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45BDE991" w14:textId="77777777" w:rsidR="00920297" w:rsidRPr="001134B0" w:rsidRDefault="00920297" w:rsidP="00920297">
      <w:pPr>
        <w:pStyle w:val="Title"/>
        <w:jc w:val="left"/>
        <w:rPr>
          <w:rFonts w:ascii="Times" w:hAnsi="Times" w:cs="Times"/>
        </w:rPr>
      </w:pPr>
      <w:bookmarkStart w:id="0" w:name="_Hlk46089881"/>
      <w:bookmarkEnd w:id="0"/>
    </w:p>
    <w:p w14:paraId="13C93B19" w14:textId="77777777" w:rsidR="008A0826" w:rsidRPr="001134B0" w:rsidRDefault="008A0826" w:rsidP="008A0826">
      <w:pPr>
        <w:pStyle w:val="Title"/>
        <w:jc w:val="left"/>
        <w:rPr>
          <w:rFonts w:ascii="Times" w:hAnsi="Times" w:cs="Times"/>
        </w:rPr>
      </w:pPr>
    </w:p>
    <w:p w14:paraId="29ECF018" w14:textId="69103722" w:rsidR="008A0826" w:rsidRPr="001134B0" w:rsidRDefault="00EE7CA4" w:rsidP="008A0826">
      <w:pPr>
        <w:pStyle w:val="BATitle"/>
        <w:rPr>
          <w:rFonts w:ascii="Times" w:hAnsi="Times" w:cs="Times"/>
        </w:rPr>
      </w:pPr>
      <w:r>
        <w:rPr>
          <w:rFonts w:ascii="Times" w:hAnsi="Times" w:cs="Times"/>
        </w:rPr>
        <w:t xml:space="preserve">Comparison of </w:t>
      </w:r>
      <w:r w:rsidR="008A0826" w:rsidRPr="001134B0">
        <w:rPr>
          <w:rFonts w:ascii="Times" w:hAnsi="Times" w:cs="Times"/>
        </w:rPr>
        <w:t xml:space="preserve">Cellular Morphological </w:t>
      </w:r>
      <w:r w:rsidR="00FE6BC1">
        <w:rPr>
          <w:rFonts w:ascii="Times" w:hAnsi="Times" w:cs="Times"/>
        </w:rPr>
        <w:t>Descriptors</w:t>
      </w:r>
      <w:r w:rsidR="008A0826" w:rsidRPr="001134B0">
        <w:rPr>
          <w:rFonts w:ascii="Times" w:hAnsi="Times" w:cs="Times"/>
        </w:rPr>
        <w:t xml:space="preserve"> </w:t>
      </w:r>
      <w:r>
        <w:rPr>
          <w:rFonts w:ascii="Times" w:hAnsi="Times" w:cs="Times"/>
        </w:rPr>
        <w:t xml:space="preserve">and </w:t>
      </w:r>
      <w:r w:rsidRPr="001134B0">
        <w:rPr>
          <w:rFonts w:ascii="Times" w:hAnsi="Times" w:cs="Times"/>
        </w:rPr>
        <w:t xml:space="preserve">Molecular Fingerprints </w:t>
      </w:r>
      <w:r>
        <w:rPr>
          <w:rFonts w:ascii="Times" w:hAnsi="Times" w:cs="Times"/>
        </w:rPr>
        <w:t>for the</w:t>
      </w:r>
      <w:r w:rsidR="008A0826" w:rsidRPr="001134B0">
        <w:rPr>
          <w:rFonts w:ascii="Times" w:hAnsi="Times" w:cs="Times"/>
        </w:rPr>
        <w:t xml:space="preserve"> Prediction of </w:t>
      </w:r>
      <w:r w:rsidR="00675F9C">
        <w:rPr>
          <w:rFonts w:ascii="Times" w:hAnsi="Times" w:cs="Times"/>
        </w:rPr>
        <w:br/>
      </w:r>
      <w:r w:rsidR="008A0826" w:rsidRPr="001134B0">
        <w:rPr>
          <w:rFonts w:ascii="Times" w:hAnsi="Times" w:cs="Times"/>
        </w:rPr>
        <w:t>Cytotox</w:t>
      </w:r>
      <w:r w:rsidR="00CF7C58">
        <w:rPr>
          <w:rFonts w:ascii="Times" w:hAnsi="Times" w:cs="Times"/>
        </w:rPr>
        <w:t>i</w:t>
      </w:r>
      <w:r w:rsidR="00D74BB4">
        <w:rPr>
          <w:rFonts w:ascii="Times" w:hAnsi="Times" w:cs="Times"/>
        </w:rPr>
        <w:t>c</w:t>
      </w:r>
      <w:r w:rsidR="008A0826" w:rsidRPr="001134B0">
        <w:rPr>
          <w:rFonts w:ascii="Times" w:hAnsi="Times" w:cs="Times"/>
        </w:rPr>
        <w:t xml:space="preserve">ity- and Proliferation-Related Assay Endpoints </w:t>
      </w:r>
    </w:p>
    <w:p w14:paraId="01C3A389" w14:textId="4A3528DC" w:rsidR="008A0826" w:rsidRPr="001134B0" w:rsidRDefault="00B136D4" w:rsidP="008A0826">
      <w:pPr>
        <w:pStyle w:val="BBAuthorName"/>
        <w:rPr>
          <w:rFonts w:cs="Times"/>
        </w:rPr>
      </w:pPr>
      <w:r w:rsidRPr="009D7C29">
        <w:t>Srijit Seal</w:t>
      </w:r>
      <w:r>
        <w:t xml:space="preserve">, Hongbin Yang, Luis </w:t>
      </w:r>
      <w:proofErr w:type="spellStart"/>
      <w:r>
        <w:t>Vollmers</w:t>
      </w:r>
      <w:proofErr w:type="spellEnd"/>
      <w:r w:rsidRPr="009D7C29">
        <w:t xml:space="preserve"> and Andreas Bender</w:t>
      </w:r>
      <w:r w:rsidR="00380084">
        <w:rPr>
          <w:rFonts w:cs="Times"/>
        </w:rPr>
        <w:t>*</w:t>
      </w:r>
    </w:p>
    <w:p w14:paraId="496577F1" w14:textId="77777777" w:rsidR="008A0826" w:rsidRPr="001134B0" w:rsidRDefault="008A0826" w:rsidP="008A0826">
      <w:pPr>
        <w:pStyle w:val="BCAuthorAddress"/>
        <w:rPr>
          <w:rFonts w:cs="Times"/>
        </w:rPr>
      </w:pPr>
      <w:r w:rsidRPr="001134B0">
        <w:rPr>
          <w:rFonts w:cs="Times"/>
        </w:rPr>
        <w:t xml:space="preserve">Centre for Molecular Informatics, Department of Chemistry, University of Cambridge, </w:t>
      </w:r>
      <w:proofErr w:type="spellStart"/>
      <w:r w:rsidRPr="001134B0">
        <w:rPr>
          <w:rFonts w:cs="Times"/>
        </w:rPr>
        <w:t>Lensfield</w:t>
      </w:r>
      <w:proofErr w:type="spellEnd"/>
      <w:r w:rsidRPr="001134B0">
        <w:rPr>
          <w:rFonts w:cs="Times"/>
        </w:rPr>
        <w:t xml:space="preserve"> Road, Cambridge, CB2 1EW, United Kingdom. </w:t>
      </w:r>
    </w:p>
    <w:p w14:paraId="54B722BB" w14:textId="77777777" w:rsidR="008A0826" w:rsidRPr="001134B0" w:rsidRDefault="008A0826" w:rsidP="008A0826">
      <w:pPr>
        <w:pStyle w:val="BIEmailAddress"/>
        <w:rPr>
          <w:rFonts w:cs="Times"/>
        </w:rPr>
      </w:pPr>
      <w:r w:rsidRPr="001134B0">
        <w:rPr>
          <w:rFonts w:cs="Times"/>
        </w:rPr>
        <w:t>*Corresponding author: ab454@cam.ac.uk</w:t>
      </w:r>
    </w:p>
    <w:p w14:paraId="10BC4A09" w14:textId="77777777" w:rsidR="008A0826" w:rsidRPr="001134B0" w:rsidRDefault="008A0826" w:rsidP="008A0826">
      <w:pPr>
        <w:pStyle w:val="BCAuthorAddress"/>
        <w:rPr>
          <w:rFonts w:cs="Times"/>
        </w:rPr>
      </w:pPr>
    </w:p>
    <w:p w14:paraId="2270F68A" w14:textId="77777777" w:rsidR="008A0826" w:rsidRPr="001134B0" w:rsidRDefault="008A0826" w:rsidP="008A0826">
      <w:pPr>
        <w:pStyle w:val="BCAuthorAddress"/>
        <w:rPr>
          <w:rFonts w:cs="Times"/>
        </w:rPr>
      </w:pPr>
    </w:p>
    <w:p w14:paraId="62AED99B" w14:textId="77777777" w:rsidR="008A0826" w:rsidRPr="001134B0" w:rsidRDefault="008A0826" w:rsidP="008A0826">
      <w:pPr>
        <w:pStyle w:val="BIEmailAddress"/>
        <w:rPr>
          <w:rFonts w:cs="Times"/>
        </w:rPr>
      </w:pPr>
    </w:p>
    <w:p w14:paraId="68DF0877" w14:textId="77777777" w:rsidR="008A0826" w:rsidRPr="001134B0" w:rsidRDefault="008A0826" w:rsidP="008A0826">
      <w:pPr>
        <w:rPr>
          <w:rFonts w:ascii="Times" w:eastAsia="Times New Roman" w:hAnsi="Times" w:cs="Times"/>
          <w:b/>
          <w:bCs/>
          <w:szCs w:val="20"/>
          <w:bdr w:val="none" w:sz="0" w:space="0" w:color="auto"/>
        </w:rPr>
      </w:pPr>
      <w:r w:rsidRPr="001134B0">
        <w:rPr>
          <w:rFonts w:ascii="Times" w:hAnsi="Times" w:cs="Times"/>
          <w:b/>
          <w:bCs/>
        </w:rPr>
        <w:br w:type="page"/>
      </w:r>
    </w:p>
    <w:p w14:paraId="4F54B26B" w14:textId="77777777" w:rsidR="008A0826" w:rsidRPr="001134B0" w:rsidRDefault="008A0826" w:rsidP="008A0826">
      <w:pPr>
        <w:pStyle w:val="BDAbstract"/>
        <w:rPr>
          <w:rFonts w:cs="Times"/>
          <w:b/>
          <w:bCs/>
        </w:rPr>
      </w:pPr>
      <w:r w:rsidRPr="001134B0">
        <w:rPr>
          <w:rFonts w:cs="Times"/>
          <w:b/>
          <w:bCs/>
        </w:rPr>
        <w:lastRenderedPageBreak/>
        <w:t>ABSTRACT</w:t>
      </w:r>
    </w:p>
    <w:p w14:paraId="7F4D9001" w14:textId="26767AEA" w:rsidR="008A0826" w:rsidRPr="001134B0" w:rsidRDefault="008A0826" w:rsidP="008A0826">
      <w:pPr>
        <w:pStyle w:val="TAMainText"/>
        <w:rPr>
          <w:rFonts w:cs="Times"/>
        </w:rPr>
      </w:pPr>
      <w:r w:rsidRPr="001134B0">
        <w:rPr>
          <w:rFonts w:cs="Times"/>
        </w:rPr>
        <w:t xml:space="preserve">Cell morphology features, such as from the Cell Painting assay, </w:t>
      </w:r>
      <w:r w:rsidR="00EE7CA4">
        <w:rPr>
          <w:rFonts w:cs="Times"/>
        </w:rPr>
        <w:t>can be generated at relatively low cost</w:t>
      </w:r>
      <w:r w:rsidRPr="001134B0">
        <w:rPr>
          <w:rFonts w:cs="Times"/>
        </w:rPr>
        <w:t xml:space="preserve"> and represent versatile biological descriptors of a system, and thereby compound response. </w:t>
      </w:r>
      <w:r w:rsidR="00EB2DB2" w:rsidRPr="001134B0">
        <w:rPr>
          <w:rFonts w:cs="Times"/>
        </w:rPr>
        <w:t xml:space="preserve">In this study, we </w:t>
      </w:r>
      <w:r w:rsidR="004909E5">
        <w:rPr>
          <w:rFonts w:cs="Times"/>
        </w:rPr>
        <w:t>explore</w:t>
      </w:r>
      <w:r w:rsidR="00C07F4F">
        <w:rPr>
          <w:rFonts w:cs="Times"/>
        </w:rPr>
        <w:t>d</w:t>
      </w:r>
      <w:r w:rsidRPr="001134B0">
        <w:rPr>
          <w:rFonts w:cs="Times"/>
        </w:rPr>
        <w:t xml:space="preserve"> cell morphology </w:t>
      </w:r>
      <w:r w:rsidR="00B458FF">
        <w:rPr>
          <w:rFonts w:cs="Times"/>
        </w:rPr>
        <w:t>descriptors</w:t>
      </w:r>
      <w:r w:rsidR="00C07F4F">
        <w:rPr>
          <w:rFonts w:cs="Times"/>
        </w:rPr>
        <w:t xml:space="preserve"> and molecular</w:t>
      </w:r>
      <w:r w:rsidR="00C07F4F" w:rsidRPr="001134B0">
        <w:rPr>
          <w:rFonts w:cs="Times"/>
        </w:rPr>
        <w:t xml:space="preserve"> fingerprints</w:t>
      </w:r>
      <w:r w:rsidRPr="001134B0">
        <w:rPr>
          <w:rFonts w:cs="Times"/>
        </w:rPr>
        <w:t xml:space="preserve">, separately and in combination, for the prediction of </w:t>
      </w:r>
      <w:r w:rsidR="00A17C90" w:rsidRPr="001134B0">
        <w:rPr>
          <w:rFonts w:cs="Times"/>
        </w:rPr>
        <w:t xml:space="preserve">cytotoxicity- and proliferation-related </w:t>
      </w:r>
      <w:r w:rsidR="00A17C90" w:rsidRPr="001134B0">
        <w:rPr>
          <w:rFonts w:cs="Times"/>
          <w:i/>
          <w:iCs/>
        </w:rPr>
        <w:t>in vitro</w:t>
      </w:r>
      <w:r w:rsidR="00A17C90" w:rsidRPr="001134B0">
        <w:rPr>
          <w:rFonts w:cs="Times"/>
        </w:rPr>
        <w:t xml:space="preserve"> assay </w:t>
      </w:r>
      <w:r w:rsidRPr="001134B0">
        <w:rPr>
          <w:rFonts w:cs="Times"/>
        </w:rPr>
        <w:t xml:space="preserve">endpoints. </w:t>
      </w:r>
      <w:r w:rsidR="00EB2DB2" w:rsidRPr="001134B0">
        <w:rPr>
          <w:rFonts w:cs="Times"/>
        </w:rPr>
        <w:t xml:space="preserve">We </w:t>
      </w:r>
      <w:r w:rsidRPr="001134B0">
        <w:rPr>
          <w:rFonts w:cs="Times"/>
        </w:rPr>
        <w:t xml:space="preserve">selected 135 compounds </w:t>
      </w:r>
      <w:r w:rsidR="009A050C" w:rsidRPr="001134B0">
        <w:rPr>
          <w:rFonts w:cs="Times"/>
        </w:rPr>
        <w:t xml:space="preserve">from the </w:t>
      </w:r>
      <w:proofErr w:type="spellStart"/>
      <w:r w:rsidR="009A050C" w:rsidRPr="001134B0">
        <w:rPr>
          <w:rFonts w:cs="Times"/>
        </w:rPr>
        <w:t>MoleculeNet</w:t>
      </w:r>
      <w:proofErr w:type="spellEnd"/>
      <w:r w:rsidR="009A050C" w:rsidRPr="001134B0">
        <w:rPr>
          <w:rFonts w:cs="Times"/>
        </w:rPr>
        <w:t xml:space="preserve"> </w:t>
      </w:r>
      <w:proofErr w:type="spellStart"/>
      <w:r w:rsidR="009A050C" w:rsidRPr="001134B0">
        <w:rPr>
          <w:rFonts w:cs="Times"/>
        </w:rPr>
        <w:t>Tox</w:t>
      </w:r>
      <w:r w:rsidR="008753A6">
        <w:rPr>
          <w:rFonts w:cs="Times"/>
        </w:rPr>
        <w:t>C</w:t>
      </w:r>
      <w:r w:rsidR="009A050C" w:rsidRPr="001134B0">
        <w:rPr>
          <w:rFonts w:cs="Times"/>
        </w:rPr>
        <w:t>ast</w:t>
      </w:r>
      <w:proofErr w:type="spellEnd"/>
      <w:r w:rsidR="009A050C" w:rsidRPr="001134B0">
        <w:rPr>
          <w:rFonts w:cs="Times"/>
        </w:rPr>
        <w:t xml:space="preserve"> benchmark dataset </w:t>
      </w:r>
      <w:r w:rsidR="00304213">
        <w:rPr>
          <w:rFonts w:cs="Times"/>
        </w:rPr>
        <w:t xml:space="preserve">which were </w:t>
      </w:r>
      <w:r w:rsidRPr="001134B0">
        <w:rPr>
          <w:rFonts w:cs="Times"/>
        </w:rPr>
        <w:t>annotated with Cell Painting readouts, where the relatively small size of the dataset is due</w:t>
      </w:r>
      <w:r w:rsidR="00EB2DB2" w:rsidRPr="001134B0">
        <w:rPr>
          <w:rFonts w:cs="Times"/>
        </w:rPr>
        <w:t xml:space="preserve"> to</w:t>
      </w:r>
      <w:r w:rsidRPr="001134B0">
        <w:rPr>
          <w:rFonts w:cs="Times"/>
        </w:rPr>
        <w:t xml:space="preserve"> the overlap of </w:t>
      </w:r>
      <w:r w:rsidR="00EB2DB2" w:rsidRPr="001134B0">
        <w:rPr>
          <w:rFonts w:cs="Times"/>
        </w:rPr>
        <w:t xml:space="preserve">required </w:t>
      </w:r>
      <w:r w:rsidRPr="001134B0">
        <w:rPr>
          <w:rFonts w:cs="Times"/>
        </w:rPr>
        <w:t xml:space="preserve">annotations. </w:t>
      </w:r>
      <w:r w:rsidR="00304213">
        <w:rPr>
          <w:rFonts w:cs="Times"/>
        </w:rPr>
        <w:t>W</w:t>
      </w:r>
      <w:r w:rsidRPr="001134B0">
        <w:rPr>
          <w:rFonts w:cs="Times"/>
        </w:rPr>
        <w:t>e trained Random Forest classification models using nested cross-validation</w:t>
      </w:r>
      <w:r w:rsidR="00304213">
        <w:rPr>
          <w:rFonts w:cs="Times"/>
        </w:rPr>
        <w:t xml:space="preserve"> </w:t>
      </w:r>
      <w:r w:rsidR="00A024D4">
        <w:rPr>
          <w:rFonts w:cs="Times"/>
        </w:rPr>
        <w:t>and</w:t>
      </w:r>
      <w:r w:rsidR="00304213" w:rsidRPr="001134B0">
        <w:rPr>
          <w:rFonts w:cs="Times"/>
        </w:rPr>
        <w:t xml:space="preserve"> Cell Painting </w:t>
      </w:r>
      <w:r w:rsidR="00A024D4">
        <w:rPr>
          <w:rFonts w:cs="Times"/>
        </w:rPr>
        <w:t>descriptors</w:t>
      </w:r>
      <w:r w:rsidR="00304213" w:rsidRPr="001134B0">
        <w:rPr>
          <w:rFonts w:cs="Times"/>
        </w:rPr>
        <w:t xml:space="preserve">, Morgan and </w:t>
      </w:r>
      <w:proofErr w:type="spellStart"/>
      <w:r w:rsidR="00304213" w:rsidRPr="001134B0">
        <w:rPr>
          <w:rFonts w:cs="Times"/>
        </w:rPr>
        <w:t>ErG</w:t>
      </w:r>
      <w:proofErr w:type="spellEnd"/>
      <w:r w:rsidR="00304213" w:rsidRPr="001134B0">
        <w:rPr>
          <w:rFonts w:cs="Times"/>
        </w:rPr>
        <w:t xml:space="preserve"> fingerprints</w:t>
      </w:r>
      <w:r w:rsidR="005E2172">
        <w:rPr>
          <w:rFonts w:cs="Times"/>
        </w:rPr>
        <w:t>,</w:t>
      </w:r>
      <w:r w:rsidR="00304213" w:rsidRPr="001134B0">
        <w:rPr>
          <w:rFonts w:cs="Times"/>
        </w:rPr>
        <w:t xml:space="preserve"> and their combinations</w:t>
      </w:r>
      <w:r w:rsidRPr="001134B0">
        <w:rPr>
          <w:rFonts w:cs="Times"/>
        </w:rPr>
        <w:t xml:space="preserve">. When using </w:t>
      </w:r>
      <w:r w:rsidR="007817B7" w:rsidRPr="007817B7">
        <w:rPr>
          <w:rFonts w:cs="Times"/>
        </w:rPr>
        <w:t xml:space="preserve">leave-one-cluster-out </w:t>
      </w:r>
      <w:r w:rsidR="007328FF">
        <w:rPr>
          <w:rFonts w:cs="Times"/>
        </w:rPr>
        <w:t xml:space="preserve">cross </w:t>
      </w:r>
      <w:r w:rsidRPr="001134B0">
        <w:rPr>
          <w:rFonts w:cs="Times"/>
        </w:rPr>
        <w:t>validation (with clusters based on physicochemical descriptors)</w:t>
      </w:r>
      <w:r w:rsidR="000C1F10">
        <w:rPr>
          <w:rFonts w:cs="Times"/>
        </w:rPr>
        <w:t xml:space="preserve">, models </w:t>
      </w:r>
      <w:r w:rsidR="00ED5950">
        <w:rPr>
          <w:rFonts w:cs="Times"/>
        </w:rPr>
        <w:t>using</w:t>
      </w:r>
      <w:r w:rsidRPr="001134B0">
        <w:rPr>
          <w:rFonts w:cs="Times"/>
        </w:rPr>
        <w:t xml:space="preserve"> Cell Painting </w:t>
      </w:r>
      <w:r w:rsidR="000C1F10">
        <w:rPr>
          <w:rFonts w:cs="Times"/>
        </w:rPr>
        <w:t>descriptors</w:t>
      </w:r>
      <w:r w:rsidRPr="001134B0">
        <w:rPr>
          <w:rFonts w:cs="Times"/>
        </w:rPr>
        <w:t xml:space="preserve"> achieved higher average </w:t>
      </w:r>
      <w:r w:rsidR="00EE7CA4">
        <w:rPr>
          <w:rFonts w:cs="Times"/>
        </w:rPr>
        <w:t>performance</w:t>
      </w:r>
      <w:r w:rsidRPr="001134B0">
        <w:rPr>
          <w:rFonts w:cs="Times"/>
        </w:rPr>
        <w:t xml:space="preserve"> over</w:t>
      </w:r>
      <w:r w:rsidR="00EE7CA4">
        <w:rPr>
          <w:rFonts w:cs="Times"/>
        </w:rPr>
        <w:t xml:space="preserve"> </w:t>
      </w:r>
      <w:r w:rsidRPr="001134B0">
        <w:rPr>
          <w:rFonts w:cs="Times"/>
        </w:rPr>
        <w:t xml:space="preserve">all assays (Balanced Accuracy of 0.65, Matthews Correlation Coefficient of 0.28 and AUC-ROC of 0.71) </w:t>
      </w:r>
      <w:r w:rsidR="005E5626">
        <w:rPr>
          <w:rFonts w:cs="Times"/>
        </w:rPr>
        <w:t xml:space="preserve">compared to </w:t>
      </w:r>
      <w:r w:rsidRPr="001134B0">
        <w:rPr>
          <w:rFonts w:cs="Times"/>
        </w:rPr>
        <w:t xml:space="preserve">models using </w:t>
      </w:r>
      <w:proofErr w:type="spellStart"/>
      <w:r w:rsidRPr="001134B0">
        <w:rPr>
          <w:rFonts w:cs="Times"/>
        </w:rPr>
        <w:t>ErG</w:t>
      </w:r>
      <w:proofErr w:type="spellEnd"/>
      <w:r w:rsidRPr="001134B0">
        <w:rPr>
          <w:rFonts w:cs="Times"/>
        </w:rPr>
        <w:t xml:space="preserve"> fingerprints (BA 0.55, MCC 0.09 and AUC-ROC 0.</w:t>
      </w:r>
      <w:r w:rsidR="00483A71" w:rsidRPr="001134B0">
        <w:rPr>
          <w:rFonts w:cs="Times"/>
        </w:rPr>
        <w:t>60</w:t>
      </w:r>
      <w:r w:rsidRPr="001134B0">
        <w:rPr>
          <w:rFonts w:cs="Times"/>
        </w:rPr>
        <w:t xml:space="preserve">) and </w:t>
      </w:r>
      <w:r w:rsidR="00B6719D" w:rsidRPr="001134B0">
        <w:rPr>
          <w:rFonts w:cs="Times"/>
        </w:rPr>
        <w:t>Morgan fingerprints</w:t>
      </w:r>
      <w:r w:rsidRPr="001134B0">
        <w:rPr>
          <w:rFonts w:cs="Times"/>
        </w:rPr>
        <w:t xml:space="preserve"> alone (BA 0.5</w:t>
      </w:r>
      <w:r w:rsidR="00483A71" w:rsidRPr="001134B0">
        <w:rPr>
          <w:rFonts w:cs="Times"/>
        </w:rPr>
        <w:t>4</w:t>
      </w:r>
      <w:r w:rsidRPr="001134B0">
        <w:rPr>
          <w:rFonts w:cs="Times"/>
        </w:rPr>
        <w:t>, MCC 0.0</w:t>
      </w:r>
      <w:r w:rsidR="00483A71" w:rsidRPr="001134B0">
        <w:rPr>
          <w:rFonts w:cs="Times"/>
        </w:rPr>
        <w:t>6</w:t>
      </w:r>
      <w:r w:rsidRPr="001134B0">
        <w:rPr>
          <w:rFonts w:cs="Times"/>
        </w:rPr>
        <w:t xml:space="preserve"> and AUC-ROC: 0.5</w:t>
      </w:r>
      <w:r w:rsidR="00483A71" w:rsidRPr="001134B0">
        <w:rPr>
          <w:rFonts w:cs="Times"/>
        </w:rPr>
        <w:t>6</w:t>
      </w:r>
      <w:r w:rsidRPr="001134B0">
        <w:rPr>
          <w:rFonts w:cs="Times"/>
        </w:rPr>
        <w:t>). When using random shuffl</w:t>
      </w:r>
      <w:r w:rsidR="004E17E4">
        <w:rPr>
          <w:rFonts w:cs="Times"/>
        </w:rPr>
        <w:t>e splits</w:t>
      </w:r>
      <w:r w:rsidRPr="001134B0">
        <w:rPr>
          <w:rFonts w:cs="Times"/>
        </w:rPr>
        <w:t xml:space="preserve">, the combination of Cell Painting </w:t>
      </w:r>
      <w:r w:rsidR="00570AEB">
        <w:rPr>
          <w:rFonts w:cs="Times"/>
        </w:rPr>
        <w:t>descriptors</w:t>
      </w:r>
      <w:r w:rsidR="00570AEB" w:rsidRPr="001134B0">
        <w:rPr>
          <w:rFonts w:cs="Times"/>
        </w:rPr>
        <w:t xml:space="preserve"> </w:t>
      </w:r>
      <w:r w:rsidRPr="001134B0">
        <w:rPr>
          <w:rFonts w:cs="Times"/>
        </w:rPr>
        <w:t xml:space="preserve">with </w:t>
      </w:r>
      <w:proofErr w:type="spellStart"/>
      <w:r w:rsidRPr="001134B0">
        <w:rPr>
          <w:rFonts w:cs="Times"/>
        </w:rPr>
        <w:t>ErG</w:t>
      </w:r>
      <w:proofErr w:type="spellEnd"/>
      <w:r w:rsidR="001A6FF5" w:rsidRPr="001134B0">
        <w:rPr>
          <w:rFonts w:cs="Times"/>
        </w:rPr>
        <w:t xml:space="preserve"> and Morgan fingerprints</w:t>
      </w:r>
      <w:r w:rsidRPr="001134B0">
        <w:rPr>
          <w:rFonts w:cs="Times"/>
        </w:rPr>
        <w:t xml:space="preserve"> </w:t>
      </w:r>
      <w:r w:rsidR="00EE7CA4">
        <w:rPr>
          <w:rFonts w:cs="Times"/>
        </w:rPr>
        <w:t xml:space="preserve">further </w:t>
      </w:r>
      <w:r w:rsidRPr="001134B0">
        <w:rPr>
          <w:rFonts w:cs="Times"/>
        </w:rPr>
        <w:t xml:space="preserve">improved balanced accuracy </w:t>
      </w:r>
      <w:r w:rsidR="00EE7CA4">
        <w:rPr>
          <w:rFonts w:cs="Times"/>
        </w:rPr>
        <w:t xml:space="preserve">on average </w:t>
      </w:r>
      <w:r w:rsidRPr="001134B0">
        <w:rPr>
          <w:rFonts w:cs="Times"/>
        </w:rPr>
        <w:t xml:space="preserve">by </w:t>
      </w:r>
      <w:r w:rsidR="009E03F9" w:rsidRPr="001134B0">
        <w:rPr>
          <w:rFonts w:cs="Times"/>
        </w:rPr>
        <w:t>8.9</w:t>
      </w:r>
      <w:r w:rsidRPr="001134B0">
        <w:rPr>
          <w:rFonts w:cs="Times"/>
        </w:rPr>
        <w:t xml:space="preserve">% </w:t>
      </w:r>
      <w:r w:rsidR="00EE7CA4">
        <w:rPr>
          <w:rFonts w:cs="Times"/>
        </w:rPr>
        <w:t>(</w:t>
      </w:r>
      <w:r w:rsidR="00A81A07" w:rsidRPr="001134B0">
        <w:rPr>
          <w:rFonts w:cs="Times"/>
        </w:rPr>
        <w:t>in 9 out of 12 assays</w:t>
      </w:r>
      <w:r w:rsidR="00EE7CA4">
        <w:rPr>
          <w:rFonts w:cs="Times"/>
        </w:rPr>
        <w:t>)</w:t>
      </w:r>
      <w:r w:rsidR="00A81A07" w:rsidRPr="001134B0">
        <w:rPr>
          <w:rFonts w:cs="Times"/>
        </w:rPr>
        <w:t xml:space="preserve"> </w:t>
      </w:r>
      <w:r w:rsidRPr="001134B0">
        <w:rPr>
          <w:rFonts w:cs="Times"/>
        </w:rPr>
        <w:t>and 23.</w:t>
      </w:r>
      <w:r w:rsidR="009E03F9" w:rsidRPr="001134B0">
        <w:rPr>
          <w:rFonts w:cs="Times"/>
        </w:rPr>
        <w:t>4</w:t>
      </w:r>
      <w:r w:rsidRPr="001134B0">
        <w:rPr>
          <w:rFonts w:cs="Times"/>
        </w:rPr>
        <w:t>%</w:t>
      </w:r>
      <w:r w:rsidR="00A81A07" w:rsidRPr="001134B0">
        <w:rPr>
          <w:rFonts w:cs="Times"/>
        </w:rPr>
        <w:t xml:space="preserve"> </w:t>
      </w:r>
      <w:r w:rsidR="00EE7CA4">
        <w:rPr>
          <w:rFonts w:cs="Times"/>
        </w:rPr>
        <w:t>(</w:t>
      </w:r>
      <w:r w:rsidR="00A81A07" w:rsidRPr="001134B0">
        <w:rPr>
          <w:rFonts w:cs="Times"/>
        </w:rPr>
        <w:t>in 8 out of 12 assays</w:t>
      </w:r>
      <w:r w:rsidR="00EE7CA4">
        <w:rPr>
          <w:rFonts w:cs="Times"/>
        </w:rPr>
        <w:t>)</w:t>
      </w:r>
      <w:r w:rsidRPr="001134B0">
        <w:rPr>
          <w:rFonts w:cs="Times"/>
        </w:rPr>
        <w:t xml:space="preserve"> </w:t>
      </w:r>
      <w:r w:rsidR="00D1147C" w:rsidRPr="001134B0">
        <w:rPr>
          <w:rFonts w:cs="Times"/>
        </w:rPr>
        <w:t xml:space="preserve"> compared to using </w:t>
      </w:r>
      <w:r w:rsidR="00F03B6D">
        <w:rPr>
          <w:rFonts w:cs="Times"/>
        </w:rPr>
        <w:t xml:space="preserve">only </w:t>
      </w:r>
      <w:proofErr w:type="spellStart"/>
      <w:r w:rsidR="00D1147C" w:rsidRPr="001134B0">
        <w:rPr>
          <w:rFonts w:cs="Times"/>
        </w:rPr>
        <w:t>ErG</w:t>
      </w:r>
      <w:proofErr w:type="spellEnd"/>
      <w:r w:rsidR="00D1147C" w:rsidRPr="001134B0">
        <w:rPr>
          <w:rFonts w:cs="Times"/>
        </w:rPr>
        <w:t xml:space="preserve"> and Morgan fingerprints</w:t>
      </w:r>
      <w:r w:rsidR="00F03B6D">
        <w:rPr>
          <w:rFonts w:cs="Times"/>
        </w:rPr>
        <w:t>,</w:t>
      </w:r>
      <w:r w:rsidR="00D1147C" w:rsidRPr="001134B0">
        <w:rPr>
          <w:rFonts w:cs="Times"/>
        </w:rPr>
        <w:t xml:space="preserve"> </w:t>
      </w:r>
      <w:r w:rsidR="00AA4EA5" w:rsidRPr="001134B0">
        <w:rPr>
          <w:rFonts w:cs="Times"/>
        </w:rPr>
        <w:t>respectively</w:t>
      </w:r>
      <w:r w:rsidRPr="001134B0">
        <w:rPr>
          <w:rFonts w:cs="Times"/>
        </w:rPr>
        <w:t xml:space="preserve">. </w:t>
      </w:r>
      <w:r w:rsidR="00F03B6D">
        <w:rPr>
          <w:rFonts w:cs="Times"/>
        </w:rPr>
        <w:t>Regarding feature importance</w:t>
      </w:r>
      <w:r w:rsidR="00497B90" w:rsidRPr="001134B0">
        <w:rPr>
          <w:rFonts w:cs="Times"/>
        </w:rPr>
        <w:t>,</w:t>
      </w:r>
      <w:r w:rsidRPr="001134B0">
        <w:rPr>
          <w:rFonts w:cs="Times"/>
        </w:rPr>
        <w:t xml:space="preserve"> Cell Painting </w:t>
      </w:r>
      <w:r w:rsidR="00765FF7">
        <w:rPr>
          <w:rFonts w:cs="Times"/>
        </w:rPr>
        <w:t>descriptors</w:t>
      </w:r>
      <w:r w:rsidRPr="001134B0">
        <w:rPr>
          <w:rFonts w:cs="Times"/>
        </w:rPr>
        <w:t xml:space="preserve"> </w:t>
      </w:r>
      <w:r w:rsidR="00F03B6D">
        <w:rPr>
          <w:rFonts w:cs="Times"/>
        </w:rPr>
        <w:t>related to</w:t>
      </w:r>
      <w:r w:rsidR="00C05C8C">
        <w:rPr>
          <w:rFonts w:cs="Times"/>
        </w:rPr>
        <w:t xml:space="preserve"> </w:t>
      </w:r>
      <w:r w:rsidR="00D57A08">
        <w:rPr>
          <w:rFonts w:cs="Times"/>
        </w:rPr>
        <w:t>n</w:t>
      </w:r>
      <w:r w:rsidR="00D57A08" w:rsidRPr="00D57A08">
        <w:rPr>
          <w:rFonts w:cs="Times"/>
        </w:rPr>
        <w:t xml:space="preserve">uclei texture, </w:t>
      </w:r>
      <w:r w:rsidRPr="001134B0">
        <w:rPr>
          <w:rFonts w:cs="Times"/>
        </w:rPr>
        <w:t xml:space="preserve">granularity of cells and cytoplasm, as well as cell neighbours </w:t>
      </w:r>
      <w:r w:rsidR="00EB2DB2" w:rsidRPr="001134B0">
        <w:rPr>
          <w:rFonts w:cs="Times"/>
        </w:rPr>
        <w:t>and</w:t>
      </w:r>
      <w:r w:rsidRPr="001134B0">
        <w:rPr>
          <w:rFonts w:cs="Times"/>
        </w:rPr>
        <w:t xml:space="preserve"> radial distributions were </w:t>
      </w:r>
      <w:r w:rsidR="00497B90" w:rsidRPr="001134B0">
        <w:rPr>
          <w:rFonts w:cs="Times"/>
        </w:rPr>
        <w:t xml:space="preserve">identified to be </w:t>
      </w:r>
      <w:r w:rsidR="00EB2DB2" w:rsidRPr="001134B0">
        <w:rPr>
          <w:rFonts w:cs="Times"/>
        </w:rPr>
        <w:t xml:space="preserve">most </w:t>
      </w:r>
      <w:r w:rsidRPr="001134B0">
        <w:rPr>
          <w:rFonts w:cs="Times"/>
        </w:rPr>
        <w:t>contributing</w:t>
      </w:r>
      <w:r w:rsidR="00E76C58">
        <w:rPr>
          <w:rFonts w:cs="Times"/>
        </w:rPr>
        <w:t>,</w:t>
      </w:r>
      <w:r w:rsidRPr="001134B0">
        <w:rPr>
          <w:rFonts w:cs="Times"/>
        </w:rPr>
        <w:t xml:space="preserve"> which is plausible given the endpoint considered. We conclude that cell morphological </w:t>
      </w:r>
      <w:r w:rsidR="00E76C58">
        <w:rPr>
          <w:rFonts w:cs="Times"/>
        </w:rPr>
        <w:t>descriptors</w:t>
      </w:r>
      <w:r w:rsidRPr="001134B0">
        <w:rPr>
          <w:rFonts w:cs="Times"/>
        </w:rPr>
        <w:t xml:space="preserve"> contain </w:t>
      </w:r>
      <w:r w:rsidR="00554875">
        <w:rPr>
          <w:rFonts w:cs="Times"/>
        </w:rPr>
        <w:t>compl</w:t>
      </w:r>
      <w:r w:rsidR="0018170B">
        <w:rPr>
          <w:rFonts w:cs="Times"/>
        </w:rPr>
        <w:t>e</w:t>
      </w:r>
      <w:r w:rsidR="00554875">
        <w:rPr>
          <w:rFonts w:cs="Times"/>
        </w:rPr>
        <w:t>mentary</w:t>
      </w:r>
      <w:r w:rsidRPr="001134B0">
        <w:rPr>
          <w:rFonts w:cs="Times"/>
        </w:rPr>
        <w:t xml:space="preserve"> information </w:t>
      </w:r>
      <w:r w:rsidR="00554875">
        <w:rPr>
          <w:rFonts w:cs="Times"/>
        </w:rPr>
        <w:t>to</w:t>
      </w:r>
      <w:r w:rsidRPr="001134B0">
        <w:rPr>
          <w:rFonts w:cs="Times"/>
        </w:rPr>
        <w:t xml:space="preserve"> molecular fingerprints </w:t>
      </w:r>
      <w:r w:rsidR="00312E41">
        <w:rPr>
          <w:rFonts w:cs="Times"/>
        </w:rPr>
        <w:t>which can be used to improve</w:t>
      </w:r>
      <w:r w:rsidRPr="001134B0">
        <w:rPr>
          <w:rFonts w:cs="Times"/>
        </w:rPr>
        <w:t xml:space="preserve"> the performance of predictive cytotoxicity models, </w:t>
      </w:r>
      <w:proofErr w:type="gramStart"/>
      <w:r w:rsidRPr="001134B0">
        <w:rPr>
          <w:rFonts w:cs="Times"/>
        </w:rPr>
        <w:t>in particular in</w:t>
      </w:r>
      <w:proofErr w:type="gramEnd"/>
      <w:r w:rsidRPr="001134B0">
        <w:rPr>
          <w:rFonts w:cs="Times"/>
        </w:rPr>
        <w:t xml:space="preserve"> areas of novel structural space.</w:t>
      </w:r>
    </w:p>
    <w:p w14:paraId="0D84D13D" w14:textId="3B5BD2F3" w:rsidR="00FD63BC" w:rsidRPr="001134B0" w:rsidRDefault="00FD63BC" w:rsidP="008A0826">
      <w:pPr>
        <w:pStyle w:val="TAMainText"/>
        <w:rPr>
          <w:rFonts w:cs="Times"/>
        </w:rPr>
      </w:pPr>
    </w:p>
    <w:p w14:paraId="4CB885B0" w14:textId="5DED8528" w:rsidR="00FD63BC" w:rsidRPr="001134B0" w:rsidRDefault="00FD63BC" w:rsidP="008A0826">
      <w:pPr>
        <w:pStyle w:val="TAMainText"/>
        <w:rPr>
          <w:rFonts w:cs="Times"/>
        </w:rPr>
      </w:pPr>
    </w:p>
    <w:p w14:paraId="7C1A2FA9" w14:textId="6BAEB87D" w:rsidR="00FD63BC" w:rsidRPr="001134B0" w:rsidRDefault="00FD63BC" w:rsidP="008A0826">
      <w:pPr>
        <w:pStyle w:val="TAMainText"/>
        <w:rPr>
          <w:rFonts w:cs="Times"/>
        </w:rPr>
      </w:pPr>
    </w:p>
    <w:p w14:paraId="1C7E3D19" w14:textId="668027D1" w:rsidR="00292BA4" w:rsidRPr="001134B0" w:rsidRDefault="00292BA4" w:rsidP="008A0826">
      <w:pPr>
        <w:pStyle w:val="TAMainText"/>
        <w:rPr>
          <w:rFonts w:cs="Times"/>
          <w:color w:val="201F1E"/>
          <w:sz w:val="22"/>
          <w:szCs w:val="22"/>
          <w:shd w:val="clear" w:color="auto" w:fill="FFFFFF"/>
        </w:rPr>
      </w:pPr>
    </w:p>
    <w:p w14:paraId="76F0A9E9" w14:textId="3A2C1773" w:rsidR="00B22CC0" w:rsidRPr="001134B0" w:rsidRDefault="00C842BA" w:rsidP="000226E4">
      <w:pPr>
        <w:pStyle w:val="TAMainText"/>
        <w:rPr>
          <w:rFonts w:cs="Times"/>
          <w:color w:val="201F1E"/>
          <w:sz w:val="22"/>
          <w:szCs w:val="22"/>
          <w:shd w:val="clear" w:color="auto" w:fill="FFFFFF"/>
        </w:rPr>
      </w:pPr>
      <w:r>
        <w:rPr>
          <w:rFonts w:cs="Times"/>
          <w:noProof/>
          <w:color w:val="201F1E"/>
          <w:sz w:val="22"/>
          <w:szCs w:val="22"/>
          <w:shd w:val="clear" w:color="auto" w:fill="FFFFFF"/>
        </w:rPr>
        <w:lastRenderedPageBreak/>
        <w:drawing>
          <wp:inline distT="0" distB="0" distL="0" distR="0" wp14:anchorId="1E9824CF" wp14:editId="7F02B4CC">
            <wp:extent cx="6295806" cy="3245417"/>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311019" cy="3253259"/>
                    </a:xfrm>
                    <a:prstGeom prst="rect">
                      <a:avLst/>
                    </a:prstGeom>
                    <a:noFill/>
                  </pic:spPr>
                </pic:pic>
              </a:graphicData>
            </a:graphic>
          </wp:inline>
        </w:drawing>
      </w:r>
      <w:r w:rsidR="007E67BB">
        <w:rPr>
          <w:rFonts w:cs="Times"/>
          <w:color w:val="201F1E"/>
          <w:sz w:val="22"/>
          <w:szCs w:val="22"/>
          <w:shd w:val="clear" w:color="auto" w:fill="FFFFFF"/>
        </w:rPr>
        <w:br/>
      </w:r>
      <w:r w:rsidR="00B22CC0" w:rsidRPr="001134B0">
        <w:rPr>
          <w:rFonts w:cs="Times"/>
          <w:color w:val="201F1E"/>
          <w:sz w:val="22"/>
          <w:szCs w:val="22"/>
          <w:shd w:val="clear" w:color="auto" w:fill="FFFFFF"/>
        </w:rPr>
        <w:t>Figure: For TOC Only</w:t>
      </w:r>
      <w:r w:rsidR="001D6457">
        <w:rPr>
          <w:rFonts w:cs="Times"/>
          <w:color w:val="201F1E"/>
          <w:sz w:val="22"/>
          <w:szCs w:val="22"/>
          <w:shd w:val="clear" w:color="auto" w:fill="FFFFFF"/>
        </w:rPr>
        <w:tab/>
      </w:r>
    </w:p>
    <w:p w14:paraId="404A1B4D" w14:textId="77777777" w:rsidR="00B22CC0" w:rsidRPr="001134B0" w:rsidRDefault="00B22CC0" w:rsidP="008A0826">
      <w:pPr>
        <w:pStyle w:val="TAMainText"/>
        <w:rPr>
          <w:rFonts w:cs="Times"/>
        </w:rPr>
      </w:pPr>
    </w:p>
    <w:p w14:paraId="087E991D" w14:textId="77777777" w:rsidR="008A0826" w:rsidRPr="001134B0" w:rsidRDefault="008A0826" w:rsidP="008A0826">
      <w:pPr>
        <w:pStyle w:val="BGKeywords"/>
        <w:rPr>
          <w:rFonts w:cs="Times"/>
          <w:b/>
          <w:bCs/>
        </w:rPr>
      </w:pPr>
      <w:r w:rsidRPr="001134B0">
        <w:rPr>
          <w:rFonts w:cs="Times"/>
          <w:b/>
          <w:bCs/>
        </w:rPr>
        <w:t>KEYWORDS</w:t>
      </w:r>
    </w:p>
    <w:p w14:paraId="7BC4B3D1" w14:textId="77777777" w:rsidR="008A0826" w:rsidRPr="001134B0" w:rsidRDefault="008A0826" w:rsidP="008A0826">
      <w:pPr>
        <w:pStyle w:val="BGKeywords"/>
        <w:rPr>
          <w:rFonts w:cs="Times"/>
        </w:rPr>
      </w:pPr>
      <w:r w:rsidRPr="001134B0">
        <w:rPr>
          <w:rFonts w:cs="Times"/>
          <w:i/>
          <w:iCs/>
        </w:rPr>
        <w:t>In vitro</w:t>
      </w:r>
      <w:r w:rsidRPr="001134B0">
        <w:rPr>
          <w:rFonts w:cs="Times"/>
        </w:rPr>
        <w:t xml:space="preserve">; cytotoxicity; reduced proliferation; Cell Painting; toxicity prediction; cell morphology </w:t>
      </w:r>
    </w:p>
    <w:p w14:paraId="4433414D" w14:textId="77777777" w:rsidR="008A0826" w:rsidRPr="001134B0" w:rsidRDefault="008A0826" w:rsidP="008A0826">
      <w:pPr>
        <w:rPr>
          <w:rFonts w:ascii="Times" w:eastAsia="Times New Roman" w:hAnsi="Times" w:cs="Times"/>
          <w:b/>
          <w:bCs/>
          <w:szCs w:val="20"/>
          <w:bdr w:val="none" w:sz="0" w:space="0" w:color="auto"/>
        </w:rPr>
      </w:pPr>
      <w:r w:rsidRPr="001134B0">
        <w:rPr>
          <w:rFonts w:ascii="Times" w:hAnsi="Times" w:cs="Times"/>
          <w:b/>
          <w:bCs/>
        </w:rPr>
        <w:br w:type="page"/>
      </w:r>
    </w:p>
    <w:p w14:paraId="7D5D01DB" w14:textId="77777777" w:rsidR="008A0826" w:rsidRPr="001134B0" w:rsidRDefault="008A0826" w:rsidP="008A0826">
      <w:pPr>
        <w:pStyle w:val="TAMainText"/>
        <w:ind w:firstLine="0"/>
        <w:rPr>
          <w:rFonts w:cs="Times"/>
          <w:b/>
          <w:bCs/>
        </w:rPr>
      </w:pPr>
      <w:r w:rsidRPr="001134B0">
        <w:rPr>
          <w:rFonts w:cs="Times"/>
          <w:b/>
          <w:bCs/>
        </w:rPr>
        <w:lastRenderedPageBreak/>
        <w:t>INTRODUCTION</w:t>
      </w:r>
    </w:p>
    <w:p w14:paraId="741D3B6C" w14:textId="42151D60" w:rsidR="008A0826" w:rsidRPr="001134B0" w:rsidRDefault="008A0826" w:rsidP="00B75967">
      <w:pPr>
        <w:pStyle w:val="TAMainText"/>
      </w:pPr>
      <w:r w:rsidRPr="001134B0">
        <w:t>Biological endpoints, such as -omics data and high-dimensional biological data, have become easier to obtain in recen</w:t>
      </w:r>
      <w:r w:rsidR="003F1AC4" w:rsidRPr="001134B0">
        <w:t>t</w:t>
      </w:r>
      <w:r w:rsidRPr="001134B0">
        <w:t xml:space="preserve"> year</w:t>
      </w:r>
      <w:r w:rsidR="00491DC6" w:rsidRPr="001134B0">
        <w:t>s</w:t>
      </w:r>
      <w:r w:rsidRPr="001134B0">
        <w:t>, such as from the transcriptomics L1000</w:t>
      </w:r>
      <w:r w:rsidR="003E71DE" w:rsidRPr="001134B0">
        <w:rPr>
          <w:rStyle w:val="EndnoteReference"/>
          <w:rFonts w:cs="Times"/>
        </w:rPr>
        <w:endnoteReference w:id="2"/>
      </w:r>
      <w:r w:rsidRPr="001134B0">
        <w:t xml:space="preserve"> </w:t>
      </w:r>
      <w:r w:rsidR="006B720E">
        <w:t xml:space="preserve">and the </w:t>
      </w:r>
      <w:r w:rsidR="006B720E" w:rsidRPr="006B720E">
        <w:t>DRUG-</w:t>
      </w:r>
      <w:proofErr w:type="spellStart"/>
      <w:r w:rsidR="006B720E" w:rsidRPr="006B720E">
        <w:t>seq</w:t>
      </w:r>
      <w:proofErr w:type="spellEnd"/>
      <w:r w:rsidR="006B720E" w:rsidRPr="006B720E">
        <w:t xml:space="preserve"> </w:t>
      </w:r>
      <w:r w:rsidRPr="001134B0">
        <w:t>platform</w:t>
      </w:r>
      <w:r w:rsidR="00B66C7E">
        <w:rPr>
          <w:rStyle w:val="EndnoteReference"/>
          <w:rFonts w:cs="Times"/>
        </w:rPr>
        <w:endnoteReference w:id="3"/>
      </w:r>
      <w:r w:rsidRPr="001134B0">
        <w:t xml:space="preserve"> as well as </w:t>
      </w:r>
      <w:r w:rsidR="00410507">
        <w:t>from</w:t>
      </w:r>
      <w:r w:rsidR="00430FA1" w:rsidRPr="001134B0">
        <w:t xml:space="preserve"> the cell morphology side </w:t>
      </w:r>
      <w:r w:rsidR="00410507">
        <w:t>as provided by</w:t>
      </w:r>
      <w:r w:rsidRPr="001134B0">
        <w:t xml:space="preserve"> the Cell Painting</w:t>
      </w:r>
      <w:bookmarkStart w:id="1" w:name="_Ref46824657"/>
      <w:r w:rsidR="004A636C" w:rsidRPr="001134B0">
        <w:rPr>
          <w:rStyle w:val="EndnoteReference"/>
          <w:rFonts w:cs="Times"/>
        </w:rPr>
        <w:endnoteReference w:id="4"/>
      </w:r>
      <w:bookmarkEnd w:id="1"/>
      <w:r w:rsidRPr="001134B0">
        <w:t xml:space="preserve"> assay. </w:t>
      </w:r>
      <w:r w:rsidR="007E126F" w:rsidRPr="001134B0">
        <w:t>The Cell Painting assay use</w:t>
      </w:r>
      <w:r w:rsidR="00430FA1">
        <w:t>d</w:t>
      </w:r>
      <w:r w:rsidR="007E126F" w:rsidRPr="001134B0">
        <w:t xml:space="preserve"> a mixture of six well characterised fluorescent dyes to stain the nucleus, nucleoli and cytoplasmic RNA, endoplasmic reticulum, Golgi apparatus and plasma membrane, and the actin cytoskeleton in human U</w:t>
      </w:r>
      <w:r w:rsidR="007E126F">
        <w:t>2OS</w:t>
      </w:r>
      <w:r w:rsidR="007E126F" w:rsidRPr="001134B0">
        <w:t xml:space="preserve"> cells.</w:t>
      </w:r>
      <w:r w:rsidR="007E126F" w:rsidRPr="001134B0">
        <w:rPr>
          <w:rStyle w:val="EndnoteReference"/>
          <w:rFonts w:cs="Times"/>
        </w:rPr>
        <w:endnoteReference w:id="5"/>
      </w:r>
      <w:r w:rsidR="007E126F" w:rsidRPr="001134B0">
        <w:t xml:space="preserve"> </w:t>
      </w:r>
      <w:r w:rsidR="002A6A17" w:rsidRPr="001134B0">
        <w:t xml:space="preserve">The microscopic images were processed using a three-step pipeline </w:t>
      </w:r>
      <w:r w:rsidR="00410D41" w:rsidRPr="00410D41">
        <w:t xml:space="preserve">leveraging the </w:t>
      </w:r>
      <w:r w:rsidR="002A6A17" w:rsidRPr="001134B0">
        <w:t xml:space="preserve">open-source software </w:t>
      </w:r>
      <w:proofErr w:type="spellStart"/>
      <w:r w:rsidR="002A6A17" w:rsidRPr="001134B0">
        <w:t>CellProfiler</w:t>
      </w:r>
      <w:proofErr w:type="spellEnd"/>
      <w:r w:rsidR="002A6A17" w:rsidRPr="001134B0">
        <w:rPr>
          <w:rStyle w:val="EndnoteReference"/>
          <w:rFonts w:cs="Times"/>
        </w:rPr>
        <w:endnoteReference w:id="6"/>
      </w:r>
      <w:r w:rsidR="002A6A17" w:rsidRPr="001134B0">
        <w:rPr>
          <w:vertAlign w:val="superscript"/>
        </w:rPr>
        <w:t>,</w:t>
      </w:r>
      <w:r w:rsidR="002A6A17" w:rsidRPr="001134B0">
        <w:rPr>
          <w:rStyle w:val="EndnoteReference"/>
          <w:rFonts w:cs="Times"/>
        </w:rPr>
        <w:endnoteReference w:id="7"/>
      </w:r>
      <w:r w:rsidR="002A6A17">
        <w:t>. T</w:t>
      </w:r>
      <w:r w:rsidR="002A6A17" w:rsidRPr="001134B0">
        <w:t xml:space="preserve">he extracted features comprise various cellular shape and adjacency statistics </w:t>
      </w:r>
      <w:r w:rsidR="003227FE">
        <w:t>as well as</w:t>
      </w:r>
      <w:r w:rsidR="002A6A17" w:rsidRPr="001134B0">
        <w:t xml:space="preserve"> intensity and texture statistics for each channel</w:t>
      </w:r>
      <w:r w:rsidR="002A6A17">
        <w:t xml:space="preserve"> which </w:t>
      </w:r>
      <w:r w:rsidRPr="001134B0">
        <w:t xml:space="preserve">can then be further analysed and </w:t>
      </w:r>
      <w:r w:rsidR="00031091">
        <w:t>linked</w:t>
      </w:r>
      <w:r w:rsidRPr="001134B0">
        <w:t xml:space="preserve"> to particular </w:t>
      </w:r>
      <w:r w:rsidR="000C124A">
        <w:t>effects of interest, such as modes of action, efficacy and safety endpoints.</w:t>
      </w:r>
      <w:bookmarkStart w:id="2" w:name="_Ref59028619"/>
      <w:r w:rsidR="001F3FF5" w:rsidRPr="001134B0">
        <w:rPr>
          <w:rStyle w:val="EndnoteReference"/>
          <w:rFonts w:cs="Times"/>
        </w:rPr>
        <w:endnoteReference w:id="8"/>
      </w:r>
      <w:bookmarkEnd w:id="2"/>
      <w:r w:rsidR="000C124A">
        <w:t xml:space="preserve"> The idea is that high-dimensional biological readouts </w:t>
      </w:r>
      <w:r w:rsidR="004B31B6">
        <w:t>provide</w:t>
      </w:r>
      <w:r w:rsidR="000C124A">
        <w:t xml:space="preserve"> a broad picture of the state of the system, which can be </w:t>
      </w:r>
      <w:r w:rsidR="00F17068" w:rsidRPr="00F17068">
        <w:t>further analysed</w:t>
      </w:r>
      <w:r w:rsidR="000C124A">
        <w:t xml:space="preserve"> in different ways.</w:t>
      </w:r>
    </w:p>
    <w:p w14:paraId="0FCC1ACD" w14:textId="655CE9BD" w:rsidR="00D048AE" w:rsidRPr="001134B0" w:rsidRDefault="00357D2B" w:rsidP="00540DB9">
      <w:pPr>
        <w:pStyle w:val="TAMainText"/>
        <w:rPr>
          <w:rFonts w:cs="Times"/>
        </w:rPr>
      </w:pPr>
      <w:r w:rsidRPr="001134B0">
        <w:rPr>
          <w:rFonts w:cs="Times"/>
        </w:rPr>
        <w:t>Image-based profiling studies have been successful in</w:t>
      </w:r>
      <w:r w:rsidR="006B580A" w:rsidRPr="001134B0">
        <w:rPr>
          <w:rFonts w:cs="Times"/>
        </w:rPr>
        <w:t xml:space="preserve"> areas such as target identification and mechanism analysis. </w:t>
      </w:r>
      <w:r w:rsidR="000C124A">
        <w:rPr>
          <w:rFonts w:cs="Times"/>
        </w:rPr>
        <w:t>As an early study</w:t>
      </w:r>
      <w:r w:rsidR="006B580A" w:rsidRPr="001134B0">
        <w:rPr>
          <w:rFonts w:cs="Times"/>
        </w:rPr>
        <w:t>, i</w:t>
      </w:r>
      <w:r w:rsidR="001E4132" w:rsidRPr="001134B0">
        <w:rPr>
          <w:rFonts w:cs="Times"/>
        </w:rPr>
        <w:t xml:space="preserve">n 2004 </w:t>
      </w:r>
      <w:r w:rsidR="00794C93" w:rsidRPr="001134B0">
        <w:rPr>
          <w:rFonts w:cs="Times"/>
        </w:rPr>
        <w:t>Perlman et al. developed a method for high-throughput multidimensional profiling by automated microscopy</w:t>
      </w:r>
      <w:r w:rsidR="0012433E">
        <w:rPr>
          <w:rFonts w:cs="Times"/>
        </w:rPr>
        <w:t>.</w:t>
      </w:r>
      <w:r w:rsidR="004A0F58" w:rsidRPr="001134B0">
        <w:rPr>
          <w:rStyle w:val="EndnoteReference"/>
          <w:rFonts w:cs="Times"/>
        </w:rPr>
        <w:endnoteReference w:id="9"/>
      </w:r>
      <w:r w:rsidR="0012433E">
        <w:rPr>
          <w:rFonts w:cs="Times"/>
        </w:rPr>
        <w:t xml:space="preserve"> The authors</w:t>
      </w:r>
      <w:r w:rsidR="00794C93" w:rsidRPr="001134B0">
        <w:rPr>
          <w:rFonts w:cs="Times"/>
        </w:rPr>
        <w:t xml:space="preserve"> could successfully categorize blinded drugs and suggest targets for drugs of uncertain mechanism.</w:t>
      </w:r>
      <w:r w:rsidR="001B12ED" w:rsidRPr="001134B0">
        <w:rPr>
          <w:rFonts w:cs="Times"/>
        </w:rPr>
        <w:t xml:space="preserve"> </w:t>
      </w:r>
      <w:r w:rsidR="00794C93" w:rsidRPr="001134B0">
        <w:rPr>
          <w:rFonts w:cs="Times"/>
        </w:rPr>
        <w:t>Persson et al. also used multi-parametric imaging of cell health to model drug‐induced liver injury and bile salt transport inhibition</w:t>
      </w:r>
      <w:r w:rsidR="00961E2F">
        <w:rPr>
          <w:rFonts w:cs="Times"/>
        </w:rPr>
        <w:t xml:space="preserve"> (both</w:t>
      </w:r>
      <w:r w:rsidR="00794C93" w:rsidRPr="001134B0">
        <w:rPr>
          <w:rFonts w:cs="Times"/>
        </w:rPr>
        <w:t xml:space="preserve"> </w:t>
      </w:r>
      <w:r w:rsidR="00E63FFD">
        <w:rPr>
          <w:rFonts w:cs="Times"/>
        </w:rPr>
        <w:t xml:space="preserve">of these </w:t>
      </w:r>
      <w:r w:rsidR="00794C93" w:rsidRPr="001134B0">
        <w:rPr>
          <w:rFonts w:cs="Times"/>
        </w:rPr>
        <w:t>cause adverse effects in the human system but unfortunately cannot be readily detected in animal models in pre-clinical testing</w:t>
      </w:r>
      <w:r w:rsidR="00961E2F">
        <w:rPr>
          <w:rFonts w:cs="Times"/>
        </w:rPr>
        <w:t>)</w:t>
      </w:r>
      <w:r w:rsidR="00794C93" w:rsidRPr="001134B0">
        <w:rPr>
          <w:rFonts w:cs="Times"/>
        </w:rPr>
        <w:t>.</w:t>
      </w:r>
      <w:r w:rsidR="00794C93" w:rsidRPr="001134B0">
        <w:rPr>
          <w:rStyle w:val="EndnoteReference"/>
          <w:rFonts w:cs="Times"/>
        </w:rPr>
        <w:endnoteReference w:id="10"/>
      </w:r>
      <w:r w:rsidR="00794C93" w:rsidRPr="001134B0">
        <w:rPr>
          <w:rFonts w:cs="Times"/>
        </w:rPr>
        <w:t xml:space="preserve"> </w:t>
      </w:r>
      <w:r w:rsidR="00AA301C">
        <w:rPr>
          <w:rFonts w:cs="Times"/>
        </w:rPr>
        <w:t xml:space="preserve"> </w:t>
      </w:r>
      <w:proofErr w:type="spellStart"/>
      <w:r w:rsidR="00AA301C" w:rsidRPr="001134B0">
        <w:rPr>
          <w:rFonts w:cs="Times"/>
        </w:rPr>
        <w:t>Gustafsdottir</w:t>
      </w:r>
      <w:proofErr w:type="spellEnd"/>
      <w:r w:rsidR="00AA301C" w:rsidRPr="001134B0">
        <w:rPr>
          <w:rFonts w:cs="Times"/>
        </w:rPr>
        <w:t xml:space="preserve"> et al. used Cell Painting profiles to cluster compounds with similar annotated protein targets or chemical structures.</w:t>
      </w:r>
      <w:r w:rsidR="00AA301C" w:rsidRPr="001134B0">
        <w:rPr>
          <w:rStyle w:val="EndnoteReference"/>
          <w:rFonts w:cs="Times"/>
        </w:rPr>
        <w:endnoteReference w:id="11"/>
      </w:r>
      <w:r w:rsidR="00AA301C" w:rsidRPr="001134B0">
        <w:rPr>
          <w:rFonts w:cs="Times"/>
        </w:rPr>
        <w:t xml:space="preserve"> These results established the models were able to detect patterns in morphological labels related to the </w:t>
      </w:r>
      <w:r w:rsidR="00AA301C">
        <w:rPr>
          <w:rFonts w:cs="Times"/>
        </w:rPr>
        <w:t>annotated</w:t>
      </w:r>
      <w:r w:rsidR="00AA301C" w:rsidRPr="001134B0">
        <w:rPr>
          <w:rFonts w:cs="Times"/>
        </w:rPr>
        <w:t xml:space="preserve"> activity</w:t>
      </w:r>
      <w:r w:rsidR="00BE479A">
        <w:rPr>
          <w:rFonts w:cs="Times"/>
        </w:rPr>
        <w:t xml:space="preserve"> </w:t>
      </w:r>
      <w:r w:rsidR="00BE479A" w:rsidRPr="001134B0">
        <w:rPr>
          <w:rFonts w:cs="Times"/>
        </w:rPr>
        <w:t xml:space="preserve">even though the targets were not </w:t>
      </w:r>
      <w:r w:rsidR="00BE479A">
        <w:rPr>
          <w:rFonts w:cs="Times"/>
        </w:rPr>
        <w:t>marked explicitly</w:t>
      </w:r>
      <w:r w:rsidR="00AA301C" w:rsidRPr="001134B0">
        <w:rPr>
          <w:rFonts w:cs="Times"/>
        </w:rPr>
        <w:t>.</w:t>
      </w:r>
      <w:r w:rsidR="00BE479A">
        <w:rPr>
          <w:rFonts w:cs="Times"/>
        </w:rPr>
        <w:t xml:space="preserve"> </w:t>
      </w:r>
      <w:r w:rsidR="006D7F5C" w:rsidRPr="001134B0">
        <w:rPr>
          <w:rFonts w:cs="Times"/>
        </w:rPr>
        <w:t xml:space="preserve">In recent years, many studies have used images and image-based morphological </w:t>
      </w:r>
      <w:r w:rsidR="00570AEB">
        <w:rPr>
          <w:rFonts w:cs="Times"/>
        </w:rPr>
        <w:t>descriptors</w:t>
      </w:r>
      <w:r w:rsidR="00570AEB" w:rsidRPr="001134B0">
        <w:rPr>
          <w:rFonts w:cs="Times"/>
        </w:rPr>
        <w:t xml:space="preserve"> </w:t>
      </w:r>
      <w:r w:rsidR="006D7F5C" w:rsidRPr="001134B0">
        <w:rPr>
          <w:rFonts w:cs="Times"/>
        </w:rPr>
        <w:t xml:space="preserve">for machine learning tasks for diverse applications in the field of chemoinformatics. </w:t>
      </w:r>
      <w:r w:rsidR="00027A63" w:rsidRPr="00027A63">
        <w:rPr>
          <w:rFonts w:cs="Times"/>
        </w:rPr>
        <w:t>With the greater availability of image-based profile data produced by methods such as Cell Painting, these profiles could be applied to predict efficacy or safety related endpoints, using machine learning</w:t>
      </w:r>
      <w:r w:rsidR="009679DB" w:rsidRPr="001134B0">
        <w:rPr>
          <w:rFonts w:cs="Times"/>
        </w:rPr>
        <w:t>.</w:t>
      </w:r>
      <w:r w:rsidR="009679DB" w:rsidRPr="001134B0">
        <w:rPr>
          <w:rStyle w:val="EndnoteReference"/>
          <w:rFonts w:cs="Times"/>
        </w:rPr>
        <w:endnoteReference w:id="12"/>
      </w:r>
      <w:r w:rsidR="009679DB">
        <w:rPr>
          <w:rFonts w:cs="Times"/>
        </w:rPr>
        <w:t xml:space="preserve"> </w:t>
      </w:r>
      <w:proofErr w:type="spellStart"/>
      <w:r w:rsidR="006D7F5C" w:rsidRPr="001134B0">
        <w:rPr>
          <w:rFonts w:cs="Times"/>
        </w:rPr>
        <w:t>Hofmarcher</w:t>
      </w:r>
      <w:proofErr w:type="spellEnd"/>
      <w:r w:rsidR="006D7F5C" w:rsidRPr="001134B0">
        <w:rPr>
          <w:rFonts w:cs="Times"/>
        </w:rPr>
        <w:t xml:space="preserve"> et al. were able to </w:t>
      </w:r>
      <w:r w:rsidR="006D7F5C" w:rsidRPr="001134B0">
        <w:rPr>
          <w:rFonts w:cs="Times"/>
        </w:rPr>
        <w:lastRenderedPageBreak/>
        <w:t>achieve high predictive performances with AUC-ROC above 0.90 for biological assays using convolution</w:t>
      </w:r>
      <w:r w:rsidR="00CD67C8">
        <w:rPr>
          <w:rFonts w:cs="Times"/>
        </w:rPr>
        <w:t>al</w:t>
      </w:r>
      <w:r w:rsidR="006D7F5C" w:rsidRPr="001134B0">
        <w:rPr>
          <w:rFonts w:cs="Times"/>
        </w:rPr>
        <w:t xml:space="preserve"> neural networks trained on microscopic images of cells </w:t>
      </w:r>
      <w:r w:rsidR="00940FCB">
        <w:rPr>
          <w:rFonts w:cs="Times"/>
        </w:rPr>
        <w:t>from</w:t>
      </w:r>
      <w:r w:rsidR="006D7F5C" w:rsidRPr="001134B0">
        <w:rPr>
          <w:rFonts w:cs="Times"/>
        </w:rPr>
        <w:t xml:space="preserve"> the Cell Painting assay.</w:t>
      </w:r>
      <w:r w:rsidR="006D7F5C" w:rsidRPr="001134B0">
        <w:rPr>
          <w:rStyle w:val="EndnoteReference"/>
          <w:rFonts w:cs="Times"/>
        </w:rPr>
        <w:endnoteReference w:id="13"/>
      </w:r>
      <w:r w:rsidR="006D7F5C" w:rsidRPr="001134B0">
        <w:rPr>
          <w:rFonts w:cs="Times"/>
        </w:rPr>
        <w:t xml:space="preserve"> </w:t>
      </w:r>
      <w:r w:rsidR="00A06E41" w:rsidRPr="001134B0">
        <w:rPr>
          <w:rFonts w:cs="Times"/>
        </w:rPr>
        <w:t>These studies validate the existence of meaningful information in image</w:t>
      </w:r>
      <w:r w:rsidR="00A06E41">
        <w:rPr>
          <w:rFonts w:cs="Times"/>
        </w:rPr>
        <w:t>s, h</w:t>
      </w:r>
      <w:r w:rsidR="006D7F5C" w:rsidRPr="001134B0">
        <w:rPr>
          <w:rFonts w:cs="Times"/>
        </w:rPr>
        <w:t>owever, training convolution</w:t>
      </w:r>
      <w:r w:rsidR="003B31AD">
        <w:rPr>
          <w:rFonts w:cs="Times"/>
        </w:rPr>
        <w:t>al</w:t>
      </w:r>
      <w:r w:rsidR="006D7F5C" w:rsidRPr="001134B0">
        <w:rPr>
          <w:rFonts w:cs="Times"/>
        </w:rPr>
        <w:t xml:space="preserve"> neural networks on images </w:t>
      </w:r>
      <w:r w:rsidR="000C124A">
        <w:rPr>
          <w:rFonts w:cs="Times"/>
        </w:rPr>
        <w:t xml:space="preserve">themselves is </w:t>
      </w:r>
      <w:r w:rsidR="006D7F5C" w:rsidRPr="001134B0">
        <w:rPr>
          <w:rFonts w:cs="Times"/>
        </w:rPr>
        <w:t xml:space="preserve">computationally </w:t>
      </w:r>
      <w:r w:rsidR="000C124A">
        <w:rPr>
          <w:rFonts w:cs="Times"/>
        </w:rPr>
        <w:t xml:space="preserve">very </w:t>
      </w:r>
      <w:r w:rsidR="006D7F5C" w:rsidRPr="001134B0">
        <w:rPr>
          <w:rFonts w:cs="Times"/>
        </w:rPr>
        <w:t>expensive.</w:t>
      </w:r>
      <w:r w:rsidR="00D048AE" w:rsidRPr="001134B0">
        <w:rPr>
          <w:rFonts w:cs="Times"/>
        </w:rPr>
        <w:t xml:space="preserve"> </w:t>
      </w:r>
      <w:r w:rsidR="006D7F5C" w:rsidRPr="001134B0">
        <w:rPr>
          <w:rFonts w:cs="Times"/>
        </w:rPr>
        <w:t xml:space="preserve">An alternative approach adopted by </w:t>
      </w:r>
      <w:proofErr w:type="spellStart"/>
      <w:r w:rsidR="006D7F5C" w:rsidRPr="001134B0">
        <w:rPr>
          <w:rFonts w:cs="Times"/>
        </w:rPr>
        <w:t>Simm</w:t>
      </w:r>
      <w:proofErr w:type="spellEnd"/>
      <w:r w:rsidR="006D7F5C" w:rsidRPr="001134B0">
        <w:rPr>
          <w:rFonts w:cs="Times"/>
        </w:rPr>
        <w:t xml:space="preserve"> et al. extracted information from </w:t>
      </w:r>
      <w:r w:rsidR="00CD67C8">
        <w:rPr>
          <w:rFonts w:cs="Times"/>
        </w:rPr>
        <w:t xml:space="preserve">a </w:t>
      </w:r>
      <w:r w:rsidR="006D7F5C" w:rsidRPr="001134B0">
        <w:rPr>
          <w:rFonts w:cs="Times"/>
        </w:rPr>
        <w:t>microscopy-based screen specifically designed for glucocorticoid receptor nuclear translocation.</w:t>
      </w:r>
      <w:r w:rsidR="006D7F5C" w:rsidRPr="001134B0">
        <w:rPr>
          <w:rStyle w:val="EndnoteReference"/>
          <w:rFonts w:cs="Times"/>
        </w:rPr>
        <w:endnoteReference w:id="14"/>
      </w:r>
      <w:r w:rsidR="006D7F5C" w:rsidRPr="001134B0">
        <w:rPr>
          <w:rFonts w:cs="Times"/>
        </w:rPr>
        <w:t xml:space="preserve"> The data was </w:t>
      </w:r>
      <w:r w:rsidR="00C24E2E" w:rsidRPr="001134B0">
        <w:rPr>
          <w:rFonts w:cs="Times"/>
        </w:rPr>
        <w:t xml:space="preserve">repurposed </w:t>
      </w:r>
      <w:r w:rsidR="006D7F5C" w:rsidRPr="001134B0">
        <w:rPr>
          <w:rFonts w:cs="Times"/>
        </w:rPr>
        <w:t>to train machine learning models to predict assay-specific biological activity. Their results indicate</w:t>
      </w:r>
      <w:r w:rsidR="000C124A">
        <w:rPr>
          <w:rFonts w:cs="Times"/>
        </w:rPr>
        <w:t>d</w:t>
      </w:r>
      <w:r w:rsidR="006D7F5C" w:rsidRPr="001134B0">
        <w:rPr>
          <w:rFonts w:cs="Times"/>
        </w:rPr>
        <w:t xml:space="preserve"> a 60-fold to a 250-fold increase </w:t>
      </w:r>
      <w:r w:rsidR="00C24E2E">
        <w:rPr>
          <w:rFonts w:cs="Times"/>
        </w:rPr>
        <w:t>in the</w:t>
      </w:r>
      <w:r w:rsidR="006D7F5C" w:rsidRPr="001134B0">
        <w:rPr>
          <w:rFonts w:cs="Times"/>
        </w:rPr>
        <w:t xml:space="preserve"> hit rate </w:t>
      </w:r>
      <w:r w:rsidR="007F3CF5" w:rsidRPr="001134B0">
        <w:rPr>
          <w:rFonts w:cs="Times"/>
        </w:rPr>
        <w:t xml:space="preserve">for two drug discovery projects </w:t>
      </w:r>
      <w:r w:rsidR="006D7F5C" w:rsidRPr="001134B0">
        <w:rPr>
          <w:rFonts w:cs="Times"/>
        </w:rPr>
        <w:t>over the initial high-throughput screens. This show</w:t>
      </w:r>
      <w:r w:rsidR="00A3619E">
        <w:rPr>
          <w:rFonts w:cs="Times"/>
        </w:rPr>
        <w:t>ed</w:t>
      </w:r>
      <w:r w:rsidR="006D7F5C" w:rsidRPr="001134B0">
        <w:rPr>
          <w:rFonts w:cs="Times"/>
        </w:rPr>
        <w:t xml:space="preserve"> that extracted information in the form of image-based </w:t>
      </w:r>
      <w:r w:rsidR="004458BA" w:rsidRPr="001134B0">
        <w:rPr>
          <w:rFonts w:cs="Times"/>
        </w:rPr>
        <w:t xml:space="preserve">morphological </w:t>
      </w:r>
      <w:r w:rsidR="00A3455D">
        <w:rPr>
          <w:rFonts w:cs="Times"/>
        </w:rPr>
        <w:t>descriptors</w:t>
      </w:r>
      <w:r w:rsidR="002C43E8">
        <w:rPr>
          <w:rFonts w:cs="Times"/>
        </w:rPr>
        <w:t xml:space="preserve"> subject to machine learning methods</w:t>
      </w:r>
      <w:r w:rsidR="00DD761F">
        <w:rPr>
          <w:rFonts w:cs="Times"/>
        </w:rPr>
        <w:t xml:space="preserve"> can </w:t>
      </w:r>
      <w:r w:rsidR="00A3619E" w:rsidRPr="001134B0">
        <w:rPr>
          <w:rFonts w:cs="Times"/>
        </w:rPr>
        <w:t xml:space="preserve">be repurposed </w:t>
      </w:r>
      <w:r w:rsidR="004458BA" w:rsidRPr="001134B0">
        <w:rPr>
          <w:rFonts w:cs="Times"/>
        </w:rPr>
        <w:t xml:space="preserve">to determine </w:t>
      </w:r>
      <w:r w:rsidR="00D726DB">
        <w:rPr>
          <w:rFonts w:cs="Times"/>
        </w:rPr>
        <w:t>their</w:t>
      </w:r>
      <w:r w:rsidR="002C43E8">
        <w:rPr>
          <w:rFonts w:cs="Times"/>
        </w:rPr>
        <w:t xml:space="preserve"> predictiv</w:t>
      </w:r>
      <w:r w:rsidR="00D726DB">
        <w:rPr>
          <w:rFonts w:cs="Times"/>
        </w:rPr>
        <w:t>i</w:t>
      </w:r>
      <w:r w:rsidR="002C43E8">
        <w:rPr>
          <w:rFonts w:cs="Times"/>
        </w:rPr>
        <w:t>ty</w:t>
      </w:r>
      <w:r w:rsidR="004458BA" w:rsidRPr="001134B0">
        <w:rPr>
          <w:rFonts w:cs="Times"/>
        </w:rPr>
        <w:t xml:space="preserve"> for a biological activity</w:t>
      </w:r>
      <w:r w:rsidR="00711136">
        <w:rPr>
          <w:rFonts w:cs="Times"/>
        </w:rPr>
        <w:t xml:space="preserve"> (</w:t>
      </w:r>
      <w:r w:rsidR="004458BA" w:rsidRPr="001134B0">
        <w:rPr>
          <w:rFonts w:cs="Times"/>
        </w:rPr>
        <w:t xml:space="preserve">to the extent </w:t>
      </w:r>
      <w:r w:rsidR="00F62D80">
        <w:rPr>
          <w:rFonts w:cs="Times"/>
        </w:rPr>
        <w:t xml:space="preserve">that </w:t>
      </w:r>
      <w:r w:rsidR="004458BA" w:rsidRPr="001134B0">
        <w:rPr>
          <w:rFonts w:cs="Times"/>
        </w:rPr>
        <w:t xml:space="preserve">the activity </w:t>
      </w:r>
      <w:r w:rsidR="00F62D80">
        <w:rPr>
          <w:rFonts w:cs="Times"/>
        </w:rPr>
        <w:t>be</w:t>
      </w:r>
      <w:r w:rsidR="004458BA" w:rsidRPr="001134B0">
        <w:rPr>
          <w:rFonts w:cs="Times"/>
        </w:rPr>
        <w:t xml:space="preserve"> visible in</w:t>
      </w:r>
      <w:r w:rsidR="00F62D80">
        <w:rPr>
          <w:rFonts w:cs="Times"/>
        </w:rPr>
        <w:t xml:space="preserve"> the</w:t>
      </w:r>
      <w:r w:rsidR="004458BA" w:rsidRPr="001134B0">
        <w:rPr>
          <w:rFonts w:cs="Times"/>
        </w:rPr>
        <w:t xml:space="preserve"> morphological readout space</w:t>
      </w:r>
      <w:r w:rsidR="00711136">
        <w:rPr>
          <w:rFonts w:cs="Times"/>
        </w:rPr>
        <w:t>)</w:t>
      </w:r>
      <w:r w:rsidR="004458BA" w:rsidRPr="001134B0">
        <w:rPr>
          <w:rFonts w:cs="Times"/>
        </w:rPr>
        <w:t>.</w:t>
      </w:r>
      <w:r w:rsidR="004458BA" w:rsidRPr="001134B0">
        <w:rPr>
          <w:rStyle w:val="EndnoteReference"/>
          <w:rFonts w:cs="Times"/>
        </w:rPr>
        <w:endnoteReference w:id="15"/>
      </w:r>
      <w:r w:rsidR="004458BA" w:rsidRPr="001134B0">
        <w:rPr>
          <w:rFonts w:cs="Times"/>
        </w:rPr>
        <w:t xml:space="preserve"> Recently, </w:t>
      </w:r>
      <w:proofErr w:type="spellStart"/>
      <w:r w:rsidR="00863360" w:rsidRPr="001134B0">
        <w:rPr>
          <w:rFonts w:cs="Times"/>
        </w:rPr>
        <w:t>Trapotsi</w:t>
      </w:r>
      <w:proofErr w:type="spellEnd"/>
      <w:r w:rsidR="00863360" w:rsidRPr="001134B0">
        <w:rPr>
          <w:rFonts w:cs="Times"/>
        </w:rPr>
        <w:t xml:space="preserve"> et al. compared </w:t>
      </w:r>
      <w:r w:rsidR="00C52686" w:rsidRPr="00C52686">
        <w:rPr>
          <w:rFonts w:cs="Times"/>
        </w:rPr>
        <w:t>the performance of models based on</w:t>
      </w:r>
      <w:r w:rsidR="00C52686">
        <w:rPr>
          <w:rFonts w:cs="Times"/>
        </w:rPr>
        <w:t xml:space="preserve"> </w:t>
      </w:r>
      <w:r w:rsidR="00863360" w:rsidRPr="001134B0">
        <w:rPr>
          <w:rFonts w:cs="Times"/>
        </w:rPr>
        <w:t>chemical (</w:t>
      </w:r>
      <w:r w:rsidR="00C533AE" w:rsidRPr="001134B0">
        <w:rPr>
          <w:rFonts w:cs="Times"/>
        </w:rPr>
        <w:t>extended connectivity fingerprints</w:t>
      </w:r>
      <w:r w:rsidR="00AB060C">
        <w:rPr>
          <w:rFonts w:cs="Times"/>
        </w:rPr>
        <w:t xml:space="preserve"> </w:t>
      </w:r>
      <w:r w:rsidR="00AB060C" w:rsidRPr="001134B0">
        <w:rPr>
          <w:rFonts w:cs="Times"/>
        </w:rPr>
        <w:t>ECFP</w:t>
      </w:r>
      <w:r w:rsidR="00C533AE" w:rsidRPr="001134B0">
        <w:rPr>
          <w:rFonts w:cs="Times"/>
        </w:rPr>
        <w:t>) and cell morphology (Cell Painting) information for bioactivity prediction.</w:t>
      </w:r>
      <w:r w:rsidR="008F736A" w:rsidRPr="001134B0">
        <w:rPr>
          <w:rStyle w:val="EndnoteReference"/>
          <w:rFonts w:cs="Times"/>
        </w:rPr>
        <w:endnoteReference w:id="16"/>
      </w:r>
      <w:r w:rsidR="00C533AE" w:rsidRPr="001134B0">
        <w:rPr>
          <w:rFonts w:cs="Times"/>
        </w:rPr>
        <w:t xml:space="preserve"> </w:t>
      </w:r>
      <w:r w:rsidR="00F42D90">
        <w:rPr>
          <w:rFonts w:cs="Times"/>
        </w:rPr>
        <w:t>This</w:t>
      </w:r>
      <w:r w:rsidR="00F42D90" w:rsidRPr="00F42D90">
        <w:rPr>
          <w:rFonts w:cs="Times"/>
        </w:rPr>
        <w:t xml:space="preserve"> work used Macau, a framework for multitask </w:t>
      </w:r>
      <w:r w:rsidR="001021D3" w:rsidRPr="001134B0">
        <w:rPr>
          <w:rFonts w:cs="Times"/>
        </w:rPr>
        <w:t>Bayesian Matrix Factorisation (BMF)</w:t>
      </w:r>
      <w:r w:rsidR="00AB060C">
        <w:rPr>
          <w:rFonts w:cs="Times"/>
        </w:rPr>
        <w:t xml:space="preserve">, to </w:t>
      </w:r>
      <w:r w:rsidR="001021D3" w:rsidRPr="001134B0">
        <w:rPr>
          <w:rFonts w:cs="Times"/>
        </w:rPr>
        <w:t>predict around 45% and 40% of 224 targets using ECFP and image data respectively with high AUC-ROC (&gt;0.80) thus showing that the two descriptors contain partially compl</w:t>
      </w:r>
      <w:r w:rsidR="00831B0A" w:rsidRPr="001134B0">
        <w:rPr>
          <w:rFonts w:cs="Times"/>
        </w:rPr>
        <w:t>e</w:t>
      </w:r>
      <w:r w:rsidR="001021D3" w:rsidRPr="001134B0">
        <w:rPr>
          <w:rFonts w:cs="Times"/>
        </w:rPr>
        <w:t>mentary information.</w:t>
      </w:r>
      <w:r w:rsidR="004458BA" w:rsidRPr="001134B0">
        <w:rPr>
          <w:rFonts w:cs="Times"/>
        </w:rPr>
        <w:t xml:space="preserve"> These results indicate that</w:t>
      </w:r>
      <w:r w:rsidR="008A0826" w:rsidRPr="001134B0">
        <w:rPr>
          <w:rFonts w:cs="Times"/>
        </w:rPr>
        <w:t xml:space="preserve"> </w:t>
      </w:r>
      <w:r w:rsidR="001021D3" w:rsidRPr="001134B0">
        <w:rPr>
          <w:rFonts w:cs="Times"/>
        </w:rPr>
        <w:t xml:space="preserve">cell morphology </w:t>
      </w:r>
      <w:r w:rsidR="001D2BFE" w:rsidRPr="001D2BFE">
        <w:rPr>
          <w:rFonts w:cs="Times"/>
        </w:rPr>
        <w:t xml:space="preserve">profiles contain information relevant </w:t>
      </w:r>
      <w:r w:rsidR="00D87938">
        <w:rPr>
          <w:rFonts w:cs="Times"/>
        </w:rPr>
        <w:t>to</w:t>
      </w:r>
      <w:r w:rsidR="001D2BFE" w:rsidRPr="001D2BFE">
        <w:rPr>
          <w:rFonts w:cs="Times"/>
        </w:rPr>
        <w:t xml:space="preserve"> </w:t>
      </w:r>
      <w:r w:rsidR="008A0826" w:rsidRPr="001134B0">
        <w:rPr>
          <w:rFonts w:cs="Times"/>
        </w:rPr>
        <w:t xml:space="preserve">compound action </w:t>
      </w:r>
      <w:r w:rsidR="00D87938">
        <w:rPr>
          <w:rFonts w:cs="Times"/>
        </w:rPr>
        <w:t>for</w:t>
      </w:r>
      <w:r w:rsidR="008A0826" w:rsidRPr="001134B0">
        <w:rPr>
          <w:rFonts w:cs="Times"/>
        </w:rPr>
        <w:t xml:space="preserve"> a wide variety of endpoints, be they efficacy- or safety-related, with the potential to enable compound profiling for a wide variety of purposes.</w:t>
      </w:r>
    </w:p>
    <w:p w14:paraId="4C2E8A2D" w14:textId="11F6E7FF" w:rsidR="00C6783B" w:rsidRPr="001134B0" w:rsidRDefault="00E25D43" w:rsidP="00C6783B">
      <w:pPr>
        <w:pStyle w:val="TAMainText"/>
        <w:rPr>
          <w:rFonts w:cs="Times"/>
        </w:rPr>
      </w:pPr>
      <w:r w:rsidRPr="001134B0">
        <w:rPr>
          <w:rFonts w:cs="Times"/>
        </w:rPr>
        <w:t>From the practical angle</w:t>
      </w:r>
      <w:r>
        <w:rPr>
          <w:rFonts w:cs="Times"/>
        </w:rPr>
        <w:t xml:space="preserve">, </w:t>
      </w:r>
      <w:r w:rsidRPr="00E25D43">
        <w:rPr>
          <w:rFonts w:cs="Times"/>
        </w:rPr>
        <w:t>if cellular morphology profiling can be used to predict a wide range of efficacy and safety endpoints</w:t>
      </w:r>
      <w:r>
        <w:rPr>
          <w:rFonts w:cs="Times"/>
        </w:rPr>
        <w:t xml:space="preserve">, </w:t>
      </w:r>
      <w:r w:rsidRPr="00E25D43">
        <w:rPr>
          <w:rFonts w:cs="Times"/>
        </w:rPr>
        <w:t xml:space="preserve">it </w:t>
      </w:r>
      <w:r>
        <w:rPr>
          <w:rFonts w:cs="Times"/>
        </w:rPr>
        <w:t>would</w:t>
      </w:r>
      <w:r w:rsidRPr="00E25D43">
        <w:rPr>
          <w:rFonts w:cs="Times"/>
        </w:rPr>
        <w:t xml:space="preserve"> form a powerful tool for multi-objective characterisation of compounds using only a single screen; the current work explores </w:t>
      </w:r>
      <w:r>
        <w:rPr>
          <w:rFonts w:cs="Times"/>
        </w:rPr>
        <w:t>cytotoxicity</w:t>
      </w:r>
      <w:r w:rsidRPr="00E25D43">
        <w:rPr>
          <w:rFonts w:cs="Times"/>
        </w:rPr>
        <w:t xml:space="preserve"> prediction, which is only one of many </w:t>
      </w:r>
      <w:r w:rsidRPr="001134B0">
        <w:rPr>
          <w:rFonts w:cs="Times"/>
        </w:rPr>
        <w:t>possible avenues in this regar</w:t>
      </w:r>
      <w:r w:rsidR="00D63CCF">
        <w:rPr>
          <w:rFonts w:cs="Times"/>
        </w:rPr>
        <w:t>d</w:t>
      </w:r>
      <w:r>
        <w:rPr>
          <w:rFonts w:cs="Times"/>
        </w:rPr>
        <w:t>.</w:t>
      </w:r>
      <w:r w:rsidRPr="00E25D43">
        <w:rPr>
          <w:rFonts w:cs="Times"/>
        </w:rPr>
        <w:t xml:space="preserve"> </w:t>
      </w:r>
      <w:r w:rsidR="007949C9">
        <w:rPr>
          <w:rFonts w:cs="Times"/>
        </w:rPr>
        <w:t>Cytotoxicity or c</w:t>
      </w:r>
      <w:r w:rsidR="000345C6" w:rsidRPr="001134B0">
        <w:rPr>
          <w:rFonts w:cs="Times"/>
        </w:rPr>
        <w:t>ell</w:t>
      </w:r>
      <w:r w:rsidR="00E332F1" w:rsidRPr="001134B0">
        <w:rPr>
          <w:rFonts w:cs="Times"/>
        </w:rPr>
        <w:t>ular</w:t>
      </w:r>
      <w:r w:rsidR="000345C6" w:rsidRPr="001134B0">
        <w:rPr>
          <w:rFonts w:cs="Times"/>
        </w:rPr>
        <w:t xml:space="preserve"> toxicity can be linked to </w:t>
      </w:r>
      <w:r w:rsidR="00E332F1" w:rsidRPr="001134B0">
        <w:rPr>
          <w:rFonts w:cs="Times"/>
        </w:rPr>
        <w:t xml:space="preserve">a wide variety of </w:t>
      </w:r>
      <w:r w:rsidR="000345C6" w:rsidRPr="001134B0">
        <w:rPr>
          <w:rFonts w:cs="Times"/>
        </w:rPr>
        <w:t>mechanisms including cell death due to structural damage and cell</w:t>
      </w:r>
      <w:r w:rsidR="00724705">
        <w:rPr>
          <w:rFonts w:cs="Times"/>
        </w:rPr>
        <w:t>ular</w:t>
      </w:r>
      <w:r w:rsidR="000345C6" w:rsidRPr="001134B0">
        <w:rPr>
          <w:rFonts w:cs="Times"/>
        </w:rPr>
        <w:t xml:space="preserve"> stress.</w:t>
      </w:r>
      <w:r w:rsidR="00EF5186" w:rsidRPr="001134B0">
        <w:rPr>
          <w:rStyle w:val="EndnoteReference"/>
          <w:rFonts w:cs="Times"/>
        </w:rPr>
        <w:endnoteReference w:id="17"/>
      </w:r>
      <w:r w:rsidR="00EF5186" w:rsidRPr="001134B0">
        <w:rPr>
          <w:rFonts w:cs="Times"/>
        </w:rPr>
        <w:t xml:space="preserve"> </w:t>
      </w:r>
      <w:r w:rsidR="004068E6">
        <w:rPr>
          <w:rFonts w:cs="Times"/>
        </w:rPr>
        <w:t>Although</w:t>
      </w:r>
      <w:r w:rsidR="004068E6" w:rsidRPr="001134B0">
        <w:rPr>
          <w:rFonts w:cs="Times"/>
        </w:rPr>
        <w:t xml:space="preserve"> predicting organ level toxicity is difficult given the complexity</w:t>
      </w:r>
      <w:r w:rsidR="004068E6">
        <w:rPr>
          <w:rFonts w:cs="Times"/>
        </w:rPr>
        <w:t xml:space="preserve"> of interactions</w:t>
      </w:r>
      <w:r w:rsidR="004068E6" w:rsidRPr="001134B0">
        <w:rPr>
          <w:rFonts w:cs="Times"/>
        </w:rPr>
        <w:t xml:space="preserve"> at molecular, cellular and tissue level</w:t>
      </w:r>
      <w:r w:rsidR="004068E6">
        <w:rPr>
          <w:rFonts w:cs="Times"/>
        </w:rPr>
        <w:t>, c</w:t>
      </w:r>
      <w:r w:rsidR="000345C6" w:rsidRPr="001134B0">
        <w:rPr>
          <w:rFonts w:cs="Times"/>
        </w:rPr>
        <w:t>ytotoxicity</w:t>
      </w:r>
      <w:r w:rsidR="002C43E8">
        <w:rPr>
          <w:rFonts w:cs="Times"/>
        </w:rPr>
        <w:t xml:space="preserve"> </w:t>
      </w:r>
      <w:r w:rsidR="007D34C0" w:rsidRPr="001134B0">
        <w:rPr>
          <w:rFonts w:cs="Times"/>
        </w:rPr>
        <w:t>ha</w:t>
      </w:r>
      <w:r w:rsidR="002C43E8">
        <w:rPr>
          <w:rFonts w:cs="Times"/>
        </w:rPr>
        <w:t>s</w:t>
      </w:r>
      <w:r w:rsidR="007D34C0" w:rsidRPr="001134B0">
        <w:rPr>
          <w:rFonts w:cs="Times"/>
        </w:rPr>
        <w:t xml:space="preserve"> been used before in </w:t>
      </w:r>
      <w:r w:rsidR="002C43E8">
        <w:rPr>
          <w:rFonts w:cs="Times"/>
        </w:rPr>
        <w:t>anticipating</w:t>
      </w:r>
      <w:r w:rsidR="000345C6" w:rsidRPr="001134B0">
        <w:rPr>
          <w:rFonts w:cs="Times"/>
        </w:rPr>
        <w:t xml:space="preserve"> organism level toxicity</w:t>
      </w:r>
      <w:sdt>
        <w:sdtPr>
          <w:rPr>
            <w:rFonts w:cs="Times"/>
            <w:color w:val="000000"/>
            <w:vertAlign w:val="superscript"/>
          </w:rPr>
          <w:tag w:val="MENDELEY_CITATION_37ec7446-73f3-45ab-b697-bbf7774da3d5"/>
          <w:id w:val="-504429790"/>
          <w:placeholder>
            <w:docPart w:val="DefaultPlaceholder_-1854013440"/>
          </w:placeholder>
        </w:sdtPr>
        <w:sdtEndPr/>
        <w:sdtContent>
          <w:r w:rsidR="00DD30F6" w:rsidRPr="001134B0">
            <w:rPr>
              <w:rStyle w:val="EndnoteReference"/>
              <w:rFonts w:cs="Times"/>
              <w:color w:val="000000"/>
            </w:rPr>
            <w:endnoteReference w:id="18"/>
          </w:r>
        </w:sdtContent>
      </w:sdt>
      <w:r w:rsidR="000345C6" w:rsidRPr="001134B0">
        <w:rPr>
          <w:rFonts w:cs="Times"/>
        </w:rPr>
        <w:t xml:space="preserve">, </w:t>
      </w:r>
      <w:r w:rsidR="00E332F1" w:rsidRPr="001134B0">
        <w:rPr>
          <w:rFonts w:cs="Times"/>
        </w:rPr>
        <w:t>such as</w:t>
      </w:r>
      <w:r w:rsidR="00015C91" w:rsidRPr="00015C91">
        <w:rPr>
          <w:rFonts w:cs="Times"/>
          <w:shd w:val="clear" w:color="auto" w:fill="FFFFFF"/>
        </w:rPr>
        <w:t xml:space="preserve"> </w:t>
      </w:r>
      <w:r w:rsidR="00015C91" w:rsidRPr="001134B0">
        <w:rPr>
          <w:rFonts w:cs="Times"/>
          <w:shd w:val="clear" w:color="auto" w:fill="FFFFFF"/>
        </w:rPr>
        <w:t>oral or intravenous acute toxicity</w:t>
      </w:r>
      <w:r w:rsidR="00FD7621">
        <w:rPr>
          <w:rFonts w:cs="Times"/>
          <w:shd w:val="clear" w:color="auto" w:fill="FFFFFF"/>
        </w:rPr>
        <w:t xml:space="preserve"> </w:t>
      </w:r>
      <w:r w:rsidR="00FD7621">
        <w:rPr>
          <w:rFonts w:cs="Times"/>
          <w:shd w:val="clear" w:color="auto" w:fill="FFFFFF"/>
        </w:rPr>
        <w:lastRenderedPageBreak/>
        <w:t>or</w:t>
      </w:r>
      <w:r w:rsidR="00E332F1" w:rsidRPr="001134B0">
        <w:rPr>
          <w:rFonts w:cs="Times"/>
        </w:rPr>
        <w:t xml:space="preserve"> </w:t>
      </w:r>
      <w:r w:rsidR="000345C6" w:rsidRPr="001134B0">
        <w:rPr>
          <w:rFonts w:cs="Times"/>
        </w:rPr>
        <w:t>hepatotoxic</w:t>
      </w:r>
      <w:r w:rsidR="00B70750" w:rsidRPr="001134B0">
        <w:rPr>
          <w:rFonts w:cs="Times"/>
        </w:rPr>
        <w:t xml:space="preserve"> outcomes in rodents</w:t>
      </w:r>
      <w:r w:rsidR="000345C6" w:rsidRPr="001134B0">
        <w:rPr>
          <w:rFonts w:cs="Times"/>
        </w:rPr>
        <w:t>.</w:t>
      </w:r>
      <w:sdt>
        <w:sdtPr>
          <w:rPr>
            <w:rFonts w:cs="Times"/>
            <w:color w:val="000000"/>
            <w:vertAlign w:val="superscript"/>
          </w:rPr>
          <w:tag w:val="MENDELEY_CITATION_6b4bddc2-5e72-41bd-9db3-d8048ec43c48"/>
          <w:id w:val="1068689736"/>
          <w:placeholder>
            <w:docPart w:val="DefaultPlaceholder_-1854013440"/>
          </w:placeholder>
        </w:sdtPr>
        <w:sdtEndPr/>
        <w:sdtContent>
          <w:r w:rsidR="004569F9" w:rsidRPr="001134B0">
            <w:rPr>
              <w:rStyle w:val="EndnoteReference"/>
              <w:rFonts w:cs="Times"/>
              <w:color w:val="000000"/>
            </w:rPr>
            <w:endnoteReference w:id="19"/>
          </w:r>
        </w:sdtContent>
      </w:sdt>
      <w:r w:rsidR="000345C6" w:rsidRPr="001134B0">
        <w:rPr>
          <w:rFonts w:cs="Times"/>
        </w:rPr>
        <w:t xml:space="preserve"> </w:t>
      </w:r>
      <w:r w:rsidR="00683397">
        <w:rPr>
          <w:rFonts w:cs="Times"/>
        </w:rPr>
        <w:t>W</w:t>
      </w:r>
      <w:r w:rsidR="00683397" w:rsidRPr="001134B0">
        <w:rPr>
          <w:rFonts w:cs="Times"/>
          <w:shd w:val="clear" w:color="auto" w:fill="FFFFFF"/>
        </w:rPr>
        <w:t>hile relationships have been explored previously between cytotoxicity data and oral or intravenous acute toxicity</w:t>
      </w:r>
      <w:r w:rsidR="00683397" w:rsidRPr="001134B0">
        <w:rPr>
          <w:rStyle w:val="EndnoteReference"/>
          <w:rFonts w:cs="Times"/>
          <w:shd w:val="clear" w:color="auto" w:fill="FFFFFF"/>
        </w:rPr>
        <w:endnoteReference w:id="20"/>
      </w:r>
      <w:r w:rsidR="00683397" w:rsidRPr="001134B0">
        <w:rPr>
          <w:rFonts w:cs="Times"/>
          <w:shd w:val="clear" w:color="auto" w:fill="FFFFFF"/>
        </w:rPr>
        <w:t xml:space="preserve"> only about 70% of compounds showed proportionality between both endpoints. Such deviations could arise because the </w:t>
      </w:r>
      <w:r w:rsidR="00683397" w:rsidRPr="001134B0">
        <w:rPr>
          <w:rFonts w:cs="Times"/>
          <w:i/>
          <w:iCs/>
          <w:shd w:val="clear" w:color="auto" w:fill="FFFFFF"/>
        </w:rPr>
        <w:t>in vitro</w:t>
      </w:r>
      <w:r w:rsidR="00683397" w:rsidRPr="001134B0">
        <w:rPr>
          <w:rFonts w:cs="Times"/>
          <w:shd w:val="clear" w:color="auto" w:fill="FFFFFF"/>
        </w:rPr>
        <w:t xml:space="preserve"> </w:t>
      </w:r>
      <w:r w:rsidR="00F026CC" w:rsidRPr="001134B0">
        <w:rPr>
          <w:rFonts w:cs="Times"/>
          <w:shd w:val="clear" w:color="auto" w:fill="FFFFFF"/>
        </w:rPr>
        <w:t xml:space="preserve">dose </w:t>
      </w:r>
      <w:r w:rsidR="00683397" w:rsidRPr="001134B0">
        <w:rPr>
          <w:rFonts w:cs="Times"/>
          <w:shd w:val="clear" w:color="auto" w:fill="FFFFFF"/>
        </w:rPr>
        <w:t xml:space="preserve">may be completely irrelevant to target organ exposure </w:t>
      </w:r>
      <w:r w:rsidR="00683397" w:rsidRPr="001134B0">
        <w:rPr>
          <w:rFonts w:cs="Times"/>
          <w:i/>
          <w:iCs/>
          <w:shd w:val="clear" w:color="auto" w:fill="FFFFFF"/>
        </w:rPr>
        <w:t>in vivo</w:t>
      </w:r>
      <w:r w:rsidR="00683397" w:rsidRPr="001134B0">
        <w:rPr>
          <w:rFonts w:cs="Times"/>
          <w:shd w:val="clear" w:color="auto" w:fill="FFFFFF"/>
        </w:rPr>
        <w:t xml:space="preserve"> (among other possible factors). </w:t>
      </w:r>
      <w:r w:rsidR="000345C6" w:rsidRPr="001134B0">
        <w:rPr>
          <w:rFonts w:cs="Times"/>
        </w:rPr>
        <w:t xml:space="preserve">Previous models in cytotoxicity predictions have used many machine learning </w:t>
      </w:r>
      <w:r w:rsidR="00235907">
        <w:rPr>
          <w:rFonts w:cs="Times"/>
        </w:rPr>
        <w:t>approaches</w:t>
      </w:r>
      <w:r w:rsidR="000345C6" w:rsidRPr="001134B0">
        <w:rPr>
          <w:rFonts w:cs="Times"/>
        </w:rPr>
        <w:t xml:space="preserve"> such as </w:t>
      </w:r>
      <w:r w:rsidR="00095327" w:rsidRPr="001134B0">
        <w:rPr>
          <w:rFonts w:cs="Times"/>
        </w:rPr>
        <w:t>R</w:t>
      </w:r>
      <w:r w:rsidR="000345C6" w:rsidRPr="001134B0">
        <w:rPr>
          <w:rFonts w:cs="Times"/>
        </w:rPr>
        <w:t xml:space="preserve">andom </w:t>
      </w:r>
      <w:r w:rsidR="00095327" w:rsidRPr="001134B0">
        <w:rPr>
          <w:rFonts w:cs="Times"/>
        </w:rPr>
        <w:t>F</w:t>
      </w:r>
      <w:r w:rsidR="000345C6" w:rsidRPr="001134B0">
        <w:rPr>
          <w:rFonts w:cs="Times"/>
        </w:rPr>
        <w:t>orests</w:t>
      </w:r>
      <w:sdt>
        <w:sdtPr>
          <w:rPr>
            <w:rFonts w:cs="Times"/>
            <w:color w:val="000000"/>
            <w:vertAlign w:val="superscript"/>
          </w:rPr>
          <w:tag w:val="MENDELEY_CITATION_09a997d6-67d8-4e8a-bbd8-cf0d48c1ed83"/>
          <w:id w:val="-235477907"/>
          <w:placeholder>
            <w:docPart w:val="DefaultPlaceholder_-1854013440"/>
          </w:placeholder>
        </w:sdtPr>
        <w:sdtEndPr/>
        <w:sdtContent>
          <w:bookmarkStart w:id="3" w:name="_Ref46684867"/>
          <w:r w:rsidR="00397256" w:rsidRPr="001134B0">
            <w:rPr>
              <w:rStyle w:val="EndnoteReference"/>
              <w:rFonts w:cs="Times"/>
              <w:color w:val="000000"/>
            </w:rPr>
            <w:endnoteReference w:id="21"/>
          </w:r>
          <w:bookmarkEnd w:id="3"/>
          <w:r w:rsidR="00541495" w:rsidRPr="001134B0">
            <w:rPr>
              <w:rFonts w:cs="Times"/>
              <w:color w:val="000000"/>
              <w:vertAlign w:val="superscript"/>
            </w:rPr>
            <w:t>,</w:t>
          </w:r>
          <w:r w:rsidR="00541495" w:rsidRPr="001134B0">
            <w:rPr>
              <w:rStyle w:val="EndnoteReference"/>
              <w:rFonts w:cs="Times"/>
              <w:color w:val="000000"/>
            </w:rPr>
            <w:endnoteReference w:id="22"/>
          </w:r>
        </w:sdtContent>
      </w:sdt>
      <w:r w:rsidR="001E1791" w:rsidRPr="001134B0">
        <w:rPr>
          <w:rFonts w:cs="Times"/>
        </w:rPr>
        <w:t xml:space="preserve"> </w:t>
      </w:r>
      <w:r w:rsidR="000345C6" w:rsidRPr="001134B0">
        <w:rPr>
          <w:rFonts w:cs="Times"/>
        </w:rPr>
        <w:t>, Bayesian learning</w:t>
      </w:r>
      <w:sdt>
        <w:sdtPr>
          <w:rPr>
            <w:rFonts w:cs="Times"/>
            <w:color w:val="000000"/>
            <w:vertAlign w:val="superscript"/>
          </w:rPr>
          <w:tag w:val="MENDELEY_CITATION_d766fb18-525e-41d6-8212-c2640009010b"/>
          <w:id w:val="1798333555"/>
          <w:placeholder>
            <w:docPart w:val="DefaultPlaceholder_-1854013440"/>
          </w:placeholder>
        </w:sdtPr>
        <w:sdtEndPr/>
        <w:sdtContent>
          <w:bookmarkStart w:id="4" w:name="_Ref46684955"/>
          <w:r w:rsidR="00FA36DA" w:rsidRPr="001134B0">
            <w:rPr>
              <w:rStyle w:val="EndnoteReference"/>
              <w:rFonts w:cs="Times"/>
              <w:color w:val="000000"/>
            </w:rPr>
            <w:endnoteReference w:id="23"/>
          </w:r>
          <w:bookmarkEnd w:id="4"/>
          <w:r w:rsidR="00FA36DA" w:rsidRPr="001134B0">
            <w:rPr>
              <w:rFonts w:cs="Times"/>
              <w:color w:val="000000"/>
              <w:vertAlign w:val="superscript"/>
            </w:rPr>
            <w:t xml:space="preserve"> </w:t>
          </w:r>
        </w:sdtContent>
      </w:sdt>
      <w:r w:rsidR="000345C6" w:rsidRPr="001134B0">
        <w:rPr>
          <w:rFonts w:cs="Times"/>
        </w:rPr>
        <w:t>and deep learnin</w:t>
      </w:r>
      <w:r w:rsidR="00EC5003" w:rsidRPr="001134B0">
        <w:rPr>
          <w:rFonts w:cs="Times"/>
        </w:rPr>
        <w:t>g</w:t>
      </w:r>
      <w:r w:rsidR="00550952" w:rsidRPr="001134B0">
        <w:rPr>
          <w:rStyle w:val="EndnoteReference"/>
          <w:rFonts w:cs="Times"/>
        </w:rPr>
        <w:endnoteReference w:id="24"/>
      </w:r>
      <w:r w:rsidR="000345C6" w:rsidRPr="001134B0">
        <w:rPr>
          <w:rFonts w:cs="Times"/>
          <w:vertAlign w:val="superscript"/>
        </w:rPr>
        <w:t xml:space="preserve"> </w:t>
      </w:r>
      <w:r w:rsidR="00B2134D" w:rsidRPr="00B2134D">
        <w:rPr>
          <w:rFonts w:cs="Times"/>
        </w:rPr>
        <w:t>;</w:t>
      </w:r>
      <w:r w:rsidR="00B2134D">
        <w:rPr>
          <w:rFonts w:cs="Times"/>
        </w:rPr>
        <w:t xml:space="preserve"> </w:t>
      </w:r>
      <w:r w:rsidR="00B2134D" w:rsidRPr="00B2134D">
        <w:rPr>
          <w:rFonts w:cs="Times"/>
        </w:rPr>
        <w:t xml:space="preserve">these have been trained on features such as </w:t>
      </w:r>
      <w:r w:rsidR="000345C6" w:rsidRPr="001134B0">
        <w:rPr>
          <w:rFonts w:cs="Times"/>
        </w:rPr>
        <w:t xml:space="preserve">physicochemical </w:t>
      </w:r>
      <w:r w:rsidR="00C870F5" w:rsidRPr="001134B0">
        <w:rPr>
          <w:rFonts w:cs="Times"/>
        </w:rPr>
        <w:t>descriptors</w:t>
      </w:r>
      <w:r w:rsidR="000345C6" w:rsidRPr="001134B0">
        <w:rPr>
          <w:rFonts w:cs="Times"/>
        </w:rPr>
        <w:t>, molecular fingerprints</w:t>
      </w:r>
      <w:r w:rsidR="00095327" w:rsidRPr="001134B0">
        <w:rPr>
          <w:rFonts w:cs="Times"/>
        </w:rPr>
        <w:t>, as well as</w:t>
      </w:r>
      <w:r w:rsidR="000345C6" w:rsidRPr="001134B0">
        <w:rPr>
          <w:rFonts w:cs="Times"/>
        </w:rPr>
        <w:t xml:space="preserve"> cell line </w:t>
      </w:r>
      <w:r w:rsidR="00B06F52" w:rsidRPr="001134B0">
        <w:rPr>
          <w:rFonts w:cs="Times"/>
        </w:rPr>
        <w:t>descriptors of mRNA expression data</w:t>
      </w:r>
      <w:r w:rsidR="00BF124C" w:rsidRPr="001134B0">
        <w:rPr>
          <w:rFonts w:cs="Times"/>
        </w:rPr>
        <w:t>.</w:t>
      </w:r>
      <w:r w:rsidR="00BF124C" w:rsidRPr="001134B0">
        <w:rPr>
          <w:rStyle w:val="EndnoteReference"/>
          <w:rFonts w:cs="Times"/>
        </w:rPr>
        <w:endnoteReference w:id="25"/>
      </w:r>
      <w:r w:rsidR="000345C6" w:rsidRPr="001134B0">
        <w:rPr>
          <w:rFonts w:cs="Times"/>
        </w:rPr>
        <w:t xml:space="preserve"> In recent years, </w:t>
      </w:r>
      <w:r w:rsidR="00095327" w:rsidRPr="001134B0">
        <w:rPr>
          <w:rFonts w:cs="Times"/>
        </w:rPr>
        <w:t xml:space="preserve">models have started to </w:t>
      </w:r>
      <w:r w:rsidR="00155A99">
        <w:rPr>
          <w:rFonts w:cs="Times"/>
        </w:rPr>
        <w:t xml:space="preserve">also </w:t>
      </w:r>
      <w:r w:rsidR="00095327" w:rsidRPr="001134B0">
        <w:rPr>
          <w:rFonts w:cs="Times"/>
        </w:rPr>
        <w:t xml:space="preserve">use other high-dimensional readouts for toxicity prediction, such as </w:t>
      </w:r>
      <w:r w:rsidR="00155A99">
        <w:rPr>
          <w:rFonts w:cs="Times"/>
        </w:rPr>
        <w:t>th</w:t>
      </w:r>
      <w:r w:rsidR="00C708CC">
        <w:rPr>
          <w:rFonts w:cs="Times"/>
        </w:rPr>
        <w:t>e</w:t>
      </w:r>
      <w:r w:rsidR="00095327" w:rsidRPr="001134B0">
        <w:rPr>
          <w:rFonts w:cs="Times"/>
        </w:rPr>
        <w:t xml:space="preserve"> combin</w:t>
      </w:r>
      <w:r w:rsidR="00155A99">
        <w:rPr>
          <w:rFonts w:cs="Times"/>
        </w:rPr>
        <w:t>ation</w:t>
      </w:r>
      <w:r w:rsidR="000345C6" w:rsidRPr="001134B0">
        <w:rPr>
          <w:rFonts w:cs="Times"/>
        </w:rPr>
        <w:t xml:space="preserve"> </w:t>
      </w:r>
      <w:r w:rsidR="00D41152">
        <w:rPr>
          <w:rFonts w:cs="Times"/>
        </w:rPr>
        <w:t xml:space="preserve">between </w:t>
      </w:r>
      <w:r w:rsidR="00C708CC">
        <w:rPr>
          <w:rFonts w:cs="Times"/>
        </w:rPr>
        <w:t>molecular fingerprints</w:t>
      </w:r>
      <w:r w:rsidR="000345C6" w:rsidRPr="001134B0">
        <w:rPr>
          <w:rFonts w:cs="Times"/>
        </w:rPr>
        <w:t xml:space="preserve"> </w:t>
      </w:r>
      <w:r w:rsidR="00D41152">
        <w:rPr>
          <w:rFonts w:cs="Times"/>
        </w:rPr>
        <w:t>and</w:t>
      </w:r>
      <w:r w:rsidR="000345C6" w:rsidRPr="001134B0">
        <w:rPr>
          <w:rFonts w:cs="Times"/>
        </w:rPr>
        <w:t xml:space="preserve"> gene expression data.</w:t>
      </w:r>
      <w:r w:rsidR="00F97DBA" w:rsidRPr="001134B0">
        <w:rPr>
          <w:rStyle w:val="EndnoteReference"/>
          <w:rFonts w:cs="Times"/>
        </w:rPr>
        <w:endnoteReference w:id="26"/>
      </w:r>
      <w:r w:rsidR="000345C6" w:rsidRPr="001134B0">
        <w:rPr>
          <w:rFonts w:cs="Times"/>
          <w:vertAlign w:val="superscript"/>
        </w:rPr>
        <w:t xml:space="preserve"> </w:t>
      </w:r>
      <w:r w:rsidR="00A92785" w:rsidRPr="001134B0">
        <w:rPr>
          <w:rFonts w:cs="Times"/>
        </w:rPr>
        <w:t xml:space="preserve">However, the use of morphological </w:t>
      </w:r>
      <w:r w:rsidR="006F37E0">
        <w:rPr>
          <w:rFonts w:cs="Times"/>
        </w:rPr>
        <w:t>descriptors</w:t>
      </w:r>
      <w:r w:rsidR="00A92785" w:rsidRPr="001134B0">
        <w:rPr>
          <w:rFonts w:cs="Times"/>
        </w:rPr>
        <w:t xml:space="preserve"> in modelling </w:t>
      </w:r>
      <w:r w:rsidR="00C6783B" w:rsidRPr="001134B0">
        <w:rPr>
          <w:rFonts w:cs="Times"/>
        </w:rPr>
        <w:t xml:space="preserve">toxicity endpoints is yet to be explored in detail. </w:t>
      </w:r>
      <w:r w:rsidR="00F937DC" w:rsidRPr="00F937DC">
        <w:rPr>
          <w:rFonts w:cs="Times"/>
        </w:rPr>
        <w:t xml:space="preserve">A study that particularly motivated the current work </w:t>
      </w:r>
      <w:r w:rsidR="00920297" w:rsidRPr="001134B0">
        <w:rPr>
          <w:rFonts w:cs="Times"/>
        </w:rPr>
        <w:t>demonstrated the application of using cell morphology and cell proliferation markers in identifying cytotoxic compounds.</w:t>
      </w:r>
      <w:sdt>
        <w:sdtPr>
          <w:rPr>
            <w:rFonts w:cs="Times"/>
            <w:color w:val="000000"/>
            <w:vertAlign w:val="superscript"/>
          </w:rPr>
          <w:tag w:val="MENDELEY_CITATION_523c7a7a-2185-42e9-8cf5-32039ef53c1f"/>
          <w:id w:val="1576780948"/>
          <w:placeholder>
            <w:docPart w:val="DefaultPlaceholder_-1854013440"/>
          </w:placeholder>
        </w:sdtPr>
        <w:sdtEndPr/>
        <w:sdtContent>
          <w:bookmarkStart w:id="5" w:name="_Ref59029464"/>
          <w:r w:rsidR="00747466" w:rsidRPr="001134B0">
            <w:rPr>
              <w:rStyle w:val="EndnoteReference"/>
              <w:rFonts w:cs="Times"/>
              <w:color w:val="000000"/>
            </w:rPr>
            <w:endnoteReference w:id="27"/>
          </w:r>
          <w:bookmarkEnd w:id="5"/>
        </w:sdtContent>
      </w:sdt>
      <w:r w:rsidR="009D42CF" w:rsidRPr="001134B0">
        <w:rPr>
          <w:rFonts w:cs="Times"/>
        </w:rPr>
        <w:t xml:space="preserve"> </w:t>
      </w:r>
      <w:r w:rsidR="00F937DC">
        <w:rPr>
          <w:rFonts w:cs="Times"/>
        </w:rPr>
        <w:t>The authors</w:t>
      </w:r>
      <w:r w:rsidR="00920297" w:rsidRPr="001134B0">
        <w:rPr>
          <w:rFonts w:cs="Times"/>
        </w:rPr>
        <w:t xml:space="preserve"> developed a staining and image analysis protocol which was applied to a novel chemical library consisted of 329 </w:t>
      </w:r>
      <w:r w:rsidR="00B96823" w:rsidRPr="001134B0">
        <w:rPr>
          <w:rFonts w:cs="Times"/>
        </w:rPr>
        <w:t>chemically</w:t>
      </w:r>
      <w:r w:rsidR="00920297" w:rsidRPr="001134B0">
        <w:rPr>
          <w:rFonts w:cs="Times"/>
        </w:rPr>
        <w:t xml:space="preserve"> diverse compounds. Using the changes observed in nuclear morphology, cell shape and proliferation, they were able to identify compounds </w:t>
      </w:r>
      <w:r w:rsidR="009B582A">
        <w:rPr>
          <w:rFonts w:cs="Times"/>
        </w:rPr>
        <w:t>with</w:t>
      </w:r>
      <w:r w:rsidR="00920297" w:rsidRPr="001134B0">
        <w:rPr>
          <w:rFonts w:cs="Times"/>
        </w:rPr>
        <w:t xml:space="preserve"> adverse cellular effects such as cell loss</w:t>
      </w:r>
      <w:r w:rsidR="0066027E">
        <w:rPr>
          <w:rFonts w:cs="Times"/>
        </w:rPr>
        <w:t xml:space="preserve"> or</w:t>
      </w:r>
      <w:r w:rsidR="00920297" w:rsidRPr="001134B0">
        <w:rPr>
          <w:rFonts w:cs="Times"/>
        </w:rPr>
        <w:t xml:space="preserve"> sub-lethal alteration to cell morphology or cell proliferation with hit rates of 10.0% and 3.6% respectively.</w:t>
      </w:r>
      <w:r w:rsidR="00221E21" w:rsidRPr="001134B0">
        <w:rPr>
          <w:rFonts w:cs="Times"/>
        </w:rPr>
        <w:t xml:space="preserve"> These rates although lower than other studies</w:t>
      </w:r>
      <w:r w:rsidR="00747466" w:rsidRPr="001134B0">
        <w:rPr>
          <w:rStyle w:val="EndnoteReference"/>
          <w:rFonts w:cs="Times"/>
        </w:rPr>
        <w:endnoteReference w:id="28"/>
      </w:r>
      <w:r w:rsidR="00221E21" w:rsidRPr="001134B0">
        <w:rPr>
          <w:rFonts w:cs="Times"/>
        </w:rPr>
        <w:t xml:space="preserve">  use</w:t>
      </w:r>
      <w:r w:rsidR="00920297" w:rsidRPr="001134B0">
        <w:rPr>
          <w:rFonts w:cs="Times"/>
        </w:rPr>
        <w:t xml:space="preserve"> </w:t>
      </w:r>
      <w:r w:rsidR="00221E21" w:rsidRPr="001134B0">
        <w:rPr>
          <w:rFonts w:cs="Times"/>
        </w:rPr>
        <w:t xml:space="preserve">non-liver derived cell line to examine cytotoxicity by high content imaging in an unenriched chemical library. </w:t>
      </w:r>
      <w:r w:rsidR="00920297" w:rsidRPr="001134B0">
        <w:rPr>
          <w:rFonts w:cs="Times"/>
        </w:rPr>
        <w:t>Their study further suggests that cell morphology</w:t>
      </w:r>
      <w:r w:rsidR="00952345" w:rsidRPr="001134B0">
        <w:rPr>
          <w:rFonts w:cs="Times"/>
        </w:rPr>
        <w:t xml:space="preserve"> and</w:t>
      </w:r>
      <w:proofErr w:type="gramStart"/>
      <w:r w:rsidR="00C05619" w:rsidRPr="001134B0">
        <w:rPr>
          <w:rFonts w:cs="Times"/>
        </w:rPr>
        <w:t>,</w:t>
      </w:r>
      <w:r w:rsidR="00952345" w:rsidRPr="001134B0">
        <w:rPr>
          <w:rFonts w:cs="Times"/>
        </w:rPr>
        <w:t xml:space="preserve"> </w:t>
      </w:r>
      <w:r w:rsidR="007E6344" w:rsidRPr="001134B0">
        <w:rPr>
          <w:rFonts w:cs="Times"/>
        </w:rPr>
        <w:t>in particular</w:t>
      </w:r>
      <w:r w:rsidR="00C05619" w:rsidRPr="001134B0">
        <w:rPr>
          <w:rFonts w:cs="Times"/>
        </w:rPr>
        <w:t>,</w:t>
      </w:r>
      <w:r w:rsidR="007E6344" w:rsidRPr="001134B0">
        <w:rPr>
          <w:rFonts w:cs="Times"/>
        </w:rPr>
        <w:t xml:space="preserve"> </w:t>
      </w:r>
      <w:r w:rsidR="00952345" w:rsidRPr="001134B0">
        <w:rPr>
          <w:rFonts w:cs="Times"/>
        </w:rPr>
        <w:t>nuclear</w:t>
      </w:r>
      <w:proofErr w:type="gramEnd"/>
      <w:r w:rsidR="00920297" w:rsidRPr="001134B0">
        <w:rPr>
          <w:rFonts w:cs="Times"/>
        </w:rPr>
        <w:t xml:space="preserve"> morphology can be used to identify adverse cellular effects</w:t>
      </w:r>
      <w:r w:rsidR="00AE7958">
        <w:rPr>
          <w:rFonts w:cs="Times"/>
        </w:rPr>
        <w:t>;</w:t>
      </w:r>
      <w:r w:rsidR="00095327" w:rsidRPr="001134B0">
        <w:rPr>
          <w:rFonts w:cs="Times"/>
        </w:rPr>
        <w:t xml:space="preserve"> we explore</w:t>
      </w:r>
      <w:r w:rsidR="002A142B">
        <w:rPr>
          <w:rFonts w:cs="Times"/>
        </w:rPr>
        <w:t>d</w:t>
      </w:r>
      <w:r w:rsidR="00AE7958">
        <w:rPr>
          <w:rFonts w:cs="Times"/>
        </w:rPr>
        <w:t xml:space="preserve"> this aspect</w:t>
      </w:r>
      <w:r w:rsidR="00095327" w:rsidRPr="001134B0">
        <w:rPr>
          <w:rFonts w:cs="Times"/>
        </w:rPr>
        <w:t xml:space="preserve"> further here using Cell Painting readouts to predict cytotoxicity</w:t>
      </w:r>
      <w:r w:rsidR="00A17C90" w:rsidRPr="001134B0">
        <w:rPr>
          <w:rFonts w:cs="Times"/>
        </w:rPr>
        <w:t>-</w:t>
      </w:r>
      <w:r w:rsidR="00095327" w:rsidRPr="001134B0">
        <w:rPr>
          <w:rFonts w:cs="Times"/>
        </w:rPr>
        <w:t xml:space="preserve"> and proliferation-related endpoints</w:t>
      </w:r>
      <w:r w:rsidR="00920297" w:rsidRPr="001134B0">
        <w:rPr>
          <w:rFonts w:cs="Times"/>
        </w:rPr>
        <w:t>.</w:t>
      </w:r>
      <w:r w:rsidR="00B46B52" w:rsidRPr="001134B0">
        <w:rPr>
          <w:rFonts w:cs="Times"/>
        </w:rPr>
        <w:t xml:space="preserve"> Given the wide variety of mechanisms which can lead to cytotoxicity</w:t>
      </w:r>
      <w:r w:rsidR="001C4835" w:rsidRPr="001134B0">
        <w:rPr>
          <w:rFonts w:cs="Times"/>
        </w:rPr>
        <w:t>,</w:t>
      </w:r>
      <w:r w:rsidR="0095612C" w:rsidRPr="001134B0">
        <w:rPr>
          <w:rStyle w:val="EndnoteReference"/>
          <w:rFonts w:cs="Times"/>
        </w:rPr>
        <w:endnoteReference w:id="29"/>
      </w:r>
      <w:r w:rsidR="0095612C" w:rsidRPr="001134B0">
        <w:rPr>
          <w:rFonts w:cs="Times"/>
        </w:rPr>
        <w:t xml:space="preserve"> </w:t>
      </w:r>
      <w:r w:rsidR="00B46B52" w:rsidRPr="001134B0">
        <w:rPr>
          <w:rFonts w:cs="Times"/>
        </w:rPr>
        <w:t>it seems plausible that single biological endpoints (</w:t>
      </w:r>
      <w:r w:rsidR="00D2447A" w:rsidRPr="001134B0">
        <w:rPr>
          <w:rFonts w:cs="Times"/>
        </w:rPr>
        <w:t>for example,</w:t>
      </w:r>
      <w:r w:rsidR="00B46B52" w:rsidRPr="001134B0">
        <w:rPr>
          <w:rFonts w:cs="Times"/>
        </w:rPr>
        <w:t xml:space="preserve"> based on targets) have insufficient coverage to predict this endpoint, which of course can also be applied to other higher-level effects, such as adverse events on an organism level etc.</w:t>
      </w:r>
    </w:p>
    <w:p w14:paraId="68253E92" w14:textId="11846FC2" w:rsidR="00B46B52" w:rsidRPr="001134B0" w:rsidRDefault="00DC7784" w:rsidP="004E4465">
      <w:pPr>
        <w:pStyle w:val="TAMainText"/>
        <w:ind w:firstLine="0"/>
        <w:rPr>
          <w:rFonts w:cs="Times"/>
          <w:b/>
          <w:bCs/>
        </w:rPr>
      </w:pPr>
      <w:r w:rsidRPr="001134B0">
        <w:rPr>
          <w:rFonts w:cs="Times"/>
        </w:rPr>
        <w:t xml:space="preserve">In this study, we </w:t>
      </w:r>
      <w:r>
        <w:rPr>
          <w:rFonts w:cs="Times"/>
        </w:rPr>
        <w:t>have</w:t>
      </w:r>
      <w:r w:rsidRPr="001134B0">
        <w:rPr>
          <w:rFonts w:cs="Times"/>
        </w:rPr>
        <w:t xml:space="preserve"> evaluate</w:t>
      </w:r>
      <w:r>
        <w:rPr>
          <w:rFonts w:cs="Times"/>
        </w:rPr>
        <w:t>d</w:t>
      </w:r>
      <w:r w:rsidRPr="001134B0">
        <w:rPr>
          <w:rFonts w:cs="Times"/>
        </w:rPr>
        <w:t xml:space="preserve"> </w:t>
      </w:r>
      <w:r w:rsidR="00B612C7">
        <w:rPr>
          <w:rFonts w:cs="Times"/>
        </w:rPr>
        <w:t xml:space="preserve">the </w:t>
      </w:r>
      <w:r w:rsidR="00B612C7" w:rsidRPr="00B612C7">
        <w:rPr>
          <w:rFonts w:cs="Times"/>
        </w:rPr>
        <w:t xml:space="preserve"> performance of models based on </w:t>
      </w:r>
      <w:r w:rsidR="00D6589E">
        <w:rPr>
          <w:rFonts w:cs="Times"/>
        </w:rPr>
        <w:t>m</w:t>
      </w:r>
      <w:r w:rsidR="00D6589E" w:rsidRPr="00D6589E">
        <w:rPr>
          <w:rFonts w:cs="Times"/>
        </w:rPr>
        <w:t xml:space="preserve">orphological </w:t>
      </w:r>
      <w:r w:rsidR="00D6589E">
        <w:rPr>
          <w:rFonts w:cs="Times"/>
        </w:rPr>
        <w:t>descriptors</w:t>
      </w:r>
      <w:r w:rsidR="00D6589E" w:rsidRPr="00D6589E">
        <w:rPr>
          <w:rFonts w:cs="Times"/>
        </w:rPr>
        <w:t xml:space="preserve"> </w:t>
      </w:r>
      <w:r w:rsidR="00C0520F">
        <w:rPr>
          <w:rFonts w:cs="Times"/>
        </w:rPr>
        <w:t>from</w:t>
      </w:r>
      <w:r w:rsidR="00D6589E" w:rsidRPr="00D6589E">
        <w:rPr>
          <w:rFonts w:cs="Times"/>
        </w:rPr>
        <w:t xml:space="preserve"> the Cell Painting </w:t>
      </w:r>
      <w:r w:rsidR="00C0520F">
        <w:rPr>
          <w:rFonts w:cs="Times"/>
        </w:rPr>
        <w:t>assay</w:t>
      </w:r>
      <w:r w:rsidR="00D6589E" w:rsidRPr="00D6589E">
        <w:rPr>
          <w:rFonts w:cs="Times"/>
        </w:rPr>
        <w:t xml:space="preserve"> for the prediction of results from</w:t>
      </w:r>
      <w:r w:rsidR="00C0520F">
        <w:rPr>
          <w:rFonts w:cs="Times"/>
        </w:rPr>
        <w:t xml:space="preserve"> 12 </w:t>
      </w:r>
      <w:r w:rsidRPr="001134B0">
        <w:rPr>
          <w:rFonts w:cs="Times"/>
        </w:rPr>
        <w:t xml:space="preserve">cytotoxicity- and proliferation-related </w:t>
      </w:r>
      <w:r w:rsidRPr="001134B0">
        <w:rPr>
          <w:rFonts w:cs="Times"/>
          <w:i/>
          <w:iCs/>
        </w:rPr>
        <w:t>in vitro</w:t>
      </w:r>
      <w:r w:rsidRPr="001134B0">
        <w:rPr>
          <w:rFonts w:cs="Times"/>
        </w:rPr>
        <w:t xml:space="preserve"> assa</w:t>
      </w:r>
      <w:r w:rsidR="00866FE5">
        <w:rPr>
          <w:rFonts w:cs="Times"/>
        </w:rPr>
        <w:t>ys</w:t>
      </w:r>
      <w:r w:rsidRPr="001134B0">
        <w:rPr>
          <w:rFonts w:cs="Times"/>
        </w:rPr>
        <w:t xml:space="preserve">. </w:t>
      </w:r>
      <w:r w:rsidR="000879E9" w:rsidRPr="001134B0">
        <w:rPr>
          <w:rFonts w:cs="Times"/>
        </w:rPr>
        <w:t>Additionally, we determine</w:t>
      </w:r>
      <w:r w:rsidR="00241CF4" w:rsidRPr="001134B0">
        <w:rPr>
          <w:rFonts w:cs="Times"/>
        </w:rPr>
        <w:t>d</w:t>
      </w:r>
      <w:r w:rsidR="000879E9" w:rsidRPr="001134B0">
        <w:rPr>
          <w:rFonts w:cs="Times"/>
        </w:rPr>
        <w:t xml:space="preserve"> if the combination of </w:t>
      </w:r>
      <w:r w:rsidR="00062750" w:rsidRPr="001134B0">
        <w:rPr>
          <w:rFonts w:cs="Times"/>
        </w:rPr>
        <w:t xml:space="preserve">Cell Painting </w:t>
      </w:r>
      <w:r w:rsidR="000879E9" w:rsidRPr="001134B0">
        <w:rPr>
          <w:rFonts w:cs="Times"/>
        </w:rPr>
        <w:t xml:space="preserve">with other physicochemical and </w:t>
      </w:r>
      <w:r w:rsidR="00866FE5">
        <w:rPr>
          <w:rFonts w:cs="Times"/>
        </w:rPr>
        <w:lastRenderedPageBreak/>
        <w:t>molecular</w:t>
      </w:r>
      <w:r w:rsidR="000879E9" w:rsidRPr="001134B0">
        <w:rPr>
          <w:rFonts w:cs="Times"/>
        </w:rPr>
        <w:t xml:space="preserve"> fingerprints </w:t>
      </w:r>
      <w:r w:rsidR="00976FBB">
        <w:rPr>
          <w:rFonts w:cs="Times"/>
        </w:rPr>
        <w:t>would improve the</w:t>
      </w:r>
      <w:r w:rsidR="000879E9" w:rsidRPr="001134B0">
        <w:rPr>
          <w:rFonts w:cs="Times"/>
        </w:rPr>
        <w:t xml:space="preserve"> </w:t>
      </w:r>
      <w:r w:rsidR="00976FBB">
        <w:rPr>
          <w:rFonts w:cs="Times"/>
        </w:rPr>
        <w:t>performance of ou</w:t>
      </w:r>
      <w:r w:rsidR="00866FE5">
        <w:rPr>
          <w:rFonts w:cs="Times"/>
        </w:rPr>
        <w:t>r</w:t>
      </w:r>
      <w:r w:rsidR="00976FBB">
        <w:rPr>
          <w:rFonts w:cs="Times"/>
        </w:rPr>
        <w:t xml:space="preserve"> models</w:t>
      </w:r>
      <w:r w:rsidR="00A37497">
        <w:rPr>
          <w:rFonts w:cs="Times"/>
        </w:rPr>
        <w:t xml:space="preserve">. Our approach is </w:t>
      </w:r>
      <w:r w:rsidR="00B46B52" w:rsidRPr="001134B0">
        <w:rPr>
          <w:rFonts w:cs="Times"/>
        </w:rPr>
        <w:t>generally applicable across endpoints related both to safety/toxicity and efficacy</w:t>
      </w:r>
      <w:r w:rsidR="000879E9" w:rsidRPr="001134B0">
        <w:rPr>
          <w:rFonts w:cs="Times"/>
        </w:rPr>
        <w:t xml:space="preserve">. </w:t>
      </w:r>
      <w:r w:rsidR="00B46B52" w:rsidRPr="001134B0">
        <w:rPr>
          <w:rFonts w:cs="Times"/>
          <w:b/>
          <w:bCs/>
        </w:rPr>
        <w:br w:type="page"/>
      </w:r>
    </w:p>
    <w:p w14:paraId="1B2D9067" w14:textId="645D3E20" w:rsidR="0090227C" w:rsidRPr="001134B0" w:rsidRDefault="0090227C" w:rsidP="00267A42">
      <w:pPr>
        <w:pStyle w:val="TAMainText"/>
        <w:ind w:firstLine="0"/>
        <w:rPr>
          <w:rFonts w:cs="Times"/>
          <w:b/>
          <w:bCs/>
        </w:rPr>
      </w:pPr>
      <w:r w:rsidRPr="001134B0">
        <w:rPr>
          <w:rFonts w:cs="Times"/>
          <w:b/>
          <w:bCs/>
        </w:rPr>
        <w:lastRenderedPageBreak/>
        <w:t>METHODS</w:t>
      </w:r>
    </w:p>
    <w:p w14:paraId="5F68732F" w14:textId="5B48BE7F" w:rsidR="00920297" w:rsidRPr="001134B0" w:rsidRDefault="00920297" w:rsidP="00920297">
      <w:pPr>
        <w:pStyle w:val="TAMainText"/>
        <w:rPr>
          <w:rFonts w:cs="Times"/>
        </w:rPr>
      </w:pPr>
      <w:r w:rsidRPr="001134B0">
        <w:rPr>
          <w:rFonts w:cs="Times"/>
        </w:rPr>
        <w:t xml:space="preserve">Cell Painting Data </w:t>
      </w:r>
    </w:p>
    <w:p w14:paraId="7175E700" w14:textId="3F14BDC6" w:rsidR="00DE186D" w:rsidRPr="001134B0" w:rsidRDefault="00D726DB" w:rsidP="008A0DD1">
      <w:pPr>
        <w:pStyle w:val="TAMainText"/>
        <w:rPr>
          <w:rFonts w:cs="Times"/>
        </w:rPr>
      </w:pPr>
      <w:r>
        <w:rPr>
          <w:rFonts w:cs="Times"/>
        </w:rPr>
        <w:t xml:space="preserve">The Cell Painting assay </w:t>
      </w:r>
      <w:r w:rsidR="00BC5BE0">
        <w:rPr>
          <w:rFonts w:cs="Times"/>
        </w:rPr>
        <w:t>contains</w:t>
      </w:r>
      <w:r w:rsidR="00005E8E" w:rsidRPr="001134B0">
        <w:rPr>
          <w:rFonts w:cs="Times"/>
        </w:rPr>
        <w:t xml:space="preserve"> </w:t>
      </w:r>
      <w:r w:rsidR="00482872">
        <w:rPr>
          <w:rFonts w:cs="Times"/>
        </w:rPr>
        <w:t xml:space="preserve">30,616 </w:t>
      </w:r>
      <w:r w:rsidR="00DE186D" w:rsidRPr="001134B0">
        <w:rPr>
          <w:rFonts w:cs="Times"/>
        </w:rPr>
        <w:t>morphological profiles of small molecule perturbation</w:t>
      </w:r>
      <w:r w:rsidR="00005E8E" w:rsidRPr="001134B0">
        <w:rPr>
          <w:rFonts w:cs="Times"/>
        </w:rPr>
        <w:t>s</w:t>
      </w:r>
      <w:r w:rsidR="00DE186D" w:rsidRPr="001134B0">
        <w:rPr>
          <w:rFonts w:cs="Times"/>
        </w:rPr>
        <w:t>.</w:t>
      </w:r>
      <w:r w:rsidR="001C75A9" w:rsidRPr="001134B0">
        <w:rPr>
          <w:rStyle w:val="EndnoteReference"/>
          <w:rFonts w:cs="Times"/>
        </w:rPr>
        <w:endnoteReference w:id="30"/>
      </w:r>
      <w:r w:rsidR="001C75A9" w:rsidRPr="001134B0">
        <w:rPr>
          <w:rFonts w:cs="Times"/>
        </w:rPr>
        <w:t xml:space="preserve"> </w:t>
      </w:r>
      <w:r w:rsidR="00DE186D" w:rsidRPr="001134B0">
        <w:rPr>
          <w:rFonts w:cs="Times"/>
        </w:rPr>
        <w:t xml:space="preserve">A description of feature nomenclature can be found in the </w:t>
      </w:r>
      <w:proofErr w:type="spellStart"/>
      <w:r w:rsidR="00DE186D" w:rsidRPr="001134B0">
        <w:rPr>
          <w:rFonts w:cs="Times"/>
        </w:rPr>
        <w:t>CellProfiler</w:t>
      </w:r>
      <w:proofErr w:type="spellEnd"/>
      <w:r w:rsidR="00DE186D" w:rsidRPr="001134B0">
        <w:rPr>
          <w:rFonts w:cs="Times"/>
        </w:rPr>
        <w:t xml:space="preserve"> manual.</w:t>
      </w:r>
      <w:bookmarkStart w:id="6" w:name="_Ref56894764"/>
      <w:r w:rsidR="00B05408" w:rsidRPr="001134B0">
        <w:rPr>
          <w:rStyle w:val="EndnoteReference"/>
          <w:rFonts w:cs="Times"/>
        </w:rPr>
        <w:endnoteReference w:id="31"/>
      </w:r>
      <w:bookmarkEnd w:id="6"/>
      <w:r w:rsidR="00DE186D" w:rsidRPr="001134B0">
        <w:rPr>
          <w:rFonts w:cs="Times"/>
        </w:rPr>
        <w:t xml:space="preserve"> </w:t>
      </w:r>
      <w:r w:rsidR="007448BB" w:rsidRPr="001134B0">
        <w:rPr>
          <w:rFonts w:cs="Times"/>
        </w:rPr>
        <w:t>Using the protocol</w:t>
      </w:r>
      <w:r w:rsidR="00BC5BE0">
        <w:rPr>
          <w:rFonts w:cs="Times"/>
        </w:rPr>
        <w:t xml:space="preserve"> </w:t>
      </w:r>
      <w:r w:rsidR="007448BB" w:rsidRPr="001134B0">
        <w:rPr>
          <w:rFonts w:cs="Times"/>
        </w:rPr>
        <w:t xml:space="preserve">by </w:t>
      </w:r>
      <w:proofErr w:type="spellStart"/>
      <w:r w:rsidR="007448BB" w:rsidRPr="001134B0">
        <w:rPr>
          <w:rFonts w:cs="Times"/>
        </w:rPr>
        <w:t>Lapins</w:t>
      </w:r>
      <w:proofErr w:type="spellEnd"/>
      <w:r w:rsidR="007448BB" w:rsidRPr="001134B0">
        <w:rPr>
          <w:rFonts w:cs="Times"/>
        </w:rPr>
        <w:t xml:space="preserve"> et. al.</w:t>
      </w:r>
      <w:r w:rsidR="007448BB" w:rsidRPr="001134B0">
        <w:rPr>
          <w:rStyle w:val="EndnoteReference"/>
          <w:rFonts w:cs="Times"/>
        </w:rPr>
        <w:endnoteReference w:id="32"/>
      </w:r>
      <w:r w:rsidR="007448BB">
        <w:rPr>
          <w:rFonts w:cs="Times"/>
        </w:rPr>
        <w:t xml:space="preserve">, we </w:t>
      </w:r>
      <w:r w:rsidR="007448BB" w:rsidRPr="001134B0">
        <w:rPr>
          <w:rFonts w:cs="Times"/>
        </w:rPr>
        <w:t xml:space="preserve">developed image-based features </w:t>
      </w:r>
      <w:r w:rsidR="007448BB">
        <w:rPr>
          <w:rFonts w:cs="Times"/>
        </w:rPr>
        <w:t xml:space="preserve">by </w:t>
      </w:r>
      <w:r w:rsidR="007448BB" w:rsidRPr="001134B0">
        <w:rPr>
          <w:rFonts w:cs="Times"/>
        </w:rPr>
        <w:t>averaging numerical cellular features across each cell to produce a morphological profile for each sample (which of course would not consider readout distributions, and hence cellular subpopulations, in detail).</w:t>
      </w:r>
      <w:bookmarkStart w:id="7" w:name="_Ref59028574"/>
      <w:r w:rsidR="007448BB" w:rsidRPr="001134B0">
        <w:rPr>
          <w:rStyle w:val="EndnoteReference"/>
          <w:rFonts w:cs="Times"/>
        </w:rPr>
        <w:endnoteReference w:id="33"/>
      </w:r>
      <w:bookmarkEnd w:id="7"/>
      <w:r w:rsidR="007448BB">
        <w:rPr>
          <w:rFonts w:cs="Times"/>
        </w:rPr>
        <w:t xml:space="preserve"> </w:t>
      </w:r>
      <w:r w:rsidR="00950769">
        <w:rPr>
          <w:rFonts w:cs="Times"/>
        </w:rPr>
        <w:t>T</w:t>
      </w:r>
      <w:r w:rsidR="00DE186D" w:rsidRPr="001134B0">
        <w:rPr>
          <w:rFonts w:cs="Times"/>
        </w:rPr>
        <w:t xml:space="preserve">he Cell Painting data was split into control samples and treated samples and </w:t>
      </w:r>
      <w:r w:rsidR="004E49B9">
        <w:rPr>
          <w:rFonts w:cs="Times"/>
        </w:rPr>
        <w:t xml:space="preserve">thereafter </w:t>
      </w:r>
      <w:r w:rsidR="00DE186D" w:rsidRPr="001134B0">
        <w:rPr>
          <w:rFonts w:cs="Times"/>
        </w:rPr>
        <w:t>sorted by plate number. On a plate-by-plate basis, each value was centred by subtracting the mean of the control samples from the treated samples. Finally,</w:t>
      </w:r>
      <w:r w:rsidR="00950769">
        <w:rPr>
          <w:rFonts w:cs="Times"/>
        </w:rPr>
        <w:t xml:space="preserve"> for each compound,</w:t>
      </w:r>
      <w:r w:rsidR="00DE186D" w:rsidRPr="001134B0">
        <w:rPr>
          <w:rFonts w:cs="Times"/>
        </w:rPr>
        <w:t xml:space="preserve"> the mean of all values </w:t>
      </w:r>
      <w:r w:rsidR="005D344E">
        <w:rPr>
          <w:rFonts w:cs="Times"/>
        </w:rPr>
        <w:t>per</w:t>
      </w:r>
      <w:r w:rsidR="00DE186D" w:rsidRPr="001134B0">
        <w:rPr>
          <w:rFonts w:cs="Times"/>
        </w:rPr>
        <w:t xml:space="preserve"> feature was calculated thus </w:t>
      </w:r>
      <w:r w:rsidR="00150C3E" w:rsidRPr="001134B0">
        <w:rPr>
          <w:rFonts w:cs="Times"/>
        </w:rPr>
        <w:t>resulting in</w:t>
      </w:r>
      <w:r w:rsidR="0022530A" w:rsidRPr="001134B0">
        <w:rPr>
          <w:rFonts w:cs="Times"/>
        </w:rPr>
        <w:t xml:space="preserve"> a</w:t>
      </w:r>
      <w:r w:rsidR="00150C3E" w:rsidRPr="001134B0">
        <w:rPr>
          <w:rFonts w:cs="Times"/>
        </w:rPr>
        <w:t xml:space="preserve"> </w:t>
      </w:r>
      <w:r w:rsidR="00DE186D" w:rsidRPr="001134B0">
        <w:rPr>
          <w:rFonts w:cs="Times"/>
        </w:rPr>
        <w:t>single</w:t>
      </w:r>
      <w:r w:rsidR="00150C3E" w:rsidRPr="001134B0">
        <w:rPr>
          <w:rFonts w:cs="Times"/>
        </w:rPr>
        <w:t xml:space="preserve"> value</w:t>
      </w:r>
      <w:r w:rsidR="00DE186D" w:rsidRPr="001134B0">
        <w:rPr>
          <w:rFonts w:cs="Times"/>
        </w:rPr>
        <w:t xml:space="preserve"> for each feature.</w:t>
      </w:r>
      <w:r w:rsidR="00A16B4C" w:rsidRPr="001134B0">
        <w:rPr>
          <w:rFonts w:cs="Times"/>
        </w:rPr>
        <w:t xml:space="preserve"> </w:t>
      </w:r>
    </w:p>
    <w:p w14:paraId="389DFC82" w14:textId="0C5E526E" w:rsidR="00920297" w:rsidRPr="001134B0" w:rsidRDefault="0041107E" w:rsidP="00920297">
      <w:pPr>
        <w:pStyle w:val="TAMainText"/>
        <w:rPr>
          <w:rFonts w:cs="Times"/>
        </w:rPr>
      </w:pPr>
      <w:r w:rsidRPr="001134B0">
        <w:rPr>
          <w:rFonts w:cs="Times"/>
        </w:rPr>
        <w:t xml:space="preserve">Cytotoxicity and Proliferation </w:t>
      </w:r>
      <w:r w:rsidR="00005E8E" w:rsidRPr="001134B0">
        <w:rPr>
          <w:rFonts w:cs="Times"/>
        </w:rPr>
        <w:t>Annotations</w:t>
      </w:r>
    </w:p>
    <w:p w14:paraId="0358ECB0" w14:textId="740DA3EA" w:rsidR="00D018E4" w:rsidRPr="001134B0" w:rsidRDefault="00005E8E" w:rsidP="00D018E4">
      <w:pPr>
        <w:pStyle w:val="TAMainText"/>
        <w:rPr>
          <w:rFonts w:cs="Times"/>
        </w:rPr>
      </w:pPr>
      <w:r w:rsidRPr="001134B0">
        <w:rPr>
          <w:rFonts w:cs="Times"/>
        </w:rPr>
        <w:t>Endpoints annotations were</w:t>
      </w:r>
      <w:r w:rsidR="00A06F0E" w:rsidRPr="001134B0">
        <w:rPr>
          <w:rFonts w:cs="Times"/>
        </w:rPr>
        <w:t xml:space="preserve"> obtained from </w:t>
      </w:r>
      <w:r w:rsidRPr="001134B0">
        <w:rPr>
          <w:rFonts w:cs="Times"/>
        </w:rPr>
        <w:t xml:space="preserve">the </w:t>
      </w:r>
      <w:proofErr w:type="spellStart"/>
      <w:r w:rsidR="00A06F0E" w:rsidRPr="001134B0">
        <w:rPr>
          <w:rFonts w:cs="Times"/>
        </w:rPr>
        <w:t>MoleculeNet</w:t>
      </w:r>
      <w:proofErr w:type="spellEnd"/>
      <w:r w:rsidR="00A06F0E" w:rsidRPr="001134B0">
        <w:rPr>
          <w:rFonts w:cs="Times"/>
        </w:rPr>
        <w:t xml:space="preserve"> </w:t>
      </w:r>
      <w:proofErr w:type="spellStart"/>
      <w:r w:rsidR="00A06F0E" w:rsidRPr="001134B0">
        <w:rPr>
          <w:rFonts w:cs="Times"/>
        </w:rPr>
        <w:t>Tox</w:t>
      </w:r>
      <w:r w:rsidR="008753A6">
        <w:rPr>
          <w:rFonts w:cs="Times"/>
        </w:rPr>
        <w:t>C</w:t>
      </w:r>
      <w:r w:rsidR="00A06F0E" w:rsidRPr="001134B0">
        <w:rPr>
          <w:rFonts w:cs="Times"/>
        </w:rPr>
        <w:t>ast</w:t>
      </w:r>
      <w:proofErr w:type="spellEnd"/>
      <w:r w:rsidR="00A06F0E" w:rsidRPr="001134B0">
        <w:rPr>
          <w:rFonts w:cs="Times"/>
        </w:rPr>
        <w:t xml:space="preserve"> database.</w:t>
      </w:r>
      <w:r w:rsidR="00FA0A30" w:rsidRPr="001134B0">
        <w:rPr>
          <w:rStyle w:val="EndnoteReference"/>
          <w:rFonts w:cs="Times"/>
        </w:rPr>
        <w:endnoteReference w:id="34"/>
      </w:r>
      <w:r w:rsidR="00FA0A30" w:rsidRPr="001134B0">
        <w:rPr>
          <w:rFonts w:cs="Times"/>
          <w:vertAlign w:val="superscript"/>
        </w:rPr>
        <w:t>,</w:t>
      </w:r>
      <w:r w:rsidR="00FA0A30" w:rsidRPr="001134B0">
        <w:rPr>
          <w:rStyle w:val="EndnoteReference"/>
          <w:rFonts w:cs="Times"/>
        </w:rPr>
        <w:endnoteReference w:id="35"/>
      </w:r>
      <w:r w:rsidR="00FA0A30" w:rsidRPr="001134B0">
        <w:rPr>
          <w:rFonts w:cs="Times"/>
          <w:vertAlign w:val="superscript"/>
        </w:rPr>
        <w:t xml:space="preserve">  </w:t>
      </w:r>
      <w:r w:rsidR="00A06F0E" w:rsidRPr="001134B0">
        <w:rPr>
          <w:rFonts w:cs="Times"/>
        </w:rPr>
        <w:t>Th</w:t>
      </w:r>
      <w:r w:rsidR="00376C33">
        <w:rPr>
          <w:rFonts w:cs="Times"/>
        </w:rPr>
        <w:t>is database contains</w:t>
      </w:r>
      <w:r w:rsidR="00A06F0E" w:rsidRPr="001134B0">
        <w:rPr>
          <w:rFonts w:cs="Times"/>
        </w:rPr>
        <w:t xml:space="preserve"> qualitative results</w:t>
      </w:r>
      <w:r w:rsidR="001532E9">
        <w:rPr>
          <w:rFonts w:cs="Times"/>
        </w:rPr>
        <w:t xml:space="preserve"> </w:t>
      </w:r>
      <w:r w:rsidR="0007766E">
        <w:rPr>
          <w:rFonts w:cs="Times"/>
        </w:rPr>
        <w:t xml:space="preserve">from </w:t>
      </w:r>
      <w:proofErr w:type="spellStart"/>
      <w:r w:rsidR="0007766E" w:rsidRPr="001134B0">
        <w:rPr>
          <w:rFonts w:cs="Times"/>
        </w:rPr>
        <w:t>Tox</w:t>
      </w:r>
      <w:r w:rsidR="008753A6">
        <w:rPr>
          <w:rFonts w:cs="Times"/>
        </w:rPr>
        <w:t>C</w:t>
      </w:r>
      <w:r w:rsidR="0007766E" w:rsidRPr="001134B0">
        <w:rPr>
          <w:rFonts w:cs="Times"/>
        </w:rPr>
        <w:t>ast</w:t>
      </w:r>
      <w:proofErr w:type="spellEnd"/>
      <w:r w:rsidR="0007766E" w:rsidRPr="001134B0">
        <w:rPr>
          <w:rFonts w:cs="Times"/>
        </w:rPr>
        <w:t xml:space="preserve"> </w:t>
      </w:r>
      <w:r w:rsidR="0007766E" w:rsidRPr="001134B0">
        <w:rPr>
          <w:rFonts w:cs="Times"/>
          <w:i/>
          <w:iCs/>
        </w:rPr>
        <w:t>in vitro</w:t>
      </w:r>
      <w:r w:rsidR="0007766E" w:rsidRPr="001134B0">
        <w:rPr>
          <w:rFonts w:cs="Times"/>
        </w:rPr>
        <w:t xml:space="preserve"> high-throughput readouts </w:t>
      </w:r>
      <w:r w:rsidR="00C86EC4">
        <w:rPr>
          <w:rFonts w:cs="Times"/>
        </w:rPr>
        <w:t xml:space="preserve">based on the </w:t>
      </w:r>
      <w:r w:rsidR="00F679E1" w:rsidRPr="001134B0">
        <w:rPr>
          <w:rFonts w:cs="Times"/>
        </w:rPr>
        <w:t xml:space="preserve">binary </w:t>
      </w:r>
      <w:r w:rsidR="00AB1E21" w:rsidRPr="00AB1E21">
        <w:rPr>
          <w:rFonts w:cs="Times"/>
        </w:rPr>
        <w:t xml:space="preserve">assay </w:t>
      </w:r>
      <w:r w:rsidR="001532E9" w:rsidRPr="001532E9">
        <w:rPr>
          <w:rFonts w:cs="Times"/>
        </w:rPr>
        <w:t xml:space="preserve">activity </w:t>
      </w:r>
      <w:r w:rsidR="00AB1E21">
        <w:rPr>
          <w:rFonts w:cs="Times"/>
        </w:rPr>
        <w:t xml:space="preserve">(hit) </w:t>
      </w:r>
      <w:r w:rsidR="001532E9" w:rsidRPr="001532E9">
        <w:rPr>
          <w:rFonts w:cs="Times"/>
        </w:rPr>
        <w:t>call</w:t>
      </w:r>
      <w:r w:rsidR="00A06F0E" w:rsidRPr="001134B0">
        <w:rPr>
          <w:rFonts w:cs="Times"/>
        </w:rPr>
        <w:t>.</w:t>
      </w:r>
      <w:r w:rsidR="003A5E45" w:rsidRPr="001134B0">
        <w:rPr>
          <w:rStyle w:val="EndnoteReference"/>
          <w:rFonts w:cs="Times"/>
        </w:rPr>
        <w:endnoteReference w:id="36"/>
      </w:r>
      <w:r w:rsidR="00A06F0E" w:rsidRPr="001134B0" w:rsidDel="009A7AA6">
        <w:rPr>
          <w:rFonts w:cs="Times"/>
        </w:rPr>
        <w:t xml:space="preserve"> </w:t>
      </w:r>
      <w:r w:rsidR="00376C33">
        <w:rPr>
          <w:rFonts w:cs="Times"/>
        </w:rPr>
        <w:t>I</w:t>
      </w:r>
      <w:r w:rsidR="00A06F0E" w:rsidRPr="001134B0">
        <w:rPr>
          <w:rFonts w:cs="Times"/>
        </w:rPr>
        <w:t>n this proof-of-concept study, we stud</w:t>
      </w:r>
      <w:r w:rsidR="0007766E">
        <w:rPr>
          <w:rFonts w:cs="Times"/>
        </w:rPr>
        <w:t>ied</w:t>
      </w:r>
      <w:r w:rsidR="00A06F0E" w:rsidRPr="001134B0">
        <w:rPr>
          <w:rFonts w:cs="Times"/>
        </w:rPr>
        <w:t xml:space="preserve"> 1</w:t>
      </w:r>
      <w:r w:rsidR="00556023" w:rsidRPr="001134B0">
        <w:rPr>
          <w:rFonts w:cs="Times"/>
        </w:rPr>
        <w:t>2</w:t>
      </w:r>
      <w:r w:rsidR="00A06F0E" w:rsidRPr="001134B0">
        <w:rPr>
          <w:rFonts w:cs="Times"/>
        </w:rPr>
        <w:t xml:space="preserve"> </w:t>
      </w:r>
      <w:r w:rsidR="00A17C90" w:rsidRPr="001134B0">
        <w:rPr>
          <w:rFonts w:cs="Times"/>
        </w:rPr>
        <w:t xml:space="preserve">cytotoxicity- and proliferation-related </w:t>
      </w:r>
      <w:r w:rsidR="00A17C90" w:rsidRPr="001134B0">
        <w:rPr>
          <w:rFonts w:cs="Times"/>
          <w:i/>
          <w:iCs/>
        </w:rPr>
        <w:t>in vitro</w:t>
      </w:r>
      <w:r w:rsidR="00A17C90" w:rsidRPr="001134B0">
        <w:rPr>
          <w:rFonts w:cs="Times"/>
        </w:rPr>
        <w:t xml:space="preserve"> assays </w:t>
      </w:r>
      <w:r w:rsidR="00A06F0E" w:rsidRPr="001134B0">
        <w:rPr>
          <w:rFonts w:cs="Times"/>
        </w:rPr>
        <w:t>from 3 different technological platforms</w:t>
      </w:r>
      <w:r w:rsidRPr="001134B0">
        <w:rPr>
          <w:rFonts w:cs="Times"/>
        </w:rPr>
        <w:t>, namely</w:t>
      </w:r>
      <w:r w:rsidR="00A06F0E" w:rsidRPr="001134B0">
        <w:rPr>
          <w:rFonts w:cs="Times"/>
        </w:rPr>
        <w:t xml:space="preserve"> ACEA Biosciences (ACEA), </w:t>
      </w:r>
      <w:proofErr w:type="spellStart"/>
      <w:r w:rsidR="00A06F0E" w:rsidRPr="001134B0">
        <w:rPr>
          <w:rFonts w:cs="Times"/>
        </w:rPr>
        <w:t>Apredica</w:t>
      </w:r>
      <w:proofErr w:type="spellEnd"/>
      <w:r w:rsidR="00A06F0E" w:rsidRPr="001134B0">
        <w:rPr>
          <w:rFonts w:cs="Times"/>
        </w:rPr>
        <w:t xml:space="preserve"> (APR) and </w:t>
      </w:r>
      <w:proofErr w:type="spellStart"/>
      <w:r w:rsidR="00A06F0E" w:rsidRPr="001134B0">
        <w:rPr>
          <w:rFonts w:cs="Times"/>
        </w:rPr>
        <w:t>BioSeek</w:t>
      </w:r>
      <w:proofErr w:type="spellEnd"/>
      <w:r w:rsidR="00A06F0E" w:rsidRPr="001134B0">
        <w:rPr>
          <w:rFonts w:cs="Times"/>
        </w:rPr>
        <w:t xml:space="preserve"> (BSK) </w:t>
      </w:r>
      <w:r w:rsidRPr="001134B0">
        <w:rPr>
          <w:rFonts w:cs="Times"/>
        </w:rPr>
        <w:t xml:space="preserve"> which were meant to c</w:t>
      </w:r>
      <w:r w:rsidR="00376C33">
        <w:rPr>
          <w:rFonts w:cs="Times"/>
        </w:rPr>
        <w:t>over</w:t>
      </w:r>
      <w:r w:rsidRPr="001134B0">
        <w:rPr>
          <w:rFonts w:cs="Times"/>
        </w:rPr>
        <w:t xml:space="preserve"> </w:t>
      </w:r>
      <w:r w:rsidR="00A06F0E" w:rsidRPr="001134B0">
        <w:rPr>
          <w:rFonts w:cs="Times"/>
        </w:rPr>
        <w:t>a range of different cell lines</w:t>
      </w:r>
      <w:r w:rsidRPr="001134B0">
        <w:rPr>
          <w:rFonts w:cs="Times"/>
        </w:rPr>
        <w:t xml:space="preserve"> and</w:t>
      </w:r>
      <w:r w:rsidR="00A06F0E" w:rsidRPr="001134B0">
        <w:rPr>
          <w:rFonts w:cs="Times"/>
        </w:rPr>
        <w:t xml:space="preserve"> biological processes </w:t>
      </w:r>
      <w:r w:rsidRPr="001134B0">
        <w:rPr>
          <w:rFonts w:cs="Times"/>
        </w:rPr>
        <w:t>in the</w:t>
      </w:r>
      <w:r w:rsidR="00376C33">
        <w:rPr>
          <w:rFonts w:cs="Times"/>
        </w:rPr>
        <w:t>ir associated</w:t>
      </w:r>
      <w:r w:rsidRPr="001134B0">
        <w:rPr>
          <w:rFonts w:cs="Times"/>
        </w:rPr>
        <w:t xml:space="preserve"> assays</w:t>
      </w:r>
      <w:r w:rsidR="00A06F0E" w:rsidRPr="001134B0">
        <w:rPr>
          <w:rFonts w:cs="Times"/>
        </w:rPr>
        <w:t xml:space="preserve"> (for details see Table </w:t>
      </w:r>
      <w:r w:rsidR="003D1631" w:rsidRPr="001134B0">
        <w:rPr>
          <w:rFonts w:cs="Times"/>
        </w:rPr>
        <w:t>1</w:t>
      </w:r>
      <w:r w:rsidR="00A06F0E" w:rsidRPr="001134B0">
        <w:rPr>
          <w:rFonts w:cs="Times"/>
        </w:rPr>
        <w:t xml:space="preserve">). </w:t>
      </w:r>
      <w:r w:rsidR="00613BFC" w:rsidRPr="001134B0">
        <w:rPr>
          <w:rFonts w:cs="Times"/>
        </w:rPr>
        <w:t xml:space="preserve">The </w:t>
      </w:r>
      <w:proofErr w:type="spellStart"/>
      <w:r w:rsidR="00865E90" w:rsidRPr="001134B0">
        <w:rPr>
          <w:rFonts w:cs="Times"/>
        </w:rPr>
        <w:t>Tox</w:t>
      </w:r>
      <w:r w:rsidR="008753A6">
        <w:rPr>
          <w:rFonts w:cs="Times"/>
        </w:rPr>
        <w:t>C</w:t>
      </w:r>
      <w:r w:rsidR="00865E90" w:rsidRPr="001134B0">
        <w:rPr>
          <w:rFonts w:cs="Times"/>
        </w:rPr>
        <w:t>ast</w:t>
      </w:r>
      <w:proofErr w:type="spellEnd"/>
      <w:r w:rsidR="00865E90" w:rsidRPr="001134B0">
        <w:rPr>
          <w:rFonts w:cs="Times"/>
        </w:rPr>
        <w:t xml:space="preserve"> assays </w:t>
      </w:r>
      <w:r w:rsidR="00D011F6" w:rsidRPr="001134B0">
        <w:rPr>
          <w:rFonts w:cs="Times"/>
        </w:rPr>
        <w:t xml:space="preserve">in this study </w:t>
      </w:r>
      <w:r w:rsidR="00376C33">
        <w:rPr>
          <w:rFonts w:cs="Times"/>
        </w:rPr>
        <w:t>we</w:t>
      </w:r>
      <w:r w:rsidR="00D011F6" w:rsidRPr="001134B0">
        <w:rPr>
          <w:rFonts w:cs="Times"/>
        </w:rPr>
        <w:t xml:space="preserve">re chosen such that their overlap with </w:t>
      </w:r>
      <w:r w:rsidR="00376C33">
        <w:rPr>
          <w:rFonts w:cs="Times"/>
        </w:rPr>
        <w:t xml:space="preserve">the </w:t>
      </w:r>
      <w:r w:rsidR="00D011F6" w:rsidRPr="001134B0">
        <w:rPr>
          <w:rFonts w:cs="Times"/>
        </w:rPr>
        <w:t xml:space="preserve">Cell Painting data </w:t>
      </w:r>
      <w:r w:rsidR="00376C33">
        <w:rPr>
          <w:rFonts w:cs="Times"/>
        </w:rPr>
        <w:t xml:space="preserve">includes at least </w:t>
      </w:r>
      <w:r w:rsidR="00613BFC" w:rsidRPr="001134B0">
        <w:rPr>
          <w:rFonts w:cs="Times"/>
        </w:rPr>
        <w:t>30</w:t>
      </w:r>
      <w:r w:rsidR="00376C33">
        <w:rPr>
          <w:rFonts w:cs="Times"/>
        </w:rPr>
        <w:t xml:space="preserve"> positive (toxic) compounds for each endpoint, which represents a minimum number of data we decided to require for model generation purposes</w:t>
      </w:r>
      <w:r w:rsidR="00D011F6" w:rsidRPr="001134B0">
        <w:rPr>
          <w:rFonts w:cs="Times"/>
        </w:rPr>
        <w:t xml:space="preserve">. </w:t>
      </w:r>
      <w:r w:rsidR="004D51F9">
        <w:rPr>
          <w:rFonts w:cs="Times"/>
        </w:rPr>
        <w:t xml:space="preserve">We </w:t>
      </w:r>
      <w:r w:rsidR="009B7505">
        <w:rPr>
          <w:rFonts w:cs="Times"/>
        </w:rPr>
        <w:t>created a</w:t>
      </w:r>
      <w:r w:rsidR="004D51F9">
        <w:rPr>
          <w:rFonts w:cs="Times"/>
        </w:rPr>
        <w:t xml:space="preserve"> </w:t>
      </w:r>
      <w:r w:rsidR="009B7505">
        <w:rPr>
          <w:rFonts w:cs="Times"/>
        </w:rPr>
        <w:t>combined endpoint from the</w:t>
      </w:r>
      <w:r w:rsidR="00EC0FBE" w:rsidRPr="00EC0FBE">
        <w:t xml:space="preserve"> </w:t>
      </w:r>
      <w:r w:rsidR="00EC0FBE" w:rsidRPr="00EC0FBE">
        <w:rPr>
          <w:rFonts w:cs="Times"/>
        </w:rPr>
        <w:t>information from all</w:t>
      </w:r>
      <w:r w:rsidR="004D51F9">
        <w:rPr>
          <w:rFonts w:cs="Times"/>
        </w:rPr>
        <w:t xml:space="preserve"> 12 assays</w:t>
      </w:r>
      <w:r w:rsidR="00EC0FBE">
        <w:rPr>
          <w:rFonts w:cs="Times"/>
        </w:rPr>
        <w:t>. In this combined endpoint,</w:t>
      </w:r>
      <w:r w:rsidR="00AA464D">
        <w:rPr>
          <w:rFonts w:cs="Times"/>
        </w:rPr>
        <w:t xml:space="preserve"> a compound was marked active if it was active in one or more </w:t>
      </w:r>
      <w:r w:rsidR="009B7505">
        <w:rPr>
          <w:rFonts w:cs="Times"/>
        </w:rPr>
        <w:t xml:space="preserve">of the 12 </w:t>
      </w:r>
      <w:r w:rsidR="00AA464D">
        <w:rPr>
          <w:rFonts w:cs="Times"/>
        </w:rPr>
        <w:t>assays</w:t>
      </w:r>
      <w:r w:rsidR="00EC0FBE">
        <w:rPr>
          <w:rFonts w:cs="Times"/>
        </w:rPr>
        <w:t xml:space="preserve">, </w:t>
      </w:r>
      <w:r w:rsidR="00AA464D">
        <w:rPr>
          <w:rFonts w:cs="Times"/>
        </w:rPr>
        <w:t>otherwise</w:t>
      </w:r>
      <w:r w:rsidR="00EC0FBE">
        <w:rPr>
          <w:rFonts w:cs="Times"/>
        </w:rPr>
        <w:t xml:space="preserve"> was</w:t>
      </w:r>
      <w:r w:rsidR="00AA464D">
        <w:rPr>
          <w:rFonts w:cs="Times"/>
        </w:rPr>
        <w:t xml:space="preserve"> marked inactive </w:t>
      </w:r>
      <w:r w:rsidR="00764296">
        <w:rPr>
          <w:rFonts w:cs="Times"/>
        </w:rPr>
        <w:t xml:space="preserve">if it was inactive over </w:t>
      </w:r>
      <w:proofErr w:type="gramStart"/>
      <w:r w:rsidR="00764296">
        <w:rPr>
          <w:rFonts w:cs="Times"/>
        </w:rPr>
        <w:t xml:space="preserve">all </w:t>
      </w:r>
      <w:r w:rsidR="009B7505">
        <w:rPr>
          <w:rFonts w:cs="Times"/>
        </w:rPr>
        <w:t>of</w:t>
      </w:r>
      <w:proofErr w:type="gramEnd"/>
      <w:r w:rsidR="009B7505">
        <w:rPr>
          <w:rFonts w:cs="Times"/>
        </w:rPr>
        <w:t xml:space="preserve"> the </w:t>
      </w:r>
      <w:r w:rsidR="00764296">
        <w:rPr>
          <w:rFonts w:cs="Times"/>
        </w:rPr>
        <w:t xml:space="preserve">12 assays. </w:t>
      </w:r>
      <w:r w:rsidR="009B7505">
        <w:rPr>
          <w:rFonts w:cs="Times"/>
        </w:rPr>
        <w:t xml:space="preserve">The combined endpoint would thus </w:t>
      </w:r>
      <w:r w:rsidR="009B7505" w:rsidRPr="00756638">
        <w:rPr>
          <w:rFonts w:cs="Times"/>
        </w:rPr>
        <w:t>consider proliferation and cytotox</w:t>
      </w:r>
      <w:r w:rsidR="009B7505">
        <w:rPr>
          <w:rFonts w:cs="Times"/>
        </w:rPr>
        <w:t>i</w:t>
      </w:r>
      <w:r w:rsidR="00EB255D">
        <w:rPr>
          <w:rFonts w:cs="Times"/>
        </w:rPr>
        <w:t>ci</w:t>
      </w:r>
      <w:r w:rsidR="009B7505">
        <w:rPr>
          <w:rFonts w:cs="Times"/>
        </w:rPr>
        <w:t>ty</w:t>
      </w:r>
      <w:r w:rsidR="009B7505" w:rsidRPr="00756638">
        <w:rPr>
          <w:rFonts w:cs="Times"/>
        </w:rPr>
        <w:t xml:space="preserve"> endpoints across multiple cell types</w:t>
      </w:r>
      <w:r w:rsidR="009B7505">
        <w:rPr>
          <w:rFonts w:cs="Times"/>
        </w:rPr>
        <w:t>.</w:t>
      </w:r>
    </w:p>
    <w:p w14:paraId="6555EF41" w14:textId="3741E471" w:rsidR="00CE7E90" w:rsidRPr="001134B0" w:rsidRDefault="00CE7E90" w:rsidP="00CE7E90">
      <w:pPr>
        <w:pStyle w:val="TAMainText"/>
        <w:rPr>
          <w:rFonts w:cs="Times"/>
        </w:rPr>
      </w:pPr>
      <w:r w:rsidRPr="001134B0">
        <w:rPr>
          <w:rFonts w:cs="Times"/>
        </w:rPr>
        <w:t xml:space="preserve">The cell-growth kinetics assay </w:t>
      </w:r>
      <w:r w:rsidR="00005E8E" w:rsidRPr="001134B0">
        <w:rPr>
          <w:rFonts w:cs="Times"/>
        </w:rPr>
        <w:t>of the</w:t>
      </w:r>
      <w:r w:rsidRPr="001134B0">
        <w:rPr>
          <w:rFonts w:cs="Times"/>
        </w:rPr>
        <w:t xml:space="preserve"> ACEA technological platform </w:t>
      </w:r>
      <w:r w:rsidR="00005E8E" w:rsidRPr="001134B0">
        <w:rPr>
          <w:rFonts w:cs="Times"/>
        </w:rPr>
        <w:t xml:space="preserve">using the </w:t>
      </w:r>
      <w:r w:rsidRPr="001134B0">
        <w:rPr>
          <w:rFonts w:cs="Times"/>
        </w:rPr>
        <w:t xml:space="preserve">T47D cell line is sensitive to </w:t>
      </w:r>
      <w:proofErr w:type="spellStart"/>
      <w:r w:rsidRPr="001134B0">
        <w:rPr>
          <w:rFonts w:cs="Times"/>
        </w:rPr>
        <w:t>estrogen</w:t>
      </w:r>
      <w:proofErr w:type="spellEnd"/>
      <w:r w:rsidRPr="001134B0">
        <w:rPr>
          <w:rFonts w:cs="Times"/>
        </w:rPr>
        <w:t>-receptor (ER) agonists</w:t>
      </w:r>
      <w:r w:rsidR="00005E8E" w:rsidRPr="001134B0">
        <w:rPr>
          <w:rFonts w:cs="Times"/>
        </w:rPr>
        <w:t>,</w:t>
      </w:r>
      <w:r w:rsidRPr="001134B0">
        <w:rPr>
          <w:rFonts w:cs="Times"/>
        </w:rPr>
        <w:t xml:space="preserve"> measuring cellular events further downstream than ER transcriptional activity assays</w:t>
      </w:r>
      <w:r w:rsidR="00005E8E" w:rsidRPr="001134B0">
        <w:rPr>
          <w:rFonts w:cs="Times"/>
        </w:rPr>
        <w:t>,</w:t>
      </w:r>
      <w:r w:rsidRPr="001134B0">
        <w:rPr>
          <w:rFonts w:cs="Times"/>
        </w:rPr>
        <w:t xml:space="preserve"> such as cell</w:t>
      </w:r>
      <w:r w:rsidR="00005E8E" w:rsidRPr="001134B0">
        <w:rPr>
          <w:rFonts w:cs="Times"/>
        </w:rPr>
        <w:t xml:space="preserve"> </w:t>
      </w:r>
      <w:r w:rsidRPr="001134B0">
        <w:rPr>
          <w:rFonts w:cs="Times"/>
        </w:rPr>
        <w:t>morphology, cell</w:t>
      </w:r>
      <w:r w:rsidR="00005E8E" w:rsidRPr="001134B0">
        <w:rPr>
          <w:rFonts w:cs="Times"/>
        </w:rPr>
        <w:t xml:space="preserve"> </w:t>
      </w:r>
      <w:r w:rsidRPr="001134B0">
        <w:rPr>
          <w:rFonts w:cs="Times"/>
        </w:rPr>
        <w:t xml:space="preserve">number or cell-cell adhesions using an impedance-based </w:t>
      </w:r>
      <w:r w:rsidRPr="001134B0">
        <w:rPr>
          <w:rFonts w:cs="Times"/>
        </w:rPr>
        <w:lastRenderedPageBreak/>
        <w:t>technique.</w:t>
      </w:r>
      <w:r w:rsidR="00067928" w:rsidRPr="001134B0">
        <w:rPr>
          <w:rStyle w:val="EndnoteReference"/>
          <w:rFonts w:cs="Times"/>
        </w:rPr>
        <w:endnoteReference w:id="37"/>
      </w:r>
      <w:r w:rsidRPr="001134B0">
        <w:rPr>
          <w:rFonts w:cs="Times"/>
        </w:rPr>
        <w:t xml:space="preserve"> When analysed in </w:t>
      </w:r>
      <w:r w:rsidR="00005E8E" w:rsidRPr="001134B0">
        <w:rPr>
          <w:rFonts w:cs="Times"/>
        </w:rPr>
        <w:t xml:space="preserve">the </w:t>
      </w:r>
      <w:r w:rsidRPr="001134B0">
        <w:rPr>
          <w:rFonts w:cs="Times"/>
        </w:rPr>
        <w:t>loss of signal direction, th</w:t>
      </w:r>
      <w:r w:rsidR="00376C33">
        <w:rPr>
          <w:rFonts w:cs="Times"/>
        </w:rPr>
        <w:t>is assay</w:t>
      </w:r>
      <w:r w:rsidRPr="001134B0">
        <w:rPr>
          <w:rFonts w:cs="Times"/>
        </w:rPr>
        <w:t xml:space="preserve"> can be utilized </w:t>
      </w:r>
      <w:r w:rsidR="00376C33">
        <w:rPr>
          <w:rFonts w:cs="Times"/>
        </w:rPr>
        <w:t>to characterize</w:t>
      </w:r>
      <w:r w:rsidRPr="001134B0">
        <w:rPr>
          <w:rFonts w:cs="Times"/>
        </w:rPr>
        <w:t xml:space="preserve"> cell viability</w:t>
      </w:r>
      <w:r w:rsidR="00005E8E" w:rsidRPr="001134B0">
        <w:rPr>
          <w:rFonts w:cs="Times"/>
        </w:rPr>
        <w:t xml:space="preserve"> based on cell-growth kinetics</w:t>
      </w:r>
      <w:r w:rsidR="000E2F64" w:rsidRPr="001134B0">
        <w:rPr>
          <w:rFonts w:cs="Times"/>
        </w:rPr>
        <w:t>.</w:t>
      </w:r>
      <w:r w:rsidR="000E2F64" w:rsidRPr="001134B0">
        <w:rPr>
          <w:rStyle w:val="EndnoteReference"/>
          <w:rFonts w:cs="Times"/>
        </w:rPr>
        <w:endnoteReference w:id="38"/>
      </w:r>
      <w:r w:rsidR="00370727" w:rsidRPr="001134B0">
        <w:rPr>
          <w:rFonts w:cs="Times"/>
          <w:color w:val="000000"/>
          <w:vertAlign w:val="superscript"/>
        </w:rPr>
        <w:t xml:space="preserve"> </w:t>
      </w:r>
      <w:r w:rsidR="00005E8E" w:rsidRPr="001134B0">
        <w:rPr>
          <w:rFonts w:cs="Times"/>
        </w:rPr>
        <w:t xml:space="preserve">The </w:t>
      </w:r>
      <w:r w:rsidRPr="001134B0">
        <w:rPr>
          <w:rFonts w:cs="Times"/>
        </w:rPr>
        <w:t>BSK platforms use multiplexed-readout assays</w:t>
      </w:r>
      <w:r w:rsidR="00376C33">
        <w:rPr>
          <w:rFonts w:cs="Times"/>
        </w:rPr>
        <w:t>, and the ones</w:t>
      </w:r>
      <w:r w:rsidRPr="001134B0">
        <w:rPr>
          <w:rFonts w:cs="Times"/>
        </w:rPr>
        <w:t xml:space="preserve"> selected in this study were </w:t>
      </w:r>
      <w:r w:rsidR="00376C33">
        <w:rPr>
          <w:rFonts w:cs="Times"/>
        </w:rPr>
        <w:t>performed</w:t>
      </w:r>
      <w:r w:rsidRPr="001134B0">
        <w:rPr>
          <w:rFonts w:cs="Times"/>
        </w:rPr>
        <w:t xml:space="preserve"> using human primary cells including dermal fibroblasts (</w:t>
      </w:r>
      <w:proofErr w:type="spellStart"/>
      <w:r w:rsidRPr="001134B0">
        <w:rPr>
          <w:rFonts w:cs="Times"/>
        </w:rPr>
        <w:t>hDFCGF</w:t>
      </w:r>
      <w:proofErr w:type="spellEnd"/>
      <w:r w:rsidRPr="001134B0">
        <w:rPr>
          <w:rFonts w:cs="Times"/>
        </w:rPr>
        <w:t xml:space="preserve">), endothelial cells (3C, </w:t>
      </w:r>
      <w:proofErr w:type="spellStart"/>
      <w:r w:rsidRPr="001134B0">
        <w:rPr>
          <w:rFonts w:cs="Times"/>
        </w:rPr>
        <w:t>S</w:t>
      </w:r>
      <w:r w:rsidR="000C43DE" w:rsidRPr="001134B0">
        <w:rPr>
          <w:rFonts w:cs="Times"/>
        </w:rPr>
        <w:t>A</w:t>
      </w:r>
      <w:r w:rsidRPr="001134B0">
        <w:rPr>
          <w:rFonts w:cs="Times"/>
        </w:rPr>
        <w:t>g</w:t>
      </w:r>
      <w:proofErr w:type="spellEnd"/>
      <w:r w:rsidRPr="001134B0">
        <w:rPr>
          <w:rFonts w:cs="Times"/>
        </w:rPr>
        <w:t>) and smooth muscle cells (CASM3C)</w:t>
      </w:r>
      <w:r w:rsidR="000E2F64" w:rsidRPr="001134B0">
        <w:rPr>
          <w:rStyle w:val="EndnoteReference"/>
          <w:rFonts w:cs="Times"/>
        </w:rPr>
        <w:endnoteReference w:id="39"/>
      </w:r>
      <w:r w:rsidR="0031082D">
        <w:rPr>
          <w:rFonts w:cs="Times"/>
        </w:rPr>
        <w:t xml:space="preserve">. These </w:t>
      </w:r>
      <w:r w:rsidR="00376C33">
        <w:rPr>
          <w:rFonts w:cs="Times"/>
        </w:rPr>
        <w:t>assay</w:t>
      </w:r>
      <w:r w:rsidR="0031082D">
        <w:rPr>
          <w:rFonts w:cs="Times"/>
        </w:rPr>
        <w:t>s</w:t>
      </w:r>
      <w:r w:rsidR="00376C33">
        <w:rPr>
          <w:rFonts w:cs="Times"/>
        </w:rPr>
        <w:t xml:space="preserve"> </w:t>
      </w:r>
      <w:r w:rsidRPr="001134B0">
        <w:rPr>
          <w:rFonts w:cs="Times"/>
        </w:rPr>
        <w:t>measure endpoints</w:t>
      </w:r>
      <w:r w:rsidR="00806453">
        <w:rPr>
          <w:rFonts w:cs="Times"/>
        </w:rPr>
        <w:t xml:space="preserve"> rang</w:t>
      </w:r>
      <w:r w:rsidR="009B582A">
        <w:rPr>
          <w:rFonts w:cs="Times"/>
        </w:rPr>
        <w:t>i</w:t>
      </w:r>
      <w:r w:rsidR="00806453">
        <w:rPr>
          <w:rFonts w:cs="Times"/>
        </w:rPr>
        <w:t>ng from</w:t>
      </w:r>
      <w:r w:rsidRPr="001134B0">
        <w:rPr>
          <w:rFonts w:cs="Times"/>
        </w:rPr>
        <w:t xml:space="preserve"> </w:t>
      </w:r>
      <w:proofErr w:type="spellStart"/>
      <w:r w:rsidRPr="001134B0">
        <w:rPr>
          <w:rFonts w:cs="Times"/>
        </w:rPr>
        <w:t>sulforhodamine</w:t>
      </w:r>
      <w:proofErr w:type="spellEnd"/>
      <w:r w:rsidRPr="001134B0">
        <w:rPr>
          <w:rFonts w:cs="Times"/>
        </w:rPr>
        <w:t xml:space="preserve"> B (SRB) staining for cell density and total protein </w:t>
      </w:r>
      <w:r w:rsidR="00806453">
        <w:rPr>
          <w:rFonts w:cs="Times"/>
        </w:rPr>
        <w:t>to</w:t>
      </w:r>
      <w:r w:rsidRPr="001134B0">
        <w:rPr>
          <w:rFonts w:cs="Times"/>
        </w:rPr>
        <w:t xml:space="preserve"> a categorical morphologic visualization score.</w:t>
      </w:r>
      <w:r w:rsidR="006C36A0" w:rsidRPr="001134B0">
        <w:rPr>
          <w:rStyle w:val="EndnoteReference"/>
          <w:rFonts w:cs="Times"/>
        </w:rPr>
        <w:endnoteReference w:id="40"/>
      </w:r>
      <w:r w:rsidRPr="001134B0">
        <w:rPr>
          <w:rFonts w:cs="Times"/>
        </w:rPr>
        <w:t xml:space="preserve"> For example, the endpoint BSK_3C_Vis_down measures the decrease in visual activity in umbilical vein endothelial cells</w:t>
      </w:r>
      <w:r w:rsidR="00005E8E" w:rsidRPr="001134B0">
        <w:rPr>
          <w:rFonts w:cs="Times"/>
        </w:rPr>
        <w:t>,</w:t>
      </w:r>
      <w:r w:rsidRPr="001134B0">
        <w:rPr>
          <w:rFonts w:cs="Times"/>
        </w:rPr>
        <w:t xml:space="preserve"> thus </w:t>
      </w:r>
      <w:r w:rsidR="00005E8E" w:rsidRPr="001134B0">
        <w:rPr>
          <w:rFonts w:cs="Times"/>
        </w:rPr>
        <w:t>aiming to characterize</w:t>
      </w:r>
      <w:r w:rsidRPr="001134B0">
        <w:rPr>
          <w:rFonts w:cs="Times"/>
        </w:rPr>
        <w:t xml:space="preserve"> cellular health. Another two assays, the BSK_3C_Proliferation_down and the </w:t>
      </w:r>
      <w:proofErr w:type="spellStart"/>
      <w:r w:rsidRPr="001134B0">
        <w:rPr>
          <w:rFonts w:cs="Times"/>
        </w:rPr>
        <w:t>BSK_SAg_Proliferation_down</w:t>
      </w:r>
      <w:proofErr w:type="spellEnd"/>
      <w:r w:rsidRPr="001134B0">
        <w:rPr>
          <w:rFonts w:cs="Times"/>
        </w:rPr>
        <w:t xml:space="preserve"> are anti-proliferation assays measuring the level of downstream response proteins for cell proliferation in umbilical vein endothelium cells in an enzyme-linked immunosorbent assay (ELISA).</w:t>
      </w:r>
      <w:r w:rsidR="00E01FDA" w:rsidRPr="001134B0">
        <w:rPr>
          <w:rStyle w:val="EndnoteReference"/>
          <w:rFonts w:cs="Times"/>
        </w:rPr>
        <w:endnoteReference w:id="41"/>
      </w:r>
      <w:r w:rsidRPr="001134B0">
        <w:rPr>
          <w:rFonts w:cs="Times"/>
          <w:vertAlign w:val="superscript"/>
        </w:rPr>
        <w:t>,</w:t>
      </w:r>
      <w:r w:rsidR="00E01FDA" w:rsidRPr="001134B0">
        <w:rPr>
          <w:rStyle w:val="EndnoteReference"/>
          <w:rFonts w:cs="Times"/>
        </w:rPr>
        <w:endnoteReference w:id="42"/>
      </w:r>
      <w:r w:rsidRPr="001134B0">
        <w:rPr>
          <w:rFonts w:cs="Times"/>
        </w:rPr>
        <w:t xml:space="preserve"> The selected high-content screening (HCS) multiparametric cytotoxicity assay of APR at </w:t>
      </w:r>
      <w:r w:rsidR="00376C33">
        <w:rPr>
          <w:rFonts w:cs="Times"/>
        </w:rPr>
        <w:t xml:space="preserve">the </w:t>
      </w:r>
      <w:r w:rsidR="00291358" w:rsidRPr="001134B0">
        <w:rPr>
          <w:rFonts w:cs="Times"/>
        </w:rPr>
        <w:t>24</w:t>
      </w:r>
      <w:r w:rsidRPr="001134B0">
        <w:rPr>
          <w:rFonts w:cs="Times"/>
        </w:rPr>
        <w:t>h</w:t>
      </w:r>
      <w:r w:rsidR="00291358" w:rsidRPr="001134B0">
        <w:rPr>
          <w:rFonts w:cs="Times"/>
        </w:rPr>
        <w:t xml:space="preserve"> and 72h</w:t>
      </w:r>
      <w:r w:rsidRPr="001134B0">
        <w:rPr>
          <w:rFonts w:cs="Times"/>
        </w:rPr>
        <w:t xml:space="preserve"> time point</w:t>
      </w:r>
      <w:r w:rsidR="00376C33">
        <w:rPr>
          <w:rFonts w:cs="Times"/>
        </w:rPr>
        <w:t>s</w:t>
      </w:r>
      <w:r w:rsidRPr="001134B0">
        <w:rPr>
          <w:rFonts w:cs="Times"/>
        </w:rPr>
        <w:t xml:space="preserve"> evaluates the cellular markers of cell loss for chemicals in cell culture of human hepatocellular carcinoma cell-lines (H</w:t>
      </w:r>
      <w:r w:rsidR="00005E8E" w:rsidRPr="001134B0">
        <w:rPr>
          <w:rFonts w:cs="Times"/>
        </w:rPr>
        <w:t xml:space="preserve">ep </w:t>
      </w:r>
      <w:r w:rsidRPr="001134B0">
        <w:rPr>
          <w:rFonts w:cs="Times"/>
        </w:rPr>
        <w:t>G2</w:t>
      </w:r>
      <w:r w:rsidR="00127C48" w:rsidRPr="001134B0">
        <w:rPr>
          <w:rFonts w:cs="Times"/>
        </w:rPr>
        <w:t>).</w:t>
      </w:r>
      <w:r w:rsidR="003D7AF4" w:rsidRPr="001134B0">
        <w:rPr>
          <w:rStyle w:val="EndnoteReference"/>
          <w:rFonts w:cs="Times"/>
        </w:rPr>
        <w:endnoteReference w:id="43"/>
      </w:r>
      <w:r w:rsidRPr="001134B0">
        <w:rPr>
          <w:rFonts w:cs="Times"/>
        </w:rPr>
        <w:t xml:space="preserve"> The selected assays thus correspond to cell death, cell proliferation, cell viability and cell morphology </w:t>
      </w:r>
      <w:r w:rsidR="00005E8E" w:rsidRPr="001134B0">
        <w:rPr>
          <w:rFonts w:cs="Times"/>
        </w:rPr>
        <w:t xml:space="preserve">endpoints and cover a range of </w:t>
      </w:r>
      <w:r w:rsidRPr="001134B0">
        <w:rPr>
          <w:rFonts w:cs="Times"/>
        </w:rPr>
        <w:t xml:space="preserve">biological </w:t>
      </w:r>
      <w:r w:rsidR="00005E8E" w:rsidRPr="001134B0">
        <w:rPr>
          <w:rFonts w:cs="Times"/>
        </w:rPr>
        <w:t>processes</w:t>
      </w:r>
      <w:r w:rsidRPr="001134B0">
        <w:rPr>
          <w:rFonts w:cs="Times"/>
        </w:rPr>
        <w:t>.</w:t>
      </w:r>
      <w:r w:rsidR="00A5107E" w:rsidRPr="001134B0">
        <w:rPr>
          <w:rStyle w:val="EndnoteReference"/>
          <w:rFonts w:cs="Times"/>
        </w:rPr>
        <w:endnoteReference w:id="44"/>
      </w:r>
      <w:r w:rsidR="00AB46F6" w:rsidRPr="00AB46F6">
        <w:rPr>
          <w:rFonts w:cs="Times"/>
        </w:rPr>
        <w:t xml:space="preserve"> </w:t>
      </w:r>
    </w:p>
    <w:p w14:paraId="1FECD53B" w14:textId="70E45FAA" w:rsidR="00920297" w:rsidRPr="001134B0" w:rsidRDefault="00920297" w:rsidP="00920297">
      <w:pPr>
        <w:pStyle w:val="TAMainText"/>
        <w:rPr>
          <w:rFonts w:cs="Times"/>
        </w:rPr>
      </w:pPr>
      <w:r w:rsidRPr="001134B0">
        <w:rPr>
          <w:rFonts w:cs="Times"/>
        </w:rPr>
        <w:t>Data Preparation</w:t>
      </w:r>
    </w:p>
    <w:p w14:paraId="270ECCB6" w14:textId="39D14BF2" w:rsidR="00B92C2E" w:rsidRPr="001134B0" w:rsidRDefault="00D000D2" w:rsidP="00BE7EC5">
      <w:pPr>
        <w:pStyle w:val="TAMainText"/>
        <w:rPr>
          <w:rFonts w:cs="Times"/>
        </w:rPr>
      </w:pPr>
      <w:r w:rsidRPr="001134B0">
        <w:rPr>
          <w:rFonts w:cs="Times"/>
        </w:rPr>
        <w:t xml:space="preserve">For both </w:t>
      </w:r>
      <w:r w:rsidR="00C87A7F" w:rsidRPr="001134B0">
        <w:rPr>
          <w:rFonts w:cs="Times"/>
        </w:rPr>
        <w:t xml:space="preserve">the </w:t>
      </w:r>
      <w:proofErr w:type="spellStart"/>
      <w:r w:rsidRPr="001134B0">
        <w:rPr>
          <w:rFonts w:cs="Times"/>
        </w:rPr>
        <w:t>ToxCast</w:t>
      </w:r>
      <w:proofErr w:type="spellEnd"/>
      <w:r w:rsidRPr="001134B0">
        <w:rPr>
          <w:rFonts w:cs="Times"/>
        </w:rPr>
        <w:t xml:space="preserve"> and Cell Painting datasets, molecular representations </w:t>
      </w:r>
      <w:r w:rsidR="00211237">
        <w:rPr>
          <w:rFonts w:cs="Times"/>
        </w:rPr>
        <w:t xml:space="preserve">used </w:t>
      </w:r>
      <w:r w:rsidR="00365213" w:rsidRPr="00365213">
        <w:rPr>
          <w:rFonts w:cs="Times"/>
        </w:rPr>
        <w:t xml:space="preserve">Simplified Molecular-Input Line-Entry System </w:t>
      </w:r>
      <w:r w:rsidR="00365213">
        <w:rPr>
          <w:rFonts w:cs="Times"/>
        </w:rPr>
        <w:t>(</w:t>
      </w:r>
      <w:r w:rsidRPr="001134B0">
        <w:rPr>
          <w:rFonts w:cs="Times"/>
        </w:rPr>
        <w:t>SMILES</w:t>
      </w:r>
      <w:r w:rsidR="00365213">
        <w:rPr>
          <w:rFonts w:cs="Times"/>
        </w:rPr>
        <w:t>)</w:t>
      </w:r>
      <w:r w:rsidRPr="001134B0">
        <w:rPr>
          <w:rFonts w:cs="Times"/>
        </w:rPr>
        <w:t xml:space="preserve"> format </w:t>
      </w:r>
      <w:r w:rsidR="00211237">
        <w:rPr>
          <w:rFonts w:cs="Times"/>
        </w:rPr>
        <w:t xml:space="preserve">which </w:t>
      </w:r>
      <w:r w:rsidRPr="001134B0">
        <w:rPr>
          <w:rFonts w:cs="Times"/>
        </w:rPr>
        <w:t xml:space="preserve">were standardized </w:t>
      </w:r>
      <w:r w:rsidR="00F27F30">
        <w:rPr>
          <w:rFonts w:cs="Times"/>
        </w:rPr>
        <w:t>(</w:t>
      </w:r>
      <w:r w:rsidR="00F27F30" w:rsidRPr="001134B0">
        <w:rPr>
          <w:rFonts w:cs="Times"/>
        </w:rPr>
        <w:t>including tautomer standardisation</w:t>
      </w:r>
      <w:r w:rsidR="00F27F30">
        <w:rPr>
          <w:rFonts w:cs="Times"/>
        </w:rPr>
        <w:t>)</w:t>
      </w:r>
      <w:r w:rsidR="00F27F30" w:rsidRPr="001134B0">
        <w:rPr>
          <w:rFonts w:cs="Times"/>
        </w:rPr>
        <w:t xml:space="preserve"> </w:t>
      </w:r>
      <w:r w:rsidRPr="001134B0">
        <w:rPr>
          <w:rFonts w:cs="Times"/>
        </w:rPr>
        <w:t>and canonicalized</w:t>
      </w:r>
      <w:r w:rsidR="00E2531D" w:rsidRPr="001134B0">
        <w:rPr>
          <w:rFonts w:cs="Times"/>
        </w:rPr>
        <w:t xml:space="preserve"> to the parent molecul</w:t>
      </w:r>
      <w:r w:rsidR="00376C33">
        <w:rPr>
          <w:rFonts w:cs="Times"/>
        </w:rPr>
        <w:t>e</w:t>
      </w:r>
      <w:r w:rsidR="00E2531D" w:rsidRPr="001134B0">
        <w:rPr>
          <w:rFonts w:cs="Times"/>
        </w:rPr>
        <w:t xml:space="preserve"> </w:t>
      </w:r>
      <w:r w:rsidRPr="001134B0">
        <w:rPr>
          <w:rFonts w:cs="Times"/>
        </w:rPr>
        <w:t xml:space="preserve">using the </w:t>
      </w:r>
      <w:proofErr w:type="spellStart"/>
      <w:r w:rsidRPr="001134B0">
        <w:rPr>
          <w:rFonts w:cs="Times"/>
        </w:rPr>
        <w:t>MolVS</w:t>
      </w:r>
      <w:proofErr w:type="spellEnd"/>
      <w:r w:rsidRPr="001134B0">
        <w:rPr>
          <w:rFonts w:cs="Times"/>
        </w:rPr>
        <w:t xml:space="preserve"> standardi</w:t>
      </w:r>
      <w:r w:rsidR="00E2531D" w:rsidRPr="001134B0">
        <w:rPr>
          <w:rFonts w:cs="Times"/>
        </w:rPr>
        <w:t>s</w:t>
      </w:r>
      <w:r w:rsidRPr="001134B0">
        <w:rPr>
          <w:rFonts w:cs="Times"/>
        </w:rPr>
        <w:t>er</w:t>
      </w:r>
      <w:r w:rsidR="00405B08" w:rsidRPr="001134B0">
        <w:rPr>
          <w:rStyle w:val="EndnoteReference"/>
          <w:rFonts w:cs="Times"/>
        </w:rPr>
        <w:endnoteReference w:id="45"/>
      </w:r>
      <w:r w:rsidR="00E0550A" w:rsidRPr="001134B0">
        <w:rPr>
          <w:rFonts w:cs="Times"/>
        </w:rPr>
        <w:t xml:space="preserve">, an open-source toolkit based on </w:t>
      </w:r>
      <w:proofErr w:type="spellStart"/>
      <w:r w:rsidR="00E0550A" w:rsidRPr="001134B0">
        <w:rPr>
          <w:rFonts w:cs="Times"/>
        </w:rPr>
        <w:t>RDKit</w:t>
      </w:r>
      <w:bookmarkStart w:id="8" w:name="_Ref46921982"/>
      <w:proofErr w:type="spellEnd"/>
      <w:r w:rsidR="00383114">
        <w:rPr>
          <w:rFonts w:cs="Times"/>
        </w:rPr>
        <w:t>.</w:t>
      </w:r>
      <w:r w:rsidR="0037765A" w:rsidRPr="001134B0">
        <w:rPr>
          <w:rStyle w:val="EndnoteReference"/>
          <w:rFonts w:cs="Times"/>
        </w:rPr>
        <w:endnoteReference w:id="46"/>
      </w:r>
      <w:bookmarkEnd w:id="8"/>
      <w:r w:rsidRPr="001134B0">
        <w:rPr>
          <w:rFonts w:cs="Times"/>
        </w:rPr>
        <w:t xml:space="preserve"> </w:t>
      </w:r>
      <w:r w:rsidR="00B60E70">
        <w:rPr>
          <w:rFonts w:cs="Times"/>
        </w:rPr>
        <w:t>S</w:t>
      </w:r>
      <w:r w:rsidRPr="001134B0">
        <w:rPr>
          <w:rFonts w:cs="Times"/>
        </w:rPr>
        <w:t xml:space="preserve">tandardization </w:t>
      </w:r>
      <w:r w:rsidR="00B60E70">
        <w:rPr>
          <w:rFonts w:cs="Times"/>
        </w:rPr>
        <w:t>settings</w:t>
      </w:r>
      <w:r w:rsidR="00D45E15" w:rsidRPr="001134B0">
        <w:rPr>
          <w:rFonts w:cs="Times"/>
        </w:rPr>
        <w:t xml:space="preserve"> </w:t>
      </w:r>
      <w:r w:rsidR="00B60E70">
        <w:rPr>
          <w:rFonts w:cs="Times"/>
        </w:rPr>
        <w:t>involved</w:t>
      </w:r>
      <w:r w:rsidR="00D45E15" w:rsidRPr="001134B0">
        <w:rPr>
          <w:rFonts w:cs="Times"/>
        </w:rPr>
        <w:t xml:space="preserve"> </w:t>
      </w:r>
      <w:r w:rsidR="00BE7EC5" w:rsidRPr="001134B0">
        <w:rPr>
          <w:rFonts w:cs="Times"/>
        </w:rPr>
        <w:t>s</w:t>
      </w:r>
      <w:r w:rsidR="00147F22" w:rsidRPr="001134B0">
        <w:rPr>
          <w:rFonts w:cs="Times"/>
        </w:rPr>
        <w:t>anitiz</w:t>
      </w:r>
      <w:r w:rsidR="00BE7EC5" w:rsidRPr="001134B0">
        <w:rPr>
          <w:rFonts w:cs="Times"/>
        </w:rPr>
        <w:t>ation</w:t>
      </w:r>
      <w:r w:rsidR="00D45E15" w:rsidRPr="001134B0">
        <w:rPr>
          <w:rFonts w:cs="Times"/>
        </w:rPr>
        <w:t xml:space="preserve">, </w:t>
      </w:r>
      <w:r w:rsidR="00BE7EC5" w:rsidRPr="001134B0">
        <w:rPr>
          <w:rFonts w:cs="Times"/>
        </w:rPr>
        <w:t>normalisation</w:t>
      </w:r>
      <w:r w:rsidR="00D45E15" w:rsidRPr="001134B0">
        <w:rPr>
          <w:rFonts w:cs="Times"/>
        </w:rPr>
        <w:t xml:space="preserve">, </w:t>
      </w:r>
      <w:r w:rsidR="00560D2C" w:rsidRPr="001134B0">
        <w:rPr>
          <w:rFonts w:cs="Times"/>
        </w:rPr>
        <w:t>largest fragment chooser</w:t>
      </w:r>
      <w:r w:rsidR="00D45E15" w:rsidRPr="001134B0">
        <w:rPr>
          <w:rFonts w:cs="Times"/>
        </w:rPr>
        <w:t xml:space="preserve">, </w:t>
      </w:r>
      <w:r w:rsidR="00560D2C" w:rsidRPr="001134B0">
        <w:rPr>
          <w:rFonts w:cs="Times"/>
        </w:rPr>
        <w:t>charge neutralisation</w:t>
      </w:r>
      <w:r w:rsidR="00D03572" w:rsidRPr="001134B0">
        <w:rPr>
          <w:rFonts w:cs="Times"/>
        </w:rPr>
        <w:t xml:space="preserve">, </w:t>
      </w:r>
      <w:r w:rsidR="00B6719D" w:rsidRPr="001134B0">
        <w:rPr>
          <w:rFonts w:cs="Times"/>
        </w:rPr>
        <w:t>t</w:t>
      </w:r>
      <w:r w:rsidR="00BE7EC5" w:rsidRPr="001134B0">
        <w:rPr>
          <w:rFonts w:cs="Times"/>
        </w:rPr>
        <w:t xml:space="preserve">automer enumeration and canonicalization </w:t>
      </w:r>
      <w:r w:rsidR="00400DB6">
        <w:rPr>
          <w:rFonts w:cs="Times"/>
        </w:rPr>
        <w:t xml:space="preserve">as </w:t>
      </w:r>
      <w:r w:rsidR="00D45E15" w:rsidRPr="001134B0">
        <w:rPr>
          <w:rFonts w:cs="Times"/>
        </w:rPr>
        <w:t xml:space="preserve">implemented in </w:t>
      </w:r>
      <w:r w:rsidR="00BE7EC5" w:rsidRPr="001134B0">
        <w:rPr>
          <w:rFonts w:cs="Times"/>
        </w:rPr>
        <w:t xml:space="preserve">the </w:t>
      </w:r>
      <w:proofErr w:type="spellStart"/>
      <w:r w:rsidR="00D45E15" w:rsidRPr="001134B0">
        <w:rPr>
          <w:rFonts w:cs="Times"/>
        </w:rPr>
        <w:t>MolVS</w:t>
      </w:r>
      <w:proofErr w:type="spellEnd"/>
      <w:r w:rsidR="00D45E15" w:rsidRPr="001134B0">
        <w:rPr>
          <w:rFonts w:cs="Times"/>
        </w:rPr>
        <w:t xml:space="preserve"> tool</w:t>
      </w:r>
      <w:r w:rsidR="00B60E70">
        <w:rPr>
          <w:rFonts w:cs="Times"/>
        </w:rPr>
        <w:t xml:space="preserve"> </w:t>
      </w:r>
      <w:r w:rsidR="00400DB6">
        <w:rPr>
          <w:rFonts w:cs="Times"/>
        </w:rPr>
        <w:t>and</w:t>
      </w:r>
      <w:r w:rsidR="00B60E70">
        <w:rPr>
          <w:rFonts w:cs="Times"/>
        </w:rPr>
        <w:t xml:space="preserve"> described in the </w:t>
      </w:r>
      <w:proofErr w:type="spellStart"/>
      <w:r w:rsidRPr="001134B0">
        <w:rPr>
          <w:rFonts w:cs="Times"/>
        </w:rPr>
        <w:t>MolVS</w:t>
      </w:r>
      <w:proofErr w:type="spellEnd"/>
      <w:r w:rsidRPr="001134B0">
        <w:rPr>
          <w:rFonts w:cs="Times"/>
        </w:rPr>
        <w:t xml:space="preserve"> standardizer guide.</w:t>
      </w:r>
      <w:r w:rsidR="001921D3" w:rsidRPr="001134B0">
        <w:rPr>
          <w:rStyle w:val="EndnoteReference"/>
          <w:rFonts w:cs="Times"/>
        </w:rPr>
        <w:endnoteReference w:id="47"/>
      </w:r>
      <w:r w:rsidRPr="001134B0">
        <w:rPr>
          <w:rFonts w:cs="Times"/>
        </w:rPr>
        <w:t xml:space="preserve">  The overlap between the Cell Painting data and the </w:t>
      </w:r>
      <w:proofErr w:type="spellStart"/>
      <w:r w:rsidRPr="001134B0">
        <w:rPr>
          <w:rFonts w:cs="Times"/>
        </w:rPr>
        <w:t>MoleculeNet</w:t>
      </w:r>
      <w:proofErr w:type="spellEnd"/>
      <w:r w:rsidRPr="001134B0">
        <w:rPr>
          <w:rFonts w:cs="Times"/>
        </w:rPr>
        <w:t xml:space="preserve"> </w:t>
      </w:r>
      <w:proofErr w:type="spellStart"/>
      <w:r w:rsidRPr="001134B0">
        <w:rPr>
          <w:rFonts w:cs="Times"/>
        </w:rPr>
        <w:t>ToxCast</w:t>
      </w:r>
      <w:proofErr w:type="spellEnd"/>
      <w:r w:rsidRPr="001134B0">
        <w:rPr>
          <w:rFonts w:cs="Times"/>
        </w:rPr>
        <w:t xml:space="preserve"> was </w:t>
      </w:r>
      <w:r w:rsidR="00763B55" w:rsidRPr="001134B0">
        <w:rPr>
          <w:rFonts w:cs="Times"/>
        </w:rPr>
        <w:t>determined in terms of</w:t>
      </w:r>
      <w:r w:rsidR="0051126E">
        <w:rPr>
          <w:rFonts w:cs="Times"/>
        </w:rPr>
        <w:t xml:space="preserve"> matching</w:t>
      </w:r>
      <w:r w:rsidR="00763B55" w:rsidRPr="001134B0">
        <w:rPr>
          <w:rFonts w:cs="Times"/>
        </w:rPr>
        <w:t xml:space="preserve"> canonical SMILES</w:t>
      </w:r>
      <w:r w:rsidR="00376C33">
        <w:rPr>
          <w:rFonts w:cs="Times"/>
        </w:rPr>
        <w:t xml:space="preserve"> and t</w:t>
      </w:r>
      <w:r w:rsidRPr="001134B0">
        <w:rPr>
          <w:rFonts w:cs="Times"/>
        </w:rPr>
        <w:t>he final data</w:t>
      </w:r>
      <w:r w:rsidR="00C87A7F" w:rsidRPr="001134B0">
        <w:rPr>
          <w:rFonts w:cs="Times"/>
        </w:rPr>
        <w:t>set</w:t>
      </w:r>
      <w:r w:rsidRPr="001134B0">
        <w:rPr>
          <w:rFonts w:cs="Times"/>
        </w:rPr>
        <w:t xml:space="preserve"> comprised 135 unique compounds </w:t>
      </w:r>
      <w:r w:rsidR="00C87A7F" w:rsidRPr="001134B0">
        <w:rPr>
          <w:rFonts w:cs="Times"/>
        </w:rPr>
        <w:t>across</w:t>
      </w:r>
      <w:r w:rsidRPr="001134B0">
        <w:rPr>
          <w:rFonts w:cs="Times"/>
        </w:rPr>
        <w:t xml:space="preserve"> 1</w:t>
      </w:r>
      <w:r w:rsidR="008119CA" w:rsidRPr="001134B0">
        <w:rPr>
          <w:rFonts w:cs="Times"/>
        </w:rPr>
        <w:t>2</w:t>
      </w:r>
      <w:r w:rsidRPr="001134B0">
        <w:rPr>
          <w:rFonts w:cs="Times"/>
        </w:rPr>
        <w:t xml:space="preserve"> assay endpoints</w:t>
      </w:r>
      <w:r w:rsidR="00376C33">
        <w:rPr>
          <w:rFonts w:cs="Times"/>
        </w:rPr>
        <w:t>, and n</w:t>
      </w:r>
      <w:r w:rsidRPr="001134B0">
        <w:rPr>
          <w:rFonts w:cs="Times"/>
        </w:rPr>
        <w:t>ot all chemicals were present in all assays.</w:t>
      </w:r>
      <w:r w:rsidR="00211237">
        <w:rPr>
          <w:rFonts w:cs="Times"/>
        </w:rPr>
        <w:t xml:space="preserve"> </w:t>
      </w:r>
      <w:r w:rsidR="00376C33">
        <w:rPr>
          <w:rFonts w:cs="Times"/>
        </w:rPr>
        <w:t>Classes for the different endpoints</w:t>
      </w:r>
      <w:r w:rsidRPr="001134B0">
        <w:rPr>
          <w:rFonts w:cs="Times"/>
        </w:rPr>
        <w:t xml:space="preserve"> were relatively balanced (between 27% and 49% actives as shown in Su</w:t>
      </w:r>
      <w:r w:rsidR="00376C33">
        <w:rPr>
          <w:rFonts w:cs="Times"/>
        </w:rPr>
        <w:t>pplementary</w:t>
      </w:r>
      <w:r w:rsidRPr="001134B0">
        <w:rPr>
          <w:rFonts w:cs="Times"/>
        </w:rPr>
        <w:t xml:space="preserve"> Table </w:t>
      </w:r>
      <w:r w:rsidR="00D077D1" w:rsidRPr="001134B0">
        <w:rPr>
          <w:rFonts w:cs="Times"/>
        </w:rPr>
        <w:t>S1</w:t>
      </w:r>
      <w:r w:rsidR="00376C33">
        <w:rPr>
          <w:rFonts w:cs="Times"/>
        </w:rPr>
        <w:t xml:space="preserve"> and Supplementary</w:t>
      </w:r>
      <w:r w:rsidRPr="001134B0">
        <w:rPr>
          <w:rFonts w:cs="Times"/>
        </w:rPr>
        <w:t xml:space="preserve"> Figure </w:t>
      </w:r>
      <w:r w:rsidR="00A23F1A" w:rsidRPr="001134B0">
        <w:rPr>
          <w:rFonts w:cs="Times"/>
        </w:rPr>
        <w:t>S1</w:t>
      </w:r>
      <w:r w:rsidRPr="001134B0">
        <w:rPr>
          <w:rFonts w:cs="Times"/>
        </w:rPr>
        <w:t xml:space="preserve">). </w:t>
      </w:r>
      <w:r w:rsidR="00B92C2E" w:rsidRPr="001134B0">
        <w:rPr>
          <w:rFonts w:cs="Times"/>
        </w:rPr>
        <w:t xml:space="preserve">Machine learning is often highly dependent on the size and quality of the dataset, and the relatively small size of </w:t>
      </w:r>
      <w:r w:rsidR="00B543EA">
        <w:rPr>
          <w:rFonts w:cs="Times"/>
        </w:rPr>
        <w:t>these</w:t>
      </w:r>
      <w:r w:rsidR="00B92C2E" w:rsidRPr="001134B0">
        <w:rPr>
          <w:rFonts w:cs="Times"/>
        </w:rPr>
        <w:t xml:space="preserve"> assays is indeed a challenge to </w:t>
      </w:r>
      <w:r w:rsidR="00376C33">
        <w:rPr>
          <w:rFonts w:cs="Times"/>
        </w:rPr>
        <w:t xml:space="preserve">be </w:t>
      </w:r>
      <w:r w:rsidR="00B92C2E" w:rsidRPr="001134B0">
        <w:rPr>
          <w:rFonts w:cs="Times"/>
        </w:rPr>
        <w:t xml:space="preserve">overcome </w:t>
      </w:r>
      <w:r w:rsidR="00B92C2E" w:rsidRPr="001134B0">
        <w:rPr>
          <w:rFonts w:cs="Times"/>
        </w:rPr>
        <w:lastRenderedPageBreak/>
        <w:t xml:space="preserve">in future. </w:t>
      </w:r>
      <w:r w:rsidR="00076639" w:rsidRPr="00076639">
        <w:rPr>
          <w:rFonts w:cs="Times"/>
        </w:rPr>
        <w:t>It should be acknowledged here that the small dataset size is indeed not ideal to evaluate prospective model performance since it leads to overfitting; however, in the context of the given dataset</w:t>
      </w:r>
      <w:r w:rsidR="00892837">
        <w:rPr>
          <w:rFonts w:cs="Times"/>
        </w:rPr>
        <w:t xml:space="preserve"> (and the chemical space covered with</w:t>
      </w:r>
      <w:r w:rsidR="00012F3E">
        <w:rPr>
          <w:rFonts w:cs="Times"/>
        </w:rPr>
        <w:t xml:space="preserve"> sufficient</w:t>
      </w:r>
      <w:r w:rsidR="00892837">
        <w:rPr>
          <w:rFonts w:cs="Times"/>
        </w:rPr>
        <w:t xml:space="preserve"> molecular diversity as show</w:t>
      </w:r>
      <w:r w:rsidR="007D4AF8">
        <w:rPr>
          <w:rFonts w:cs="Times"/>
        </w:rPr>
        <w:t>n</w:t>
      </w:r>
      <w:r w:rsidR="00892837">
        <w:rPr>
          <w:rFonts w:cs="Times"/>
        </w:rPr>
        <w:t xml:space="preserve"> in Supplementary Figure</w:t>
      </w:r>
      <w:r w:rsidR="009C6CFE">
        <w:rPr>
          <w:rFonts w:cs="Times"/>
        </w:rPr>
        <w:t>s</w:t>
      </w:r>
      <w:r w:rsidR="00892837">
        <w:rPr>
          <w:rFonts w:cs="Times"/>
        </w:rPr>
        <w:t xml:space="preserve"> S</w:t>
      </w:r>
      <w:r w:rsidR="00A66FF8">
        <w:rPr>
          <w:rFonts w:cs="Times"/>
        </w:rPr>
        <w:t>2</w:t>
      </w:r>
      <w:r w:rsidR="009C6CFE">
        <w:rPr>
          <w:rFonts w:cs="Times"/>
        </w:rPr>
        <w:t>-S3</w:t>
      </w:r>
      <w:r w:rsidR="00012F3E">
        <w:rPr>
          <w:rFonts w:cs="Times"/>
        </w:rPr>
        <w:t>)</w:t>
      </w:r>
      <w:r w:rsidR="00076639" w:rsidRPr="00076639">
        <w:rPr>
          <w:rFonts w:cs="Times"/>
        </w:rPr>
        <w:t>, we have performed a relative analysis of model performance, which we believe is still valid</w:t>
      </w:r>
      <w:r w:rsidR="00765959" w:rsidRPr="001134B0">
        <w:rPr>
          <w:rFonts w:cs="Times"/>
        </w:rPr>
        <w:t xml:space="preserve">. </w:t>
      </w:r>
    </w:p>
    <w:p w14:paraId="46420D9E" w14:textId="77777777" w:rsidR="00106811" w:rsidRPr="001134B0" w:rsidRDefault="00106811" w:rsidP="00106811">
      <w:pPr>
        <w:pStyle w:val="TAMainText"/>
        <w:rPr>
          <w:rFonts w:cs="Times"/>
        </w:rPr>
      </w:pPr>
      <w:r w:rsidRPr="001134B0">
        <w:rPr>
          <w:rFonts w:cs="Times"/>
        </w:rPr>
        <w:t>Feature Selection for Cell Painting</w:t>
      </w:r>
    </w:p>
    <w:p w14:paraId="6F11385E" w14:textId="252945F8" w:rsidR="00106811" w:rsidRPr="001134B0" w:rsidRDefault="00154CA9" w:rsidP="00CE6936">
      <w:pPr>
        <w:pStyle w:val="TAMainText"/>
        <w:rPr>
          <w:rFonts w:cs="Times"/>
        </w:rPr>
      </w:pPr>
      <w:r>
        <w:rPr>
          <w:rFonts w:cs="Times"/>
        </w:rPr>
        <w:t xml:space="preserve">Classification using high-dimensional </w:t>
      </w:r>
      <w:r w:rsidR="00D51F21">
        <w:rPr>
          <w:rFonts w:cs="Times"/>
        </w:rPr>
        <w:t>feature space</w:t>
      </w:r>
      <w:r>
        <w:rPr>
          <w:rFonts w:cs="Times"/>
        </w:rPr>
        <w:t xml:space="preserve"> (such as Cell Painting features) </w:t>
      </w:r>
      <w:r w:rsidR="007F0A0F">
        <w:rPr>
          <w:rFonts w:cs="Times"/>
        </w:rPr>
        <w:t xml:space="preserve">negatively </w:t>
      </w:r>
      <w:r w:rsidR="000714EF">
        <w:rPr>
          <w:rFonts w:cs="Times"/>
        </w:rPr>
        <w:t>affects the performance of</w:t>
      </w:r>
      <w:r w:rsidR="00D51F21">
        <w:rPr>
          <w:rFonts w:cs="Times"/>
        </w:rPr>
        <w:t xml:space="preserve"> most supervised learning </w:t>
      </w:r>
      <w:r w:rsidR="007C1579">
        <w:rPr>
          <w:rFonts w:cs="Times"/>
        </w:rPr>
        <w:t>methods (such as  Random Forests)</w:t>
      </w:r>
      <w:r w:rsidR="000714EF">
        <w:rPr>
          <w:rFonts w:cs="Times"/>
        </w:rPr>
        <w:t>.</w:t>
      </w:r>
      <w:r w:rsidR="005D1EEF">
        <w:rPr>
          <w:rStyle w:val="EndnoteReference"/>
          <w:rFonts w:cs="Times"/>
        </w:rPr>
        <w:endnoteReference w:id="48"/>
      </w:r>
      <w:r w:rsidR="000714EF">
        <w:rPr>
          <w:rFonts w:cs="Times"/>
        </w:rPr>
        <w:t xml:space="preserve"> </w:t>
      </w:r>
      <w:r w:rsidR="001B348F">
        <w:rPr>
          <w:rFonts w:cs="Times"/>
        </w:rPr>
        <w:t>Major hurdles to improve performa</w:t>
      </w:r>
      <w:r w:rsidR="00B4681D">
        <w:rPr>
          <w:rFonts w:cs="Times"/>
        </w:rPr>
        <w:t>n</w:t>
      </w:r>
      <w:r w:rsidR="001B348F">
        <w:rPr>
          <w:rFonts w:cs="Times"/>
        </w:rPr>
        <w:t xml:space="preserve">ce </w:t>
      </w:r>
      <w:r w:rsidR="006115F5" w:rsidRPr="006115F5">
        <w:rPr>
          <w:rFonts w:cs="Times"/>
        </w:rPr>
        <w:t>includes, but is not limited</w:t>
      </w:r>
      <w:r w:rsidR="006115F5">
        <w:rPr>
          <w:rFonts w:cs="Times"/>
        </w:rPr>
        <w:t xml:space="preserve"> to, </w:t>
      </w:r>
      <w:r w:rsidR="00C62EE4">
        <w:rPr>
          <w:rFonts w:cs="Times"/>
        </w:rPr>
        <w:t>num</w:t>
      </w:r>
      <w:r w:rsidR="003E46FE">
        <w:rPr>
          <w:rFonts w:cs="Times"/>
        </w:rPr>
        <w:t>erous</w:t>
      </w:r>
      <w:r w:rsidR="001130BC">
        <w:rPr>
          <w:rFonts w:cs="Times"/>
        </w:rPr>
        <w:t xml:space="preserve"> uninformative features </w:t>
      </w:r>
      <w:r w:rsidR="006115F5">
        <w:rPr>
          <w:rFonts w:cs="Times"/>
        </w:rPr>
        <w:t>(</w:t>
      </w:r>
      <w:r w:rsidR="00C62EE4">
        <w:rPr>
          <w:rFonts w:cs="Times"/>
        </w:rPr>
        <w:t>and therefore need a la</w:t>
      </w:r>
      <w:r w:rsidR="003E46FE">
        <w:rPr>
          <w:rFonts w:cs="Times"/>
        </w:rPr>
        <w:t>rge volume of training data</w:t>
      </w:r>
      <w:r w:rsidR="006115F5">
        <w:rPr>
          <w:rFonts w:cs="Times"/>
        </w:rPr>
        <w:t xml:space="preserve">) and </w:t>
      </w:r>
      <w:r w:rsidR="003E46FE">
        <w:rPr>
          <w:rFonts w:cs="Times"/>
        </w:rPr>
        <w:t>the time</w:t>
      </w:r>
      <w:r w:rsidR="005D1EEF">
        <w:rPr>
          <w:rFonts w:cs="Times"/>
        </w:rPr>
        <w:t xml:space="preserve"> and computational cost of model training</w:t>
      </w:r>
      <w:r w:rsidR="00FF65C0">
        <w:rPr>
          <w:rFonts w:cs="Times"/>
        </w:rPr>
        <w:t>. To overcome this problem, we used</w:t>
      </w:r>
      <w:r w:rsidR="005D1EEF">
        <w:rPr>
          <w:rFonts w:cs="Times"/>
        </w:rPr>
        <w:t xml:space="preserve"> feature selection methods </w:t>
      </w:r>
      <w:r w:rsidR="00FF65C0">
        <w:rPr>
          <w:rFonts w:cs="Times"/>
        </w:rPr>
        <w:t>for</w:t>
      </w:r>
      <w:r w:rsidR="00106811">
        <w:rPr>
          <w:rFonts w:cs="Times"/>
        </w:rPr>
        <w:t xml:space="preserve"> the Cell Painting readouts</w:t>
      </w:r>
      <w:r w:rsidR="0029061A">
        <w:rPr>
          <w:rFonts w:cs="Times"/>
        </w:rPr>
        <w:t>. For this</w:t>
      </w:r>
      <w:r w:rsidR="00106811" w:rsidRPr="001134B0">
        <w:rPr>
          <w:rFonts w:cs="Times"/>
        </w:rPr>
        <w:t>,</w:t>
      </w:r>
      <w:r w:rsidR="0029061A">
        <w:rPr>
          <w:rFonts w:cs="Times"/>
        </w:rPr>
        <w:t xml:space="preserve"> we used</w:t>
      </w:r>
      <w:r w:rsidR="00106811" w:rsidRPr="001134B0">
        <w:rPr>
          <w:rFonts w:cs="Times"/>
        </w:rPr>
        <w:t xml:space="preserve"> the Kolmogorov-Smirnov (KS) test</w:t>
      </w:r>
      <w:r w:rsidR="00106811" w:rsidRPr="001134B0">
        <w:rPr>
          <w:rStyle w:val="EndnoteReference"/>
          <w:rFonts w:cs="Times"/>
        </w:rPr>
        <w:endnoteReference w:id="49"/>
      </w:r>
      <w:r w:rsidR="00106811" w:rsidRPr="001134B0">
        <w:rPr>
          <w:rFonts w:cs="Times"/>
        </w:rPr>
        <w:t xml:space="preserve"> (as implemented in SciPy</w:t>
      </w:r>
      <w:bookmarkStart w:id="9" w:name="_Ref46691631"/>
      <w:r w:rsidR="00106811" w:rsidRPr="001134B0">
        <w:rPr>
          <w:rStyle w:val="EndnoteReference"/>
          <w:rFonts w:cs="Times"/>
        </w:rPr>
        <w:endnoteReference w:id="50"/>
      </w:r>
      <w:bookmarkEnd w:id="9"/>
      <w:r w:rsidR="00106811" w:rsidRPr="001134B0">
        <w:rPr>
          <w:rFonts w:cs="Times"/>
        </w:rPr>
        <w:t xml:space="preserve">) </w:t>
      </w:r>
      <w:r w:rsidR="003234E8" w:rsidRPr="003234E8">
        <w:rPr>
          <w:rFonts w:cs="Times"/>
        </w:rPr>
        <w:t>to identify significant feature distribution differences between individual features and endpoint classes</w:t>
      </w:r>
      <w:r w:rsidR="005762AE">
        <w:rPr>
          <w:rFonts w:cs="Times"/>
        </w:rPr>
        <w:t xml:space="preserve"> </w:t>
      </w:r>
      <w:r w:rsidR="00CE6936">
        <w:rPr>
          <w:rFonts w:cs="Times"/>
        </w:rPr>
        <w:t>(</w:t>
      </w:r>
      <w:r w:rsidR="005762AE">
        <w:rPr>
          <w:rFonts w:cs="Times"/>
        </w:rPr>
        <w:t xml:space="preserve">in </w:t>
      </w:r>
      <w:r w:rsidR="00B40C00" w:rsidRPr="00B40C00">
        <w:rPr>
          <w:rFonts w:cs="Times"/>
        </w:rPr>
        <w:t xml:space="preserve">each </w:t>
      </w:r>
      <w:r w:rsidR="005762AE">
        <w:rPr>
          <w:rFonts w:cs="Times"/>
        </w:rPr>
        <w:t xml:space="preserve">training </w:t>
      </w:r>
      <w:r w:rsidR="00B40C00">
        <w:rPr>
          <w:rFonts w:cs="Times"/>
        </w:rPr>
        <w:t>set</w:t>
      </w:r>
      <w:r w:rsidR="005762AE">
        <w:rPr>
          <w:rFonts w:cs="Times"/>
        </w:rPr>
        <w:t xml:space="preserve"> without </w:t>
      </w:r>
      <w:r w:rsidR="00B40C00" w:rsidRPr="00B40C00">
        <w:rPr>
          <w:rFonts w:cs="Times"/>
        </w:rPr>
        <w:t xml:space="preserve">using any information </w:t>
      </w:r>
      <w:r w:rsidR="00CE6936">
        <w:rPr>
          <w:rFonts w:cs="Times"/>
        </w:rPr>
        <w:t>from</w:t>
      </w:r>
      <w:r w:rsidR="00B40C00" w:rsidRPr="00B40C00">
        <w:rPr>
          <w:rFonts w:cs="Times"/>
        </w:rPr>
        <w:t xml:space="preserve"> the respective test set</w:t>
      </w:r>
      <w:r w:rsidR="00CE6936">
        <w:rPr>
          <w:rFonts w:cs="Times"/>
        </w:rPr>
        <w:t>; see</w:t>
      </w:r>
      <w:r w:rsidR="00A25ADD">
        <w:rPr>
          <w:rFonts w:cs="Times"/>
        </w:rPr>
        <w:t xml:space="preserve"> </w:t>
      </w:r>
      <w:r w:rsidR="00CE6936" w:rsidRPr="00A25ADD">
        <w:rPr>
          <w:rFonts w:cs="Times"/>
        </w:rPr>
        <w:t>Model training</w:t>
      </w:r>
      <w:r w:rsidR="00A25ADD">
        <w:rPr>
          <w:rFonts w:cs="Times"/>
        </w:rPr>
        <w:t xml:space="preserve"> section</w:t>
      </w:r>
      <w:r w:rsidR="00CE6936">
        <w:rPr>
          <w:rFonts w:cs="Times"/>
        </w:rPr>
        <w:t xml:space="preserve"> for details)</w:t>
      </w:r>
      <w:r w:rsidR="003234E8" w:rsidRPr="003234E8">
        <w:rPr>
          <w:rFonts w:cs="Times"/>
        </w:rPr>
        <w:t>. All features with p-values below 0.02 were retained and selected for further modelling</w:t>
      </w:r>
      <w:r w:rsidR="00106811" w:rsidRPr="001134B0">
        <w:rPr>
          <w:rFonts w:cs="Times"/>
        </w:rPr>
        <w:t xml:space="preserve">.  Our feature selection did not use a preconceived understanding of cell viability-related mechanisms to select important </w:t>
      </w:r>
      <w:proofErr w:type="gramStart"/>
      <w:r w:rsidR="00106811" w:rsidRPr="001134B0">
        <w:rPr>
          <w:rFonts w:cs="Times"/>
        </w:rPr>
        <w:t>features</w:t>
      </w:r>
      <w:r w:rsidR="006E3DF3">
        <w:rPr>
          <w:rFonts w:cs="Times"/>
        </w:rPr>
        <w:t>,</w:t>
      </w:r>
      <w:r w:rsidR="00106811" w:rsidRPr="001134B0">
        <w:rPr>
          <w:rFonts w:cs="Times"/>
        </w:rPr>
        <w:t xml:space="preserve"> but</w:t>
      </w:r>
      <w:proofErr w:type="gramEnd"/>
      <w:r w:rsidR="00106811" w:rsidRPr="001134B0">
        <w:rPr>
          <w:rFonts w:cs="Times"/>
        </w:rPr>
        <w:t xml:space="preserve"> </w:t>
      </w:r>
      <w:r w:rsidR="003752CB">
        <w:rPr>
          <w:rFonts w:cs="Times"/>
        </w:rPr>
        <w:t>was</w:t>
      </w:r>
      <w:r w:rsidR="00106811" w:rsidRPr="001134B0">
        <w:rPr>
          <w:rFonts w:cs="Times"/>
        </w:rPr>
        <w:t xml:space="preserve"> rather a statistical test using an entirely data-driven approach.</w:t>
      </w:r>
    </w:p>
    <w:p w14:paraId="51FA3776" w14:textId="706C6CD2" w:rsidR="00EF73AE" w:rsidRPr="001134B0" w:rsidRDefault="00EF73AE" w:rsidP="00EF73AE">
      <w:pPr>
        <w:pStyle w:val="TAMainText"/>
        <w:rPr>
          <w:rFonts w:cs="Times"/>
        </w:rPr>
      </w:pPr>
      <w:r w:rsidRPr="001134B0">
        <w:rPr>
          <w:rFonts w:cs="Times"/>
        </w:rPr>
        <w:t xml:space="preserve">Descriptors </w:t>
      </w:r>
      <w:r w:rsidR="0041092A" w:rsidRPr="001134B0">
        <w:rPr>
          <w:rFonts w:cs="Times"/>
        </w:rPr>
        <w:t>and Fingerprints</w:t>
      </w:r>
      <w:r w:rsidRPr="001134B0">
        <w:rPr>
          <w:rFonts w:cs="Times"/>
        </w:rPr>
        <w:t xml:space="preserve"> </w:t>
      </w:r>
    </w:p>
    <w:p w14:paraId="2A51BB01" w14:textId="7B66A1B9" w:rsidR="00EF73AE" w:rsidRPr="001134B0" w:rsidRDefault="00EF73AE" w:rsidP="00EF73AE">
      <w:pPr>
        <w:pStyle w:val="TAMainText"/>
        <w:rPr>
          <w:rFonts w:cs="Times"/>
        </w:rPr>
      </w:pPr>
      <w:r w:rsidRPr="001134B0">
        <w:rPr>
          <w:rFonts w:cs="Times"/>
        </w:rPr>
        <w:t xml:space="preserve">We used in total five different descriptors as input features (including combinations), </w:t>
      </w:r>
      <w:r w:rsidR="00376C33">
        <w:rPr>
          <w:rFonts w:cs="Times"/>
        </w:rPr>
        <w:t xml:space="preserve">namely </w:t>
      </w:r>
      <w:r w:rsidRPr="001134B0">
        <w:rPr>
          <w:rFonts w:cs="Times"/>
        </w:rPr>
        <w:t>(</w:t>
      </w:r>
      <w:proofErr w:type="spellStart"/>
      <w:r w:rsidRPr="001134B0">
        <w:rPr>
          <w:rFonts w:cs="Times"/>
        </w:rPr>
        <w:t>i</w:t>
      </w:r>
      <w:proofErr w:type="spellEnd"/>
      <w:r w:rsidRPr="001134B0">
        <w:rPr>
          <w:rFonts w:cs="Times"/>
        </w:rPr>
        <w:t>) Morgan fingerprints</w:t>
      </w:r>
      <w:r w:rsidR="004E5858">
        <w:rPr>
          <w:rStyle w:val="EndnoteReference"/>
          <w:rFonts w:cs="Times"/>
        </w:rPr>
        <w:endnoteReference w:id="51"/>
      </w:r>
      <w:r w:rsidR="00B3286F" w:rsidRPr="001134B0">
        <w:rPr>
          <w:rFonts w:cs="Times"/>
        </w:rPr>
        <w:t xml:space="preserve"> of 2048 bit and radius 2</w:t>
      </w:r>
      <w:r w:rsidRPr="001134B0">
        <w:rPr>
          <w:rFonts w:cs="Times"/>
        </w:rPr>
        <w:t xml:space="preserve">, (ii) </w:t>
      </w:r>
      <w:r w:rsidR="00B3286F" w:rsidRPr="001134B0">
        <w:rPr>
          <w:rFonts w:cs="Times"/>
        </w:rPr>
        <w:t>Extended reduced Graph (</w:t>
      </w:r>
      <w:proofErr w:type="spellStart"/>
      <w:r w:rsidRPr="001134B0">
        <w:rPr>
          <w:rFonts w:cs="Times"/>
        </w:rPr>
        <w:t>ErG</w:t>
      </w:r>
      <w:proofErr w:type="spellEnd"/>
      <w:r w:rsidR="00B3286F" w:rsidRPr="001134B0">
        <w:rPr>
          <w:rFonts w:cs="Times"/>
        </w:rPr>
        <w:t>)</w:t>
      </w:r>
      <w:r w:rsidRPr="001134B0">
        <w:rPr>
          <w:rFonts w:cs="Times"/>
        </w:rPr>
        <w:t xml:space="preserve"> fingerprints</w:t>
      </w:r>
      <w:bookmarkStart w:id="10" w:name="_Ref46691279"/>
      <w:r w:rsidR="00131F39" w:rsidRPr="001134B0">
        <w:rPr>
          <w:rStyle w:val="EndnoteReference"/>
          <w:rFonts w:cs="Times"/>
        </w:rPr>
        <w:endnoteReference w:id="52"/>
      </w:r>
      <w:bookmarkEnd w:id="10"/>
      <w:r w:rsidRPr="001134B0">
        <w:rPr>
          <w:rFonts w:cs="Times"/>
        </w:rPr>
        <w:t xml:space="preserve">, (iii) Cell Painting </w:t>
      </w:r>
      <w:r w:rsidR="007E2F61">
        <w:rPr>
          <w:rFonts w:cs="Times"/>
        </w:rPr>
        <w:t xml:space="preserve">descriptors </w:t>
      </w:r>
      <w:r w:rsidRPr="001134B0">
        <w:rPr>
          <w:rFonts w:cs="Times"/>
        </w:rPr>
        <w:t>after feature selection, (iv) a combination of Morgan fingerprint and selected Cell Painting features and (</w:t>
      </w:r>
      <w:r w:rsidR="00790F47" w:rsidRPr="001134B0">
        <w:rPr>
          <w:rFonts w:cs="Times"/>
        </w:rPr>
        <w:t>v</w:t>
      </w:r>
      <w:r w:rsidRPr="001134B0">
        <w:rPr>
          <w:rFonts w:cs="Times"/>
        </w:rPr>
        <w:t xml:space="preserve">) a combination of </w:t>
      </w:r>
      <w:proofErr w:type="spellStart"/>
      <w:r w:rsidRPr="001134B0">
        <w:rPr>
          <w:rFonts w:cs="Times"/>
        </w:rPr>
        <w:t>ErG</w:t>
      </w:r>
      <w:proofErr w:type="spellEnd"/>
      <w:r w:rsidRPr="001134B0">
        <w:rPr>
          <w:rFonts w:cs="Times"/>
        </w:rPr>
        <w:t xml:space="preserve"> fingerprints and selected Cell Painting features.</w:t>
      </w:r>
      <w:r w:rsidR="007E2F61">
        <w:rPr>
          <w:rFonts w:cs="Times"/>
        </w:rPr>
        <w:t xml:space="preserve"> </w:t>
      </w:r>
      <w:r w:rsidR="00B3286F" w:rsidRPr="001134B0">
        <w:rPr>
          <w:rFonts w:cs="Times"/>
        </w:rPr>
        <w:t>Morgan fingerprints belong to the group of circular fingerprints which have performed well in previous benchmarks</w:t>
      </w:r>
      <w:r w:rsidR="00B3286F" w:rsidRPr="001134B0">
        <w:rPr>
          <w:rStyle w:val="EndnoteReference"/>
          <w:rFonts w:cs="Times"/>
        </w:rPr>
        <w:endnoteReference w:id="53"/>
      </w:r>
      <w:r w:rsidR="00B3286F" w:rsidRPr="001134B0">
        <w:rPr>
          <w:rFonts w:cs="Times"/>
        </w:rPr>
        <w:t xml:space="preserve">, while the </w:t>
      </w:r>
      <w:proofErr w:type="spellStart"/>
      <w:r w:rsidR="00B3286F" w:rsidRPr="001134B0">
        <w:rPr>
          <w:rFonts w:cs="Times"/>
        </w:rPr>
        <w:t>ErG</w:t>
      </w:r>
      <w:proofErr w:type="spellEnd"/>
      <w:r w:rsidR="00B3286F" w:rsidRPr="001134B0">
        <w:rPr>
          <w:rFonts w:cs="Times"/>
        </w:rPr>
        <w:t xml:space="preserve"> fingerprint uses a pharmacophore-type representation. Morgan</w:t>
      </w:r>
      <w:r w:rsidRPr="001134B0">
        <w:rPr>
          <w:rFonts w:cs="Times"/>
        </w:rPr>
        <w:t xml:space="preserve"> and </w:t>
      </w:r>
      <w:proofErr w:type="spellStart"/>
      <w:r w:rsidRPr="001134B0">
        <w:rPr>
          <w:rFonts w:cs="Times"/>
        </w:rPr>
        <w:t>ErG</w:t>
      </w:r>
      <w:proofErr w:type="spellEnd"/>
      <w:r w:rsidRPr="001134B0">
        <w:rPr>
          <w:rFonts w:cs="Times"/>
        </w:rPr>
        <w:t xml:space="preserve"> fingerprints were calculated from the standardised SMILES using RDKit.</w:t>
      </w:r>
      <w:r w:rsidR="001F1214" w:rsidRPr="001134B0">
        <w:rPr>
          <w:rFonts w:cs="Times"/>
          <w:color w:val="000000"/>
          <w:vertAlign w:val="superscript"/>
        </w:rPr>
        <w:t>45</w:t>
      </w:r>
      <w:r w:rsidRPr="001134B0">
        <w:rPr>
          <w:rFonts w:cs="Times"/>
        </w:rPr>
        <w:t xml:space="preserve"> </w:t>
      </w:r>
      <w:r w:rsidR="007E2F61">
        <w:rPr>
          <w:rFonts w:cs="Times"/>
        </w:rPr>
        <w:t>C</w:t>
      </w:r>
      <w:r w:rsidR="00790F47" w:rsidRPr="001134B0">
        <w:rPr>
          <w:rFonts w:cs="Times"/>
        </w:rPr>
        <w:t>ombination</w:t>
      </w:r>
      <w:r w:rsidR="00191E0D" w:rsidRPr="001134B0">
        <w:rPr>
          <w:rFonts w:cs="Times"/>
        </w:rPr>
        <w:t xml:space="preserve"> </w:t>
      </w:r>
      <w:r w:rsidR="00570AEB">
        <w:rPr>
          <w:rFonts w:cs="Times"/>
        </w:rPr>
        <w:t>descriptors</w:t>
      </w:r>
      <w:r w:rsidR="00570AEB" w:rsidRPr="001134B0">
        <w:rPr>
          <w:rFonts w:cs="Times"/>
        </w:rPr>
        <w:t xml:space="preserve"> </w:t>
      </w:r>
      <w:r w:rsidR="00191E0D" w:rsidRPr="001134B0">
        <w:rPr>
          <w:rFonts w:cs="Times"/>
        </w:rPr>
        <w:t xml:space="preserve">were created by appending </w:t>
      </w:r>
      <w:r w:rsidRPr="001134B0">
        <w:rPr>
          <w:rFonts w:cs="Times"/>
        </w:rPr>
        <w:t>Morgan</w:t>
      </w:r>
      <w:r w:rsidR="00790F47" w:rsidRPr="001134B0">
        <w:rPr>
          <w:rFonts w:cs="Times"/>
        </w:rPr>
        <w:t>/</w:t>
      </w:r>
      <w:proofErr w:type="spellStart"/>
      <w:r w:rsidRPr="001134B0">
        <w:rPr>
          <w:rFonts w:cs="Times"/>
        </w:rPr>
        <w:t>ErG</w:t>
      </w:r>
      <w:proofErr w:type="spellEnd"/>
      <w:r w:rsidRPr="001134B0">
        <w:rPr>
          <w:rFonts w:cs="Times"/>
        </w:rPr>
        <w:t xml:space="preserve"> fingerprints </w:t>
      </w:r>
      <w:r w:rsidR="007E2F61">
        <w:rPr>
          <w:rFonts w:cs="Times"/>
        </w:rPr>
        <w:t>to</w:t>
      </w:r>
      <w:r w:rsidRPr="001134B0">
        <w:rPr>
          <w:rFonts w:cs="Times"/>
        </w:rPr>
        <w:t xml:space="preserve"> the selected Cell Painting feature</w:t>
      </w:r>
      <w:r w:rsidR="00191E0D" w:rsidRPr="001134B0">
        <w:rPr>
          <w:rFonts w:cs="Times"/>
        </w:rPr>
        <w:t>s</w:t>
      </w:r>
      <w:r w:rsidRPr="001134B0">
        <w:rPr>
          <w:rFonts w:cs="Times"/>
        </w:rPr>
        <w:t xml:space="preserve">. </w:t>
      </w:r>
    </w:p>
    <w:p w14:paraId="5D5BF8A0" w14:textId="77777777" w:rsidR="00EF73AE" w:rsidRPr="001134B0" w:rsidRDefault="00EF73AE" w:rsidP="00EF73AE">
      <w:pPr>
        <w:pStyle w:val="TAMainText"/>
        <w:rPr>
          <w:rFonts w:cs="Times"/>
        </w:rPr>
      </w:pPr>
      <w:r w:rsidRPr="001134B0">
        <w:rPr>
          <w:rFonts w:cs="Times"/>
        </w:rPr>
        <w:t xml:space="preserve">Model training </w:t>
      </w:r>
    </w:p>
    <w:p w14:paraId="2F11BC47" w14:textId="48F9A077" w:rsidR="00EF73AE" w:rsidRPr="001134B0" w:rsidRDefault="00EF73AE" w:rsidP="00471C5B">
      <w:pPr>
        <w:pStyle w:val="TAMainText"/>
        <w:rPr>
          <w:rFonts w:cs="Times"/>
        </w:rPr>
      </w:pPr>
      <w:r w:rsidRPr="001134B0">
        <w:rPr>
          <w:rFonts w:cs="Times"/>
        </w:rPr>
        <w:lastRenderedPageBreak/>
        <w:t xml:space="preserve">Random Forest </w:t>
      </w:r>
      <w:r w:rsidR="0041092A" w:rsidRPr="001134B0">
        <w:rPr>
          <w:rFonts w:cs="Times"/>
        </w:rPr>
        <w:t xml:space="preserve">classifiers </w:t>
      </w:r>
      <w:r w:rsidRPr="001134B0">
        <w:rPr>
          <w:rFonts w:cs="Times"/>
        </w:rPr>
        <w:t>were trained for each endpoint using nested cross-validation consisting of an outer and an inner parameter optimisation loop</w:t>
      </w:r>
      <w:r w:rsidR="0041092A" w:rsidRPr="001134B0">
        <w:rPr>
          <w:rFonts w:cs="Times"/>
        </w:rPr>
        <w:t xml:space="preserve"> (see Figure 1)</w:t>
      </w:r>
      <w:r w:rsidR="00471C5B">
        <w:rPr>
          <w:rFonts w:cs="Times"/>
        </w:rPr>
        <w:t xml:space="preserve"> based on</w:t>
      </w:r>
      <w:r w:rsidRPr="001134B0">
        <w:rPr>
          <w:rFonts w:cs="Times"/>
        </w:rPr>
        <w:t xml:space="preserve"> </w:t>
      </w:r>
      <w:r w:rsidR="00471C5B">
        <w:rPr>
          <w:rFonts w:cs="Times"/>
        </w:rPr>
        <w:t xml:space="preserve">the </w:t>
      </w:r>
      <w:proofErr w:type="spellStart"/>
      <w:r w:rsidR="00471C5B" w:rsidRPr="001134B0">
        <w:rPr>
          <w:rFonts w:cs="Times"/>
        </w:rPr>
        <w:t>sklearn.ensemble.RandomForestClassifier</w:t>
      </w:r>
      <w:proofErr w:type="spellEnd"/>
      <w:r w:rsidR="00471C5B" w:rsidRPr="001134B0">
        <w:rPr>
          <w:rFonts w:cs="Times"/>
        </w:rPr>
        <w:t xml:space="preserve"> </w:t>
      </w:r>
      <w:r w:rsidR="00471C5B">
        <w:rPr>
          <w:rFonts w:cs="Times"/>
        </w:rPr>
        <w:t xml:space="preserve">package in </w:t>
      </w:r>
      <w:proofErr w:type="spellStart"/>
      <w:r w:rsidRPr="001134B0">
        <w:rPr>
          <w:rFonts w:cs="Times"/>
        </w:rPr>
        <w:t>scikit</w:t>
      </w:r>
      <w:proofErr w:type="spellEnd"/>
      <w:r w:rsidRPr="001134B0">
        <w:rPr>
          <w:rFonts w:cs="Times"/>
        </w:rPr>
        <w:t>-learn</w:t>
      </w:r>
      <w:bookmarkStart w:id="11" w:name="_Ref46922056"/>
      <w:r w:rsidR="003E5F15" w:rsidRPr="001134B0">
        <w:rPr>
          <w:rStyle w:val="EndnoteReference"/>
          <w:rFonts w:cs="Times"/>
        </w:rPr>
        <w:endnoteReference w:id="54"/>
      </w:r>
      <w:bookmarkEnd w:id="11"/>
      <w:r w:rsidRPr="001134B0">
        <w:rPr>
          <w:rFonts w:cs="Times"/>
        </w:rPr>
        <w:t xml:space="preserve"> .</w:t>
      </w:r>
      <w:r w:rsidR="00471C5B">
        <w:rPr>
          <w:rFonts w:cs="Times"/>
        </w:rPr>
        <w:t xml:space="preserve"> </w:t>
      </w:r>
      <w:r w:rsidRPr="001134B0">
        <w:rPr>
          <w:rFonts w:cs="Times"/>
        </w:rPr>
        <w:t xml:space="preserve">For each outer loop iteration, </w:t>
      </w:r>
      <w:r w:rsidR="00471C5B">
        <w:rPr>
          <w:rFonts w:cs="Times"/>
        </w:rPr>
        <w:t xml:space="preserve">the </w:t>
      </w:r>
      <w:r w:rsidRPr="001134B0">
        <w:rPr>
          <w:rFonts w:cs="Times"/>
        </w:rPr>
        <w:t xml:space="preserve">data was split into </w:t>
      </w:r>
      <w:r w:rsidRPr="001134B0">
        <w:rPr>
          <w:rFonts w:cs="Times"/>
          <w:i/>
          <w:iCs/>
        </w:rPr>
        <w:t>k</w:t>
      </w:r>
      <w:r w:rsidRPr="001134B0">
        <w:rPr>
          <w:rFonts w:cs="Times"/>
        </w:rPr>
        <w:t xml:space="preserve"> folds and one of the folds was reserved as a held-out test set</w:t>
      </w:r>
      <w:r w:rsidR="00A771C8">
        <w:rPr>
          <w:rFonts w:cs="Times"/>
        </w:rPr>
        <w:t xml:space="preserve">. </w:t>
      </w:r>
      <w:r w:rsidRPr="001134B0">
        <w:rPr>
          <w:rFonts w:cs="Times"/>
        </w:rPr>
        <w:t xml:space="preserve">The remaining </w:t>
      </w:r>
      <w:r w:rsidRPr="001134B0">
        <w:rPr>
          <w:rFonts w:cs="Times"/>
          <w:i/>
          <w:iCs/>
        </w:rPr>
        <w:t>k-1</w:t>
      </w:r>
      <w:r w:rsidRPr="001134B0">
        <w:rPr>
          <w:rFonts w:cs="Times"/>
        </w:rPr>
        <w:t xml:space="preserve"> folds combined as a training set were passed into the inner loop for hyperparameter optimisation using grid search (from </w:t>
      </w:r>
      <w:proofErr w:type="spellStart"/>
      <w:r w:rsidRPr="001134B0">
        <w:rPr>
          <w:rFonts w:cs="Times"/>
        </w:rPr>
        <w:t>sklearn</w:t>
      </w:r>
      <w:r w:rsidR="0041092A" w:rsidRPr="001134B0">
        <w:rPr>
          <w:rFonts w:cs="Times"/>
        </w:rPr>
        <w:t>.</w:t>
      </w:r>
      <w:r w:rsidRPr="001134B0">
        <w:rPr>
          <w:rFonts w:cs="Times"/>
        </w:rPr>
        <w:t>model</w:t>
      </w:r>
      <w:r w:rsidR="0041092A" w:rsidRPr="001134B0">
        <w:rPr>
          <w:rFonts w:cs="Times"/>
        </w:rPr>
        <w:t>.</w:t>
      </w:r>
      <w:r w:rsidRPr="001134B0">
        <w:rPr>
          <w:rFonts w:cs="Times"/>
        </w:rPr>
        <w:t>selection</w:t>
      </w:r>
      <w:proofErr w:type="spellEnd"/>
      <w:r w:rsidRPr="001134B0">
        <w:rPr>
          <w:rFonts w:cs="Times"/>
        </w:rPr>
        <w:t xml:space="preserve">, </w:t>
      </w:r>
      <w:r w:rsidR="008B7A15">
        <w:rPr>
          <w:rFonts w:cs="Times"/>
        </w:rPr>
        <w:t xml:space="preserve">for </w:t>
      </w:r>
      <w:r w:rsidR="005A6C6D">
        <w:rPr>
          <w:rFonts w:cs="Times"/>
        </w:rPr>
        <w:t>hyper</w:t>
      </w:r>
      <w:r w:rsidR="008B7A15">
        <w:rPr>
          <w:rFonts w:cs="Times"/>
        </w:rPr>
        <w:t xml:space="preserve">parameter space </w:t>
      </w:r>
      <w:r w:rsidRPr="001134B0">
        <w:rPr>
          <w:rFonts w:cs="Times"/>
        </w:rPr>
        <w:t>see </w:t>
      </w:r>
      <w:r w:rsidR="00471C5B">
        <w:rPr>
          <w:rFonts w:cs="Times"/>
        </w:rPr>
        <w:t xml:space="preserve">Supplementary </w:t>
      </w:r>
      <w:r w:rsidRPr="001134B0">
        <w:rPr>
          <w:rFonts w:cs="Times"/>
        </w:rPr>
        <w:t>Table S</w:t>
      </w:r>
      <w:r w:rsidR="000A3BAB">
        <w:rPr>
          <w:rFonts w:cs="Times"/>
        </w:rPr>
        <w:t>2</w:t>
      </w:r>
      <w:r w:rsidRPr="001134B0">
        <w:rPr>
          <w:rFonts w:cs="Times"/>
        </w:rPr>
        <w:t>)</w:t>
      </w:r>
      <w:r w:rsidR="008B7A15" w:rsidRPr="001134B0">
        <w:rPr>
          <w:rFonts w:cs="Times"/>
        </w:rPr>
        <w:t xml:space="preserve">. </w:t>
      </w:r>
      <w:r w:rsidR="008D6D24" w:rsidRPr="008D6D24">
        <w:rPr>
          <w:rFonts w:cs="Times"/>
        </w:rPr>
        <w:t>For models using Cell Painting</w:t>
      </w:r>
      <w:r w:rsidR="001D49F9">
        <w:rPr>
          <w:rFonts w:cs="Times"/>
        </w:rPr>
        <w:t xml:space="preserve"> descriptors</w:t>
      </w:r>
      <w:r w:rsidR="008D6D24" w:rsidRPr="008D6D24">
        <w:rPr>
          <w:rFonts w:cs="Times"/>
        </w:rPr>
        <w:t xml:space="preserve">, feature selection was performed based on nested cross-validation, i.e. using only data from the k-1 folds which were used to optimise hyperparameters as well, and thus without using any information from the respective held-out test set which was solely used to test predictions. </w:t>
      </w:r>
      <w:r w:rsidR="00A771C8">
        <w:rPr>
          <w:rFonts w:cs="Times"/>
        </w:rPr>
        <w:t xml:space="preserve"> </w:t>
      </w:r>
      <w:r w:rsidRPr="001134B0">
        <w:rPr>
          <w:rFonts w:cs="Times"/>
        </w:rPr>
        <w:t>Inside this inner loop, each parameter was optimised using 5-fold cross</w:t>
      </w:r>
      <w:r w:rsidR="001C4835" w:rsidRPr="001134B0">
        <w:rPr>
          <w:rFonts w:cs="Times"/>
        </w:rPr>
        <w:t>-</w:t>
      </w:r>
      <w:r w:rsidRPr="001134B0">
        <w:rPr>
          <w:rFonts w:cs="Times"/>
        </w:rPr>
        <w:t>validation</w:t>
      </w:r>
      <w:r w:rsidR="00471C5B">
        <w:rPr>
          <w:rFonts w:cs="Times"/>
        </w:rPr>
        <w:t xml:space="preserve">, based on either all features or </w:t>
      </w:r>
      <w:r w:rsidRPr="001134B0">
        <w:rPr>
          <w:rFonts w:cs="Times"/>
        </w:rPr>
        <w:t>for models using Cell Painting features</w:t>
      </w:r>
      <w:r w:rsidR="003110E8">
        <w:rPr>
          <w:rFonts w:cs="Times"/>
        </w:rPr>
        <w:t>,</w:t>
      </w:r>
      <w:r w:rsidR="00471C5B">
        <w:rPr>
          <w:rFonts w:cs="Times"/>
        </w:rPr>
        <w:t xml:space="preserve"> the</w:t>
      </w:r>
      <w:r w:rsidRPr="001134B0">
        <w:rPr>
          <w:rFonts w:cs="Times"/>
        </w:rPr>
        <w:t xml:space="preserve"> </w:t>
      </w:r>
      <w:r w:rsidR="003110E8">
        <w:rPr>
          <w:rFonts w:cs="Times"/>
        </w:rPr>
        <w:t xml:space="preserve">selected features using the </w:t>
      </w:r>
      <w:r w:rsidRPr="001134B0">
        <w:rPr>
          <w:rFonts w:cs="Times"/>
        </w:rPr>
        <w:t>KS-test</w:t>
      </w:r>
      <w:r w:rsidR="003110E8">
        <w:rPr>
          <w:rFonts w:cs="Times"/>
        </w:rPr>
        <w:t xml:space="preserve"> </w:t>
      </w:r>
      <w:r w:rsidR="00471C5B">
        <w:rPr>
          <w:rFonts w:cs="Times"/>
        </w:rPr>
        <w:t>as described above</w:t>
      </w:r>
      <w:r w:rsidRPr="001134B0">
        <w:rPr>
          <w:rFonts w:cs="Times"/>
        </w:rPr>
        <w:t xml:space="preserve">. Finally, the model was trained on the data in the entire of the inner fold (that is, the </w:t>
      </w:r>
      <w:r w:rsidRPr="001134B0">
        <w:rPr>
          <w:rFonts w:cs="Times"/>
          <w:i/>
          <w:iCs/>
        </w:rPr>
        <w:t>k-1</w:t>
      </w:r>
      <w:r w:rsidRPr="001134B0">
        <w:rPr>
          <w:rFonts w:cs="Times"/>
        </w:rPr>
        <w:t xml:space="preserve"> folds) using the best parameters and tested on the held-out test set (that is, the k</w:t>
      </w:r>
      <w:r w:rsidRPr="001134B0">
        <w:rPr>
          <w:rFonts w:cs="Times"/>
          <w:vertAlign w:val="superscript"/>
        </w:rPr>
        <w:t>th</w:t>
      </w:r>
      <w:r w:rsidRPr="001134B0">
        <w:rPr>
          <w:rFonts w:cs="Times"/>
        </w:rPr>
        <w:t xml:space="preserve"> fold). This process was repeated </w:t>
      </w:r>
      <w:r w:rsidRPr="001134B0">
        <w:rPr>
          <w:rFonts w:cs="Times"/>
          <w:i/>
          <w:iCs/>
        </w:rPr>
        <w:t>k</w:t>
      </w:r>
      <w:r w:rsidRPr="001134B0">
        <w:rPr>
          <w:rFonts w:cs="Times"/>
        </w:rPr>
        <w:t xml:space="preserve"> times, once for each iteration in the outer loop, until the entire data set was treated as a test set</w:t>
      </w:r>
      <w:r w:rsidR="0041092A" w:rsidRPr="001134B0">
        <w:rPr>
          <w:rFonts w:cs="Times"/>
        </w:rPr>
        <w:t>.</w:t>
      </w:r>
    </w:p>
    <w:p w14:paraId="3F81CC9D" w14:textId="7B0304AD" w:rsidR="001C5271" w:rsidRDefault="00EF73AE" w:rsidP="00EF73AE">
      <w:pPr>
        <w:pStyle w:val="TAMainText"/>
        <w:rPr>
          <w:rFonts w:cs="Times"/>
          <w:color w:val="201F1E"/>
          <w:szCs w:val="24"/>
          <w:shd w:val="clear" w:color="auto" w:fill="FFFFFF"/>
        </w:rPr>
      </w:pPr>
      <w:r w:rsidRPr="001134B0">
        <w:rPr>
          <w:rFonts w:cs="Times"/>
        </w:rPr>
        <w:t xml:space="preserve">We trained two types of models based on the splitting of data into </w:t>
      </w:r>
      <w:r w:rsidRPr="001134B0">
        <w:rPr>
          <w:rFonts w:cs="Times"/>
          <w:i/>
          <w:iCs/>
        </w:rPr>
        <w:t>k</w:t>
      </w:r>
      <w:r w:rsidRPr="001134B0">
        <w:rPr>
          <w:rFonts w:cs="Times"/>
        </w:rPr>
        <w:t xml:space="preserve"> folds in the outer loop, </w:t>
      </w:r>
      <w:r w:rsidR="00471C5B">
        <w:rPr>
          <w:rFonts w:cs="Times"/>
        </w:rPr>
        <w:t xml:space="preserve">namely </w:t>
      </w:r>
      <w:r w:rsidRPr="001134B0">
        <w:rPr>
          <w:rFonts w:cs="Times"/>
        </w:rPr>
        <w:t xml:space="preserve">(a) </w:t>
      </w:r>
      <w:r w:rsidR="002B10CA" w:rsidRPr="001134B0">
        <w:rPr>
          <w:rFonts w:cs="Times"/>
          <w:i/>
          <w:iCs/>
        </w:rPr>
        <w:t>random shuffl</w:t>
      </w:r>
      <w:r w:rsidR="001C5271">
        <w:rPr>
          <w:rFonts w:cs="Times"/>
          <w:i/>
          <w:iCs/>
        </w:rPr>
        <w:t>e</w:t>
      </w:r>
      <w:r w:rsidR="002B10CA" w:rsidRPr="001134B0">
        <w:rPr>
          <w:rFonts w:cs="Times"/>
          <w:i/>
          <w:iCs/>
        </w:rPr>
        <w:t xml:space="preserve"> splits</w:t>
      </w:r>
      <w:r w:rsidR="002B10CA" w:rsidRPr="001134B0">
        <w:rPr>
          <w:rFonts w:cs="Times"/>
        </w:rPr>
        <w:t xml:space="preserve"> (using </w:t>
      </w:r>
      <w:r w:rsidRPr="001134B0">
        <w:rPr>
          <w:rFonts w:cs="Times"/>
        </w:rPr>
        <w:t>5-fold shuffle stratified split</w:t>
      </w:r>
      <w:r w:rsidR="001C5271">
        <w:rPr>
          <w:rFonts w:cs="Times"/>
        </w:rPr>
        <w:t>s</w:t>
      </w:r>
      <w:r w:rsidR="002B10CA" w:rsidRPr="001134B0">
        <w:rPr>
          <w:rFonts w:cs="Times"/>
        </w:rPr>
        <w:t>)</w:t>
      </w:r>
      <w:r w:rsidRPr="001134B0">
        <w:rPr>
          <w:rFonts w:cs="Times"/>
        </w:rPr>
        <w:t xml:space="preserve">, </w:t>
      </w:r>
      <w:r w:rsidR="00471C5B">
        <w:rPr>
          <w:rFonts w:cs="Times"/>
        </w:rPr>
        <w:t>and</w:t>
      </w:r>
      <w:r w:rsidRPr="001134B0">
        <w:rPr>
          <w:rFonts w:cs="Times"/>
        </w:rPr>
        <w:t xml:space="preserve"> (b)</w:t>
      </w:r>
      <w:r w:rsidR="002B10CA" w:rsidRPr="001134B0">
        <w:rPr>
          <w:rFonts w:cs="Times"/>
        </w:rPr>
        <w:t xml:space="preserve"> </w:t>
      </w:r>
      <w:r w:rsidR="002B10CA" w:rsidRPr="001134B0">
        <w:rPr>
          <w:rFonts w:cs="Times"/>
          <w:i/>
          <w:iCs/>
        </w:rPr>
        <w:t xml:space="preserve">cluster-based splits </w:t>
      </w:r>
      <w:r w:rsidR="002B10CA" w:rsidRPr="008B71F9">
        <w:rPr>
          <w:rFonts w:cs="Times"/>
        </w:rPr>
        <w:t>(using</w:t>
      </w:r>
      <w:r w:rsidRPr="001134B0">
        <w:rPr>
          <w:rFonts w:cs="Times"/>
        </w:rPr>
        <w:t xml:space="preserve"> a group 5-fold split</w:t>
      </w:r>
      <w:r w:rsidR="00471C5B">
        <w:rPr>
          <w:rFonts w:cs="Times"/>
        </w:rPr>
        <w:t>,</w:t>
      </w:r>
      <w:r w:rsidRPr="001134B0">
        <w:rPr>
          <w:rFonts w:cs="Times"/>
        </w:rPr>
        <w:t xml:space="preserve"> leaving out one cluster</w:t>
      </w:r>
      <w:r w:rsidR="00471C5B">
        <w:rPr>
          <w:rFonts w:cs="Times"/>
        </w:rPr>
        <w:t xml:space="preserve"> at a time</w:t>
      </w:r>
      <w:r w:rsidR="002B10CA" w:rsidRPr="001134B0">
        <w:rPr>
          <w:rFonts w:cs="Times"/>
        </w:rPr>
        <w:t>)</w:t>
      </w:r>
      <w:r w:rsidRPr="001134B0">
        <w:rPr>
          <w:rFonts w:cs="Times"/>
        </w:rPr>
        <w:t xml:space="preserve">.  For </w:t>
      </w:r>
      <w:r w:rsidR="005C44F9">
        <w:rPr>
          <w:rFonts w:cs="Times"/>
        </w:rPr>
        <w:t xml:space="preserve">the </w:t>
      </w:r>
      <w:r w:rsidR="00F31844">
        <w:rPr>
          <w:rFonts w:cs="Times"/>
        </w:rPr>
        <w:t xml:space="preserve">combined endpoint and </w:t>
      </w:r>
      <w:r w:rsidRPr="001134B0">
        <w:rPr>
          <w:rFonts w:cs="Times"/>
        </w:rPr>
        <w:t xml:space="preserve">one of the assays, ACEA_T47D_80hr_Negative assay, </w:t>
      </w:r>
      <w:r w:rsidR="002B10CA" w:rsidRPr="001134B0">
        <w:rPr>
          <w:rFonts w:cs="Times"/>
        </w:rPr>
        <w:t>we used</w:t>
      </w:r>
      <w:r w:rsidRPr="001134B0">
        <w:rPr>
          <w:rFonts w:cs="Times"/>
        </w:rPr>
        <w:t xml:space="preserve"> </w:t>
      </w:r>
      <w:r w:rsidR="00471C5B">
        <w:rPr>
          <w:rFonts w:cs="Times"/>
        </w:rPr>
        <w:t xml:space="preserve">a </w:t>
      </w:r>
      <w:r w:rsidRPr="001134B0">
        <w:rPr>
          <w:rFonts w:cs="Times"/>
        </w:rPr>
        <w:t xml:space="preserve">4-fold </w:t>
      </w:r>
      <w:r w:rsidR="00F44720" w:rsidRPr="00F44720">
        <w:rPr>
          <w:rFonts w:cs="Times"/>
        </w:rPr>
        <w:t xml:space="preserve">cluster-based split </w:t>
      </w:r>
      <w:r w:rsidRPr="001134B0">
        <w:rPr>
          <w:rFonts w:cs="Times"/>
        </w:rPr>
        <w:t xml:space="preserve">in place of 5-folds </w:t>
      </w:r>
      <w:r w:rsidR="002B10CA" w:rsidRPr="001134B0">
        <w:rPr>
          <w:rFonts w:cs="Times"/>
        </w:rPr>
        <w:t>for the</w:t>
      </w:r>
      <w:r w:rsidRPr="001134B0">
        <w:rPr>
          <w:rFonts w:cs="Times"/>
        </w:rPr>
        <w:t xml:space="preserve"> outer loop</w:t>
      </w:r>
      <w:r w:rsidR="002B10CA" w:rsidRPr="001134B0">
        <w:rPr>
          <w:rFonts w:cs="Times"/>
        </w:rPr>
        <w:t xml:space="preserve"> </w:t>
      </w:r>
      <w:r w:rsidRPr="001134B0">
        <w:rPr>
          <w:rFonts w:cs="Times"/>
        </w:rPr>
        <w:t>to ensure</w:t>
      </w:r>
      <w:r w:rsidR="00BA6402" w:rsidRPr="001134B0">
        <w:rPr>
          <w:rFonts w:cs="Times"/>
        </w:rPr>
        <w:t xml:space="preserve"> each</w:t>
      </w:r>
      <w:r w:rsidRPr="001134B0">
        <w:rPr>
          <w:rFonts w:cs="Times"/>
        </w:rPr>
        <w:t xml:space="preserve"> fold </w:t>
      </w:r>
      <w:r w:rsidR="00BA6402" w:rsidRPr="001134B0">
        <w:rPr>
          <w:rFonts w:cs="Times"/>
        </w:rPr>
        <w:t>has</w:t>
      </w:r>
      <w:r w:rsidRPr="001134B0">
        <w:rPr>
          <w:rFonts w:cs="Times"/>
        </w:rPr>
        <w:t xml:space="preserve"> a minimum of 10 </w:t>
      </w:r>
      <w:r w:rsidR="002B10CA" w:rsidRPr="001134B0">
        <w:rPr>
          <w:rFonts w:cs="Times"/>
        </w:rPr>
        <w:t>data</w:t>
      </w:r>
      <w:r w:rsidR="001C4835" w:rsidRPr="001134B0">
        <w:rPr>
          <w:rFonts w:cs="Times"/>
        </w:rPr>
        <w:t xml:space="preserve"> </w:t>
      </w:r>
      <w:r w:rsidR="002B10CA" w:rsidRPr="001134B0">
        <w:rPr>
          <w:rFonts w:cs="Times"/>
        </w:rPr>
        <w:t>points</w:t>
      </w:r>
      <w:r w:rsidR="00695D9B">
        <w:rPr>
          <w:rFonts w:cs="Times"/>
        </w:rPr>
        <w:t xml:space="preserve"> and sample</w:t>
      </w:r>
      <w:r w:rsidR="00F44720">
        <w:rPr>
          <w:rFonts w:cs="Times"/>
        </w:rPr>
        <w:t>s</w:t>
      </w:r>
      <w:r w:rsidR="00695D9B">
        <w:rPr>
          <w:rFonts w:cs="Times"/>
        </w:rPr>
        <w:t xml:space="preserve"> from both classes in train/test folds</w:t>
      </w:r>
      <w:r w:rsidRPr="001134B0">
        <w:rPr>
          <w:rFonts w:cs="Times"/>
        </w:rPr>
        <w:t>.</w:t>
      </w:r>
      <w:r w:rsidR="00471C5B">
        <w:rPr>
          <w:rFonts w:cs="Times"/>
          <w:color w:val="201F1E"/>
          <w:szCs w:val="24"/>
          <w:shd w:val="clear" w:color="auto" w:fill="FFFFFF"/>
        </w:rPr>
        <w:t xml:space="preserve"> </w:t>
      </w:r>
    </w:p>
    <w:p w14:paraId="305B4827" w14:textId="27A4D144" w:rsidR="001C5271" w:rsidRPr="001134B0" w:rsidRDefault="00EF73AE" w:rsidP="001C5271">
      <w:pPr>
        <w:pStyle w:val="TAMainText"/>
        <w:rPr>
          <w:rFonts w:cs="Times"/>
        </w:rPr>
      </w:pPr>
      <w:r w:rsidRPr="001134B0">
        <w:rPr>
          <w:rFonts w:cs="Times"/>
        </w:rPr>
        <w:t xml:space="preserve">For the outer loop </w:t>
      </w:r>
      <w:r w:rsidR="00322996">
        <w:rPr>
          <w:rFonts w:cs="Times"/>
        </w:rPr>
        <w:t>of the</w:t>
      </w:r>
      <w:r w:rsidRPr="001134B0">
        <w:rPr>
          <w:rFonts w:cs="Times"/>
        </w:rPr>
        <w:t xml:space="preserve"> (a) </w:t>
      </w:r>
      <w:r w:rsidR="002B10CA" w:rsidRPr="001134B0">
        <w:rPr>
          <w:rFonts w:cs="Times"/>
          <w:i/>
          <w:iCs/>
        </w:rPr>
        <w:t>random shuffl</w:t>
      </w:r>
      <w:r w:rsidR="001C5271">
        <w:rPr>
          <w:rFonts w:cs="Times"/>
          <w:i/>
          <w:iCs/>
        </w:rPr>
        <w:t>e</w:t>
      </w:r>
      <w:r w:rsidR="002B10CA" w:rsidRPr="001134B0">
        <w:rPr>
          <w:rFonts w:cs="Times"/>
          <w:i/>
          <w:iCs/>
        </w:rPr>
        <w:t xml:space="preserve"> splits</w:t>
      </w:r>
      <w:r w:rsidR="002B10CA" w:rsidRPr="001134B0">
        <w:rPr>
          <w:rFonts w:cs="Times"/>
        </w:rPr>
        <w:t xml:space="preserve">, a </w:t>
      </w:r>
      <w:r w:rsidR="0041092A" w:rsidRPr="001134B0">
        <w:rPr>
          <w:rFonts w:cs="Times"/>
        </w:rPr>
        <w:t>5</w:t>
      </w:r>
      <w:r w:rsidRPr="001134B0">
        <w:rPr>
          <w:rFonts w:cs="Times"/>
        </w:rPr>
        <w:t>-fold shuffle stratified split</w:t>
      </w:r>
      <w:r w:rsidR="002B10CA" w:rsidRPr="001134B0">
        <w:rPr>
          <w:rFonts w:cs="Times"/>
        </w:rPr>
        <w:t xml:space="preserve"> of</w:t>
      </w:r>
      <w:r w:rsidRPr="001134B0">
        <w:rPr>
          <w:rFonts w:cs="Times"/>
        </w:rPr>
        <w:t xml:space="preserve"> data in</w:t>
      </w:r>
      <w:r w:rsidR="002B10CA" w:rsidRPr="001134B0">
        <w:rPr>
          <w:rFonts w:cs="Times"/>
        </w:rPr>
        <w:t>to</w:t>
      </w:r>
      <w:r w:rsidRPr="001134B0">
        <w:rPr>
          <w:rFonts w:cs="Times"/>
        </w:rPr>
        <w:t xml:space="preserve"> train/test </w:t>
      </w:r>
      <w:r w:rsidR="00322996">
        <w:rPr>
          <w:rFonts w:cs="Times"/>
        </w:rPr>
        <w:t xml:space="preserve">sets </w:t>
      </w:r>
      <w:r w:rsidR="002B10CA" w:rsidRPr="001134B0">
        <w:rPr>
          <w:rFonts w:cs="Times"/>
        </w:rPr>
        <w:t>ensures</w:t>
      </w:r>
      <w:r w:rsidRPr="001134B0">
        <w:rPr>
          <w:rFonts w:cs="Times"/>
        </w:rPr>
        <w:t xml:space="preserve"> random split</w:t>
      </w:r>
      <w:r w:rsidR="002B10CA" w:rsidRPr="001134B0">
        <w:rPr>
          <w:rFonts w:cs="Times"/>
        </w:rPr>
        <w:t>ting</w:t>
      </w:r>
      <w:r w:rsidR="00D10C93">
        <w:rPr>
          <w:rFonts w:cs="Times"/>
        </w:rPr>
        <w:t>,</w:t>
      </w:r>
      <w:r w:rsidRPr="001134B0">
        <w:rPr>
          <w:rFonts w:cs="Times"/>
        </w:rPr>
        <w:t xml:space="preserve"> such that </w:t>
      </w:r>
      <w:r w:rsidR="00D10C93">
        <w:rPr>
          <w:rFonts w:cs="Times"/>
        </w:rPr>
        <w:t xml:space="preserve">the </w:t>
      </w:r>
      <w:r w:rsidRPr="001134B0">
        <w:rPr>
          <w:rFonts w:cs="Times"/>
        </w:rPr>
        <w:t>test sets contain t</w:t>
      </w:r>
      <w:r w:rsidR="00D10C93">
        <w:rPr>
          <w:rFonts w:cs="Times"/>
        </w:rPr>
        <w:t>he same</w:t>
      </w:r>
      <w:r w:rsidR="00D10C93" w:rsidRPr="00D10C93">
        <w:t xml:space="preserve"> </w:t>
      </w:r>
      <w:r w:rsidR="00D10C93" w:rsidRPr="00D10C93">
        <w:rPr>
          <w:rFonts w:cs="Times"/>
        </w:rPr>
        <w:t>or very similar distribution of classes</w:t>
      </w:r>
      <w:r w:rsidRPr="001134B0">
        <w:rPr>
          <w:rFonts w:cs="Times"/>
        </w:rPr>
        <w:t xml:space="preserve">. In </w:t>
      </w:r>
      <w:r w:rsidR="00471C5B">
        <w:rPr>
          <w:rFonts w:cs="Times"/>
        </w:rPr>
        <w:t>case of</w:t>
      </w:r>
      <w:r w:rsidRPr="001134B0">
        <w:rPr>
          <w:rFonts w:cs="Times"/>
        </w:rPr>
        <w:t xml:space="preserve"> (b)</w:t>
      </w:r>
      <w:r w:rsidR="002B10CA" w:rsidRPr="001134B0">
        <w:rPr>
          <w:rFonts w:cs="Times"/>
        </w:rPr>
        <w:t xml:space="preserve"> </w:t>
      </w:r>
      <w:r w:rsidR="002B10CA" w:rsidRPr="001134B0">
        <w:rPr>
          <w:rFonts w:cs="Times"/>
          <w:i/>
          <w:iCs/>
        </w:rPr>
        <w:t>cluster-based splits</w:t>
      </w:r>
      <w:r w:rsidR="002B10CA" w:rsidRPr="001134B0">
        <w:rPr>
          <w:rFonts w:cs="Times"/>
        </w:rPr>
        <w:t xml:space="preserve">, </w:t>
      </w:r>
      <w:r w:rsidRPr="001134B0">
        <w:rPr>
          <w:rFonts w:cs="Times"/>
        </w:rPr>
        <w:t>for each assay</w:t>
      </w:r>
      <w:r w:rsidR="002B10CA" w:rsidRPr="001134B0">
        <w:rPr>
          <w:rFonts w:cs="Times"/>
        </w:rPr>
        <w:t xml:space="preserve"> </w:t>
      </w:r>
      <w:r w:rsidRPr="001134B0">
        <w:rPr>
          <w:rFonts w:cs="Times"/>
        </w:rPr>
        <w:t xml:space="preserve">we calculated the following properties </w:t>
      </w:r>
      <w:r w:rsidR="00C1672A" w:rsidRPr="001134B0">
        <w:rPr>
          <w:rFonts w:cs="Times"/>
        </w:rPr>
        <w:t xml:space="preserve">for each compound </w:t>
      </w:r>
      <w:r w:rsidRPr="001134B0">
        <w:rPr>
          <w:rFonts w:cs="Times"/>
        </w:rPr>
        <w:t xml:space="preserve">using </w:t>
      </w:r>
      <w:proofErr w:type="spellStart"/>
      <w:r w:rsidRPr="001134B0">
        <w:rPr>
          <w:rFonts w:cs="Times"/>
        </w:rPr>
        <w:t>RDKit</w:t>
      </w:r>
      <w:proofErr w:type="spellEnd"/>
      <w:r w:rsidR="001F1214" w:rsidRPr="001134B0">
        <w:rPr>
          <w:rFonts w:cs="Times"/>
        </w:rPr>
        <w:t xml:space="preserve"> </w:t>
      </w:r>
      <w:r w:rsidR="001F1214" w:rsidRPr="001134B0">
        <w:rPr>
          <w:rFonts w:cs="Times"/>
          <w:color w:val="000000"/>
          <w:vertAlign w:val="superscript"/>
        </w:rPr>
        <w:t>45</w:t>
      </w:r>
      <w:r w:rsidRPr="001134B0">
        <w:rPr>
          <w:rFonts w:cs="Times"/>
        </w:rPr>
        <w:t xml:space="preserve">: molecular weight, topological polar surface area, number of rotatable bonds, number of hydrogen bond donors, number of hydrogen bond acceptors and the partition coefficient between octanol and water (log P). </w:t>
      </w:r>
      <w:r w:rsidR="00850268" w:rsidRPr="00850268">
        <w:rPr>
          <w:rFonts w:cs="Times"/>
          <w:color w:val="201F1E"/>
          <w:szCs w:val="24"/>
          <w:shd w:val="clear" w:color="auto" w:fill="FFFFFF"/>
        </w:rPr>
        <w:t xml:space="preserve">These physicochemical descriptors representing different and diverse molecular properties were used to define clusters (as opposed to molecular fingerprints e.g. </w:t>
      </w:r>
      <w:proofErr w:type="spellStart"/>
      <w:r w:rsidR="00850268" w:rsidRPr="00850268">
        <w:rPr>
          <w:rFonts w:cs="Times"/>
          <w:color w:val="201F1E"/>
          <w:szCs w:val="24"/>
          <w:shd w:val="clear" w:color="auto" w:fill="FFFFFF"/>
        </w:rPr>
        <w:t>ErG</w:t>
      </w:r>
      <w:proofErr w:type="spellEnd"/>
      <w:r w:rsidR="00850268" w:rsidRPr="00850268">
        <w:rPr>
          <w:rFonts w:cs="Times"/>
          <w:color w:val="201F1E"/>
          <w:szCs w:val="24"/>
          <w:shd w:val="clear" w:color="auto" w:fill="FFFFFF"/>
        </w:rPr>
        <w:t xml:space="preserve">, Morgan), so as not </w:t>
      </w:r>
      <w:r w:rsidR="00850268" w:rsidRPr="00850268">
        <w:rPr>
          <w:rFonts w:cs="Times"/>
          <w:color w:val="201F1E"/>
          <w:szCs w:val="24"/>
          <w:shd w:val="clear" w:color="auto" w:fill="FFFFFF"/>
        </w:rPr>
        <w:lastRenderedPageBreak/>
        <w:t>to directly disadvantage models trained on the relevant molecular fingerprints</w:t>
      </w:r>
      <w:r w:rsidR="00776B73" w:rsidRPr="001134B0">
        <w:rPr>
          <w:rFonts w:cs="Times"/>
          <w:color w:val="201F1E"/>
          <w:szCs w:val="24"/>
          <w:shd w:val="clear" w:color="auto" w:fill="FFFFFF"/>
        </w:rPr>
        <w:t xml:space="preserve">. </w:t>
      </w:r>
      <w:r w:rsidRPr="001134B0">
        <w:rPr>
          <w:rFonts w:cs="Times"/>
        </w:rPr>
        <w:t>The first two principal components PC1 and PC2 were calculated and normalised</w:t>
      </w:r>
      <w:r w:rsidR="00E97D5E">
        <w:rPr>
          <w:rFonts w:cs="Times"/>
        </w:rPr>
        <w:t xml:space="preserve"> (for</w:t>
      </w:r>
      <w:r w:rsidR="00E97D5E" w:rsidRPr="00E97D5E">
        <w:t xml:space="preserve"> </w:t>
      </w:r>
      <w:r w:rsidR="00E97D5E">
        <w:rPr>
          <w:rFonts w:cs="Times"/>
        </w:rPr>
        <w:t>e</w:t>
      </w:r>
      <w:r w:rsidR="00E97D5E" w:rsidRPr="00E97D5E">
        <w:rPr>
          <w:rFonts w:cs="Times"/>
        </w:rPr>
        <w:t>xplained variance and silhouette scores</w:t>
      </w:r>
      <w:r w:rsidR="00E97D5E">
        <w:rPr>
          <w:rFonts w:cs="Times"/>
        </w:rPr>
        <w:t>, see Supplementary Table S</w:t>
      </w:r>
      <w:r w:rsidR="008141CF">
        <w:rPr>
          <w:rFonts w:cs="Times"/>
        </w:rPr>
        <w:t>3</w:t>
      </w:r>
      <w:r w:rsidR="00E97D5E">
        <w:rPr>
          <w:rFonts w:cs="Times"/>
        </w:rPr>
        <w:t xml:space="preserve">) </w:t>
      </w:r>
      <w:r w:rsidR="00471C5B">
        <w:rPr>
          <w:rFonts w:cs="Times"/>
        </w:rPr>
        <w:t xml:space="preserve">, and based on </w:t>
      </w:r>
      <w:r w:rsidR="00622D46">
        <w:rPr>
          <w:rFonts w:cs="Times"/>
        </w:rPr>
        <w:t>these two principal components,</w:t>
      </w:r>
      <w:r w:rsidRPr="001134B0">
        <w:rPr>
          <w:rFonts w:cs="Times"/>
        </w:rPr>
        <w:t xml:space="preserve"> we split our </w:t>
      </w:r>
      <w:r w:rsidR="00471C5B">
        <w:rPr>
          <w:rFonts w:cs="Times"/>
        </w:rPr>
        <w:t>data</w:t>
      </w:r>
      <w:r w:rsidRPr="001134B0">
        <w:rPr>
          <w:rFonts w:cs="Times"/>
        </w:rPr>
        <w:t xml:space="preserve"> into 5 clusters </w:t>
      </w:r>
      <w:r w:rsidR="00A91FA9">
        <w:rPr>
          <w:rFonts w:cs="Times"/>
        </w:rPr>
        <w:t>leveraging</w:t>
      </w:r>
      <w:r w:rsidRPr="001134B0">
        <w:rPr>
          <w:rFonts w:cs="Times"/>
        </w:rPr>
        <w:t xml:space="preserve"> k-means clustering using the python module of scikit-learn</w:t>
      </w:r>
      <w:r w:rsidR="00DB06B7" w:rsidRPr="001134B0">
        <w:rPr>
          <w:rFonts w:cs="Times"/>
          <w:color w:val="000000"/>
          <w:vertAlign w:val="superscript"/>
        </w:rPr>
        <w:fldChar w:fldCharType="begin"/>
      </w:r>
      <w:r w:rsidR="00DB06B7" w:rsidRPr="001134B0">
        <w:rPr>
          <w:rFonts w:cs="Times"/>
          <w:vertAlign w:val="superscript"/>
        </w:rPr>
        <w:instrText xml:space="preserve"> NOTEREF _Ref46922056 \h </w:instrText>
      </w:r>
      <w:r w:rsidR="00DB06B7" w:rsidRPr="001134B0">
        <w:rPr>
          <w:rFonts w:cs="Times"/>
          <w:color w:val="000000"/>
          <w:vertAlign w:val="superscript"/>
        </w:rPr>
        <w:instrText xml:space="preserve"> \* MERGEFORMAT </w:instrText>
      </w:r>
      <w:r w:rsidR="00DB06B7" w:rsidRPr="001134B0">
        <w:rPr>
          <w:rFonts w:cs="Times"/>
          <w:color w:val="000000"/>
          <w:vertAlign w:val="superscript"/>
        </w:rPr>
      </w:r>
      <w:r w:rsidR="00DB06B7" w:rsidRPr="001134B0">
        <w:rPr>
          <w:rFonts w:cs="Times"/>
          <w:color w:val="000000"/>
          <w:vertAlign w:val="superscript"/>
        </w:rPr>
        <w:fldChar w:fldCharType="separate"/>
      </w:r>
      <w:r w:rsidR="00354BD4">
        <w:rPr>
          <w:rFonts w:cs="Times"/>
          <w:vertAlign w:val="superscript"/>
        </w:rPr>
        <w:t>53</w:t>
      </w:r>
      <w:r w:rsidR="00DB06B7" w:rsidRPr="001134B0">
        <w:rPr>
          <w:rFonts w:cs="Times"/>
          <w:color w:val="000000"/>
          <w:vertAlign w:val="superscript"/>
        </w:rPr>
        <w:fldChar w:fldCharType="end"/>
      </w:r>
      <w:r w:rsidRPr="001134B0">
        <w:rPr>
          <w:rFonts w:cs="Times"/>
        </w:rPr>
        <w:t>.</w:t>
      </w:r>
      <w:r w:rsidR="001C5271" w:rsidRPr="001C5271">
        <w:rPr>
          <w:rFonts w:cs="Times"/>
          <w:color w:val="201F1E"/>
          <w:szCs w:val="24"/>
          <w:shd w:val="clear" w:color="auto" w:fill="FFFFFF"/>
        </w:rPr>
        <w:t xml:space="preserve"> </w:t>
      </w:r>
      <w:r w:rsidR="001C5271" w:rsidRPr="001134B0">
        <w:rPr>
          <w:rFonts w:cs="Times"/>
          <w:color w:val="201F1E"/>
          <w:szCs w:val="24"/>
          <w:shd w:val="clear" w:color="auto" w:fill="FFFFFF"/>
        </w:rPr>
        <w:t xml:space="preserve">The use </w:t>
      </w:r>
      <w:r w:rsidR="001C5271">
        <w:rPr>
          <w:rFonts w:cs="Times"/>
          <w:color w:val="201F1E"/>
          <w:szCs w:val="24"/>
          <w:shd w:val="clear" w:color="auto" w:fill="FFFFFF"/>
        </w:rPr>
        <w:t>of</w:t>
      </w:r>
      <w:r w:rsidR="001C5271" w:rsidRPr="001134B0">
        <w:rPr>
          <w:rFonts w:cs="Times"/>
          <w:color w:val="201F1E"/>
          <w:szCs w:val="24"/>
          <w:shd w:val="clear" w:color="auto" w:fill="FFFFFF"/>
        </w:rPr>
        <w:t xml:space="preserve"> </w:t>
      </w:r>
      <w:r w:rsidR="001C5271" w:rsidRPr="001134B0">
        <w:rPr>
          <w:rFonts w:cs="Times"/>
          <w:i/>
          <w:iCs/>
        </w:rPr>
        <w:t>random shuffl</w:t>
      </w:r>
      <w:r w:rsidR="001C5271">
        <w:rPr>
          <w:rFonts w:cs="Times"/>
          <w:i/>
          <w:iCs/>
        </w:rPr>
        <w:t>e</w:t>
      </w:r>
      <w:r w:rsidR="001C5271" w:rsidRPr="001134B0">
        <w:rPr>
          <w:rFonts w:cs="Times"/>
          <w:i/>
          <w:iCs/>
        </w:rPr>
        <w:t xml:space="preserve"> splits</w:t>
      </w:r>
      <w:r w:rsidR="001C5271" w:rsidRPr="001134B0">
        <w:rPr>
          <w:rFonts w:cs="Times"/>
        </w:rPr>
        <w:t xml:space="preserve"> </w:t>
      </w:r>
      <w:r w:rsidR="001C5271" w:rsidRPr="001134B0">
        <w:rPr>
          <w:rFonts w:cs="Times"/>
          <w:color w:val="201F1E"/>
          <w:szCs w:val="24"/>
          <w:shd w:val="clear" w:color="auto" w:fill="FFFFFF"/>
        </w:rPr>
        <w:t>from the same underlying distribution leads to an overestima</w:t>
      </w:r>
      <w:r w:rsidR="00A91FA9">
        <w:rPr>
          <w:rFonts w:cs="Times"/>
          <w:color w:val="201F1E"/>
          <w:szCs w:val="24"/>
          <w:shd w:val="clear" w:color="auto" w:fill="FFFFFF"/>
        </w:rPr>
        <w:t xml:space="preserve">tion of </w:t>
      </w:r>
      <w:r w:rsidR="001C5271" w:rsidRPr="001134B0">
        <w:rPr>
          <w:rFonts w:cs="Times"/>
          <w:color w:val="201F1E"/>
          <w:szCs w:val="24"/>
          <w:shd w:val="clear" w:color="auto" w:fill="FFFFFF"/>
        </w:rPr>
        <w:t xml:space="preserve">model performance, while the </w:t>
      </w:r>
      <w:r w:rsidR="001C5271" w:rsidRPr="001134B0">
        <w:rPr>
          <w:rFonts w:cs="Times"/>
          <w:i/>
          <w:iCs/>
        </w:rPr>
        <w:t xml:space="preserve">cluster-based splits </w:t>
      </w:r>
      <w:r w:rsidR="001C5271" w:rsidRPr="00AA3C65">
        <w:rPr>
          <w:rFonts w:cs="Times"/>
        </w:rPr>
        <w:t>increase the distance of the test from the training set</w:t>
      </w:r>
      <w:r w:rsidR="001C5271" w:rsidRPr="001134B0">
        <w:rPr>
          <w:rFonts w:cs="Times"/>
          <w:color w:val="201F1E"/>
          <w:szCs w:val="24"/>
          <w:shd w:val="clear" w:color="auto" w:fill="FFFFFF"/>
        </w:rPr>
        <w:t>, which usually leads to an underestimat</w:t>
      </w:r>
      <w:r w:rsidR="00A91FA9">
        <w:rPr>
          <w:rFonts w:cs="Times"/>
          <w:color w:val="201F1E"/>
          <w:szCs w:val="24"/>
          <w:shd w:val="clear" w:color="auto" w:fill="FFFFFF"/>
        </w:rPr>
        <w:t>ion</w:t>
      </w:r>
      <w:r w:rsidR="001C5271" w:rsidRPr="001134B0">
        <w:rPr>
          <w:rFonts w:cs="Times"/>
          <w:color w:val="201F1E"/>
          <w:szCs w:val="24"/>
          <w:shd w:val="clear" w:color="auto" w:fill="FFFFFF"/>
        </w:rPr>
        <w:t xml:space="preserve"> of performance</w:t>
      </w:r>
      <w:r w:rsidR="001C5271" w:rsidRPr="001134B0">
        <w:rPr>
          <w:rStyle w:val="EndnoteReference"/>
          <w:rFonts w:cs="Times"/>
          <w:color w:val="201F1E"/>
          <w:szCs w:val="24"/>
          <w:shd w:val="clear" w:color="auto" w:fill="FFFFFF"/>
        </w:rPr>
        <w:endnoteReference w:id="55"/>
      </w:r>
      <w:r w:rsidR="00D3174B">
        <w:rPr>
          <w:rFonts w:cs="Times"/>
          <w:color w:val="201F1E"/>
          <w:szCs w:val="24"/>
          <w:shd w:val="clear" w:color="auto" w:fill="FFFFFF"/>
        </w:rPr>
        <w:t>,</w:t>
      </w:r>
      <w:r w:rsidR="00BF1651">
        <w:rPr>
          <w:rStyle w:val="EndnoteReference"/>
          <w:rFonts w:cs="Times"/>
          <w:color w:val="201F1E"/>
          <w:szCs w:val="24"/>
          <w:shd w:val="clear" w:color="auto" w:fill="FFFFFF"/>
        </w:rPr>
        <w:endnoteReference w:id="56"/>
      </w:r>
      <w:r w:rsidR="001C5271" w:rsidRPr="001134B0">
        <w:rPr>
          <w:rFonts w:cs="Times"/>
          <w:color w:val="201F1E"/>
          <w:szCs w:val="24"/>
          <w:shd w:val="clear" w:color="auto" w:fill="FFFFFF"/>
        </w:rPr>
        <w:t xml:space="preserve">, </w:t>
      </w:r>
      <w:r w:rsidR="001C5271">
        <w:rPr>
          <w:rFonts w:cs="Times"/>
          <w:color w:val="201F1E"/>
          <w:szCs w:val="24"/>
          <w:shd w:val="clear" w:color="auto" w:fill="FFFFFF"/>
        </w:rPr>
        <w:t xml:space="preserve">and </w:t>
      </w:r>
      <w:r w:rsidR="001C5271" w:rsidRPr="001134B0">
        <w:rPr>
          <w:rFonts w:cs="Times"/>
          <w:color w:val="201F1E"/>
          <w:szCs w:val="24"/>
          <w:shd w:val="clear" w:color="auto" w:fill="FFFFFF"/>
        </w:rPr>
        <w:t>h</w:t>
      </w:r>
      <w:r w:rsidR="001C5271" w:rsidRPr="001134B0">
        <w:rPr>
          <w:rFonts w:cs="Times"/>
        </w:rPr>
        <w:t xml:space="preserve">ence, we have chosen to perform both types of the split in the current study to evaluate model performance. </w:t>
      </w:r>
      <w:r w:rsidR="001C5271">
        <w:rPr>
          <w:rFonts w:cs="Times"/>
        </w:rPr>
        <w:t>In addition, t</w:t>
      </w:r>
      <w:r w:rsidR="001C5271" w:rsidRPr="001134B0">
        <w:rPr>
          <w:rFonts w:cs="Times"/>
        </w:rPr>
        <w:t xml:space="preserve">he </w:t>
      </w:r>
      <w:r w:rsidR="001C5271" w:rsidRPr="001134B0">
        <w:rPr>
          <w:rFonts w:cs="Times"/>
          <w:i/>
          <w:iCs/>
        </w:rPr>
        <w:t>random shuffl</w:t>
      </w:r>
      <w:r w:rsidR="001C5271">
        <w:rPr>
          <w:rFonts w:cs="Times"/>
          <w:i/>
          <w:iCs/>
        </w:rPr>
        <w:t>e</w:t>
      </w:r>
      <w:r w:rsidR="001C5271" w:rsidRPr="001134B0">
        <w:rPr>
          <w:rFonts w:cs="Times"/>
          <w:i/>
          <w:iCs/>
        </w:rPr>
        <w:t xml:space="preserve"> splits</w:t>
      </w:r>
      <w:r w:rsidR="001C5271" w:rsidRPr="001134B0">
        <w:rPr>
          <w:rFonts w:cs="Times"/>
        </w:rPr>
        <w:t xml:space="preserve"> </w:t>
      </w:r>
      <w:r w:rsidR="008666D2">
        <w:rPr>
          <w:rFonts w:cs="Times"/>
        </w:rPr>
        <w:t>do</w:t>
      </w:r>
      <w:r w:rsidR="001C5271" w:rsidRPr="001134B0">
        <w:rPr>
          <w:rFonts w:cs="Times"/>
        </w:rPr>
        <w:t xml:space="preserve"> not disadvantage any </w:t>
      </w:r>
      <w:proofErr w:type="gramStart"/>
      <w:r w:rsidR="001C5271" w:rsidRPr="001134B0">
        <w:rPr>
          <w:rFonts w:cs="Times"/>
        </w:rPr>
        <w:t>fingerprint/descriptor in particular, and</w:t>
      </w:r>
      <w:proofErr w:type="gramEnd"/>
      <w:r w:rsidR="001C5271" w:rsidRPr="001134B0">
        <w:rPr>
          <w:rFonts w:cs="Times"/>
        </w:rPr>
        <w:t xml:space="preserve"> hence can be considered as a comparison for the models that are in this way unbiased; however, it does not necessarily require extrapolation to novel chemical space. </w:t>
      </w:r>
      <w:r w:rsidR="001C5271">
        <w:rPr>
          <w:rFonts w:cs="Times"/>
        </w:rPr>
        <w:t>O</w:t>
      </w:r>
      <w:r w:rsidR="001C5271" w:rsidRPr="00BF46DA">
        <w:rPr>
          <w:rFonts w:cs="Times"/>
        </w:rPr>
        <w:t>n the other hand</w:t>
      </w:r>
      <w:r w:rsidR="001C5271">
        <w:rPr>
          <w:rFonts w:cs="Times"/>
        </w:rPr>
        <w:t>,</w:t>
      </w:r>
      <w:r w:rsidR="001C5271" w:rsidRPr="00BF46DA">
        <w:rPr>
          <w:rFonts w:cs="Times"/>
        </w:rPr>
        <w:t xml:space="preserve"> </w:t>
      </w:r>
      <w:r w:rsidR="001C5271">
        <w:rPr>
          <w:rFonts w:cs="Times"/>
        </w:rPr>
        <w:t>t</w:t>
      </w:r>
      <w:r w:rsidR="001C5271" w:rsidRPr="001134B0">
        <w:rPr>
          <w:rFonts w:cs="Times"/>
        </w:rPr>
        <w:t xml:space="preserve">his is the advantage of the </w:t>
      </w:r>
      <w:r w:rsidR="001C5271" w:rsidRPr="001134B0">
        <w:rPr>
          <w:rFonts w:cs="Times"/>
          <w:i/>
          <w:iCs/>
        </w:rPr>
        <w:t>cluster-based splits</w:t>
      </w:r>
      <w:r w:rsidR="001C5271" w:rsidRPr="001134B0">
        <w:rPr>
          <w:rFonts w:cs="Times"/>
        </w:rPr>
        <w:t xml:space="preserve">; however, this type of split disadvantages </w:t>
      </w:r>
      <w:proofErr w:type="spellStart"/>
      <w:r w:rsidR="001C5271" w:rsidRPr="001134B0">
        <w:rPr>
          <w:rFonts w:cs="Times"/>
        </w:rPr>
        <w:t>ErG</w:t>
      </w:r>
      <w:proofErr w:type="spellEnd"/>
      <w:r w:rsidR="001C5271" w:rsidRPr="001134B0">
        <w:rPr>
          <w:rFonts w:cs="Times"/>
        </w:rPr>
        <w:t xml:space="preserve">/Morgan fingerprints to a certain extent, as the </w:t>
      </w:r>
      <w:r w:rsidR="001C5271">
        <w:rPr>
          <w:rFonts w:cs="Times"/>
        </w:rPr>
        <w:t xml:space="preserve">(physicochemical) property </w:t>
      </w:r>
      <w:r w:rsidR="001C5271" w:rsidRPr="001134B0">
        <w:rPr>
          <w:rFonts w:cs="Times"/>
        </w:rPr>
        <w:t xml:space="preserve">space that </w:t>
      </w:r>
      <w:r w:rsidR="001C5271">
        <w:rPr>
          <w:rFonts w:cs="Times"/>
        </w:rPr>
        <w:t>has been</w:t>
      </w:r>
      <w:r w:rsidR="001C5271" w:rsidRPr="001134B0">
        <w:rPr>
          <w:rFonts w:cs="Times"/>
        </w:rPr>
        <w:t xml:space="preserve"> used for clustering is also related to the chemical features used for classification. </w:t>
      </w:r>
    </w:p>
    <w:p w14:paraId="3FD83A11" w14:textId="77777777" w:rsidR="00EF73AE" w:rsidRPr="001134B0" w:rsidRDefault="00EF73AE" w:rsidP="00EF73AE">
      <w:pPr>
        <w:pStyle w:val="TAMainText"/>
        <w:ind w:firstLine="0"/>
        <w:rPr>
          <w:rFonts w:cs="Times"/>
        </w:rPr>
      </w:pPr>
      <w:r w:rsidRPr="001134B0">
        <w:rPr>
          <w:rFonts w:cs="Times"/>
        </w:rPr>
        <w:t>Model Evaluation</w:t>
      </w:r>
    </w:p>
    <w:p w14:paraId="65388667" w14:textId="5E4E7541" w:rsidR="00EF73AE" w:rsidRPr="001134B0" w:rsidRDefault="00EF73AE" w:rsidP="00EF73AE">
      <w:pPr>
        <w:pStyle w:val="TAMainText"/>
        <w:rPr>
          <w:rFonts w:cs="Times"/>
        </w:rPr>
      </w:pPr>
      <w:r w:rsidRPr="001134B0">
        <w:rPr>
          <w:rFonts w:cs="Times"/>
        </w:rPr>
        <w:t>For the first type of model using (a</w:t>
      </w:r>
      <w:r w:rsidR="002B10CA" w:rsidRPr="001134B0">
        <w:rPr>
          <w:rFonts w:cs="Times"/>
        </w:rPr>
        <w:t xml:space="preserve">) </w:t>
      </w:r>
      <w:r w:rsidR="002B10CA" w:rsidRPr="001134B0">
        <w:rPr>
          <w:rFonts w:cs="Times"/>
          <w:i/>
          <w:iCs/>
        </w:rPr>
        <w:t>random</w:t>
      </w:r>
      <w:r w:rsidRPr="001134B0">
        <w:rPr>
          <w:rFonts w:cs="Times"/>
          <w:i/>
          <w:iCs/>
        </w:rPr>
        <w:t xml:space="preserve"> shuff</w:t>
      </w:r>
      <w:r w:rsidR="001C5271">
        <w:rPr>
          <w:rFonts w:cs="Times"/>
          <w:i/>
          <w:iCs/>
        </w:rPr>
        <w:t>le</w:t>
      </w:r>
      <w:r w:rsidRPr="001134B0">
        <w:rPr>
          <w:rFonts w:cs="Times"/>
          <w:i/>
          <w:iCs/>
        </w:rPr>
        <w:t xml:space="preserve"> </w:t>
      </w:r>
      <w:r w:rsidR="002B10CA" w:rsidRPr="001134B0">
        <w:rPr>
          <w:rFonts w:cs="Times"/>
          <w:i/>
          <w:iCs/>
        </w:rPr>
        <w:t>splits</w:t>
      </w:r>
      <w:r w:rsidRPr="001134B0">
        <w:rPr>
          <w:rFonts w:cs="Times"/>
        </w:rPr>
        <w:t>, an aggregated metric was used where the results of all the held-out test sets were aggregated to give predictions of the entire dataset. The aggregated metric is preferred here</w:t>
      </w:r>
      <w:r w:rsidR="007B0ADC">
        <w:rPr>
          <w:rFonts w:cs="Times"/>
        </w:rPr>
        <w:t>,</w:t>
      </w:r>
      <w:r w:rsidRPr="001134B0">
        <w:rPr>
          <w:rFonts w:cs="Times"/>
        </w:rPr>
        <w:t xml:space="preserve"> as the model had significant exposure to the entire chemical space in the training set. On the other </w:t>
      </w:r>
      <w:r w:rsidR="003E5F15" w:rsidRPr="001134B0">
        <w:rPr>
          <w:rFonts w:cs="Times"/>
        </w:rPr>
        <w:t>hand,</w:t>
      </w:r>
      <w:r w:rsidRPr="001134B0">
        <w:rPr>
          <w:rFonts w:cs="Times"/>
        </w:rPr>
        <w:t xml:space="preserve"> for the second type of model using (b</w:t>
      </w:r>
      <w:r w:rsidR="002B10CA" w:rsidRPr="001134B0">
        <w:rPr>
          <w:rFonts w:cs="Times"/>
        </w:rPr>
        <w:t>)</w:t>
      </w:r>
      <w:r w:rsidR="002B10CA" w:rsidRPr="001134B0">
        <w:rPr>
          <w:rFonts w:cs="Times"/>
          <w:i/>
          <w:iCs/>
        </w:rPr>
        <w:t xml:space="preserve"> cluster-based splits</w:t>
      </w:r>
      <w:r w:rsidRPr="001134B0">
        <w:rPr>
          <w:rFonts w:cs="Times"/>
        </w:rPr>
        <w:t xml:space="preserve">, a cluster-averaged metric </w:t>
      </w:r>
      <w:proofErr w:type="gramStart"/>
      <w:r w:rsidRPr="001134B0">
        <w:rPr>
          <w:rFonts w:cs="Times"/>
        </w:rPr>
        <w:t>w</w:t>
      </w:r>
      <w:r w:rsidR="001C4835" w:rsidRPr="001134B0">
        <w:rPr>
          <w:rFonts w:cs="Times"/>
        </w:rPr>
        <w:t>ere</w:t>
      </w:r>
      <w:proofErr w:type="gramEnd"/>
      <w:r w:rsidRPr="001134B0">
        <w:rPr>
          <w:rFonts w:cs="Times"/>
        </w:rPr>
        <w:t xml:space="preserve"> evaluated using the mean and standard deviation of a metric for each fold. Here the cluster-averaged metric is preferred over aggregated metrics since clusters are not of equal size</w:t>
      </w:r>
      <w:r w:rsidR="00DD790E">
        <w:rPr>
          <w:rFonts w:cs="Times"/>
        </w:rPr>
        <w:t>,</w:t>
      </w:r>
      <w:r w:rsidRPr="001134B0">
        <w:rPr>
          <w:rFonts w:cs="Times"/>
        </w:rPr>
        <w:t xml:space="preserve"> but should be given equal weight in the performance evaluation</w:t>
      </w:r>
      <w:r w:rsidR="00DD790E">
        <w:rPr>
          <w:rFonts w:cs="Times"/>
        </w:rPr>
        <w:t xml:space="preserve"> to weight different areas of chemical space (even if occupied by a different number of compound) in an equal way</w:t>
      </w:r>
      <w:r w:rsidRPr="001134B0">
        <w:rPr>
          <w:rFonts w:cs="Times"/>
        </w:rPr>
        <w:t xml:space="preserve">. </w:t>
      </w:r>
    </w:p>
    <w:p w14:paraId="4489014C" w14:textId="77777777" w:rsidR="00EF73AE" w:rsidRPr="001134B0" w:rsidRDefault="00EF73AE" w:rsidP="00EF73AE">
      <w:pPr>
        <w:pStyle w:val="TAMainText"/>
        <w:rPr>
          <w:rFonts w:cs="Times"/>
        </w:rPr>
      </w:pPr>
      <w:r w:rsidRPr="001134B0">
        <w:rPr>
          <w:rFonts w:cs="Times"/>
        </w:rPr>
        <w:t>Evaluation Metrics</w:t>
      </w:r>
    </w:p>
    <w:p w14:paraId="57039F51" w14:textId="3F75C226" w:rsidR="00EF73AE" w:rsidRPr="001134B0" w:rsidRDefault="00EF73AE" w:rsidP="00EF73AE">
      <w:pPr>
        <w:pStyle w:val="TAMainText"/>
        <w:rPr>
          <w:rFonts w:cs="Times"/>
        </w:rPr>
      </w:pPr>
      <w:r w:rsidRPr="001134B0">
        <w:rPr>
          <w:rFonts w:cs="Times"/>
        </w:rPr>
        <w:t xml:space="preserve"> To evaluate model performance, we used the Sensitivity, Specificity, Balanced Accuracy (BA), Mathew’s Correlation constant (MCC) and Area Under Curve- Receiver Operating Characteristic (AUC-ROC) as metrics which were defined as follows:</w:t>
      </w:r>
    </w:p>
    <w:p w14:paraId="4103D70B" w14:textId="5AD36E4B" w:rsidR="00EF73AE" w:rsidRPr="001134B0" w:rsidRDefault="00214644" w:rsidP="00EF73AE">
      <w:pPr>
        <w:pStyle w:val="TAMainText"/>
        <w:rPr>
          <w:rFonts w:cs="Times"/>
        </w:rPr>
      </w:pPr>
      <w:r>
        <w:rPr>
          <w:rFonts w:cs="Times"/>
        </w:rPr>
        <w:lastRenderedPageBreak/>
        <w:t>Sensitivity</w:t>
      </w:r>
      <w:r w:rsidR="00EF73AE" w:rsidRPr="001134B0">
        <w:rPr>
          <w:rFonts w:cs="Times"/>
        </w:rPr>
        <w:t xml:space="preserve"> = </w:t>
      </w:r>
      <m:oMath>
        <m:f>
          <m:fPr>
            <m:ctrlPr>
              <w:rPr>
                <w:rFonts w:ascii="Cambria Math" w:hAnsi="Cambria Math" w:cs="Times"/>
              </w:rPr>
            </m:ctrlPr>
          </m:fPr>
          <m:num>
            <m:r>
              <w:rPr>
                <w:rFonts w:ascii="Cambria Math" w:hAnsi="Cambria Math" w:cs="Times"/>
              </w:rPr>
              <m:t>TP</m:t>
            </m:r>
          </m:num>
          <m:den>
            <m:r>
              <w:rPr>
                <w:rFonts w:ascii="Cambria Math" w:hAnsi="Cambria Math" w:cs="Times"/>
              </w:rPr>
              <m:t>TP</m:t>
            </m:r>
            <m:r>
              <m:rPr>
                <m:sty m:val="p"/>
              </m:rPr>
              <w:rPr>
                <w:rFonts w:ascii="Cambria Math" w:hAnsi="Cambria Math" w:cs="Times"/>
              </w:rPr>
              <m:t>+</m:t>
            </m:r>
            <m:r>
              <w:rPr>
                <w:rFonts w:ascii="Cambria Math" w:hAnsi="Cambria Math" w:cs="Times"/>
              </w:rPr>
              <m:t>FN</m:t>
            </m:r>
          </m:den>
        </m:f>
      </m:oMath>
    </w:p>
    <w:p w14:paraId="4B5D9B0F" w14:textId="35A0DE4B" w:rsidR="00EF73AE" w:rsidRPr="001134B0" w:rsidRDefault="00214644" w:rsidP="00EF73AE">
      <w:pPr>
        <w:pStyle w:val="TAMainText"/>
        <w:rPr>
          <w:rFonts w:cs="Times"/>
        </w:rPr>
      </w:pPr>
      <w:r>
        <w:rPr>
          <w:rFonts w:cs="Times"/>
        </w:rPr>
        <w:t>Specificity</w:t>
      </w:r>
      <w:r w:rsidR="00EF73AE" w:rsidRPr="001134B0">
        <w:rPr>
          <w:rFonts w:cs="Times"/>
        </w:rPr>
        <w:t xml:space="preserve"> = </w:t>
      </w:r>
      <m:oMath>
        <m:f>
          <m:fPr>
            <m:ctrlPr>
              <w:rPr>
                <w:rFonts w:ascii="Cambria Math" w:hAnsi="Cambria Math" w:cs="Times"/>
                <w:i/>
              </w:rPr>
            </m:ctrlPr>
          </m:fPr>
          <m:num>
            <m:r>
              <w:rPr>
                <w:rFonts w:ascii="Cambria Math" w:hAnsi="Cambria Math" w:cs="Times"/>
              </w:rPr>
              <m:t>TN</m:t>
            </m:r>
          </m:num>
          <m:den>
            <m:r>
              <w:rPr>
                <w:rFonts w:ascii="Cambria Math" w:hAnsi="Cambria Math" w:cs="Times"/>
              </w:rPr>
              <m:t>TN+FP</m:t>
            </m:r>
          </m:den>
        </m:f>
      </m:oMath>
    </w:p>
    <w:p w14:paraId="61127506" w14:textId="54CB1344" w:rsidR="00EF73AE" w:rsidRPr="001134B0" w:rsidRDefault="00EF73AE" w:rsidP="00EF73AE">
      <w:pPr>
        <w:pStyle w:val="TAMainText"/>
        <w:rPr>
          <w:rFonts w:cs="Times"/>
        </w:rPr>
      </w:pPr>
      <w:r w:rsidRPr="001134B0">
        <w:rPr>
          <w:rFonts w:cs="Times"/>
        </w:rPr>
        <w:t xml:space="preserve">BA = </w:t>
      </w:r>
      <m:oMath>
        <m:f>
          <m:fPr>
            <m:ctrlPr>
              <w:rPr>
                <w:rFonts w:ascii="Cambria Math" w:hAnsi="Cambria Math" w:cs="Times"/>
                <w:i/>
              </w:rPr>
            </m:ctrlPr>
          </m:fPr>
          <m:num>
            <m:r>
              <w:rPr>
                <w:rFonts w:ascii="Cambria Math" w:hAnsi="Cambria Math" w:cs="Times"/>
              </w:rPr>
              <m:t>Sensitivity+Specificity</m:t>
            </m:r>
          </m:num>
          <m:den>
            <m:r>
              <w:rPr>
                <w:rFonts w:ascii="Cambria Math" w:hAnsi="Cambria Math" w:cs="Times"/>
              </w:rPr>
              <m:t>2</m:t>
            </m:r>
          </m:den>
        </m:f>
      </m:oMath>
    </w:p>
    <w:p w14:paraId="1C205A92" w14:textId="77777777" w:rsidR="00EF73AE" w:rsidRPr="001134B0" w:rsidRDefault="00EF73AE" w:rsidP="00EF73AE">
      <w:pPr>
        <w:pStyle w:val="TAMainText"/>
        <w:rPr>
          <w:rFonts w:cs="Times"/>
        </w:rPr>
      </w:pPr>
      <w:r w:rsidRPr="001134B0">
        <w:rPr>
          <w:rFonts w:cs="Times"/>
        </w:rPr>
        <w:t xml:space="preserve">MCC = </w:t>
      </w:r>
      <m:oMath>
        <m:f>
          <m:fPr>
            <m:ctrlPr>
              <w:rPr>
                <w:rFonts w:ascii="Cambria Math" w:hAnsi="Cambria Math" w:cs="Times"/>
                <w:i/>
              </w:rPr>
            </m:ctrlPr>
          </m:fPr>
          <m:num>
            <m:r>
              <w:rPr>
                <w:rFonts w:ascii="Cambria Math" w:hAnsi="Cambria Math" w:cs="Times"/>
              </w:rPr>
              <m:t>TP×TN-FP×FN</m:t>
            </m:r>
          </m:num>
          <m:den>
            <m:rad>
              <m:radPr>
                <m:degHide m:val="1"/>
                <m:ctrlPr>
                  <w:rPr>
                    <w:rFonts w:ascii="Cambria Math" w:hAnsi="Cambria Math" w:cs="Times"/>
                    <w:i/>
                  </w:rPr>
                </m:ctrlPr>
              </m:radPr>
              <m:deg/>
              <m:e>
                <m:r>
                  <w:rPr>
                    <w:rFonts w:ascii="Cambria Math" w:hAnsi="Cambria Math" w:cs="Times"/>
                  </w:rPr>
                  <m:t>(TP+FP)(TP+FN)(TN+FP)(TN+FN)</m:t>
                </m:r>
              </m:e>
            </m:rad>
          </m:den>
        </m:f>
      </m:oMath>
    </w:p>
    <w:p w14:paraId="203F6264" w14:textId="3E7FECF0" w:rsidR="00EF73AE" w:rsidRPr="001134B0" w:rsidRDefault="00EF73AE" w:rsidP="00EF73AE">
      <w:pPr>
        <w:pStyle w:val="TAMainText"/>
        <w:rPr>
          <w:rFonts w:cs="Times"/>
        </w:rPr>
      </w:pPr>
      <w:r w:rsidRPr="001134B0">
        <w:rPr>
          <w:rFonts w:cs="Times"/>
        </w:rPr>
        <w:t xml:space="preserve">where TP </w:t>
      </w:r>
      <w:r w:rsidR="009C4941">
        <w:rPr>
          <w:rFonts w:cs="Times"/>
        </w:rPr>
        <w:t>(n</w:t>
      </w:r>
      <w:r w:rsidR="00D87702">
        <w:rPr>
          <w:rFonts w:cs="Times"/>
        </w:rPr>
        <w:t xml:space="preserve">umber of </w:t>
      </w:r>
      <w:r w:rsidR="009C4941">
        <w:rPr>
          <w:rFonts w:cs="Times"/>
        </w:rPr>
        <w:t>t</w:t>
      </w:r>
      <w:r w:rsidRPr="001134B0">
        <w:rPr>
          <w:rFonts w:cs="Times"/>
        </w:rPr>
        <w:t xml:space="preserve">rue </w:t>
      </w:r>
      <w:r w:rsidR="009C4941">
        <w:rPr>
          <w:rFonts w:cs="Times"/>
        </w:rPr>
        <w:t>p</w:t>
      </w:r>
      <w:r w:rsidRPr="001134B0">
        <w:rPr>
          <w:rFonts w:cs="Times"/>
        </w:rPr>
        <w:t>ositive</w:t>
      </w:r>
      <w:r w:rsidR="00D87702">
        <w:rPr>
          <w:rFonts w:cs="Times"/>
        </w:rPr>
        <w:t>s</w:t>
      </w:r>
      <w:r w:rsidR="009C4941">
        <w:rPr>
          <w:rFonts w:cs="Times"/>
        </w:rPr>
        <w:t>),</w:t>
      </w:r>
      <w:r w:rsidRPr="001134B0">
        <w:rPr>
          <w:rFonts w:cs="Times"/>
        </w:rPr>
        <w:t xml:space="preserve"> FP </w:t>
      </w:r>
      <w:r w:rsidR="009C4941">
        <w:rPr>
          <w:rFonts w:cs="Times"/>
        </w:rPr>
        <w:t xml:space="preserve">(number </w:t>
      </w:r>
      <w:r w:rsidR="00D87702">
        <w:rPr>
          <w:rFonts w:cs="Times"/>
        </w:rPr>
        <w:t xml:space="preserve">of </w:t>
      </w:r>
      <w:r w:rsidR="009C4941">
        <w:rPr>
          <w:rFonts w:cs="Times"/>
        </w:rPr>
        <w:t>f</w:t>
      </w:r>
      <w:r w:rsidR="009C4941" w:rsidRPr="001134B0">
        <w:rPr>
          <w:rFonts w:cs="Times"/>
        </w:rPr>
        <w:t xml:space="preserve">alse </w:t>
      </w:r>
      <w:r w:rsidR="009C4941">
        <w:rPr>
          <w:rFonts w:cs="Times"/>
        </w:rPr>
        <w:t>p</w:t>
      </w:r>
      <w:r w:rsidR="009C4941" w:rsidRPr="001134B0">
        <w:rPr>
          <w:rFonts w:cs="Times"/>
        </w:rPr>
        <w:t>ositive</w:t>
      </w:r>
      <w:r w:rsidR="009C4941">
        <w:rPr>
          <w:rFonts w:cs="Times"/>
        </w:rPr>
        <w:t>s),</w:t>
      </w:r>
      <w:r w:rsidRPr="001134B0">
        <w:rPr>
          <w:rFonts w:cs="Times"/>
        </w:rPr>
        <w:t xml:space="preserve"> TN </w:t>
      </w:r>
      <w:r w:rsidR="009C4941">
        <w:rPr>
          <w:rFonts w:cs="Times"/>
        </w:rPr>
        <w:t xml:space="preserve">(number </w:t>
      </w:r>
      <w:r w:rsidR="00D87702">
        <w:rPr>
          <w:rFonts w:cs="Times"/>
        </w:rPr>
        <w:t xml:space="preserve">of </w:t>
      </w:r>
      <w:r w:rsidR="009C4941">
        <w:rPr>
          <w:rFonts w:cs="Times"/>
        </w:rPr>
        <w:t>t</w:t>
      </w:r>
      <w:r w:rsidR="009C4941" w:rsidRPr="001134B0">
        <w:rPr>
          <w:rFonts w:cs="Times"/>
        </w:rPr>
        <w:t xml:space="preserve">rue </w:t>
      </w:r>
      <w:r w:rsidR="009C4941">
        <w:rPr>
          <w:rFonts w:cs="Times"/>
        </w:rPr>
        <w:t>n</w:t>
      </w:r>
      <w:r w:rsidR="009C4941" w:rsidRPr="001134B0">
        <w:rPr>
          <w:rFonts w:cs="Times"/>
        </w:rPr>
        <w:t>egative</w:t>
      </w:r>
      <w:r w:rsidR="009C4941">
        <w:rPr>
          <w:rFonts w:cs="Times"/>
        </w:rPr>
        <w:t xml:space="preserve">s), </w:t>
      </w:r>
      <w:r w:rsidRPr="001134B0">
        <w:rPr>
          <w:rFonts w:cs="Times"/>
        </w:rPr>
        <w:t xml:space="preserve">FN </w:t>
      </w:r>
      <w:r w:rsidR="009C4941">
        <w:rPr>
          <w:rFonts w:cs="Times"/>
        </w:rPr>
        <w:t xml:space="preserve">(number </w:t>
      </w:r>
      <w:r w:rsidR="00D87702">
        <w:rPr>
          <w:rFonts w:cs="Times"/>
        </w:rPr>
        <w:t xml:space="preserve">of </w:t>
      </w:r>
      <w:r w:rsidR="009C4941">
        <w:rPr>
          <w:rFonts w:cs="Times"/>
        </w:rPr>
        <w:t>f</w:t>
      </w:r>
      <w:r w:rsidRPr="001134B0">
        <w:rPr>
          <w:rFonts w:cs="Times"/>
        </w:rPr>
        <w:t xml:space="preserve">alse </w:t>
      </w:r>
      <w:r w:rsidR="009C4941">
        <w:rPr>
          <w:rFonts w:cs="Times"/>
        </w:rPr>
        <w:t>n</w:t>
      </w:r>
      <w:r w:rsidRPr="001134B0">
        <w:rPr>
          <w:rFonts w:cs="Times"/>
        </w:rPr>
        <w:t>egative</w:t>
      </w:r>
      <w:r w:rsidR="00D87702">
        <w:rPr>
          <w:rFonts w:cs="Times"/>
        </w:rPr>
        <w:t>s</w:t>
      </w:r>
      <w:r w:rsidR="009C4941">
        <w:rPr>
          <w:rFonts w:cs="Times"/>
        </w:rPr>
        <w:t>) form the conf</w:t>
      </w:r>
      <w:r w:rsidR="006F1FF6">
        <w:rPr>
          <w:rFonts w:cs="Times"/>
        </w:rPr>
        <w:t>u</w:t>
      </w:r>
      <w:r w:rsidR="009C4941">
        <w:rPr>
          <w:rFonts w:cs="Times"/>
        </w:rPr>
        <w:t>sion matrix</w:t>
      </w:r>
      <w:r w:rsidRPr="001134B0">
        <w:rPr>
          <w:rFonts w:cs="Times"/>
        </w:rPr>
        <w:t>.</w:t>
      </w:r>
    </w:p>
    <w:p w14:paraId="3AAE5784" w14:textId="06BFCDC9" w:rsidR="00EF73AE" w:rsidRPr="001134B0" w:rsidRDefault="00EF73AE" w:rsidP="00EF73AE">
      <w:pPr>
        <w:pStyle w:val="TAMainText"/>
        <w:rPr>
          <w:rFonts w:cs="Times"/>
        </w:rPr>
      </w:pPr>
      <w:r w:rsidRPr="001134B0">
        <w:rPr>
          <w:rFonts w:cs="Times"/>
        </w:rPr>
        <w:t xml:space="preserve">BA and MCC evaluate </w:t>
      </w:r>
      <w:r w:rsidR="00214644">
        <w:rPr>
          <w:rFonts w:cs="Times"/>
        </w:rPr>
        <w:t>a</w:t>
      </w:r>
      <w:r w:rsidRPr="001134B0">
        <w:rPr>
          <w:rFonts w:cs="Times"/>
        </w:rPr>
        <w:t xml:space="preserve"> model’s prediction ability with a</w:t>
      </w:r>
      <w:r w:rsidR="00FA31E3">
        <w:rPr>
          <w:rFonts w:cs="Times"/>
        </w:rPr>
        <w:t>n</w:t>
      </w:r>
      <w:r w:rsidRPr="001134B0">
        <w:rPr>
          <w:rFonts w:cs="Times"/>
        </w:rPr>
        <w:t xml:space="preserve"> </w:t>
      </w:r>
      <w:r w:rsidR="00214644" w:rsidRPr="001134B0">
        <w:rPr>
          <w:rFonts w:cs="Times"/>
        </w:rPr>
        <w:t>unalike</w:t>
      </w:r>
      <w:r w:rsidRPr="001134B0">
        <w:rPr>
          <w:rFonts w:cs="Times"/>
        </w:rPr>
        <w:t xml:space="preserve"> focus on aspects of the confusion matrix</w:t>
      </w:r>
      <w:r w:rsidR="00C41C47">
        <w:rPr>
          <w:rFonts w:cs="Times"/>
        </w:rPr>
        <w:t xml:space="preserve">. BA </w:t>
      </w:r>
      <w:r w:rsidR="001850E0" w:rsidRPr="001850E0">
        <w:rPr>
          <w:rFonts w:cs="Times"/>
        </w:rPr>
        <w:t xml:space="preserve">is calculated as the </w:t>
      </w:r>
      <w:r w:rsidR="001850E0">
        <w:rPr>
          <w:rFonts w:cs="Times"/>
        </w:rPr>
        <w:t>mean</w:t>
      </w:r>
      <w:r w:rsidR="001850E0" w:rsidRPr="001850E0">
        <w:rPr>
          <w:rFonts w:cs="Times"/>
        </w:rPr>
        <w:t xml:space="preserve"> of the proportion of each class </w:t>
      </w:r>
      <w:r w:rsidR="00B62C88">
        <w:rPr>
          <w:rFonts w:cs="Times"/>
        </w:rPr>
        <w:t xml:space="preserve">that was </w:t>
      </w:r>
      <w:r w:rsidR="001850E0" w:rsidRPr="001850E0">
        <w:rPr>
          <w:rFonts w:cs="Times"/>
        </w:rPr>
        <w:t>individually</w:t>
      </w:r>
      <w:r w:rsidR="00B62C88">
        <w:rPr>
          <w:rFonts w:cs="Times"/>
        </w:rPr>
        <w:t>,</w:t>
      </w:r>
      <w:r w:rsidR="001850E0" w:rsidRPr="001850E0">
        <w:rPr>
          <w:rFonts w:cs="Times"/>
        </w:rPr>
        <w:t xml:space="preserve"> </w:t>
      </w:r>
      <w:r w:rsidR="001850E0">
        <w:rPr>
          <w:rFonts w:cs="Times"/>
        </w:rPr>
        <w:t>co</w:t>
      </w:r>
      <w:r w:rsidR="00B62C88">
        <w:rPr>
          <w:rFonts w:cs="Times"/>
        </w:rPr>
        <w:t>r</w:t>
      </w:r>
      <w:r w:rsidR="001850E0">
        <w:rPr>
          <w:rFonts w:cs="Times"/>
        </w:rPr>
        <w:t>rectly predicted while</w:t>
      </w:r>
      <w:r w:rsidRPr="001134B0">
        <w:rPr>
          <w:rFonts w:cs="Times"/>
        </w:rPr>
        <w:t xml:space="preserve"> the MCC consider</w:t>
      </w:r>
      <w:r w:rsidR="001850E0">
        <w:rPr>
          <w:rFonts w:cs="Times"/>
        </w:rPr>
        <w:t>s</w:t>
      </w:r>
      <w:r w:rsidRPr="001134B0">
        <w:rPr>
          <w:rFonts w:cs="Times"/>
        </w:rPr>
        <w:t xml:space="preserve"> all four quadrants in the same way</w:t>
      </w:r>
      <w:r w:rsidR="00140DFF">
        <w:rPr>
          <w:rFonts w:cs="Times"/>
        </w:rPr>
        <w:t>. H</w:t>
      </w:r>
      <w:r w:rsidRPr="001134B0">
        <w:rPr>
          <w:rFonts w:cs="Times"/>
        </w:rPr>
        <w:t>ence</w:t>
      </w:r>
      <w:r w:rsidR="00140DFF">
        <w:rPr>
          <w:rFonts w:cs="Times"/>
        </w:rPr>
        <w:t xml:space="preserve"> MCC</w:t>
      </w:r>
      <w:r w:rsidRPr="001134B0">
        <w:rPr>
          <w:rFonts w:cs="Times"/>
        </w:rPr>
        <w:t xml:space="preserve"> can be seen, from this angle, as an ‘unbiased’ performance metric</w:t>
      </w:r>
      <w:r w:rsidR="001850E0">
        <w:rPr>
          <w:rFonts w:cs="Times"/>
        </w:rPr>
        <w:t>.</w:t>
      </w:r>
      <w:r w:rsidRPr="001134B0">
        <w:rPr>
          <w:rFonts w:cs="Times"/>
        </w:rPr>
        <w:t xml:space="preserve"> </w:t>
      </w:r>
      <w:r w:rsidR="001850E0">
        <w:rPr>
          <w:rFonts w:cs="Times"/>
        </w:rPr>
        <w:t>T</w:t>
      </w:r>
      <w:r w:rsidRPr="001134B0">
        <w:rPr>
          <w:rFonts w:cs="Times"/>
        </w:rPr>
        <w:t>he AUC-ROC</w:t>
      </w:r>
      <w:r w:rsidR="008D18DC" w:rsidRPr="001134B0">
        <w:rPr>
          <w:rStyle w:val="EndnoteReference"/>
          <w:rFonts w:cs="Times"/>
        </w:rPr>
        <w:endnoteReference w:id="57"/>
      </w:r>
      <w:r w:rsidR="001850E0">
        <w:rPr>
          <w:rFonts w:cs="Times"/>
        </w:rPr>
        <w:t>, on the other hand</w:t>
      </w:r>
      <w:r w:rsidR="00494913">
        <w:rPr>
          <w:rFonts w:cs="Times"/>
        </w:rPr>
        <w:t>,</w:t>
      </w:r>
      <w:r w:rsidR="00DD790E">
        <w:rPr>
          <w:rFonts w:cs="Times"/>
        </w:rPr>
        <w:t xml:space="preserve"> is</w:t>
      </w:r>
      <w:r w:rsidRPr="001134B0">
        <w:rPr>
          <w:rFonts w:cs="Times"/>
        </w:rPr>
        <w:t xml:space="preserve"> also a global performance measure, which may not be required when for example, predicting the toxicity of molecules</w:t>
      </w:r>
      <w:r w:rsidR="00140DFF">
        <w:rPr>
          <w:rFonts w:cs="Times"/>
        </w:rPr>
        <w:t>.</w:t>
      </w:r>
      <w:r w:rsidR="00140DFF" w:rsidRPr="00140DFF">
        <w:rPr>
          <w:rFonts w:cs="Times"/>
        </w:rPr>
        <w:t xml:space="preserve"> </w:t>
      </w:r>
      <w:r w:rsidR="00140DFF">
        <w:rPr>
          <w:rFonts w:cs="Times"/>
        </w:rPr>
        <w:t xml:space="preserve">The AUC-ROC </w:t>
      </w:r>
      <w:r w:rsidR="00140DFF" w:rsidRPr="001134B0">
        <w:rPr>
          <w:rFonts w:cs="Times"/>
        </w:rPr>
        <w:t>is</w:t>
      </w:r>
      <w:r w:rsidR="00140DFF">
        <w:rPr>
          <w:rFonts w:cs="Times"/>
        </w:rPr>
        <w:t xml:space="preserve"> however</w:t>
      </w:r>
      <w:r w:rsidR="00140DFF" w:rsidRPr="001134B0">
        <w:rPr>
          <w:rFonts w:cs="Times"/>
        </w:rPr>
        <w:t xml:space="preserve"> harder to increase if the baseline model already performs well</w:t>
      </w:r>
      <w:r w:rsidR="00140DFF">
        <w:rPr>
          <w:rFonts w:cs="Times"/>
        </w:rPr>
        <w:t>.</w:t>
      </w:r>
      <w:r w:rsidR="00140DFF" w:rsidRPr="001134B0">
        <w:rPr>
          <w:rStyle w:val="EndnoteReference"/>
          <w:rFonts w:cs="Times"/>
        </w:rPr>
        <w:endnoteReference w:id="58"/>
      </w:r>
      <w:r w:rsidR="00140DFF">
        <w:rPr>
          <w:rFonts w:cs="Times"/>
        </w:rPr>
        <w:t xml:space="preserve"> </w:t>
      </w:r>
    </w:p>
    <w:p w14:paraId="4D603DD7" w14:textId="2394F0D0" w:rsidR="00EF73AE" w:rsidRPr="001134B0" w:rsidRDefault="00EF73AE" w:rsidP="00EF73AE">
      <w:pPr>
        <w:pStyle w:val="TAMainText"/>
        <w:rPr>
          <w:rFonts w:cs="Times"/>
        </w:rPr>
      </w:pPr>
      <w:r w:rsidRPr="001134B0">
        <w:rPr>
          <w:rFonts w:cs="Times"/>
        </w:rPr>
        <w:t xml:space="preserve">Variable </w:t>
      </w:r>
      <w:r w:rsidR="00DD790E">
        <w:rPr>
          <w:rFonts w:cs="Times"/>
        </w:rPr>
        <w:t>I</w:t>
      </w:r>
      <w:r w:rsidRPr="001134B0">
        <w:rPr>
          <w:rFonts w:cs="Times"/>
        </w:rPr>
        <w:t xml:space="preserve">mportance of Cell Painting </w:t>
      </w:r>
      <w:r w:rsidR="00DD790E">
        <w:rPr>
          <w:rFonts w:cs="Times"/>
        </w:rPr>
        <w:t>F</w:t>
      </w:r>
      <w:r w:rsidRPr="001134B0">
        <w:rPr>
          <w:rFonts w:cs="Times"/>
        </w:rPr>
        <w:t>eatures</w:t>
      </w:r>
    </w:p>
    <w:p w14:paraId="351BB7E5" w14:textId="48D8A8D8" w:rsidR="00FC3A02" w:rsidRDefault="00140DFF" w:rsidP="007F545F">
      <w:pPr>
        <w:pStyle w:val="TAMainText"/>
        <w:rPr>
          <w:rFonts w:cs="Times"/>
        </w:rPr>
      </w:pPr>
      <w:r>
        <w:rPr>
          <w:rFonts w:cs="Times"/>
        </w:rPr>
        <w:t>F</w:t>
      </w:r>
      <w:r w:rsidRPr="001134B0">
        <w:rPr>
          <w:rFonts w:cs="Times"/>
        </w:rPr>
        <w:t>urther</w:t>
      </w:r>
      <w:r>
        <w:rPr>
          <w:rFonts w:cs="Times"/>
        </w:rPr>
        <w:t>, w</w:t>
      </w:r>
      <w:r w:rsidR="00EF73AE" w:rsidRPr="001134B0">
        <w:rPr>
          <w:rFonts w:cs="Times"/>
        </w:rPr>
        <w:t xml:space="preserve">e </w:t>
      </w:r>
      <w:r w:rsidR="00DD790E">
        <w:rPr>
          <w:rFonts w:cs="Times"/>
        </w:rPr>
        <w:t>determined</w:t>
      </w:r>
      <w:r w:rsidR="00EF73AE" w:rsidRPr="001134B0">
        <w:rPr>
          <w:rFonts w:cs="Times"/>
        </w:rPr>
        <w:t xml:space="preserve"> the feature importance from the models using </w:t>
      </w:r>
      <w:r w:rsidR="00254F6D" w:rsidRPr="001134B0">
        <w:rPr>
          <w:rFonts w:cs="Times"/>
          <w:i/>
          <w:iCs/>
        </w:rPr>
        <w:t>random shuff</w:t>
      </w:r>
      <w:r w:rsidR="007545B3">
        <w:rPr>
          <w:rFonts w:cs="Times"/>
          <w:i/>
          <w:iCs/>
        </w:rPr>
        <w:t>le</w:t>
      </w:r>
      <w:r w:rsidR="00254F6D" w:rsidRPr="001134B0">
        <w:rPr>
          <w:rFonts w:cs="Times"/>
          <w:i/>
          <w:iCs/>
        </w:rPr>
        <w:t xml:space="preserve"> splits </w:t>
      </w:r>
      <w:r w:rsidR="002B10CA" w:rsidRPr="001134B0">
        <w:rPr>
          <w:rFonts w:cs="Times"/>
          <w:i/>
          <w:iCs/>
        </w:rPr>
        <w:t>and aggregated metrics</w:t>
      </w:r>
      <w:r w:rsidR="00EF73AE" w:rsidRPr="001134B0">
        <w:rPr>
          <w:rFonts w:cs="Times"/>
        </w:rPr>
        <w:t xml:space="preserve"> and Cell Painting as input features. Our interpretation of feature importance using Cell Painting </w:t>
      </w:r>
      <w:r w:rsidR="00570AEB">
        <w:rPr>
          <w:rFonts w:cs="Times"/>
        </w:rPr>
        <w:t>descriptors</w:t>
      </w:r>
      <w:r w:rsidR="00570AEB" w:rsidRPr="001134B0">
        <w:rPr>
          <w:rFonts w:cs="Times"/>
        </w:rPr>
        <w:t xml:space="preserve"> </w:t>
      </w:r>
      <w:r w:rsidR="00EF73AE" w:rsidRPr="001134B0">
        <w:rPr>
          <w:rFonts w:cs="Times"/>
        </w:rPr>
        <w:t>used permutation importance</w:t>
      </w:r>
      <w:r w:rsidR="00284739" w:rsidRPr="001134B0">
        <w:rPr>
          <w:rStyle w:val="EndnoteReference"/>
          <w:rFonts w:cs="Times"/>
        </w:rPr>
        <w:endnoteReference w:id="59"/>
      </w:r>
      <w:r w:rsidR="00DC5304" w:rsidRPr="001134B0">
        <w:rPr>
          <w:rFonts w:cs="Times"/>
          <w:vertAlign w:val="superscript"/>
        </w:rPr>
        <w:t>,</w:t>
      </w:r>
      <w:r w:rsidR="00DC5304" w:rsidRPr="001134B0">
        <w:rPr>
          <w:rStyle w:val="EndnoteReference"/>
          <w:rFonts w:cs="Times"/>
        </w:rPr>
        <w:endnoteReference w:id="60"/>
      </w:r>
      <w:r w:rsidR="009F5DF5" w:rsidRPr="001134B0">
        <w:rPr>
          <w:rFonts w:cs="Times"/>
          <w:vertAlign w:val="superscript"/>
        </w:rPr>
        <w:t xml:space="preserve"> </w:t>
      </w:r>
      <w:r w:rsidR="00EF73AE" w:rsidRPr="001134B0">
        <w:rPr>
          <w:rFonts w:cs="Times"/>
        </w:rPr>
        <w:t>rather than the Gini-index, given that the latter tend to inflate the importance of continuous or high-cardinality categorical variables.</w:t>
      </w:r>
      <w:r w:rsidR="006275CC" w:rsidRPr="001134B0">
        <w:rPr>
          <w:rStyle w:val="EndnoteReference"/>
          <w:rFonts w:cs="Times"/>
        </w:rPr>
        <w:endnoteReference w:id="61"/>
      </w:r>
      <w:r w:rsidR="00EF73AE" w:rsidRPr="001134B0">
        <w:rPr>
          <w:rFonts w:cs="Times"/>
        </w:rPr>
        <w:t xml:space="preserve"> In addition, features that </w:t>
      </w:r>
      <w:r w:rsidR="00DD790E">
        <w:rPr>
          <w:rFonts w:cs="Times"/>
        </w:rPr>
        <w:t>are</w:t>
      </w:r>
      <w:r w:rsidR="00EF73AE" w:rsidRPr="001134B0">
        <w:rPr>
          <w:rFonts w:cs="Times"/>
        </w:rPr>
        <w:t xml:space="preserve"> relevant to the training </w:t>
      </w:r>
      <w:r w:rsidR="00320E0D">
        <w:rPr>
          <w:rFonts w:cs="Times"/>
        </w:rPr>
        <w:t>data</w:t>
      </w:r>
      <w:r w:rsidR="00EF73AE" w:rsidRPr="001134B0">
        <w:rPr>
          <w:rFonts w:cs="Times"/>
        </w:rPr>
        <w:t xml:space="preserve"> but </w:t>
      </w:r>
      <w:r w:rsidR="00723BA5">
        <w:rPr>
          <w:rFonts w:cs="Times"/>
        </w:rPr>
        <w:t xml:space="preserve">are less relevant </w:t>
      </w:r>
      <w:r w:rsidR="0076685B">
        <w:rPr>
          <w:rFonts w:cs="Times"/>
        </w:rPr>
        <w:t>o</w:t>
      </w:r>
      <w:r w:rsidR="00DD790E">
        <w:rPr>
          <w:rFonts w:cs="Times"/>
        </w:rPr>
        <w:t>n</w:t>
      </w:r>
      <w:r w:rsidR="00EF73AE" w:rsidRPr="001134B0">
        <w:rPr>
          <w:rFonts w:cs="Times"/>
        </w:rPr>
        <w:t xml:space="preserve"> the held-out </w:t>
      </w:r>
      <w:r w:rsidR="00320E0D">
        <w:rPr>
          <w:rFonts w:cs="Times"/>
        </w:rPr>
        <w:t>data</w:t>
      </w:r>
      <w:r w:rsidR="00EF73AE" w:rsidRPr="001134B0">
        <w:rPr>
          <w:rFonts w:cs="Times"/>
        </w:rPr>
        <w:t xml:space="preserve"> cause a model to overfit</w:t>
      </w:r>
      <w:r w:rsidR="0076685B">
        <w:rPr>
          <w:rFonts w:cs="Times"/>
        </w:rPr>
        <w:t xml:space="preserve"> to the training </w:t>
      </w:r>
      <w:r w:rsidR="00320E0D">
        <w:rPr>
          <w:rFonts w:cs="Times"/>
        </w:rPr>
        <w:t>data</w:t>
      </w:r>
      <w:r w:rsidR="00EF73AE" w:rsidRPr="001134B0">
        <w:rPr>
          <w:rFonts w:cs="Times"/>
        </w:rPr>
        <w:t xml:space="preserve">. The permutation importance </w:t>
      </w:r>
      <w:r w:rsidR="00DD790E">
        <w:rPr>
          <w:rFonts w:cs="Times"/>
        </w:rPr>
        <w:t xml:space="preserve">on the other hand </w:t>
      </w:r>
      <w:r w:rsidR="00EF73AE" w:rsidRPr="001134B0">
        <w:rPr>
          <w:rFonts w:cs="Times"/>
        </w:rPr>
        <w:t xml:space="preserve">can be used on </w:t>
      </w:r>
      <w:r w:rsidR="00DD790E">
        <w:rPr>
          <w:rFonts w:cs="Times"/>
        </w:rPr>
        <w:t xml:space="preserve">the </w:t>
      </w:r>
      <w:r w:rsidR="00EF73AE" w:rsidRPr="001134B0">
        <w:rPr>
          <w:rFonts w:cs="Times"/>
        </w:rPr>
        <w:t>held</w:t>
      </w:r>
      <w:r w:rsidR="001C4835" w:rsidRPr="001134B0">
        <w:rPr>
          <w:rFonts w:cs="Times"/>
        </w:rPr>
        <w:t>-</w:t>
      </w:r>
      <w:r w:rsidR="00EF73AE" w:rsidRPr="001134B0">
        <w:rPr>
          <w:rFonts w:cs="Times"/>
        </w:rPr>
        <w:t xml:space="preserve">out test set and measures the drop in overall accuracies when a column is permuted. For each iteration of the </w:t>
      </w:r>
      <w:r w:rsidR="00FC3A02">
        <w:rPr>
          <w:rFonts w:cs="Times"/>
        </w:rPr>
        <w:t xml:space="preserve">outer loop of the </w:t>
      </w:r>
      <w:r w:rsidR="00EF73AE" w:rsidRPr="001134B0">
        <w:rPr>
          <w:rFonts w:cs="Times"/>
        </w:rPr>
        <w:t>nested cross</w:t>
      </w:r>
      <w:r w:rsidR="001C4835" w:rsidRPr="001134B0">
        <w:rPr>
          <w:rFonts w:cs="Times"/>
        </w:rPr>
        <w:t>-</w:t>
      </w:r>
      <w:r w:rsidR="00EF73AE" w:rsidRPr="001134B0">
        <w:rPr>
          <w:rFonts w:cs="Times"/>
        </w:rPr>
        <w:t xml:space="preserve">validation </w:t>
      </w:r>
      <w:r w:rsidR="00FC3A02">
        <w:rPr>
          <w:rFonts w:cs="Times"/>
        </w:rPr>
        <w:t xml:space="preserve">where </w:t>
      </w:r>
      <w:r w:rsidR="00EF73AE" w:rsidRPr="001134B0">
        <w:rPr>
          <w:rFonts w:cs="Times"/>
        </w:rPr>
        <w:t xml:space="preserve">the hyper-parameter optimised </w:t>
      </w:r>
      <w:r w:rsidR="00DD790E">
        <w:rPr>
          <w:rFonts w:cs="Times"/>
        </w:rPr>
        <w:t>R</w:t>
      </w:r>
      <w:r w:rsidR="00EF73AE" w:rsidRPr="001134B0">
        <w:rPr>
          <w:rFonts w:cs="Times"/>
        </w:rPr>
        <w:t xml:space="preserve">andom </w:t>
      </w:r>
      <w:r w:rsidR="00DD790E">
        <w:rPr>
          <w:rFonts w:cs="Times"/>
        </w:rPr>
        <w:t>F</w:t>
      </w:r>
      <w:r w:rsidR="00EF73AE" w:rsidRPr="001134B0">
        <w:rPr>
          <w:rFonts w:cs="Times"/>
        </w:rPr>
        <w:t>orest model</w:t>
      </w:r>
      <w:r w:rsidR="00FC3A02">
        <w:rPr>
          <w:rFonts w:cs="Times"/>
        </w:rPr>
        <w:t xml:space="preserve"> performed with</w:t>
      </w:r>
      <w:r w:rsidR="008C0D3B" w:rsidRPr="008C0D3B">
        <w:rPr>
          <w:rFonts w:cs="Times"/>
        </w:rPr>
        <w:t xml:space="preserve"> balanced accuracy greater than 0.50</w:t>
      </w:r>
      <w:r w:rsidR="00FC3A02">
        <w:rPr>
          <w:rFonts w:cs="Times"/>
        </w:rPr>
        <w:t xml:space="preserve"> on </w:t>
      </w:r>
      <w:r w:rsidR="00FC3A02" w:rsidRPr="001134B0">
        <w:rPr>
          <w:rFonts w:cs="Times"/>
        </w:rPr>
        <w:t>the held-out test set</w:t>
      </w:r>
      <w:r w:rsidR="001A3A88">
        <w:rPr>
          <w:rFonts w:cs="Times"/>
        </w:rPr>
        <w:t xml:space="preserve">, </w:t>
      </w:r>
      <w:r w:rsidR="00FC3A02">
        <w:rPr>
          <w:rFonts w:cs="Times"/>
        </w:rPr>
        <w:t xml:space="preserve">we used </w:t>
      </w:r>
      <w:r w:rsidR="008C0D3B" w:rsidRPr="008C0D3B">
        <w:rPr>
          <w:rFonts w:cs="Times"/>
        </w:rPr>
        <w:t>a 10-fold permutation importance on the respective held-out test set and model</w:t>
      </w:r>
      <w:r w:rsidR="002402C1">
        <w:rPr>
          <w:rFonts w:cs="Times"/>
        </w:rPr>
        <w:t xml:space="preserve"> to</w:t>
      </w:r>
      <w:r w:rsidR="00FC3A02">
        <w:rPr>
          <w:rFonts w:cs="Times"/>
        </w:rPr>
        <w:t xml:space="preserve"> select</w:t>
      </w:r>
      <w:r w:rsidR="00DD790E">
        <w:rPr>
          <w:rFonts w:cs="Times"/>
        </w:rPr>
        <w:t xml:space="preserve"> </w:t>
      </w:r>
      <w:r w:rsidR="00EF73AE" w:rsidRPr="001134B0">
        <w:rPr>
          <w:rFonts w:cs="Times"/>
        </w:rPr>
        <w:t>features</w:t>
      </w:r>
      <w:r w:rsidR="00927CB7">
        <w:rPr>
          <w:rFonts w:cs="Times"/>
        </w:rPr>
        <w:t xml:space="preserve"> </w:t>
      </w:r>
      <w:r w:rsidR="00927CB7" w:rsidRPr="00927CB7">
        <w:rPr>
          <w:rFonts w:cs="Times"/>
        </w:rPr>
        <w:t>having a positive permutation score</w:t>
      </w:r>
      <w:r w:rsidR="00927CB7">
        <w:rPr>
          <w:rFonts w:cs="Times"/>
        </w:rPr>
        <w:t xml:space="preserve"> </w:t>
      </w:r>
      <w:r w:rsidR="002402C1">
        <w:rPr>
          <w:rFonts w:cs="Times"/>
        </w:rPr>
        <w:t xml:space="preserve">as </w:t>
      </w:r>
      <w:r w:rsidR="002402C1" w:rsidRPr="001134B0">
        <w:rPr>
          <w:rFonts w:cs="Times"/>
        </w:rPr>
        <w:t>most-contributing</w:t>
      </w:r>
      <w:r w:rsidR="003902B8">
        <w:rPr>
          <w:rFonts w:cs="Times"/>
        </w:rPr>
        <w:t xml:space="preserve">. </w:t>
      </w:r>
      <w:r w:rsidR="00EF7D87">
        <w:rPr>
          <w:rFonts w:cs="Times"/>
        </w:rPr>
        <w:t xml:space="preserve">In order to avoid </w:t>
      </w:r>
      <w:r w:rsidR="00B42ACA">
        <w:rPr>
          <w:rFonts w:cs="Times"/>
        </w:rPr>
        <w:t>effects from correlated feature</w:t>
      </w:r>
      <w:r w:rsidR="00B42ACA" w:rsidRPr="00B42ACA">
        <w:rPr>
          <w:rFonts w:cs="Times"/>
        </w:rPr>
        <w:t xml:space="preserve"> </w:t>
      </w:r>
      <w:r w:rsidR="00B42ACA" w:rsidRPr="00FC3A02">
        <w:rPr>
          <w:rFonts w:cs="Times"/>
        </w:rPr>
        <w:t>measurement</w:t>
      </w:r>
      <w:r w:rsidR="00B42ACA">
        <w:rPr>
          <w:rFonts w:cs="Times"/>
        </w:rPr>
        <w:t>s and categories, w</w:t>
      </w:r>
      <w:r w:rsidR="003902B8">
        <w:rPr>
          <w:rFonts w:cs="Times"/>
        </w:rPr>
        <w:t>e further</w:t>
      </w:r>
      <w:r w:rsidR="008F7125">
        <w:rPr>
          <w:rFonts w:cs="Times"/>
        </w:rPr>
        <w:t xml:space="preserve"> grouped </w:t>
      </w:r>
      <w:r w:rsidR="003902B8">
        <w:rPr>
          <w:rFonts w:cs="Times"/>
        </w:rPr>
        <w:t>most-cont</w:t>
      </w:r>
      <w:r w:rsidR="00206261">
        <w:rPr>
          <w:rFonts w:cs="Times"/>
        </w:rPr>
        <w:t>r</w:t>
      </w:r>
      <w:r w:rsidR="003902B8">
        <w:rPr>
          <w:rFonts w:cs="Times"/>
        </w:rPr>
        <w:t>ibuting features</w:t>
      </w:r>
      <w:r w:rsidR="008F7125">
        <w:rPr>
          <w:rFonts w:cs="Times"/>
        </w:rPr>
        <w:t xml:space="preserve"> by</w:t>
      </w:r>
      <w:r w:rsidR="001A3A88">
        <w:rPr>
          <w:rFonts w:cs="Times"/>
        </w:rPr>
        <w:t xml:space="preserve"> </w:t>
      </w:r>
      <w:r w:rsidR="001A3A88" w:rsidRPr="00FC3A02">
        <w:rPr>
          <w:rFonts w:cs="Times"/>
        </w:rPr>
        <w:t>measurement type</w:t>
      </w:r>
      <w:r w:rsidR="002402C1">
        <w:rPr>
          <w:rFonts w:cs="Times"/>
        </w:rPr>
        <w:t xml:space="preserve"> (compartment</w:t>
      </w:r>
      <w:r w:rsidR="00FC03F9">
        <w:rPr>
          <w:rFonts w:cs="Times"/>
        </w:rPr>
        <w:t>s</w:t>
      </w:r>
      <w:r w:rsidR="00AD41AA">
        <w:rPr>
          <w:rFonts w:cs="Times"/>
        </w:rPr>
        <w:t xml:space="preserve">: Cells, Cytoplasm, Nuclei </w:t>
      </w:r>
      <w:r w:rsidR="002402C1">
        <w:rPr>
          <w:rFonts w:cs="Times"/>
        </w:rPr>
        <w:lastRenderedPageBreak/>
        <w:t>)</w:t>
      </w:r>
      <w:r w:rsidR="001A3A88" w:rsidRPr="00FC3A02">
        <w:rPr>
          <w:rFonts w:cs="Times"/>
        </w:rPr>
        <w:t xml:space="preserve"> and categor</w:t>
      </w:r>
      <w:r w:rsidR="003902B8">
        <w:rPr>
          <w:rFonts w:cs="Times"/>
        </w:rPr>
        <w:t>y</w:t>
      </w:r>
      <w:r w:rsidR="002402C1">
        <w:rPr>
          <w:rFonts w:cs="Times"/>
        </w:rPr>
        <w:t xml:space="preserve"> (feature group</w:t>
      </w:r>
      <w:r w:rsidR="00FC03F9">
        <w:rPr>
          <w:rFonts w:cs="Times"/>
        </w:rPr>
        <w:t>s</w:t>
      </w:r>
      <w:r w:rsidR="00AD41AA">
        <w:rPr>
          <w:rFonts w:cs="Times"/>
        </w:rPr>
        <w:t xml:space="preserve">: </w:t>
      </w:r>
      <w:proofErr w:type="spellStart"/>
      <w:r w:rsidR="00FC03F9" w:rsidRPr="00FC03F9">
        <w:rPr>
          <w:rFonts w:cs="Times"/>
        </w:rPr>
        <w:t>AreaShape</w:t>
      </w:r>
      <w:proofErr w:type="spellEnd"/>
      <w:r w:rsidR="00FC03F9" w:rsidRPr="00FC03F9">
        <w:rPr>
          <w:rFonts w:cs="Times"/>
        </w:rPr>
        <w:t>, Correlation, Granularity,</w:t>
      </w:r>
      <w:r w:rsidR="00FC03F9">
        <w:rPr>
          <w:rFonts w:cs="Times"/>
        </w:rPr>
        <w:t xml:space="preserve"> etc.</w:t>
      </w:r>
      <w:r w:rsidR="002402C1">
        <w:rPr>
          <w:rFonts w:cs="Times"/>
        </w:rPr>
        <w:t>)</w:t>
      </w:r>
      <w:r w:rsidR="003902B8">
        <w:rPr>
          <w:rFonts w:cs="Times"/>
        </w:rPr>
        <w:t xml:space="preserve"> to determine which</w:t>
      </w:r>
      <w:r w:rsidR="000777D5" w:rsidRPr="000777D5">
        <w:t xml:space="preserve"> </w:t>
      </w:r>
      <w:r w:rsidR="00833295">
        <w:t>combination</w:t>
      </w:r>
      <w:r w:rsidR="00BB5CB7">
        <w:t>s</w:t>
      </w:r>
      <w:r w:rsidR="00833295">
        <w:t xml:space="preserve"> of </w:t>
      </w:r>
      <w:r w:rsidR="000777D5">
        <w:rPr>
          <w:rFonts w:cs="Times"/>
        </w:rPr>
        <w:t>m</w:t>
      </w:r>
      <w:r w:rsidR="000777D5" w:rsidRPr="000777D5">
        <w:rPr>
          <w:rFonts w:cs="Times"/>
        </w:rPr>
        <w:t>easurement</w:t>
      </w:r>
      <w:r w:rsidR="000777D5">
        <w:rPr>
          <w:rFonts w:cs="Times"/>
        </w:rPr>
        <w:t xml:space="preserve"> t</w:t>
      </w:r>
      <w:r w:rsidR="000777D5" w:rsidRPr="000777D5">
        <w:rPr>
          <w:rFonts w:cs="Times"/>
        </w:rPr>
        <w:t xml:space="preserve">ype </w:t>
      </w:r>
      <w:r w:rsidR="000777D5">
        <w:rPr>
          <w:rFonts w:cs="Times"/>
        </w:rPr>
        <w:t>(</w:t>
      </w:r>
      <w:r w:rsidR="000777D5" w:rsidRPr="000777D5">
        <w:rPr>
          <w:rFonts w:cs="Times"/>
        </w:rPr>
        <w:t>detected objects</w:t>
      </w:r>
      <w:r w:rsidR="000777D5">
        <w:rPr>
          <w:rFonts w:cs="Times"/>
        </w:rPr>
        <w:t>)</w:t>
      </w:r>
      <w:r w:rsidR="000777D5" w:rsidRPr="000777D5">
        <w:rPr>
          <w:rFonts w:cs="Times"/>
        </w:rPr>
        <w:t xml:space="preserve"> </w:t>
      </w:r>
      <w:r w:rsidR="000777D5">
        <w:rPr>
          <w:rFonts w:cs="Times"/>
        </w:rPr>
        <w:t>and category (</w:t>
      </w:r>
      <w:r w:rsidR="000777D5" w:rsidRPr="000777D5">
        <w:rPr>
          <w:rFonts w:cs="Times"/>
        </w:rPr>
        <w:t xml:space="preserve">the module </w:t>
      </w:r>
      <w:r w:rsidR="000777D5">
        <w:rPr>
          <w:rFonts w:cs="Times"/>
        </w:rPr>
        <w:t xml:space="preserve">that </w:t>
      </w:r>
      <w:r w:rsidR="000777D5" w:rsidRPr="000777D5">
        <w:rPr>
          <w:rFonts w:cs="Times"/>
        </w:rPr>
        <w:t>produced the measurements</w:t>
      </w:r>
      <w:r w:rsidR="000777D5">
        <w:rPr>
          <w:rFonts w:cs="Times"/>
        </w:rPr>
        <w:t xml:space="preserve">) </w:t>
      </w:r>
      <w:r w:rsidR="003B7CA7">
        <w:rPr>
          <w:rFonts w:cs="Times"/>
        </w:rPr>
        <w:t xml:space="preserve">are most-contributing to </w:t>
      </w:r>
      <w:r w:rsidR="00E013E7">
        <w:rPr>
          <w:rFonts w:cs="Times"/>
        </w:rPr>
        <w:t xml:space="preserve">model </w:t>
      </w:r>
      <w:r w:rsidR="0092233D">
        <w:rPr>
          <w:rFonts w:cs="Times"/>
        </w:rPr>
        <w:t>our</w:t>
      </w:r>
      <w:r w:rsidR="00E013E7">
        <w:rPr>
          <w:rFonts w:cs="Times"/>
        </w:rPr>
        <w:t xml:space="preserve"> endpoint</w:t>
      </w:r>
      <w:r w:rsidR="0092233D">
        <w:rPr>
          <w:rFonts w:cs="Times"/>
        </w:rPr>
        <w:t>s</w:t>
      </w:r>
      <w:r w:rsidR="00E013E7">
        <w:rPr>
          <w:rFonts w:cs="Times"/>
        </w:rPr>
        <w:t>.</w:t>
      </w:r>
    </w:p>
    <w:p w14:paraId="7D94F1BA" w14:textId="272FA6D7" w:rsidR="00EF73AE" w:rsidRPr="001134B0" w:rsidRDefault="00EF73AE" w:rsidP="00EF73AE">
      <w:pPr>
        <w:pStyle w:val="TAMainText"/>
        <w:rPr>
          <w:rFonts w:cs="Times"/>
        </w:rPr>
      </w:pPr>
      <w:r w:rsidRPr="001134B0">
        <w:rPr>
          <w:rFonts w:cs="Times"/>
        </w:rPr>
        <w:t>I</w:t>
      </w:r>
      <w:r w:rsidR="00DD790E">
        <w:rPr>
          <w:rFonts w:cs="Times"/>
        </w:rPr>
        <w:t>n the overall setup</w:t>
      </w:r>
      <w:r w:rsidR="00671B3E">
        <w:rPr>
          <w:rFonts w:cs="Times"/>
        </w:rPr>
        <w:t>,</w:t>
      </w:r>
      <w:r w:rsidRPr="001134B0">
        <w:rPr>
          <w:rFonts w:eastAsiaTheme="minorHAnsi" w:cs="Times"/>
          <w:sz w:val="22"/>
          <w:szCs w:val="22"/>
        </w:rPr>
        <w:t xml:space="preserve"> </w:t>
      </w:r>
      <w:r w:rsidRPr="001134B0">
        <w:rPr>
          <w:rFonts w:cs="Times"/>
        </w:rPr>
        <w:t xml:space="preserve">the permutation test was hence used in conjunction with </w:t>
      </w:r>
      <w:r w:rsidR="00DD790E">
        <w:rPr>
          <w:rFonts w:cs="Times"/>
        </w:rPr>
        <w:t>the</w:t>
      </w:r>
      <w:r w:rsidR="001C4835" w:rsidRPr="001134B0">
        <w:rPr>
          <w:rFonts w:cs="Times"/>
        </w:rPr>
        <w:t xml:space="preserve"> </w:t>
      </w:r>
      <w:r w:rsidR="00DD790E">
        <w:rPr>
          <w:rFonts w:cs="Times"/>
        </w:rPr>
        <w:t xml:space="preserve">KS </w:t>
      </w:r>
      <w:r w:rsidRPr="001134B0">
        <w:rPr>
          <w:rFonts w:cs="Times"/>
        </w:rPr>
        <w:t xml:space="preserve">feature selection method </w:t>
      </w:r>
      <w:r w:rsidR="00DD790E">
        <w:rPr>
          <w:rFonts w:cs="Times"/>
        </w:rPr>
        <w:t>used for training, and the objective of both is different: While the KS test</w:t>
      </w:r>
      <w:r w:rsidRPr="001134B0">
        <w:rPr>
          <w:rFonts w:cs="Times"/>
        </w:rPr>
        <w:t xml:space="preserve"> selected features from the </w:t>
      </w:r>
      <w:r w:rsidRPr="008B71F9">
        <w:rPr>
          <w:rFonts w:cs="Times"/>
          <w:i/>
          <w:iCs/>
        </w:rPr>
        <w:t>training data</w:t>
      </w:r>
      <w:r w:rsidRPr="001134B0">
        <w:rPr>
          <w:rFonts w:cs="Times"/>
        </w:rPr>
        <w:t xml:space="preserve"> of the model</w:t>
      </w:r>
      <w:r w:rsidR="00DD790E">
        <w:rPr>
          <w:rFonts w:cs="Times"/>
        </w:rPr>
        <w:t xml:space="preserve"> (and hence was not unduly influencing performance)</w:t>
      </w:r>
      <w:r w:rsidRPr="001134B0">
        <w:rPr>
          <w:rFonts w:cs="Times"/>
        </w:rPr>
        <w:t xml:space="preserve">, the permutation importance was </w:t>
      </w:r>
      <w:r w:rsidR="00DD790E">
        <w:rPr>
          <w:rFonts w:cs="Times"/>
        </w:rPr>
        <w:t xml:space="preserve">used to </w:t>
      </w:r>
      <w:r w:rsidRPr="001134B0">
        <w:rPr>
          <w:rFonts w:cs="Times"/>
        </w:rPr>
        <w:t>evaluate</w:t>
      </w:r>
      <w:r w:rsidR="00DD790E">
        <w:rPr>
          <w:rFonts w:cs="Times"/>
        </w:rPr>
        <w:t xml:space="preserve"> the</w:t>
      </w:r>
      <w:r w:rsidRPr="001134B0">
        <w:rPr>
          <w:rFonts w:cs="Times"/>
        </w:rPr>
        <w:t xml:space="preserve"> model for data </w:t>
      </w:r>
      <w:r w:rsidRPr="008B71F9">
        <w:rPr>
          <w:rFonts w:cs="Times"/>
          <w:i/>
          <w:iCs/>
        </w:rPr>
        <w:t>in the held-out test set</w:t>
      </w:r>
      <w:r w:rsidR="00D92D3C">
        <w:rPr>
          <w:rFonts w:cs="Times"/>
          <w:i/>
          <w:iCs/>
        </w:rPr>
        <w:t xml:space="preserve"> (</w:t>
      </w:r>
      <w:r w:rsidR="00D92D3C" w:rsidRPr="001134B0">
        <w:rPr>
          <w:rFonts w:cs="Times"/>
        </w:rPr>
        <w:t xml:space="preserve">to the generalization power of the </w:t>
      </w:r>
      <w:r w:rsidR="00D92D3C">
        <w:rPr>
          <w:rFonts w:cs="Times"/>
        </w:rPr>
        <w:t>R</w:t>
      </w:r>
      <w:r w:rsidR="00D92D3C" w:rsidRPr="001134B0">
        <w:rPr>
          <w:rFonts w:cs="Times"/>
        </w:rPr>
        <w:t xml:space="preserve">andom </w:t>
      </w:r>
      <w:r w:rsidR="00D92D3C">
        <w:rPr>
          <w:rFonts w:cs="Times"/>
        </w:rPr>
        <w:t>F</w:t>
      </w:r>
      <w:r w:rsidR="00D92D3C" w:rsidRPr="001134B0">
        <w:rPr>
          <w:rFonts w:cs="Times"/>
        </w:rPr>
        <w:t>orest model</w:t>
      </w:r>
      <w:r w:rsidR="00D92D3C">
        <w:rPr>
          <w:rFonts w:cs="Times"/>
        </w:rPr>
        <w:t>)</w:t>
      </w:r>
      <w:r w:rsidR="00D92D3C">
        <w:rPr>
          <w:rFonts w:cs="Times"/>
          <w:i/>
          <w:iCs/>
        </w:rPr>
        <w:t xml:space="preserve"> </w:t>
      </w:r>
      <w:r w:rsidR="00DD790E">
        <w:rPr>
          <w:rFonts w:cs="Times"/>
        </w:rPr>
        <w:t xml:space="preserve">and hence </w:t>
      </w:r>
      <w:r w:rsidR="004A773F">
        <w:rPr>
          <w:rFonts w:cs="Times"/>
        </w:rPr>
        <w:t xml:space="preserve">overall, </w:t>
      </w:r>
      <w:r w:rsidR="00DD790E">
        <w:rPr>
          <w:rFonts w:cs="Times"/>
        </w:rPr>
        <w:t xml:space="preserve">to determine feature </w:t>
      </w:r>
      <w:r w:rsidR="00D92D3C">
        <w:rPr>
          <w:rFonts w:cs="Times"/>
        </w:rPr>
        <w:t>generalizability over all</w:t>
      </w:r>
      <w:r w:rsidR="004A773F">
        <w:rPr>
          <w:rFonts w:cs="Times"/>
        </w:rPr>
        <w:t xml:space="preserve"> data.</w:t>
      </w:r>
      <w:r w:rsidRPr="001134B0">
        <w:rPr>
          <w:rFonts w:cs="Times"/>
        </w:rPr>
        <w:t xml:space="preserve"> </w:t>
      </w:r>
    </w:p>
    <w:p w14:paraId="6963B143" w14:textId="77777777" w:rsidR="006D2F31" w:rsidRDefault="006D2F31">
      <w:pPr>
        <w:rPr>
          <w:rFonts w:ascii="Times" w:eastAsia="Times New Roman" w:hAnsi="Times" w:cs="Times"/>
          <w:b/>
          <w:bCs/>
          <w:szCs w:val="20"/>
          <w:bdr w:val="none" w:sz="0" w:space="0" w:color="auto"/>
        </w:rPr>
      </w:pPr>
      <w:r>
        <w:rPr>
          <w:rFonts w:cs="Times"/>
          <w:b/>
          <w:bCs/>
        </w:rPr>
        <w:br w:type="page"/>
      </w:r>
    </w:p>
    <w:p w14:paraId="059DCE86" w14:textId="78D39E10" w:rsidR="00920297" w:rsidRPr="001134B0" w:rsidRDefault="00920297" w:rsidP="00893F27">
      <w:pPr>
        <w:pStyle w:val="TAMainText"/>
        <w:ind w:firstLine="0"/>
        <w:rPr>
          <w:rFonts w:cs="Times"/>
        </w:rPr>
      </w:pPr>
      <w:r w:rsidRPr="001134B0">
        <w:rPr>
          <w:rFonts w:cs="Times"/>
          <w:b/>
          <w:bCs/>
        </w:rPr>
        <w:lastRenderedPageBreak/>
        <w:t>RESULTS</w:t>
      </w:r>
      <w:r w:rsidR="00DC70F1" w:rsidRPr="001134B0">
        <w:rPr>
          <w:rFonts w:cs="Times"/>
          <w:b/>
          <w:bCs/>
        </w:rPr>
        <w:t xml:space="preserve"> AND DISCUSSIONS</w:t>
      </w:r>
    </w:p>
    <w:p w14:paraId="098424B4" w14:textId="10F3913D" w:rsidR="000E44F0" w:rsidRDefault="00862EE5" w:rsidP="008A0826">
      <w:pPr>
        <w:pStyle w:val="TAMainText"/>
        <w:ind w:firstLine="0"/>
        <w:rPr>
          <w:rFonts w:cs="Times"/>
        </w:rPr>
      </w:pPr>
      <w:r w:rsidRPr="001134B0">
        <w:rPr>
          <w:rFonts w:cs="Times"/>
        </w:rPr>
        <w:t>For</w:t>
      </w:r>
      <w:r w:rsidR="00224E75" w:rsidRPr="001134B0">
        <w:rPr>
          <w:rFonts w:cs="Times"/>
        </w:rPr>
        <w:t xml:space="preserve"> each of </w:t>
      </w:r>
      <w:r w:rsidRPr="001134B0">
        <w:rPr>
          <w:rFonts w:cs="Times"/>
        </w:rPr>
        <w:t xml:space="preserve">the </w:t>
      </w:r>
      <w:r w:rsidR="00995454" w:rsidRPr="001134B0">
        <w:rPr>
          <w:rFonts w:cs="Times"/>
        </w:rPr>
        <w:t>12</w:t>
      </w:r>
      <w:r w:rsidRPr="001134B0">
        <w:rPr>
          <w:rFonts w:cs="Times"/>
        </w:rPr>
        <w:t xml:space="preserve"> </w:t>
      </w:r>
      <w:r w:rsidR="00A17C90" w:rsidRPr="001134B0">
        <w:rPr>
          <w:rFonts w:cs="Times"/>
        </w:rPr>
        <w:t xml:space="preserve">cytotoxicity- and proliferation-related </w:t>
      </w:r>
      <w:r w:rsidR="00A17C90" w:rsidRPr="001134B0">
        <w:rPr>
          <w:rFonts w:cs="Times"/>
          <w:i/>
          <w:iCs/>
        </w:rPr>
        <w:t>in vitro</w:t>
      </w:r>
      <w:r w:rsidR="00A17C90" w:rsidRPr="001134B0">
        <w:rPr>
          <w:rFonts w:cs="Times"/>
        </w:rPr>
        <w:t xml:space="preserve"> assays </w:t>
      </w:r>
      <w:r w:rsidRPr="001134B0">
        <w:rPr>
          <w:rFonts w:cs="Times"/>
        </w:rPr>
        <w:t>endpoints</w:t>
      </w:r>
      <w:r w:rsidR="009D7E65">
        <w:rPr>
          <w:rFonts w:cs="Times"/>
        </w:rPr>
        <w:t xml:space="preserve"> and the combined endpoint</w:t>
      </w:r>
      <w:r w:rsidRPr="001134B0">
        <w:rPr>
          <w:rFonts w:cs="Times"/>
        </w:rPr>
        <w:t xml:space="preserve">, </w:t>
      </w:r>
      <w:r w:rsidR="005D56BD" w:rsidRPr="001134B0">
        <w:rPr>
          <w:rFonts w:cs="Times"/>
        </w:rPr>
        <w:t>we constructed models usin</w:t>
      </w:r>
      <w:r w:rsidR="00FF4FCC" w:rsidRPr="001134B0">
        <w:rPr>
          <w:rFonts w:cs="Times"/>
        </w:rPr>
        <w:t xml:space="preserve">g </w:t>
      </w:r>
      <w:r w:rsidR="000E441B" w:rsidRPr="001134B0">
        <w:rPr>
          <w:rFonts w:cs="Times"/>
        </w:rPr>
        <w:t xml:space="preserve">Cell Painting </w:t>
      </w:r>
      <w:r w:rsidR="00053261">
        <w:rPr>
          <w:rFonts w:cs="Times"/>
        </w:rPr>
        <w:t xml:space="preserve">descriptors </w:t>
      </w:r>
      <w:r w:rsidR="000E441B" w:rsidRPr="001134B0">
        <w:rPr>
          <w:rFonts w:cs="Times"/>
        </w:rPr>
        <w:t>a</w:t>
      </w:r>
      <w:r w:rsidR="00053261">
        <w:rPr>
          <w:rFonts w:cs="Times"/>
        </w:rPr>
        <w:t>s well as</w:t>
      </w:r>
      <w:r w:rsidR="000E441B" w:rsidRPr="001134B0">
        <w:rPr>
          <w:rFonts w:cs="Times"/>
        </w:rPr>
        <w:t xml:space="preserve"> two types of molecular</w:t>
      </w:r>
      <w:r w:rsidR="00FF4FCC" w:rsidRPr="001134B0">
        <w:rPr>
          <w:rFonts w:cs="Times"/>
        </w:rPr>
        <w:t xml:space="preserve"> fingerprints</w:t>
      </w:r>
      <w:r w:rsidR="00053261">
        <w:rPr>
          <w:rFonts w:cs="Times"/>
        </w:rPr>
        <w:t>,</w:t>
      </w:r>
      <w:r w:rsidR="00FF4FCC" w:rsidRPr="001134B0">
        <w:rPr>
          <w:rFonts w:cs="Times"/>
        </w:rPr>
        <w:t xml:space="preserve"> and combinations</w:t>
      </w:r>
      <w:r w:rsidR="00053261">
        <w:rPr>
          <w:rFonts w:cs="Times"/>
        </w:rPr>
        <w:t xml:space="preserve"> thereof</w:t>
      </w:r>
      <w:r w:rsidR="00BD66CD">
        <w:rPr>
          <w:rFonts w:cs="Times"/>
        </w:rPr>
        <w:t>.</w:t>
      </w:r>
      <w:r w:rsidR="00FF4FCC" w:rsidRPr="001134B0">
        <w:rPr>
          <w:rFonts w:cs="Times"/>
        </w:rPr>
        <w:t xml:space="preserve"> </w:t>
      </w:r>
      <w:r w:rsidR="00BD66CD">
        <w:rPr>
          <w:rFonts w:cs="Times"/>
        </w:rPr>
        <w:t>We</w:t>
      </w:r>
      <w:r w:rsidR="00FF4FCC" w:rsidRPr="001134B0">
        <w:rPr>
          <w:rFonts w:cs="Times"/>
        </w:rPr>
        <w:t xml:space="preserve"> evaluated the metrics for the </w:t>
      </w:r>
      <w:r w:rsidR="000E441B" w:rsidRPr="001134B0">
        <w:rPr>
          <w:rFonts w:cs="Times"/>
        </w:rPr>
        <w:t>5</w:t>
      </w:r>
      <w:r w:rsidR="00FF4FCC" w:rsidRPr="001134B0">
        <w:rPr>
          <w:rFonts w:cs="Times"/>
        </w:rPr>
        <w:t>-</w:t>
      </w:r>
      <w:r w:rsidR="00F56C86" w:rsidRPr="001134B0">
        <w:rPr>
          <w:rFonts w:cs="Times"/>
        </w:rPr>
        <w:t>f</w:t>
      </w:r>
      <w:r w:rsidR="00FF4FCC" w:rsidRPr="001134B0">
        <w:rPr>
          <w:rFonts w:cs="Times"/>
        </w:rPr>
        <w:t xml:space="preserve">old and </w:t>
      </w:r>
      <w:r w:rsidR="007817B7" w:rsidRPr="007817B7">
        <w:rPr>
          <w:rFonts w:cs="Times"/>
        </w:rPr>
        <w:t xml:space="preserve">leave-one-cluster-out </w:t>
      </w:r>
      <w:r w:rsidR="00FF4FCC" w:rsidRPr="001134B0">
        <w:rPr>
          <w:rFonts w:cs="Times"/>
        </w:rPr>
        <w:t xml:space="preserve">methods, </w:t>
      </w:r>
      <w:r w:rsidR="00920297" w:rsidRPr="001134B0">
        <w:rPr>
          <w:rFonts w:cs="Times"/>
        </w:rPr>
        <w:t xml:space="preserve">the results of which are shown in Table </w:t>
      </w:r>
      <w:r w:rsidR="00A23F1A" w:rsidRPr="001134B0">
        <w:rPr>
          <w:rFonts w:cs="Times"/>
        </w:rPr>
        <w:t>2</w:t>
      </w:r>
      <w:r w:rsidR="00D71D0D" w:rsidRPr="001134B0">
        <w:rPr>
          <w:rFonts w:cs="Times"/>
        </w:rPr>
        <w:t xml:space="preserve"> and Figure</w:t>
      </w:r>
      <w:r w:rsidR="00212BA5">
        <w:rPr>
          <w:rFonts w:cs="Times"/>
        </w:rPr>
        <w:t>s</w:t>
      </w:r>
      <w:r w:rsidR="00D71D0D" w:rsidRPr="001134B0">
        <w:rPr>
          <w:rFonts w:cs="Times"/>
        </w:rPr>
        <w:t xml:space="preserve"> </w:t>
      </w:r>
      <w:r w:rsidR="00954C7B" w:rsidRPr="001134B0">
        <w:rPr>
          <w:rFonts w:cs="Times"/>
        </w:rPr>
        <w:t>2</w:t>
      </w:r>
      <w:r w:rsidR="00A23F1A" w:rsidRPr="001134B0">
        <w:rPr>
          <w:rFonts w:cs="Times"/>
        </w:rPr>
        <w:t>-</w:t>
      </w:r>
      <w:r w:rsidR="00954C7B" w:rsidRPr="001134B0">
        <w:rPr>
          <w:rFonts w:cs="Times"/>
        </w:rPr>
        <w:t>4</w:t>
      </w:r>
      <w:r w:rsidR="00FB1C21" w:rsidRPr="001134B0">
        <w:rPr>
          <w:rFonts w:cs="Times"/>
        </w:rPr>
        <w:t xml:space="preserve"> </w:t>
      </w:r>
      <w:r w:rsidR="00920297" w:rsidRPr="001134B0">
        <w:rPr>
          <w:rFonts w:cs="Times"/>
        </w:rPr>
        <w:t>(for further details see Supplementary Table</w:t>
      </w:r>
      <w:r w:rsidR="008F3F44" w:rsidRPr="001134B0">
        <w:rPr>
          <w:rFonts w:cs="Times"/>
        </w:rPr>
        <w:t>s</w:t>
      </w:r>
      <w:r w:rsidR="00920297" w:rsidRPr="001134B0">
        <w:rPr>
          <w:rFonts w:cs="Times"/>
        </w:rPr>
        <w:t xml:space="preserve"> S</w:t>
      </w:r>
      <w:r w:rsidR="004166B3" w:rsidRPr="001134B0">
        <w:rPr>
          <w:rFonts w:cs="Times"/>
        </w:rPr>
        <w:t>4</w:t>
      </w:r>
      <w:r w:rsidR="00BC5C17" w:rsidRPr="001134B0">
        <w:rPr>
          <w:rFonts w:cs="Times"/>
        </w:rPr>
        <w:t>-S</w:t>
      </w:r>
      <w:r w:rsidR="00F94218">
        <w:rPr>
          <w:rFonts w:cs="Times"/>
        </w:rPr>
        <w:t>6</w:t>
      </w:r>
      <w:r w:rsidR="00A17CA5" w:rsidRPr="001134B0">
        <w:rPr>
          <w:rFonts w:cs="Times"/>
        </w:rPr>
        <w:t xml:space="preserve"> and Figure</w:t>
      </w:r>
      <w:r w:rsidR="008F3F44" w:rsidRPr="001134B0">
        <w:rPr>
          <w:rFonts w:cs="Times"/>
        </w:rPr>
        <w:t>s</w:t>
      </w:r>
      <w:r w:rsidR="00A17CA5" w:rsidRPr="001134B0">
        <w:rPr>
          <w:rFonts w:cs="Times"/>
        </w:rPr>
        <w:t xml:space="preserve"> S</w:t>
      </w:r>
      <w:r w:rsidR="009C6CFE">
        <w:rPr>
          <w:rFonts w:cs="Times"/>
        </w:rPr>
        <w:t>4</w:t>
      </w:r>
      <w:r w:rsidR="008F3F44" w:rsidRPr="001134B0">
        <w:rPr>
          <w:rFonts w:cs="Times"/>
        </w:rPr>
        <w:t>-S</w:t>
      </w:r>
      <w:r w:rsidR="009C6CFE">
        <w:rPr>
          <w:rFonts w:cs="Times"/>
        </w:rPr>
        <w:t>6</w:t>
      </w:r>
      <w:r w:rsidR="00920297" w:rsidRPr="001134B0">
        <w:rPr>
          <w:rFonts w:cs="Times"/>
        </w:rPr>
        <w:t>).</w:t>
      </w:r>
      <w:r w:rsidR="000E441B" w:rsidRPr="001134B0">
        <w:rPr>
          <w:rFonts w:cs="Times"/>
        </w:rPr>
        <w:t xml:space="preserve"> </w:t>
      </w:r>
    </w:p>
    <w:p w14:paraId="217B9808" w14:textId="77777777" w:rsidR="009C6898" w:rsidRDefault="009C6898" w:rsidP="003B0D4B">
      <w:pPr>
        <w:pStyle w:val="TAMainText"/>
        <w:ind w:firstLine="0"/>
        <w:rPr>
          <w:rFonts w:cs="Times"/>
          <w:b/>
          <w:bCs/>
        </w:rPr>
      </w:pPr>
    </w:p>
    <w:p w14:paraId="6CBD39AD" w14:textId="263D8748" w:rsidR="00F602F7" w:rsidRPr="003B0D4B" w:rsidRDefault="00F602F7" w:rsidP="003B0D4B">
      <w:pPr>
        <w:pStyle w:val="TAMainText"/>
        <w:ind w:firstLine="0"/>
        <w:rPr>
          <w:rFonts w:cs="Times"/>
          <w:b/>
          <w:bCs/>
        </w:rPr>
      </w:pPr>
      <w:r w:rsidRPr="003B0D4B">
        <w:rPr>
          <w:rFonts w:cs="Times"/>
          <w:b/>
          <w:bCs/>
        </w:rPr>
        <w:t>Performance using random shuffling splits</w:t>
      </w:r>
    </w:p>
    <w:p w14:paraId="2509A0EE" w14:textId="0763D9F7" w:rsidR="00234AFB" w:rsidRPr="001134B0" w:rsidRDefault="00234AFB" w:rsidP="00234AFB">
      <w:pPr>
        <w:pStyle w:val="TAMainText"/>
        <w:ind w:firstLine="0"/>
        <w:rPr>
          <w:rFonts w:cs="Times"/>
        </w:rPr>
      </w:pPr>
      <w:r w:rsidRPr="001134B0">
        <w:rPr>
          <w:rFonts w:cs="Times"/>
        </w:rPr>
        <w:t xml:space="preserve">When using </w:t>
      </w:r>
      <w:r w:rsidRPr="001134B0">
        <w:rPr>
          <w:rFonts w:cs="Times"/>
          <w:i/>
          <w:iCs/>
        </w:rPr>
        <w:t>random shuffl</w:t>
      </w:r>
      <w:r w:rsidR="008F6A27">
        <w:rPr>
          <w:rFonts w:cs="Times"/>
          <w:i/>
          <w:iCs/>
        </w:rPr>
        <w:t>e</w:t>
      </w:r>
      <w:r w:rsidRPr="001134B0">
        <w:rPr>
          <w:rFonts w:cs="Times"/>
          <w:i/>
          <w:iCs/>
        </w:rPr>
        <w:t xml:space="preserve"> splits and aggregated metric</w:t>
      </w:r>
      <w:r w:rsidR="007B2C24" w:rsidRPr="001134B0">
        <w:rPr>
          <w:rFonts w:cs="Times"/>
          <w:i/>
          <w:iCs/>
        </w:rPr>
        <w:t>s</w:t>
      </w:r>
      <w:r w:rsidRPr="001134B0">
        <w:rPr>
          <w:rFonts w:cs="Times"/>
          <w:i/>
          <w:iCs/>
        </w:rPr>
        <w:t>,</w:t>
      </w:r>
      <w:r w:rsidRPr="001134B0">
        <w:rPr>
          <w:rFonts w:cs="Times"/>
        </w:rPr>
        <w:t xml:space="preserve"> using Cell Painting </w:t>
      </w:r>
      <w:r w:rsidR="00A72DE9">
        <w:rPr>
          <w:rFonts w:cs="Times"/>
        </w:rPr>
        <w:t>descriptors</w:t>
      </w:r>
      <w:r w:rsidRPr="001134B0">
        <w:rPr>
          <w:rFonts w:cs="Times"/>
        </w:rPr>
        <w:t xml:space="preserve"> performed </w:t>
      </w:r>
      <w:r w:rsidR="00A72DE9">
        <w:rPr>
          <w:rFonts w:cs="Times"/>
        </w:rPr>
        <w:t>better than</w:t>
      </w:r>
      <w:r w:rsidRPr="001134B0">
        <w:rPr>
          <w:rFonts w:cs="Times"/>
        </w:rPr>
        <w:t xml:space="preserve"> </w:t>
      </w:r>
      <w:r w:rsidR="006704A4" w:rsidRPr="001134B0">
        <w:rPr>
          <w:rFonts w:cs="Times"/>
        </w:rPr>
        <w:t xml:space="preserve">either </w:t>
      </w:r>
      <w:r w:rsidRPr="001134B0">
        <w:rPr>
          <w:rFonts w:cs="Times"/>
        </w:rPr>
        <w:t xml:space="preserve">the </w:t>
      </w:r>
      <w:proofErr w:type="spellStart"/>
      <w:r w:rsidRPr="001134B0">
        <w:rPr>
          <w:rFonts w:cs="Times"/>
        </w:rPr>
        <w:t>ErG</w:t>
      </w:r>
      <w:proofErr w:type="spellEnd"/>
      <w:r w:rsidRPr="001134B0">
        <w:rPr>
          <w:rFonts w:cs="Times"/>
        </w:rPr>
        <w:t xml:space="preserve"> </w:t>
      </w:r>
      <w:proofErr w:type="gramStart"/>
      <w:r w:rsidRPr="001134B0">
        <w:rPr>
          <w:rFonts w:cs="Times"/>
        </w:rPr>
        <w:t>and</w:t>
      </w:r>
      <w:proofErr w:type="gramEnd"/>
      <w:r w:rsidRPr="001134B0">
        <w:rPr>
          <w:rFonts w:cs="Times"/>
        </w:rPr>
        <w:t xml:space="preserve"> Morgan fingerprint models in </w:t>
      </w:r>
      <w:r w:rsidR="00A72DE9">
        <w:rPr>
          <w:rFonts w:cs="Times"/>
        </w:rPr>
        <w:t>9 out of 12</w:t>
      </w:r>
      <w:r w:rsidRPr="001134B0">
        <w:rPr>
          <w:rFonts w:cs="Times"/>
        </w:rPr>
        <w:t xml:space="preserve"> assays.  The mean increase in cases of </w:t>
      </w:r>
      <w:r w:rsidR="00C75DA4" w:rsidRPr="001134B0">
        <w:rPr>
          <w:rFonts w:cs="Times"/>
        </w:rPr>
        <w:t xml:space="preserve">improvement of </w:t>
      </w:r>
      <w:r w:rsidRPr="001134B0">
        <w:rPr>
          <w:rFonts w:cs="Times"/>
        </w:rPr>
        <w:t>Cell Painting over Morgan fingerprints (BA: +0.1</w:t>
      </w:r>
      <w:r w:rsidR="000111E8" w:rsidRPr="001134B0">
        <w:rPr>
          <w:rFonts w:cs="Times"/>
        </w:rPr>
        <w:t>2</w:t>
      </w:r>
      <w:r w:rsidRPr="001134B0">
        <w:rPr>
          <w:rFonts w:cs="Times"/>
        </w:rPr>
        <w:t>, MCC: +0.</w:t>
      </w:r>
      <w:r w:rsidR="006132A0" w:rsidRPr="001134B0">
        <w:rPr>
          <w:rFonts w:cs="Times"/>
        </w:rPr>
        <w:t>28</w:t>
      </w:r>
      <w:r w:rsidRPr="001134B0">
        <w:rPr>
          <w:rFonts w:cs="Times"/>
        </w:rPr>
        <w:t xml:space="preserve"> and AUC-ROC: +0.0</w:t>
      </w:r>
      <w:r w:rsidR="00F67E38" w:rsidRPr="001134B0">
        <w:rPr>
          <w:rFonts w:cs="Times"/>
        </w:rPr>
        <w:t>8</w:t>
      </w:r>
      <w:r w:rsidRPr="001134B0">
        <w:rPr>
          <w:rFonts w:cs="Times"/>
        </w:rPr>
        <w:t xml:space="preserve">) and to using Cell Painting over </w:t>
      </w:r>
      <w:proofErr w:type="spellStart"/>
      <w:r w:rsidRPr="001134B0">
        <w:rPr>
          <w:rFonts w:cs="Times"/>
        </w:rPr>
        <w:t>ErG</w:t>
      </w:r>
      <w:proofErr w:type="spellEnd"/>
      <w:r w:rsidRPr="001134B0">
        <w:rPr>
          <w:rFonts w:cs="Times"/>
        </w:rPr>
        <w:t xml:space="preserve"> fingerprints (BA: +0.06, MCC: +0.1</w:t>
      </w:r>
      <w:r w:rsidR="00B31B2F" w:rsidRPr="001134B0">
        <w:rPr>
          <w:rFonts w:cs="Times"/>
        </w:rPr>
        <w:t>3</w:t>
      </w:r>
      <w:r w:rsidRPr="001134B0">
        <w:rPr>
          <w:rFonts w:cs="Times"/>
        </w:rPr>
        <w:t xml:space="preserve"> and AUC-ROC: +0.03) shows </w:t>
      </w:r>
      <w:r w:rsidR="00AA10DB">
        <w:rPr>
          <w:rFonts w:cs="Times"/>
        </w:rPr>
        <w:t>an</w:t>
      </w:r>
      <w:r w:rsidRPr="001134B0">
        <w:rPr>
          <w:rFonts w:cs="Times"/>
        </w:rPr>
        <w:t xml:space="preserve"> advantage of </w:t>
      </w:r>
      <w:r w:rsidR="00AA10DB">
        <w:rPr>
          <w:rFonts w:cs="Times"/>
        </w:rPr>
        <w:t>using</w:t>
      </w:r>
      <w:r w:rsidRPr="001134B0">
        <w:rPr>
          <w:rFonts w:cs="Times"/>
        </w:rPr>
        <w:t xml:space="preserve"> Cell Painting </w:t>
      </w:r>
      <w:r w:rsidR="00633935">
        <w:rPr>
          <w:rFonts w:cs="Times"/>
        </w:rPr>
        <w:t>descriptors</w:t>
      </w:r>
      <w:r w:rsidRPr="001134B0">
        <w:rPr>
          <w:rFonts w:cs="Times"/>
        </w:rPr>
        <w:t xml:space="preserve"> over other molecular structure-based fingerprints. For one of the assays, namely the BSK_3C_Vis_down, we expected Cell Painting features to work best, given the endpoint itself quantifies changes cell morphology in umbilical vein endothelium, a human vascular primary cell. Although Cell Painting features and endpoint in question are obtained on different cell lines, indeed, Cell Painting features </w:t>
      </w:r>
      <w:r w:rsidR="0008782B" w:rsidRPr="0008782B">
        <w:rPr>
          <w:rFonts w:cs="Times"/>
        </w:rPr>
        <w:t xml:space="preserve">by itself </w:t>
      </w:r>
      <w:r w:rsidR="0008782B">
        <w:rPr>
          <w:rFonts w:cs="Times"/>
        </w:rPr>
        <w:t>(</w:t>
      </w:r>
      <w:r w:rsidR="0008782B" w:rsidRPr="0008782B">
        <w:rPr>
          <w:rFonts w:cs="Times"/>
        </w:rPr>
        <w:t>than in any combination</w:t>
      </w:r>
      <w:r w:rsidR="0008782B">
        <w:rPr>
          <w:rFonts w:cs="Times"/>
        </w:rPr>
        <w:t>)</w:t>
      </w:r>
      <w:r w:rsidR="0008782B" w:rsidRPr="0008782B">
        <w:rPr>
          <w:rFonts w:cs="Times"/>
        </w:rPr>
        <w:t xml:space="preserve"> </w:t>
      </w:r>
      <w:r w:rsidRPr="001134B0">
        <w:rPr>
          <w:rFonts w:cs="Times"/>
        </w:rPr>
        <w:t>yielded the best metric (BA: 0.71, MCC: 0.45</w:t>
      </w:r>
      <w:r w:rsidR="007051BA" w:rsidRPr="001134B0">
        <w:rPr>
          <w:rFonts w:cs="Times"/>
        </w:rPr>
        <w:t>, AUC-ROC: 0.73</w:t>
      </w:r>
      <w:r w:rsidRPr="001134B0">
        <w:rPr>
          <w:rFonts w:cs="Times"/>
        </w:rPr>
        <w:t xml:space="preserve">) compared to other fingerprints. </w:t>
      </w:r>
      <w:r w:rsidR="004B4BE7">
        <w:rPr>
          <w:rFonts w:cs="Times"/>
        </w:rPr>
        <w:t>On the contrary, for</w:t>
      </w:r>
      <w:r w:rsidR="00FD70FA">
        <w:rPr>
          <w:rFonts w:cs="Times"/>
        </w:rPr>
        <w:t xml:space="preserve"> </w:t>
      </w:r>
      <w:r w:rsidR="004B4BE7">
        <w:rPr>
          <w:rFonts w:cs="Times"/>
        </w:rPr>
        <w:t>3 out of 12</w:t>
      </w:r>
      <w:r w:rsidR="00FD70FA">
        <w:rPr>
          <w:rFonts w:cs="Times"/>
        </w:rPr>
        <w:t xml:space="preserve"> assays</w:t>
      </w:r>
      <w:r w:rsidR="006F5D57">
        <w:rPr>
          <w:rFonts w:cs="Times"/>
        </w:rPr>
        <w:t xml:space="preserve"> </w:t>
      </w:r>
      <w:r w:rsidR="004B4BE7">
        <w:rPr>
          <w:rFonts w:cs="Times"/>
        </w:rPr>
        <w:t>related to</w:t>
      </w:r>
      <w:r w:rsidR="006F5D57">
        <w:rPr>
          <w:rFonts w:cs="Times"/>
        </w:rPr>
        <w:t xml:space="preserve"> proliferation decrease</w:t>
      </w:r>
      <w:r w:rsidR="00FD70FA">
        <w:rPr>
          <w:rFonts w:cs="Times"/>
        </w:rPr>
        <w:t>, namely</w:t>
      </w:r>
      <w:r w:rsidR="006F5D57">
        <w:rPr>
          <w:rFonts w:cs="Times"/>
        </w:rPr>
        <w:t xml:space="preserve"> </w:t>
      </w:r>
      <w:proofErr w:type="spellStart"/>
      <w:r w:rsidR="006F5D57" w:rsidRPr="006F5D57">
        <w:rPr>
          <w:rFonts w:cs="Times"/>
        </w:rPr>
        <w:t>BSK_SAg_Proliferation_down</w:t>
      </w:r>
      <w:proofErr w:type="spellEnd"/>
      <w:r w:rsidR="006F5D57">
        <w:rPr>
          <w:rFonts w:cs="Times"/>
        </w:rPr>
        <w:t xml:space="preserve">, </w:t>
      </w:r>
      <w:proofErr w:type="spellStart"/>
      <w:r w:rsidR="006F5D57" w:rsidRPr="006F5D57">
        <w:rPr>
          <w:rFonts w:cs="Times"/>
        </w:rPr>
        <w:t>BSK_hDFCGF_Proliferation_down</w:t>
      </w:r>
      <w:proofErr w:type="spellEnd"/>
      <w:r w:rsidR="00365A00">
        <w:rPr>
          <w:rFonts w:cs="Times"/>
        </w:rPr>
        <w:t xml:space="preserve"> and </w:t>
      </w:r>
      <w:r w:rsidR="00365A00" w:rsidRPr="00365A00">
        <w:rPr>
          <w:rFonts w:cs="Times"/>
        </w:rPr>
        <w:t>BSK_3C_Proliferation_down</w:t>
      </w:r>
      <w:r w:rsidR="00365A00">
        <w:rPr>
          <w:rFonts w:cs="Times"/>
        </w:rPr>
        <w:t xml:space="preserve">, </w:t>
      </w:r>
      <w:r w:rsidR="001A08F9">
        <w:rPr>
          <w:rFonts w:cs="Times"/>
        </w:rPr>
        <w:t xml:space="preserve">balanced accuracies reduced </w:t>
      </w:r>
      <w:r w:rsidR="000C2131">
        <w:rPr>
          <w:rFonts w:cs="Times"/>
        </w:rPr>
        <w:t xml:space="preserve">on </w:t>
      </w:r>
      <w:r w:rsidR="009930D2">
        <w:rPr>
          <w:rFonts w:cs="Times"/>
        </w:rPr>
        <w:t xml:space="preserve">both </w:t>
      </w:r>
      <w:r w:rsidR="000C2131">
        <w:rPr>
          <w:rFonts w:cs="Times"/>
        </w:rPr>
        <w:t xml:space="preserve">using Cell Painting descriptors over </w:t>
      </w:r>
      <w:proofErr w:type="spellStart"/>
      <w:r w:rsidR="000C2131">
        <w:rPr>
          <w:rFonts w:cs="Times"/>
        </w:rPr>
        <w:t>ErG</w:t>
      </w:r>
      <w:proofErr w:type="spellEnd"/>
      <w:r w:rsidR="00585886">
        <w:rPr>
          <w:rFonts w:cs="Times"/>
        </w:rPr>
        <w:t xml:space="preserve"> (</w:t>
      </w:r>
      <w:r w:rsidR="00585886" w:rsidRPr="001134B0">
        <w:rPr>
          <w:rFonts w:cs="Times"/>
        </w:rPr>
        <w:t xml:space="preserve">BA: </w:t>
      </w:r>
      <w:r w:rsidR="00585886">
        <w:rPr>
          <w:rFonts w:cs="Times"/>
        </w:rPr>
        <w:t>-</w:t>
      </w:r>
      <w:r w:rsidR="00585886" w:rsidRPr="001134B0">
        <w:rPr>
          <w:rFonts w:cs="Times"/>
        </w:rPr>
        <w:t>0.0</w:t>
      </w:r>
      <w:r w:rsidR="00B55C58">
        <w:rPr>
          <w:rFonts w:cs="Times"/>
        </w:rPr>
        <w:t>7</w:t>
      </w:r>
      <w:r w:rsidR="002A73B4">
        <w:rPr>
          <w:rFonts w:cs="Times"/>
        </w:rPr>
        <w:t xml:space="preserve"> on average over 3 assays</w:t>
      </w:r>
      <w:r w:rsidR="00585886">
        <w:rPr>
          <w:rFonts w:cs="Times"/>
        </w:rPr>
        <w:t>)</w:t>
      </w:r>
      <w:r w:rsidR="000C2131">
        <w:rPr>
          <w:rFonts w:cs="Times"/>
        </w:rPr>
        <w:t xml:space="preserve"> </w:t>
      </w:r>
      <w:r w:rsidR="009930D2">
        <w:rPr>
          <w:rFonts w:cs="Times"/>
        </w:rPr>
        <w:t>and</w:t>
      </w:r>
      <w:r w:rsidR="000C2131">
        <w:rPr>
          <w:rFonts w:cs="Times"/>
        </w:rPr>
        <w:t xml:space="preserve"> </w:t>
      </w:r>
      <w:r w:rsidR="009930D2">
        <w:rPr>
          <w:rFonts w:cs="Times"/>
        </w:rPr>
        <w:t xml:space="preserve">Cell Painting descriptors over </w:t>
      </w:r>
      <w:proofErr w:type="spellStart"/>
      <w:r w:rsidR="000C2131">
        <w:rPr>
          <w:rFonts w:cs="Times"/>
        </w:rPr>
        <w:t>Mogan</w:t>
      </w:r>
      <w:proofErr w:type="spellEnd"/>
      <w:r w:rsidR="000C2131">
        <w:rPr>
          <w:rFonts w:cs="Times"/>
        </w:rPr>
        <w:t xml:space="preserve"> fingerprints</w:t>
      </w:r>
      <w:r w:rsidR="00B55C58">
        <w:rPr>
          <w:rFonts w:cs="Times"/>
        </w:rPr>
        <w:t>(</w:t>
      </w:r>
      <w:r w:rsidR="00B55C58" w:rsidRPr="001134B0">
        <w:rPr>
          <w:rFonts w:cs="Times"/>
        </w:rPr>
        <w:t xml:space="preserve">BA: </w:t>
      </w:r>
      <w:r w:rsidR="00B55C58">
        <w:rPr>
          <w:rFonts w:cs="Times"/>
        </w:rPr>
        <w:t>-</w:t>
      </w:r>
      <w:r w:rsidR="00B55C58" w:rsidRPr="001134B0">
        <w:rPr>
          <w:rFonts w:cs="Times"/>
        </w:rPr>
        <w:t>0.0</w:t>
      </w:r>
      <w:r w:rsidR="00B55C58">
        <w:rPr>
          <w:rFonts w:cs="Times"/>
        </w:rPr>
        <w:t>5</w:t>
      </w:r>
      <w:r w:rsidR="002A73B4" w:rsidRPr="002A73B4">
        <w:rPr>
          <w:rFonts w:cs="Times"/>
        </w:rPr>
        <w:t xml:space="preserve"> </w:t>
      </w:r>
      <w:r w:rsidR="002A73B4">
        <w:rPr>
          <w:rFonts w:cs="Times"/>
        </w:rPr>
        <w:t>on average over 3 assays</w:t>
      </w:r>
      <w:r w:rsidR="00B55C58">
        <w:rPr>
          <w:rFonts w:cs="Times"/>
        </w:rPr>
        <w:t xml:space="preserve">) </w:t>
      </w:r>
      <w:r w:rsidR="00081E59">
        <w:rPr>
          <w:rFonts w:cs="Times"/>
        </w:rPr>
        <w:t>indicating structural fingerprints were</w:t>
      </w:r>
      <w:r w:rsidR="00D665FB">
        <w:rPr>
          <w:rFonts w:cs="Times"/>
        </w:rPr>
        <w:t xml:space="preserve"> better</w:t>
      </w:r>
      <w:r w:rsidR="00081E59">
        <w:rPr>
          <w:rFonts w:cs="Times"/>
        </w:rPr>
        <w:t xml:space="preserve"> able to model </w:t>
      </w:r>
      <w:r w:rsidR="008145D8">
        <w:rPr>
          <w:rFonts w:cs="Times"/>
        </w:rPr>
        <w:t>these endpoints.</w:t>
      </w:r>
      <w:r w:rsidR="009C6898">
        <w:rPr>
          <w:rFonts w:cs="Times"/>
        </w:rPr>
        <w:t xml:space="preserve"> </w:t>
      </w:r>
    </w:p>
    <w:p w14:paraId="3A32EAA2" w14:textId="21250F9A" w:rsidR="00F33B80" w:rsidRDefault="000030F0" w:rsidP="008A0826">
      <w:pPr>
        <w:pStyle w:val="TAMainText"/>
        <w:ind w:firstLine="0"/>
        <w:rPr>
          <w:rFonts w:cs="Times"/>
        </w:rPr>
      </w:pPr>
      <w:r>
        <w:rPr>
          <w:rFonts w:cs="Times"/>
        </w:rPr>
        <w:t xml:space="preserve">We next compared the performance of a </w:t>
      </w:r>
      <w:r w:rsidR="00EE117F" w:rsidRPr="001134B0">
        <w:rPr>
          <w:rFonts w:cs="Times"/>
        </w:rPr>
        <w:t xml:space="preserve">combination of Cell Painting </w:t>
      </w:r>
      <w:r w:rsidR="004B4BE7">
        <w:rPr>
          <w:rFonts w:cs="Times"/>
        </w:rPr>
        <w:t xml:space="preserve">descriptor </w:t>
      </w:r>
      <w:r w:rsidR="00EE117F" w:rsidRPr="001134B0">
        <w:rPr>
          <w:rFonts w:cs="Times"/>
        </w:rPr>
        <w:t xml:space="preserve">with </w:t>
      </w:r>
      <w:r w:rsidR="00B6719D" w:rsidRPr="001134B0">
        <w:rPr>
          <w:rFonts w:cs="Times"/>
        </w:rPr>
        <w:t xml:space="preserve">Morgan </w:t>
      </w:r>
      <w:r w:rsidR="00474031" w:rsidRPr="001134B0">
        <w:rPr>
          <w:rFonts w:cs="Times"/>
        </w:rPr>
        <w:t xml:space="preserve">and </w:t>
      </w:r>
      <w:proofErr w:type="spellStart"/>
      <w:r w:rsidR="00474031" w:rsidRPr="001134B0">
        <w:rPr>
          <w:rFonts w:cs="Times"/>
        </w:rPr>
        <w:t>ErG</w:t>
      </w:r>
      <w:proofErr w:type="spellEnd"/>
      <w:r w:rsidR="00474031" w:rsidRPr="001134B0">
        <w:rPr>
          <w:rFonts w:cs="Times"/>
        </w:rPr>
        <w:t xml:space="preserve"> </w:t>
      </w:r>
      <w:r w:rsidR="00B6719D" w:rsidRPr="001134B0">
        <w:rPr>
          <w:rFonts w:cs="Times"/>
        </w:rPr>
        <w:t>fingerprints</w:t>
      </w:r>
      <w:r w:rsidR="0089040B" w:rsidRPr="0089040B">
        <w:rPr>
          <w:rFonts w:cs="Times"/>
        </w:rPr>
        <w:t xml:space="preserve"> </w:t>
      </w:r>
      <w:r w:rsidR="0089040B">
        <w:rPr>
          <w:rFonts w:cs="Times"/>
        </w:rPr>
        <w:t>over either</w:t>
      </w:r>
      <w:r w:rsidR="00265776">
        <w:rPr>
          <w:rFonts w:cs="Times"/>
        </w:rPr>
        <w:t xml:space="preserve"> molecular</w:t>
      </w:r>
      <w:r w:rsidR="0089040B">
        <w:rPr>
          <w:rFonts w:cs="Times"/>
        </w:rPr>
        <w:t xml:space="preserve"> fingerprints alone. We</w:t>
      </w:r>
      <w:r>
        <w:rPr>
          <w:rFonts w:cs="Times"/>
        </w:rPr>
        <w:t xml:space="preserve"> found that the combination</w:t>
      </w:r>
      <w:r w:rsidR="0089040B">
        <w:rPr>
          <w:rFonts w:cs="Times"/>
        </w:rPr>
        <w:t xml:space="preserve"> descriptors</w:t>
      </w:r>
      <w:r w:rsidR="00EE117F" w:rsidRPr="001134B0">
        <w:rPr>
          <w:rFonts w:cs="Times"/>
        </w:rPr>
        <w:t xml:space="preserve"> </w:t>
      </w:r>
      <w:r w:rsidR="002753D1">
        <w:rPr>
          <w:rFonts w:cs="Times"/>
        </w:rPr>
        <w:t xml:space="preserve">relatively </w:t>
      </w:r>
      <w:r w:rsidR="00EE117F" w:rsidRPr="001134B0">
        <w:rPr>
          <w:rFonts w:cs="Times"/>
        </w:rPr>
        <w:t xml:space="preserve">improved the balanced accuracies </w:t>
      </w:r>
      <w:r w:rsidR="008876A7" w:rsidRPr="001134B0">
        <w:rPr>
          <w:rFonts w:cs="Times"/>
        </w:rPr>
        <w:t xml:space="preserve">on average </w:t>
      </w:r>
      <w:r w:rsidR="00784B9F" w:rsidRPr="001134B0">
        <w:rPr>
          <w:rFonts w:cs="Times"/>
        </w:rPr>
        <w:t>by</w:t>
      </w:r>
      <w:r w:rsidR="00474031">
        <w:rPr>
          <w:rFonts w:cs="Times"/>
        </w:rPr>
        <w:t xml:space="preserve"> </w:t>
      </w:r>
      <w:r w:rsidR="00474031" w:rsidRPr="001134B0">
        <w:rPr>
          <w:rFonts w:cs="Times"/>
        </w:rPr>
        <w:t>23.4%</w:t>
      </w:r>
      <w:r w:rsidR="00474031">
        <w:rPr>
          <w:rFonts w:cs="Times"/>
        </w:rPr>
        <w:t xml:space="preserve"> </w:t>
      </w:r>
      <w:r w:rsidR="008876A7">
        <w:rPr>
          <w:rFonts w:cs="Times"/>
        </w:rPr>
        <w:t>(</w:t>
      </w:r>
      <w:r w:rsidR="00474031" w:rsidRPr="001134B0">
        <w:rPr>
          <w:rFonts w:cs="Times"/>
        </w:rPr>
        <w:t>in 8 out of 12 assays</w:t>
      </w:r>
      <w:r w:rsidR="008876A7">
        <w:rPr>
          <w:rFonts w:cs="Times"/>
        </w:rPr>
        <w:t>)</w:t>
      </w:r>
      <w:r w:rsidR="001E2C02" w:rsidRPr="001E2C02">
        <w:rPr>
          <w:rFonts w:cs="Times"/>
        </w:rPr>
        <w:t xml:space="preserve"> </w:t>
      </w:r>
      <w:r w:rsidR="00474031">
        <w:rPr>
          <w:rFonts w:cs="Times"/>
        </w:rPr>
        <w:t>and</w:t>
      </w:r>
      <w:r w:rsidR="00784B9F" w:rsidRPr="001134B0">
        <w:rPr>
          <w:rFonts w:cs="Times"/>
        </w:rPr>
        <w:t xml:space="preserve"> 8.9%</w:t>
      </w:r>
      <w:r w:rsidR="004045DB">
        <w:rPr>
          <w:rFonts w:cs="Times"/>
        </w:rPr>
        <w:t xml:space="preserve"> </w:t>
      </w:r>
      <w:r w:rsidR="008876A7">
        <w:rPr>
          <w:rFonts w:cs="Times"/>
        </w:rPr>
        <w:t>(</w:t>
      </w:r>
      <w:r w:rsidR="00784B9F" w:rsidRPr="001134B0">
        <w:rPr>
          <w:rFonts w:cs="Times"/>
        </w:rPr>
        <w:t>in 9 out of 12</w:t>
      </w:r>
      <w:r w:rsidR="006C1A40" w:rsidRPr="006C1A40">
        <w:rPr>
          <w:rFonts w:cs="Times"/>
        </w:rPr>
        <w:t xml:space="preserve"> </w:t>
      </w:r>
      <w:r w:rsidR="006C1A40" w:rsidRPr="001134B0">
        <w:rPr>
          <w:rFonts w:cs="Times"/>
        </w:rPr>
        <w:lastRenderedPageBreak/>
        <w:t>assays</w:t>
      </w:r>
      <w:r w:rsidR="008876A7">
        <w:rPr>
          <w:rFonts w:cs="Times"/>
        </w:rPr>
        <w:t>)</w:t>
      </w:r>
      <w:r w:rsidR="001E2C02">
        <w:rPr>
          <w:rFonts w:cs="Times"/>
        </w:rPr>
        <w:t>, over Morgan fingerprints</w:t>
      </w:r>
      <w:r w:rsidR="008876A7">
        <w:rPr>
          <w:rFonts w:cs="Times"/>
        </w:rPr>
        <w:t xml:space="preserve"> and </w:t>
      </w:r>
      <w:proofErr w:type="spellStart"/>
      <w:r w:rsidR="008876A7">
        <w:rPr>
          <w:rFonts w:cs="Times"/>
        </w:rPr>
        <w:t>ErG</w:t>
      </w:r>
      <w:proofErr w:type="spellEnd"/>
      <w:r w:rsidR="008876A7">
        <w:rPr>
          <w:rFonts w:cs="Times"/>
        </w:rPr>
        <w:t xml:space="preserve"> fingerprints alone</w:t>
      </w:r>
      <w:r w:rsidR="00EE117F" w:rsidRPr="001134B0">
        <w:rPr>
          <w:rFonts w:cs="Times"/>
        </w:rPr>
        <w:t>.</w:t>
      </w:r>
      <w:r w:rsidR="00B65933" w:rsidRPr="00B65933">
        <w:rPr>
          <w:rFonts w:cs="Times"/>
        </w:rPr>
        <w:t xml:space="preserve"> </w:t>
      </w:r>
      <w:r w:rsidR="00B65933">
        <w:rPr>
          <w:rFonts w:cs="Times"/>
        </w:rPr>
        <w:t xml:space="preserve">The improvement in performance was </w:t>
      </w:r>
      <w:proofErr w:type="gramStart"/>
      <w:r w:rsidR="00B65933">
        <w:rPr>
          <w:rFonts w:cs="Times"/>
        </w:rPr>
        <w:t>similar to</w:t>
      </w:r>
      <w:proofErr w:type="gramEnd"/>
      <w:r w:rsidR="00B65933">
        <w:rPr>
          <w:rFonts w:cs="Times"/>
        </w:rPr>
        <w:t xml:space="preserve"> the improvement from </w:t>
      </w:r>
      <w:proofErr w:type="spellStart"/>
      <w:r w:rsidR="00B65933">
        <w:rPr>
          <w:rFonts w:cs="Times"/>
        </w:rPr>
        <w:t>ErG</w:t>
      </w:r>
      <w:proofErr w:type="spellEnd"/>
      <w:r w:rsidR="00B65933">
        <w:rPr>
          <w:rFonts w:cs="Times"/>
        </w:rPr>
        <w:t>/Morgan fingerprints to Cell Painting descriptors, indicating that the advantage on using combination descriptors came almost entirely from the inclusion of morphological descriptors.</w:t>
      </w:r>
      <w:r w:rsidR="003C768C">
        <w:rPr>
          <w:rFonts w:cs="Times"/>
        </w:rPr>
        <w:t xml:space="preserve"> </w:t>
      </w:r>
      <w:r w:rsidR="00F870B4" w:rsidRPr="001134B0">
        <w:rPr>
          <w:rFonts w:cs="Times"/>
        </w:rPr>
        <w:t>The highest increase in BA, MCC and AUC-ROC were recorded as 0.19, 0.47 and 0.16 respectively, when using Cell Painting</w:t>
      </w:r>
      <w:r w:rsidR="00F870B4">
        <w:rPr>
          <w:rFonts w:cs="Times"/>
        </w:rPr>
        <w:t xml:space="preserve"> and Morgan </w:t>
      </w:r>
      <w:r w:rsidR="0089040B">
        <w:rPr>
          <w:rFonts w:cs="Times"/>
        </w:rPr>
        <w:t>combination</w:t>
      </w:r>
      <w:r w:rsidR="0089040B" w:rsidRPr="001134B0">
        <w:rPr>
          <w:rFonts w:cs="Times"/>
        </w:rPr>
        <w:t xml:space="preserve"> </w:t>
      </w:r>
      <w:r w:rsidR="0089040B">
        <w:rPr>
          <w:rFonts w:cs="Times"/>
        </w:rPr>
        <w:t>descriptors</w:t>
      </w:r>
      <w:r w:rsidR="00F870B4">
        <w:rPr>
          <w:rFonts w:cs="Times"/>
        </w:rPr>
        <w:t xml:space="preserve"> </w:t>
      </w:r>
      <w:r w:rsidR="00F870B4" w:rsidRPr="001134B0">
        <w:rPr>
          <w:rFonts w:cs="Times"/>
        </w:rPr>
        <w:t>over Morgan fingerprints for the assay BSK_4H_SRB_down</w:t>
      </w:r>
      <w:r w:rsidR="00F870B4">
        <w:rPr>
          <w:rFonts w:cs="Times"/>
        </w:rPr>
        <w:t xml:space="preserve"> (</w:t>
      </w:r>
      <w:r w:rsidR="00F870B4" w:rsidRPr="001134B0">
        <w:rPr>
          <w:rFonts w:cs="Times"/>
        </w:rPr>
        <w:t>an assay related to cell death</w:t>
      </w:r>
      <w:r w:rsidR="00F870B4">
        <w:rPr>
          <w:rFonts w:cs="Times"/>
        </w:rPr>
        <w:t>)</w:t>
      </w:r>
      <w:r w:rsidR="00F870B4" w:rsidRPr="001134B0">
        <w:rPr>
          <w:rFonts w:cs="Times"/>
        </w:rPr>
        <w:t>.</w:t>
      </w:r>
      <w:r w:rsidR="006D26BA">
        <w:rPr>
          <w:rFonts w:cs="Times"/>
        </w:rPr>
        <w:t xml:space="preserve"> </w:t>
      </w:r>
      <w:r w:rsidR="003C768C">
        <w:rPr>
          <w:rFonts w:cs="Times"/>
        </w:rPr>
        <w:t>I</w:t>
      </w:r>
      <w:r w:rsidR="003C768C" w:rsidRPr="001134B0">
        <w:rPr>
          <w:rFonts w:cs="Times"/>
        </w:rPr>
        <w:t>n assays where improvement was observed</w:t>
      </w:r>
      <w:r w:rsidR="003C768C">
        <w:rPr>
          <w:rFonts w:cs="Times"/>
        </w:rPr>
        <w:t>, t</w:t>
      </w:r>
      <w:r w:rsidR="00234AFB" w:rsidRPr="001134B0">
        <w:rPr>
          <w:rFonts w:cs="Times"/>
        </w:rPr>
        <w:t xml:space="preserve">he mean increase </w:t>
      </w:r>
      <w:r w:rsidR="003C768C">
        <w:rPr>
          <w:rFonts w:cs="Times"/>
        </w:rPr>
        <w:t xml:space="preserve">in performance </w:t>
      </w:r>
      <w:r w:rsidR="00234AFB" w:rsidRPr="001134B0">
        <w:rPr>
          <w:rFonts w:cs="Times"/>
        </w:rPr>
        <w:t xml:space="preserve">on using </w:t>
      </w:r>
      <w:r w:rsidR="00257A63">
        <w:rPr>
          <w:rFonts w:cs="Times"/>
        </w:rPr>
        <w:t xml:space="preserve">Morgan and </w:t>
      </w:r>
      <w:r w:rsidR="00234AFB" w:rsidRPr="001134B0">
        <w:rPr>
          <w:rFonts w:cs="Times"/>
        </w:rPr>
        <w:t>Cell Painting</w:t>
      </w:r>
      <w:r w:rsidR="00A213DD">
        <w:rPr>
          <w:rFonts w:cs="Times"/>
        </w:rPr>
        <w:t xml:space="preserve"> </w:t>
      </w:r>
      <w:r w:rsidR="00A52EC8">
        <w:rPr>
          <w:rFonts w:cs="Times"/>
        </w:rPr>
        <w:t>combination descriptors</w:t>
      </w:r>
      <w:r w:rsidR="00234AFB" w:rsidRPr="001134B0">
        <w:rPr>
          <w:rFonts w:cs="Times"/>
        </w:rPr>
        <w:t xml:space="preserve"> over Morgan fingerprints was greater (BA: +0.1</w:t>
      </w:r>
      <w:r w:rsidR="00944C3C" w:rsidRPr="001134B0">
        <w:rPr>
          <w:rFonts w:cs="Times"/>
        </w:rPr>
        <w:t>2</w:t>
      </w:r>
      <w:r w:rsidR="00234AFB" w:rsidRPr="001134B0">
        <w:rPr>
          <w:rFonts w:cs="Times"/>
        </w:rPr>
        <w:t>, MCC: +0.</w:t>
      </w:r>
      <w:r w:rsidR="00944C3C" w:rsidRPr="001134B0">
        <w:rPr>
          <w:rFonts w:cs="Times"/>
        </w:rPr>
        <w:t>28</w:t>
      </w:r>
      <w:r w:rsidR="00234AFB" w:rsidRPr="001134B0">
        <w:rPr>
          <w:rFonts w:cs="Times"/>
        </w:rPr>
        <w:t xml:space="preserve"> and AUC-ROC: +0.0</w:t>
      </w:r>
      <w:r w:rsidR="00944C3C" w:rsidRPr="001134B0">
        <w:rPr>
          <w:rFonts w:cs="Times"/>
        </w:rPr>
        <w:t>8</w:t>
      </w:r>
      <w:r w:rsidR="00234AFB" w:rsidRPr="001134B0">
        <w:rPr>
          <w:rFonts w:cs="Times"/>
        </w:rPr>
        <w:t xml:space="preserve">) compared to the increase when using </w:t>
      </w:r>
      <w:proofErr w:type="spellStart"/>
      <w:r w:rsidR="00234AFB" w:rsidRPr="001134B0">
        <w:rPr>
          <w:rFonts w:cs="Times"/>
        </w:rPr>
        <w:t>ErG</w:t>
      </w:r>
      <w:proofErr w:type="spellEnd"/>
      <w:r w:rsidR="00234AFB" w:rsidRPr="001134B0">
        <w:rPr>
          <w:rFonts w:cs="Times"/>
        </w:rPr>
        <w:t xml:space="preserve"> and Cell Painting </w:t>
      </w:r>
      <w:r w:rsidR="00257A63">
        <w:rPr>
          <w:rFonts w:cs="Times"/>
        </w:rPr>
        <w:t>combination descriptors</w:t>
      </w:r>
      <w:r w:rsidR="00257A63" w:rsidRPr="001134B0">
        <w:rPr>
          <w:rFonts w:cs="Times"/>
        </w:rPr>
        <w:t xml:space="preserve"> </w:t>
      </w:r>
      <w:r w:rsidR="00234AFB" w:rsidRPr="001134B0">
        <w:rPr>
          <w:rFonts w:cs="Times"/>
        </w:rPr>
        <w:t xml:space="preserve">over </w:t>
      </w:r>
      <w:proofErr w:type="spellStart"/>
      <w:r w:rsidR="00234AFB" w:rsidRPr="001134B0">
        <w:rPr>
          <w:rFonts w:cs="Times"/>
        </w:rPr>
        <w:t>ErG</w:t>
      </w:r>
      <w:proofErr w:type="spellEnd"/>
      <w:r w:rsidR="00234AFB" w:rsidRPr="001134B0">
        <w:rPr>
          <w:rFonts w:cs="Times"/>
        </w:rPr>
        <w:t xml:space="preserve"> fingerprints (BA: +0.0</w:t>
      </w:r>
      <w:r w:rsidR="00944C3C" w:rsidRPr="001134B0">
        <w:rPr>
          <w:rFonts w:cs="Times"/>
        </w:rPr>
        <w:t>5</w:t>
      </w:r>
      <w:r w:rsidR="00234AFB" w:rsidRPr="001134B0">
        <w:rPr>
          <w:rFonts w:cs="Times"/>
        </w:rPr>
        <w:t xml:space="preserve">, MCC: +0.12 and AUC-ROC: +0.04). </w:t>
      </w:r>
      <w:proofErr w:type="gramStart"/>
      <w:r w:rsidR="002F43FC">
        <w:rPr>
          <w:rFonts w:cs="Times"/>
        </w:rPr>
        <w:t>Thus</w:t>
      </w:r>
      <w:proofErr w:type="gramEnd"/>
      <w:r w:rsidR="002F43FC">
        <w:rPr>
          <w:rFonts w:cs="Times"/>
        </w:rPr>
        <w:t xml:space="preserve"> morphological descriptors seem to </w:t>
      </w:r>
      <w:r w:rsidR="002F43FC" w:rsidRPr="001134B0">
        <w:rPr>
          <w:rFonts w:cs="Times"/>
        </w:rPr>
        <w:t xml:space="preserve">provide </w:t>
      </w:r>
      <w:r w:rsidR="002F43FC">
        <w:rPr>
          <w:rFonts w:cs="Times"/>
        </w:rPr>
        <w:t xml:space="preserve">additional information on addition </w:t>
      </w:r>
      <w:r w:rsidR="002F43FC" w:rsidRPr="001134B0">
        <w:rPr>
          <w:rFonts w:cs="Times"/>
        </w:rPr>
        <w:t>to Morgan fingerprints (circular fingerprints)</w:t>
      </w:r>
      <w:r w:rsidR="002F43FC">
        <w:rPr>
          <w:rFonts w:cs="Times"/>
        </w:rPr>
        <w:t xml:space="preserve"> better than</w:t>
      </w:r>
      <w:r w:rsidR="002F43FC" w:rsidRPr="001134B0">
        <w:rPr>
          <w:rFonts w:cs="Times"/>
        </w:rPr>
        <w:t xml:space="preserve"> </w:t>
      </w:r>
      <w:proofErr w:type="spellStart"/>
      <w:r w:rsidR="002F43FC" w:rsidRPr="001134B0">
        <w:rPr>
          <w:rFonts w:cs="Times"/>
        </w:rPr>
        <w:t>ErG</w:t>
      </w:r>
      <w:proofErr w:type="spellEnd"/>
      <w:r w:rsidR="002F43FC" w:rsidRPr="001134B0">
        <w:rPr>
          <w:rFonts w:cs="Times"/>
        </w:rPr>
        <w:t xml:space="preserve"> fingerprints (pharmacophore fingerprints).</w:t>
      </w:r>
      <w:r w:rsidR="002F43FC">
        <w:rPr>
          <w:rFonts w:cs="Times"/>
        </w:rPr>
        <w:t xml:space="preserve"> </w:t>
      </w:r>
      <w:proofErr w:type="spellStart"/>
      <w:r w:rsidR="00183715" w:rsidRPr="001134B0">
        <w:rPr>
          <w:rFonts w:cs="Times"/>
        </w:rPr>
        <w:t>ErG</w:t>
      </w:r>
      <w:proofErr w:type="spellEnd"/>
      <w:r w:rsidR="00183715" w:rsidRPr="001134B0">
        <w:rPr>
          <w:rFonts w:cs="Times"/>
        </w:rPr>
        <w:t xml:space="preserve"> </w:t>
      </w:r>
      <w:r w:rsidR="000D2754" w:rsidRPr="001134B0">
        <w:rPr>
          <w:rFonts w:cs="Times"/>
        </w:rPr>
        <w:t>fingerprints</w:t>
      </w:r>
      <w:r w:rsidR="00183715" w:rsidRPr="001134B0">
        <w:rPr>
          <w:rFonts w:cs="Times"/>
        </w:rPr>
        <w:t xml:space="preserve"> perform better alone than</w:t>
      </w:r>
      <w:r w:rsidR="004A0496" w:rsidRPr="001134B0">
        <w:rPr>
          <w:rFonts w:cs="Times"/>
        </w:rPr>
        <w:t xml:space="preserve"> </w:t>
      </w:r>
      <w:r w:rsidR="00A62DA4" w:rsidRPr="001134B0">
        <w:rPr>
          <w:rFonts w:cs="Times"/>
        </w:rPr>
        <w:t xml:space="preserve">structural information </w:t>
      </w:r>
      <w:r w:rsidR="00183715" w:rsidRPr="001134B0">
        <w:rPr>
          <w:rFonts w:cs="Times"/>
        </w:rPr>
        <w:t xml:space="preserve">in Morgan fingerprints </w:t>
      </w:r>
      <w:r w:rsidR="00F72472">
        <w:rPr>
          <w:rFonts w:cs="Times"/>
        </w:rPr>
        <w:t>indicating</w:t>
      </w:r>
      <w:r w:rsidR="000D2754" w:rsidRPr="001134B0">
        <w:rPr>
          <w:rFonts w:cs="Times"/>
        </w:rPr>
        <w:t xml:space="preserve"> </w:t>
      </w:r>
      <w:r w:rsidR="00611730">
        <w:rPr>
          <w:rFonts w:cs="Times"/>
        </w:rPr>
        <w:t xml:space="preserve">that </w:t>
      </w:r>
      <w:proofErr w:type="spellStart"/>
      <w:r w:rsidR="00611730">
        <w:rPr>
          <w:rFonts w:cs="Times"/>
        </w:rPr>
        <w:t>ErG</w:t>
      </w:r>
      <w:proofErr w:type="spellEnd"/>
      <w:r w:rsidR="00611730">
        <w:rPr>
          <w:rFonts w:cs="Times"/>
        </w:rPr>
        <w:t xml:space="preserve"> </w:t>
      </w:r>
      <w:r w:rsidR="000D2754" w:rsidRPr="001134B0">
        <w:rPr>
          <w:rFonts w:cs="Times"/>
        </w:rPr>
        <w:t xml:space="preserve">fingerprints contain the relevant </w:t>
      </w:r>
      <w:r w:rsidR="00DB31CF" w:rsidRPr="001134B0">
        <w:rPr>
          <w:rFonts w:cs="Times"/>
        </w:rPr>
        <w:t>molecular</w:t>
      </w:r>
      <w:r w:rsidR="00611730">
        <w:rPr>
          <w:rFonts w:cs="Times"/>
        </w:rPr>
        <w:t xml:space="preserve"> and</w:t>
      </w:r>
      <w:r w:rsidR="00DB31CF" w:rsidRPr="001134B0">
        <w:rPr>
          <w:rFonts w:cs="Times"/>
        </w:rPr>
        <w:t xml:space="preserve"> </w:t>
      </w:r>
      <w:r w:rsidR="00611730" w:rsidRPr="001134B0">
        <w:rPr>
          <w:rFonts w:cs="Times"/>
        </w:rPr>
        <w:t xml:space="preserve">pharmacophore </w:t>
      </w:r>
      <w:r w:rsidR="00DB31CF" w:rsidRPr="001134B0">
        <w:rPr>
          <w:rFonts w:cs="Times"/>
        </w:rPr>
        <w:t>properties that better model cytotoxicity</w:t>
      </w:r>
      <w:r w:rsidR="00CB7CF3" w:rsidRPr="001134B0">
        <w:rPr>
          <w:rFonts w:cs="Times"/>
        </w:rPr>
        <w:t>.</w:t>
      </w:r>
      <w:r w:rsidR="00A213DD">
        <w:rPr>
          <w:rFonts w:cs="Times"/>
        </w:rPr>
        <w:t xml:space="preserve"> </w:t>
      </w:r>
    </w:p>
    <w:p w14:paraId="28CDD7AB" w14:textId="3C60900E" w:rsidR="00DC7265" w:rsidRDefault="00F33B80" w:rsidP="008A0826">
      <w:pPr>
        <w:pStyle w:val="TAMainText"/>
        <w:ind w:firstLine="0"/>
        <w:rPr>
          <w:rFonts w:cs="Times"/>
        </w:rPr>
      </w:pPr>
      <w:r>
        <w:rPr>
          <w:rFonts w:cs="Times"/>
        </w:rPr>
        <w:t>T</w:t>
      </w:r>
      <w:r w:rsidR="009E061C">
        <w:rPr>
          <w:rFonts w:cs="Times"/>
        </w:rPr>
        <w:t>he combined endpoint</w:t>
      </w:r>
      <w:r w:rsidR="00557BB9">
        <w:rPr>
          <w:rFonts w:cs="Times"/>
        </w:rPr>
        <w:t xml:space="preserve"> could be modelled using all descriptors with </w:t>
      </w:r>
      <w:r w:rsidR="00FD3631">
        <w:rPr>
          <w:rFonts w:cs="Times"/>
        </w:rPr>
        <w:t>0</w:t>
      </w:r>
      <w:r w:rsidR="0052309F">
        <w:rPr>
          <w:rFonts w:cs="Times"/>
        </w:rPr>
        <w:t>.65&gt;</w:t>
      </w:r>
      <w:r w:rsidR="00557BB9">
        <w:rPr>
          <w:rFonts w:cs="Times"/>
        </w:rPr>
        <w:t>BA&gt;0.60;</w:t>
      </w:r>
      <w:r w:rsidR="00774207">
        <w:rPr>
          <w:rFonts w:cs="Times"/>
        </w:rPr>
        <w:t xml:space="preserve"> however, </w:t>
      </w:r>
      <w:r w:rsidR="00557BB9">
        <w:rPr>
          <w:rFonts w:cs="Times"/>
        </w:rPr>
        <w:t>chemical fingerprints</w:t>
      </w:r>
      <w:r w:rsidR="009C5608">
        <w:rPr>
          <w:rFonts w:cs="Times"/>
        </w:rPr>
        <w:t xml:space="preserve"> performed better Cell Painting and combination descriptors</w:t>
      </w:r>
      <w:r w:rsidR="00557BB9">
        <w:rPr>
          <w:rFonts w:cs="Times"/>
        </w:rPr>
        <w:t xml:space="preserve">. </w:t>
      </w:r>
      <w:r w:rsidR="0007312E">
        <w:rPr>
          <w:rFonts w:cs="Times"/>
        </w:rPr>
        <w:t xml:space="preserve">We hypothesize that </w:t>
      </w:r>
      <w:r w:rsidR="00BE2359">
        <w:rPr>
          <w:rFonts w:cs="Times"/>
        </w:rPr>
        <w:t>C</w:t>
      </w:r>
      <w:r w:rsidR="0007312E">
        <w:rPr>
          <w:rFonts w:cs="Times"/>
        </w:rPr>
        <w:t xml:space="preserve">ell Painting descriptors </w:t>
      </w:r>
      <w:r w:rsidR="00F410F0">
        <w:rPr>
          <w:rFonts w:cs="Times"/>
        </w:rPr>
        <w:t xml:space="preserve">can only </w:t>
      </w:r>
      <w:r w:rsidR="0007312E">
        <w:rPr>
          <w:rFonts w:cs="Times"/>
        </w:rPr>
        <w:t xml:space="preserve">pick up signals for </w:t>
      </w:r>
      <w:r w:rsidR="00BE2359">
        <w:rPr>
          <w:rFonts w:cs="Times"/>
        </w:rPr>
        <w:t xml:space="preserve">the </w:t>
      </w:r>
      <w:r w:rsidR="001405EC">
        <w:rPr>
          <w:rFonts w:cs="Times"/>
        </w:rPr>
        <w:t>specific biological significance of an assay</w:t>
      </w:r>
      <w:r w:rsidR="00BE2359">
        <w:rPr>
          <w:rFonts w:cs="Times"/>
        </w:rPr>
        <w:t>, information from</w:t>
      </w:r>
      <w:r w:rsidR="00FC1401">
        <w:rPr>
          <w:rFonts w:cs="Times"/>
        </w:rPr>
        <w:t xml:space="preserve"> which </w:t>
      </w:r>
      <w:r w:rsidR="00BE2359">
        <w:rPr>
          <w:rFonts w:cs="Times"/>
        </w:rPr>
        <w:t xml:space="preserve">is diluted when </w:t>
      </w:r>
      <w:r w:rsidR="00452D39">
        <w:rPr>
          <w:rFonts w:cs="Times"/>
        </w:rPr>
        <w:t xml:space="preserve">aggregating </w:t>
      </w:r>
      <w:r w:rsidR="003B1147">
        <w:rPr>
          <w:rFonts w:cs="Times"/>
        </w:rPr>
        <w:t>assays</w:t>
      </w:r>
      <w:r w:rsidR="00BE2359">
        <w:rPr>
          <w:rFonts w:cs="Times"/>
        </w:rPr>
        <w:t xml:space="preserve"> into a single numbe</w:t>
      </w:r>
      <w:r w:rsidR="00107B4F">
        <w:rPr>
          <w:rFonts w:cs="Times"/>
        </w:rPr>
        <w:t>r</w:t>
      </w:r>
      <w:r w:rsidR="00452D39">
        <w:rPr>
          <w:rFonts w:cs="Times"/>
        </w:rPr>
        <w:t xml:space="preserve"> </w:t>
      </w:r>
      <w:r w:rsidR="003B1147">
        <w:rPr>
          <w:rFonts w:cs="Times"/>
        </w:rPr>
        <w:t xml:space="preserve">as </w:t>
      </w:r>
      <w:r w:rsidR="00452D39">
        <w:rPr>
          <w:rFonts w:cs="Times"/>
        </w:rPr>
        <w:t>in a combined endpoint</w:t>
      </w:r>
      <w:r w:rsidR="00FC1401">
        <w:rPr>
          <w:rFonts w:cs="Times"/>
        </w:rPr>
        <w:t>.</w:t>
      </w:r>
      <w:r w:rsidR="001405EC">
        <w:rPr>
          <w:rFonts w:cs="Times"/>
        </w:rPr>
        <w:t xml:space="preserve"> </w:t>
      </w:r>
    </w:p>
    <w:p w14:paraId="1820327C" w14:textId="12BA62AC" w:rsidR="009C6898" w:rsidRDefault="00A213DD" w:rsidP="008A0826">
      <w:pPr>
        <w:pStyle w:val="TAMainText"/>
        <w:ind w:firstLine="0"/>
        <w:rPr>
          <w:rFonts w:cs="Times"/>
        </w:rPr>
      </w:pPr>
      <w:r w:rsidRPr="001134B0">
        <w:rPr>
          <w:rFonts w:cs="Times"/>
        </w:rPr>
        <w:t xml:space="preserve">Overall, </w:t>
      </w:r>
      <w:r w:rsidR="004175A0">
        <w:rPr>
          <w:rFonts w:cs="Times"/>
        </w:rPr>
        <w:t xml:space="preserve">in our 12 assay endpoints, </w:t>
      </w:r>
      <w:r w:rsidRPr="001134B0">
        <w:rPr>
          <w:rFonts w:cs="Times"/>
        </w:rPr>
        <w:t xml:space="preserve">using Cell Painting </w:t>
      </w:r>
      <w:r w:rsidR="006D26BA">
        <w:rPr>
          <w:rFonts w:cs="Times"/>
        </w:rPr>
        <w:t>descriptors</w:t>
      </w:r>
      <w:r w:rsidRPr="001134B0">
        <w:rPr>
          <w:rFonts w:cs="Times"/>
        </w:rPr>
        <w:t xml:space="preserve">, either alone or in combination with </w:t>
      </w:r>
      <w:proofErr w:type="spellStart"/>
      <w:r w:rsidRPr="001134B0">
        <w:rPr>
          <w:rFonts w:cs="Times"/>
        </w:rPr>
        <w:t>ErG</w:t>
      </w:r>
      <w:proofErr w:type="spellEnd"/>
      <w:r w:rsidRPr="001134B0">
        <w:rPr>
          <w:rFonts w:cs="Times"/>
        </w:rPr>
        <w:t>/Morgan fingerprints</w:t>
      </w:r>
      <w:r w:rsidR="006D26BA">
        <w:rPr>
          <w:rFonts w:cs="Times"/>
        </w:rPr>
        <w:t>,</w:t>
      </w:r>
      <w:r>
        <w:rPr>
          <w:rFonts w:cs="Times"/>
        </w:rPr>
        <w:t xml:space="preserve"> </w:t>
      </w:r>
      <w:r w:rsidRPr="001134B0">
        <w:rPr>
          <w:rFonts w:cs="Times"/>
        </w:rPr>
        <w:t xml:space="preserve">achieved </w:t>
      </w:r>
      <w:r w:rsidR="006D26BA">
        <w:rPr>
          <w:rFonts w:cs="Times"/>
        </w:rPr>
        <w:t>the best</w:t>
      </w:r>
      <w:r w:rsidRPr="001134B0">
        <w:rPr>
          <w:rFonts w:cs="Times"/>
        </w:rPr>
        <w:t xml:space="preserve"> BA</w:t>
      </w:r>
      <w:r>
        <w:rPr>
          <w:rFonts w:cs="Times"/>
        </w:rPr>
        <w:t xml:space="preserve"> and </w:t>
      </w:r>
      <w:r w:rsidRPr="001134B0">
        <w:rPr>
          <w:rFonts w:cs="Times"/>
        </w:rPr>
        <w:t xml:space="preserve">AUC-ROC in </w:t>
      </w:r>
      <w:r>
        <w:rPr>
          <w:rFonts w:cs="Times"/>
        </w:rPr>
        <w:t>8</w:t>
      </w:r>
      <w:r w:rsidRPr="001134B0">
        <w:rPr>
          <w:rFonts w:cs="Times"/>
        </w:rPr>
        <w:t xml:space="preserve"> out of 12</w:t>
      </w:r>
      <w:r>
        <w:rPr>
          <w:rFonts w:cs="Times"/>
        </w:rPr>
        <w:t xml:space="preserve"> assays</w:t>
      </w:r>
      <w:r w:rsidRPr="001134B0">
        <w:rPr>
          <w:rFonts w:cs="Times"/>
        </w:rPr>
        <w:t xml:space="preserve">, and the best MCC in </w:t>
      </w:r>
      <w:r>
        <w:rPr>
          <w:rFonts w:cs="Times"/>
        </w:rPr>
        <w:t>7</w:t>
      </w:r>
      <w:r w:rsidRPr="001134B0">
        <w:rPr>
          <w:rFonts w:cs="Times"/>
        </w:rPr>
        <w:t xml:space="preserve"> out of 12</w:t>
      </w:r>
      <w:r>
        <w:rPr>
          <w:rFonts w:cs="Times"/>
        </w:rPr>
        <w:t xml:space="preserve"> assays </w:t>
      </w:r>
      <w:r w:rsidRPr="001134B0">
        <w:rPr>
          <w:rFonts w:cs="Times"/>
        </w:rPr>
        <w:t xml:space="preserve">(see Table </w:t>
      </w:r>
      <w:r>
        <w:rPr>
          <w:rFonts w:cs="Times"/>
        </w:rPr>
        <w:t>2</w:t>
      </w:r>
      <w:r w:rsidRPr="001134B0">
        <w:rPr>
          <w:rFonts w:cs="Times"/>
        </w:rPr>
        <w:t xml:space="preserve"> for individual assay results).</w:t>
      </w:r>
      <w:r w:rsidR="006D26BA">
        <w:rPr>
          <w:rFonts w:cs="Times"/>
        </w:rPr>
        <w:t xml:space="preserve"> </w:t>
      </w:r>
      <w:r w:rsidR="005E5C52">
        <w:rPr>
          <w:rFonts w:cs="Times"/>
        </w:rPr>
        <w:t>Hence, w</w:t>
      </w:r>
      <w:r w:rsidR="000E441B" w:rsidRPr="001134B0">
        <w:rPr>
          <w:rFonts w:cs="Times"/>
        </w:rPr>
        <w:t xml:space="preserve">e can conclude that </w:t>
      </w:r>
      <w:r w:rsidR="00EE117F" w:rsidRPr="001134B0">
        <w:rPr>
          <w:rFonts w:cs="Times"/>
        </w:rPr>
        <w:t xml:space="preserve">Cell Painting </w:t>
      </w:r>
      <w:r w:rsidR="002E4699">
        <w:rPr>
          <w:rFonts w:cs="Times"/>
        </w:rPr>
        <w:t xml:space="preserve">descriptors </w:t>
      </w:r>
      <w:r w:rsidR="000E441B" w:rsidRPr="001134B0">
        <w:rPr>
          <w:rFonts w:cs="Times"/>
        </w:rPr>
        <w:t xml:space="preserve">contain </w:t>
      </w:r>
      <w:r w:rsidR="006D26BA">
        <w:rPr>
          <w:rFonts w:cs="Times"/>
        </w:rPr>
        <w:t xml:space="preserve">relevant </w:t>
      </w:r>
      <w:r w:rsidR="000E441B" w:rsidRPr="001134B0">
        <w:rPr>
          <w:rFonts w:cs="Times"/>
        </w:rPr>
        <w:t>information with respect to the endpoints considered here</w:t>
      </w:r>
      <w:r w:rsidR="00EE117F" w:rsidRPr="001134B0">
        <w:rPr>
          <w:rFonts w:cs="Times"/>
        </w:rPr>
        <w:t xml:space="preserve">.  </w:t>
      </w:r>
    </w:p>
    <w:p w14:paraId="7D5F0077" w14:textId="006AB14B" w:rsidR="00CB18B4" w:rsidRPr="009C6898" w:rsidRDefault="00CB18B4" w:rsidP="008A0826">
      <w:pPr>
        <w:pStyle w:val="TAMainText"/>
        <w:ind w:firstLine="0"/>
        <w:rPr>
          <w:rFonts w:cs="Times"/>
          <w:b/>
          <w:bCs/>
        </w:rPr>
      </w:pPr>
      <w:r w:rsidRPr="009C6898">
        <w:rPr>
          <w:rFonts w:cs="Times"/>
          <w:b/>
          <w:bCs/>
        </w:rPr>
        <w:t>Performance using cluster-based splits</w:t>
      </w:r>
    </w:p>
    <w:p w14:paraId="375B8263" w14:textId="78E403D4" w:rsidR="00D33D24" w:rsidRPr="001134B0" w:rsidRDefault="008947A3" w:rsidP="00EE117F">
      <w:pPr>
        <w:pStyle w:val="TAMainText"/>
        <w:rPr>
          <w:rFonts w:cs="Times"/>
        </w:rPr>
      </w:pPr>
      <w:r w:rsidRPr="001134B0">
        <w:rPr>
          <w:rFonts w:cs="Times"/>
        </w:rPr>
        <w:t xml:space="preserve">When using </w:t>
      </w:r>
      <w:r w:rsidRPr="001134B0">
        <w:rPr>
          <w:rFonts w:cs="Times"/>
          <w:i/>
          <w:iCs/>
        </w:rPr>
        <w:t>cluster-based split</w:t>
      </w:r>
      <w:r w:rsidR="00352583" w:rsidRPr="001134B0">
        <w:rPr>
          <w:rFonts w:cs="Times"/>
          <w:i/>
          <w:iCs/>
        </w:rPr>
        <w:t>s</w:t>
      </w:r>
      <w:r w:rsidRPr="001134B0">
        <w:rPr>
          <w:rFonts w:cs="Times"/>
          <w:i/>
          <w:iCs/>
        </w:rPr>
        <w:t xml:space="preserve"> and cluster-averaged metric</w:t>
      </w:r>
      <w:r w:rsidRPr="001134B0">
        <w:rPr>
          <w:rFonts w:cs="Times"/>
        </w:rPr>
        <w:t xml:space="preserve">, most </w:t>
      </w:r>
      <w:proofErr w:type="spellStart"/>
      <w:r w:rsidRPr="001134B0">
        <w:rPr>
          <w:rFonts w:cs="Times"/>
        </w:rPr>
        <w:t>ErG</w:t>
      </w:r>
      <w:proofErr w:type="spellEnd"/>
      <w:r w:rsidR="00352583" w:rsidRPr="001134B0">
        <w:rPr>
          <w:rFonts w:cs="Times"/>
        </w:rPr>
        <w:t xml:space="preserve"> and </w:t>
      </w:r>
      <w:r w:rsidR="00B6719D" w:rsidRPr="001134B0">
        <w:rPr>
          <w:rFonts w:cs="Times"/>
        </w:rPr>
        <w:t>Morgan fingerprint</w:t>
      </w:r>
      <w:r w:rsidRPr="001134B0">
        <w:rPr>
          <w:rFonts w:cs="Times"/>
        </w:rPr>
        <w:t xml:space="preserve"> models </w:t>
      </w:r>
      <w:r w:rsidR="006D26BA">
        <w:rPr>
          <w:rFonts w:cs="Times"/>
        </w:rPr>
        <w:t>perform</w:t>
      </w:r>
      <w:r w:rsidR="002E415D">
        <w:rPr>
          <w:rFonts w:cs="Times"/>
        </w:rPr>
        <w:t>ed</w:t>
      </w:r>
      <w:r w:rsidR="00925BA2" w:rsidRPr="001134B0">
        <w:rPr>
          <w:rFonts w:cs="Times"/>
        </w:rPr>
        <w:t xml:space="preserve"> equivalent to random models </w:t>
      </w:r>
      <w:r w:rsidR="005F6FDF">
        <w:rPr>
          <w:rFonts w:cs="Times"/>
        </w:rPr>
        <w:t>and</w:t>
      </w:r>
      <w:r w:rsidR="005F6FDF" w:rsidRPr="001134B0">
        <w:rPr>
          <w:rFonts w:cs="Times"/>
        </w:rPr>
        <w:t xml:space="preserve"> struggled to model the data </w:t>
      </w:r>
      <w:r w:rsidRPr="001134B0">
        <w:rPr>
          <w:rFonts w:cs="Times"/>
        </w:rPr>
        <w:t>(</w:t>
      </w:r>
      <w:r w:rsidR="00E130F9" w:rsidRPr="001134B0">
        <w:rPr>
          <w:rFonts w:cs="Times"/>
        </w:rPr>
        <w:t xml:space="preserve">average BA of 0.55 </w:t>
      </w:r>
      <w:r w:rsidR="000E441B" w:rsidRPr="001134B0">
        <w:rPr>
          <w:rFonts w:cs="Times"/>
        </w:rPr>
        <w:t xml:space="preserve">for </w:t>
      </w:r>
      <w:proofErr w:type="spellStart"/>
      <w:r w:rsidRPr="001134B0">
        <w:rPr>
          <w:rFonts w:cs="Times"/>
        </w:rPr>
        <w:t>ErG</w:t>
      </w:r>
      <w:proofErr w:type="spellEnd"/>
      <w:r w:rsidRPr="001134B0">
        <w:rPr>
          <w:rFonts w:cs="Times"/>
        </w:rPr>
        <w:t>,</w:t>
      </w:r>
      <w:r w:rsidR="000E441B" w:rsidRPr="001134B0">
        <w:rPr>
          <w:rFonts w:cs="Times"/>
        </w:rPr>
        <w:t xml:space="preserve"> and</w:t>
      </w:r>
      <w:r w:rsidRPr="001134B0">
        <w:rPr>
          <w:rFonts w:cs="Times"/>
        </w:rPr>
        <w:t xml:space="preserve"> </w:t>
      </w:r>
      <w:r w:rsidR="00B6719D" w:rsidRPr="001134B0">
        <w:rPr>
          <w:rFonts w:cs="Times"/>
        </w:rPr>
        <w:t>Morgan fingerprints</w:t>
      </w:r>
      <w:r w:rsidRPr="001134B0">
        <w:rPr>
          <w:rFonts w:cs="Times"/>
        </w:rPr>
        <w:t xml:space="preserve"> </w:t>
      </w:r>
      <w:r w:rsidR="00E130F9" w:rsidRPr="001134B0">
        <w:rPr>
          <w:rFonts w:cs="Times"/>
        </w:rPr>
        <w:t>and 0.54</w:t>
      </w:r>
      <w:r w:rsidR="007734B9">
        <w:rPr>
          <w:rFonts w:cs="Times"/>
        </w:rPr>
        <w:t xml:space="preserve"> over all</w:t>
      </w:r>
      <w:r w:rsidR="004B372A">
        <w:rPr>
          <w:rFonts w:cs="Times"/>
        </w:rPr>
        <w:t xml:space="preserve"> 12</w:t>
      </w:r>
      <w:r w:rsidR="007734B9">
        <w:rPr>
          <w:rFonts w:cs="Times"/>
        </w:rPr>
        <w:t xml:space="preserve"> assays</w:t>
      </w:r>
      <w:r w:rsidR="005F6FDF">
        <w:rPr>
          <w:rFonts w:cs="Times"/>
        </w:rPr>
        <w:t xml:space="preserve">; </w:t>
      </w:r>
      <w:r w:rsidRPr="001134B0">
        <w:rPr>
          <w:rFonts w:cs="Times"/>
        </w:rPr>
        <w:t xml:space="preserve">see </w:t>
      </w:r>
      <w:r w:rsidR="00CB18B4">
        <w:rPr>
          <w:rFonts w:cs="Times"/>
        </w:rPr>
        <w:t xml:space="preserve">Supplementary </w:t>
      </w:r>
      <w:r w:rsidR="006F3E6A" w:rsidRPr="001134B0">
        <w:rPr>
          <w:rFonts w:cs="Times"/>
        </w:rPr>
        <w:t>Table</w:t>
      </w:r>
      <w:r w:rsidRPr="001134B0">
        <w:rPr>
          <w:rFonts w:cs="Times"/>
        </w:rPr>
        <w:t xml:space="preserve"> </w:t>
      </w:r>
      <w:r w:rsidR="007D68A5">
        <w:rPr>
          <w:rFonts w:cs="Times"/>
        </w:rPr>
        <w:t>S5</w:t>
      </w:r>
      <w:r w:rsidR="00004C05" w:rsidRPr="001134B0">
        <w:rPr>
          <w:rFonts w:cs="Times"/>
        </w:rPr>
        <w:t xml:space="preserve"> </w:t>
      </w:r>
      <w:r w:rsidRPr="001134B0">
        <w:rPr>
          <w:rFonts w:cs="Times"/>
        </w:rPr>
        <w:t xml:space="preserve">for individual assays). </w:t>
      </w:r>
      <w:r w:rsidRPr="001134B0">
        <w:rPr>
          <w:rFonts w:cs="Times"/>
        </w:rPr>
        <w:lastRenderedPageBreak/>
        <w:t>The size of the standard deviation indicated the performance varies considerably depending on the different chemical spaces in testing and training set as well as the type of the assay</w:t>
      </w:r>
      <w:r w:rsidR="0038776B">
        <w:rPr>
          <w:rFonts w:cs="Times"/>
        </w:rPr>
        <w:t xml:space="preserve"> (</w:t>
      </w:r>
      <w:r w:rsidR="009B6866">
        <w:rPr>
          <w:rFonts w:cs="Times"/>
        </w:rPr>
        <w:t xml:space="preserve">see </w:t>
      </w:r>
      <w:r w:rsidR="009C10B9">
        <w:rPr>
          <w:rFonts w:cs="Times"/>
        </w:rPr>
        <w:t xml:space="preserve">Supplementary </w:t>
      </w:r>
      <w:r w:rsidR="009C10B9" w:rsidRPr="001134B0">
        <w:rPr>
          <w:rFonts w:cs="Times"/>
        </w:rPr>
        <w:t>Figure</w:t>
      </w:r>
      <w:r w:rsidR="009C10B9">
        <w:rPr>
          <w:rFonts w:cs="Times"/>
        </w:rPr>
        <w:t>s</w:t>
      </w:r>
      <w:r w:rsidR="009C10B9" w:rsidRPr="001134B0">
        <w:rPr>
          <w:rFonts w:cs="Times"/>
        </w:rPr>
        <w:t xml:space="preserve"> S</w:t>
      </w:r>
      <w:r w:rsidR="009D7326">
        <w:rPr>
          <w:rFonts w:cs="Times"/>
        </w:rPr>
        <w:t>4</w:t>
      </w:r>
      <w:r w:rsidR="009C10B9" w:rsidRPr="001134B0">
        <w:rPr>
          <w:rFonts w:cs="Times"/>
        </w:rPr>
        <w:t>-</w:t>
      </w:r>
      <w:r w:rsidR="009C10B9">
        <w:rPr>
          <w:rFonts w:cs="Times"/>
        </w:rPr>
        <w:t>S</w:t>
      </w:r>
      <w:r w:rsidR="009D7326">
        <w:rPr>
          <w:rFonts w:cs="Times"/>
        </w:rPr>
        <w:t>6</w:t>
      </w:r>
      <w:r w:rsidR="0038776B">
        <w:rPr>
          <w:rFonts w:cs="Times"/>
        </w:rPr>
        <w:t>)</w:t>
      </w:r>
      <w:r w:rsidR="000E441B" w:rsidRPr="001134B0">
        <w:rPr>
          <w:rFonts w:cs="Times"/>
        </w:rPr>
        <w:t>, which is also likely related to the overall relatively small size of the dataset used</w:t>
      </w:r>
      <w:r w:rsidRPr="001134B0">
        <w:rPr>
          <w:rFonts w:cs="Times"/>
        </w:rPr>
        <w:t>. Interestingly,</w:t>
      </w:r>
      <w:r w:rsidR="00DE7C13">
        <w:rPr>
          <w:rFonts w:cs="Times"/>
        </w:rPr>
        <w:t xml:space="preserve"> </w:t>
      </w:r>
      <w:r w:rsidR="0037422E" w:rsidRPr="001134B0">
        <w:rPr>
          <w:rFonts w:cs="Times"/>
        </w:rPr>
        <w:t>C</w:t>
      </w:r>
      <w:r w:rsidRPr="001134B0">
        <w:rPr>
          <w:rFonts w:cs="Times"/>
        </w:rPr>
        <w:t xml:space="preserve">ell Painting </w:t>
      </w:r>
      <w:r w:rsidR="00570AEB">
        <w:rPr>
          <w:rFonts w:cs="Times"/>
        </w:rPr>
        <w:t>descriptors</w:t>
      </w:r>
      <w:r w:rsidR="00570AEB" w:rsidRPr="001134B0">
        <w:rPr>
          <w:rFonts w:cs="Times"/>
        </w:rPr>
        <w:t xml:space="preserve"> </w:t>
      </w:r>
      <w:r w:rsidRPr="001134B0">
        <w:rPr>
          <w:rFonts w:cs="Times"/>
        </w:rPr>
        <w:t xml:space="preserve">improved balanced accuracy when compared to </w:t>
      </w:r>
      <w:proofErr w:type="spellStart"/>
      <w:r w:rsidRPr="001134B0">
        <w:rPr>
          <w:rFonts w:cs="Times"/>
        </w:rPr>
        <w:t>ErG</w:t>
      </w:r>
      <w:proofErr w:type="spellEnd"/>
      <w:r w:rsidRPr="001134B0">
        <w:rPr>
          <w:rFonts w:cs="Times"/>
        </w:rPr>
        <w:t xml:space="preserve"> and </w:t>
      </w:r>
      <w:r w:rsidR="00B6719D" w:rsidRPr="001134B0">
        <w:rPr>
          <w:rFonts w:cs="Times"/>
        </w:rPr>
        <w:t>Morgan fingerprints</w:t>
      </w:r>
      <w:r w:rsidRPr="001134B0">
        <w:rPr>
          <w:rFonts w:cs="Times"/>
        </w:rPr>
        <w:t xml:space="preserve"> in </w:t>
      </w:r>
      <w:r w:rsidR="00C52870" w:rsidRPr="001134B0">
        <w:rPr>
          <w:rFonts w:cs="Times"/>
        </w:rPr>
        <w:t xml:space="preserve">11 out </w:t>
      </w:r>
      <w:r w:rsidR="00FB5C6C">
        <w:rPr>
          <w:rFonts w:cs="Times"/>
        </w:rPr>
        <w:t xml:space="preserve">of </w:t>
      </w:r>
      <w:r w:rsidR="00640A45" w:rsidRPr="001134B0">
        <w:rPr>
          <w:rFonts w:cs="Times"/>
        </w:rPr>
        <w:t>12</w:t>
      </w:r>
      <w:r w:rsidRPr="001134B0">
        <w:rPr>
          <w:rFonts w:cs="Times"/>
        </w:rPr>
        <w:t xml:space="preserve"> assays</w:t>
      </w:r>
      <w:r w:rsidR="00352583" w:rsidRPr="001134B0">
        <w:rPr>
          <w:rFonts w:cs="Times"/>
        </w:rPr>
        <w:t>, and</w:t>
      </w:r>
      <w:r w:rsidRPr="001134B0">
        <w:rPr>
          <w:rFonts w:cs="Times"/>
        </w:rPr>
        <w:t xml:space="preserve"> </w:t>
      </w:r>
      <w:r w:rsidR="00800C1A">
        <w:rPr>
          <w:rFonts w:cs="Times"/>
        </w:rPr>
        <w:t>in relative terms</w:t>
      </w:r>
      <w:r w:rsidR="00800C1A" w:rsidRPr="001134B0">
        <w:rPr>
          <w:rFonts w:cs="Times"/>
        </w:rPr>
        <w:t xml:space="preserve"> </w:t>
      </w:r>
      <w:r w:rsidRPr="001134B0">
        <w:rPr>
          <w:rFonts w:cs="Times"/>
        </w:rPr>
        <w:t xml:space="preserve">by </w:t>
      </w:r>
      <w:r w:rsidR="0038776B">
        <w:rPr>
          <w:rFonts w:cs="Times"/>
        </w:rPr>
        <w:t xml:space="preserve">a significant margin of </w:t>
      </w:r>
      <w:r w:rsidR="003F7D33" w:rsidRPr="001134B0">
        <w:rPr>
          <w:rFonts w:cs="Times"/>
        </w:rPr>
        <w:t>19.4</w:t>
      </w:r>
      <w:r w:rsidRPr="001134B0">
        <w:rPr>
          <w:rFonts w:cs="Times"/>
        </w:rPr>
        <w:t xml:space="preserve">% and </w:t>
      </w:r>
      <w:r w:rsidR="003F7D33" w:rsidRPr="001134B0">
        <w:rPr>
          <w:rFonts w:cs="Times"/>
        </w:rPr>
        <w:t>24.2</w:t>
      </w:r>
      <w:r w:rsidRPr="001134B0">
        <w:rPr>
          <w:rFonts w:cs="Times"/>
        </w:rPr>
        <w:t>% on average</w:t>
      </w:r>
      <w:r w:rsidR="00352583" w:rsidRPr="001134B0">
        <w:rPr>
          <w:rFonts w:cs="Times"/>
        </w:rPr>
        <w:t>,</w:t>
      </w:r>
      <w:r w:rsidRPr="001134B0">
        <w:rPr>
          <w:rFonts w:cs="Times"/>
        </w:rPr>
        <w:t xml:space="preserve"> respectively. </w:t>
      </w:r>
      <w:r w:rsidR="00D33D24" w:rsidRPr="001134B0">
        <w:rPr>
          <w:rFonts w:cs="Times"/>
        </w:rPr>
        <w:t>Once again, the model for BSK_3C_Vis_down endpoint assays achieve</w:t>
      </w:r>
      <w:r w:rsidR="00107B4F">
        <w:rPr>
          <w:rFonts w:cs="Times"/>
        </w:rPr>
        <w:t>d</w:t>
      </w:r>
      <w:r w:rsidR="00D33D24" w:rsidRPr="001134B0">
        <w:rPr>
          <w:rFonts w:cs="Times"/>
        </w:rPr>
        <w:t xml:space="preserve"> </w:t>
      </w:r>
      <w:r w:rsidR="0038776B">
        <w:rPr>
          <w:rFonts w:cs="Times"/>
        </w:rPr>
        <w:t xml:space="preserve">a BA of 0.76 </w:t>
      </w:r>
      <w:r w:rsidR="00D33D24" w:rsidRPr="001134B0">
        <w:rPr>
          <w:rFonts w:cs="Times"/>
        </w:rPr>
        <w:t xml:space="preserve">using just Cell Painting </w:t>
      </w:r>
      <w:r w:rsidR="00570AEB">
        <w:rPr>
          <w:rFonts w:cs="Times"/>
        </w:rPr>
        <w:t>descriptors</w:t>
      </w:r>
      <w:r w:rsidR="00D33D24" w:rsidRPr="001134B0">
        <w:rPr>
          <w:rFonts w:cs="Times"/>
        </w:rPr>
        <w:t xml:space="preserve">, a </w:t>
      </w:r>
      <w:r w:rsidR="00BA46AE">
        <w:rPr>
          <w:rFonts w:cs="Times"/>
        </w:rPr>
        <w:t>relative</w:t>
      </w:r>
      <w:r w:rsidR="00D33D24" w:rsidRPr="001134B0">
        <w:rPr>
          <w:rFonts w:cs="Times"/>
        </w:rPr>
        <w:t xml:space="preserve"> 46.</w:t>
      </w:r>
      <w:r w:rsidR="002E4C8F" w:rsidRPr="001134B0">
        <w:rPr>
          <w:rFonts w:cs="Times"/>
        </w:rPr>
        <w:t>2</w:t>
      </w:r>
      <w:r w:rsidR="00D33D24" w:rsidRPr="001134B0">
        <w:rPr>
          <w:rFonts w:cs="Times"/>
        </w:rPr>
        <w:t xml:space="preserve">% improvement </w:t>
      </w:r>
      <w:r w:rsidR="00B93A86">
        <w:rPr>
          <w:rFonts w:cs="Times"/>
        </w:rPr>
        <w:t>to</w:t>
      </w:r>
      <w:r w:rsidR="00D33D24" w:rsidRPr="001134B0">
        <w:rPr>
          <w:rFonts w:cs="Times"/>
        </w:rPr>
        <w:t xml:space="preserve"> using Morgan fingerprints</w:t>
      </w:r>
      <w:r w:rsidR="0038776B">
        <w:rPr>
          <w:rFonts w:cs="Times"/>
        </w:rPr>
        <w:t>,</w:t>
      </w:r>
      <w:r w:rsidR="006725BF" w:rsidRPr="001134B0">
        <w:rPr>
          <w:rFonts w:cs="Times"/>
        </w:rPr>
        <w:t xml:space="preserve"> indicating morphological information was far </w:t>
      </w:r>
      <w:r w:rsidR="0038776B">
        <w:rPr>
          <w:rFonts w:cs="Times"/>
        </w:rPr>
        <w:t xml:space="preserve">more </w:t>
      </w:r>
      <w:r w:rsidR="00B05D61" w:rsidRPr="001134B0">
        <w:rPr>
          <w:rFonts w:cs="Times"/>
        </w:rPr>
        <w:t>relevant</w:t>
      </w:r>
      <w:r w:rsidR="006725BF" w:rsidRPr="001134B0">
        <w:rPr>
          <w:rFonts w:cs="Times"/>
        </w:rPr>
        <w:t xml:space="preserve"> in modelling </w:t>
      </w:r>
      <w:r w:rsidR="00B05D61" w:rsidRPr="001134B0">
        <w:rPr>
          <w:rFonts w:cs="Times"/>
        </w:rPr>
        <w:t>cell death markers</w:t>
      </w:r>
      <w:r w:rsidR="0038776B">
        <w:rPr>
          <w:rFonts w:cs="Times"/>
        </w:rPr>
        <w:t xml:space="preserve"> </w:t>
      </w:r>
      <w:r w:rsidR="00063AE4">
        <w:rPr>
          <w:rFonts w:cs="Times"/>
        </w:rPr>
        <w:t>for</w:t>
      </w:r>
      <w:r w:rsidR="0038776B">
        <w:rPr>
          <w:rFonts w:cs="Times"/>
        </w:rPr>
        <w:t xml:space="preserve"> this </w:t>
      </w:r>
      <w:r w:rsidR="00800C1A">
        <w:rPr>
          <w:rFonts w:cs="Times"/>
        </w:rPr>
        <w:t>endpoint</w:t>
      </w:r>
      <w:r w:rsidR="00B05D61" w:rsidRPr="001134B0">
        <w:rPr>
          <w:rFonts w:cs="Times"/>
        </w:rPr>
        <w:t>.</w:t>
      </w:r>
    </w:p>
    <w:p w14:paraId="3E1B19C5" w14:textId="77777777" w:rsidR="007613FD" w:rsidRDefault="006B6B7C" w:rsidP="00EE117F">
      <w:pPr>
        <w:pStyle w:val="TAMainText"/>
        <w:rPr>
          <w:rFonts w:cs="Times"/>
        </w:rPr>
      </w:pPr>
      <w:r>
        <w:rPr>
          <w:rFonts w:cs="Times"/>
        </w:rPr>
        <w:t>M</w:t>
      </w:r>
      <w:r w:rsidRPr="001134B0">
        <w:rPr>
          <w:rFonts w:cs="Times"/>
        </w:rPr>
        <w:t xml:space="preserve">odels </w:t>
      </w:r>
      <w:r>
        <w:rPr>
          <w:rFonts w:cs="Times"/>
        </w:rPr>
        <w:t>using c</w:t>
      </w:r>
      <w:r w:rsidR="008947A3" w:rsidRPr="001134B0">
        <w:rPr>
          <w:rFonts w:cs="Times"/>
        </w:rPr>
        <w:t>ombination</w:t>
      </w:r>
      <w:r>
        <w:rPr>
          <w:rFonts w:cs="Times"/>
        </w:rPr>
        <w:t xml:space="preserve"> descriptors</w:t>
      </w:r>
      <w:r w:rsidR="008947A3" w:rsidRPr="001134B0">
        <w:rPr>
          <w:rFonts w:cs="Times"/>
        </w:rPr>
        <w:t xml:space="preserve"> of </w:t>
      </w:r>
      <w:r w:rsidRPr="001134B0">
        <w:rPr>
          <w:rFonts w:cs="Times"/>
        </w:rPr>
        <w:t xml:space="preserve">Cell Painting </w:t>
      </w:r>
      <w:r w:rsidR="001E56BA">
        <w:rPr>
          <w:rFonts w:cs="Times"/>
        </w:rPr>
        <w:t>with</w:t>
      </w:r>
      <w:r w:rsidR="001E56BA" w:rsidRPr="001134B0">
        <w:rPr>
          <w:rFonts w:cs="Times"/>
        </w:rPr>
        <w:t xml:space="preserve"> </w:t>
      </w:r>
      <w:proofErr w:type="spellStart"/>
      <w:r w:rsidR="008947A3" w:rsidRPr="001134B0">
        <w:rPr>
          <w:rFonts w:cs="Times"/>
        </w:rPr>
        <w:t>ErG</w:t>
      </w:r>
      <w:proofErr w:type="spellEnd"/>
      <w:r w:rsidR="00352583" w:rsidRPr="001134B0">
        <w:rPr>
          <w:rFonts w:cs="Times"/>
        </w:rPr>
        <w:t xml:space="preserve"> </w:t>
      </w:r>
      <w:r w:rsidRPr="001134B0">
        <w:rPr>
          <w:rFonts w:cs="Times"/>
        </w:rPr>
        <w:t>fingerprint</w:t>
      </w:r>
      <w:r>
        <w:rPr>
          <w:rFonts w:cs="Times"/>
        </w:rPr>
        <w:t>s</w:t>
      </w:r>
      <w:r w:rsidRPr="001134B0">
        <w:rPr>
          <w:rFonts w:cs="Times"/>
        </w:rPr>
        <w:t xml:space="preserve"> </w:t>
      </w:r>
      <w:r w:rsidR="008947A3" w:rsidRPr="001134B0">
        <w:rPr>
          <w:rFonts w:cs="Times"/>
        </w:rPr>
        <w:t>or C</w:t>
      </w:r>
      <w:r w:rsidR="00352583" w:rsidRPr="001134B0">
        <w:rPr>
          <w:rFonts w:cs="Times"/>
        </w:rPr>
        <w:t xml:space="preserve">ell </w:t>
      </w:r>
      <w:r w:rsidR="008947A3" w:rsidRPr="001134B0">
        <w:rPr>
          <w:rFonts w:cs="Times"/>
        </w:rPr>
        <w:t>P</w:t>
      </w:r>
      <w:r w:rsidR="00352583" w:rsidRPr="001134B0">
        <w:rPr>
          <w:rFonts w:cs="Times"/>
        </w:rPr>
        <w:t>ainting</w:t>
      </w:r>
      <w:r w:rsidR="008947A3" w:rsidRPr="001134B0">
        <w:rPr>
          <w:rFonts w:cs="Times"/>
        </w:rPr>
        <w:t xml:space="preserve"> </w:t>
      </w:r>
      <w:r w:rsidR="001E56BA">
        <w:rPr>
          <w:rFonts w:cs="Times"/>
        </w:rPr>
        <w:t>with</w:t>
      </w:r>
      <w:r w:rsidR="001E56BA" w:rsidRPr="001134B0">
        <w:rPr>
          <w:rFonts w:cs="Times"/>
        </w:rPr>
        <w:t xml:space="preserve"> </w:t>
      </w:r>
      <w:r w:rsidRPr="001134B0">
        <w:rPr>
          <w:rFonts w:cs="Times"/>
        </w:rPr>
        <w:t>Morgan fingerprint</w:t>
      </w:r>
      <w:r>
        <w:rPr>
          <w:rFonts w:cs="Times"/>
        </w:rPr>
        <w:t>s</w:t>
      </w:r>
      <w:r w:rsidRPr="001134B0">
        <w:rPr>
          <w:rFonts w:cs="Times"/>
        </w:rPr>
        <w:t xml:space="preserve"> </w:t>
      </w:r>
      <w:r w:rsidR="008947A3" w:rsidRPr="001134B0">
        <w:rPr>
          <w:rFonts w:cs="Times"/>
        </w:rPr>
        <w:t>performed with a higher BA</w:t>
      </w:r>
      <w:r w:rsidR="00E77FAC">
        <w:rPr>
          <w:rFonts w:cs="Times"/>
        </w:rPr>
        <w:t xml:space="preserve"> (1</w:t>
      </w:r>
      <w:r w:rsidR="0028429B">
        <w:rPr>
          <w:rFonts w:cs="Times"/>
        </w:rPr>
        <w:t>2</w:t>
      </w:r>
      <w:r w:rsidR="00E77FAC">
        <w:rPr>
          <w:rFonts w:cs="Times"/>
        </w:rPr>
        <w:t xml:space="preserve"> out of 12)</w:t>
      </w:r>
      <w:r w:rsidR="00352583" w:rsidRPr="001134B0">
        <w:rPr>
          <w:rFonts w:cs="Times"/>
        </w:rPr>
        <w:t xml:space="preserve">, MCC </w:t>
      </w:r>
      <w:r w:rsidR="00572424">
        <w:rPr>
          <w:rFonts w:cs="Times"/>
        </w:rPr>
        <w:t>(12 out of 12</w:t>
      </w:r>
      <w:r w:rsidR="00E77FAC">
        <w:rPr>
          <w:rFonts w:cs="Times"/>
        </w:rPr>
        <w:t>)</w:t>
      </w:r>
      <w:r w:rsidR="00572424">
        <w:rPr>
          <w:rFonts w:cs="Times"/>
        </w:rPr>
        <w:t xml:space="preserve"> </w:t>
      </w:r>
      <w:r w:rsidR="00352583" w:rsidRPr="001134B0">
        <w:rPr>
          <w:rFonts w:cs="Times"/>
        </w:rPr>
        <w:t>and AUC-ROC</w:t>
      </w:r>
      <w:r w:rsidR="00E77FAC">
        <w:rPr>
          <w:rFonts w:cs="Times"/>
        </w:rPr>
        <w:t xml:space="preserve"> (11 out of 12)</w:t>
      </w:r>
      <w:r w:rsidR="00352583" w:rsidRPr="001134B0">
        <w:rPr>
          <w:rFonts w:cs="Times"/>
        </w:rPr>
        <w:t>,</w:t>
      </w:r>
      <w:r w:rsidR="008947A3" w:rsidRPr="001134B0">
        <w:rPr>
          <w:rFonts w:cs="Times"/>
        </w:rPr>
        <w:t xml:space="preserve"> when compared to using </w:t>
      </w:r>
      <w:proofErr w:type="spellStart"/>
      <w:r w:rsidR="008947A3" w:rsidRPr="001134B0">
        <w:rPr>
          <w:rFonts w:cs="Times"/>
        </w:rPr>
        <w:t>ErG</w:t>
      </w:r>
      <w:proofErr w:type="spellEnd"/>
      <w:r w:rsidR="008947A3" w:rsidRPr="001134B0">
        <w:rPr>
          <w:rFonts w:cs="Times"/>
        </w:rPr>
        <w:t xml:space="preserve"> and </w:t>
      </w:r>
      <w:r w:rsidR="00B6719D" w:rsidRPr="001134B0">
        <w:rPr>
          <w:rFonts w:cs="Times"/>
        </w:rPr>
        <w:t>Morgan fingerprints</w:t>
      </w:r>
      <w:r w:rsidR="008947A3" w:rsidRPr="001134B0">
        <w:rPr>
          <w:rFonts w:cs="Times"/>
        </w:rPr>
        <w:t xml:space="preserve"> alone</w:t>
      </w:r>
      <w:r w:rsidR="00503B97" w:rsidRPr="001134B0">
        <w:rPr>
          <w:rFonts w:cs="Times"/>
        </w:rPr>
        <w:t>.</w:t>
      </w:r>
      <w:r w:rsidR="00352583" w:rsidRPr="001134B0">
        <w:rPr>
          <w:rFonts w:cs="Times"/>
        </w:rPr>
        <w:t xml:space="preserve"> </w:t>
      </w:r>
      <w:r w:rsidR="00206046">
        <w:rPr>
          <w:rFonts w:cs="Times"/>
        </w:rPr>
        <w:t>W</w:t>
      </w:r>
      <w:r w:rsidR="00206046" w:rsidRPr="001134B0">
        <w:rPr>
          <w:rFonts w:cs="Times"/>
        </w:rPr>
        <w:t xml:space="preserve">e compared the performance of the different descriptors using a two-sided T-test for the null hypothesis that two related samples have an </w:t>
      </w:r>
      <w:proofErr w:type="gramStart"/>
      <w:r w:rsidR="00206046" w:rsidRPr="001134B0">
        <w:rPr>
          <w:rFonts w:cs="Times"/>
        </w:rPr>
        <w:t>identical average expected values</w:t>
      </w:r>
      <w:proofErr w:type="gramEnd"/>
      <w:r w:rsidR="00206046" w:rsidRPr="001134B0">
        <w:rPr>
          <w:rFonts w:cs="Times"/>
        </w:rPr>
        <w:t>. We found</w:t>
      </w:r>
      <w:r w:rsidR="00FB5C6C">
        <w:rPr>
          <w:rFonts w:cs="Times"/>
        </w:rPr>
        <w:t xml:space="preserve"> that</w:t>
      </w:r>
      <w:r w:rsidR="00206046" w:rsidRPr="001134B0">
        <w:rPr>
          <w:rFonts w:cs="Times"/>
        </w:rPr>
        <w:t xml:space="preserve"> in 9 out of 12 assays </w:t>
      </w:r>
      <w:r w:rsidR="008D2A41">
        <w:rPr>
          <w:rFonts w:cs="Times"/>
        </w:rPr>
        <w:t xml:space="preserve">(see Table 3 for details) </w:t>
      </w:r>
      <w:r w:rsidR="00DB4B08">
        <w:rPr>
          <w:rFonts w:cs="Times"/>
        </w:rPr>
        <w:t xml:space="preserve">the </w:t>
      </w:r>
      <w:r w:rsidR="00206046" w:rsidRPr="001134B0">
        <w:rPr>
          <w:rFonts w:cs="Times"/>
        </w:rPr>
        <w:t>improve</w:t>
      </w:r>
      <w:r w:rsidR="00DB4B08">
        <w:rPr>
          <w:rFonts w:cs="Times"/>
        </w:rPr>
        <w:t>ment on</w:t>
      </w:r>
      <w:r w:rsidR="00206046" w:rsidRPr="001134B0">
        <w:rPr>
          <w:rFonts w:cs="Times"/>
        </w:rPr>
        <w:t xml:space="preserve"> the model performances </w:t>
      </w:r>
      <w:r w:rsidR="00DB4B08">
        <w:rPr>
          <w:rFonts w:cs="Times"/>
        </w:rPr>
        <w:t xml:space="preserve">from </w:t>
      </w:r>
      <w:r w:rsidR="00DB4B08" w:rsidRPr="001134B0">
        <w:rPr>
          <w:rFonts w:cs="Times"/>
        </w:rPr>
        <w:t xml:space="preserve">using </w:t>
      </w:r>
      <w:r>
        <w:rPr>
          <w:rFonts w:cs="Times"/>
        </w:rPr>
        <w:t>molecular</w:t>
      </w:r>
      <w:r w:rsidRPr="001F0527">
        <w:rPr>
          <w:rFonts w:cs="Times"/>
        </w:rPr>
        <w:t xml:space="preserve"> </w:t>
      </w:r>
      <w:r w:rsidRPr="001134B0">
        <w:rPr>
          <w:rFonts w:cs="Times"/>
        </w:rPr>
        <w:t>fingerprint</w:t>
      </w:r>
      <w:r>
        <w:rPr>
          <w:rFonts w:cs="Times"/>
        </w:rPr>
        <w:t>s alone</w:t>
      </w:r>
      <w:r w:rsidRPr="001134B0">
        <w:rPr>
          <w:rFonts w:cs="Times"/>
        </w:rPr>
        <w:t xml:space="preserve"> </w:t>
      </w:r>
      <w:r w:rsidR="00206046" w:rsidRPr="001134B0">
        <w:rPr>
          <w:rFonts w:cs="Times"/>
        </w:rPr>
        <w:t>to using</w:t>
      </w:r>
      <w:r w:rsidR="00206046">
        <w:rPr>
          <w:rFonts w:cs="Times"/>
        </w:rPr>
        <w:t xml:space="preserve"> </w:t>
      </w:r>
      <w:r w:rsidRPr="001134B0">
        <w:rPr>
          <w:rFonts w:cs="Times"/>
        </w:rPr>
        <w:t xml:space="preserve">combination </w:t>
      </w:r>
      <w:r>
        <w:rPr>
          <w:rFonts w:cs="Times"/>
        </w:rPr>
        <w:t>descriptors</w:t>
      </w:r>
      <w:r w:rsidRPr="001134B0">
        <w:rPr>
          <w:rFonts w:cs="Times"/>
        </w:rPr>
        <w:t xml:space="preserve"> </w:t>
      </w:r>
      <w:r w:rsidR="00206046" w:rsidRPr="001134B0">
        <w:rPr>
          <w:rFonts w:cs="Times"/>
        </w:rPr>
        <w:t xml:space="preserve">was statistically significant (T-test p-value &lt; 0.05). </w:t>
      </w:r>
      <w:r w:rsidR="006E4261" w:rsidRPr="006E4261">
        <w:rPr>
          <w:rFonts w:cs="Times"/>
        </w:rPr>
        <w:t>Where improvements were observed</w:t>
      </w:r>
      <w:r w:rsidR="006E4261">
        <w:rPr>
          <w:rFonts w:cs="Times"/>
        </w:rPr>
        <w:t>, t</w:t>
      </w:r>
      <w:r w:rsidR="008947A3" w:rsidRPr="001134B0">
        <w:rPr>
          <w:rFonts w:cs="Times"/>
        </w:rPr>
        <w:t xml:space="preserve">he mean increase </w:t>
      </w:r>
      <w:r w:rsidR="001B04BE">
        <w:rPr>
          <w:rFonts w:cs="Times"/>
        </w:rPr>
        <w:t xml:space="preserve">of </w:t>
      </w:r>
      <w:r w:rsidR="00DB4B08" w:rsidRPr="001134B0">
        <w:rPr>
          <w:rFonts w:cs="Times"/>
        </w:rPr>
        <w:t xml:space="preserve">combination </w:t>
      </w:r>
      <w:r w:rsidR="001B04BE">
        <w:rPr>
          <w:rFonts w:cs="Times"/>
        </w:rPr>
        <w:t xml:space="preserve">descriptors </w:t>
      </w:r>
      <w:r w:rsidR="00503B97" w:rsidRPr="001134B0">
        <w:rPr>
          <w:rFonts w:cs="Times"/>
        </w:rPr>
        <w:t>compared to</w:t>
      </w:r>
      <w:r w:rsidR="008947A3" w:rsidRPr="001134B0">
        <w:rPr>
          <w:rFonts w:cs="Times"/>
        </w:rPr>
        <w:t xml:space="preserve"> </w:t>
      </w:r>
      <w:proofErr w:type="spellStart"/>
      <w:r w:rsidR="008947A3" w:rsidRPr="001134B0">
        <w:rPr>
          <w:rFonts w:cs="Times"/>
        </w:rPr>
        <w:t>ErG</w:t>
      </w:r>
      <w:proofErr w:type="spellEnd"/>
      <w:r w:rsidR="008947A3" w:rsidRPr="001134B0">
        <w:rPr>
          <w:rFonts w:cs="Times"/>
        </w:rPr>
        <w:t xml:space="preserve"> fingerprints (BA: +0.11, MCC: +0.20 and AUC-ROC: +0.1</w:t>
      </w:r>
      <w:r w:rsidR="00503B97" w:rsidRPr="001134B0">
        <w:rPr>
          <w:rFonts w:cs="Times"/>
        </w:rPr>
        <w:t>4</w:t>
      </w:r>
      <w:r w:rsidR="008947A3" w:rsidRPr="001134B0">
        <w:rPr>
          <w:rFonts w:cs="Times"/>
        </w:rPr>
        <w:t xml:space="preserve">)  </w:t>
      </w:r>
      <w:r w:rsidR="00352583" w:rsidRPr="001134B0">
        <w:rPr>
          <w:rFonts w:cs="Times"/>
        </w:rPr>
        <w:t xml:space="preserve">was similar to that </w:t>
      </w:r>
      <w:r w:rsidR="00503B97" w:rsidRPr="001134B0">
        <w:rPr>
          <w:rFonts w:cs="Times"/>
        </w:rPr>
        <w:t>compared to</w:t>
      </w:r>
      <w:r w:rsidR="008947A3" w:rsidRPr="001134B0">
        <w:rPr>
          <w:rFonts w:cs="Times"/>
        </w:rPr>
        <w:t xml:space="preserve"> </w:t>
      </w:r>
      <w:r w:rsidR="00B6719D" w:rsidRPr="001134B0">
        <w:rPr>
          <w:rFonts w:cs="Times"/>
        </w:rPr>
        <w:t>Morgan fingerprints</w:t>
      </w:r>
      <w:r w:rsidR="008947A3" w:rsidRPr="001134B0">
        <w:rPr>
          <w:rFonts w:cs="Times"/>
        </w:rPr>
        <w:t xml:space="preserve"> (BA: +0.11, MCC: +0.2</w:t>
      </w:r>
      <w:r w:rsidR="00503B97" w:rsidRPr="001134B0">
        <w:rPr>
          <w:rFonts w:cs="Times"/>
        </w:rPr>
        <w:t>2</w:t>
      </w:r>
      <w:r w:rsidR="008947A3" w:rsidRPr="001134B0">
        <w:rPr>
          <w:rFonts w:cs="Times"/>
        </w:rPr>
        <w:t xml:space="preserve"> and AUC-ROC: +0.1</w:t>
      </w:r>
      <w:r w:rsidR="00503B97" w:rsidRPr="001134B0">
        <w:rPr>
          <w:rFonts w:cs="Times"/>
        </w:rPr>
        <w:t>5</w:t>
      </w:r>
      <w:r w:rsidR="008947A3" w:rsidRPr="001134B0">
        <w:rPr>
          <w:rFonts w:cs="Times"/>
        </w:rPr>
        <w:t>)</w:t>
      </w:r>
      <w:r w:rsidR="00BE1CF1">
        <w:rPr>
          <w:rFonts w:cs="Times"/>
        </w:rPr>
        <w:t>. This</w:t>
      </w:r>
      <w:r w:rsidR="00BE1CF1" w:rsidRPr="001134B0">
        <w:rPr>
          <w:rFonts w:cs="Times"/>
        </w:rPr>
        <w:t xml:space="preserve"> </w:t>
      </w:r>
      <w:r w:rsidR="00BE1CF1">
        <w:rPr>
          <w:rFonts w:cs="Times"/>
        </w:rPr>
        <w:t>relative increase</w:t>
      </w:r>
      <w:r w:rsidR="00BE1CF1" w:rsidRPr="001134B0">
        <w:rPr>
          <w:rFonts w:cs="Times"/>
        </w:rPr>
        <w:t xml:space="preserve"> in BA from using </w:t>
      </w:r>
      <w:proofErr w:type="spellStart"/>
      <w:r w:rsidR="00BE1CF1" w:rsidRPr="001134B0">
        <w:rPr>
          <w:rFonts w:cs="Times"/>
        </w:rPr>
        <w:t>ErG</w:t>
      </w:r>
      <w:proofErr w:type="spellEnd"/>
      <w:r w:rsidR="00BE1CF1" w:rsidRPr="001134B0">
        <w:rPr>
          <w:rFonts w:cs="Times"/>
        </w:rPr>
        <w:t xml:space="preserve"> or Morgan fingerprint to combination </w:t>
      </w:r>
      <w:r w:rsidR="00BE1CF1">
        <w:rPr>
          <w:rFonts w:cs="Times"/>
        </w:rPr>
        <w:t>descriptors</w:t>
      </w:r>
      <w:r w:rsidR="00BE1CF1" w:rsidRPr="001134B0">
        <w:rPr>
          <w:rFonts w:cs="Times"/>
        </w:rPr>
        <w:t xml:space="preserve"> recorded </w:t>
      </w:r>
      <w:r w:rsidR="00C9377C" w:rsidRPr="001134B0">
        <w:rPr>
          <w:rFonts w:cs="Times"/>
        </w:rPr>
        <w:t>respectively</w:t>
      </w:r>
      <w:r w:rsidR="00C9377C">
        <w:rPr>
          <w:rFonts w:cs="Times"/>
        </w:rPr>
        <w:t xml:space="preserve"> </w:t>
      </w:r>
      <w:r w:rsidR="00BE1CF1" w:rsidRPr="001134B0">
        <w:rPr>
          <w:rFonts w:cs="Times"/>
        </w:rPr>
        <w:t xml:space="preserve">as 20.3% and 21.7% </w:t>
      </w:r>
      <w:r w:rsidR="00BE1CF1">
        <w:rPr>
          <w:rFonts w:cs="Times"/>
        </w:rPr>
        <w:t>on average i</w:t>
      </w:r>
      <w:r w:rsidR="00B22DA6">
        <w:rPr>
          <w:rFonts w:cs="Times"/>
        </w:rPr>
        <w:t>ndicat</w:t>
      </w:r>
      <w:r w:rsidR="00BE1CF1">
        <w:rPr>
          <w:rFonts w:cs="Times"/>
        </w:rPr>
        <w:t>ed</w:t>
      </w:r>
      <w:r w:rsidR="00B22DA6">
        <w:rPr>
          <w:rFonts w:cs="Times"/>
        </w:rPr>
        <w:t xml:space="preserve"> that Cell Painting descriptors improve performa</w:t>
      </w:r>
      <w:r w:rsidR="00B4681D">
        <w:rPr>
          <w:rFonts w:cs="Times"/>
        </w:rPr>
        <w:t>n</w:t>
      </w:r>
      <w:r w:rsidR="00B22DA6">
        <w:rPr>
          <w:rFonts w:cs="Times"/>
        </w:rPr>
        <w:t xml:space="preserve">ce for both types of </w:t>
      </w:r>
      <w:r w:rsidR="001E56BA">
        <w:rPr>
          <w:rFonts w:cs="Times"/>
        </w:rPr>
        <w:t>molecular</w:t>
      </w:r>
      <w:r w:rsidR="00B22DA6">
        <w:rPr>
          <w:rFonts w:cs="Times"/>
        </w:rPr>
        <w:t xml:space="preserve"> fingerprints.</w:t>
      </w:r>
      <w:r w:rsidR="000F754E">
        <w:rPr>
          <w:rFonts w:cs="Times"/>
        </w:rPr>
        <w:t xml:space="preserve"> </w:t>
      </w:r>
      <w:r w:rsidR="002136E7">
        <w:rPr>
          <w:rFonts w:cs="Times"/>
        </w:rPr>
        <w:t>C</w:t>
      </w:r>
      <w:r w:rsidR="001E56BA" w:rsidRPr="001134B0">
        <w:rPr>
          <w:rFonts w:cs="Times"/>
        </w:rPr>
        <w:t>ombination</w:t>
      </w:r>
      <w:r w:rsidR="001E56BA">
        <w:rPr>
          <w:rFonts w:cs="Times"/>
        </w:rPr>
        <w:t xml:space="preserve"> descriptors</w:t>
      </w:r>
      <w:r w:rsidR="001E56BA" w:rsidRPr="001134B0">
        <w:rPr>
          <w:rFonts w:cs="Times"/>
        </w:rPr>
        <w:t xml:space="preserve"> of Cell Painting </w:t>
      </w:r>
      <w:r w:rsidR="001E56BA">
        <w:rPr>
          <w:rFonts w:cs="Times"/>
        </w:rPr>
        <w:t xml:space="preserve">with </w:t>
      </w:r>
      <w:proofErr w:type="spellStart"/>
      <w:r w:rsidR="001E56BA" w:rsidRPr="001134B0">
        <w:rPr>
          <w:rFonts w:cs="Times"/>
        </w:rPr>
        <w:t>ErG</w:t>
      </w:r>
      <w:proofErr w:type="spellEnd"/>
      <w:r w:rsidR="001E56BA" w:rsidRPr="001134B0">
        <w:rPr>
          <w:rFonts w:cs="Times"/>
        </w:rPr>
        <w:t xml:space="preserve"> fingerprint</w:t>
      </w:r>
      <w:r w:rsidR="001E56BA">
        <w:rPr>
          <w:rFonts w:cs="Times"/>
        </w:rPr>
        <w:t>s</w:t>
      </w:r>
      <w:r w:rsidR="001E56BA" w:rsidRPr="001134B0">
        <w:rPr>
          <w:rFonts w:cs="Times"/>
        </w:rPr>
        <w:t xml:space="preserve"> or Cell Painting </w:t>
      </w:r>
      <w:r w:rsidR="001E56BA">
        <w:rPr>
          <w:rFonts w:cs="Times"/>
        </w:rPr>
        <w:t>with</w:t>
      </w:r>
      <w:r w:rsidR="001E56BA" w:rsidRPr="001134B0">
        <w:rPr>
          <w:rFonts w:cs="Times"/>
        </w:rPr>
        <w:t xml:space="preserve"> Morgan fingerprint</w:t>
      </w:r>
      <w:r w:rsidR="001E56BA">
        <w:rPr>
          <w:rFonts w:cs="Times"/>
        </w:rPr>
        <w:t>s</w:t>
      </w:r>
      <w:r w:rsidR="008947A3" w:rsidRPr="001134B0">
        <w:rPr>
          <w:rFonts w:cs="Times"/>
        </w:rPr>
        <w:t xml:space="preserve"> achieved the best BA</w:t>
      </w:r>
      <w:r w:rsidR="00597181">
        <w:rPr>
          <w:rFonts w:cs="Times"/>
        </w:rPr>
        <w:t xml:space="preserve">, </w:t>
      </w:r>
      <w:r w:rsidR="00352583" w:rsidRPr="001134B0">
        <w:rPr>
          <w:rFonts w:cs="Times"/>
        </w:rPr>
        <w:t>MCC</w:t>
      </w:r>
      <w:r w:rsidR="00597181">
        <w:rPr>
          <w:rFonts w:cs="Times"/>
        </w:rPr>
        <w:t xml:space="preserve"> and AUC-ROC</w:t>
      </w:r>
      <w:r w:rsidR="001E56BA">
        <w:rPr>
          <w:rFonts w:cs="Times"/>
        </w:rPr>
        <w:t xml:space="preserve"> </w:t>
      </w:r>
      <w:r w:rsidR="00352583" w:rsidRPr="001134B0">
        <w:rPr>
          <w:rFonts w:cs="Times"/>
        </w:rPr>
        <w:t xml:space="preserve">in </w:t>
      </w:r>
      <w:r w:rsidR="008858CE" w:rsidRPr="001134B0">
        <w:rPr>
          <w:rFonts w:cs="Times"/>
        </w:rPr>
        <w:t>10</w:t>
      </w:r>
      <w:r w:rsidR="00352583" w:rsidRPr="001134B0">
        <w:rPr>
          <w:rFonts w:cs="Times"/>
        </w:rPr>
        <w:t xml:space="preserve"> out of </w:t>
      </w:r>
      <w:r w:rsidR="008947A3" w:rsidRPr="001134B0">
        <w:rPr>
          <w:rFonts w:cs="Times"/>
        </w:rPr>
        <w:t>1</w:t>
      </w:r>
      <w:r w:rsidR="008858CE" w:rsidRPr="001134B0">
        <w:rPr>
          <w:rFonts w:cs="Times"/>
        </w:rPr>
        <w:t>2</w:t>
      </w:r>
      <w:r w:rsidR="00352583" w:rsidRPr="001134B0">
        <w:rPr>
          <w:rFonts w:cs="Times"/>
        </w:rPr>
        <w:t xml:space="preserve"> cases</w:t>
      </w:r>
      <w:r w:rsidR="00B05D61" w:rsidRPr="001134B0">
        <w:rPr>
          <w:rFonts w:cs="Times"/>
        </w:rPr>
        <w:t xml:space="preserve">, further strengthening the relevance of morphological </w:t>
      </w:r>
      <w:r w:rsidR="001F0527">
        <w:rPr>
          <w:rFonts w:cs="Times"/>
        </w:rPr>
        <w:t>descriptors</w:t>
      </w:r>
      <w:r w:rsidR="00B05D61" w:rsidRPr="001134B0">
        <w:rPr>
          <w:rFonts w:cs="Times"/>
        </w:rPr>
        <w:t xml:space="preserve"> </w:t>
      </w:r>
      <w:r w:rsidR="001E56BA">
        <w:rPr>
          <w:rFonts w:cs="Times"/>
        </w:rPr>
        <w:t xml:space="preserve">(preferably in combination with molecular fingerprints) </w:t>
      </w:r>
      <w:r w:rsidR="00B05D61" w:rsidRPr="001134B0">
        <w:rPr>
          <w:rFonts w:cs="Times"/>
        </w:rPr>
        <w:t>in predicting the endpoints in this study</w:t>
      </w:r>
      <w:r w:rsidR="001E56BA">
        <w:rPr>
          <w:rFonts w:cs="Times"/>
        </w:rPr>
        <w:t>.</w:t>
      </w:r>
      <w:r w:rsidR="002F7C0A">
        <w:rPr>
          <w:rFonts w:cs="Times"/>
        </w:rPr>
        <w:t xml:space="preserve"> </w:t>
      </w:r>
    </w:p>
    <w:p w14:paraId="4F61ABC2" w14:textId="2F6D8FFB" w:rsidR="00DD161E" w:rsidRPr="001134B0" w:rsidRDefault="007613FD" w:rsidP="007613FD">
      <w:pPr>
        <w:pStyle w:val="TAMainText"/>
        <w:ind w:firstLine="0"/>
        <w:rPr>
          <w:rFonts w:cs="Times"/>
        </w:rPr>
      </w:pPr>
      <w:r>
        <w:rPr>
          <w:rFonts w:cs="Times"/>
        </w:rPr>
        <w:t>When modelling the</w:t>
      </w:r>
      <w:r w:rsidR="00DD161E">
        <w:rPr>
          <w:rFonts w:cs="Times"/>
        </w:rPr>
        <w:t xml:space="preserve"> combin</w:t>
      </w:r>
      <w:r w:rsidR="009E0CB3">
        <w:rPr>
          <w:rFonts w:cs="Times"/>
        </w:rPr>
        <w:t xml:space="preserve">ed </w:t>
      </w:r>
      <w:r w:rsidR="00DD161E">
        <w:rPr>
          <w:rFonts w:cs="Times"/>
        </w:rPr>
        <w:t xml:space="preserve">endpoint </w:t>
      </w:r>
      <w:r>
        <w:rPr>
          <w:rFonts w:cs="Times"/>
        </w:rPr>
        <w:t xml:space="preserve">of all 12 assays, the </w:t>
      </w:r>
      <w:r w:rsidR="00BD65E5">
        <w:rPr>
          <w:rFonts w:cs="Times"/>
        </w:rPr>
        <w:t>model per</w:t>
      </w:r>
      <w:r w:rsidR="005D551F">
        <w:rPr>
          <w:rFonts w:cs="Times"/>
        </w:rPr>
        <w:t>fo</w:t>
      </w:r>
      <w:r w:rsidR="005F62D2">
        <w:rPr>
          <w:rFonts w:cs="Times"/>
        </w:rPr>
        <w:t>r</w:t>
      </w:r>
      <w:r w:rsidR="005D551F">
        <w:rPr>
          <w:rFonts w:cs="Times"/>
        </w:rPr>
        <w:t xml:space="preserve">mances </w:t>
      </w:r>
      <w:r w:rsidR="009E0CB3">
        <w:rPr>
          <w:rFonts w:cs="Times"/>
        </w:rPr>
        <w:t xml:space="preserve">did not show any statistically significant improvement on using combination </w:t>
      </w:r>
      <w:r>
        <w:rPr>
          <w:rFonts w:cs="Times"/>
        </w:rPr>
        <w:t>descriptors</w:t>
      </w:r>
      <w:r w:rsidR="009E0CB3">
        <w:rPr>
          <w:rFonts w:cs="Times"/>
        </w:rPr>
        <w:t xml:space="preserve"> over the chemical fingerprints</w:t>
      </w:r>
      <w:r>
        <w:rPr>
          <w:rFonts w:cs="Times"/>
        </w:rPr>
        <w:t xml:space="preserve"> alone</w:t>
      </w:r>
      <w:r w:rsidR="004274D1">
        <w:rPr>
          <w:rFonts w:cs="Times"/>
        </w:rPr>
        <w:t xml:space="preserve"> </w:t>
      </w:r>
      <w:r w:rsidR="004274D1">
        <w:rPr>
          <w:rFonts w:cs="Times"/>
        </w:rPr>
        <w:lastRenderedPageBreak/>
        <w:t xml:space="preserve">further highlighting that loss of </w:t>
      </w:r>
      <w:r w:rsidR="007A52D2">
        <w:rPr>
          <w:rFonts w:cs="Times"/>
        </w:rPr>
        <w:t xml:space="preserve">biological information </w:t>
      </w:r>
      <w:r w:rsidR="00626F9E">
        <w:rPr>
          <w:rFonts w:cs="Times"/>
        </w:rPr>
        <w:t>on</w:t>
      </w:r>
      <w:r w:rsidR="007A52D2">
        <w:rPr>
          <w:rFonts w:cs="Times"/>
        </w:rPr>
        <w:t xml:space="preserve"> aggregating endpoints render</w:t>
      </w:r>
      <w:r w:rsidR="005F62D2">
        <w:rPr>
          <w:rFonts w:cs="Times"/>
        </w:rPr>
        <w:t>s</w:t>
      </w:r>
      <w:r w:rsidR="007A52D2">
        <w:rPr>
          <w:rFonts w:cs="Times"/>
        </w:rPr>
        <w:t xml:space="preserve"> Cell Painting descriptors less useful in </w:t>
      </w:r>
      <w:proofErr w:type="spellStart"/>
      <w:r>
        <w:rPr>
          <w:rFonts w:cs="Times"/>
        </w:rPr>
        <w:t>prediciting</w:t>
      </w:r>
      <w:proofErr w:type="spellEnd"/>
      <w:r>
        <w:rPr>
          <w:rFonts w:cs="Times"/>
        </w:rPr>
        <w:t xml:space="preserve"> such endpoints</w:t>
      </w:r>
      <w:r w:rsidR="007A52D2">
        <w:rPr>
          <w:rFonts w:cs="Times"/>
        </w:rPr>
        <w:t>.</w:t>
      </w:r>
    </w:p>
    <w:p w14:paraId="6192CBDA" w14:textId="0EDC5AC8" w:rsidR="008947A3" w:rsidRPr="001134B0" w:rsidRDefault="00B05D61" w:rsidP="00894457">
      <w:pPr>
        <w:pStyle w:val="TAMainText"/>
        <w:rPr>
          <w:rFonts w:cs="Times"/>
        </w:rPr>
      </w:pPr>
      <w:r w:rsidRPr="001134B0">
        <w:rPr>
          <w:rFonts w:cs="Times"/>
        </w:rPr>
        <w:t>Overall</w:t>
      </w:r>
      <w:r w:rsidR="008947A3" w:rsidRPr="001134B0">
        <w:rPr>
          <w:rFonts w:cs="Times"/>
        </w:rPr>
        <w:t>,</w:t>
      </w:r>
      <w:r w:rsidR="00626F9E">
        <w:rPr>
          <w:rFonts w:cs="Times"/>
        </w:rPr>
        <w:t xml:space="preserve"> in all 12 assays</w:t>
      </w:r>
      <w:r w:rsidR="00C56CC7">
        <w:rPr>
          <w:rFonts w:cs="Times"/>
        </w:rPr>
        <w:t>,</w:t>
      </w:r>
      <w:r w:rsidR="008947A3" w:rsidRPr="001134B0">
        <w:rPr>
          <w:rFonts w:cs="Times"/>
        </w:rPr>
        <w:t xml:space="preserve"> models that included Cell Painting </w:t>
      </w:r>
      <w:r w:rsidR="00570AEB">
        <w:rPr>
          <w:rFonts w:cs="Times"/>
        </w:rPr>
        <w:t>descriptors</w:t>
      </w:r>
      <w:r w:rsidR="002136E7">
        <w:rPr>
          <w:rFonts w:cs="Times"/>
        </w:rPr>
        <w:t xml:space="preserve"> in some way or the other</w:t>
      </w:r>
      <w:r w:rsidR="003A250D">
        <w:rPr>
          <w:rFonts w:cs="Times"/>
        </w:rPr>
        <w:t xml:space="preserve"> (</w:t>
      </w:r>
      <w:r w:rsidR="008947A3" w:rsidRPr="001134B0">
        <w:rPr>
          <w:rFonts w:cs="Times"/>
        </w:rPr>
        <w:t xml:space="preserve">either alone or in combination with </w:t>
      </w:r>
      <w:proofErr w:type="spellStart"/>
      <w:r w:rsidR="008947A3" w:rsidRPr="001134B0">
        <w:rPr>
          <w:rFonts w:cs="Times"/>
        </w:rPr>
        <w:t>ErG</w:t>
      </w:r>
      <w:proofErr w:type="spellEnd"/>
      <w:r w:rsidR="008947A3" w:rsidRPr="001134B0">
        <w:rPr>
          <w:rFonts w:cs="Times"/>
        </w:rPr>
        <w:t>/</w:t>
      </w:r>
      <w:r w:rsidR="00B6719D" w:rsidRPr="001134B0">
        <w:rPr>
          <w:rFonts w:cs="Times"/>
        </w:rPr>
        <w:t>Morgan fingerprints</w:t>
      </w:r>
      <w:r w:rsidR="003A250D">
        <w:rPr>
          <w:rFonts w:cs="Times"/>
        </w:rPr>
        <w:t>)</w:t>
      </w:r>
      <w:r w:rsidR="008947A3" w:rsidRPr="001134B0">
        <w:rPr>
          <w:rFonts w:cs="Times"/>
        </w:rPr>
        <w:t xml:space="preserve"> showed </w:t>
      </w:r>
      <w:r w:rsidR="005C6882" w:rsidRPr="001134B0">
        <w:rPr>
          <w:rFonts w:cs="Times"/>
        </w:rPr>
        <w:t xml:space="preserve">the </w:t>
      </w:r>
      <w:r w:rsidR="0098682D">
        <w:rPr>
          <w:rFonts w:cs="Times"/>
        </w:rPr>
        <w:t>better</w:t>
      </w:r>
      <w:r w:rsidR="00352583" w:rsidRPr="001134B0">
        <w:rPr>
          <w:rFonts w:cs="Times"/>
        </w:rPr>
        <w:t xml:space="preserve"> comparative</w:t>
      </w:r>
      <w:r w:rsidR="008947A3" w:rsidRPr="001134B0">
        <w:rPr>
          <w:rFonts w:cs="Times"/>
        </w:rPr>
        <w:t xml:space="preserve"> performance </w:t>
      </w:r>
      <w:r w:rsidR="00C56CC7">
        <w:rPr>
          <w:rFonts w:cs="Times"/>
        </w:rPr>
        <w:t xml:space="preserve">over chemical fingerprints </w:t>
      </w:r>
      <w:r w:rsidR="008947A3" w:rsidRPr="001134B0">
        <w:rPr>
          <w:rFonts w:cs="Times"/>
        </w:rPr>
        <w:t xml:space="preserve">when </w:t>
      </w:r>
      <w:r w:rsidR="001B04BE">
        <w:rPr>
          <w:rFonts w:cs="Times"/>
        </w:rPr>
        <w:t xml:space="preserve">the </w:t>
      </w:r>
      <w:r w:rsidR="007817B7" w:rsidRPr="007817B7">
        <w:rPr>
          <w:rFonts w:cs="Times"/>
        </w:rPr>
        <w:t xml:space="preserve">leave-one-cluster-out </w:t>
      </w:r>
      <w:r w:rsidR="008947A3" w:rsidRPr="001134B0">
        <w:rPr>
          <w:rFonts w:cs="Times"/>
        </w:rPr>
        <w:t xml:space="preserve">based method was </w:t>
      </w:r>
      <w:r w:rsidR="001B04BE">
        <w:rPr>
          <w:rFonts w:cs="Times"/>
        </w:rPr>
        <w:t>used</w:t>
      </w:r>
      <w:r w:rsidR="008947A3" w:rsidRPr="001134B0">
        <w:rPr>
          <w:rFonts w:cs="Times"/>
        </w:rPr>
        <w:t xml:space="preserve">. It can be observed that while </w:t>
      </w:r>
      <w:proofErr w:type="spellStart"/>
      <w:r w:rsidR="008947A3" w:rsidRPr="001134B0">
        <w:rPr>
          <w:rFonts w:cs="Times"/>
        </w:rPr>
        <w:t>ErG</w:t>
      </w:r>
      <w:proofErr w:type="spellEnd"/>
      <w:r w:rsidR="00352583" w:rsidRPr="001134B0">
        <w:rPr>
          <w:rFonts w:cs="Times"/>
        </w:rPr>
        <w:t xml:space="preserve"> and </w:t>
      </w:r>
      <w:r w:rsidR="00B6719D" w:rsidRPr="001134B0">
        <w:rPr>
          <w:rFonts w:cs="Times"/>
        </w:rPr>
        <w:t>Morgan fingerprints</w:t>
      </w:r>
      <w:r w:rsidR="008947A3" w:rsidRPr="001134B0">
        <w:rPr>
          <w:rFonts w:cs="Times"/>
        </w:rPr>
        <w:t xml:space="preserve"> </w:t>
      </w:r>
      <w:r w:rsidR="001B04BE">
        <w:rPr>
          <w:rFonts w:cs="Times"/>
        </w:rPr>
        <w:t xml:space="preserve">mostly </w:t>
      </w:r>
      <w:r w:rsidR="008947A3" w:rsidRPr="001134B0">
        <w:rPr>
          <w:rFonts w:cs="Times"/>
        </w:rPr>
        <w:t>failed</w:t>
      </w:r>
      <w:r w:rsidR="006725BF" w:rsidRPr="001134B0">
        <w:rPr>
          <w:rFonts w:cs="Times"/>
        </w:rPr>
        <w:t xml:space="preserve"> </w:t>
      </w:r>
      <w:r w:rsidR="001B04BE">
        <w:rPr>
          <w:rFonts w:cs="Times"/>
        </w:rPr>
        <w:t>to give rise to meaningful models (</w:t>
      </w:r>
      <w:r w:rsidR="006725BF" w:rsidRPr="001134B0">
        <w:rPr>
          <w:rFonts w:cs="Times"/>
        </w:rPr>
        <w:t xml:space="preserve">with </w:t>
      </w:r>
      <w:r w:rsidR="003A250D">
        <w:rPr>
          <w:rFonts w:cs="Times"/>
        </w:rPr>
        <w:t>predict</w:t>
      </w:r>
      <w:r w:rsidR="00C019BC">
        <w:rPr>
          <w:rFonts w:cs="Times"/>
        </w:rPr>
        <w:t>i</w:t>
      </w:r>
      <w:r w:rsidR="003A250D">
        <w:rPr>
          <w:rFonts w:cs="Times"/>
        </w:rPr>
        <w:t>on</w:t>
      </w:r>
      <w:r w:rsidR="006725BF" w:rsidRPr="001134B0">
        <w:rPr>
          <w:rFonts w:cs="Times"/>
        </w:rPr>
        <w:t xml:space="preserve"> </w:t>
      </w:r>
      <w:proofErr w:type="gramStart"/>
      <w:r w:rsidR="006725BF" w:rsidRPr="001134B0">
        <w:rPr>
          <w:rFonts w:cs="Times"/>
        </w:rPr>
        <w:t>similar to</w:t>
      </w:r>
      <w:proofErr w:type="gramEnd"/>
      <w:r w:rsidR="006725BF" w:rsidRPr="001134B0">
        <w:rPr>
          <w:rFonts w:cs="Times"/>
        </w:rPr>
        <w:t xml:space="preserve"> random predictions</w:t>
      </w:r>
      <w:r w:rsidR="001B04BE">
        <w:rPr>
          <w:rFonts w:cs="Times"/>
        </w:rPr>
        <w:t>)</w:t>
      </w:r>
      <w:r w:rsidR="008947A3" w:rsidRPr="001134B0">
        <w:rPr>
          <w:rFonts w:cs="Times"/>
        </w:rPr>
        <w:t xml:space="preserve">, the combination </w:t>
      </w:r>
      <w:r w:rsidR="00570AEB">
        <w:rPr>
          <w:rFonts w:cs="Times"/>
        </w:rPr>
        <w:t>descriptors</w:t>
      </w:r>
      <w:r w:rsidR="005C6882" w:rsidRPr="001134B0">
        <w:rPr>
          <w:rFonts w:cs="Times"/>
        </w:rPr>
        <w:t xml:space="preserve">, as well as Cell Painting </w:t>
      </w:r>
      <w:r w:rsidR="0098682D">
        <w:rPr>
          <w:rFonts w:cs="Times"/>
        </w:rPr>
        <w:t>descriptors</w:t>
      </w:r>
      <w:r w:rsidR="005C6882" w:rsidRPr="001134B0">
        <w:rPr>
          <w:rFonts w:cs="Times"/>
        </w:rPr>
        <w:t xml:space="preserve"> by themselves,</w:t>
      </w:r>
      <w:r w:rsidR="00352583" w:rsidRPr="001134B0">
        <w:rPr>
          <w:rFonts w:cs="Times"/>
        </w:rPr>
        <w:t xml:space="preserve"> were </w:t>
      </w:r>
      <w:r w:rsidR="00FB5C6C" w:rsidRPr="001134B0">
        <w:rPr>
          <w:rFonts w:cs="Times"/>
        </w:rPr>
        <w:t xml:space="preserve">better </w:t>
      </w:r>
      <w:r w:rsidR="00352583" w:rsidRPr="001134B0">
        <w:rPr>
          <w:rFonts w:cs="Times"/>
        </w:rPr>
        <w:t>able to model</w:t>
      </w:r>
      <w:r w:rsidR="008947A3" w:rsidRPr="001134B0">
        <w:rPr>
          <w:rFonts w:cs="Times"/>
        </w:rPr>
        <w:t xml:space="preserve"> these endpoints. </w:t>
      </w:r>
      <w:r w:rsidR="00A9143E" w:rsidRPr="001134B0">
        <w:rPr>
          <w:rFonts w:cs="Times"/>
        </w:rPr>
        <w:t>It can be inferred from the above discussions that Cell Painting</w:t>
      </w:r>
      <w:r w:rsidR="00D06D60">
        <w:rPr>
          <w:rFonts w:cs="Times"/>
        </w:rPr>
        <w:t xml:space="preserve"> descriptors</w:t>
      </w:r>
      <w:r w:rsidR="00D06D60" w:rsidRPr="00D06D60">
        <w:rPr>
          <w:rFonts w:cs="Times"/>
        </w:rPr>
        <w:t xml:space="preserve"> have smaller feature space, which generalizes better for </w:t>
      </w:r>
      <w:r w:rsidR="00A9143E" w:rsidRPr="001134B0">
        <w:rPr>
          <w:rFonts w:cs="Times"/>
        </w:rPr>
        <w:t xml:space="preserve">cytotoxicity- and proliferation-related </w:t>
      </w:r>
      <w:r w:rsidR="00A9143E" w:rsidRPr="001134B0">
        <w:rPr>
          <w:rFonts w:cs="Times"/>
          <w:i/>
          <w:iCs/>
        </w:rPr>
        <w:t>in vitro</w:t>
      </w:r>
      <w:r w:rsidR="00A9143E" w:rsidRPr="001134B0">
        <w:rPr>
          <w:rFonts w:cs="Times"/>
        </w:rPr>
        <w:t xml:space="preserve"> assays endpoints </w:t>
      </w:r>
      <w:r w:rsidR="00EA2099">
        <w:rPr>
          <w:rFonts w:cs="Times"/>
        </w:rPr>
        <w:t>(</w:t>
      </w:r>
      <w:r w:rsidR="00A9143E" w:rsidRPr="001134B0">
        <w:rPr>
          <w:rFonts w:cs="Times"/>
        </w:rPr>
        <w:t>also in a cluster-based split scenario, which requires the extrapolation to novel chemical space</w:t>
      </w:r>
      <w:r w:rsidR="00EA2099">
        <w:rPr>
          <w:rFonts w:cs="Times"/>
        </w:rPr>
        <w:t>)</w:t>
      </w:r>
      <w:r w:rsidR="00A9143E" w:rsidRPr="001134B0">
        <w:rPr>
          <w:rFonts w:cs="Times"/>
        </w:rPr>
        <w:t>.</w:t>
      </w:r>
    </w:p>
    <w:p w14:paraId="0350F761" w14:textId="11B10174" w:rsidR="008F7DC6" w:rsidRPr="00F86666" w:rsidRDefault="008F7DC6" w:rsidP="008F7DC6">
      <w:pPr>
        <w:pStyle w:val="TAMainText"/>
        <w:rPr>
          <w:rFonts w:cs="Times"/>
          <w:b/>
          <w:bCs/>
        </w:rPr>
      </w:pPr>
      <w:r w:rsidRPr="00F86666">
        <w:rPr>
          <w:rFonts w:cs="Times"/>
          <w:b/>
          <w:bCs/>
        </w:rPr>
        <w:t>Comparison with previous work</w:t>
      </w:r>
    </w:p>
    <w:p w14:paraId="065777D7" w14:textId="05E8C139" w:rsidR="00596123" w:rsidRDefault="00FE06F0" w:rsidP="00596123">
      <w:pPr>
        <w:pStyle w:val="TAMainText"/>
        <w:rPr>
          <w:rFonts w:cs="Times"/>
        </w:rPr>
      </w:pPr>
      <w:r>
        <w:rPr>
          <w:rFonts w:cs="Times"/>
        </w:rPr>
        <w:t xml:space="preserve">Machine learning using </w:t>
      </w:r>
      <w:r w:rsidR="00A9143E">
        <w:rPr>
          <w:rFonts w:cs="Times"/>
        </w:rPr>
        <w:t>molecular</w:t>
      </w:r>
      <w:r>
        <w:rPr>
          <w:rFonts w:cs="Times"/>
        </w:rPr>
        <w:t xml:space="preserve"> fingerprints </w:t>
      </w:r>
      <w:r w:rsidRPr="00FE06F0">
        <w:rPr>
          <w:rFonts w:cs="Times"/>
        </w:rPr>
        <w:t>ha</w:t>
      </w:r>
      <w:r>
        <w:rPr>
          <w:rFonts w:cs="Times"/>
        </w:rPr>
        <w:t>s</w:t>
      </w:r>
      <w:r w:rsidRPr="00FE06F0">
        <w:rPr>
          <w:rFonts w:cs="Times"/>
        </w:rPr>
        <w:t xml:space="preserve"> been previously </w:t>
      </w:r>
      <w:r w:rsidR="00A9143E">
        <w:rPr>
          <w:rFonts w:cs="Times"/>
        </w:rPr>
        <w:t xml:space="preserve">used </w:t>
      </w:r>
      <w:r w:rsidRPr="00FE06F0">
        <w:rPr>
          <w:rFonts w:cs="Times"/>
        </w:rPr>
        <w:t xml:space="preserve">in predicting </w:t>
      </w:r>
      <w:r w:rsidR="00CE2A2D">
        <w:rPr>
          <w:rFonts w:cs="Times"/>
        </w:rPr>
        <w:t>cyto</w:t>
      </w:r>
      <w:r w:rsidRPr="00FE06F0">
        <w:rPr>
          <w:rFonts w:cs="Times"/>
        </w:rPr>
        <w:t>toxicity</w:t>
      </w:r>
      <w:r w:rsidR="00CE2A2D">
        <w:rPr>
          <w:rFonts w:cs="Times"/>
        </w:rPr>
        <w:t xml:space="preserve"> from</w:t>
      </w:r>
      <w:r w:rsidRPr="00FE06F0">
        <w:rPr>
          <w:rFonts w:cs="Times"/>
        </w:rPr>
        <w:t xml:space="preserve"> </w:t>
      </w:r>
      <w:r w:rsidR="00CE2A2D" w:rsidRPr="00CE2A2D">
        <w:rPr>
          <w:rFonts w:cs="Times"/>
        </w:rPr>
        <w:t>high-dimensional readouts</w:t>
      </w:r>
      <w:r w:rsidRPr="00FE06F0">
        <w:rPr>
          <w:rFonts w:cs="Times"/>
        </w:rPr>
        <w:t>, albeit on different datasets, which makes direct performance comparison difficult</w:t>
      </w:r>
      <w:r w:rsidR="00976543" w:rsidRPr="001134B0">
        <w:rPr>
          <w:rFonts w:cs="Times"/>
        </w:rPr>
        <w:t>.</w:t>
      </w:r>
      <w:r w:rsidR="005C486A" w:rsidRPr="001134B0">
        <w:rPr>
          <w:rFonts w:cs="Times"/>
        </w:rPr>
        <w:t xml:space="preserve"> </w:t>
      </w:r>
      <w:proofErr w:type="spellStart"/>
      <w:r w:rsidR="009579D2" w:rsidRPr="001134B0">
        <w:rPr>
          <w:rFonts w:cs="Times"/>
        </w:rPr>
        <w:t>Schrey</w:t>
      </w:r>
      <w:proofErr w:type="spellEnd"/>
      <w:r w:rsidR="009579D2" w:rsidRPr="001134B0">
        <w:rPr>
          <w:rFonts w:cs="Times"/>
        </w:rPr>
        <w:t xml:space="preserve"> et al. used a Naïve‐Bayes algorithm and 10‐fold cross-validation using </w:t>
      </w:r>
      <w:r w:rsidR="009579D2">
        <w:rPr>
          <w:rFonts w:cs="Times"/>
        </w:rPr>
        <w:t>s</w:t>
      </w:r>
      <w:r w:rsidR="009579D2" w:rsidRPr="00462B85">
        <w:rPr>
          <w:rFonts w:cs="Times"/>
        </w:rPr>
        <w:t xml:space="preserve">everal in-house and literature-derived </w:t>
      </w:r>
      <w:r w:rsidR="009579D2" w:rsidRPr="001134B0">
        <w:rPr>
          <w:rFonts w:cs="Times"/>
        </w:rPr>
        <w:t xml:space="preserve">cytotoxicity </w:t>
      </w:r>
      <w:r w:rsidR="009579D2">
        <w:rPr>
          <w:rFonts w:cs="Times"/>
        </w:rPr>
        <w:t>datasets</w:t>
      </w:r>
      <w:r w:rsidR="009579D2" w:rsidRPr="001134B0">
        <w:rPr>
          <w:rFonts w:cs="Times"/>
        </w:rPr>
        <w:t xml:space="preserve"> on different types of immune cells in an attempt to predict immune cell cytotoxicity.</w:t>
      </w:r>
      <w:r w:rsidR="009579D2" w:rsidRPr="001134B0">
        <w:rPr>
          <w:rStyle w:val="EndnoteReference"/>
          <w:rFonts w:cs="Times"/>
        </w:rPr>
        <w:endnoteReference w:id="62"/>
      </w:r>
      <w:r w:rsidR="009579D2" w:rsidRPr="001134B0">
        <w:rPr>
          <w:rFonts w:cs="Times"/>
        </w:rPr>
        <w:t xml:space="preserve"> Their models </w:t>
      </w:r>
      <w:r w:rsidR="009579D2">
        <w:rPr>
          <w:rFonts w:cs="Times"/>
        </w:rPr>
        <w:t xml:space="preserve">achieved an AUC-ROC of </w:t>
      </w:r>
      <w:r w:rsidR="009579D2" w:rsidRPr="001134B0">
        <w:rPr>
          <w:rFonts w:cs="Times"/>
        </w:rPr>
        <w:t>0.7</w:t>
      </w:r>
      <w:r w:rsidR="009579D2">
        <w:rPr>
          <w:rFonts w:cs="Times"/>
        </w:rPr>
        <w:t xml:space="preserve">5 or higher for both cross validation and </w:t>
      </w:r>
      <w:r w:rsidR="004B6671" w:rsidRPr="004B6671">
        <w:rPr>
          <w:rFonts w:cs="Times"/>
        </w:rPr>
        <w:t xml:space="preserve">held-out </w:t>
      </w:r>
      <w:r w:rsidR="009579D2">
        <w:rPr>
          <w:rFonts w:cs="Times"/>
        </w:rPr>
        <w:t>datasets</w:t>
      </w:r>
      <w:r w:rsidR="009579D2" w:rsidRPr="001134B0">
        <w:rPr>
          <w:rFonts w:cs="Times"/>
        </w:rPr>
        <w:t xml:space="preserve">. </w:t>
      </w:r>
      <w:r w:rsidR="005C486A" w:rsidRPr="001134B0">
        <w:rPr>
          <w:rFonts w:cs="Times"/>
        </w:rPr>
        <w:t>Yin et al. us</w:t>
      </w:r>
      <w:r w:rsidR="006B4A64">
        <w:rPr>
          <w:rFonts w:cs="Times"/>
        </w:rPr>
        <w:t>ed</w:t>
      </w:r>
      <w:r w:rsidR="005C486A" w:rsidRPr="001134B0">
        <w:rPr>
          <w:rFonts w:cs="Times"/>
        </w:rPr>
        <w:t xml:space="preserve"> Random Forest ensembles on MACCS fingerprint </w:t>
      </w:r>
      <w:r w:rsidR="00CE2A2D">
        <w:rPr>
          <w:rFonts w:cs="Times"/>
        </w:rPr>
        <w:t xml:space="preserve">and </w:t>
      </w:r>
      <w:r w:rsidR="005C486A" w:rsidRPr="001134B0">
        <w:rPr>
          <w:rFonts w:cs="Times"/>
        </w:rPr>
        <w:t>achieved an AUC</w:t>
      </w:r>
      <w:r w:rsidR="00DF4CBB">
        <w:rPr>
          <w:rFonts w:cs="Times"/>
        </w:rPr>
        <w:t>-ROC</w:t>
      </w:r>
      <w:r w:rsidR="005C486A" w:rsidRPr="001134B0">
        <w:rPr>
          <w:rFonts w:cs="Times"/>
        </w:rPr>
        <w:t xml:space="preserve"> of 0.85 </w:t>
      </w:r>
      <w:r w:rsidR="006B4A64">
        <w:rPr>
          <w:rFonts w:cs="Times"/>
        </w:rPr>
        <w:t>for</w:t>
      </w:r>
      <w:r w:rsidR="005C486A" w:rsidRPr="001134B0">
        <w:rPr>
          <w:rFonts w:cs="Times"/>
        </w:rPr>
        <w:t xml:space="preserve"> 5-fold cross-validation</w:t>
      </w:r>
      <w:r w:rsidR="00976543" w:rsidRPr="001134B0">
        <w:rPr>
          <w:rFonts w:cs="Times"/>
        </w:rPr>
        <w:t xml:space="preserve"> </w:t>
      </w:r>
      <w:r w:rsidR="009F73D6">
        <w:rPr>
          <w:rFonts w:cs="Times"/>
        </w:rPr>
        <w:t>of</w:t>
      </w:r>
      <w:r w:rsidR="00976543" w:rsidRPr="001134B0">
        <w:rPr>
          <w:rFonts w:cs="Times"/>
        </w:rPr>
        <w:t xml:space="preserve"> Pu</w:t>
      </w:r>
      <w:r w:rsidR="00A52800">
        <w:rPr>
          <w:rFonts w:cs="Times"/>
        </w:rPr>
        <w:t>b</w:t>
      </w:r>
      <w:r w:rsidR="00976543" w:rsidRPr="001134B0">
        <w:rPr>
          <w:rFonts w:cs="Times"/>
        </w:rPr>
        <w:t xml:space="preserve">Chem </w:t>
      </w:r>
      <w:proofErr w:type="spellStart"/>
      <w:r w:rsidR="00976543" w:rsidRPr="001134B0">
        <w:rPr>
          <w:rFonts w:cs="Times"/>
        </w:rPr>
        <w:t>BioAssays</w:t>
      </w:r>
      <w:proofErr w:type="spellEnd"/>
      <w:r w:rsidR="00FF0AAA">
        <w:rPr>
          <w:rFonts w:cs="Times"/>
        </w:rPr>
        <w:t xml:space="preserve"> </w:t>
      </w:r>
      <w:r w:rsidR="00FF0AAA" w:rsidRPr="00FF0AAA">
        <w:rPr>
          <w:rFonts w:cs="Times"/>
        </w:rPr>
        <w:t>AID364</w:t>
      </w:r>
      <w:r w:rsidR="00FF0AAA">
        <w:rPr>
          <w:rFonts w:cs="Times"/>
        </w:rPr>
        <w:t xml:space="preserve"> dataset</w:t>
      </w:r>
      <w:r w:rsidR="005C486A" w:rsidRPr="001134B0">
        <w:rPr>
          <w:rFonts w:cs="Times"/>
        </w:rPr>
        <w:t>.</w:t>
      </w:r>
      <w:r w:rsidR="005C486A" w:rsidRPr="001134B0">
        <w:rPr>
          <w:rFonts w:cs="Times"/>
          <w:color w:val="000000"/>
          <w:vertAlign w:val="superscript"/>
        </w:rPr>
        <w:fldChar w:fldCharType="begin"/>
      </w:r>
      <w:r w:rsidR="005C486A" w:rsidRPr="001134B0">
        <w:rPr>
          <w:rFonts w:cs="Times"/>
          <w:vertAlign w:val="superscript"/>
        </w:rPr>
        <w:instrText xml:space="preserve"> NOTEREF _Ref46684867 \h </w:instrText>
      </w:r>
      <w:r w:rsidR="005C486A" w:rsidRPr="001134B0">
        <w:rPr>
          <w:rFonts w:cs="Times"/>
          <w:color w:val="000000"/>
          <w:vertAlign w:val="superscript"/>
        </w:rPr>
        <w:instrText xml:space="preserve"> \* MERGEFORMAT </w:instrText>
      </w:r>
      <w:r w:rsidR="005C486A" w:rsidRPr="001134B0">
        <w:rPr>
          <w:rFonts w:cs="Times"/>
          <w:color w:val="000000"/>
          <w:vertAlign w:val="superscript"/>
        </w:rPr>
      </w:r>
      <w:r w:rsidR="005C486A" w:rsidRPr="001134B0">
        <w:rPr>
          <w:rFonts w:cs="Times"/>
          <w:color w:val="000000"/>
          <w:vertAlign w:val="superscript"/>
        </w:rPr>
        <w:fldChar w:fldCharType="separate"/>
      </w:r>
      <w:r w:rsidR="00354BD4">
        <w:rPr>
          <w:rFonts w:cs="Times"/>
          <w:vertAlign w:val="superscript"/>
        </w:rPr>
        <w:t>20</w:t>
      </w:r>
      <w:r w:rsidR="005C486A" w:rsidRPr="001134B0">
        <w:rPr>
          <w:rFonts w:cs="Times"/>
          <w:color w:val="000000"/>
          <w:vertAlign w:val="superscript"/>
        </w:rPr>
        <w:fldChar w:fldCharType="end"/>
      </w:r>
      <w:r w:rsidR="005C486A" w:rsidRPr="001134B0">
        <w:rPr>
          <w:rFonts w:cs="Times"/>
        </w:rPr>
        <w:t xml:space="preserve"> </w:t>
      </w:r>
      <w:r w:rsidR="00142F0C" w:rsidRPr="001134B0">
        <w:rPr>
          <w:rFonts w:cs="Times"/>
        </w:rPr>
        <w:t>In comparison, our models</w:t>
      </w:r>
      <w:r w:rsidR="00A45925" w:rsidRPr="001134B0">
        <w:rPr>
          <w:rFonts w:cs="Times"/>
        </w:rPr>
        <w:t xml:space="preserve"> </w:t>
      </w:r>
      <w:r w:rsidR="003B4B3A" w:rsidRPr="001134B0">
        <w:rPr>
          <w:rFonts w:cs="Times"/>
        </w:rPr>
        <w:t xml:space="preserve">using Cell Painting and </w:t>
      </w:r>
      <w:proofErr w:type="spellStart"/>
      <w:r w:rsidR="003B4B3A" w:rsidRPr="001134B0">
        <w:rPr>
          <w:rFonts w:cs="Times"/>
        </w:rPr>
        <w:t>ErG</w:t>
      </w:r>
      <w:proofErr w:type="spellEnd"/>
      <w:r w:rsidR="003B4B3A" w:rsidRPr="001134B0">
        <w:rPr>
          <w:rFonts w:cs="Times"/>
        </w:rPr>
        <w:t xml:space="preserve">/Morgan </w:t>
      </w:r>
      <w:r w:rsidR="003B4B3A">
        <w:rPr>
          <w:rFonts w:cs="Times"/>
        </w:rPr>
        <w:t>combination descriptors</w:t>
      </w:r>
      <w:r w:rsidR="003B4B3A" w:rsidRPr="001134B0">
        <w:rPr>
          <w:rFonts w:cs="Times"/>
        </w:rPr>
        <w:t xml:space="preserve"> </w:t>
      </w:r>
      <w:r w:rsidR="00984696" w:rsidRPr="001134B0">
        <w:rPr>
          <w:rFonts w:cs="Times"/>
        </w:rPr>
        <w:t xml:space="preserve">achieve </w:t>
      </w:r>
      <w:r w:rsidR="004759FF" w:rsidRPr="001134B0">
        <w:rPr>
          <w:rFonts w:cs="Times"/>
        </w:rPr>
        <w:t>AUC-ROC up</w:t>
      </w:r>
      <w:r w:rsidR="00633355">
        <w:rPr>
          <w:rFonts w:cs="Times"/>
        </w:rPr>
        <w:t xml:space="preserve"> </w:t>
      </w:r>
      <w:r w:rsidR="004759FF" w:rsidRPr="001134B0">
        <w:rPr>
          <w:rFonts w:cs="Times"/>
        </w:rPr>
        <w:t xml:space="preserve">to 0.74 (on average over all </w:t>
      </w:r>
      <w:r w:rsidR="004B372A">
        <w:rPr>
          <w:rFonts w:cs="Times"/>
        </w:rPr>
        <w:t xml:space="preserve">12 </w:t>
      </w:r>
      <w:r w:rsidR="004759FF" w:rsidRPr="001134B0">
        <w:rPr>
          <w:rFonts w:cs="Times"/>
        </w:rPr>
        <w:t xml:space="preserve">assays) when </w:t>
      </w:r>
      <w:r w:rsidR="007060E4">
        <w:rPr>
          <w:rFonts w:cstheme="minorHAnsi"/>
          <w:szCs w:val="24"/>
        </w:rPr>
        <w:t>predicting</w:t>
      </w:r>
      <w:r w:rsidR="007060E4" w:rsidRPr="00BB0D7F">
        <w:rPr>
          <w:rFonts w:cstheme="minorHAnsi"/>
          <w:szCs w:val="24"/>
        </w:rPr>
        <w:t xml:space="preserve"> </w:t>
      </w:r>
      <w:r w:rsidR="007060E4">
        <w:rPr>
          <w:rFonts w:cstheme="minorHAnsi"/>
          <w:szCs w:val="24"/>
        </w:rPr>
        <w:t xml:space="preserve">in </w:t>
      </w:r>
      <w:r w:rsidR="00855CFE" w:rsidRPr="001134B0">
        <w:rPr>
          <w:rFonts w:cs="Times"/>
        </w:rPr>
        <w:t xml:space="preserve">novel </w:t>
      </w:r>
      <w:r w:rsidR="00BF14B5">
        <w:rPr>
          <w:rFonts w:cs="Times"/>
        </w:rPr>
        <w:t>structural</w:t>
      </w:r>
      <w:r w:rsidR="007060E4">
        <w:rPr>
          <w:rFonts w:cs="Times"/>
        </w:rPr>
        <w:t xml:space="preserve"> </w:t>
      </w:r>
      <w:r w:rsidR="004759FF" w:rsidRPr="001134B0">
        <w:rPr>
          <w:rFonts w:cs="Times"/>
        </w:rPr>
        <w:t>space using nested cross validation and cluster splits.</w:t>
      </w:r>
      <w:r w:rsidR="00142F0C" w:rsidRPr="001134B0">
        <w:rPr>
          <w:rFonts w:cs="Times"/>
        </w:rPr>
        <w:t xml:space="preserve"> </w:t>
      </w:r>
      <w:r w:rsidR="00DA7959" w:rsidRPr="00DA7959">
        <w:rPr>
          <w:rFonts w:cs="Times"/>
        </w:rPr>
        <w:t xml:space="preserve">One major difference between the studies is however dataset size – the work by Yin et al. </w:t>
      </w:r>
      <w:r w:rsidR="007F4115">
        <w:rPr>
          <w:rFonts w:cs="Times"/>
        </w:rPr>
        <w:t xml:space="preserve">covered a </w:t>
      </w:r>
      <w:r w:rsidR="00222501">
        <w:rPr>
          <w:rFonts w:cs="Times"/>
        </w:rPr>
        <w:t xml:space="preserve">filtered </w:t>
      </w:r>
      <w:r w:rsidR="007F4115">
        <w:rPr>
          <w:rFonts w:cs="Times"/>
        </w:rPr>
        <w:t xml:space="preserve">dataset </w:t>
      </w:r>
      <w:r w:rsidR="00222501">
        <w:rPr>
          <w:rFonts w:cs="Times"/>
        </w:rPr>
        <w:t xml:space="preserve">of </w:t>
      </w:r>
      <w:r w:rsidR="00222501" w:rsidRPr="00222501">
        <w:rPr>
          <w:rFonts w:cs="Times"/>
        </w:rPr>
        <w:t xml:space="preserve">3311 </w:t>
      </w:r>
      <w:r w:rsidR="00DA7959" w:rsidRPr="00DA7959">
        <w:rPr>
          <w:rFonts w:cs="Times"/>
        </w:rPr>
        <w:t>compounds while in our study</w:t>
      </w:r>
      <w:r w:rsidR="00222501">
        <w:rPr>
          <w:rFonts w:cs="Times"/>
        </w:rPr>
        <w:t xml:space="preserve"> </w:t>
      </w:r>
      <w:r w:rsidR="00F83290">
        <w:rPr>
          <w:rFonts w:cs="Times"/>
        </w:rPr>
        <w:t>was conducted on a dataset of 135 compounds,</w:t>
      </w:r>
      <w:r w:rsidR="00627B74">
        <w:rPr>
          <w:rFonts w:cs="Times"/>
        </w:rPr>
        <w:t xml:space="preserve"> and</w:t>
      </w:r>
      <w:r w:rsidR="00DA7959" w:rsidRPr="00DA7959">
        <w:rPr>
          <w:rFonts w:cs="Times"/>
        </w:rPr>
        <w:t xml:space="preserve"> dataset size has a significant impact on model performance.</w:t>
      </w:r>
      <w:r w:rsidR="00DA7959">
        <w:rPr>
          <w:rFonts w:cs="Times"/>
        </w:rPr>
        <w:t xml:space="preserve"> </w:t>
      </w:r>
      <w:r w:rsidR="00C73070" w:rsidRPr="00C73070">
        <w:rPr>
          <w:rFonts w:cs="Times"/>
        </w:rPr>
        <w:t>Chang et a</w:t>
      </w:r>
      <w:r w:rsidR="00642E5D">
        <w:rPr>
          <w:rFonts w:cs="Times"/>
        </w:rPr>
        <w:t>l</w:t>
      </w:r>
      <w:r w:rsidR="00C73070" w:rsidRPr="00C73070">
        <w:rPr>
          <w:rFonts w:cs="Times"/>
        </w:rPr>
        <w:t xml:space="preserve">. used a Support Vector Machine (SVM) model constructed from the full PubChem dataset AID 426 </w:t>
      </w:r>
      <w:r w:rsidR="009F73D6">
        <w:rPr>
          <w:rFonts w:cs="Times"/>
        </w:rPr>
        <w:t>and used</w:t>
      </w:r>
      <w:r w:rsidR="00C73070" w:rsidRPr="00C73070">
        <w:rPr>
          <w:rFonts w:cs="Times"/>
        </w:rPr>
        <w:t xml:space="preserve"> over-sampling with active-to-inactive ratios of 1:1</w:t>
      </w:r>
      <w:r w:rsidR="00563627">
        <w:rPr>
          <w:rFonts w:cs="Times"/>
        </w:rPr>
        <w:t xml:space="preserve"> and 2:3</w:t>
      </w:r>
      <w:r w:rsidR="00C73070" w:rsidRPr="00C73070">
        <w:rPr>
          <w:rFonts w:cs="Times"/>
        </w:rPr>
        <w:t xml:space="preserve"> for </w:t>
      </w:r>
      <w:r w:rsidR="009F73D6">
        <w:rPr>
          <w:rFonts w:cs="Times"/>
        </w:rPr>
        <w:t>the prediction of</w:t>
      </w:r>
      <w:r w:rsidR="00C73070" w:rsidRPr="00C73070">
        <w:rPr>
          <w:rFonts w:cs="Times"/>
        </w:rPr>
        <w:t xml:space="preserve"> toxicity of combined PubChem </w:t>
      </w:r>
      <w:r w:rsidR="00C73070" w:rsidRPr="00C73070">
        <w:rPr>
          <w:rFonts w:cs="Times"/>
        </w:rPr>
        <w:lastRenderedPageBreak/>
        <w:t xml:space="preserve">datasets of AID364 and AID463 and achieved </w:t>
      </w:r>
      <w:r w:rsidR="00563627">
        <w:rPr>
          <w:rFonts w:cs="Times"/>
        </w:rPr>
        <w:t xml:space="preserve">balanced </w:t>
      </w:r>
      <w:r w:rsidR="00C73070" w:rsidRPr="00C73070">
        <w:rPr>
          <w:rFonts w:cs="Times"/>
        </w:rPr>
        <w:t>accuracy of 0.</w:t>
      </w:r>
      <w:r w:rsidR="0083533C">
        <w:rPr>
          <w:rFonts w:cs="Times"/>
        </w:rPr>
        <w:t>53</w:t>
      </w:r>
      <w:r w:rsidR="00C73070" w:rsidRPr="00C73070">
        <w:rPr>
          <w:rFonts w:cs="Times"/>
        </w:rPr>
        <w:t xml:space="preserve"> </w:t>
      </w:r>
      <w:r w:rsidR="00563627">
        <w:rPr>
          <w:rFonts w:cs="Times"/>
        </w:rPr>
        <w:t>in both cases</w:t>
      </w:r>
      <w:r w:rsidR="005C486A" w:rsidRPr="001134B0">
        <w:rPr>
          <w:rFonts w:cs="Times"/>
        </w:rPr>
        <w:t>.</w:t>
      </w:r>
      <w:r w:rsidR="005C486A" w:rsidRPr="001134B0">
        <w:rPr>
          <w:rStyle w:val="EndnoteReference"/>
          <w:rFonts w:cs="Times"/>
        </w:rPr>
        <w:endnoteReference w:id="63"/>
      </w:r>
      <w:r w:rsidR="005C486A" w:rsidRPr="001134B0">
        <w:rPr>
          <w:rFonts w:cs="Times"/>
        </w:rPr>
        <w:t xml:space="preserve"> </w:t>
      </w:r>
      <w:r w:rsidR="00A3491C" w:rsidRPr="001134B0">
        <w:rPr>
          <w:rFonts w:cs="Times"/>
        </w:rPr>
        <w:t xml:space="preserve">In comparison, for our proof-of-concept study, </w:t>
      </w:r>
      <w:r w:rsidR="00716697" w:rsidRPr="001134B0">
        <w:rPr>
          <w:rFonts w:cs="Times"/>
        </w:rPr>
        <w:t>Cell Pain</w:t>
      </w:r>
      <w:r w:rsidR="004F51E6">
        <w:rPr>
          <w:rFonts w:cs="Times"/>
        </w:rPr>
        <w:t>t</w:t>
      </w:r>
      <w:r w:rsidR="00716697" w:rsidRPr="001134B0">
        <w:rPr>
          <w:rFonts w:cs="Times"/>
        </w:rPr>
        <w:t xml:space="preserve">ing and </w:t>
      </w:r>
      <w:proofErr w:type="spellStart"/>
      <w:r w:rsidR="00716697" w:rsidRPr="001134B0">
        <w:rPr>
          <w:rFonts w:cs="Times"/>
        </w:rPr>
        <w:t>ErG</w:t>
      </w:r>
      <w:proofErr w:type="spellEnd"/>
      <w:r w:rsidR="00716697" w:rsidRPr="001134B0">
        <w:rPr>
          <w:rFonts w:cs="Times"/>
        </w:rPr>
        <w:t xml:space="preserve"> </w:t>
      </w:r>
      <w:r w:rsidR="00BD194D" w:rsidRPr="001134B0">
        <w:rPr>
          <w:rFonts w:cs="Times"/>
        </w:rPr>
        <w:t xml:space="preserve">fingerprint </w:t>
      </w:r>
      <w:r w:rsidR="00716697" w:rsidRPr="001134B0">
        <w:rPr>
          <w:rFonts w:cs="Times"/>
        </w:rPr>
        <w:t>combination</w:t>
      </w:r>
      <w:r w:rsidR="003B4B3A">
        <w:rPr>
          <w:rFonts w:cs="Times"/>
        </w:rPr>
        <w:t xml:space="preserve"> </w:t>
      </w:r>
      <w:r w:rsidR="00BD194D" w:rsidRPr="001134B0">
        <w:rPr>
          <w:rFonts w:cs="Times"/>
        </w:rPr>
        <w:t xml:space="preserve">models </w:t>
      </w:r>
      <w:r w:rsidR="00EF7416">
        <w:rPr>
          <w:rFonts w:cs="Times"/>
        </w:rPr>
        <w:t xml:space="preserve">using cluster-based splits </w:t>
      </w:r>
      <w:r w:rsidR="00BD194D" w:rsidRPr="001134B0">
        <w:rPr>
          <w:rFonts w:cs="Times"/>
        </w:rPr>
        <w:t>achi</w:t>
      </w:r>
      <w:r w:rsidR="00D17FB6" w:rsidRPr="001134B0">
        <w:rPr>
          <w:rFonts w:cs="Times"/>
        </w:rPr>
        <w:t>ev</w:t>
      </w:r>
      <w:r w:rsidR="00BD194D" w:rsidRPr="001134B0">
        <w:rPr>
          <w:rFonts w:cs="Times"/>
        </w:rPr>
        <w:t>e</w:t>
      </w:r>
      <w:r w:rsidR="00EF7416">
        <w:rPr>
          <w:rFonts w:cs="Times"/>
        </w:rPr>
        <w:t xml:space="preserve"> a</w:t>
      </w:r>
      <w:r w:rsidR="00BD194D" w:rsidRPr="001134B0">
        <w:rPr>
          <w:rFonts w:cs="Times"/>
        </w:rPr>
        <w:t xml:space="preserve"> </w:t>
      </w:r>
      <w:r w:rsidR="002D1FBC">
        <w:rPr>
          <w:rFonts w:cs="Times"/>
        </w:rPr>
        <w:t>balanced accuracy</w:t>
      </w:r>
      <w:r w:rsidR="00BD194D" w:rsidRPr="001134B0">
        <w:rPr>
          <w:rFonts w:cs="Times"/>
        </w:rPr>
        <w:t xml:space="preserve"> </w:t>
      </w:r>
      <w:r w:rsidR="003B4B3A">
        <w:rPr>
          <w:rFonts w:cs="Times"/>
        </w:rPr>
        <w:t xml:space="preserve">of </w:t>
      </w:r>
      <w:r w:rsidR="00716697" w:rsidRPr="001134B0">
        <w:rPr>
          <w:rFonts w:cs="Times"/>
        </w:rPr>
        <w:t>0.</w:t>
      </w:r>
      <w:r w:rsidR="002D1FBC">
        <w:rPr>
          <w:rFonts w:cs="Times"/>
        </w:rPr>
        <w:t>65</w:t>
      </w:r>
      <w:r w:rsidR="00D74C30" w:rsidRPr="001134B0">
        <w:rPr>
          <w:rFonts w:cs="Times"/>
        </w:rPr>
        <w:t xml:space="preserve"> </w:t>
      </w:r>
      <w:r w:rsidR="006E7C2E" w:rsidRPr="001134B0">
        <w:rPr>
          <w:rFonts w:cs="Times"/>
        </w:rPr>
        <w:t xml:space="preserve">on average over all </w:t>
      </w:r>
      <w:r w:rsidR="004B372A">
        <w:rPr>
          <w:rFonts w:cs="Times"/>
        </w:rPr>
        <w:t xml:space="preserve">12 </w:t>
      </w:r>
      <w:r w:rsidR="006E7C2E" w:rsidRPr="001134B0">
        <w:rPr>
          <w:rFonts w:cs="Times"/>
        </w:rPr>
        <w:t>assays</w:t>
      </w:r>
      <w:r w:rsidR="003B4B3A">
        <w:rPr>
          <w:rFonts w:cs="Times"/>
        </w:rPr>
        <w:t xml:space="preserve">. </w:t>
      </w:r>
      <w:r w:rsidR="00DA4E74">
        <w:rPr>
          <w:rFonts w:cs="Times"/>
        </w:rPr>
        <w:t>O</w:t>
      </w:r>
      <w:r w:rsidR="00DA4E74" w:rsidRPr="001134B0">
        <w:rPr>
          <w:rFonts w:cs="Times"/>
        </w:rPr>
        <w:t xml:space="preserve">n the practical side, </w:t>
      </w:r>
      <w:r w:rsidR="00DA4E74">
        <w:rPr>
          <w:rFonts w:cs="Times"/>
        </w:rPr>
        <w:t xml:space="preserve">this </w:t>
      </w:r>
      <w:r w:rsidR="00DA4E74" w:rsidRPr="001134B0">
        <w:rPr>
          <w:rFonts w:cs="Times"/>
        </w:rPr>
        <w:t>show</w:t>
      </w:r>
      <w:r w:rsidR="00DA4E74">
        <w:rPr>
          <w:rFonts w:cs="Times"/>
        </w:rPr>
        <w:t>s</w:t>
      </w:r>
      <w:r w:rsidR="00DA4E74" w:rsidRPr="001134B0">
        <w:rPr>
          <w:rFonts w:cs="Times"/>
        </w:rPr>
        <w:t xml:space="preserve"> that cell morphological readouts can </w:t>
      </w:r>
      <w:r w:rsidR="00DA4E74">
        <w:rPr>
          <w:rFonts w:cs="Times"/>
        </w:rPr>
        <w:t xml:space="preserve">be used as features to </w:t>
      </w:r>
      <w:r w:rsidR="00DA4E74" w:rsidRPr="001134B0">
        <w:rPr>
          <w:rFonts w:cs="Times"/>
        </w:rPr>
        <w:t>cytotoxicity models</w:t>
      </w:r>
      <w:r w:rsidR="00DA4E74">
        <w:rPr>
          <w:rFonts w:cs="Times"/>
        </w:rPr>
        <w:t>, particularly</w:t>
      </w:r>
      <w:r w:rsidR="00DA4E74" w:rsidRPr="001134B0">
        <w:rPr>
          <w:rFonts w:cs="Times"/>
        </w:rPr>
        <w:t xml:space="preserve"> in novel areas of structural space.</w:t>
      </w:r>
      <w:r w:rsidR="00DA4E74" w:rsidRPr="00BF14B5">
        <w:t xml:space="preserve"> </w:t>
      </w:r>
      <w:r w:rsidR="00DA4E74" w:rsidRPr="00BF14B5">
        <w:rPr>
          <w:rFonts w:cs="Times"/>
        </w:rPr>
        <w:t xml:space="preserve">However, as stated above, datasets are rather different, </w:t>
      </w:r>
      <w:proofErr w:type="gramStart"/>
      <w:r w:rsidR="00DA4E74" w:rsidRPr="00BF14B5">
        <w:rPr>
          <w:rFonts w:cs="Times"/>
        </w:rPr>
        <w:t>in particular with</w:t>
      </w:r>
      <w:proofErr w:type="gramEnd"/>
      <w:r w:rsidR="00DA4E74" w:rsidRPr="00BF14B5">
        <w:rPr>
          <w:rFonts w:cs="Times"/>
        </w:rPr>
        <w:t xml:space="preserve"> respect to size, and hence the numbers stated are not directly comparable to each other</w:t>
      </w:r>
      <w:r w:rsidR="00DA4E74">
        <w:rPr>
          <w:rFonts w:cs="Times"/>
        </w:rPr>
        <w:t>.</w:t>
      </w:r>
    </w:p>
    <w:p w14:paraId="6B16CB0C" w14:textId="4FEB109B" w:rsidR="003D50ED" w:rsidRPr="00F86666" w:rsidRDefault="003D50ED" w:rsidP="00FC45CE">
      <w:pPr>
        <w:pStyle w:val="TAMainText"/>
        <w:rPr>
          <w:rFonts w:cs="Times"/>
          <w:b/>
          <w:bCs/>
        </w:rPr>
      </w:pPr>
      <w:r w:rsidRPr="00F86666">
        <w:rPr>
          <w:rFonts w:cs="Times"/>
          <w:b/>
          <w:bCs/>
        </w:rPr>
        <w:t>Cell Painting feature interpretation</w:t>
      </w:r>
    </w:p>
    <w:p w14:paraId="44AE7112" w14:textId="6A407987" w:rsidR="00FC45CE" w:rsidRPr="001134B0" w:rsidRDefault="00352583" w:rsidP="001F17B1">
      <w:pPr>
        <w:pStyle w:val="TAMainText"/>
        <w:rPr>
          <w:rFonts w:cs="Times"/>
        </w:rPr>
      </w:pPr>
      <w:r w:rsidRPr="001134B0">
        <w:rPr>
          <w:rFonts w:cs="Times"/>
        </w:rPr>
        <w:t xml:space="preserve">We next </w:t>
      </w:r>
      <w:proofErr w:type="spellStart"/>
      <w:r w:rsidR="005E0599">
        <w:rPr>
          <w:rFonts w:cs="Times"/>
        </w:rPr>
        <w:t>analyzed</w:t>
      </w:r>
      <w:proofErr w:type="spellEnd"/>
      <w:r w:rsidRPr="001134B0">
        <w:rPr>
          <w:rFonts w:cs="Times"/>
        </w:rPr>
        <w:t xml:space="preserve"> </w:t>
      </w:r>
      <w:r w:rsidR="00FC45CE" w:rsidRPr="001134B0">
        <w:rPr>
          <w:rFonts w:cs="Times"/>
        </w:rPr>
        <w:t xml:space="preserve">which Cell Painting features contributed to </w:t>
      </w:r>
      <w:r w:rsidRPr="001134B0">
        <w:rPr>
          <w:rFonts w:cs="Times"/>
        </w:rPr>
        <w:t xml:space="preserve">model performance, </w:t>
      </w:r>
      <w:r w:rsidR="00031F66" w:rsidRPr="001134B0">
        <w:rPr>
          <w:rFonts w:cs="Times"/>
        </w:rPr>
        <w:t>both to ensure interpretability and confidence into the resulting models.</w:t>
      </w:r>
      <w:r w:rsidR="00FC45CE" w:rsidRPr="001134B0">
        <w:rPr>
          <w:rFonts w:cs="Times"/>
        </w:rPr>
        <w:t xml:space="preserve"> </w:t>
      </w:r>
      <w:r w:rsidR="00C53EDA" w:rsidRPr="001134B0">
        <w:rPr>
          <w:rFonts w:cs="Times"/>
        </w:rPr>
        <w:t xml:space="preserve">It </w:t>
      </w:r>
      <w:r w:rsidR="006466A4">
        <w:rPr>
          <w:rFonts w:cs="Times"/>
        </w:rPr>
        <w:t>should be considered</w:t>
      </w:r>
      <w:r w:rsidR="00C53EDA" w:rsidRPr="001134B0">
        <w:rPr>
          <w:rFonts w:cs="Times"/>
        </w:rPr>
        <w:t xml:space="preserve"> that Cell Painting features are </w:t>
      </w:r>
      <w:r w:rsidR="005E0599">
        <w:rPr>
          <w:rFonts w:cs="Times"/>
        </w:rPr>
        <w:t xml:space="preserve">of high dimensionality </w:t>
      </w:r>
      <w:proofErr w:type="gramStart"/>
      <w:r w:rsidR="005E0599">
        <w:rPr>
          <w:rFonts w:cs="Times"/>
        </w:rPr>
        <w:t>and also</w:t>
      </w:r>
      <w:proofErr w:type="gramEnd"/>
      <w:r w:rsidR="005E0599">
        <w:rPr>
          <w:rFonts w:cs="Times"/>
        </w:rPr>
        <w:t xml:space="preserve"> </w:t>
      </w:r>
      <w:r w:rsidR="00C53EDA" w:rsidRPr="001134B0">
        <w:rPr>
          <w:rFonts w:cs="Times"/>
        </w:rPr>
        <w:t>highly correlated</w:t>
      </w:r>
      <w:r w:rsidR="00522694">
        <w:rPr>
          <w:rFonts w:cs="Times"/>
        </w:rPr>
        <w:t xml:space="preserve"> across feature categories</w:t>
      </w:r>
      <w:r w:rsidR="00C53EDA" w:rsidRPr="001134B0">
        <w:rPr>
          <w:rFonts w:cs="Times"/>
        </w:rPr>
        <w:t xml:space="preserve">, so there is a gradual scale as to their importance for an endpoint, and a clear-cut selection of only individual features </w:t>
      </w:r>
      <w:r w:rsidR="005E0599">
        <w:rPr>
          <w:rFonts w:cs="Times"/>
        </w:rPr>
        <w:t>is</w:t>
      </w:r>
      <w:r w:rsidR="00B05D61" w:rsidRPr="001134B0">
        <w:rPr>
          <w:rFonts w:cs="Times"/>
        </w:rPr>
        <w:t xml:space="preserve"> </w:t>
      </w:r>
      <w:r w:rsidR="0051485E" w:rsidRPr="001134B0">
        <w:rPr>
          <w:rFonts w:cs="Times"/>
        </w:rPr>
        <w:t xml:space="preserve">not </w:t>
      </w:r>
      <w:r w:rsidR="00C53EDA" w:rsidRPr="001134B0">
        <w:rPr>
          <w:rFonts w:cs="Times"/>
        </w:rPr>
        <w:t>possible</w:t>
      </w:r>
      <w:r w:rsidR="00F6632C">
        <w:rPr>
          <w:rFonts w:cs="Times"/>
        </w:rPr>
        <w:t xml:space="preserve">. </w:t>
      </w:r>
      <w:r w:rsidR="00565E75" w:rsidRPr="00565E75">
        <w:rPr>
          <w:rFonts w:cs="Times"/>
        </w:rPr>
        <w:t>Improving our understanding (and biological interpretations) of image-based features with respect to higher-level endpoints is an area of active research</w:t>
      </w:r>
      <w:r w:rsidR="00565E75">
        <w:rPr>
          <w:rFonts w:cs="Times"/>
        </w:rPr>
        <w:t>,</w:t>
      </w:r>
      <w:r w:rsidR="00522694" w:rsidRPr="00D01CB8">
        <w:rPr>
          <w:rFonts w:cs="Times"/>
          <w:shd w:val="clear" w:color="auto" w:fill="FFFFFF"/>
          <w:vertAlign w:val="superscript"/>
        </w:rPr>
        <w:fldChar w:fldCharType="begin"/>
      </w:r>
      <w:r w:rsidR="00522694" w:rsidRPr="00D01CB8">
        <w:rPr>
          <w:rFonts w:cs="Times"/>
          <w:shd w:val="clear" w:color="auto" w:fill="FFFFFF"/>
          <w:vertAlign w:val="superscript"/>
        </w:rPr>
        <w:instrText xml:space="preserve"> NOTEREF _Ref59028619 \h </w:instrText>
      </w:r>
      <w:r w:rsidR="00522694">
        <w:rPr>
          <w:rFonts w:cs="Times"/>
          <w:shd w:val="clear" w:color="auto" w:fill="FFFFFF"/>
          <w:vertAlign w:val="superscript"/>
        </w:rPr>
        <w:instrText xml:space="preserve"> \* MERGEFORMAT </w:instrText>
      </w:r>
      <w:r w:rsidR="00522694" w:rsidRPr="00D01CB8">
        <w:rPr>
          <w:rFonts w:cs="Times"/>
          <w:shd w:val="clear" w:color="auto" w:fill="FFFFFF"/>
          <w:vertAlign w:val="superscript"/>
        </w:rPr>
      </w:r>
      <w:r w:rsidR="00522694" w:rsidRPr="00D01CB8">
        <w:rPr>
          <w:rFonts w:cs="Times"/>
          <w:shd w:val="clear" w:color="auto" w:fill="FFFFFF"/>
          <w:vertAlign w:val="superscript"/>
        </w:rPr>
        <w:fldChar w:fldCharType="separate"/>
      </w:r>
      <w:r w:rsidR="00354BD4">
        <w:rPr>
          <w:rFonts w:cs="Times"/>
          <w:shd w:val="clear" w:color="auto" w:fill="FFFFFF"/>
          <w:vertAlign w:val="superscript"/>
        </w:rPr>
        <w:t>7</w:t>
      </w:r>
      <w:r w:rsidR="00522694" w:rsidRPr="00D01CB8">
        <w:rPr>
          <w:rFonts w:cs="Times"/>
          <w:shd w:val="clear" w:color="auto" w:fill="FFFFFF"/>
          <w:vertAlign w:val="superscript"/>
        </w:rPr>
        <w:fldChar w:fldCharType="end"/>
      </w:r>
      <w:r w:rsidR="00522694" w:rsidRPr="00D01CB8">
        <w:rPr>
          <w:rFonts w:cs="Times"/>
          <w:shd w:val="clear" w:color="auto" w:fill="FFFFFF"/>
          <w:vertAlign w:val="superscript"/>
        </w:rPr>
        <w:t>,</w:t>
      </w:r>
      <w:r w:rsidR="00522694" w:rsidRPr="009D4CBE">
        <w:rPr>
          <w:rFonts w:cs="Times"/>
          <w:shd w:val="clear" w:color="auto" w:fill="FFFFFF"/>
          <w:vertAlign w:val="superscript"/>
        </w:rPr>
        <w:fldChar w:fldCharType="begin"/>
      </w:r>
      <w:r w:rsidR="00522694" w:rsidRPr="009D4CBE">
        <w:rPr>
          <w:rFonts w:cs="Times"/>
          <w:shd w:val="clear" w:color="auto" w:fill="FFFFFF"/>
          <w:vertAlign w:val="superscript"/>
        </w:rPr>
        <w:instrText xml:space="preserve"> NOTEREF _Ref59028574 \h </w:instrText>
      </w:r>
      <w:r w:rsidR="00522694" w:rsidRPr="009D4CBE">
        <w:rPr>
          <w:rFonts w:cs="Times"/>
          <w:shd w:val="clear" w:color="auto" w:fill="FFFFFF"/>
          <w:vertAlign w:val="superscript"/>
        </w:rPr>
      </w:r>
      <w:r w:rsidR="00522694" w:rsidRPr="009D4CBE">
        <w:rPr>
          <w:rFonts w:cs="Times"/>
          <w:shd w:val="clear" w:color="auto" w:fill="FFFFFF"/>
          <w:vertAlign w:val="superscript"/>
        </w:rPr>
        <w:fldChar w:fldCharType="separate"/>
      </w:r>
      <w:r w:rsidR="00354BD4">
        <w:rPr>
          <w:rFonts w:cs="Times"/>
          <w:shd w:val="clear" w:color="auto" w:fill="FFFFFF"/>
          <w:vertAlign w:val="superscript"/>
        </w:rPr>
        <w:t>32</w:t>
      </w:r>
      <w:r w:rsidR="00522694" w:rsidRPr="009D4CBE">
        <w:rPr>
          <w:rFonts w:cs="Times"/>
          <w:shd w:val="clear" w:color="auto" w:fill="FFFFFF"/>
          <w:vertAlign w:val="superscript"/>
        </w:rPr>
        <w:fldChar w:fldCharType="end"/>
      </w:r>
      <w:r w:rsidR="00522694">
        <w:rPr>
          <w:rFonts w:cs="Times"/>
          <w:shd w:val="clear" w:color="auto" w:fill="FFFFFF"/>
          <w:vertAlign w:val="superscript"/>
        </w:rPr>
        <w:t>,</w:t>
      </w:r>
      <w:r w:rsidR="00522694">
        <w:rPr>
          <w:rStyle w:val="EndnoteReference"/>
          <w:rFonts w:cs="Times"/>
          <w:shd w:val="clear" w:color="auto" w:fill="FFFFFF"/>
        </w:rPr>
        <w:endnoteReference w:id="64"/>
      </w:r>
      <w:r w:rsidR="00522694">
        <w:rPr>
          <w:rFonts w:cs="Times"/>
          <w:shd w:val="clear" w:color="auto" w:fill="FFFFFF"/>
          <w:vertAlign w:val="superscript"/>
        </w:rPr>
        <w:t xml:space="preserve"> </w:t>
      </w:r>
      <w:r w:rsidR="0005399C" w:rsidRPr="0005399C">
        <w:rPr>
          <w:rFonts w:cs="Times"/>
        </w:rPr>
        <w:t>which is important to understand the biological processes related to and covered by particular readouts, and hence also to increase trust which comes with a more interpretable model. On the other hand, our current understanding of this is limited, and in the current study we used permutation importance and nested cross-validation as described in the methods section to establish feature importance mostly on a signal (and less an interpretation) level</w:t>
      </w:r>
      <w:r w:rsidR="005E0599">
        <w:rPr>
          <w:rFonts w:cs="Times"/>
        </w:rPr>
        <w:t>.</w:t>
      </w:r>
      <w:r w:rsidR="001F17B1">
        <w:rPr>
          <w:rFonts w:cs="Times"/>
        </w:rPr>
        <w:t xml:space="preserve"> </w:t>
      </w:r>
    </w:p>
    <w:p w14:paraId="09479B8C" w14:textId="0BCF5BC6" w:rsidR="00833B07" w:rsidRDefault="001F17B1" w:rsidP="00206D6A">
      <w:pPr>
        <w:pStyle w:val="TAMainText"/>
        <w:rPr>
          <w:rFonts w:cs="Times"/>
        </w:rPr>
      </w:pPr>
      <w:r>
        <w:rPr>
          <w:rFonts w:cs="Times"/>
        </w:rPr>
        <w:t>Overall</w:t>
      </w:r>
      <w:r w:rsidR="00223A56">
        <w:rPr>
          <w:rFonts w:cs="Times"/>
        </w:rPr>
        <w:t>, as can be seen from Figure 5</w:t>
      </w:r>
      <w:r w:rsidR="00835EE4">
        <w:rPr>
          <w:rFonts w:cs="Times"/>
        </w:rPr>
        <w:t xml:space="preserve"> (and individual features in Supplementary Table S</w:t>
      </w:r>
      <w:r w:rsidR="004D315C">
        <w:rPr>
          <w:rFonts w:cs="Times"/>
        </w:rPr>
        <w:t>7</w:t>
      </w:r>
      <w:r w:rsidR="00835EE4">
        <w:rPr>
          <w:rFonts w:cs="Times"/>
        </w:rPr>
        <w:t>)</w:t>
      </w:r>
      <w:r w:rsidR="00223A56">
        <w:rPr>
          <w:rFonts w:cs="Times"/>
        </w:rPr>
        <w:t xml:space="preserve">, </w:t>
      </w:r>
      <w:r w:rsidR="00206D6A">
        <w:rPr>
          <w:rFonts w:cs="Times"/>
        </w:rPr>
        <w:t xml:space="preserve">contributing features for most assays </w:t>
      </w:r>
      <w:r w:rsidR="00CA1EFF">
        <w:rPr>
          <w:rFonts w:cs="Times"/>
        </w:rPr>
        <w:t>originated</w:t>
      </w:r>
      <w:r w:rsidR="00206D6A">
        <w:rPr>
          <w:rFonts w:cs="Times"/>
        </w:rPr>
        <w:t xml:space="preserve"> from compartment and feature groups of c</w:t>
      </w:r>
      <w:r w:rsidR="00936910">
        <w:rPr>
          <w:rFonts w:cs="Times"/>
        </w:rPr>
        <w:t>ell granularity</w:t>
      </w:r>
      <w:r w:rsidR="00CA1EFF">
        <w:rPr>
          <w:rFonts w:cs="Times"/>
        </w:rPr>
        <w:t xml:space="preserve"> </w:t>
      </w:r>
      <w:r w:rsidR="00936910">
        <w:rPr>
          <w:rFonts w:cs="Times"/>
        </w:rPr>
        <w:t>(</w:t>
      </w:r>
      <w:r w:rsidR="008563C6">
        <w:rPr>
          <w:rFonts w:cs="Times"/>
        </w:rPr>
        <w:t>12 out of 12</w:t>
      </w:r>
      <w:r w:rsidR="00CA1EFF">
        <w:rPr>
          <w:rFonts w:cs="Times"/>
        </w:rPr>
        <w:t xml:space="preserve"> assays</w:t>
      </w:r>
      <w:r w:rsidR="008563C6">
        <w:rPr>
          <w:rFonts w:cs="Times"/>
        </w:rPr>
        <w:t xml:space="preserve">), </w:t>
      </w:r>
      <w:r w:rsidR="00206D6A">
        <w:rPr>
          <w:rFonts w:cs="Times"/>
        </w:rPr>
        <w:t>c</w:t>
      </w:r>
      <w:r w:rsidR="00A1503C">
        <w:rPr>
          <w:rFonts w:cs="Times"/>
        </w:rPr>
        <w:t xml:space="preserve">ytoplasm </w:t>
      </w:r>
      <w:r w:rsidR="008563C6">
        <w:rPr>
          <w:rFonts w:cs="Times"/>
        </w:rPr>
        <w:t xml:space="preserve">granularity and </w:t>
      </w:r>
      <w:r w:rsidR="00206D6A">
        <w:rPr>
          <w:rFonts w:cs="Times"/>
        </w:rPr>
        <w:t>c</w:t>
      </w:r>
      <w:r w:rsidR="008563C6">
        <w:rPr>
          <w:rFonts w:cs="Times"/>
        </w:rPr>
        <w:t>ytoplasm correlation (11 out of 12),</w:t>
      </w:r>
      <w:r w:rsidR="009F35E6">
        <w:rPr>
          <w:rFonts w:cs="Times"/>
        </w:rPr>
        <w:t xml:space="preserve"> </w:t>
      </w:r>
      <w:r w:rsidR="003A2277">
        <w:rPr>
          <w:rFonts w:cs="Times"/>
        </w:rPr>
        <w:t>c</w:t>
      </w:r>
      <w:r w:rsidR="003A2277" w:rsidRPr="003A2277">
        <w:rPr>
          <w:rFonts w:cs="Times"/>
        </w:rPr>
        <w:t>ells</w:t>
      </w:r>
      <w:r w:rsidR="003A2277">
        <w:rPr>
          <w:rFonts w:cs="Times"/>
        </w:rPr>
        <w:t xml:space="preserve"> r</w:t>
      </w:r>
      <w:r w:rsidR="003A2277" w:rsidRPr="003A2277">
        <w:rPr>
          <w:rFonts w:cs="Times"/>
        </w:rPr>
        <w:t>adial</w:t>
      </w:r>
      <w:r w:rsidR="003A2277">
        <w:rPr>
          <w:rFonts w:cs="Times"/>
        </w:rPr>
        <w:t xml:space="preserve"> d</w:t>
      </w:r>
      <w:r w:rsidR="003A2277" w:rsidRPr="003A2277">
        <w:rPr>
          <w:rFonts w:cs="Times"/>
        </w:rPr>
        <w:t>istribution</w:t>
      </w:r>
      <w:r w:rsidR="006E674D">
        <w:rPr>
          <w:rFonts w:cs="Times"/>
        </w:rPr>
        <w:t xml:space="preserve">, </w:t>
      </w:r>
      <w:r w:rsidR="003A2277">
        <w:rPr>
          <w:rFonts w:cs="Times"/>
        </w:rPr>
        <w:t>c</w:t>
      </w:r>
      <w:r w:rsidR="003A2277" w:rsidRPr="003A2277">
        <w:rPr>
          <w:rFonts w:cs="Times"/>
        </w:rPr>
        <w:t>ytoplasm</w:t>
      </w:r>
      <w:r w:rsidR="003A2277">
        <w:rPr>
          <w:rFonts w:cs="Times"/>
        </w:rPr>
        <w:t xml:space="preserve"> i</w:t>
      </w:r>
      <w:r w:rsidR="003A2277" w:rsidRPr="003A2277">
        <w:rPr>
          <w:rFonts w:cs="Times"/>
        </w:rPr>
        <w:t>ntensity</w:t>
      </w:r>
      <w:r w:rsidR="00230812">
        <w:rPr>
          <w:rFonts w:cs="Times"/>
        </w:rPr>
        <w:t xml:space="preserve">, </w:t>
      </w:r>
      <w:r w:rsidR="00A1262D">
        <w:rPr>
          <w:rFonts w:cs="Times"/>
        </w:rPr>
        <w:t>n</w:t>
      </w:r>
      <w:r w:rsidR="00230812" w:rsidRPr="00230812">
        <w:rPr>
          <w:rFonts w:cs="Times"/>
        </w:rPr>
        <w:t>uclei</w:t>
      </w:r>
      <w:r w:rsidR="00230812">
        <w:rPr>
          <w:rFonts w:cs="Times"/>
        </w:rPr>
        <w:t xml:space="preserve"> c</w:t>
      </w:r>
      <w:r w:rsidR="00230812" w:rsidRPr="00230812">
        <w:rPr>
          <w:rFonts w:cs="Times"/>
        </w:rPr>
        <w:t xml:space="preserve">orrelation </w:t>
      </w:r>
      <w:r w:rsidR="006E674D">
        <w:rPr>
          <w:rFonts w:cs="Times"/>
        </w:rPr>
        <w:t>(</w:t>
      </w:r>
      <w:r w:rsidR="006E674D" w:rsidRPr="003A2277">
        <w:rPr>
          <w:rFonts w:cs="Times"/>
        </w:rPr>
        <w:t>10</w:t>
      </w:r>
      <w:r w:rsidR="006E674D">
        <w:rPr>
          <w:rFonts w:cs="Times"/>
        </w:rPr>
        <w:t xml:space="preserve"> out of 12)</w:t>
      </w:r>
      <w:r w:rsidR="000B45CA">
        <w:rPr>
          <w:rFonts w:cs="Times"/>
        </w:rPr>
        <w:t xml:space="preserve"> and nuclei texture</w:t>
      </w:r>
      <w:r w:rsidR="00BB5C84">
        <w:rPr>
          <w:rFonts w:cs="Times"/>
        </w:rPr>
        <w:t>,</w:t>
      </w:r>
      <w:r w:rsidR="00BB5C84" w:rsidRPr="00BB5C84">
        <w:t xml:space="preserve"> </w:t>
      </w:r>
      <w:r w:rsidR="00BB5C84">
        <w:rPr>
          <w:rFonts w:cs="Times"/>
        </w:rPr>
        <w:t>n</w:t>
      </w:r>
      <w:r w:rsidR="00BB5C84" w:rsidRPr="00BB5C84">
        <w:rPr>
          <w:rFonts w:cs="Times"/>
        </w:rPr>
        <w:t>uclei</w:t>
      </w:r>
      <w:r w:rsidR="00BB5C84">
        <w:rPr>
          <w:rFonts w:cs="Times"/>
        </w:rPr>
        <w:t xml:space="preserve"> g</w:t>
      </w:r>
      <w:r w:rsidR="00BB5C84" w:rsidRPr="00BB5C84">
        <w:rPr>
          <w:rFonts w:cs="Times"/>
        </w:rPr>
        <w:t xml:space="preserve">ranularity </w:t>
      </w:r>
      <w:r w:rsidR="00BB5C84">
        <w:rPr>
          <w:rFonts w:cs="Times"/>
        </w:rPr>
        <w:t>and cell</w:t>
      </w:r>
      <w:r w:rsidR="00D24C67">
        <w:rPr>
          <w:rFonts w:cs="Times"/>
        </w:rPr>
        <w:t>s</w:t>
      </w:r>
      <w:r w:rsidR="00BB5C84">
        <w:rPr>
          <w:rFonts w:cs="Times"/>
        </w:rPr>
        <w:t xml:space="preserve"> intensity</w:t>
      </w:r>
      <w:r w:rsidR="000B45CA">
        <w:rPr>
          <w:rFonts w:cs="Times"/>
        </w:rPr>
        <w:t xml:space="preserve"> (9 out of 12)</w:t>
      </w:r>
      <w:r w:rsidR="009F35E6">
        <w:rPr>
          <w:rFonts w:cs="Times"/>
        </w:rPr>
        <w:t xml:space="preserve">. </w:t>
      </w:r>
    </w:p>
    <w:p w14:paraId="49F2E849" w14:textId="737F73C4" w:rsidR="00113A66" w:rsidRPr="00DD6B03" w:rsidRDefault="00DD6B03" w:rsidP="00A61304">
      <w:pPr>
        <w:pStyle w:val="TAMainText"/>
        <w:rPr>
          <w:rFonts w:cs="Times"/>
        </w:rPr>
      </w:pPr>
      <w:r>
        <w:rPr>
          <w:rFonts w:cs="Times"/>
        </w:rPr>
        <w:t>Further</w:t>
      </w:r>
      <w:r w:rsidR="00E33C44">
        <w:rPr>
          <w:rFonts w:cs="Times"/>
        </w:rPr>
        <w:t>more</w:t>
      </w:r>
      <w:r>
        <w:rPr>
          <w:rFonts w:cs="Times"/>
        </w:rPr>
        <w:t>, f</w:t>
      </w:r>
      <w:r w:rsidR="00206D6A" w:rsidRPr="001134B0">
        <w:rPr>
          <w:rFonts w:cs="Times"/>
        </w:rPr>
        <w:t xml:space="preserve">eatures related to cell neighbourhood </w:t>
      </w:r>
      <w:r w:rsidR="003E13C1">
        <w:rPr>
          <w:rFonts w:cs="Times"/>
        </w:rPr>
        <w:t xml:space="preserve">are found to be </w:t>
      </w:r>
      <w:r w:rsidR="00206D6A" w:rsidRPr="001134B0">
        <w:rPr>
          <w:rFonts w:cs="Times"/>
        </w:rPr>
        <w:t>contributing towards model performance</w:t>
      </w:r>
      <w:r w:rsidR="00A3239B">
        <w:rPr>
          <w:rFonts w:cs="Times"/>
        </w:rPr>
        <w:t xml:space="preserve"> f</w:t>
      </w:r>
      <w:r w:rsidR="00A3239B" w:rsidRPr="001134B0">
        <w:rPr>
          <w:rFonts w:cs="Times"/>
        </w:rPr>
        <w:t xml:space="preserve">or </w:t>
      </w:r>
      <w:r w:rsidR="00A3239B">
        <w:rPr>
          <w:rFonts w:cs="Times"/>
        </w:rPr>
        <w:t xml:space="preserve">8 out of 12 </w:t>
      </w:r>
      <w:r w:rsidR="00A3239B" w:rsidRPr="001134B0">
        <w:rPr>
          <w:rFonts w:cs="Times"/>
        </w:rPr>
        <w:t>assays</w:t>
      </w:r>
      <w:r w:rsidR="00206D6A" w:rsidRPr="001134B0">
        <w:rPr>
          <w:rFonts w:cs="Times"/>
        </w:rPr>
        <w:t xml:space="preserve">. </w:t>
      </w:r>
      <w:r w:rsidR="00403E36">
        <w:rPr>
          <w:rFonts w:cs="Times"/>
          <w:shd w:val="clear" w:color="auto" w:fill="FFFFFF"/>
        </w:rPr>
        <w:t>C</w:t>
      </w:r>
      <w:r w:rsidR="00403E36" w:rsidRPr="00403E36">
        <w:rPr>
          <w:rFonts w:cs="Times"/>
          <w:shd w:val="clear" w:color="auto" w:fill="FFFFFF"/>
        </w:rPr>
        <w:t xml:space="preserve">ell neighbourhood </w:t>
      </w:r>
      <w:r w:rsidR="00206D6A" w:rsidRPr="001134B0">
        <w:rPr>
          <w:rFonts w:cs="Times"/>
          <w:shd w:val="clear" w:color="auto" w:fill="FFFFFF"/>
        </w:rPr>
        <w:t xml:space="preserve">features </w:t>
      </w:r>
      <w:r w:rsidR="008847CB">
        <w:rPr>
          <w:rFonts w:cs="Times"/>
          <w:shd w:val="clear" w:color="auto" w:fill="FFFFFF"/>
        </w:rPr>
        <w:t>calculate the relationship of cells</w:t>
      </w:r>
      <w:r w:rsidR="008847CB" w:rsidRPr="008847CB">
        <w:rPr>
          <w:rFonts w:cs="Times"/>
          <w:shd w:val="clear" w:color="auto" w:fill="FFFFFF"/>
        </w:rPr>
        <w:t xml:space="preserve"> </w:t>
      </w:r>
      <w:r w:rsidR="008847CB">
        <w:rPr>
          <w:rFonts w:cs="Times"/>
          <w:shd w:val="clear" w:color="auto" w:fill="FFFFFF"/>
        </w:rPr>
        <w:t xml:space="preserve">and </w:t>
      </w:r>
      <w:r w:rsidR="008847CB" w:rsidRPr="008847CB">
        <w:rPr>
          <w:rFonts w:cs="Times"/>
          <w:shd w:val="clear" w:color="auto" w:fill="FFFFFF"/>
        </w:rPr>
        <w:t>neighbo</w:t>
      </w:r>
      <w:r w:rsidR="004F51E6">
        <w:rPr>
          <w:rFonts w:cs="Times"/>
          <w:shd w:val="clear" w:color="auto" w:fill="FFFFFF"/>
        </w:rPr>
        <w:t>u</w:t>
      </w:r>
      <w:r w:rsidR="008847CB" w:rsidRPr="008847CB">
        <w:rPr>
          <w:rFonts w:cs="Times"/>
          <w:shd w:val="clear" w:color="auto" w:fill="FFFFFF"/>
        </w:rPr>
        <w:t>r</w:t>
      </w:r>
      <w:r w:rsidR="008847CB">
        <w:rPr>
          <w:rFonts w:cs="Times"/>
          <w:shd w:val="clear" w:color="auto" w:fill="FFFFFF"/>
        </w:rPr>
        <w:t>ing object</w:t>
      </w:r>
      <w:r w:rsidR="00DD39E0">
        <w:rPr>
          <w:rFonts w:cs="Times"/>
          <w:shd w:val="clear" w:color="auto" w:fill="FFFFFF"/>
        </w:rPr>
        <w:t xml:space="preserve">s </w:t>
      </w:r>
      <w:r w:rsidR="008847CB" w:rsidRPr="008847CB">
        <w:rPr>
          <w:rFonts w:cs="Times"/>
          <w:shd w:val="clear" w:color="auto" w:fill="FFFFFF"/>
        </w:rPr>
        <w:t xml:space="preserve">including the </w:t>
      </w:r>
      <w:r w:rsidR="008847CB">
        <w:rPr>
          <w:rFonts w:cs="Times"/>
          <w:shd w:val="clear" w:color="auto" w:fill="FFFFFF"/>
        </w:rPr>
        <w:t>number</w:t>
      </w:r>
      <w:r w:rsidR="009B54EA">
        <w:rPr>
          <w:rFonts w:cs="Times"/>
          <w:shd w:val="clear" w:color="auto" w:fill="FFFFFF"/>
        </w:rPr>
        <w:t xml:space="preserve"> of neighbours</w:t>
      </w:r>
      <w:r w:rsidR="00050428">
        <w:rPr>
          <w:rFonts w:cs="Times"/>
          <w:shd w:val="clear" w:color="auto" w:fill="FFFFFF"/>
        </w:rPr>
        <w:t xml:space="preserve"> and</w:t>
      </w:r>
      <w:r w:rsidR="009B54EA">
        <w:rPr>
          <w:rFonts w:cs="Times"/>
          <w:shd w:val="clear" w:color="auto" w:fill="FFFFFF"/>
        </w:rPr>
        <w:t xml:space="preserve"> </w:t>
      </w:r>
      <w:r w:rsidR="008847CB" w:rsidRPr="008847CB">
        <w:rPr>
          <w:rFonts w:cs="Times"/>
          <w:shd w:val="clear" w:color="auto" w:fill="FFFFFF"/>
        </w:rPr>
        <w:t xml:space="preserve">percentage of a </w:t>
      </w:r>
      <w:r w:rsidR="00DD39E0">
        <w:rPr>
          <w:rFonts w:cs="Times"/>
          <w:shd w:val="clear" w:color="auto" w:fill="FFFFFF"/>
        </w:rPr>
        <w:t>cell’s</w:t>
      </w:r>
      <w:r w:rsidR="008847CB" w:rsidRPr="008847CB">
        <w:rPr>
          <w:rFonts w:cs="Times"/>
          <w:shd w:val="clear" w:color="auto" w:fill="FFFFFF"/>
        </w:rPr>
        <w:t xml:space="preserve"> edge pixels that touch a </w:t>
      </w:r>
      <w:r w:rsidR="009B54EA">
        <w:rPr>
          <w:rFonts w:cs="Times"/>
          <w:shd w:val="clear" w:color="auto" w:fill="FFFFFF"/>
        </w:rPr>
        <w:t>neighbour</w:t>
      </w:r>
      <w:r w:rsidR="00050428">
        <w:rPr>
          <w:rFonts w:cs="Times"/>
          <w:shd w:val="clear" w:color="auto" w:fill="FFFFFF"/>
        </w:rPr>
        <w:t>,</w:t>
      </w:r>
      <w:r w:rsidR="009B54EA">
        <w:rPr>
          <w:rFonts w:cs="Times"/>
          <w:shd w:val="clear" w:color="auto" w:fill="FFFFFF"/>
        </w:rPr>
        <w:t xml:space="preserve"> </w:t>
      </w:r>
      <w:r w:rsidR="00DD39E0">
        <w:rPr>
          <w:rFonts w:cs="Times"/>
          <w:shd w:val="clear" w:color="auto" w:fill="FFFFFF"/>
        </w:rPr>
        <w:t>among others</w:t>
      </w:r>
      <w:r w:rsidR="00206D6A" w:rsidRPr="001134B0">
        <w:rPr>
          <w:rFonts w:cs="Times"/>
          <w:shd w:val="clear" w:color="auto" w:fill="FFFFFF"/>
        </w:rPr>
        <w:t>.</w:t>
      </w:r>
      <w:r w:rsidR="000220AA" w:rsidRPr="007D2D92">
        <w:rPr>
          <w:rFonts w:cs="Times"/>
          <w:shd w:val="clear" w:color="auto" w:fill="FFFFFF"/>
          <w:vertAlign w:val="superscript"/>
        </w:rPr>
        <w:fldChar w:fldCharType="begin"/>
      </w:r>
      <w:r w:rsidR="000220AA" w:rsidRPr="007D2D92">
        <w:rPr>
          <w:rFonts w:cs="Times"/>
          <w:shd w:val="clear" w:color="auto" w:fill="FFFFFF"/>
          <w:vertAlign w:val="superscript"/>
        </w:rPr>
        <w:instrText xml:space="preserve"> NOTEREF _Ref56894764 \h </w:instrText>
      </w:r>
      <w:r w:rsidR="000220AA">
        <w:rPr>
          <w:rFonts w:cs="Times"/>
          <w:shd w:val="clear" w:color="auto" w:fill="FFFFFF"/>
          <w:vertAlign w:val="superscript"/>
        </w:rPr>
        <w:instrText xml:space="preserve"> \* MERGEFORMAT </w:instrText>
      </w:r>
      <w:r w:rsidR="000220AA" w:rsidRPr="007D2D92">
        <w:rPr>
          <w:rFonts w:cs="Times"/>
          <w:shd w:val="clear" w:color="auto" w:fill="FFFFFF"/>
          <w:vertAlign w:val="superscript"/>
        </w:rPr>
      </w:r>
      <w:r w:rsidR="000220AA" w:rsidRPr="007D2D92">
        <w:rPr>
          <w:rFonts w:cs="Times"/>
          <w:shd w:val="clear" w:color="auto" w:fill="FFFFFF"/>
          <w:vertAlign w:val="superscript"/>
        </w:rPr>
        <w:fldChar w:fldCharType="separate"/>
      </w:r>
      <w:r w:rsidR="000220AA">
        <w:rPr>
          <w:rFonts w:cs="Times"/>
          <w:shd w:val="clear" w:color="auto" w:fill="FFFFFF"/>
          <w:vertAlign w:val="superscript"/>
        </w:rPr>
        <w:t>30</w:t>
      </w:r>
      <w:r w:rsidR="000220AA" w:rsidRPr="007D2D92">
        <w:rPr>
          <w:rFonts w:cs="Times"/>
          <w:shd w:val="clear" w:color="auto" w:fill="FFFFFF"/>
          <w:vertAlign w:val="superscript"/>
        </w:rPr>
        <w:fldChar w:fldCharType="end"/>
      </w:r>
      <w:r w:rsidR="00206D6A" w:rsidRPr="001134B0">
        <w:rPr>
          <w:rFonts w:cs="Times"/>
          <w:shd w:val="clear" w:color="auto" w:fill="FFFFFF"/>
        </w:rPr>
        <w:t xml:space="preserve"> Th</w:t>
      </w:r>
      <w:r w:rsidR="00206D6A">
        <w:rPr>
          <w:rFonts w:cs="Times"/>
          <w:shd w:val="clear" w:color="auto" w:fill="FFFFFF"/>
        </w:rPr>
        <w:t>e importance of these features</w:t>
      </w:r>
      <w:r w:rsidR="00206D6A" w:rsidRPr="001134B0">
        <w:rPr>
          <w:rFonts w:cs="Times"/>
          <w:shd w:val="clear" w:color="auto" w:fill="FFFFFF"/>
        </w:rPr>
        <w:t xml:space="preserve"> is comprehensible </w:t>
      </w:r>
      <w:r w:rsidR="00642E5D">
        <w:rPr>
          <w:rFonts w:cs="Times"/>
          <w:shd w:val="clear" w:color="auto" w:fill="FFFFFF"/>
        </w:rPr>
        <w:t>since</w:t>
      </w:r>
      <w:r w:rsidR="00206D6A" w:rsidRPr="001134B0">
        <w:rPr>
          <w:rFonts w:cs="Times"/>
          <w:shd w:val="clear" w:color="auto" w:fill="FFFFFF"/>
        </w:rPr>
        <w:t xml:space="preserve"> </w:t>
      </w:r>
      <w:r w:rsidR="003C6DAB" w:rsidRPr="001134B0">
        <w:rPr>
          <w:rFonts w:cs="Times"/>
          <w:shd w:val="clear" w:color="auto" w:fill="FFFFFF"/>
        </w:rPr>
        <w:t xml:space="preserve">after cell death, </w:t>
      </w:r>
      <w:r w:rsidR="003C6DAB" w:rsidRPr="001134B0">
        <w:rPr>
          <w:rFonts w:cs="Times"/>
          <w:shd w:val="clear" w:color="auto" w:fill="FFFFFF"/>
        </w:rPr>
        <w:lastRenderedPageBreak/>
        <w:t>remaining cells have reduced contact</w:t>
      </w:r>
      <w:r w:rsidR="003C6DAB" w:rsidRPr="003C6DAB">
        <w:rPr>
          <w:rFonts w:cs="Times"/>
          <w:shd w:val="clear" w:color="auto" w:fill="FFFFFF"/>
        </w:rPr>
        <w:t xml:space="preserve"> </w:t>
      </w:r>
      <w:r w:rsidR="003C6DAB" w:rsidRPr="001134B0">
        <w:rPr>
          <w:rFonts w:cs="Times"/>
          <w:shd w:val="clear" w:color="auto" w:fill="FFFFFF"/>
        </w:rPr>
        <w:t>with neighbo</w:t>
      </w:r>
      <w:r w:rsidR="00CC5CE6">
        <w:rPr>
          <w:rFonts w:cs="Times"/>
          <w:shd w:val="clear" w:color="auto" w:fill="FFFFFF"/>
        </w:rPr>
        <w:t>u</w:t>
      </w:r>
      <w:r w:rsidR="003C6DAB" w:rsidRPr="001134B0">
        <w:rPr>
          <w:rFonts w:cs="Times"/>
          <w:shd w:val="clear" w:color="auto" w:fill="FFFFFF"/>
        </w:rPr>
        <w:t>rs</w:t>
      </w:r>
      <w:r w:rsidR="003C6DAB">
        <w:rPr>
          <w:rFonts w:cs="Times"/>
          <w:shd w:val="clear" w:color="auto" w:fill="FFFFFF"/>
        </w:rPr>
        <w:t xml:space="preserve"> (</w:t>
      </w:r>
      <w:r w:rsidR="0088527D">
        <w:rPr>
          <w:rFonts w:cs="Times"/>
          <w:shd w:val="clear" w:color="auto" w:fill="FFFFFF"/>
        </w:rPr>
        <w:t xml:space="preserve">and thus </w:t>
      </w:r>
      <w:r w:rsidR="003C6DAB">
        <w:rPr>
          <w:rFonts w:cs="Times"/>
          <w:shd w:val="clear" w:color="auto" w:fill="FFFFFF"/>
        </w:rPr>
        <w:t>c</w:t>
      </w:r>
      <w:r w:rsidR="003C6DAB" w:rsidRPr="001134B0">
        <w:rPr>
          <w:rFonts w:cs="Times"/>
          <w:shd w:val="clear" w:color="auto" w:fill="FFFFFF"/>
        </w:rPr>
        <w:t>ontract edge pixels touching another cell</w:t>
      </w:r>
      <w:r w:rsidR="003C6DAB">
        <w:rPr>
          <w:rFonts w:cs="Times"/>
          <w:shd w:val="clear" w:color="auto" w:fill="FFFFFF"/>
        </w:rPr>
        <w:t>)</w:t>
      </w:r>
      <w:r w:rsidR="0088527D">
        <w:rPr>
          <w:rFonts w:cs="Times"/>
          <w:shd w:val="clear" w:color="auto" w:fill="FFFFFF"/>
        </w:rPr>
        <w:t xml:space="preserve"> hence </w:t>
      </w:r>
      <w:r w:rsidR="003C6DAB" w:rsidRPr="001134B0">
        <w:rPr>
          <w:rFonts w:cs="Times"/>
          <w:shd w:val="clear" w:color="auto" w:fill="FFFFFF"/>
        </w:rPr>
        <w:t>determining cell neighbour features as most contributing to cell death/viability markers in the assays</w:t>
      </w:r>
      <w:r w:rsidR="00206D6A" w:rsidRPr="001134B0">
        <w:rPr>
          <w:rFonts w:cs="Times"/>
          <w:shd w:val="clear" w:color="auto" w:fill="FFFFFF"/>
        </w:rPr>
        <w:t xml:space="preserve">. </w:t>
      </w:r>
      <w:r w:rsidR="00D24C67">
        <w:rPr>
          <w:rFonts w:cs="Times"/>
          <w:shd w:val="clear" w:color="auto" w:fill="FFFFFF"/>
        </w:rPr>
        <w:t>O</w:t>
      </w:r>
      <w:r w:rsidR="00D24C67" w:rsidRPr="00CD4AD9">
        <w:rPr>
          <w:rFonts w:cs="Times"/>
          <w:shd w:val="clear" w:color="auto" w:fill="FFFFFF"/>
        </w:rPr>
        <w:t xml:space="preserve">n the other hand, </w:t>
      </w:r>
      <w:r w:rsidR="00D24C67">
        <w:rPr>
          <w:rFonts w:cs="Times"/>
          <w:shd w:val="clear" w:color="auto" w:fill="FFFFFF"/>
        </w:rPr>
        <w:t>f</w:t>
      </w:r>
      <w:r w:rsidR="00DD73AD">
        <w:rPr>
          <w:rFonts w:cs="Times"/>
          <w:shd w:val="clear" w:color="auto" w:fill="FFFFFF"/>
        </w:rPr>
        <w:t xml:space="preserve">eatures </w:t>
      </w:r>
      <w:r w:rsidR="00BA3176">
        <w:rPr>
          <w:rFonts w:cs="Times"/>
          <w:shd w:val="clear" w:color="auto" w:fill="FFFFFF"/>
        </w:rPr>
        <w:t>of c</w:t>
      </w:r>
      <w:r w:rsidR="00CD4AD9" w:rsidRPr="00CD4AD9">
        <w:rPr>
          <w:rFonts w:cs="Times"/>
          <w:shd w:val="clear" w:color="auto" w:fill="FFFFFF"/>
        </w:rPr>
        <w:t>ell radial distributions</w:t>
      </w:r>
      <w:r w:rsidR="00BA3176">
        <w:rPr>
          <w:rFonts w:cs="Times"/>
          <w:shd w:val="clear" w:color="auto" w:fill="FFFFFF"/>
        </w:rPr>
        <w:t xml:space="preserve"> </w:t>
      </w:r>
      <w:r w:rsidR="00D24C67">
        <w:rPr>
          <w:rFonts w:cs="Times"/>
          <w:shd w:val="clear" w:color="auto" w:fill="FFFFFF"/>
        </w:rPr>
        <w:t>(</w:t>
      </w:r>
      <w:r w:rsidR="00BA3176">
        <w:rPr>
          <w:rFonts w:cs="Times"/>
          <w:shd w:val="clear" w:color="auto" w:fill="FFFFFF"/>
        </w:rPr>
        <w:t>which are also found to contribute to performa</w:t>
      </w:r>
      <w:r w:rsidR="003E13C1">
        <w:rPr>
          <w:rFonts w:cs="Times"/>
          <w:shd w:val="clear" w:color="auto" w:fill="FFFFFF"/>
        </w:rPr>
        <w:t>n</w:t>
      </w:r>
      <w:r w:rsidR="00BA3176">
        <w:rPr>
          <w:rFonts w:cs="Times"/>
          <w:shd w:val="clear" w:color="auto" w:fill="FFFFFF"/>
        </w:rPr>
        <w:t>ce</w:t>
      </w:r>
      <w:r w:rsidR="00D24C67">
        <w:rPr>
          <w:rFonts w:cs="Times"/>
          <w:shd w:val="clear" w:color="auto" w:fill="FFFFFF"/>
        </w:rPr>
        <w:t xml:space="preserve"> in 10 out of 12 assays)</w:t>
      </w:r>
      <w:r w:rsidR="00CD4AD9" w:rsidRPr="00CD4AD9">
        <w:rPr>
          <w:rFonts w:cs="Times"/>
          <w:shd w:val="clear" w:color="auto" w:fill="FFFFFF"/>
        </w:rPr>
        <w:t xml:space="preserve"> measur</w:t>
      </w:r>
      <w:r w:rsidR="00D24C67">
        <w:rPr>
          <w:rFonts w:cs="Times"/>
          <w:shd w:val="clear" w:color="auto" w:fill="FFFFFF"/>
        </w:rPr>
        <w:t>e</w:t>
      </w:r>
      <w:r w:rsidR="00CD4AD9" w:rsidRPr="00CD4AD9">
        <w:rPr>
          <w:rFonts w:cs="Times"/>
          <w:shd w:val="clear" w:color="auto" w:fill="FFFFFF"/>
        </w:rPr>
        <w:t xml:space="preserve"> the radial distribution of cells divided into four bins at increasing distance from the nucleus.</w:t>
      </w:r>
      <w:r w:rsidR="00D24C67">
        <w:rPr>
          <w:rFonts w:cs="Times"/>
          <w:shd w:val="clear" w:color="auto" w:fill="FFFFFF"/>
        </w:rPr>
        <w:t xml:space="preserve"> Previously, r</w:t>
      </w:r>
      <w:r w:rsidR="00CD4AD9" w:rsidRPr="00CD4AD9">
        <w:rPr>
          <w:rFonts w:cs="Times"/>
          <w:shd w:val="clear" w:color="auto" w:fill="FFFFFF"/>
        </w:rPr>
        <w:t xml:space="preserve">adial distribution </w:t>
      </w:r>
      <w:r w:rsidR="00D24C67" w:rsidRPr="00CD4AD9">
        <w:rPr>
          <w:rFonts w:cs="Times"/>
          <w:shd w:val="clear" w:color="auto" w:fill="FFFFFF"/>
        </w:rPr>
        <w:t xml:space="preserve">features </w:t>
      </w:r>
      <w:r w:rsidR="00CD4AD9" w:rsidRPr="00CD4AD9">
        <w:rPr>
          <w:rFonts w:cs="Times"/>
          <w:shd w:val="clear" w:color="auto" w:fill="FFFFFF"/>
        </w:rPr>
        <w:t xml:space="preserve">of the actin, </w:t>
      </w:r>
      <w:proofErr w:type="spellStart"/>
      <w:r w:rsidR="00CD4AD9" w:rsidRPr="00CD4AD9">
        <w:rPr>
          <w:rFonts w:cs="Times"/>
          <w:shd w:val="clear" w:color="auto" w:fill="FFFFFF"/>
        </w:rPr>
        <w:t>golgi</w:t>
      </w:r>
      <w:proofErr w:type="spellEnd"/>
      <w:r w:rsidR="00CD4AD9" w:rsidRPr="00CD4AD9">
        <w:rPr>
          <w:rFonts w:cs="Times"/>
          <w:shd w:val="clear" w:color="auto" w:fill="FFFFFF"/>
        </w:rPr>
        <w:t xml:space="preserve">, and plasma membrane (AGP) channel in cells </w:t>
      </w:r>
      <w:r w:rsidR="005B258E">
        <w:rPr>
          <w:rFonts w:cs="Times"/>
          <w:shd w:val="clear" w:color="auto" w:fill="FFFFFF"/>
        </w:rPr>
        <w:t>has</w:t>
      </w:r>
      <w:r w:rsidR="006118A9">
        <w:rPr>
          <w:rFonts w:cs="Times"/>
          <w:shd w:val="clear" w:color="auto" w:fill="FFFFFF"/>
        </w:rPr>
        <w:t xml:space="preserve"> </w:t>
      </w:r>
      <w:r w:rsidR="006118A9" w:rsidRPr="006118A9">
        <w:rPr>
          <w:rFonts w:cs="Times"/>
          <w:shd w:val="clear" w:color="auto" w:fill="FFFFFF"/>
        </w:rPr>
        <w:t xml:space="preserve">been found to be </w:t>
      </w:r>
      <w:r w:rsidR="00CD4AD9" w:rsidRPr="00CD4AD9">
        <w:rPr>
          <w:rFonts w:cs="Times"/>
          <w:shd w:val="clear" w:color="auto" w:fill="FFFFFF"/>
        </w:rPr>
        <w:t>informative for predicting cell health endpoints</w:t>
      </w:r>
      <w:r w:rsidR="006118A9">
        <w:rPr>
          <w:rFonts w:cs="Times"/>
          <w:shd w:val="clear" w:color="auto" w:fill="FFFFFF"/>
        </w:rPr>
        <w:t xml:space="preserve"> </w:t>
      </w:r>
      <w:r w:rsidR="006118A9" w:rsidRPr="006118A9">
        <w:rPr>
          <w:rFonts w:cs="Times"/>
          <w:shd w:val="clear" w:color="auto" w:fill="FFFFFF"/>
        </w:rPr>
        <w:t>as described</w:t>
      </w:r>
      <w:r w:rsidR="006118A9">
        <w:rPr>
          <w:rFonts w:cs="Times"/>
          <w:shd w:val="clear" w:color="auto" w:fill="FFFFFF"/>
        </w:rPr>
        <w:t xml:space="preserve"> by Way et. al</w:t>
      </w:r>
      <w:r w:rsidR="003B0FA9">
        <w:t>.</w:t>
      </w:r>
      <w:r w:rsidR="00A2519B">
        <w:rPr>
          <w:rStyle w:val="EndnoteReference"/>
        </w:rPr>
        <w:endnoteReference w:id="65"/>
      </w:r>
      <w:r w:rsidR="003B0FA9">
        <w:t xml:space="preserve"> </w:t>
      </w:r>
      <w:r w:rsidR="00D42A44" w:rsidRPr="00D42A44">
        <w:t xml:space="preserve">On the biological level, this is plausible, </w:t>
      </w:r>
      <w:r w:rsidR="00D42A44">
        <w:t>given a</w:t>
      </w:r>
      <w:r w:rsidR="00D62C71" w:rsidRPr="00D62C71">
        <w:rPr>
          <w:rFonts w:cs="Times"/>
          <w:shd w:val="clear" w:color="auto" w:fill="FFFFFF"/>
        </w:rPr>
        <w:t xml:space="preserve"> redistribution of the intensity signal extracted from the staining</w:t>
      </w:r>
      <w:r w:rsidR="003D3D1A">
        <w:rPr>
          <w:rFonts w:cs="Times"/>
          <w:shd w:val="clear" w:color="auto" w:fill="FFFFFF"/>
        </w:rPr>
        <w:t xml:space="preserve"> in </w:t>
      </w:r>
      <w:r w:rsidR="003D3D1A" w:rsidRPr="003B0FA9">
        <w:rPr>
          <w:rFonts w:cs="Times"/>
          <w:shd w:val="clear" w:color="auto" w:fill="FFFFFF"/>
        </w:rPr>
        <w:t>radial distributions</w:t>
      </w:r>
      <w:r w:rsidR="003D3D1A">
        <w:rPr>
          <w:rFonts w:cs="Times"/>
          <w:shd w:val="clear" w:color="auto" w:fill="FFFFFF"/>
        </w:rPr>
        <w:t xml:space="preserve"> of various channels in cells </w:t>
      </w:r>
      <w:r w:rsidR="00647BF6">
        <w:rPr>
          <w:rFonts w:cs="Times"/>
          <w:shd w:val="clear" w:color="auto" w:fill="FFFFFF"/>
        </w:rPr>
        <w:t>is</w:t>
      </w:r>
      <w:r w:rsidR="00D62C71" w:rsidRPr="00D62C71">
        <w:rPr>
          <w:rFonts w:cs="Times"/>
          <w:shd w:val="clear" w:color="auto" w:fill="FFFFFF"/>
        </w:rPr>
        <w:t xml:space="preserve"> related to the characteristic rounding up of the cells</w:t>
      </w:r>
      <w:r w:rsidR="009A540D">
        <w:rPr>
          <w:rStyle w:val="EndnoteReference"/>
          <w:rFonts w:cs="Times"/>
          <w:shd w:val="clear" w:color="auto" w:fill="FFFFFF"/>
        </w:rPr>
        <w:endnoteReference w:id="66"/>
      </w:r>
      <w:r w:rsidR="00D62C71" w:rsidRPr="00D62C71">
        <w:rPr>
          <w:rFonts w:cs="Times"/>
          <w:shd w:val="clear" w:color="auto" w:fill="FFFFFF"/>
        </w:rPr>
        <w:t xml:space="preserve"> when undergoing apoptosis</w:t>
      </w:r>
      <w:bookmarkStart w:id="12" w:name="_Ref59535159"/>
      <w:r w:rsidR="009E44C4">
        <w:rPr>
          <w:rStyle w:val="EndnoteReference"/>
          <w:rFonts w:cs="Times"/>
          <w:shd w:val="clear" w:color="auto" w:fill="FFFFFF"/>
        </w:rPr>
        <w:endnoteReference w:id="67"/>
      </w:r>
      <w:bookmarkEnd w:id="12"/>
      <w:r w:rsidR="00D62C71" w:rsidRPr="00D62C71">
        <w:rPr>
          <w:rFonts w:cs="Times"/>
          <w:shd w:val="clear" w:color="auto" w:fill="FFFFFF"/>
        </w:rPr>
        <w:t xml:space="preserve"> or about to enter mitosis</w:t>
      </w:r>
      <w:r w:rsidR="009A540D">
        <w:rPr>
          <w:rStyle w:val="EndnoteReference"/>
          <w:rFonts w:cs="Times"/>
          <w:shd w:val="clear" w:color="auto" w:fill="FFFFFF"/>
        </w:rPr>
        <w:endnoteReference w:id="68"/>
      </w:r>
      <w:r w:rsidR="00D62C71" w:rsidRPr="00D62C71">
        <w:rPr>
          <w:rFonts w:cs="Times"/>
          <w:shd w:val="clear" w:color="auto" w:fill="FFFFFF"/>
        </w:rPr>
        <w:t>.</w:t>
      </w:r>
      <w:r w:rsidR="00133668">
        <w:rPr>
          <w:rFonts w:cs="Times"/>
          <w:shd w:val="clear" w:color="auto" w:fill="FFFFFF"/>
        </w:rPr>
        <w:t xml:space="preserve"> </w:t>
      </w:r>
      <w:r w:rsidR="0001421C" w:rsidRPr="0001421C">
        <w:rPr>
          <w:rFonts w:cs="Times"/>
          <w:shd w:val="clear" w:color="auto" w:fill="FFFFFF"/>
        </w:rPr>
        <w:t>Granularity and texture features corresponding to nuclei compartment were also found to contribute to model performance in our study. This is also consistent with previous work, given that especially cytotoxic and cytostatic compounds induce morphological changes in the nucleus</w:t>
      </w:r>
      <w:r w:rsidR="00837770">
        <w:rPr>
          <w:rStyle w:val="EndnoteReference"/>
          <w:rFonts w:cs="Times"/>
          <w:shd w:val="clear" w:color="auto" w:fill="FFFFFF"/>
        </w:rPr>
        <w:endnoteReference w:id="69"/>
      </w:r>
      <w:r w:rsidR="00837770" w:rsidRPr="00133668">
        <w:rPr>
          <w:rFonts w:cs="Times"/>
          <w:shd w:val="clear" w:color="auto" w:fill="FFFFFF"/>
        </w:rPr>
        <w:t xml:space="preserve"> </w:t>
      </w:r>
      <w:r w:rsidR="000656BD" w:rsidRPr="000656BD">
        <w:rPr>
          <w:rFonts w:cs="Times"/>
          <w:shd w:val="clear" w:color="auto" w:fill="FFFFFF"/>
        </w:rPr>
        <w:t xml:space="preserve">during cell cycle arrest </w:t>
      </w:r>
      <w:r w:rsidR="006548F6" w:rsidRPr="006548F6">
        <w:rPr>
          <w:rFonts w:cs="Times"/>
          <w:shd w:val="clear" w:color="auto" w:fill="FFFFFF"/>
        </w:rPr>
        <w:t>(or can even induce nuclear fragmentation</w:t>
      </w:r>
      <w:r w:rsidR="001E4F7F" w:rsidRPr="001E4F7F">
        <w:rPr>
          <w:rFonts w:cs="Times"/>
          <w:shd w:val="clear" w:color="auto" w:fill="FFFFFF"/>
          <w:vertAlign w:val="superscript"/>
        </w:rPr>
        <w:fldChar w:fldCharType="begin"/>
      </w:r>
      <w:r w:rsidR="001E4F7F" w:rsidRPr="001E4F7F">
        <w:rPr>
          <w:rFonts w:cs="Times"/>
          <w:shd w:val="clear" w:color="auto" w:fill="FFFFFF"/>
          <w:vertAlign w:val="superscript"/>
        </w:rPr>
        <w:instrText xml:space="preserve"> NOTEREF _Ref59535159 \h </w:instrText>
      </w:r>
      <w:r w:rsidR="001E4F7F">
        <w:rPr>
          <w:rFonts w:cs="Times"/>
          <w:shd w:val="clear" w:color="auto" w:fill="FFFFFF"/>
          <w:vertAlign w:val="superscript"/>
        </w:rPr>
        <w:instrText xml:space="preserve"> \* MERGEFORMAT </w:instrText>
      </w:r>
      <w:r w:rsidR="001E4F7F" w:rsidRPr="001E4F7F">
        <w:rPr>
          <w:rFonts w:cs="Times"/>
          <w:shd w:val="clear" w:color="auto" w:fill="FFFFFF"/>
          <w:vertAlign w:val="superscript"/>
        </w:rPr>
      </w:r>
      <w:r w:rsidR="001E4F7F" w:rsidRPr="001E4F7F">
        <w:rPr>
          <w:rFonts w:cs="Times"/>
          <w:shd w:val="clear" w:color="auto" w:fill="FFFFFF"/>
          <w:vertAlign w:val="superscript"/>
        </w:rPr>
        <w:fldChar w:fldCharType="separate"/>
      </w:r>
      <w:r w:rsidR="001E4F7F" w:rsidRPr="001E4F7F">
        <w:rPr>
          <w:rFonts w:cs="Times"/>
          <w:shd w:val="clear" w:color="auto" w:fill="FFFFFF"/>
          <w:vertAlign w:val="superscript"/>
        </w:rPr>
        <w:t>6</w:t>
      </w:r>
      <w:r w:rsidR="00986163">
        <w:rPr>
          <w:rFonts w:cs="Times"/>
          <w:shd w:val="clear" w:color="auto" w:fill="FFFFFF"/>
          <w:vertAlign w:val="superscript"/>
        </w:rPr>
        <w:t>6</w:t>
      </w:r>
      <w:r w:rsidR="001E4F7F" w:rsidRPr="001E4F7F">
        <w:rPr>
          <w:rFonts w:cs="Times"/>
          <w:shd w:val="clear" w:color="auto" w:fill="FFFFFF"/>
          <w:vertAlign w:val="superscript"/>
        </w:rPr>
        <w:fldChar w:fldCharType="end"/>
      </w:r>
      <w:r w:rsidR="006548F6" w:rsidRPr="006548F6">
        <w:rPr>
          <w:rFonts w:cs="Times"/>
          <w:shd w:val="clear" w:color="auto" w:fill="FFFFFF"/>
        </w:rPr>
        <w:t>), and thus cellular DNA content differs from conditions of normal cell cycle phase</w:t>
      </w:r>
      <w:r w:rsidR="006548F6">
        <w:rPr>
          <w:rFonts w:cs="Times"/>
          <w:shd w:val="clear" w:color="auto" w:fill="FFFFFF"/>
        </w:rPr>
        <w:t>.</w:t>
      </w:r>
      <w:r w:rsidR="00897C42" w:rsidRPr="001B47F3">
        <w:rPr>
          <w:rFonts w:cs="Times"/>
          <w:shd w:val="clear" w:color="auto" w:fill="FFFFFF"/>
          <w:vertAlign w:val="superscript"/>
        </w:rPr>
        <w:fldChar w:fldCharType="begin"/>
      </w:r>
      <w:r w:rsidR="00897C42" w:rsidRPr="001B47F3">
        <w:rPr>
          <w:rFonts w:cs="Times"/>
          <w:shd w:val="clear" w:color="auto" w:fill="FFFFFF"/>
          <w:vertAlign w:val="superscript"/>
        </w:rPr>
        <w:instrText xml:space="preserve"> NOTEREF _Ref59029464 \h </w:instrText>
      </w:r>
      <w:r w:rsidR="00897C42">
        <w:rPr>
          <w:rFonts w:cs="Times"/>
          <w:shd w:val="clear" w:color="auto" w:fill="FFFFFF"/>
          <w:vertAlign w:val="superscript"/>
        </w:rPr>
        <w:instrText xml:space="preserve"> \* MERGEFORMAT </w:instrText>
      </w:r>
      <w:r w:rsidR="00897C42" w:rsidRPr="001B47F3">
        <w:rPr>
          <w:rFonts w:cs="Times"/>
          <w:shd w:val="clear" w:color="auto" w:fill="FFFFFF"/>
          <w:vertAlign w:val="superscript"/>
        </w:rPr>
      </w:r>
      <w:r w:rsidR="00897C42" w:rsidRPr="001B47F3">
        <w:rPr>
          <w:rFonts w:cs="Times"/>
          <w:shd w:val="clear" w:color="auto" w:fill="FFFFFF"/>
          <w:vertAlign w:val="superscript"/>
        </w:rPr>
        <w:fldChar w:fldCharType="separate"/>
      </w:r>
      <w:r w:rsidR="00897C42">
        <w:rPr>
          <w:rFonts w:cs="Times"/>
          <w:shd w:val="clear" w:color="auto" w:fill="FFFFFF"/>
          <w:vertAlign w:val="superscript"/>
        </w:rPr>
        <w:t>26</w:t>
      </w:r>
      <w:r w:rsidR="00897C42" w:rsidRPr="001B47F3">
        <w:rPr>
          <w:rFonts w:cs="Times"/>
          <w:shd w:val="clear" w:color="auto" w:fill="FFFFFF"/>
          <w:vertAlign w:val="superscript"/>
        </w:rPr>
        <w:fldChar w:fldCharType="end"/>
      </w:r>
    </w:p>
    <w:p w14:paraId="1C32BD2F" w14:textId="18C6FF3B" w:rsidR="006A09B3" w:rsidRPr="001134B0" w:rsidRDefault="006A09B3" w:rsidP="00A6311E">
      <w:pPr>
        <w:pStyle w:val="TAMainText"/>
        <w:rPr>
          <w:rFonts w:cs="Times"/>
          <w:shd w:val="clear" w:color="auto" w:fill="FFFFFF"/>
        </w:rPr>
      </w:pPr>
      <w:r>
        <w:rPr>
          <w:rFonts w:cs="Times"/>
        </w:rPr>
        <w:t>BSK_3C_Vis_down,</w:t>
      </w:r>
      <w:r w:rsidRPr="004D4102">
        <w:rPr>
          <w:rFonts w:cs="Times"/>
        </w:rPr>
        <w:t xml:space="preserve"> </w:t>
      </w:r>
      <w:r>
        <w:rPr>
          <w:rFonts w:cs="Times"/>
        </w:rPr>
        <w:t xml:space="preserve">an assay with morphological reporter, found 20 out of 21 feature groups to be contributing towards its model performance, which is plausible given the original endpoint </w:t>
      </w:r>
      <w:r w:rsidRPr="00011955">
        <w:rPr>
          <w:rFonts w:cs="Times"/>
        </w:rPr>
        <w:t xml:space="preserve">is </w:t>
      </w:r>
      <w:r w:rsidRPr="006A09B3">
        <w:rPr>
          <w:rFonts w:cs="Times"/>
        </w:rPr>
        <w:t>designed to make measurements of cell phenotype, a form of morphology reporter</w:t>
      </w:r>
      <w:r>
        <w:rPr>
          <w:rFonts w:cs="Times"/>
        </w:rPr>
        <w:t>.</w:t>
      </w:r>
      <w:r w:rsidR="00BE5957">
        <w:rPr>
          <w:rFonts w:cs="Times"/>
        </w:rPr>
        <w:t xml:space="preserve"> The </w:t>
      </w:r>
      <w:proofErr w:type="spellStart"/>
      <w:r w:rsidR="00BE5957">
        <w:rPr>
          <w:rFonts w:cs="Times"/>
        </w:rPr>
        <w:t>BSK_LPS_SRB_down</w:t>
      </w:r>
      <w:proofErr w:type="spellEnd"/>
      <w:r w:rsidR="00BE5957">
        <w:rPr>
          <w:rFonts w:cs="Times"/>
        </w:rPr>
        <w:t xml:space="preserve"> assay, which </w:t>
      </w:r>
      <w:r w:rsidR="00591630">
        <w:rPr>
          <w:rFonts w:cs="Times"/>
        </w:rPr>
        <w:t xml:space="preserve">makes measurements on protein content, a form of viability reporter, also found 17 out of 21 </w:t>
      </w:r>
      <w:r w:rsidR="00284755">
        <w:rPr>
          <w:rFonts w:cs="Times"/>
        </w:rPr>
        <w:t>feature groups to contribute to</w:t>
      </w:r>
      <w:r w:rsidR="00580DFE">
        <w:rPr>
          <w:rFonts w:cs="Times"/>
        </w:rPr>
        <w:t>wards</w:t>
      </w:r>
      <w:r w:rsidR="00284755">
        <w:rPr>
          <w:rFonts w:cs="Times"/>
        </w:rPr>
        <w:t xml:space="preserve"> its model performance. These results further indicate cell morpholog</w:t>
      </w:r>
      <w:r w:rsidR="00C302F9">
        <w:rPr>
          <w:rFonts w:cs="Times"/>
        </w:rPr>
        <w:t xml:space="preserve">ical </w:t>
      </w:r>
      <w:r w:rsidR="001C6402">
        <w:rPr>
          <w:rFonts w:cs="Times"/>
        </w:rPr>
        <w:t>descriptors</w:t>
      </w:r>
      <w:r w:rsidR="00C302F9">
        <w:rPr>
          <w:rFonts w:cs="Times"/>
        </w:rPr>
        <w:t xml:space="preserve"> are </w:t>
      </w:r>
      <w:r w:rsidR="001C6402">
        <w:rPr>
          <w:rFonts w:cs="Times"/>
        </w:rPr>
        <w:t xml:space="preserve">indicative of </w:t>
      </w:r>
      <w:r w:rsidR="002B6FFF">
        <w:rPr>
          <w:rFonts w:cs="Times"/>
        </w:rPr>
        <w:t>cyto</w:t>
      </w:r>
      <w:r w:rsidR="00D43C47">
        <w:rPr>
          <w:rFonts w:cs="Times"/>
        </w:rPr>
        <w:t xml:space="preserve">toxicity-related </w:t>
      </w:r>
      <w:r w:rsidR="001C6402">
        <w:rPr>
          <w:rFonts w:cs="Times"/>
        </w:rPr>
        <w:t>endpoints.</w:t>
      </w:r>
    </w:p>
    <w:p w14:paraId="6BA56EDD" w14:textId="5F0A8A97" w:rsidR="00895B62" w:rsidRDefault="00C3190B" w:rsidP="00ED26C0">
      <w:pPr>
        <w:pStyle w:val="TAMainText"/>
        <w:rPr>
          <w:rFonts w:cs="Times"/>
        </w:rPr>
      </w:pPr>
      <w:r>
        <w:rPr>
          <w:rFonts w:cs="Times"/>
        </w:rPr>
        <w:t xml:space="preserve">Although </w:t>
      </w:r>
      <w:r w:rsidR="00FF2039" w:rsidRPr="001134B0">
        <w:rPr>
          <w:rFonts w:cs="Times"/>
        </w:rPr>
        <w:t>direct mechanistic relations cannot be drawn, the novelty</w:t>
      </w:r>
      <w:r w:rsidR="00F23201">
        <w:rPr>
          <w:rFonts w:cs="Times"/>
        </w:rPr>
        <w:t xml:space="preserve"> </w:t>
      </w:r>
      <w:r w:rsidR="001F113A">
        <w:rPr>
          <w:rFonts w:cs="Times"/>
        </w:rPr>
        <w:t xml:space="preserve">of using morphological descriptors is </w:t>
      </w:r>
      <w:r w:rsidR="00FF2039" w:rsidRPr="001134B0">
        <w:rPr>
          <w:rFonts w:cs="Times"/>
        </w:rPr>
        <w:t xml:space="preserve">that information </w:t>
      </w:r>
      <w:r w:rsidR="001C6402">
        <w:rPr>
          <w:rFonts w:cs="Times"/>
        </w:rPr>
        <w:t xml:space="preserve">from </w:t>
      </w:r>
      <w:r w:rsidR="001F113A">
        <w:rPr>
          <w:rFonts w:cs="Times"/>
        </w:rPr>
        <w:t>such</w:t>
      </w:r>
      <w:r w:rsidR="00FF2039" w:rsidRPr="001134B0">
        <w:rPr>
          <w:rFonts w:cs="Times"/>
        </w:rPr>
        <w:t xml:space="preserve"> </w:t>
      </w:r>
      <w:r w:rsidR="001F113A">
        <w:rPr>
          <w:rFonts w:cs="Times"/>
        </w:rPr>
        <w:t>descriptors</w:t>
      </w:r>
      <w:r w:rsidR="00FF2039" w:rsidRPr="001134B0">
        <w:rPr>
          <w:rFonts w:cs="Times"/>
        </w:rPr>
        <w:t xml:space="preserve"> (which is absent over structural fingerprints) </w:t>
      </w:r>
      <w:r w:rsidR="001F113A">
        <w:rPr>
          <w:rFonts w:cs="Times"/>
        </w:rPr>
        <w:t>can be</w:t>
      </w:r>
      <w:r w:rsidR="00FF2039" w:rsidRPr="001134B0">
        <w:rPr>
          <w:rFonts w:cs="Times"/>
        </w:rPr>
        <w:t xml:space="preserve"> presented as complementary </w:t>
      </w:r>
      <w:r w:rsidR="001F113A">
        <w:rPr>
          <w:rFonts w:cs="Times"/>
        </w:rPr>
        <w:t xml:space="preserve">to </w:t>
      </w:r>
      <w:r w:rsidR="00FF2039" w:rsidRPr="001134B0">
        <w:rPr>
          <w:rFonts w:cs="Times"/>
        </w:rPr>
        <w:t>(or perhaps even better than</w:t>
      </w:r>
      <w:r w:rsidR="001F113A">
        <w:rPr>
          <w:rFonts w:cs="Times"/>
        </w:rPr>
        <w:t>)</w:t>
      </w:r>
      <w:r w:rsidR="00FF2039" w:rsidRPr="001134B0">
        <w:rPr>
          <w:rFonts w:cs="Times"/>
        </w:rPr>
        <w:t xml:space="preserve"> structural/pharmacophore fingerprints</w:t>
      </w:r>
      <w:r w:rsidR="001F113A">
        <w:rPr>
          <w:rFonts w:cs="Times"/>
        </w:rPr>
        <w:t>.</w:t>
      </w:r>
      <w:r w:rsidR="006E49CE">
        <w:rPr>
          <w:rFonts w:cs="Times"/>
        </w:rPr>
        <w:t xml:space="preserve"> </w:t>
      </w:r>
      <w:r w:rsidR="00CF78BB">
        <w:rPr>
          <w:rFonts w:cs="Times"/>
        </w:rPr>
        <w:t xml:space="preserve">Recently </w:t>
      </w:r>
      <w:r w:rsidR="00CC08A0">
        <w:rPr>
          <w:rFonts w:cs="Times"/>
        </w:rPr>
        <w:t>Willis et al.</w:t>
      </w:r>
      <w:r w:rsidR="00CC08A0" w:rsidRPr="00CC08A0">
        <w:t xml:space="preserve"> </w:t>
      </w:r>
      <w:r w:rsidR="00CC08A0">
        <w:t xml:space="preserve">used </w:t>
      </w:r>
      <w:r w:rsidR="00CC08A0" w:rsidRPr="00CC08A0">
        <w:rPr>
          <w:rFonts w:cs="Times"/>
        </w:rPr>
        <w:t xml:space="preserve">high-throughput phenotypic profiling assays to characterise </w:t>
      </w:r>
      <w:r w:rsidR="00073A36" w:rsidRPr="00073A36">
        <w:rPr>
          <w:rFonts w:cs="Times"/>
        </w:rPr>
        <w:t xml:space="preserve">phenotypic response across </w:t>
      </w:r>
      <w:r w:rsidR="00B40519" w:rsidRPr="00B40519">
        <w:rPr>
          <w:rFonts w:cs="Times"/>
        </w:rPr>
        <w:t xml:space="preserve">biologically diverse </w:t>
      </w:r>
      <w:r w:rsidR="00073A36" w:rsidRPr="00073A36">
        <w:rPr>
          <w:rFonts w:cs="Times"/>
        </w:rPr>
        <w:t>human-derived cell lines</w:t>
      </w:r>
      <w:r w:rsidR="00CC08A0">
        <w:rPr>
          <w:rFonts w:cs="Times"/>
        </w:rPr>
        <w:t>.</w:t>
      </w:r>
      <w:r w:rsidR="0079563A">
        <w:rPr>
          <w:rStyle w:val="EndnoteReference"/>
          <w:rFonts w:cs="Times"/>
        </w:rPr>
        <w:endnoteReference w:id="70"/>
      </w:r>
      <w:r w:rsidR="0079563A" w:rsidRPr="00073A36">
        <w:rPr>
          <w:rFonts w:cs="Times"/>
        </w:rPr>
        <w:t xml:space="preserve"> </w:t>
      </w:r>
      <w:r w:rsidR="00825D49">
        <w:rPr>
          <w:rFonts w:cs="Times"/>
        </w:rPr>
        <w:t>They show that f</w:t>
      </w:r>
      <w:r w:rsidR="00993BBF">
        <w:rPr>
          <w:rFonts w:cs="Times"/>
        </w:rPr>
        <w:t>or certain reference</w:t>
      </w:r>
      <w:r w:rsidR="00493362">
        <w:rPr>
          <w:rFonts w:cs="Times"/>
        </w:rPr>
        <w:t xml:space="preserve"> chemicals,</w:t>
      </w:r>
      <w:r w:rsidR="00B96718">
        <w:rPr>
          <w:rFonts w:cs="Times"/>
        </w:rPr>
        <w:t xml:space="preserve"> the Cell Painting assa</w:t>
      </w:r>
      <w:r w:rsidR="00FD61FD">
        <w:rPr>
          <w:rFonts w:cs="Times"/>
        </w:rPr>
        <w:t>y</w:t>
      </w:r>
      <w:r w:rsidR="00B96718">
        <w:rPr>
          <w:rFonts w:cs="Times"/>
        </w:rPr>
        <w:t xml:space="preserve"> </w:t>
      </w:r>
      <w:r w:rsidR="00FD61FD">
        <w:rPr>
          <w:rFonts w:cs="Times"/>
        </w:rPr>
        <w:t>generated biological activity profiles that were qualitatively similar</w:t>
      </w:r>
      <w:r w:rsidR="00493362">
        <w:rPr>
          <w:rFonts w:cs="Times"/>
        </w:rPr>
        <w:t xml:space="preserve"> </w:t>
      </w:r>
      <w:r w:rsidR="00BF69D5">
        <w:rPr>
          <w:rFonts w:cs="Times"/>
        </w:rPr>
        <w:t xml:space="preserve">, and this, </w:t>
      </w:r>
      <w:r w:rsidR="009B694B">
        <w:rPr>
          <w:rFonts w:cs="Times"/>
        </w:rPr>
        <w:t xml:space="preserve">without the </w:t>
      </w:r>
      <w:r w:rsidR="009B694B">
        <w:rPr>
          <w:rFonts w:cs="Times"/>
        </w:rPr>
        <w:lastRenderedPageBreak/>
        <w:t xml:space="preserve">need </w:t>
      </w:r>
      <w:r w:rsidR="00BF69D5">
        <w:rPr>
          <w:rFonts w:cs="Times"/>
        </w:rPr>
        <w:t>of</w:t>
      </w:r>
      <w:r w:rsidR="00CD01C9">
        <w:rPr>
          <w:rFonts w:cs="Times"/>
        </w:rPr>
        <w:t xml:space="preserve"> adjust</w:t>
      </w:r>
      <w:r w:rsidR="00BF69D5">
        <w:rPr>
          <w:rFonts w:cs="Times"/>
        </w:rPr>
        <w:t>ing</w:t>
      </w:r>
      <w:r w:rsidR="00CD01C9">
        <w:rPr>
          <w:rFonts w:cs="Times"/>
        </w:rPr>
        <w:t xml:space="preserve"> </w:t>
      </w:r>
      <w:r w:rsidR="009B694B">
        <w:rPr>
          <w:rFonts w:cs="Times"/>
        </w:rPr>
        <w:t>cytochemistry protocols</w:t>
      </w:r>
      <w:r w:rsidR="00CD01C9">
        <w:rPr>
          <w:rFonts w:cs="Times"/>
        </w:rPr>
        <w:t xml:space="preserve"> for each </w:t>
      </w:r>
      <w:r w:rsidR="00BF69D5">
        <w:rPr>
          <w:rFonts w:cs="Times"/>
        </w:rPr>
        <w:t xml:space="preserve">of the </w:t>
      </w:r>
      <w:r w:rsidR="00BF69D5" w:rsidRPr="00BF69D5">
        <w:rPr>
          <w:rFonts w:cs="Times"/>
        </w:rPr>
        <w:t>diverse</w:t>
      </w:r>
      <w:r w:rsidR="00BF69D5">
        <w:rPr>
          <w:rFonts w:cs="Times"/>
        </w:rPr>
        <w:t xml:space="preserve">, </w:t>
      </w:r>
      <w:r w:rsidR="00BF69D5" w:rsidRPr="00BF69D5">
        <w:rPr>
          <w:rFonts w:cs="Times"/>
        </w:rPr>
        <w:t>morphologically unique cell line</w:t>
      </w:r>
      <w:r w:rsidR="00BF69D5">
        <w:rPr>
          <w:rFonts w:cs="Times"/>
        </w:rPr>
        <w:t>s</w:t>
      </w:r>
      <w:r w:rsidR="00FD61FD">
        <w:rPr>
          <w:rFonts w:cs="Times"/>
        </w:rPr>
        <w:t xml:space="preserve">. </w:t>
      </w:r>
      <w:r w:rsidR="00895B62" w:rsidRPr="00895B62">
        <w:rPr>
          <w:rFonts w:cs="Times"/>
        </w:rPr>
        <w:t xml:space="preserve">Our study </w:t>
      </w:r>
      <w:proofErr w:type="gramStart"/>
      <w:r w:rsidR="00895B62" w:rsidRPr="00895B62">
        <w:rPr>
          <w:rFonts w:cs="Times"/>
        </w:rPr>
        <w:t>is in agreement</w:t>
      </w:r>
      <w:proofErr w:type="gramEnd"/>
      <w:r w:rsidR="00895B62" w:rsidRPr="00895B62">
        <w:rPr>
          <w:rFonts w:cs="Times"/>
        </w:rPr>
        <w:t xml:space="preserve"> with that, and finds that Cell Painting descriptors can be used to predict cytotoxicity and reduced proliferations assay endpoints, also for different cell lines than the one the Cell Painting dataset used here was generated in. The fact that features deemed important </w:t>
      </w:r>
      <w:proofErr w:type="gramStart"/>
      <w:r w:rsidR="00895B62" w:rsidRPr="00895B62">
        <w:rPr>
          <w:rFonts w:cs="Times"/>
        </w:rPr>
        <w:t>were in agreement</w:t>
      </w:r>
      <w:proofErr w:type="gramEnd"/>
      <w:r w:rsidR="00895B62" w:rsidRPr="00895B62">
        <w:rPr>
          <w:rFonts w:cs="Times"/>
        </w:rPr>
        <w:t xml:space="preserve"> with existing literature with respect to the endpoints considered, provides further evidence that a meaningful model had been obtained.</w:t>
      </w:r>
    </w:p>
    <w:p w14:paraId="62D8573E" w14:textId="3708E77D" w:rsidR="00AC3477" w:rsidRPr="00F86666" w:rsidRDefault="00AC3477" w:rsidP="00ED26C0">
      <w:pPr>
        <w:pStyle w:val="TAMainText"/>
        <w:rPr>
          <w:rFonts w:cs="Times"/>
          <w:b/>
          <w:bCs/>
        </w:rPr>
      </w:pPr>
      <w:r w:rsidRPr="00F86666">
        <w:rPr>
          <w:rFonts w:cs="Times"/>
          <w:b/>
          <w:bCs/>
        </w:rPr>
        <w:t>Limitations of this work</w:t>
      </w:r>
    </w:p>
    <w:p w14:paraId="435DDBBF" w14:textId="77F4F108" w:rsidR="00683397" w:rsidRDefault="001F6B91" w:rsidP="00037586">
      <w:pPr>
        <w:pStyle w:val="TAMainText"/>
        <w:rPr>
          <w:rFonts w:cs="Times"/>
          <w:shd w:val="clear" w:color="auto" w:fill="FFFFFF"/>
        </w:rPr>
      </w:pPr>
      <w:r w:rsidRPr="001134B0">
        <w:rPr>
          <w:rFonts w:cs="Times"/>
          <w:shd w:val="clear" w:color="auto" w:fill="FFFFFF"/>
        </w:rPr>
        <w:t>The main limitations of the current study</w:t>
      </w:r>
      <w:r w:rsidR="00A12939" w:rsidRPr="001134B0">
        <w:rPr>
          <w:rFonts w:cs="Times"/>
          <w:shd w:val="clear" w:color="auto" w:fill="FFFFFF"/>
        </w:rPr>
        <w:t xml:space="preserve"> </w:t>
      </w:r>
      <w:r w:rsidRPr="001134B0">
        <w:rPr>
          <w:rFonts w:cs="Times"/>
          <w:shd w:val="clear" w:color="auto" w:fill="FFFFFF"/>
        </w:rPr>
        <w:t>are as follows</w:t>
      </w:r>
      <w:r w:rsidR="00DF171F" w:rsidRPr="001134B0">
        <w:rPr>
          <w:rFonts w:cs="Times"/>
          <w:shd w:val="clear" w:color="auto" w:fill="FFFFFF"/>
        </w:rPr>
        <w:t>:</w:t>
      </w:r>
      <w:r w:rsidRPr="001134B0">
        <w:rPr>
          <w:rFonts w:cs="Times"/>
          <w:shd w:val="clear" w:color="auto" w:fill="FFFFFF"/>
        </w:rPr>
        <w:t xml:space="preserve"> </w:t>
      </w:r>
      <w:r w:rsidR="00C744E7" w:rsidRPr="001134B0">
        <w:rPr>
          <w:rFonts w:cs="Times"/>
          <w:shd w:val="clear" w:color="auto" w:fill="FFFFFF"/>
        </w:rPr>
        <w:t>Firstly</w:t>
      </w:r>
      <w:r w:rsidR="00F61F9B">
        <w:rPr>
          <w:rFonts w:cs="Times"/>
        </w:rPr>
        <w:t xml:space="preserve">, </w:t>
      </w:r>
      <w:r w:rsidR="00DF171F" w:rsidRPr="001134B0">
        <w:rPr>
          <w:rFonts w:cs="Times"/>
          <w:shd w:val="clear" w:color="auto" w:fill="FFFFFF"/>
        </w:rPr>
        <w:t>the dataset used</w:t>
      </w:r>
      <w:r w:rsidRPr="001134B0">
        <w:rPr>
          <w:rFonts w:cs="Times"/>
          <w:shd w:val="clear" w:color="auto" w:fill="FFFFFF"/>
        </w:rPr>
        <w:t xml:space="preserve"> cover</w:t>
      </w:r>
      <w:r w:rsidR="00DF171F" w:rsidRPr="001134B0">
        <w:rPr>
          <w:rFonts w:cs="Times"/>
          <w:shd w:val="clear" w:color="auto" w:fill="FFFFFF"/>
        </w:rPr>
        <w:t>s</w:t>
      </w:r>
      <w:r w:rsidRPr="001134B0">
        <w:rPr>
          <w:rFonts w:cs="Times"/>
          <w:shd w:val="clear" w:color="auto" w:fill="FFFFFF"/>
        </w:rPr>
        <w:t xml:space="preserve"> </w:t>
      </w:r>
      <w:r w:rsidR="00931CE3">
        <w:rPr>
          <w:rFonts w:cs="Times"/>
          <w:shd w:val="clear" w:color="auto" w:fill="FFFFFF"/>
        </w:rPr>
        <w:t xml:space="preserve">only </w:t>
      </w:r>
      <w:r w:rsidRPr="001134B0">
        <w:rPr>
          <w:rFonts w:cs="Times"/>
          <w:shd w:val="clear" w:color="auto" w:fill="FFFFFF"/>
        </w:rPr>
        <w:t>a limited</w:t>
      </w:r>
      <w:r w:rsidR="00DF171F" w:rsidRPr="001134B0">
        <w:rPr>
          <w:rFonts w:cs="Times"/>
          <w:shd w:val="clear" w:color="auto" w:fill="FFFFFF"/>
        </w:rPr>
        <w:t xml:space="preserve"> number of data</w:t>
      </w:r>
      <w:r w:rsidR="004024C0" w:rsidRPr="001134B0">
        <w:rPr>
          <w:rFonts w:cs="Times"/>
          <w:shd w:val="clear" w:color="auto" w:fill="FFFFFF"/>
        </w:rPr>
        <w:t xml:space="preserve"> </w:t>
      </w:r>
      <w:r w:rsidR="00DF171F" w:rsidRPr="001134B0">
        <w:rPr>
          <w:rFonts w:cs="Times"/>
          <w:shd w:val="clear" w:color="auto" w:fill="FFFFFF"/>
        </w:rPr>
        <w:t>points</w:t>
      </w:r>
      <w:r w:rsidRPr="001134B0">
        <w:rPr>
          <w:rFonts w:cs="Times"/>
          <w:shd w:val="clear" w:color="auto" w:fill="FFFFFF"/>
        </w:rPr>
        <w:t xml:space="preserve"> </w:t>
      </w:r>
      <w:r w:rsidR="00DF171F" w:rsidRPr="001134B0">
        <w:rPr>
          <w:rFonts w:cs="Times"/>
          <w:shd w:val="clear" w:color="auto" w:fill="FFFFFF"/>
        </w:rPr>
        <w:t xml:space="preserve">(and </w:t>
      </w:r>
      <w:r w:rsidR="00931CE3">
        <w:rPr>
          <w:rFonts w:cs="Times"/>
          <w:shd w:val="clear" w:color="auto" w:fill="FFFFFF"/>
        </w:rPr>
        <w:t>hence</w:t>
      </w:r>
      <w:r w:rsidR="009B72A7">
        <w:rPr>
          <w:rFonts w:cs="Times"/>
          <w:shd w:val="clear" w:color="auto" w:fill="FFFFFF"/>
        </w:rPr>
        <w:t>,</w:t>
      </w:r>
      <w:r w:rsidR="00931CE3">
        <w:rPr>
          <w:rFonts w:cs="Times"/>
          <w:shd w:val="clear" w:color="auto" w:fill="FFFFFF"/>
        </w:rPr>
        <w:t xml:space="preserve"> </w:t>
      </w:r>
      <w:r w:rsidR="00DF171F" w:rsidRPr="001134B0">
        <w:rPr>
          <w:rFonts w:cs="Times"/>
          <w:shd w:val="clear" w:color="auto" w:fill="FFFFFF"/>
        </w:rPr>
        <w:t>area of chemical space)</w:t>
      </w:r>
      <w:r w:rsidRPr="001134B0">
        <w:rPr>
          <w:rFonts w:cs="Times"/>
          <w:shd w:val="clear" w:color="auto" w:fill="FFFFFF"/>
        </w:rPr>
        <w:t xml:space="preserve"> </w:t>
      </w:r>
      <w:r w:rsidR="00DF171F" w:rsidRPr="001134B0">
        <w:rPr>
          <w:rFonts w:cs="Times"/>
          <w:shd w:val="clear" w:color="auto" w:fill="FFFFFF"/>
        </w:rPr>
        <w:t>due to the required</w:t>
      </w:r>
      <w:r w:rsidRPr="001134B0">
        <w:rPr>
          <w:rFonts w:cs="Times"/>
          <w:shd w:val="clear" w:color="auto" w:fill="FFFFFF"/>
        </w:rPr>
        <w:t xml:space="preserve"> overlap of the </w:t>
      </w:r>
      <w:r w:rsidRPr="001134B0">
        <w:rPr>
          <w:rFonts w:cs="Times"/>
        </w:rPr>
        <w:t xml:space="preserve">Cell Painting </w:t>
      </w:r>
      <w:r w:rsidRPr="001134B0">
        <w:rPr>
          <w:rFonts w:cs="Times"/>
          <w:shd w:val="clear" w:color="auto" w:fill="FFFFFF"/>
        </w:rPr>
        <w:t xml:space="preserve">assay with </w:t>
      </w:r>
      <w:r w:rsidR="00DF171F" w:rsidRPr="001134B0">
        <w:rPr>
          <w:rFonts w:cs="Times"/>
          <w:shd w:val="clear" w:color="auto" w:fill="FFFFFF"/>
        </w:rPr>
        <w:t>assay annotations</w:t>
      </w:r>
      <w:r w:rsidR="00972234">
        <w:rPr>
          <w:rFonts w:cs="Times"/>
          <w:shd w:val="clear" w:color="auto" w:fill="FFFFFF"/>
        </w:rPr>
        <w:t xml:space="preserve">. </w:t>
      </w:r>
      <w:r w:rsidR="007E0B90">
        <w:rPr>
          <w:rFonts w:cs="Times"/>
          <w:shd w:val="clear" w:color="auto" w:fill="FFFFFF"/>
        </w:rPr>
        <w:t xml:space="preserve">Although </w:t>
      </w:r>
      <w:r w:rsidR="00CF21F1" w:rsidRPr="00CF21F1">
        <w:rPr>
          <w:rFonts w:cs="Times"/>
          <w:shd w:val="clear" w:color="auto" w:fill="FFFFFF"/>
        </w:rPr>
        <w:t>Random Forest models are usually robust against overfitting</w:t>
      </w:r>
      <w:r w:rsidR="00B67045">
        <w:rPr>
          <w:rFonts w:cs="Times"/>
          <w:shd w:val="clear" w:color="auto" w:fill="FFFFFF"/>
        </w:rPr>
        <w:t xml:space="preserve"> and </w:t>
      </w:r>
      <w:r w:rsidR="007E0B90">
        <w:rPr>
          <w:rFonts w:cs="Times"/>
          <w:shd w:val="clear" w:color="auto" w:fill="FFFFFF"/>
        </w:rPr>
        <w:t xml:space="preserve">a nested cross validation was used, </w:t>
      </w:r>
      <w:r w:rsidR="00972234" w:rsidRPr="00972234">
        <w:rPr>
          <w:rFonts w:cs="Times"/>
          <w:shd w:val="clear" w:color="auto" w:fill="FFFFFF"/>
        </w:rPr>
        <w:t xml:space="preserve">but </w:t>
      </w:r>
      <w:proofErr w:type="gramStart"/>
      <w:r w:rsidR="00972234" w:rsidRPr="00972234">
        <w:rPr>
          <w:rFonts w:cs="Times"/>
          <w:shd w:val="clear" w:color="auto" w:fill="FFFFFF"/>
        </w:rPr>
        <w:t>in particular due</w:t>
      </w:r>
      <w:proofErr w:type="gramEnd"/>
      <w:r w:rsidR="00972234" w:rsidRPr="00972234">
        <w:rPr>
          <w:rFonts w:cs="Times"/>
          <w:shd w:val="clear" w:color="auto" w:fill="FFFFFF"/>
        </w:rPr>
        <w:t xml:space="preserve"> to small dataset size</w:t>
      </w:r>
      <w:r w:rsidR="00AF3555">
        <w:rPr>
          <w:rFonts w:cs="Times"/>
          <w:shd w:val="clear" w:color="auto" w:fill="FFFFFF"/>
        </w:rPr>
        <w:t xml:space="preserve">, </w:t>
      </w:r>
      <w:r w:rsidR="007E0B90">
        <w:rPr>
          <w:rFonts w:cs="Times"/>
          <w:shd w:val="clear" w:color="auto" w:fill="FFFFFF"/>
        </w:rPr>
        <w:t xml:space="preserve">overfitting </w:t>
      </w:r>
      <w:r w:rsidR="00972234" w:rsidRPr="00972234">
        <w:rPr>
          <w:rFonts w:cs="Times"/>
          <w:shd w:val="clear" w:color="auto" w:fill="FFFFFF"/>
        </w:rPr>
        <w:t xml:space="preserve">indeed is a potential </w:t>
      </w:r>
      <w:r w:rsidR="00C33BE8" w:rsidRPr="00972234">
        <w:rPr>
          <w:rFonts w:cs="Times"/>
          <w:shd w:val="clear" w:color="auto" w:fill="FFFFFF"/>
        </w:rPr>
        <w:t>risk</w:t>
      </w:r>
      <w:r w:rsidRPr="001134B0">
        <w:rPr>
          <w:rFonts w:cs="Times"/>
          <w:shd w:val="clear" w:color="auto" w:fill="FFFFFF"/>
        </w:rPr>
        <w:t xml:space="preserve">. </w:t>
      </w:r>
      <w:r w:rsidR="00C744E7">
        <w:rPr>
          <w:rFonts w:cs="Times"/>
          <w:shd w:val="clear" w:color="auto" w:fill="FFFFFF"/>
        </w:rPr>
        <w:t>Secondly</w:t>
      </w:r>
      <w:r w:rsidRPr="001134B0">
        <w:rPr>
          <w:rFonts w:cs="Times"/>
          <w:shd w:val="clear" w:color="auto" w:fill="FFFFFF"/>
        </w:rPr>
        <w:t>,</w:t>
      </w:r>
      <w:r w:rsidR="00DF171F" w:rsidRPr="001134B0">
        <w:rPr>
          <w:rFonts w:cs="Times"/>
          <w:shd w:val="clear" w:color="auto" w:fill="FFFFFF"/>
        </w:rPr>
        <w:t xml:space="preserve"> the </w:t>
      </w:r>
      <w:r w:rsidRPr="001134B0">
        <w:rPr>
          <w:rFonts w:cs="Times"/>
          <w:shd w:val="clear" w:color="auto" w:fill="FFFFFF"/>
        </w:rPr>
        <w:t>binarization of data</w:t>
      </w:r>
      <w:r w:rsidR="00DF171F" w:rsidRPr="001134B0">
        <w:rPr>
          <w:rFonts w:cs="Times"/>
          <w:shd w:val="clear" w:color="auto" w:fill="FFFFFF"/>
        </w:rPr>
        <w:t xml:space="preserve"> (here endpoint labels, into toxic and non-toxic)</w:t>
      </w:r>
      <w:r w:rsidRPr="001134B0">
        <w:rPr>
          <w:rFonts w:cs="Times"/>
          <w:shd w:val="clear" w:color="auto" w:fill="FFFFFF"/>
        </w:rPr>
        <w:t xml:space="preserve"> always leads to </w:t>
      </w:r>
      <w:r w:rsidR="00DF171F" w:rsidRPr="001134B0">
        <w:rPr>
          <w:rFonts w:cs="Times"/>
          <w:shd w:val="clear" w:color="auto" w:fill="FFFFFF"/>
        </w:rPr>
        <w:t xml:space="preserve">a </w:t>
      </w:r>
      <w:r w:rsidRPr="001134B0">
        <w:rPr>
          <w:rFonts w:cs="Times"/>
          <w:shd w:val="clear" w:color="auto" w:fill="FFFFFF"/>
        </w:rPr>
        <w:t>loss of information</w:t>
      </w:r>
      <w:r w:rsidR="004A5200" w:rsidRPr="001134B0">
        <w:rPr>
          <w:rStyle w:val="EndnoteReference"/>
          <w:rFonts w:cs="Times"/>
          <w:shd w:val="clear" w:color="auto" w:fill="FFFFFF"/>
        </w:rPr>
        <w:endnoteReference w:id="71"/>
      </w:r>
      <w:r w:rsidRPr="001134B0">
        <w:rPr>
          <w:rFonts w:cs="Times"/>
          <w:shd w:val="clear" w:color="auto" w:fill="FFFFFF"/>
        </w:rPr>
        <w:t xml:space="preserve"> related to activity</w:t>
      </w:r>
      <w:r w:rsidR="00DF171F" w:rsidRPr="001134B0">
        <w:rPr>
          <w:rFonts w:cs="Times"/>
          <w:shd w:val="clear" w:color="auto" w:fill="FFFFFF"/>
        </w:rPr>
        <w:t xml:space="preserve"> and</w:t>
      </w:r>
      <w:r w:rsidRPr="001134B0">
        <w:rPr>
          <w:rFonts w:cs="Times"/>
          <w:shd w:val="clear" w:color="auto" w:fill="FFFFFF"/>
        </w:rPr>
        <w:t xml:space="preserve"> dose</w:t>
      </w:r>
      <w:r w:rsidR="00DF171F" w:rsidRPr="001134B0">
        <w:rPr>
          <w:rFonts w:cs="Times"/>
          <w:shd w:val="clear" w:color="auto" w:fill="FFFFFF"/>
        </w:rPr>
        <w:t xml:space="preserve">, and hence for quantitative predictions with </w:t>
      </w:r>
      <w:r w:rsidR="00DF171F" w:rsidRPr="001134B0">
        <w:rPr>
          <w:rFonts w:cs="Times"/>
          <w:i/>
          <w:iCs/>
          <w:shd w:val="clear" w:color="auto" w:fill="FFFFFF"/>
        </w:rPr>
        <w:t>in vivo</w:t>
      </w:r>
      <w:r w:rsidR="00DF171F" w:rsidRPr="001134B0">
        <w:rPr>
          <w:rFonts w:cs="Times"/>
          <w:shd w:val="clear" w:color="auto" w:fill="FFFFFF"/>
        </w:rPr>
        <w:t xml:space="preserve"> relevance</w:t>
      </w:r>
      <w:r w:rsidR="00F03F28">
        <w:rPr>
          <w:rFonts w:cs="Times"/>
          <w:shd w:val="clear" w:color="auto" w:fill="FFFFFF"/>
        </w:rPr>
        <w:t>,</w:t>
      </w:r>
      <w:r w:rsidR="00931CE3">
        <w:rPr>
          <w:rFonts w:cs="Times"/>
          <w:shd w:val="clear" w:color="auto" w:fill="FFFFFF"/>
        </w:rPr>
        <w:t xml:space="preserve"> </w:t>
      </w:r>
      <w:r w:rsidR="00DF171F" w:rsidRPr="001134B0">
        <w:rPr>
          <w:rFonts w:cs="Times"/>
          <w:shd w:val="clear" w:color="auto" w:fill="FFFFFF"/>
        </w:rPr>
        <w:t>this would need to be considered</w:t>
      </w:r>
      <w:r w:rsidRPr="001134B0">
        <w:rPr>
          <w:rFonts w:cs="Times"/>
          <w:shd w:val="clear" w:color="auto" w:fill="FFFFFF"/>
        </w:rPr>
        <w:t xml:space="preserve">. </w:t>
      </w:r>
      <w:r w:rsidR="00C744E7">
        <w:rPr>
          <w:rFonts w:cs="Times"/>
          <w:shd w:val="clear" w:color="auto" w:fill="FFFFFF"/>
        </w:rPr>
        <w:t>Thirdly</w:t>
      </w:r>
      <w:r w:rsidR="00C744E7" w:rsidRPr="001134B0">
        <w:rPr>
          <w:rFonts w:cs="Times"/>
          <w:shd w:val="clear" w:color="auto" w:fill="FFFFFF"/>
        </w:rPr>
        <w:t xml:space="preserve">, </w:t>
      </w:r>
      <w:r w:rsidR="00C744E7" w:rsidRPr="001134B0">
        <w:rPr>
          <w:rFonts w:cs="Times"/>
        </w:rPr>
        <w:t xml:space="preserve">the </w:t>
      </w:r>
      <w:r w:rsidR="00C744E7" w:rsidRPr="001134B0">
        <w:rPr>
          <w:rFonts w:cs="Times"/>
          <w:i/>
          <w:iCs/>
        </w:rPr>
        <w:t>in vitro</w:t>
      </w:r>
      <w:r w:rsidR="00C744E7" w:rsidRPr="001134B0">
        <w:rPr>
          <w:rFonts w:cs="Times"/>
        </w:rPr>
        <w:t xml:space="preserve"> toxicity endpoints </w:t>
      </w:r>
      <w:r w:rsidR="00C744E7">
        <w:rPr>
          <w:rFonts w:cs="Times"/>
        </w:rPr>
        <w:t xml:space="preserve">such as in </w:t>
      </w:r>
      <w:proofErr w:type="spellStart"/>
      <w:r w:rsidR="00C744E7">
        <w:rPr>
          <w:rFonts w:cs="Times"/>
        </w:rPr>
        <w:t>ToxCast</w:t>
      </w:r>
      <w:proofErr w:type="spellEnd"/>
      <w:r w:rsidR="00C744E7">
        <w:rPr>
          <w:rFonts w:cs="Times"/>
        </w:rPr>
        <w:t xml:space="preserve"> </w:t>
      </w:r>
      <w:r w:rsidR="00C744E7" w:rsidRPr="001134B0">
        <w:rPr>
          <w:rFonts w:cs="Times"/>
        </w:rPr>
        <w:t xml:space="preserve">are often impacted by uncertainties in </w:t>
      </w:r>
      <w:r w:rsidR="00BC496D">
        <w:rPr>
          <w:rFonts w:cs="Times"/>
        </w:rPr>
        <w:t xml:space="preserve">the </w:t>
      </w:r>
      <w:r w:rsidR="00C744E7" w:rsidRPr="001134B0">
        <w:rPr>
          <w:rFonts w:cs="Times"/>
        </w:rPr>
        <w:t xml:space="preserve">estimation of concentration-response parameters such as potency and efficacy. Hence this also impacts the models and analyses built from these parameters and thus </w:t>
      </w:r>
      <w:proofErr w:type="gramStart"/>
      <w:r w:rsidR="00C744E7" w:rsidRPr="001134B0">
        <w:rPr>
          <w:rFonts w:cs="Times"/>
        </w:rPr>
        <w:t>the final conclusion</w:t>
      </w:r>
      <w:proofErr w:type="gramEnd"/>
      <w:r w:rsidR="00C744E7" w:rsidRPr="001134B0">
        <w:rPr>
          <w:rFonts w:cs="Times"/>
        </w:rPr>
        <w:t xml:space="preserve"> on </w:t>
      </w:r>
      <w:r w:rsidR="00C744E7">
        <w:rPr>
          <w:rFonts w:cs="Times"/>
        </w:rPr>
        <w:t xml:space="preserve">the compound hit probability. For example, Watt et al. explored the uncertainty in hit call for </w:t>
      </w:r>
      <w:proofErr w:type="spellStart"/>
      <w:r w:rsidR="00C744E7">
        <w:rPr>
          <w:rFonts w:cs="Times"/>
        </w:rPr>
        <w:t>ToxCast</w:t>
      </w:r>
      <w:proofErr w:type="spellEnd"/>
      <w:r w:rsidR="00C744E7">
        <w:rPr>
          <w:rFonts w:cs="Times"/>
        </w:rPr>
        <w:t xml:space="preserve"> assays. The authors used </w:t>
      </w:r>
      <w:r w:rsidR="00C744E7" w:rsidRPr="00403B08">
        <w:rPr>
          <w:rFonts w:cs="Times"/>
        </w:rPr>
        <w:t xml:space="preserve">nonparametric bootstrap resampling to calculate uncertainties in </w:t>
      </w:r>
      <w:r w:rsidR="00BC496D">
        <w:rPr>
          <w:rFonts w:cs="Times"/>
        </w:rPr>
        <w:t xml:space="preserve">the </w:t>
      </w:r>
      <w:r w:rsidR="00C744E7" w:rsidRPr="00403B08">
        <w:rPr>
          <w:rFonts w:cs="Times"/>
        </w:rPr>
        <w:t>concentration-response parameters</w:t>
      </w:r>
      <w:r w:rsidR="00C744E7">
        <w:rPr>
          <w:rFonts w:cs="Times"/>
        </w:rPr>
        <w:t xml:space="preserve">. For example, for one particular assay common to this study as well, namely </w:t>
      </w:r>
      <w:r w:rsidR="00C744E7" w:rsidRPr="00927437">
        <w:rPr>
          <w:rFonts w:cs="Times"/>
        </w:rPr>
        <w:t>ACEA_T47D_80hr_Positive</w:t>
      </w:r>
      <w:r w:rsidR="00C744E7">
        <w:rPr>
          <w:rFonts w:cs="Times"/>
        </w:rPr>
        <w:t xml:space="preserve">, </w:t>
      </w:r>
      <w:r w:rsidR="00C744E7" w:rsidRPr="00927437">
        <w:rPr>
          <w:rFonts w:cs="Times"/>
        </w:rPr>
        <w:t>over 25% of the curves ha</w:t>
      </w:r>
      <w:r w:rsidR="00C744E7">
        <w:rPr>
          <w:rFonts w:cs="Times"/>
        </w:rPr>
        <w:t>d</w:t>
      </w:r>
      <w:r w:rsidR="00740C57">
        <w:rPr>
          <w:rFonts w:cs="Times"/>
        </w:rPr>
        <w:t xml:space="preserve"> </w:t>
      </w:r>
      <w:r w:rsidR="00C744E7" w:rsidRPr="00927437">
        <w:rPr>
          <w:rFonts w:cs="Times"/>
        </w:rPr>
        <w:t xml:space="preserve">a hit probability between 0 </w:t>
      </w:r>
      <w:r w:rsidR="00C744E7">
        <w:rPr>
          <w:rFonts w:cs="Times"/>
        </w:rPr>
        <w:t xml:space="preserve">(inactive) </w:t>
      </w:r>
      <w:r w:rsidR="00C744E7" w:rsidRPr="00927437">
        <w:rPr>
          <w:rFonts w:cs="Times"/>
        </w:rPr>
        <w:t>and 1</w:t>
      </w:r>
      <w:r w:rsidR="00C744E7" w:rsidRPr="001134B0">
        <w:rPr>
          <w:rFonts w:cs="Times"/>
        </w:rPr>
        <w:t xml:space="preserve"> </w:t>
      </w:r>
      <w:r w:rsidR="00C744E7">
        <w:rPr>
          <w:rFonts w:cs="Times"/>
        </w:rPr>
        <w:t xml:space="preserve">(active) meaning the binary label </w:t>
      </w:r>
      <w:r w:rsidR="005E1013">
        <w:rPr>
          <w:rFonts w:cs="Times"/>
        </w:rPr>
        <w:t>was</w:t>
      </w:r>
      <w:r w:rsidR="00C744E7">
        <w:rPr>
          <w:rFonts w:cs="Times"/>
        </w:rPr>
        <w:t xml:space="preserve"> not 100% confident</w:t>
      </w:r>
      <w:r w:rsidR="00C744E7" w:rsidRPr="001134B0">
        <w:rPr>
          <w:rFonts w:cs="Times"/>
        </w:rPr>
        <w:t>.</w:t>
      </w:r>
      <w:r w:rsidR="00C744E7" w:rsidRPr="001134B0">
        <w:rPr>
          <w:rStyle w:val="EndnoteReference"/>
          <w:rFonts w:cs="Times"/>
        </w:rPr>
        <w:endnoteReference w:id="72"/>
      </w:r>
      <w:r w:rsidR="00C744E7">
        <w:rPr>
          <w:rFonts w:cs="Times"/>
        </w:rPr>
        <w:t xml:space="preserve"> </w:t>
      </w:r>
      <w:r w:rsidR="00F61F9B">
        <w:rPr>
          <w:rFonts w:cs="Times"/>
          <w:shd w:val="clear" w:color="auto" w:fill="FFFFFF"/>
        </w:rPr>
        <w:t>Fou</w:t>
      </w:r>
      <w:r w:rsidR="009A10EC">
        <w:rPr>
          <w:rFonts w:cs="Times"/>
          <w:shd w:val="clear" w:color="auto" w:fill="FFFFFF"/>
        </w:rPr>
        <w:t>r</w:t>
      </w:r>
      <w:r w:rsidR="00F61F9B">
        <w:rPr>
          <w:rFonts w:cs="Times"/>
          <w:shd w:val="clear" w:color="auto" w:fill="FFFFFF"/>
        </w:rPr>
        <w:t>thly</w:t>
      </w:r>
      <w:r w:rsidR="00DF171F" w:rsidRPr="001134B0">
        <w:rPr>
          <w:rFonts w:cs="Times"/>
          <w:shd w:val="clear" w:color="auto" w:fill="FFFFFF"/>
        </w:rPr>
        <w:t xml:space="preserve"> (related to the previous point)</w:t>
      </w:r>
      <w:r w:rsidRPr="001134B0">
        <w:rPr>
          <w:rFonts w:cs="Times"/>
          <w:shd w:val="clear" w:color="auto" w:fill="FFFFFF"/>
        </w:rPr>
        <w:t>, the pharmacokinetic</w:t>
      </w:r>
      <w:r w:rsidR="00DF171F" w:rsidRPr="001134B0">
        <w:rPr>
          <w:rFonts w:cs="Times"/>
          <w:shd w:val="clear" w:color="auto" w:fill="FFFFFF"/>
        </w:rPr>
        <w:t xml:space="preserve"> behaviour</w:t>
      </w:r>
      <w:r w:rsidRPr="001134B0">
        <w:rPr>
          <w:rFonts w:cs="Times"/>
          <w:shd w:val="clear" w:color="auto" w:fill="FFFFFF"/>
        </w:rPr>
        <w:t xml:space="preserve"> of a compound</w:t>
      </w:r>
      <w:r w:rsidR="00DF171F" w:rsidRPr="001134B0">
        <w:rPr>
          <w:rFonts w:cs="Times"/>
          <w:shd w:val="clear" w:color="auto" w:fill="FFFFFF"/>
        </w:rPr>
        <w:t xml:space="preserve">, which is crucial to understand </w:t>
      </w:r>
      <w:r w:rsidR="00B25D99" w:rsidRPr="001134B0">
        <w:rPr>
          <w:rFonts w:cs="Times"/>
          <w:shd w:val="clear" w:color="auto" w:fill="FFFFFF"/>
        </w:rPr>
        <w:t>it’s</w:t>
      </w:r>
      <w:r w:rsidR="00DF171F" w:rsidRPr="001134B0">
        <w:rPr>
          <w:rFonts w:cs="Times"/>
          <w:shd w:val="clear" w:color="auto" w:fill="FFFFFF"/>
        </w:rPr>
        <w:t xml:space="preserve"> </w:t>
      </w:r>
      <w:r w:rsidR="00DF171F" w:rsidRPr="001134B0">
        <w:rPr>
          <w:rFonts w:cs="Times"/>
          <w:i/>
          <w:iCs/>
          <w:shd w:val="clear" w:color="auto" w:fill="FFFFFF"/>
        </w:rPr>
        <w:t>in vivo</w:t>
      </w:r>
      <w:r w:rsidR="00DF171F" w:rsidRPr="001134B0">
        <w:rPr>
          <w:rFonts w:cs="Times"/>
          <w:shd w:val="clear" w:color="auto" w:fill="FFFFFF"/>
        </w:rPr>
        <w:t xml:space="preserve"> behaviour, is not considered here either</w:t>
      </w:r>
      <w:r w:rsidRPr="001134B0">
        <w:rPr>
          <w:rFonts w:cs="Times"/>
          <w:shd w:val="clear" w:color="auto" w:fill="FFFFFF"/>
        </w:rPr>
        <w:t>.</w:t>
      </w:r>
      <w:r w:rsidR="00B85754" w:rsidRPr="001134B0">
        <w:rPr>
          <w:rStyle w:val="EndnoteReference"/>
          <w:rFonts w:cs="Times"/>
          <w:shd w:val="clear" w:color="auto" w:fill="FFFFFF"/>
        </w:rPr>
        <w:endnoteReference w:id="73"/>
      </w:r>
      <w:r w:rsidRPr="001134B0">
        <w:rPr>
          <w:rFonts w:cs="Times"/>
          <w:shd w:val="clear" w:color="auto" w:fill="FFFFFF"/>
        </w:rPr>
        <w:t xml:space="preserve"> In the absence of such data, the cell-based assay </w:t>
      </w:r>
      <w:r w:rsidR="00DF171F" w:rsidRPr="001134B0">
        <w:rPr>
          <w:rFonts w:cs="Times"/>
          <w:shd w:val="clear" w:color="auto" w:fill="FFFFFF"/>
        </w:rPr>
        <w:t xml:space="preserve">and the way it is used here </w:t>
      </w:r>
      <w:r w:rsidRPr="001134B0">
        <w:rPr>
          <w:rFonts w:cs="Times"/>
          <w:shd w:val="clear" w:color="auto" w:fill="FFFFFF"/>
        </w:rPr>
        <w:t>may be useful for hazard identification</w:t>
      </w:r>
      <w:r w:rsidR="00DF171F" w:rsidRPr="001134B0">
        <w:rPr>
          <w:rFonts w:cs="Times"/>
          <w:shd w:val="clear" w:color="auto" w:fill="FFFFFF"/>
        </w:rPr>
        <w:t>,</w:t>
      </w:r>
      <w:r w:rsidRPr="001134B0">
        <w:rPr>
          <w:rFonts w:cs="Times"/>
          <w:shd w:val="clear" w:color="auto" w:fill="FFFFFF"/>
        </w:rPr>
        <w:t xml:space="preserve"> but not</w:t>
      </w:r>
      <w:r w:rsidR="00DF171F" w:rsidRPr="001134B0">
        <w:rPr>
          <w:rFonts w:cs="Times"/>
          <w:shd w:val="clear" w:color="auto" w:fill="FFFFFF"/>
        </w:rPr>
        <w:t xml:space="preserve"> by itself as</w:t>
      </w:r>
      <w:r w:rsidRPr="001134B0">
        <w:rPr>
          <w:rFonts w:cs="Times"/>
          <w:shd w:val="clear" w:color="auto" w:fill="FFFFFF"/>
        </w:rPr>
        <w:t xml:space="preserve"> an indicator of </w:t>
      </w:r>
      <w:r w:rsidR="00DF171F" w:rsidRPr="001134B0">
        <w:rPr>
          <w:rFonts w:cs="Times"/>
          <w:shd w:val="clear" w:color="auto" w:fill="FFFFFF"/>
        </w:rPr>
        <w:t>quantitative</w:t>
      </w:r>
      <w:r w:rsidRPr="001134B0">
        <w:rPr>
          <w:rFonts w:cs="Times"/>
          <w:shd w:val="clear" w:color="auto" w:fill="FFFFFF"/>
        </w:rPr>
        <w:t xml:space="preserve"> risk.</w:t>
      </w:r>
      <w:r w:rsidR="00DD715D" w:rsidRPr="001134B0">
        <w:rPr>
          <w:rStyle w:val="EndnoteReference"/>
          <w:rFonts w:cs="Times"/>
          <w:shd w:val="clear" w:color="auto" w:fill="FFFFFF"/>
        </w:rPr>
        <w:endnoteReference w:id="74"/>
      </w:r>
      <w:r w:rsidRPr="001134B0">
        <w:rPr>
          <w:rFonts w:cs="Times"/>
          <w:shd w:val="clear" w:color="auto" w:fill="FFFFFF"/>
        </w:rPr>
        <w:t xml:space="preserve"> </w:t>
      </w:r>
      <w:r w:rsidR="00F61F9B">
        <w:rPr>
          <w:rFonts w:cs="Times"/>
          <w:shd w:val="clear" w:color="auto" w:fill="FFFFFF"/>
        </w:rPr>
        <w:t>Fifthly</w:t>
      </w:r>
      <w:r w:rsidRPr="001134B0">
        <w:rPr>
          <w:rFonts w:cs="Times"/>
          <w:shd w:val="clear" w:color="auto" w:fill="FFFFFF"/>
        </w:rPr>
        <w:t>, predicting cytotoxicity</w:t>
      </w:r>
      <w:r w:rsidR="00E93C71" w:rsidRPr="001134B0">
        <w:rPr>
          <w:rFonts w:cs="Times"/>
          <w:shd w:val="clear" w:color="auto" w:fill="FFFFFF"/>
        </w:rPr>
        <w:t>-related assays</w:t>
      </w:r>
      <w:r w:rsidRPr="001134B0">
        <w:rPr>
          <w:rFonts w:cs="Times"/>
          <w:shd w:val="clear" w:color="auto" w:fill="FFFFFF"/>
        </w:rPr>
        <w:t xml:space="preserve"> is </w:t>
      </w:r>
      <w:r w:rsidR="00DF171F" w:rsidRPr="001134B0">
        <w:rPr>
          <w:rFonts w:cs="Times"/>
          <w:shd w:val="clear" w:color="auto" w:fill="FFFFFF"/>
        </w:rPr>
        <w:t>generally</w:t>
      </w:r>
      <w:r w:rsidRPr="001134B0">
        <w:rPr>
          <w:rFonts w:cs="Times"/>
          <w:shd w:val="clear" w:color="auto" w:fill="FFFFFF"/>
        </w:rPr>
        <w:t xml:space="preserve"> a challenge due to multiple mechanistic path</w:t>
      </w:r>
      <w:r w:rsidRPr="001134B0">
        <w:rPr>
          <w:rFonts w:cs="Times"/>
          <w:shd w:val="clear" w:color="auto" w:fill="FFFFFF"/>
        </w:rPr>
        <w:lastRenderedPageBreak/>
        <w:t>ways that are highly dynamic and dependent on dose</w:t>
      </w:r>
      <w:r w:rsidR="00DF171F" w:rsidRPr="001134B0">
        <w:rPr>
          <w:rFonts w:cs="Times"/>
          <w:shd w:val="clear" w:color="auto" w:fill="FFFFFF"/>
        </w:rPr>
        <w:t>, and on the biological setup (such as cell line) considered</w:t>
      </w:r>
      <w:r w:rsidR="008F0CD7" w:rsidRPr="001134B0">
        <w:rPr>
          <w:rFonts w:cs="Times"/>
          <w:shd w:val="clear" w:color="auto" w:fill="FFFFFF"/>
        </w:rPr>
        <w:t>.</w:t>
      </w:r>
      <w:r w:rsidR="00EE4640" w:rsidRPr="001134B0">
        <w:rPr>
          <w:rFonts w:cs="Times"/>
          <w:shd w:val="clear" w:color="auto" w:fill="FFFFFF"/>
        </w:rPr>
        <w:t xml:space="preserve"> </w:t>
      </w:r>
      <w:r w:rsidRPr="001134B0">
        <w:rPr>
          <w:rFonts w:cs="Times"/>
          <w:shd w:val="clear" w:color="auto" w:fill="FFFFFF"/>
        </w:rPr>
        <w:t xml:space="preserve">Finally, </w:t>
      </w:r>
      <w:r w:rsidR="00FD22CB">
        <w:rPr>
          <w:rFonts w:cs="Times"/>
          <w:shd w:val="clear" w:color="auto" w:fill="FFFFFF"/>
        </w:rPr>
        <w:t xml:space="preserve">the </w:t>
      </w:r>
      <w:r w:rsidRPr="001134B0">
        <w:rPr>
          <w:rFonts w:cs="Times"/>
          <w:shd w:val="clear" w:color="auto" w:fill="FFFFFF"/>
        </w:rPr>
        <w:t xml:space="preserve">cytotoxicity assays </w:t>
      </w:r>
      <w:r w:rsidR="00FD22CB">
        <w:rPr>
          <w:rFonts w:cs="Times"/>
          <w:shd w:val="clear" w:color="auto" w:fill="FFFFFF"/>
        </w:rPr>
        <w:t xml:space="preserve">used </w:t>
      </w:r>
      <w:r w:rsidRPr="001134B0">
        <w:rPr>
          <w:rFonts w:cs="Times"/>
          <w:shd w:val="clear" w:color="auto" w:fill="FFFFFF"/>
        </w:rPr>
        <w:t xml:space="preserve">here are </w:t>
      </w:r>
      <w:r w:rsidRPr="001134B0">
        <w:rPr>
          <w:rFonts w:cs="Times"/>
          <w:i/>
          <w:iCs/>
          <w:shd w:val="clear" w:color="auto" w:fill="FFFFFF"/>
        </w:rPr>
        <w:t>in vitro</w:t>
      </w:r>
      <w:r w:rsidRPr="001134B0">
        <w:rPr>
          <w:rFonts w:cs="Times"/>
          <w:shd w:val="clear" w:color="auto" w:fill="FFFFFF"/>
        </w:rPr>
        <w:t xml:space="preserve"> in nature and may not be related to organ or organism acute toxicity</w:t>
      </w:r>
      <w:r w:rsidR="00DF171F" w:rsidRPr="001134B0">
        <w:rPr>
          <w:rFonts w:cs="Times"/>
          <w:shd w:val="clear" w:color="auto" w:fill="FFFFFF"/>
        </w:rPr>
        <w:t>;</w:t>
      </w:r>
      <w:r w:rsidRPr="001134B0">
        <w:rPr>
          <w:rFonts w:cs="Times"/>
          <w:shd w:val="clear" w:color="auto" w:fill="FFFFFF"/>
        </w:rPr>
        <w:t xml:space="preserve"> </w:t>
      </w:r>
      <w:r w:rsidR="00DF171F" w:rsidRPr="001134B0">
        <w:rPr>
          <w:rFonts w:cs="Times"/>
          <w:shd w:val="clear" w:color="auto" w:fill="FFFFFF"/>
        </w:rPr>
        <w:t>As a remedy</w:t>
      </w:r>
      <w:r w:rsidR="004024C0" w:rsidRPr="001134B0">
        <w:rPr>
          <w:rFonts w:cs="Times"/>
          <w:shd w:val="clear" w:color="auto" w:fill="FFFFFF"/>
        </w:rPr>
        <w:t>,</w:t>
      </w:r>
      <w:r w:rsidR="00DF171F" w:rsidRPr="001134B0">
        <w:rPr>
          <w:rFonts w:cs="Times"/>
          <w:shd w:val="clear" w:color="auto" w:fill="FFFFFF"/>
        </w:rPr>
        <w:t xml:space="preserve"> it would be</w:t>
      </w:r>
      <w:r w:rsidRPr="001134B0">
        <w:rPr>
          <w:rFonts w:cs="Times"/>
          <w:shd w:val="clear" w:color="auto" w:fill="FFFFFF"/>
        </w:rPr>
        <w:t xml:space="preserve"> possible to employ </w:t>
      </w:r>
      <w:r w:rsidR="00DF171F" w:rsidRPr="001134B0">
        <w:rPr>
          <w:rFonts w:cs="Times"/>
          <w:shd w:val="clear" w:color="auto" w:fill="FFFFFF"/>
        </w:rPr>
        <w:t xml:space="preserve">e.g. </w:t>
      </w:r>
      <w:r w:rsidRPr="001134B0">
        <w:rPr>
          <w:rFonts w:cs="Times"/>
          <w:shd w:val="clear" w:color="auto" w:fill="FFFFFF"/>
        </w:rPr>
        <w:t xml:space="preserve">physiologically based biokinetic modelling to </w:t>
      </w:r>
      <w:r w:rsidR="00DF171F" w:rsidRPr="001134B0">
        <w:rPr>
          <w:rFonts w:cs="Times"/>
          <w:shd w:val="clear" w:color="auto" w:fill="FFFFFF"/>
        </w:rPr>
        <w:t>move towards</w:t>
      </w:r>
      <w:r w:rsidRPr="001134B0">
        <w:rPr>
          <w:rFonts w:cs="Times"/>
          <w:shd w:val="clear" w:color="auto" w:fill="FFFFFF"/>
        </w:rPr>
        <w:t xml:space="preserve"> </w:t>
      </w:r>
      <w:r w:rsidRPr="001134B0">
        <w:rPr>
          <w:rFonts w:cs="Times"/>
          <w:i/>
          <w:iCs/>
          <w:shd w:val="clear" w:color="auto" w:fill="FFFFFF"/>
        </w:rPr>
        <w:t>in vivo</w:t>
      </w:r>
      <w:r w:rsidRPr="001134B0">
        <w:rPr>
          <w:rFonts w:cs="Times"/>
          <w:shd w:val="clear" w:color="auto" w:fill="FFFFFF"/>
        </w:rPr>
        <w:t xml:space="preserve"> toxicity</w:t>
      </w:r>
      <w:r w:rsidR="00DF171F" w:rsidRPr="001134B0">
        <w:rPr>
          <w:rFonts w:cs="Times"/>
          <w:shd w:val="clear" w:color="auto" w:fill="FFFFFF"/>
        </w:rPr>
        <w:t xml:space="preserve"> predictions</w:t>
      </w:r>
      <w:r w:rsidRPr="001134B0">
        <w:rPr>
          <w:rFonts w:cs="Times"/>
          <w:shd w:val="clear" w:color="auto" w:fill="FFFFFF"/>
        </w:rPr>
        <w:t>.</w:t>
      </w:r>
      <w:r w:rsidR="00410E61" w:rsidRPr="001134B0">
        <w:rPr>
          <w:rStyle w:val="EndnoteReference"/>
          <w:rFonts w:cs="Times"/>
          <w:shd w:val="clear" w:color="auto" w:fill="FFFFFF"/>
        </w:rPr>
        <w:endnoteReference w:id="75"/>
      </w:r>
      <w:r w:rsidR="00683397">
        <w:rPr>
          <w:rFonts w:cs="Times"/>
          <w:shd w:val="clear" w:color="auto" w:fill="FFFFFF"/>
        </w:rPr>
        <w:br w:type="page"/>
      </w:r>
    </w:p>
    <w:p w14:paraId="184DA2B5" w14:textId="29CD1D04" w:rsidR="00920297" w:rsidRPr="001134B0" w:rsidRDefault="001A6FBD" w:rsidP="001A6FBD">
      <w:pPr>
        <w:pStyle w:val="TAMainText"/>
        <w:ind w:firstLine="0"/>
        <w:rPr>
          <w:rFonts w:cs="Times"/>
          <w:b/>
          <w:bCs/>
        </w:rPr>
      </w:pPr>
      <w:r w:rsidRPr="001134B0">
        <w:rPr>
          <w:rFonts w:cs="Times"/>
          <w:b/>
          <w:bCs/>
        </w:rPr>
        <w:lastRenderedPageBreak/>
        <w:t>CONCLUSIONS</w:t>
      </w:r>
    </w:p>
    <w:p w14:paraId="3B454701" w14:textId="68CB6470" w:rsidR="00DA71E4" w:rsidRDefault="00C74F93" w:rsidP="00A31952">
      <w:pPr>
        <w:pStyle w:val="TAMainText"/>
        <w:rPr>
          <w:rFonts w:cs="Times"/>
          <w:shd w:val="clear" w:color="auto" w:fill="FFFFFF"/>
        </w:rPr>
      </w:pPr>
      <w:r w:rsidRPr="001134B0">
        <w:rPr>
          <w:rFonts w:cs="Times"/>
          <w:shd w:val="clear" w:color="auto" w:fill="FFFFFF"/>
        </w:rPr>
        <w:t>I</w:t>
      </w:r>
      <w:r w:rsidR="009938E7" w:rsidRPr="001134B0">
        <w:rPr>
          <w:rFonts w:cs="Times"/>
          <w:shd w:val="clear" w:color="auto" w:fill="FFFFFF"/>
        </w:rPr>
        <w:t>n this work</w:t>
      </w:r>
      <w:r w:rsidR="004024C0" w:rsidRPr="001134B0">
        <w:rPr>
          <w:rFonts w:cs="Times"/>
          <w:shd w:val="clear" w:color="auto" w:fill="FFFFFF"/>
        </w:rPr>
        <w:t>,</w:t>
      </w:r>
      <w:r w:rsidR="00EB2019" w:rsidRPr="001134B0">
        <w:rPr>
          <w:rFonts w:cs="Times"/>
        </w:rPr>
        <w:t xml:space="preserve"> we </w:t>
      </w:r>
      <w:r w:rsidR="00EB2019" w:rsidRPr="001134B0">
        <w:rPr>
          <w:rFonts w:cs="Times"/>
          <w:shd w:val="clear" w:color="auto" w:fill="FFFFFF"/>
        </w:rPr>
        <w:t xml:space="preserve">explored the utility of Cell Painting readouts </w:t>
      </w:r>
      <w:r w:rsidR="00037586">
        <w:rPr>
          <w:rFonts w:cs="Times"/>
          <w:shd w:val="clear" w:color="auto" w:fill="FFFFFF"/>
        </w:rPr>
        <w:t>for the prediction of</w:t>
      </w:r>
      <w:r w:rsidR="00EB2019" w:rsidRPr="001134B0">
        <w:rPr>
          <w:rFonts w:cs="Times"/>
          <w:shd w:val="clear" w:color="auto" w:fill="FFFFFF"/>
        </w:rPr>
        <w:t xml:space="preserve"> </w:t>
      </w:r>
      <w:r w:rsidR="00E93C71" w:rsidRPr="001134B0">
        <w:rPr>
          <w:rFonts w:cs="Times"/>
        </w:rPr>
        <w:t>cytotoxicity-</w:t>
      </w:r>
      <w:r w:rsidR="009938E7" w:rsidRPr="001134B0">
        <w:rPr>
          <w:rFonts w:cs="Times"/>
        </w:rPr>
        <w:t xml:space="preserve"> and proliferation-related assay endpoints. To this end,</w:t>
      </w:r>
      <w:r w:rsidRPr="001134B0">
        <w:rPr>
          <w:rFonts w:cs="Times"/>
          <w:shd w:val="clear" w:color="auto" w:fill="FFFFFF"/>
        </w:rPr>
        <w:t xml:space="preserve"> we </w:t>
      </w:r>
      <w:r w:rsidR="00037586">
        <w:rPr>
          <w:rFonts w:cs="Times"/>
          <w:shd w:val="clear" w:color="auto" w:fill="FFFFFF"/>
        </w:rPr>
        <w:t>used the</w:t>
      </w:r>
      <w:r w:rsidR="00931CE3">
        <w:rPr>
          <w:rFonts w:cs="Times"/>
          <w:shd w:val="clear" w:color="auto" w:fill="FFFFFF"/>
        </w:rPr>
        <w:t xml:space="preserve"> </w:t>
      </w:r>
      <w:r w:rsidRPr="001134B0">
        <w:rPr>
          <w:rFonts w:cs="Times"/>
          <w:shd w:val="clear" w:color="auto" w:fill="FFFFFF"/>
        </w:rPr>
        <w:t>R</w:t>
      </w:r>
      <w:r w:rsidR="009938E7" w:rsidRPr="001134B0">
        <w:rPr>
          <w:rFonts w:cs="Times"/>
          <w:shd w:val="clear" w:color="auto" w:fill="FFFFFF"/>
        </w:rPr>
        <w:t xml:space="preserve">andom </w:t>
      </w:r>
      <w:r w:rsidRPr="001134B0">
        <w:rPr>
          <w:rFonts w:cs="Times"/>
          <w:shd w:val="clear" w:color="auto" w:fill="FFFFFF"/>
        </w:rPr>
        <w:t>F</w:t>
      </w:r>
      <w:r w:rsidR="009938E7" w:rsidRPr="001134B0">
        <w:rPr>
          <w:rFonts w:cs="Times"/>
          <w:shd w:val="clear" w:color="auto" w:fill="FFFFFF"/>
        </w:rPr>
        <w:t>orest</w:t>
      </w:r>
      <w:r w:rsidRPr="001134B0">
        <w:rPr>
          <w:rFonts w:cs="Times"/>
          <w:shd w:val="clear" w:color="auto" w:fill="FFFFFF"/>
        </w:rPr>
        <w:t xml:space="preserve"> algorithm to </w:t>
      </w:r>
      <w:r w:rsidR="009938E7" w:rsidRPr="001134B0">
        <w:rPr>
          <w:rFonts w:cs="Times"/>
          <w:shd w:val="clear" w:color="auto" w:fill="FFFFFF"/>
        </w:rPr>
        <w:t>generate</w:t>
      </w:r>
      <w:r w:rsidRPr="001134B0">
        <w:rPr>
          <w:rFonts w:cs="Times"/>
          <w:shd w:val="clear" w:color="auto" w:fill="FFFFFF"/>
        </w:rPr>
        <w:t xml:space="preserve"> classification models for </w:t>
      </w:r>
      <w:r w:rsidR="00995454" w:rsidRPr="001134B0">
        <w:rPr>
          <w:rFonts w:cs="Times"/>
          <w:shd w:val="clear" w:color="auto" w:fill="FFFFFF"/>
        </w:rPr>
        <w:t>12</w:t>
      </w:r>
      <w:r w:rsidRPr="001134B0">
        <w:rPr>
          <w:rFonts w:cs="Times"/>
          <w:shd w:val="clear" w:color="auto" w:fill="FFFFFF"/>
        </w:rPr>
        <w:t xml:space="preserve"> </w:t>
      </w:r>
      <w:r w:rsidR="00E93C71" w:rsidRPr="001134B0">
        <w:rPr>
          <w:rFonts w:cs="Times"/>
          <w:shd w:val="clear" w:color="auto" w:fill="FFFFFF"/>
        </w:rPr>
        <w:t>such</w:t>
      </w:r>
      <w:r w:rsidRPr="001134B0">
        <w:rPr>
          <w:rFonts w:cs="Times"/>
          <w:shd w:val="clear" w:color="auto" w:fill="FFFFFF"/>
        </w:rPr>
        <w:t xml:space="preserve"> endpoints from </w:t>
      </w:r>
      <w:r w:rsidR="009938E7" w:rsidRPr="001134B0">
        <w:rPr>
          <w:rFonts w:cs="Times"/>
          <w:shd w:val="clear" w:color="auto" w:fill="FFFFFF"/>
        </w:rPr>
        <w:t xml:space="preserve">the </w:t>
      </w:r>
      <w:proofErr w:type="spellStart"/>
      <w:r w:rsidRPr="001134B0">
        <w:rPr>
          <w:rFonts w:cs="Times"/>
          <w:shd w:val="clear" w:color="auto" w:fill="FFFFFF"/>
        </w:rPr>
        <w:t>ToxCast</w:t>
      </w:r>
      <w:proofErr w:type="spellEnd"/>
      <w:r w:rsidRPr="001134B0">
        <w:rPr>
          <w:rFonts w:cs="Times"/>
          <w:shd w:val="clear" w:color="auto" w:fill="FFFFFF"/>
        </w:rPr>
        <w:t xml:space="preserve"> assay</w:t>
      </w:r>
      <w:r w:rsidR="00211553">
        <w:rPr>
          <w:rFonts w:cs="Times"/>
          <w:shd w:val="clear" w:color="auto" w:fill="FFFFFF"/>
        </w:rPr>
        <w:t>. Molecules were represented</w:t>
      </w:r>
      <w:r w:rsidRPr="001134B0">
        <w:rPr>
          <w:rFonts w:cs="Times"/>
          <w:shd w:val="clear" w:color="auto" w:fill="FFFFFF"/>
        </w:rPr>
        <w:t xml:space="preserve"> using </w:t>
      </w:r>
      <w:r w:rsidR="00755618" w:rsidRPr="001134B0">
        <w:rPr>
          <w:rFonts w:cs="Times"/>
        </w:rPr>
        <w:t xml:space="preserve">Cell Painting </w:t>
      </w:r>
      <w:r w:rsidR="009938E7" w:rsidRPr="001134B0">
        <w:rPr>
          <w:rFonts w:cs="Times"/>
        </w:rPr>
        <w:t>annotations</w:t>
      </w:r>
      <w:r w:rsidR="00211553">
        <w:rPr>
          <w:rFonts w:cs="Times"/>
        </w:rPr>
        <w:t xml:space="preserve"> (as morphological descriptors)</w:t>
      </w:r>
      <w:r w:rsidRPr="001134B0">
        <w:rPr>
          <w:rFonts w:cs="Times"/>
          <w:shd w:val="clear" w:color="auto" w:fill="FFFFFF"/>
        </w:rPr>
        <w:t xml:space="preserve">, </w:t>
      </w:r>
      <w:proofErr w:type="spellStart"/>
      <w:r w:rsidR="00402C94" w:rsidRPr="001134B0">
        <w:rPr>
          <w:rFonts w:cs="Times"/>
          <w:shd w:val="clear" w:color="auto" w:fill="FFFFFF"/>
        </w:rPr>
        <w:t>ErG</w:t>
      </w:r>
      <w:proofErr w:type="spellEnd"/>
      <w:r w:rsidR="00402C94" w:rsidRPr="001134B0">
        <w:rPr>
          <w:rFonts w:cs="Times"/>
          <w:shd w:val="clear" w:color="auto" w:fill="FFFFFF"/>
        </w:rPr>
        <w:t xml:space="preserve"> fingerprints, </w:t>
      </w:r>
      <w:r w:rsidR="00B6719D" w:rsidRPr="001134B0">
        <w:rPr>
          <w:rFonts w:cs="Times"/>
          <w:shd w:val="clear" w:color="auto" w:fill="FFFFFF"/>
        </w:rPr>
        <w:t>Morgan fingerprints</w:t>
      </w:r>
      <w:r w:rsidRPr="001134B0">
        <w:rPr>
          <w:rFonts w:cs="Times"/>
          <w:shd w:val="clear" w:color="auto" w:fill="FFFFFF"/>
        </w:rPr>
        <w:t xml:space="preserve"> and  combination</w:t>
      </w:r>
      <w:r w:rsidR="002F4741">
        <w:rPr>
          <w:rFonts w:cs="Times"/>
          <w:shd w:val="clear" w:color="auto" w:fill="FFFFFF"/>
        </w:rPr>
        <w:t>s</w:t>
      </w:r>
      <w:r w:rsidRPr="001134B0">
        <w:rPr>
          <w:rFonts w:cs="Times"/>
          <w:shd w:val="clear" w:color="auto" w:fill="FFFFFF"/>
        </w:rPr>
        <w:t xml:space="preserve"> of </w:t>
      </w:r>
      <w:r w:rsidR="00755618" w:rsidRPr="001134B0">
        <w:rPr>
          <w:rFonts w:cs="Times"/>
        </w:rPr>
        <w:t xml:space="preserve">Cell Painting </w:t>
      </w:r>
      <w:r w:rsidR="00211553">
        <w:rPr>
          <w:rFonts w:cs="Times"/>
        </w:rPr>
        <w:t>descriptors</w:t>
      </w:r>
      <w:r w:rsidR="009938E7" w:rsidRPr="001134B0">
        <w:rPr>
          <w:rFonts w:cs="Times"/>
        </w:rPr>
        <w:t xml:space="preserve"> </w:t>
      </w:r>
      <w:r w:rsidR="00402C94" w:rsidRPr="001134B0">
        <w:rPr>
          <w:rFonts w:cs="Times"/>
          <w:shd w:val="clear" w:color="auto" w:fill="FFFFFF"/>
        </w:rPr>
        <w:t xml:space="preserve">with </w:t>
      </w:r>
      <w:r w:rsidR="00B25D99" w:rsidRPr="001134B0">
        <w:rPr>
          <w:rFonts w:cs="Times"/>
          <w:shd w:val="clear" w:color="auto" w:fill="FFFFFF"/>
        </w:rPr>
        <w:t>either of</w:t>
      </w:r>
      <w:r w:rsidR="009938E7" w:rsidRPr="001134B0">
        <w:rPr>
          <w:rFonts w:cs="Times"/>
          <w:shd w:val="clear" w:color="auto" w:fill="FFFFFF"/>
        </w:rPr>
        <w:t xml:space="preserve"> the latter two</w:t>
      </w:r>
      <w:r w:rsidRPr="001134B0">
        <w:rPr>
          <w:rFonts w:cs="Times"/>
          <w:shd w:val="clear" w:color="auto" w:fill="FFFFFF"/>
        </w:rPr>
        <w:t xml:space="preserve">. We found that the </w:t>
      </w:r>
      <w:r w:rsidR="00F56D00" w:rsidRPr="001134B0">
        <w:rPr>
          <w:rFonts w:cs="Times"/>
          <w:shd w:val="clear" w:color="auto" w:fill="FFFFFF"/>
        </w:rPr>
        <w:t xml:space="preserve">Cell Painting </w:t>
      </w:r>
      <w:r w:rsidR="008368CE">
        <w:rPr>
          <w:rFonts w:cs="Times"/>
          <w:shd w:val="clear" w:color="auto" w:fill="FFFFFF"/>
        </w:rPr>
        <w:t xml:space="preserve">descriptors </w:t>
      </w:r>
      <w:r w:rsidR="00625A5D" w:rsidRPr="00625A5D">
        <w:rPr>
          <w:rFonts w:cs="Times"/>
          <w:shd w:val="clear" w:color="auto" w:fill="FFFFFF"/>
        </w:rPr>
        <w:t xml:space="preserve">were </w:t>
      </w:r>
      <w:proofErr w:type="gramStart"/>
      <w:r w:rsidR="00625A5D" w:rsidRPr="00625A5D">
        <w:rPr>
          <w:rFonts w:cs="Times"/>
          <w:shd w:val="clear" w:color="auto" w:fill="FFFFFF"/>
        </w:rPr>
        <w:t>sufficient</w:t>
      </w:r>
      <w:proofErr w:type="gramEnd"/>
      <w:r w:rsidR="00625A5D" w:rsidRPr="00625A5D">
        <w:rPr>
          <w:rFonts w:cs="Times"/>
          <w:shd w:val="clear" w:color="auto" w:fill="FFFFFF"/>
        </w:rPr>
        <w:t xml:space="preserve"> to train models with good predictive performance</w:t>
      </w:r>
      <w:r w:rsidR="00625A5D">
        <w:rPr>
          <w:rFonts w:cs="Times"/>
          <w:shd w:val="clear" w:color="auto" w:fill="FFFFFF"/>
        </w:rPr>
        <w:t>.</w:t>
      </w:r>
      <w:r w:rsidR="00F56D00" w:rsidRPr="001134B0">
        <w:rPr>
          <w:rFonts w:cs="Times"/>
          <w:shd w:val="clear" w:color="auto" w:fill="FFFFFF"/>
        </w:rPr>
        <w:t xml:space="preserve"> </w:t>
      </w:r>
      <w:r w:rsidR="00A57483">
        <w:rPr>
          <w:rFonts w:cs="Times"/>
          <w:shd w:val="clear" w:color="auto" w:fill="FFFFFF"/>
        </w:rPr>
        <w:t>W</w:t>
      </w:r>
      <w:r w:rsidR="00A57483" w:rsidRPr="00A57483">
        <w:rPr>
          <w:rFonts w:cs="Times"/>
          <w:shd w:val="clear" w:color="auto" w:fill="FFFFFF"/>
        </w:rPr>
        <w:t xml:space="preserve">hen </w:t>
      </w:r>
      <w:r w:rsidR="008368CE">
        <w:rPr>
          <w:rFonts w:cs="Times"/>
          <w:shd w:val="clear" w:color="auto" w:fill="FFFFFF"/>
        </w:rPr>
        <w:t>C</w:t>
      </w:r>
      <w:r w:rsidR="00A57483" w:rsidRPr="00A57483">
        <w:rPr>
          <w:rFonts w:cs="Times"/>
          <w:shd w:val="clear" w:color="auto" w:fill="FFFFFF"/>
        </w:rPr>
        <w:t xml:space="preserve">ell </w:t>
      </w:r>
      <w:r w:rsidR="008368CE">
        <w:rPr>
          <w:rFonts w:cs="Times"/>
          <w:shd w:val="clear" w:color="auto" w:fill="FFFFFF"/>
        </w:rPr>
        <w:t>P</w:t>
      </w:r>
      <w:r w:rsidR="00A57483" w:rsidRPr="00A57483">
        <w:rPr>
          <w:rFonts w:cs="Times"/>
          <w:shd w:val="clear" w:color="auto" w:fill="FFFFFF"/>
        </w:rPr>
        <w:t xml:space="preserve">ainting </w:t>
      </w:r>
      <w:r w:rsidR="00A57483">
        <w:rPr>
          <w:rFonts w:cs="Times"/>
          <w:shd w:val="clear" w:color="auto" w:fill="FFFFFF"/>
        </w:rPr>
        <w:t>descriptors</w:t>
      </w:r>
      <w:r w:rsidR="00A57483" w:rsidRPr="00A57483">
        <w:rPr>
          <w:rFonts w:cs="Times"/>
          <w:shd w:val="clear" w:color="auto" w:fill="FFFFFF"/>
        </w:rPr>
        <w:t xml:space="preserve"> and molecular fingerp</w:t>
      </w:r>
      <w:r w:rsidR="005E1013">
        <w:rPr>
          <w:rFonts w:cs="Times"/>
          <w:shd w:val="clear" w:color="auto" w:fill="FFFFFF"/>
        </w:rPr>
        <w:t>r</w:t>
      </w:r>
      <w:r w:rsidR="00A57483" w:rsidRPr="00A57483">
        <w:rPr>
          <w:rFonts w:cs="Times"/>
          <w:shd w:val="clear" w:color="auto" w:fill="FFFFFF"/>
        </w:rPr>
        <w:t>ints were used in combination, the resulting models performed</w:t>
      </w:r>
      <w:r w:rsidR="00331A68">
        <w:rPr>
          <w:rFonts w:cs="Times"/>
          <w:shd w:val="clear" w:color="auto" w:fill="FFFFFF"/>
        </w:rPr>
        <w:t xml:space="preserve"> relatively</w:t>
      </w:r>
      <w:r w:rsidR="00A57483" w:rsidRPr="00A57483">
        <w:rPr>
          <w:rFonts w:cs="Times"/>
          <w:shd w:val="clear" w:color="auto" w:fill="FFFFFF"/>
        </w:rPr>
        <w:t xml:space="preserve"> better than models using</w:t>
      </w:r>
      <w:r w:rsidR="00D73948">
        <w:rPr>
          <w:rFonts w:cs="Times"/>
          <w:shd w:val="clear" w:color="auto" w:fill="FFFFFF"/>
        </w:rPr>
        <w:t xml:space="preserve"> </w:t>
      </w:r>
      <w:r w:rsidR="00FE6BC1">
        <w:rPr>
          <w:rFonts w:cs="Times"/>
          <w:shd w:val="clear" w:color="auto" w:fill="FFFFFF"/>
        </w:rPr>
        <w:t>molecular</w:t>
      </w:r>
      <w:r w:rsidR="00A57483" w:rsidRPr="00A57483">
        <w:rPr>
          <w:rFonts w:cs="Times"/>
          <w:shd w:val="clear" w:color="auto" w:fill="FFFFFF"/>
        </w:rPr>
        <w:t xml:space="preserve"> fingerprints </w:t>
      </w:r>
      <w:r w:rsidR="00D73948">
        <w:rPr>
          <w:rFonts w:cs="Times"/>
          <w:shd w:val="clear" w:color="auto" w:fill="FFFFFF"/>
        </w:rPr>
        <w:t xml:space="preserve">(with </w:t>
      </w:r>
      <w:r w:rsidR="008368CE">
        <w:rPr>
          <w:rFonts w:cs="Times"/>
          <w:shd w:val="clear" w:color="auto" w:fill="FFFFFF"/>
        </w:rPr>
        <w:t xml:space="preserve">relative </w:t>
      </w:r>
      <w:r w:rsidR="00D73948">
        <w:rPr>
          <w:rFonts w:cs="Times"/>
          <w:shd w:val="clear" w:color="auto" w:fill="FFFFFF"/>
        </w:rPr>
        <w:t>improvements in balanced accuracy</w:t>
      </w:r>
      <w:r w:rsidR="00D8615D" w:rsidRPr="001134B0">
        <w:rPr>
          <w:rFonts w:cs="Times"/>
          <w:shd w:val="clear" w:color="auto" w:fill="FFFFFF"/>
        </w:rPr>
        <w:t xml:space="preserve"> </w:t>
      </w:r>
      <w:r w:rsidR="005E2916">
        <w:rPr>
          <w:rFonts w:cs="Times"/>
          <w:shd w:val="clear" w:color="auto" w:fill="FFFFFF"/>
        </w:rPr>
        <w:t xml:space="preserve">up to </w:t>
      </w:r>
      <w:r w:rsidR="00D8615D" w:rsidRPr="001134B0">
        <w:rPr>
          <w:rFonts w:cs="Times"/>
          <w:shd w:val="clear" w:color="auto" w:fill="FFFFFF"/>
        </w:rPr>
        <w:t>20%</w:t>
      </w:r>
      <w:r w:rsidR="00D00162">
        <w:rPr>
          <w:rFonts w:cs="Times"/>
          <w:shd w:val="clear" w:color="auto" w:fill="FFFFFF"/>
        </w:rPr>
        <w:t xml:space="preserve"> </w:t>
      </w:r>
      <w:r w:rsidR="00331A68">
        <w:rPr>
          <w:rFonts w:cs="Times"/>
          <w:shd w:val="clear" w:color="auto" w:fill="FFFFFF"/>
        </w:rPr>
        <w:t>when</w:t>
      </w:r>
      <w:r w:rsidR="00586F65">
        <w:rPr>
          <w:rFonts w:cs="Times"/>
          <w:shd w:val="clear" w:color="auto" w:fill="FFFFFF"/>
        </w:rPr>
        <w:t xml:space="preserve"> average</w:t>
      </w:r>
      <w:r w:rsidR="00331A68">
        <w:rPr>
          <w:rFonts w:cs="Times"/>
          <w:shd w:val="clear" w:color="auto" w:fill="FFFFFF"/>
        </w:rPr>
        <w:t>d</w:t>
      </w:r>
      <w:r w:rsidR="00586F65">
        <w:rPr>
          <w:rFonts w:cs="Times"/>
          <w:shd w:val="clear" w:color="auto" w:fill="FFFFFF"/>
        </w:rPr>
        <w:t xml:space="preserve"> over all </w:t>
      </w:r>
      <w:r w:rsidR="004B372A">
        <w:rPr>
          <w:rFonts w:cs="Times"/>
          <w:shd w:val="clear" w:color="auto" w:fill="FFFFFF"/>
        </w:rPr>
        <w:t xml:space="preserve">12 </w:t>
      </w:r>
      <w:r w:rsidR="00586F65">
        <w:rPr>
          <w:rFonts w:cs="Times"/>
          <w:shd w:val="clear" w:color="auto" w:fill="FFFFFF"/>
        </w:rPr>
        <w:t>assays</w:t>
      </w:r>
      <w:r w:rsidR="00D73948">
        <w:rPr>
          <w:rFonts w:cs="Times"/>
          <w:shd w:val="clear" w:color="auto" w:fill="FFFFFF"/>
        </w:rPr>
        <w:t>)</w:t>
      </w:r>
      <w:r w:rsidR="00D8615D" w:rsidRPr="001134B0">
        <w:rPr>
          <w:rFonts w:cs="Times"/>
          <w:shd w:val="clear" w:color="auto" w:fill="FFFFFF"/>
        </w:rPr>
        <w:t>.</w:t>
      </w:r>
      <w:r w:rsidR="00E15C57" w:rsidRPr="001134B0">
        <w:rPr>
          <w:rFonts w:cs="Times"/>
          <w:shd w:val="clear" w:color="auto" w:fill="FFFFFF"/>
        </w:rPr>
        <w:t xml:space="preserve"> </w:t>
      </w:r>
    </w:p>
    <w:p w14:paraId="4B881C76" w14:textId="2D716BB5" w:rsidR="0067312A" w:rsidRPr="001134B0" w:rsidRDefault="00DC6251" w:rsidP="00A31952">
      <w:pPr>
        <w:pStyle w:val="TAMainText"/>
        <w:rPr>
          <w:rFonts w:cs="Times"/>
          <w:shd w:val="clear" w:color="auto" w:fill="FFFFFF"/>
        </w:rPr>
      </w:pPr>
      <w:r>
        <w:rPr>
          <w:rFonts w:cs="Times"/>
          <w:shd w:val="clear" w:color="auto" w:fill="FFFFFF"/>
        </w:rPr>
        <w:t>T</w:t>
      </w:r>
      <w:r w:rsidRPr="00DC6251">
        <w:rPr>
          <w:rFonts w:cs="Times"/>
          <w:shd w:val="clear" w:color="auto" w:fill="FFFFFF"/>
        </w:rPr>
        <w:t>hese results suggest that Cell Painting readouts are predictive of various cytotoxicity</w:t>
      </w:r>
      <w:r w:rsidR="00D73948">
        <w:rPr>
          <w:rFonts w:cs="Times"/>
          <w:shd w:val="clear" w:color="auto" w:fill="FFFFFF"/>
        </w:rPr>
        <w:t>-</w:t>
      </w:r>
      <w:r w:rsidRPr="00DC6251">
        <w:rPr>
          <w:rFonts w:cs="Times"/>
          <w:shd w:val="clear" w:color="auto" w:fill="FFFFFF"/>
        </w:rPr>
        <w:t xml:space="preserve"> </w:t>
      </w:r>
      <w:r w:rsidR="00D73948">
        <w:rPr>
          <w:rFonts w:cs="Times"/>
          <w:shd w:val="clear" w:color="auto" w:fill="FFFFFF"/>
        </w:rPr>
        <w:t xml:space="preserve">and proliferation decrease related </w:t>
      </w:r>
      <w:r w:rsidR="00D73948" w:rsidRPr="00D73948">
        <w:rPr>
          <w:rFonts w:cs="Times"/>
          <w:i/>
          <w:iCs/>
          <w:shd w:val="clear" w:color="auto" w:fill="FFFFFF"/>
        </w:rPr>
        <w:t>in vitro</w:t>
      </w:r>
      <w:r w:rsidR="00D73948">
        <w:rPr>
          <w:rFonts w:cs="Times"/>
          <w:shd w:val="clear" w:color="auto" w:fill="FFFFFF"/>
        </w:rPr>
        <w:t xml:space="preserve"> assays</w:t>
      </w:r>
      <w:r w:rsidR="00480334">
        <w:rPr>
          <w:rFonts w:cs="Times"/>
          <w:shd w:val="clear" w:color="auto" w:fill="FFFFFF"/>
        </w:rPr>
        <w:t xml:space="preserve"> used in this study</w:t>
      </w:r>
      <w:r w:rsidR="00D73948">
        <w:rPr>
          <w:rFonts w:cs="Times"/>
          <w:shd w:val="clear" w:color="auto" w:fill="FFFFFF"/>
        </w:rPr>
        <w:t>. H</w:t>
      </w:r>
      <w:r w:rsidRPr="00DC6251">
        <w:rPr>
          <w:rFonts w:cs="Times"/>
          <w:shd w:val="clear" w:color="auto" w:fill="FFFFFF"/>
        </w:rPr>
        <w:t>ence, high-throughput Cell Painting</w:t>
      </w:r>
      <w:r w:rsidR="007B4D14">
        <w:rPr>
          <w:rFonts w:cs="Times"/>
          <w:shd w:val="clear" w:color="auto" w:fill="FFFFFF"/>
        </w:rPr>
        <w:t xml:space="preserve"> </w:t>
      </w:r>
      <w:r w:rsidRPr="0002603C">
        <w:rPr>
          <w:rFonts w:cs="Times"/>
          <w:shd w:val="clear" w:color="auto" w:fill="FFFFFF"/>
        </w:rPr>
        <w:t xml:space="preserve">that are comparatively inexpensive to generate </w:t>
      </w:r>
      <w:r>
        <w:rPr>
          <w:rFonts w:cs="Times"/>
          <w:shd w:val="clear" w:color="auto" w:fill="FFFFFF"/>
        </w:rPr>
        <w:t>(</w:t>
      </w:r>
      <w:r w:rsidRPr="0002603C">
        <w:rPr>
          <w:rFonts w:cs="Times"/>
          <w:shd w:val="clear" w:color="auto" w:fill="FFFFFF"/>
        </w:rPr>
        <w:t>compared to transcriptional profiling</w:t>
      </w:r>
      <w:r>
        <w:rPr>
          <w:rFonts w:cs="Times"/>
          <w:shd w:val="clear" w:color="auto" w:fill="FFFFFF"/>
        </w:rPr>
        <w:t>)</w:t>
      </w:r>
      <w:r w:rsidRPr="0002603C">
        <w:rPr>
          <w:rFonts w:cs="Times"/>
          <w:shd w:val="clear" w:color="auto" w:fill="FFFFFF"/>
        </w:rPr>
        <w:t xml:space="preserve"> and which have been shown here to contain signal related to cytotoxicity</w:t>
      </w:r>
      <w:r w:rsidR="007B4D14">
        <w:rPr>
          <w:rFonts w:cs="Times"/>
          <w:shd w:val="clear" w:color="auto" w:fill="FFFFFF"/>
        </w:rPr>
        <w:t xml:space="preserve"> can be used</w:t>
      </w:r>
      <w:r w:rsidR="007B4D14" w:rsidRPr="0002603C">
        <w:rPr>
          <w:rFonts w:cs="Times"/>
          <w:shd w:val="clear" w:color="auto" w:fill="FFFFFF"/>
        </w:rPr>
        <w:t xml:space="preserve"> </w:t>
      </w:r>
      <w:r w:rsidR="006B2D63">
        <w:rPr>
          <w:rFonts w:cs="Times"/>
          <w:shd w:val="clear" w:color="auto" w:fill="FFFFFF"/>
        </w:rPr>
        <w:t xml:space="preserve">for </w:t>
      </w:r>
      <w:r w:rsidR="007B4D14" w:rsidRPr="0002603C">
        <w:rPr>
          <w:rFonts w:cs="Times"/>
          <w:shd w:val="clear" w:color="auto" w:fill="FFFFFF"/>
        </w:rPr>
        <w:t>profiling compounds</w:t>
      </w:r>
      <w:r w:rsidR="007B4D14">
        <w:rPr>
          <w:rFonts w:cs="Times"/>
          <w:shd w:val="clear" w:color="auto" w:fill="FFFFFF"/>
        </w:rPr>
        <w:t xml:space="preserve"> in such assays</w:t>
      </w:r>
      <w:r w:rsidRPr="0002603C">
        <w:rPr>
          <w:rFonts w:cs="Times"/>
          <w:shd w:val="clear" w:color="auto" w:fill="FFFFFF"/>
        </w:rPr>
        <w:t xml:space="preserve">. </w:t>
      </w:r>
      <w:r w:rsidR="0002603C" w:rsidRPr="0002603C">
        <w:rPr>
          <w:rFonts w:cs="Times"/>
          <w:shd w:val="clear" w:color="auto" w:fill="FFFFFF"/>
        </w:rPr>
        <w:t>This is particularly true in areas of novel chemical space, where cell morphological readouts contain distinct information from molecular fingerprints and can improve the performance of predictive cytotoxicity</w:t>
      </w:r>
      <w:r w:rsidR="00FA7647" w:rsidRPr="001134B0">
        <w:rPr>
          <w:rFonts w:cs="Times"/>
          <w:shd w:val="clear" w:color="auto" w:fill="FFFFFF"/>
        </w:rPr>
        <w:t>.</w:t>
      </w:r>
    </w:p>
    <w:p w14:paraId="47B724D3" w14:textId="64DA3D28" w:rsidR="004F0F05" w:rsidRPr="001134B0" w:rsidRDefault="00F56D00" w:rsidP="00A31952">
      <w:pPr>
        <w:pStyle w:val="TAMainText"/>
        <w:rPr>
          <w:rFonts w:cs="Times"/>
          <w:b/>
          <w:bCs/>
        </w:rPr>
      </w:pPr>
      <w:r w:rsidRPr="001134B0">
        <w:rPr>
          <w:rFonts w:cs="Times"/>
          <w:shd w:val="clear" w:color="auto" w:fill="FFFFFF"/>
        </w:rPr>
        <w:t xml:space="preserve"> </w:t>
      </w:r>
      <w:r w:rsidR="00592CB2" w:rsidRPr="001134B0">
        <w:rPr>
          <w:rFonts w:cs="Times"/>
          <w:shd w:val="clear" w:color="auto" w:fill="FFFFFF"/>
        </w:rPr>
        <w:t xml:space="preserve"> From the practical side, </w:t>
      </w:r>
      <w:r w:rsidR="00D00162">
        <w:rPr>
          <w:rFonts w:cs="Times"/>
          <w:shd w:val="clear" w:color="auto" w:fill="FFFFFF"/>
        </w:rPr>
        <w:t xml:space="preserve">Cell Painting readouts </w:t>
      </w:r>
      <w:r w:rsidR="00592CB2" w:rsidRPr="001134B0">
        <w:rPr>
          <w:rFonts w:cs="Times"/>
          <w:shd w:val="clear" w:color="auto" w:fill="FFFFFF"/>
        </w:rPr>
        <w:t xml:space="preserve">could </w:t>
      </w:r>
      <w:r w:rsidR="00D00162">
        <w:rPr>
          <w:rFonts w:cs="Times"/>
          <w:shd w:val="clear" w:color="auto" w:fill="FFFFFF"/>
        </w:rPr>
        <w:t xml:space="preserve">also </w:t>
      </w:r>
      <w:r w:rsidR="00592CB2" w:rsidRPr="001134B0">
        <w:rPr>
          <w:rFonts w:cs="Times"/>
          <w:shd w:val="clear" w:color="auto" w:fill="FFFFFF"/>
        </w:rPr>
        <w:t xml:space="preserve">be particularly relevant for </w:t>
      </w:r>
      <w:r w:rsidR="00C74F93" w:rsidRPr="001134B0">
        <w:rPr>
          <w:rFonts w:cs="Times"/>
          <w:shd w:val="clear" w:color="auto" w:fill="FFFFFF"/>
        </w:rPr>
        <w:t>incompletely defined structures and mixtures of compounds</w:t>
      </w:r>
      <w:r w:rsidR="00592CB2" w:rsidRPr="001134B0">
        <w:rPr>
          <w:rFonts w:cs="Times"/>
          <w:shd w:val="clear" w:color="auto" w:fill="FFFFFF"/>
        </w:rPr>
        <w:t xml:space="preserve"> (</w:t>
      </w:r>
      <w:r w:rsidR="00BA4831" w:rsidRPr="00BA4831">
        <w:rPr>
          <w:rFonts w:cs="Times"/>
          <w:shd w:val="clear" w:color="auto" w:fill="FFFFFF"/>
        </w:rPr>
        <w:t>the components of which are difficult to separate or characteris</w:t>
      </w:r>
      <w:r w:rsidR="00BA4831">
        <w:rPr>
          <w:rFonts w:cs="Times"/>
          <w:shd w:val="clear" w:color="auto" w:fill="FFFFFF"/>
        </w:rPr>
        <w:t xml:space="preserve">e </w:t>
      </w:r>
      <w:proofErr w:type="gramStart"/>
      <w:r w:rsidR="00BA4831">
        <w:rPr>
          <w:rFonts w:cs="Times"/>
          <w:shd w:val="clear" w:color="auto" w:fill="FFFFFF"/>
        </w:rPr>
        <w:t>and</w:t>
      </w:r>
      <w:r w:rsidR="00BA4831" w:rsidRPr="00BA4831">
        <w:rPr>
          <w:rFonts w:cs="Times"/>
          <w:shd w:val="clear" w:color="auto" w:fill="FFFFFF"/>
        </w:rPr>
        <w:t xml:space="preserve"> </w:t>
      </w:r>
      <w:r w:rsidR="00592CB2" w:rsidRPr="001134B0">
        <w:rPr>
          <w:rFonts w:cs="Times"/>
          <w:shd w:val="clear" w:color="auto" w:fill="FFFFFF"/>
        </w:rPr>
        <w:t>also</w:t>
      </w:r>
      <w:proofErr w:type="gramEnd"/>
      <w:r w:rsidR="00592CB2" w:rsidRPr="001134B0">
        <w:rPr>
          <w:rFonts w:cs="Times"/>
          <w:shd w:val="clear" w:color="auto" w:fill="FFFFFF"/>
        </w:rPr>
        <w:t xml:space="preserve"> very complex ones, where the investigation of constitutive components can be impossible)</w:t>
      </w:r>
      <w:r w:rsidR="00C74F93" w:rsidRPr="001134B0">
        <w:rPr>
          <w:rFonts w:cs="Times"/>
          <w:shd w:val="clear" w:color="auto" w:fill="FFFFFF"/>
        </w:rPr>
        <w:t xml:space="preserve">. </w:t>
      </w:r>
      <w:r w:rsidR="00592CB2" w:rsidRPr="001134B0">
        <w:rPr>
          <w:rFonts w:cs="Times"/>
          <w:shd w:val="clear" w:color="auto" w:fill="FFFFFF"/>
        </w:rPr>
        <w:t>Features selected were generally plausible (albeit difficult to interpret in detail),</w:t>
      </w:r>
      <w:r w:rsidR="0094171D">
        <w:rPr>
          <w:rFonts w:cs="Times"/>
          <w:shd w:val="clear" w:color="auto" w:fill="FFFFFF"/>
        </w:rPr>
        <w:t xml:space="preserve"> </w:t>
      </w:r>
      <w:r w:rsidR="00592CB2" w:rsidRPr="001134B0">
        <w:rPr>
          <w:rFonts w:cs="Times"/>
          <w:shd w:val="clear" w:color="auto" w:fill="FFFFFF"/>
        </w:rPr>
        <w:t xml:space="preserve">hence we can conclude that </w:t>
      </w:r>
      <w:r w:rsidR="00755618" w:rsidRPr="001134B0">
        <w:rPr>
          <w:rFonts w:cs="Times"/>
        </w:rPr>
        <w:t xml:space="preserve">Cell Painting </w:t>
      </w:r>
      <w:r w:rsidR="00592CB2" w:rsidRPr="001134B0">
        <w:rPr>
          <w:rFonts w:cs="Times"/>
        </w:rPr>
        <w:t xml:space="preserve">readouts contain </w:t>
      </w:r>
      <w:r w:rsidR="004024C0" w:rsidRPr="001134B0">
        <w:rPr>
          <w:rFonts w:cs="Times"/>
        </w:rPr>
        <w:t xml:space="preserve">a </w:t>
      </w:r>
      <w:r w:rsidR="00592CB2" w:rsidRPr="001134B0">
        <w:rPr>
          <w:rFonts w:cs="Times"/>
        </w:rPr>
        <w:t>predictive value for the endpoints considered in this work, which in combination with the eas</w:t>
      </w:r>
      <w:r w:rsidR="00B81905" w:rsidRPr="001134B0">
        <w:rPr>
          <w:rFonts w:cs="Times"/>
        </w:rPr>
        <w:t>e</w:t>
      </w:r>
      <w:r w:rsidR="00592CB2" w:rsidRPr="001134B0">
        <w:rPr>
          <w:rFonts w:cs="Times"/>
        </w:rPr>
        <w:t xml:space="preserve"> of generation</w:t>
      </w:r>
      <w:r w:rsidR="00E43B0B">
        <w:rPr>
          <w:rFonts w:cs="Times"/>
        </w:rPr>
        <w:t>,</w:t>
      </w:r>
      <w:r w:rsidR="00592CB2" w:rsidRPr="001134B0">
        <w:rPr>
          <w:rFonts w:cs="Times"/>
        </w:rPr>
        <w:t xml:space="preserve"> might render them a good choice for compound profiling, also beyond the endpoints considered in this study.</w:t>
      </w:r>
      <w:r w:rsidR="00592CB2" w:rsidRPr="001134B0" w:rsidDel="00592CB2">
        <w:rPr>
          <w:rFonts w:cs="Times"/>
          <w:shd w:val="clear" w:color="auto" w:fill="FFFFFF"/>
        </w:rPr>
        <w:t xml:space="preserve"> </w:t>
      </w:r>
      <w:r w:rsidR="004F0F05" w:rsidRPr="001134B0">
        <w:rPr>
          <w:rFonts w:cs="Times"/>
          <w:b/>
          <w:bCs/>
        </w:rPr>
        <w:br w:type="page"/>
      </w:r>
    </w:p>
    <w:p w14:paraId="3D31CF55" w14:textId="5A0688B3" w:rsidR="006603E8" w:rsidRPr="001134B0" w:rsidRDefault="006603E8" w:rsidP="00DA3E7C">
      <w:pPr>
        <w:pStyle w:val="TESupportingInformation"/>
        <w:ind w:firstLine="0"/>
        <w:rPr>
          <w:rFonts w:cs="Times"/>
          <w:b/>
          <w:bCs/>
        </w:rPr>
      </w:pPr>
      <w:r w:rsidRPr="001134B0">
        <w:rPr>
          <w:rFonts w:cs="Times"/>
          <w:b/>
          <w:bCs/>
        </w:rPr>
        <w:lastRenderedPageBreak/>
        <w:t xml:space="preserve">ASSOCIATED CONTENT </w:t>
      </w:r>
    </w:p>
    <w:p w14:paraId="581E4895" w14:textId="77777777" w:rsidR="00504662" w:rsidRDefault="00C64E76" w:rsidP="00504662">
      <w:pPr>
        <w:pStyle w:val="TESupportingInformation"/>
        <w:rPr>
          <w:rFonts w:cs="Times"/>
        </w:rPr>
      </w:pPr>
      <w:r w:rsidRPr="001134B0">
        <w:rPr>
          <w:rFonts w:cs="Times"/>
        </w:rPr>
        <w:t xml:space="preserve">SUPPORTING INFORMATION: </w:t>
      </w:r>
    </w:p>
    <w:p w14:paraId="2A44B925" w14:textId="30F30696" w:rsidR="00C64E76" w:rsidRPr="001134B0" w:rsidRDefault="00504662" w:rsidP="00C64E76">
      <w:pPr>
        <w:pStyle w:val="TESupportingInformation"/>
        <w:rPr>
          <w:rFonts w:cs="Times"/>
        </w:rPr>
      </w:pPr>
      <w:r w:rsidRPr="001134B0">
        <w:rPr>
          <w:rFonts w:cs="Times"/>
        </w:rPr>
        <w:t>The Supporting Information is available free of charge on the ACS Publications website.</w:t>
      </w:r>
      <w:r w:rsidR="002144EC" w:rsidRPr="002144EC">
        <w:rPr>
          <w:rFonts w:cs="Times"/>
        </w:rPr>
        <w:t xml:space="preserve"> </w:t>
      </w:r>
      <w:r w:rsidR="002144EC" w:rsidRPr="001134B0">
        <w:rPr>
          <w:rFonts w:cs="Times"/>
        </w:rPr>
        <w:t>Supporting Information (PDF).</w:t>
      </w:r>
      <w:r w:rsidR="002144EC">
        <w:rPr>
          <w:rFonts w:cs="Times"/>
        </w:rPr>
        <w:t xml:space="preserve"> </w:t>
      </w:r>
      <w:r w:rsidRPr="001134B0">
        <w:rPr>
          <w:rFonts w:cs="Times"/>
        </w:rPr>
        <w:t xml:space="preserve">We released the python code for our models which are publicly available at </w:t>
      </w:r>
      <w:r w:rsidR="00A01ABC" w:rsidRPr="00A01ABC">
        <w:rPr>
          <w:rFonts w:cs="Times"/>
          <w:i/>
          <w:iCs/>
        </w:rPr>
        <w:t>https://git.io/Jkra8</w:t>
      </w:r>
      <w:r w:rsidR="002144EC" w:rsidRPr="002144EC">
        <w:rPr>
          <w:rFonts w:cs="Times"/>
        </w:rPr>
        <w:t xml:space="preserve"> </w:t>
      </w:r>
    </w:p>
    <w:p w14:paraId="297F7C03" w14:textId="6B25D51A" w:rsidR="00C64E76" w:rsidRPr="001134B0" w:rsidRDefault="0025619B" w:rsidP="00C64E76">
      <w:pPr>
        <w:pStyle w:val="TESupportingInformation"/>
        <w:rPr>
          <w:rFonts w:cs="Times"/>
        </w:rPr>
      </w:pPr>
      <w:r>
        <w:rPr>
          <w:rFonts w:cs="Times"/>
        </w:rPr>
        <w:t xml:space="preserve">Supplementary </w:t>
      </w:r>
      <w:r w:rsidR="00C64E76" w:rsidRPr="001134B0">
        <w:rPr>
          <w:rFonts w:cs="Times"/>
        </w:rPr>
        <w:t>Table S1</w:t>
      </w:r>
      <w:r w:rsidR="00254F6D" w:rsidRPr="001134B0">
        <w:rPr>
          <w:rFonts w:cs="Times"/>
        </w:rPr>
        <w:t>.</w:t>
      </w:r>
      <w:r w:rsidR="00592CB2" w:rsidRPr="001134B0">
        <w:rPr>
          <w:rFonts w:cs="Times"/>
        </w:rPr>
        <w:t xml:space="preserve"> Description of dataset</w:t>
      </w:r>
      <w:r w:rsidR="00C64E76" w:rsidRPr="001134B0">
        <w:rPr>
          <w:rFonts w:cs="Times"/>
        </w:rPr>
        <w:t>.</w:t>
      </w:r>
      <w:r w:rsidR="00321499">
        <w:rPr>
          <w:rFonts w:cs="Times"/>
        </w:rPr>
        <w:t xml:space="preserve"> (PDF)</w:t>
      </w:r>
    </w:p>
    <w:p w14:paraId="1AC54214" w14:textId="31486788" w:rsidR="00C64E76" w:rsidRDefault="00C64E76" w:rsidP="001863B1">
      <w:pPr>
        <w:pStyle w:val="TESupportingInformation"/>
        <w:rPr>
          <w:rFonts w:cs="Times"/>
        </w:rPr>
      </w:pPr>
      <w:r w:rsidRPr="001134B0">
        <w:rPr>
          <w:rFonts w:cs="Times"/>
        </w:rPr>
        <w:t>Figure S1</w:t>
      </w:r>
      <w:r w:rsidR="00254F6D" w:rsidRPr="001134B0">
        <w:rPr>
          <w:rFonts w:cs="Times"/>
        </w:rPr>
        <w:t>.</w:t>
      </w:r>
      <w:r w:rsidRPr="001134B0">
        <w:rPr>
          <w:rFonts w:cs="Times"/>
        </w:rPr>
        <w:t xml:space="preserve"> Distribution of </w:t>
      </w:r>
      <w:r w:rsidR="00592CB2" w:rsidRPr="001134B0">
        <w:rPr>
          <w:rFonts w:cs="Times"/>
        </w:rPr>
        <w:t>a</w:t>
      </w:r>
      <w:r w:rsidRPr="001134B0">
        <w:rPr>
          <w:rFonts w:cs="Times"/>
        </w:rPr>
        <w:t xml:space="preserve">ctive and </w:t>
      </w:r>
      <w:r w:rsidR="00592CB2" w:rsidRPr="001134B0">
        <w:rPr>
          <w:rFonts w:cs="Times"/>
        </w:rPr>
        <w:t>i</w:t>
      </w:r>
      <w:r w:rsidRPr="001134B0">
        <w:rPr>
          <w:rFonts w:cs="Times"/>
        </w:rPr>
        <w:t>nactive compounds among selected endpoints</w:t>
      </w:r>
      <w:r w:rsidR="00321499">
        <w:rPr>
          <w:rFonts w:cs="Times"/>
        </w:rPr>
        <w:t xml:space="preserve"> (PDF)</w:t>
      </w:r>
    </w:p>
    <w:p w14:paraId="41B8A20D" w14:textId="4D645A53" w:rsidR="00012F3E" w:rsidRDefault="00012F3E" w:rsidP="00012F3E">
      <w:pPr>
        <w:pStyle w:val="TESupportingInformation"/>
        <w:rPr>
          <w:rFonts w:cs="Times"/>
        </w:rPr>
      </w:pPr>
      <w:r w:rsidRPr="001134B0">
        <w:rPr>
          <w:rFonts w:cs="Times"/>
        </w:rPr>
        <w:t>Figure S</w:t>
      </w:r>
      <w:r>
        <w:rPr>
          <w:rFonts w:cs="Times"/>
        </w:rPr>
        <w:t>2</w:t>
      </w:r>
      <w:r w:rsidRPr="001134B0">
        <w:rPr>
          <w:rFonts w:cs="Times"/>
        </w:rPr>
        <w:t xml:space="preserve">. </w:t>
      </w:r>
      <w:r w:rsidR="00137E21" w:rsidRPr="00137E21">
        <w:rPr>
          <w:rFonts w:cs="Times"/>
        </w:rPr>
        <w:t xml:space="preserve">: The distribution of chemical space of the 135 compounds used in this study compared to all compounds present in the same 12 assays from </w:t>
      </w:r>
      <w:proofErr w:type="spellStart"/>
      <w:r w:rsidR="00137E21" w:rsidRPr="00137E21">
        <w:rPr>
          <w:rFonts w:cs="Times"/>
        </w:rPr>
        <w:t>ToxCast</w:t>
      </w:r>
      <w:proofErr w:type="spellEnd"/>
      <w:r w:rsidR="00137E21" w:rsidRPr="00137E21">
        <w:rPr>
          <w:rFonts w:cs="Times"/>
        </w:rPr>
        <w:t xml:space="preserve">. </w:t>
      </w:r>
      <w:r>
        <w:rPr>
          <w:rFonts w:cs="Times"/>
        </w:rPr>
        <w:t>(PDF)</w:t>
      </w:r>
    </w:p>
    <w:p w14:paraId="3EFE2A79" w14:textId="51809137" w:rsidR="009D7326" w:rsidRPr="009D7326" w:rsidRDefault="009D7326" w:rsidP="009D7326">
      <w:pPr>
        <w:pStyle w:val="TESupportingInformation"/>
        <w:rPr>
          <w:rFonts w:cs="Times"/>
        </w:rPr>
      </w:pPr>
      <w:r w:rsidRPr="001134B0">
        <w:rPr>
          <w:rFonts w:cs="Times"/>
        </w:rPr>
        <w:t>Figure S</w:t>
      </w:r>
      <w:r w:rsidR="00763F48">
        <w:rPr>
          <w:rFonts w:cs="Times"/>
        </w:rPr>
        <w:t>3</w:t>
      </w:r>
      <w:r w:rsidRPr="001134B0">
        <w:rPr>
          <w:rFonts w:cs="Times"/>
        </w:rPr>
        <w:t xml:space="preserve">. </w:t>
      </w:r>
      <w:r w:rsidR="00137E21" w:rsidRPr="00137E21">
        <w:rPr>
          <w:rFonts w:cs="Times"/>
        </w:rPr>
        <w:t xml:space="preserve">Pairwise </w:t>
      </w:r>
      <w:proofErr w:type="spellStart"/>
      <w:r w:rsidR="00137E21" w:rsidRPr="00137E21">
        <w:rPr>
          <w:rFonts w:cs="Times"/>
        </w:rPr>
        <w:t>Tanimoto</w:t>
      </w:r>
      <w:proofErr w:type="spellEnd"/>
      <w:r w:rsidR="00137E21" w:rsidRPr="00137E21">
        <w:rPr>
          <w:rFonts w:cs="Times"/>
        </w:rPr>
        <w:t xml:space="preserve"> similarity (Tc) of compounds in the dataset used in this study using (a) 166 public MACCS keys and (b) Morgan Fingerprints of radius 2 and 2048 </w:t>
      </w:r>
      <w:proofErr w:type="spellStart"/>
      <w:r w:rsidR="00137E21" w:rsidRPr="00137E21">
        <w:rPr>
          <w:rFonts w:cs="Times"/>
        </w:rPr>
        <w:t>nbits</w:t>
      </w:r>
      <w:proofErr w:type="spellEnd"/>
      <w:r w:rsidR="00137E21" w:rsidRPr="00137E21">
        <w:rPr>
          <w:rFonts w:cs="Times"/>
        </w:rPr>
        <w:t xml:space="preserve">. </w:t>
      </w:r>
      <w:r w:rsidR="00763F48" w:rsidRPr="00763F48">
        <w:rPr>
          <w:rFonts w:cs="Times"/>
        </w:rPr>
        <w:t xml:space="preserve">Contour graph of </w:t>
      </w:r>
      <w:proofErr w:type="spellStart"/>
      <w:r w:rsidR="00763F48" w:rsidRPr="00763F48">
        <w:rPr>
          <w:rFonts w:cs="Times"/>
        </w:rPr>
        <w:t>Tanimoto</w:t>
      </w:r>
      <w:proofErr w:type="spellEnd"/>
      <w:r w:rsidR="00763F48" w:rsidRPr="00763F48">
        <w:rPr>
          <w:rFonts w:cs="Times"/>
        </w:rPr>
        <w:t xml:space="preserve"> similarity coefficients to show the molecule similarity using (c) 166 public MACCS keys and (d) Morgan Fingerprints of radius 2 and 2048 </w:t>
      </w:r>
      <w:proofErr w:type="spellStart"/>
      <w:r w:rsidR="00763F48" w:rsidRPr="00763F48">
        <w:rPr>
          <w:rFonts w:cs="Times"/>
        </w:rPr>
        <w:t>nbits</w:t>
      </w:r>
      <w:proofErr w:type="spellEnd"/>
      <w:r w:rsidR="00763F48" w:rsidRPr="00763F48">
        <w:rPr>
          <w:rFonts w:cs="Times"/>
        </w:rPr>
        <w:t xml:space="preserve">. </w:t>
      </w:r>
      <w:r>
        <w:rPr>
          <w:rFonts w:cs="Times"/>
        </w:rPr>
        <w:t>(PDF)</w:t>
      </w:r>
    </w:p>
    <w:p w14:paraId="0C167647" w14:textId="4A7CBA6E" w:rsidR="00ED0CFB" w:rsidRPr="001134B0" w:rsidRDefault="00ED0CFB" w:rsidP="00ED0CFB">
      <w:pPr>
        <w:pStyle w:val="TESupportingInformation"/>
        <w:rPr>
          <w:rFonts w:cs="Times"/>
        </w:rPr>
      </w:pPr>
      <w:r w:rsidRPr="001134B0">
        <w:rPr>
          <w:rFonts w:cs="Times"/>
        </w:rPr>
        <w:t>Table S</w:t>
      </w:r>
      <w:r>
        <w:rPr>
          <w:rFonts w:cs="Times"/>
        </w:rPr>
        <w:t>2</w:t>
      </w:r>
      <w:r w:rsidRPr="001134B0">
        <w:rPr>
          <w:rFonts w:cs="Times"/>
        </w:rPr>
        <w:t>. Hyperparameter search spaces for random forest model</w:t>
      </w:r>
      <w:r w:rsidR="00321499">
        <w:rPr>
          <w:rFonts w:cs="Times"/>
        </w:rPr>
        <w:t xml:space="preserve"> (PDF)</w:t>
      </w:r>
    </w:p>
    <w:p w14:paraId="1C84BB94" w14:textId="1F1BF89A" w:rsidR="00C64E76" w:rsidRPr="001134B0" w:rsidRDefault="00C64E76" w:rsidP="00217C7C">
      <w:pPr>
        <w:pStyle w:val="TESupportingInformation"/>
        <w:ind w:left="187" w:firstLine="0"/>
        <w:rPr>
          <w:rFonts w:cs="Times"/>
        </w:rPr>
      </w:pPr>
      <w:r w:rsidRPr="001134B0">
        <w:rPr>
          <w:rFonts w:cs="Times"/>
        </w:rPr>
        <w:t>Table S</w:t>
      </w:r>
      <w:r w:rsidR="00236BCB">
        <w:rPr>
          <w:rFonts w:cs="Times"/>
        </w:rPr>
        <w:t>3</w:t>
      </w:r>
      <w:r w:rsidR="00254F6D" w:rsidRPr="001134B0">
        <w:rPr>
          <w:rFonts w:cs="Times"/>
        </w:rPr>
        <w:t>.</w:t>
      </w:r>
      <w:r w:rsidRPr="001134B0">
        <w:rPr>
          <w:rFonts w:cs="Times"/>
        </w:rPr>
        <w:t xml:space="preserve"> </w:t>
      </w:r>
      <w:r w:rsidR="00A533AA" w:rsidRPr="00A533AA">
        <w:rPr>
          <w:rFonts w:cs="Times"/>
        </w:rPr>
        <w:t xml:space="preserve">Explained variance using the first two principal components PC1 and PC2  from PCA and silhouette scores </w:t>
      </w:r>
      <w:r w:rsidR="00217C7C" w:rsidRPr="0031627F">
        <w:t xml:space="preserve">for 5 </w:t>
      </w:r>
      <w:r w:rsidR="00217C7C">
        <w:t>c</w:t>
      </w:r>
      <w:r w:rsidR="00217C7C" w:rsidRPr="0031627F">
        <w:t xml:space="preserve">lusters </w:t>
      </w:r>
      <w:r w:rsidR="00A533AA" w:rsidRPr="00A533AA">
        <w:rPr>
          <w:rFonts w:cs="Times"/>
        </w:rPr>
        <w:t>among selected endpoints</w:t>
      </w:r>
      <w:r w:rsidR="00321499" w:rsidRPr="00321499">
        <w:rPr>
          <w:rFonts w:cs="Times"/>
        </w:rPr>
        <w:t xml:space="preserve"> </w:t>
      </w:r>
      <w:r w:rsidR="00321499">
        <w:rPr>
          <w:rFonts w:cs="Times"/>
        </w:rPr>
        <w:t>(PDF)</w:t>
      </w:r>
    </w:p>
    <w:p w14:paraId="61591375" w14:textId="03A2F281" w:rsidR="00C64E76" w:rsidRPr="001134B0" w:rsidRDefault="00C64E76" w:rsidP="00C64E76">
      <w:pPr>
        <w:pStyle w:val="TESupportingInformation"/>
        <w:rPr>
          <w:rFonts w:cs="Times"/>
        </w:rPr>
      </w:pPr>
      <w:r w:rsidRPr="001134B0">
        <w:rPr>
          <w:rFonts w:cs="Times"/>
        </w:rPr>
        <w:t>Table S</w:t>
      </w:r>
      <w:r w:rsidR="00B91D58" w:rsidRPr="001134B0">
        <w:rPr>
          <w:rFonts w:cs="Times"/>
        </w:rPr>
        <w:t>4</w:t>
      </w:r>
      <w:r w:rsidR="00254F6D" w:rsidRPr="001134B0">
        <w:rPr>
          <w:rFonts w:cs="Times"/>
        </w:rPr>
        <w:t>.</w:t>
      </w:r>
      <w:r w:rsidRPr="001134B0">
        <w:rPr>
          <w:rFonts w:cs="Times"/>
        </w:rPr>
        <w:t xml:space="preserve"> </w:t>
      </w:r>
      <w:r w:rsidR="00DB46BA" w:rsidRPr="001134B0">
        <w:rPr>
          <w:rFonts w:cs="Times"/>
        </w:rPr>
        <w:t>A</w:t>
      </w:r>
      <w:r w:rsidR="00592CB2" w:rsidRPr="001134B0">
        <w:rPr>
          <w:rFonts w:cs="Times"/>
        </w:rPr>
        <w:t xml:space="preserve">ggregated </w:t>
      </w:r>
      <w:r w:rsidR="00DB46BA" w:rsidRPr="001134B0">
        <w:rPr>
          <w:rFonts w:cs="Times"/>
        </w:rPr>
        <w:t xml:space="preserve">metrics for </w:t>
      </w:r>
      <w:r w:rsidR="00217C7C">
        <w:rPr>
          <w:rFonts w:cs="Times"/>
        </w:rPr>
        <w:t>R</w:t>
      </w:r>
      <w:r w:rsidR="00DB46BA" w:rsidRPr="001134B0">
        <w:rPr>
          <w:rFonts w:cs="Times"/>
        </w:rPr>
        <w:t xml:space="preserve">andom </w:t>
      </w:r>
      <w:r w:rsidR="00217C7C">
        <w:rPr>
          <w:rFonts w:cs="Times"/>
        </w:rPr>
        <w:t>F</w:t>
      </w:r>
      <w:r w:rsidR="00DB46BA" w:rsidRPr="001134B0">
        <w:rPr>
          <w:rFonts w:cs="Times"/>
        </w:rPr>
        <w:t>orest model</w:t>
      </w:r>
      <w:r w:rsidRPr="001134B0">
        <w:rPr>
          <w:rFonts w:cs="Times"/>
        </w:rPr>
        <w:t xml:space="preserve"> </w:t>
      </w:r>
      <w:r w:rsidR="00DB46BA" w:rsidRPr="001134B0">
        <w:rPr>
          <w:rFonts w:cs="Times"/>
        </w:rPr>
        <w:t xml:space="preserve">using </w:t>
      </w:r>
      <w:r w:rsidR="00557A8B" w:rsidRPr="001134B0">
        <w:rPr>
          <w:rFonts w:cs="Times"/>
        </w:rPr>
        <w:t>shuffle stratified splitting</w:t>
      </w:r>
      <w:r w:rsidR="00DB46BA" w:rsidRPr="001134B0">
        <w:rPr>
          <w:rFonts w:cs="Times"/>
        </w:rPr>
        <w:t xml:space="preserve"> </w:t>
      </w:r>
      <w:r w:rsidR="00321499">
        <w:rPr>
          <w:rFonts w:cs="Times"/>
        </w:rPr>
        <w:t>(PDF)</w:t>
      </w:r>
    </w:p>
    <w:p w14:paraId="59472861" w14:textId="05295602" w:rsidR="00C64E76" w:rsidRPr="001134B0" w:rsidRDefault="00C64E76" w:rsidP="00C64E76">
      <w:pPr>
        <w:pStyle w:val="TESupportingInformation"/>
        <w:rPr>
          <w:rFonts w:cs="Times"/>
        </w:rPr>
      </w:pPr>
      <w:r w:rsidRPr="001134B0">
        <w:rPr>
          <w:rFonts w:cs="Times"/>
        </w:rPr>
        <w:t>Table S</w:t>
      </w:r>
      <w:r w:rsidR="00C87339" w:rsidRPr="001134B0">
        <w:rPr>
          <w:rFonts w:cs="Times"/>
        </w:rPr>
        <w:t>5</w:t>
      </w:r>
      <w:r w:rsidR="00254F6D" w:rsidRPr="001134B0">
        <w:rPr>
          <w:rFonts w:cs="Times"/>
        </w:rPr>
        <w:t>.</w:t>
      </w:r>
      <w:r w:rsidRPr="001134B0">
        <w:rPr>
          <w:rFonts w:cs="Times"/>
        </w:rPr>
        <w:t xml:space="preserve"> </w:t>
      </w:r>
      <w:r w:rsidR="00DB46BA" w:rsidRPr="001134B0">
        <w:rPr>
          <w:rFonts w:cs="Times"/>
        </w:rPr>
        <w:t>C</w:t>
      </w:r>
      <w:r w:rsidRPr="001134B0">
        <w:rPr>
          <w:rFonts w:cs="Times"/>
        </w:rPr>
        <w:t xml:space="preserve">luster-averaged metrics </w:t>
      </w:r>
      <w:r w:rsidR="00557A8B" w:rsidRPr="001134B0">
        <w:rPr>
          <w:rFonts w:cs="Times"/>
        </w:rPr>
        <w:t xml:space="preserve">for </w:t>
      </w:r>
      <w:r w:rsidR="00217C7C">
        <w:rPr>
          <w:rFonts w:cs="Times"/>
        </w:rPr>
        <w:t>R</w:t>
      </w:r>
      <w:r w:rsidR="00557A8B" w:rsidRPr="001134B0">
        <w:rPr>
          <w:rFonts w:cs="Times"/>
        </w:rPr>
        <w:t xml:space="preserve">andom </w:t>
      </w:r>
      <w:r w:rsidR="00217C7C">
        <w:rPr>
          <w:rFonts w:cs="Times"/>
        </w:rPr>
        <w:t>F</w:t>
      </w:r>
      <w:r w:rsidR="00557A8B" w:rsidRPr="001134B0">
        <w:rPr>
          <w:rFonts w:cs="Times"/>
        </w:rPr>
        <w:t xml:space="preserve">orest model using </w:t>
      </w:r>
      <w:r w:rsidR="007817B7" w:rsidRPr="007817B7">
        <w:rPr>
          <w:rFonts w:cs="Times"/>
        </w:rPr>
        <w:t xml:space="preserve">leave-one-cluster-out </w:t>
      </w:r>
      <w:r w:rsidR="00557A8B" w:rsidRPr="001134B0">
        <w:rPr>
          <w:rFonts w:cs="Times"/>
        </w:rPr>
        <w:t>splitting</w:t>
      </w:r>
      <w:r w:rsidR="00321499">
        <w:rPr>
          <w:rFonts w:cs="Times"/>
        </w:rPr>
        <w:t xml:space="preserve"> (PDF)</w:t>
      </w:r>
    </w:p>
    <w:p w14:paraId="5CC52F49" w14:textId="28D48B88" w:rsidR="00657373" w:rsidRPr="001134B0" w:rsidRDefault="00657373" w:rsidP="0037616B">
      <w:pPr>
        <w:pStyle w:val="TESupportingInformation"/>
        <w:ind w:left="187" w:firstLine="0"/>
        <w:rPr>
          <w:rFonts w:cs="Times"/>
        </w:rPr>
      </w:pPr>
      <w:r w:rsidRPr="001134B0">
        <w:rPr>
          <w:rFonts w:cs="Times"/>
        </w:rPr>
        <w:t xml:space="preserve">Figure </w:t>
      </w:r>
      <w:r w:rsidR="009D7326">
        <w:rPr>
          <w:rFonts w:cs="Times"/>
        </w:rPr>
        <w:t>S4</w:t>
      </w:r>
      <w:r w:rsidR="00254F6D" w:rsidRPr="001134B0">
        <w:rPr>
          <w:rFonts w:cs="Times"/>
        </w:rPr>
        <w:t>.</w:t>
      </w:r>
      <w:r w:rsidRPr="001134B0">
        <w:rPr>
          <w:rFonts w:cs="Times"/>
        </w:rPr>
        <w:t xml:space="preserve"> </w:t>
      </w:r>
      <w:r w:rsidR="0037616B" w:rsidRPr="0037616B">
        <w:rPr>
          <w:rFonts w:cs="Times"/>
        </w:rPr>
        <w:t xml:space="preserve">Area Under Curve- Receiver Operating Characteristic </w:t>
      </w:r>
      <w:r w:rsidR="0037616B">
        <w:rPr>
          <w:rFonts w:cs="Times"/>
        </w:rPr>
        <w:t>(</w:t>
      </w:r>
      <w:r w:rsidR="00592CB2" w:rsidRPr="001134B0">
        <w:rPr>
          <w:rFonts w:cs="Times"/>
        </w:rPr>
        <w:t>AUC-ROC</w:t>
      </w:r>
      <w:r w:rsidR="0037616B">
        <w:rPr>
          <w:rFonts w:cs="Times"/>
        </w:rPr>
        <w:t>)</w:t>
      </w:r>
      <w:r w:rsidR="00592CB2" w:rsidRPr="001134B0">
        <w:rPr>
          <w:rFonts w:cs="Times"/>
        </w:rPr>
        <w:t xml:space="preserve"> </w:t>
      </w:r>
      <w:r w:rsidR="00217C7C">
        <w:rPr>
          <w:rFonts w:cs="Times"/>
        </w:rPr>
        <w:t>p</w:t>
      </w:r>
      <w:r w:rsidR="00267A42" w:rsidRPr="001134B0">
        <w:rPr>
          <w:rFonts w:cs="Times"/>
        </w:rPr>
        <w:t>erformance</w:t>
      </w:r>
      <w:r w:rsidR="00592CB2" w:rsidRPr="001134B0">
        <w:rPr>
          <w:rFonts w:cs="Times"/>
        </w:rPr>
        <w:t xml:space="preserve"> of</w:t>
      </w:r>
      <w:r w:rsidRPr="001134B0">
        <w:rPr>
          <w:rFonts w:cs="Times"/>
        </w:rPr>
        <w:t xml:space="preserve"> </w:t>
      </w:r>
      <w:r w:rsidR="00217C7C">
        <w:rPr>
          <w:rFonts w:cs="Times"/>
        </w:rPr>
        <w:t>c</w:t>
      </w:r>
      <w:r w:rsidRPr="001134B0">
        <w:rPr>
          <w:rFonts w:cs="Times"/>
        </w:rPr>
        <w:t xml:space="preserve">luster </w:t>
      </w:r>
      <w:r w:rsidR="00217C7C">
        <w:rPr>
          <w:rFonts w:cs="Times"/>
        </w:rPr>
        <w:t>a</w:t>
      </w:r>
      <w:r w:rsidRPr="001134B0">
        <w:rPr>
          <w:rFonts w:cs="Times"/>
        </w:rPr>
        <w:t xml:space="preserve">veraged </w:t>
      </w:r>
      <w:r w:rsidR="00217C7C">
        <w:rPr>
          <w:rFonts w:cs="Times"/>
        </w:rPr>
        <w:t>m</w:t>
      </w:r>
      <w:r w:rsidR="00592CB2" w:rsidRPr="001134B0">
        <w:rPr>
          <w:rFonts w:cs="Times"/>
        </w:rPr>
        <w:t>odels</w:t>
      </w:r>
      <w:r w:rsidR="0037616B" w:rsidRPr="0037616B">
        <w:rPr>
          <w:rFonts w:cs="Times"/>
        </w:rPr>
        <w:t xml:space="preserve"> </w:t>
      </w:r>
      <w:r w:rsidR="0037616B" w:rsidRPr="00886BBB">
        <w:rPr>
          <w:rFonts w:cs="Times"/>
        </w:rPr>
        <w:t>for 12 assays</w:t>
      </w:r>
      <w:r w:rsidRPr="001134B0">
        <w:rPr>
          <w:rFonts w:cs="Times"/>
        </w:rPr>
        <w:t xml:space="preserve"> </w:t>
      </w:r>
      <w:r w:rsidR="00321499">
        <w:rPr>
          <w:rFonts w:cs="Times"/>
        </w:rPr>
        <w:t>(PDF)</w:t>
      </w:r>
    </w:p>
    <w:p w14:paraId="36D0ED30" w14:textId="120C2457" w:rsidR="00657373" w:rsidRPr="001134B0" w:rsidRDefault="00657373" w:rsidP="0037616B">
      <w:pPr>
        <w:pStyle w:val="TESupportingInformation"/>
        <w:ind w:left="187" w:firstLine="0"/>
        <w:rPr>
          <w:rFonts w:cs="Times"/>
        </w:rPr>
      </w:pPr>
      <w:r w:rsidRPr="001134B0">
        <w:rPr>
          <w:rFonts w:cs="Times"/>
        </w:rPr>
        <w:lastRenderedPageBreak/>
        <w:t>Figure S</w:t>
      </w:r>
      <w:r w:rsidR="009D7326">
        <w:rPr>
          <w:rFonts w:cs="Times"/>
        </w:rPr>
        <w:t>5</w:t>
      </w:r>
      <w:r w:rsidRPr="001134B0">
        <w:rPr>
          <w:rFonts w:cs="Times"/>
        </w:rPr>
        <w:t xml:space="preserve">. </w:t>
      </w:r>
      <w:r w:rsidR="00A67A8A" w:rsidRPr="00A67A8A">
        <w:rPr>
          <w:rFonts w:cs="Times"/>
        </w:rPr>
        <w:t xml:space="preserve">Mathew’s Correlation constant </w:t>
      </w:r>
      <w:r w:rsidR="00A67A8A">
        <w:rPr>
          <w:rFonts w:cs="Times"/>
        </w:rPr>
        <w:t>(</w:t>
      </w:r>
      <w:r w:rsidR="00647390" w:rsidRPr="001134B0">
        <w:rPr>
          <w:rFonts w:cs="Times"/>
        </w:rPr>
        <w:t>MCC</w:t>
      </w:r>
      <w:r w:rsidR="00A67A8A">
        <w:rPr>
          <w:rFonts w:cs="Times"/>
        </w:rPr>
        <w:t>)</w:t>
      </w:r>
      <w:r w:rsidR="00557A8B" w:rsidRPr="001134B0">
        <w:rPr>
          <w:rFonts w:cs="Times"/>
        </w:rPr>
        <w:t xml:space="preserve"> </w:t>
      </w:r>
      <w:r w:rsidR="00217C7C">
        <w:rPr>
          <w:rFonts w:cs="Times"/>
        </w:rPr>
        <w:t>p</w:t>
      </w:r>
      <w:r w:rsidR="00217C7C" w:rsidRPr="001134B0">
        <w:rPr>
          <w:rFonts w:cs="Times"/>
        </w:rPr>
        <w:t xml:space="preserve">erformance of </w:t>
      </w:r>
      <w:r w:rsidR="00217C7C">
        <w:rPr>
          <w:rFonts w:cs="Times"/>
        </w:rPr>
        <w:t>c</w:t>
      </w:r>
      <w:r w:rsidR="00217C7C" w:rsidRPr="001134B0">
        <w:rPr>
          <w:rFonts w:cs="Times"/>
        </w:rPr>
        <w:t xml:space="preserve">luster </w:t>
      </w:r>
      <w:r w:rsidR="00217C7C">
        <w:rPr>
          <w:rFonts w:cs="Times"/>
        </w:rPr>
        <w:t>a</w:t>
      </w:r>
      <w:r w:rsidR="00217C7C" w:rsidRPr="001134B0">
        <w:rPr>
          <w:rFonts w:cs="Times"/>
        </w:rPr>
        <w:t xml:space="preserve">veraged </w:t>
      </w:r>
      <w:r w:rsidR="00217C7C">
        <w:rPr>
          <w:rFonts w:cs="Times"/>
        </w:rPr>
        <w:t>m</w:t>
      </w:r>
      <w:r w:rsidR="00217C7C" w:rsidRPr="001134B0">
        <w:rPr>
          <w:rFonts w:cs="Times"/>
        </w:rPr>
        <w:t>odels</w:t>
      </w:r>
      <w:r w:rsidR="00321499">
        <w:rPr>
          <w:rFonts w:cs="Times"/>
        </w:rPr>
        <w:t xml:space="preserve"> </w:t>
      </w:r>
      <w:r w:rsidR="00886BBB" w:rsidRPr="00886BBB">
        <w:rPr>
          <w:rFonts w:cs="Times"/>
        </w:rPr>
        <w:t xml:space="preserve">for 12 assays </w:t>
      </w:r>
      <w:r w:rsidR="00321499">
        <w:rPr>
          <w:rFonts w:cs="Times"/>
        </w:rPr>
        <w:t>(PDF)</w:t>
      </w:r>
    </w:p>
    <w:p w14:paraId="73F4AD47" w14:textId="441DDE18" w:rsidR="00657373" w:rsidRPr="001134B0" w:rsidRDefault="00657373" w:rsidP="00647390">
      <w:pPr>
        <w:pStyle w:val="TESupportingInformation"/>
        <w:rPr>
          <w:rFonts w:cs="Times"/>
        </w:rPr>
      </w:pPr>
      <w:r w:rsidRPr="001134B0">
        <w:rPr>
          <w:rFonts w:cs="Times"/>
        </w:rPr>
        <w:t>Figure S</w:t>
      </w:r>
      <w:r w:rsidR="009D7326">
        <w:rPr>
          <w:rFonts w:cs="Times"/>
        </w:rPr>
        <w:t>6</w:t>
      </w:r>
      <w:r w:rsidRPr="001134B0">
        <w:rPr>
          <w:rFonts w:cs="Times"/>
        </w:rPr>
        <w:t xml:space="preserve">. </w:t>
      </w:r>
      <w:r w:rsidR="00881EAD" w:rsidRPr="00881EAD">
        <w:rPr>
          <w:rFonts w:cs="Times"/>
        </w:rPr>
        <w:t>Balanced Accuracy (</w:t>
      </w:r>
      <w:r w:rsidR="00647390" w:rsidRPr="001134B0">
        <w:rPr>
          <w:rFonts w:cs="Times"/>
        </w:rPr>
        <w:t>BA</w:t>
      </w:r>
      <w:r w:rsidR="00881EAD">
        <w:rPr>
          <w:rFonts w:cs="Times"/>
        </w:rPr>
        <w:t>)</w:t>
      </w:r>
      <w:r w:rsidRPr="001134B0">
        <w:rPr>
          <w:rFonts w:cs="Times"/>
        </w:rPr>
        <w:t xml:space="preserve"> </w:t>
      </w:r>
      <w:r w:rsidR="00557A8B" w:rsidRPr="001134B0">
        <w:rPr>
          <w:rFonts w:cs="Times"/>
        </w:rPr>
        <w:t xml:space="preserve"> </w:t>
      </w:r>
      <w:r w:rsidR="00217C7C">
        <w:rPr>
          <w:rFonts w:cs="Times"/>
        </w:rPr>
        <w:t>p</w:t>
      </w:r>
      <w:r w:rsidR="00217C7C" w:rsidRPr="001134B0">
        <w:rPr>
          <w:rFonts w:cs="Times"/>
        </w:rPr>
        <w:t xml:space="preserve">erformance of </w:t>
      </w:r>
      <w:r w:rsidR="00217C7C">
        <w:rPr>
          <w:rFonts w:cs="Times"/>
        </w:rPr>
        <w:t>c</w:t>
      </w:r>
      <w:r w:rsidR="00217C7C" w:rsidRPr="001134B0">
        <w:rPr>
          <w:rFonts w:cs="Times"/>
        </w:rPr>
        <w:t xml:space="preserve">luster </w:t>
      </w:r>
      <w:r w:rsidR="00217C7C">
        <w:rPr>
          <w:rFonts w:cs="Times"/>
        </w:rPr>
        <w:t>a</w:t>
      </w:r>
      <w:r w:rsidR="00217C7C" w:rsidRPr="001134B0">
        <w:rPr>
          <w:rFonts w:cs="Times"/>
        </w:rPr>
        <w:t xml:space="preserve">veraged </w:t>
      </w:r>
      <w:r w:rsidR="00217C7C">
        <w:rPr>
          <w:rFonts w:cs="Times"/>
        </w:rPr>
        <w:t>m</w:t>
      </w:r>
      <w:r w:rsidR="00217C7C" w:rsidRPr="001134B0">
        <w:rPr>
          <w:rFonts w:cs="Times"/>
        </w:rPr>
        <w:t>odels</w:t>
      </w:r>
      <w:r w:rsidR="00321499">
        <w:rPr>
          <w:rFonts w:cs="Times"/>
        </w:rPr>
        <w:t xml:space="preserve"> </w:t>
      </w:r>
      <w:r w:rsidR="00886BBB" w:rsidRPr="00886BBB">
        <w:rPr>
          <w:rFonts w:cs="Times"/>
        </w:rPr>
        <w:t xml:space="preserve">for 12 assays </w:t>
      </w:r>
      <w:r w:rsidR="00321499">
        <w:rPr>
          <w:rFonts w:cs="Times"/>
        </w:rPr>
        <w:t>(PDF)</w:t>
      </w:r>
    </w:p>
    <w:p w14:paraId="2A9051CF" w14:textId="04669167" w:rsidR="004D315C" w:rsidRPr="001134B0" w:rsidRDefault="004D315C" w:rsidP="004D315C">
      <w:pPr>
        <w:ind w:firstLine="187"/>
        <w:rPr>
          <w:rFonts w:ascii="Times" w:hAnsi="Times" w:cs="Times"/>
        </w:rPr>
      </w:pPr>
      <w:r w:rsidRPr="001134B0">
        <w:rPr>
          <w:rFonts w:ascii="Times" w:hAnsi="Times" w:cs="Times"/>
        </w:rPr>
        <w:t xml:space="preserve">Table </w:t>
      </w:r>
      <w:r>
        <w:rPr>
          <w:rFonts w:ascii="Times" w:hAnsi="Times" w:cs="Times"/>
        </w:rPr>
        <w:t>S6.</w:t>
      </w:r>
      <w:r w:rsidRPr="001134B0">
        <w:rPr>
          <w:rFonts w:ascii="Times" w:hAnsi="Times" w:cs="Times"/>
        </w:rPr>
        <w:t xml:space="preserve"> </w:t>
      </w:r>
      <w:r w:rsidR="005258F7">
        <w:rPr>
          <w:rFonts w:ascii="Times" w:hAnsi="Times" w:cs="Times"/>
        </w:rPr>
        <w:t>C</w:t>
      </w:r>
      <w:r w:rsidR="005258F7" w:rsidRPr="005258F7">
        <w:rPr>
          <w:rFonts w:ascii="Times" w:hAnsi="Times" w:cs="Times"/>
        </w:rPr>
        <w:t xml:space="preserve">onfusion matrices of the </w:t>
      </w:r>
      <w:r w:rsidR="00A14F42">
        <w:rPr>
          <w:rFonts w:ascii="Times" w:hAnsi="Times" w:cs="Times"/>
        </w:rPr>
        <w:t xml:space="preserve">Random Forest Models </w:t>
      </w:r>
      <w:r>
        <w:rPr>
          <w:rFonts w:cs="Times"/>
        </w:rPr>
        <w:t>(XLSX)</w:t>
      </w:r>
    </w:p>
    <w:p w14:paraId="3FE76166" w14:textId="77777777" w:rsidR="004D315C" w:rsidRDefault="004D315C" w:rsidP="00B7412E">
      <w:pPr>
        <w:ind w:firstLine="187"/>
        <w:rPr>
          <w:rFonts w:ascii="Times" w:hAnsi="Times" w:cs="Times"/>
        </w:rPr>
      </w:pPr>
    </w:p>
    <w:p w14:paraId="1D624759" w14:textId="13E7D51C" w:rsidR="00B7412E" w:rsidRPr="001134B0" w:rsidRDefault="00B7412E" w:rsidP="00B7412E">
      <w:pPr>
        <w:ind w:firstLine="187"/>
        <w:rPr>
          <w:rFonts w:ascii="Times" w:hAnsi="Times" w:cs="Times"/>
        </w:rPr>
      </w:pPr>
      <w:r w:rsidRPr="001134B0">
        <w:rPr>
          <w:rFonts w:ascii="Times" w:hAnsi="Times" w:cs="Times"/>
        </w:rPr>
        <w:t xml:space="preserve">Table </w:t>
      </w:r>
      <w:r w:rsidR="004D315C">
        <w:rPr>
          <w:rFonts w:ascii="Times" w:hAnsi="Times" w:cs="Times"/>
        </w:rPr>
        <w:t>S7.</w:t>
      </w:r>
      <w:r w:rsidRPr="001134B0">
        <w:rPr>
          <w:rFonts w:ascii="Times" w:hAnsi="Times" w:cs="Times"/>
        </w:rPr>
        <w:t xml:space="preserve"> Feature Importance </w:t>
      </w:r>
      <w:r w:rsidR="00217C7C">
        <w:rPr>
          <w:rFonts w:ascii="Times" w:hAnsi="Times" w:cs="Times"/>
        </w:rPr>
        <w:t xml:space="preserve">of </w:t>
      </w:r>
      <w:r w:rsidRPr="001134B0">
        <w:rPr>
          <w:rFonts w:ascii="Times" w:hAnsi="Times" w:cs="Times"/>
        </w:rPr>
        <w:t xml:space="preserve">Cell Painting </w:t>
      </w:r>
      <w:r w:rsidR="00570AEB">
        <w:rPr>
          <w:rFonts w:cs="Times"/>
        </w:rPr>
        <w:t>descriptors</w:t>
      </w:r>
      <w:r w:rsidR="00321499">
        <w:rPr>
          <w:rFonts w:cs="Times"/>
        </w:rPr>
        <w:t xml:space="preserve"> (PDF)</w:t>
      </w:r>
    </w:p>
    <w:p w14:paraId="0530E4B2" w14:textId="77777777" w:rsidR="00B7412E" w:rsidRPr="001134B0" w:rsidRDefault="00B7412E" w:rsidP="00B7412E">
      <w:pPr>
        <w:ind w:firstLine="187"/>
        <w:rPr>
          <w:rFonts w:ascii="Times" w:hAnsi="Times" w:cs="Times"/>
        </w:rPr>
      </w:pPr>
    </w:p>
    <w:p w14:paraId="035473B1" w14:textId="7212BE1C" w:rsidR="008F63A1" w:rsidRPr="001134B0" w:rsidRDefault="008F63A1" w:rsidP="008F63A1">
      <w:pPr>
        <w:pStyle w:val="TESupportingInformation"/>
        <w:ind w:firstLine="0"/>
        <w:rPr>
          <w:rFonts w:cs="Times"/>
          <w:b/>
          <w:bCs/>
        </w:rPr>
      </w:pPr>
      <w:r w:rsidRPr="001134B0">
        <w:rPr>
          <w:rFonts w:cs="Times"/>
          <w:b/>
          <w:bCs/>
        </w:rPr>
        <w:t>AUTHOR INFORMATION</w:t>
      </w:r>
    </w:p>
    <w:p w14:paraId="7E239132" w14:textId="77777777" w:rsidR="000E22A9" w:rsidRPr="001134B0" w:rsidRDefault="000E22A9" w:rsidP="007C5B6B">
      <w:pPr>
        <w:pStyle w:val="FACorrespondingAuthorFootnote"/>
        <w:rPr>
          <w:rFonts w:cs="Times"/>
          <w:sz w:val="19"/>
          <w:szCs w:val="14"/>
        </w:rPr>
      </w:pPr>
      <w:r w:rsidRPr="001134B0">
        <w:rPr>
          <w:rFonts w:cs="Times"/>
        </w:rPr>
        <w:t>Corresponding Author</w:t>
      </w:r>
    </w:p>
    <w:p w14:paraId="4447F2EE" w14:textId="3543C3EE" w:rsidR="000E22A9" w:rsidRPr="001134B0" w:rsidRDefault="000E22A9" w:rsidP="007C5B6B">
      <w:pPr>
        <w:pStyle w:val="FACorrespondingAuthorFootnote"/>
        <w:rPr>
          <w:rFonts w:cs="Times"/>
        </w:rPr>
      </w:pPr>
      <w:r w:rsidRPr="001134B0">
        <w:rPr>
          <w:rFonts w:cs="Times"/>
        </w:rPr>
        <w:t xml:space="preserve">* </w:t>
      </w:r>
      <w:r w:rsidR="000A522D" w:rsidRPr="001134B0">
        <w:rPr>
          <w:rFonts w:cs="Times"/>
        </w:rPr>
        <w:t>Dr Andreas Bender</w:t>
      </w:r>
      <w:r w:rsidR="009248E0" w:rsidRPr="001134B0">
        <w:rPr>
          <w:rFonts w:cs="Times"/>
        </w:rPr>
        <w:t xml:space="preserve">, Centre for Molecular Informatics, Department of Chemistry, University of Cambridge, </w:t>
      </w:r>
      <w:proofErr w:type="spellStart"/>
      <w:r w:rsidR="009248E0" w:rsidRPr="001134B0">
        <w:rPr>
          <w:rFonts w:cs="Times"/>
        </w:rPr>
        <w:t>Lensfield</w:t>
      </w:r>
      <w:proofErr w:type="spellEnd"/>
      <w:r w:rsidR="009248E0" w:rsidRPr="001134B0">
        <w:rPr>
          <w:rFonts w:cs="Times"/>
        </w:rPr>
        <w:t xml:space="preserve"> Road, Cambridge, CB2 1EW, United Kingdom. </w:t>
      </w:r>
      <w:r w:rsidR="009248E0" w:rsidRPr="001134B0">
        <w:rPr>
          <w:rFonts w:cs="Times"/>
        </w:rPr>
        <w:tab/>
      </w:r>
      <w:r w:rsidR="009248E0" w:rsidRPr="001134B0">
        <w:rPr>
          <w:rFonts w:cs="Times"/>
        </w:rPr>
        <w:br/>
        <w:t>ab454@cam.ac.uk</w:t>
      </w:r>
      <w:r w:rsidR="00D71D82" w:rsidRPr="001134B0">
        <w:rPr>
          <w:rFonts w:cs="Times"/>
        </w:rPr>
        <w:br/>
      </w:r>
      <w:r w:rsidRPr="001134B0">
        <w:rPr>
          <w:rFonts w:cs="Times"/>
        </w:rPr>
        <w:t xml:space="preserve">All authors have given approval to the final version of the manuscript. </w:t>
      </w:r>
    </w:p>
    <w:p w14:paraId="501115F4" w14:textId="2EAB565E" w:rsidR="00D71D82" w:rsidRPr="001134B0" w:rsidRDefault="00D71D82" w:rsidP="00D71D82">
      <w:pPr>
        <w:pStyle w:val="FACorrespondingAuthorFootnote"/>
        <w:rPr>
          <w:rFonts w:cs="Times"/>
        </w:rPr>
      </w:pPr>
      <w:r w:rsidRPr="001134B0">
        <w:rPr>
          <w:rFonts w:cs="Times"/>
        </w:rPr>
        <w:t>Conflicts of Interest</w:t>
      </w:r>
    </w:p>
    <w:p w14:paraId="259BEF6E" w14:textId="3F029150" w:rsidR="00D71D82" w:rsidRPr="001134B0" w:rsidRDefault="00D71D82" w:rsidP="00D71D82">
      <w:pPr>
        <w:pStyle w:val="FACorrespondingAuthorFootnote"/>
        <w:rPr>
          <w:rFonts w:cs="Times"/>
        </w:rPr>
      </w:pPr>
      <w:r w:rsidRPr="001134B0">
        <w:rPr>
          <w:rFonts w:cs="Times"/>
        </w:rPr>
        <w:t xml:space="preserve">The authors declare no conflict of interest. </w:t>
      </w:r>
    </w:p>
    <w:p w14:paraId="5E6EA8DE" w14:textId="628EC9EB" w:rsidR="007C5B6B" w:rsidRPr="001134B0" w:rsidRDefault="007C5B6B" w:rsidP="00DF4E00">
      <w:pPr>
        <w:pStyle w:val="TDAcknowledgments"/>
        <w:rPr>
          <w:rFonts w:cs="Times"/>
          <w:b/>
          <w:bCs/>
        </w:rPr>
      </w:pPr>
      <w:r w:rsidRPr="001134B0">
        <w:rPr>
          <w:rFonts w:cs="Times"/>
          <w:b/>
          <w:bCs/>
        </w:rPr>
        <w:t>ACKNOWLEDGMENT</w:t>
      </w:r>
    </w:p>
    <w:p w14:paraId="5E59A6F2" w14:textId="2D1CB9EA" w:rsidR="00A54215" w:rsidRDefault="00A54215" w:rsidP="009A0BF4">
      <w:pPr>
        <w:pStyle w:val="TDAcknowledgments"/>
        <w:rPr>
          <w:rFonts w:cs="Times"/>
        </w:rPr>
      </w:pPr>
      <w:r w:rsidRPr="00A54215">
        <w:rPr>
          <w:rFonts w:cs="Times"/>
        </w:rPr>
        <w:t>S.S. acknowledges Clare Hall for providing funding via the India Innovation Scholarship</w:t>
      </w:r>
      <w:r w:rsidR="00DB4CF8">
        <w:rPr>
          <w:rFonts w:cs="Times"/>
        </w:rPr>
        <w:t>,</w:t>
      </w:r>
      <w:r w:rsidRPr="00A54215">
        <w:rPr>
          <w:rFonts w:cs="Times"/>
        </w:rPr>
        <w:t xml:space="preserve"> H.Y. acknowledges support from the Cambridge Alliance on Medicines Safety (CAMS) and L.V. received support from the  Erasmus+  programme of the European Union. We thank Danilo </w:t>
      </w:r>
      <w:proofErr w:type="spellStart"/>
      <w:r w:rsidRPr="00A54215">
        <w:rPr>
          <w:rFonts w:cs="Times"/>
        </w:rPr>
        <w:t>Basili</w:t>
      </w:r>
      <w:proofErr w:type="spellEnd"/>
      <w:r w:rsidRPr="00A54215">
        <w:rPr>
          <w:rFonts w:cs="Times"/>
        </w:rPr>
        <w:t xml:space="preserve">, Andrew Boardman , Anika Liu and Morgan Thomas (University of Cambridge) for comments on the manuscript. We thank Maria-Anna </w:t>
      </w:r>
      <w:proofErr w:type="spellStart"/>
      <w:r w:rsidRPr="00A54215">
        <w:rPr>
          <w:rFonts w:cs="Times"/>
        </w:rPr>
        <w:t>Trapotsi</w:t>
      </w:r>
      <w:proofErr w:type="spellEnd"/>
      <w:r w:rsidRPr="00A54215">
        <w:rPr>
          <w:rFonts w:cs="Times"/>
        </w:rPr>
        <w:t xml:space="preserve"> (University of Cambridge) for useful discussions on </w:t>
      </w:r>
      <w:proofErr w:type="spellStart"/>
      <w:r w:rsidRPr="00A54215">
        <w:rPr>
          <w:rFonts w:cs="Times"/>
        </w:rPr>
        <w:t>preprocessing</w:t>
      </w:r>
      <w:proofErr w:type="spellEnd"/>
      <w:r w:rsidRPr="00A54215">
        <w:rPr>
          <w:rFonts w:cs="Times"/>
        </w:rPr>
        <w:t xml:space="preserve"> the Cell Painting datasets, and Jordi Carreras </w:t>
      </w:r>
      <w:proofErr w:type="spellStart"/>
      <w:r w:rsidRPr="00A54215">
        <w:rPr>
          <w:rFonts w:cs="Times"/>
        </w:rPr>
        <w:t>Puigvert</w:t>
      </w:r>
      <w:proofErr w:type="spellEnd"/>
      <w:r w:rsidRPr="00A54215">
        <w:rPr>
          <w:rFonts w:cs="Times"/>
        </w:rPr>
        <w:t xml:space="preserve"> (Uppsala University) for useful dis-</w:t>
      </w:r>
      <w:proofErr w:type="spellStart"/>
      <w:r w:rsidRPr="00A54215">
        <w:rPr>
          <w:rFonts w:cs="Times"/>
        </w:rPr>
        <w:t>cussions</w:t>
      </w:r>
      <w:proofErr w:type="spellEnd"/>
      <w:r w:rsidRPr="00A54215">
        <w:rPr>
          <w:rFonts w:cs="Times"/>
        </w:rPr>
        <w:t xml:space="preserve"> on </w:t>
      </w:r>
      <w:proofErr w:type="spellStart"/>
      <w:r w:rsidRPr="00A54215">
        <w:rPr>
          <w:rFonts w:cs="Times"/>
        </w:rPr>
        <w:t>CellProfiler</w:t>
      </w:r>
      <w:proofErr w:type="spellEnd"/>
      <w:r w:rsidRPr="00A54215">
        <w:rPr>
          <w:rFonts w:cs="Times"/>
        </w:rPr>
        <w:t xml:space="preserve"> image-based features.</w:t>
      </w:r>
    </w:p>
    <w:p w14:paraId="26E3CD3E" w14:textId="7327F11C" w:rsidR="00920297" w:rsidRPr="001134B0" w:rsidRDefault="00920297" w:rsidP="009A0BF4">
      <w:pPr>
        <w:pStyle w:val="TDAcknowledgments"/>
        <w:rPr>
          <w:rFonts w:cs="Times"/>
          <w:b/>
          <w:bCs/>
        </w:rPr>
      </w:pPr>
      <w:r w:rsidRPr="001134B0">
        <w:rPr>
          <w:rFonts w:cs="Times"/>
          <w:b/>
          <w:bCs/>
        </w:rPr>
        <w:t xml:space="preserve">ABBREVIATIONS </w:t>
      </w:r>
    </w:p>
    <w:p w14:paraId="554AB6BB" w14:textId="40FE3CC9" w:rsidR="001863B1" w:rsidRDefault="00254F6D" w:rsidP="004A3501">
      <w:pPr>
        <w:pStyle w:val="TDAcknowledgments"/>
        <w:rPr>
          <w:rFonts w:cs="Times"/>
        </w:rPr>
      </w:pPr>
      <w:r w:rsidRPr="001134B0">
        <w:rPr>
          <w:rFonts w:cs="Times"/>
        </w:rPr>
        <w:lastRenderedPageBreak/>
        <w:t xml:space="preserve">ACEA, ACEA Biosciences; APR, </w:t>
      </w:r>
      <w:proofErr w:type="spellStart"/>
      <w:r w:rsidRPr="001134B0">
        <w:rPr>
          <w:rFonts w:cs="Times"/>
        </w:rPr>
        <w:t>Apredica</w:t>
      </w:r>
      <w:proofErr w:type="spellEnd"/>
      <w:r w:rsidRPr="001134B0">
        <w:rPr>
          <w:rFonts w:cs="Times"/>
        </w:rPr>
        <w:t xml:space="preserve">; </w:t>
      </w:r>
      <w:r w:rsidR="00EE535C" w:rsidRPr="001134B0">
        <w:rPr>
          <w:rFonts w:cs="Times"/>
        </w:rPr>
        <w:t xml:space="preserve">AUC-ROC, Area Under Curve- Receiver Operating Characteristic; </w:t>
      </w:r>
      <w:r w:rsidRPr="001134B0">
        <w:rPr>
          <w:rFonts w:cs="Times"/>
        </w:rPr>
        <w:t xml:space="preserve">AGP, Actin, Golgi, Plasma membrane; </w:t>
      </w:r>
      <w:r w:rsidR="00EE535C" w:rsidRPr="001134B0">
        <w:rPr>
          <w:rFonts w:cs="Times"/>
        </w:rPr>
        <w:t>BA, Balanced Accuracy;</w:t>
      </w:r>
      <w:r w:rsidRPr="001134B0">
        <w:rPr>
          <w:rFonts w:cs="Times"/>
        </w:rPr>
        <w:t xml:space="preserve"> BMF,</w:t>
      </w:r>
      <w:r w:rsidR="00EE535C" w:rsidRPr="001134B0">
        <w:rPr>
          <w:rFonts w:cs="Times"/>
        </w:rPr>
        <w:t xml:space="preserve"> </w:t>
      </w:r>
      <w:r w:rsidRPr="001134B0">
        <w:rPr>
          <w:rFonts w:cs="Times"/>
        </w:rPr>
        <w:t xml:space="preserve">Bayesian Matrix Factorisation; BSK, </w:t>
      </w:r>
      <w:proofErr w:type="spellStart"/>
      <w:r w:rsidRPr="001134B0">
        <w:rPr>
          <w:rFonts w:cs="Times"/>
        </w:rPr>
        <w:t>BioSeek</w:t>
      </w:r>
      <w:proofErr w:type="spellEnd"/>
      <w:r w:rsidRPr="001134B0">
        <w:rPr>
          <w:rFonts w:cs="Times"/>
        </w:rPr>
        <w:t xml:space="preserve">; </w:t>
      </w:r>
      <w:r w:rsidR="00EE535C" w:rsidRPr="001134B0">
        <w:rPr>
          <w:rFonts w:cs="Times"/>
        </w:rPr>
        <w:t xml:space="preserve">CP, Cell Painting; </w:t>
      </w:r>
      <w:r w:rsidRPr="001134B0">
        <w:rPr>
          <w:rFonts w:cs="Times"/>
        </w:rPr>
        <w:t xml:space="preserve">ELISA, Enzyme-Linked </w:t>
      </w:r>
      <w:proofErr w:type="spellStart"/>
      <w:r w:rsidRPr="001134B0">
        <w:rPr>
          <w:rFonts w:cs="Times"/>
        </w:rPr>
        <w:t>ImmunoSorbent</w:t>
      </w:r>
      <w:proofErr w:type="spellEnd"/>
      <w:r w:rsidRPr="001134B0">
        <w:rPr>
          <w:rFonts w:cs="Times"/>
        </w:rPr>
        <w:t xml:space="preserve"> Assay ; </w:t>
      </w:r>
      <w:proofErr w:type="spellStart"/>
      <w:r w:rsidR="00EE535C" w:rsidRPr="001134B0">
        <w:rPr>
          <w:rFonts w:cs="Times"/>
        </w:rPr>
        <w:t>ErG</w:t>
      </w:r>
      <w:proofErr w:type="spellEnd"/>
      <w:r w:rsidR="00EE535C" w:rsidRPr="001134B0">
        <w:rPr>
          <w:rFonts w:cs="Times"/>
        </w:rPr>
        <w:t xml:space="preserve">, Extended reduced Graph; FN: </w:t>
      </w:r>
      <w:r w:rsidR="00C072C5">
        <w:rPr>
          <w:rFonts w:cs="Times"/>
        </w:rPr>
        <w:t xml:space="preserve">Number of </w:t>
      </w:r>
      <w:r w:rsidR="00EE535C" w:rsidRPr="001134B0">
        <w:rPr>
          <w:rFonts w:cs="Times"/>
        </w:rPr>
        <w:t>False Negative</w:t>
      </w:r>
      <w:r w:rsidR="00C072C5">
        <w:rPr>
          <w:rFonts w:cs="Times"/>
        </w:rPr>
        <w:t>s</w:t>
      </w:r>
      <w:r w:rsidR="00EE535C" w:rsidRPr="001134B0">
        <w:rPr>
          <w:rFonts w:cs="Times"/>
        </w:rPr>
        <w:t xml:space="preserve">; FP: </w:t>
      </w:r>
      <w:r w:rsidR="00C072C5">
        <w:rPr>
          <w:rFonts w:cs="Times"/>
        </w:rPr>
        <w:t xml:space="preserve">Number of </w:t>
      </w:r>
      <w:r w:rsidR="00EE535C" w:rsidRPr="001134B0">
        <w:rPr>
          <w:rFonts w:cs="Times"/>
        </w:rPr>
        <w:t>False Positive</w:t>
      </w:r>
      <w:r w:rsidR="00C072C5">
        <w:rPr>
          <w:rFonts w:cs="Times"/>
        </w:rPr>
        <w:t>s</w:t>
      </w:r>
      <w:r w:rsidR="00EE535C" w:rsidRPr="001134B0">
        <w:rPr>
          <w:rFonts w:cs="Times"/>
        </w:rPr>
        <w:t xml:space="preserve">; KS, Kolmogorov-Smirnov; </w:t>
      </w:r>
      <w:r w:rsidRPr="001134B0">
        <w:rPr>
          <w:rFonts w:cs="Times"/>
        </w:rPr>
        <w:t xml:space="preserve">MACCS, Molecular </w:t>
      </w:r>
      <w:proofErr w:type="spellStart"/>
      <w:r w:rsidRPr="001134B0">
        <w:rPr>
          <w:rFonts w:cs="Times"/>
        </w:rPr>
        <w:t>ACCess</w:t>
      </w:r>
      <w:proofErr w:type="spellEnd"/>
      <w:r w:rsidRPr="001134B0">
        <w:rPr>
          <w:rFonts w:cs="Times"/>
        </w:rPr>
        <w:t xml:space="preserve"> System ;</w:t>
      </w:r>
      <w:r w:rsidR="00EE535C" w:rsidRPr="001134B0">
        <w:rPr>
          <w:rFonts w:cs="Times"/>
        </w:rPr>
        <w:t>MCC, Mathew’s Correlation constant; MOA, Mechanism of Action;</w:t>
      </w:r>
      <w:r w:rsidRPr="001134B0">
        <w:rPr>
          <w:rFonts w:cs="Times"/>
        </w:rPr>
        <w:t xml:space="preserve"> mRNA, Messenger RNA (mRNA);</w:t>
      </w:r>
      <w:r w:rsidR="00EE535C" w:rsidRPr="001134B0">
        <w:rPr>
          <w:rFonts w:cs="Times"/>
        </w:rPr>
        <w:t xml:space="preserve"> PCA, Principal component analysis; RF, Random Forest; </w:t>
      </w:r>
      <w:r w:rsidRPr="001134B0">
        <w:rPr>
          <w:rFonts w:cs="Times"/>
        </w:rPr>
        <w:t xml:space="preserve">RNA, Ribonucleic acid; </w:t>
      </w:r>
      <w:r w:rsidR="00EE535C" w:rsidRPr="001134B0">
        <w:rPr>
          <w:rFonts w:cs="Times"/>
        </w:rPr>
        <w:t xml:space="preserve">SEN, Sensitivity; </w:t>
      </w:r>
      <w:r w:rsidR="00A63C25" w:rsidRPr="001134B0">
        <w:rPr>
          <w:rFonts w:cs="Times"/>
        </w:rPr>
        <w:t xml:space="preserve">SMILES, Simplified Molecular-Input Line-Entry System ; </w:t>
      </w:r>
      <w:r w:rsidR="00EE535C" w:rsidRPr="001134B0">
        <w:rPr>
          <w:rFonts w:cs="Times"/>
        </w:rPr>
        <w:t xml:space="preserve">SPE, Specificity; </w:t>
      </w:r>
      <w:r w:rsidRPr="001134B0">
        <w:rPr>
          <w:rFonts w:cs="Times"/>
        </w:rPr>
        <w:t xml:space="preserve">SRB, </w:t>
      </w:r>
      <w:proofErr w:type="spellStart"/>
      <w:r w:rsidRPr="001134B0">
        <w:rPr>
          <w:rFonts w:cs="Times"/>
        </w:rPr>
        <w:t>sulforhodamine</w:t>
      </w:r>
      <w:proofErr w:type="spellEnd"/>
      <w:r w:rsidRPr="001134B0">
        <w:rPr>
          <w:rFonts w:cs="Times"/>
        </w:rPr>
        <w:t xml:space="preserve"> B; SVM, Support Vector Machine ;</w:t>
      </w:r>
      <w:r w:rsidR="00EE535C" w:rsidRPr="001134B0">
        <w:rPr>
          <w:rFonts w:cs="Times"/>
        </w:rPr>
        <w:t xml:space="preserve">TN: </w:t>
      </w:r>
      <w:r w:rsidR="00C072C5">
        <w:rPr>
          <w:rFonts w:cs="Times"/>
        </w:rPr>
        <w:t xml:space="preserve">Number of </w:t>
      </w:r>
      <w:r w:rsidR="00EE535C" w:rsidRPr="001134B0">
        <w:rPr>
          <w:rFonts w:cs="Times"/>
        </w:rPr>
        <w:t>True Negative</w:t>
      </w:r>
      <w:r w:rsidR="00C072C5">
        <w:rPr>
          <w:rFonts w:cs="Times"/>
        </w:rPr>
        <w:t>s</w:t>
      </w:r>
      <w:r w:rsidR="00EE535C" w:rsidRPr="001134B0">
        <w:rPr>
          <w:rFonts w:cs="Times"/>
        </w:rPr>
        <w:t xml:space="preserve">; TP: </w:t>
      </w:r>
      <w:r w:rsidR="00C072C5">
        <w:rPr>
          <w:rFonts w:cs="Times"/>
        </w:rPr>
        <w:t xml:space="preserve">Number of </w:t>
      </w:r>
      <w:r w:rsidR="00EE535C" w:rsidRPr="001134B0">
        <w:rPr>
          <w:rFonts w:cs="Times"/>
        </w:rPr>
        <w:t>True Positive</w:t>
      </w:r>
      <w:r w:rsidR="00C072C5">
        <w:rPr>
          <w:rFonts w:cs="Times"/>
        </w:rPr>
        <w:t>s</w:t>
      </w:r>
      <w:r w:rsidR="001863B1">
        <w:rPr>
          <w:rFonts w:cs="Times"/>
        </w:rPr>
        <w:br w:type="page"/>
      </w:r>
    </w:p>
    <w:p w14:paraId="1E5E6D8A" w14:textId="32120A81" w:rsidR="00315BAC" w:rsidRPr="001134B0" w:rsidRDefault="00920297" w:rsidP="00315BAC">
      <w:pPr>
        <w:pStyle w:val="TFReferencesSection"/>
        <w:rPr>
          <w:rFonts w:cs="Times"/>
        </w:rPr>
      </w:pPr>
      <w:r w:rsidRPr="001134B0">
        <w:rPr>
          <w:rFonts w:cs="Times"/>
          <w:b/>
          <w:bCs/>
        </w:rPr>
        <w:lastRenderedPageBreak/>
        <w:t>REFERE</w:t>
      </w:r>
      <w:r w:rsidR="001863B1">
        <w:rPr>
          <w:rFonts w:cs="Times"/>
          <w:b/>
          <w:bCs/>
        </w:rPr>
        <w:t>N</w:t>
      </w:r>
      <w:r w:rsidRPr="001134B0">
        <w:rPr>
          <w:rFonts w:cs="Times"/>
          <w:b/>
          <w:bCs/>
        </w:rPr>
        <w:t>CES</w:t>
      </w:r>
    </w:p>
    <w:p w14:paraId="1C8BC109" w14:textId="59167DFF" w:rsidR="00D2122A" w:rsidRPr="001134B0" w:rsidRDefault="00D2122A" w:rsidP="00D2122A">
      <w:pPr>
        <w:pStyle w:val="TFReferencesSection"/>
        <w:rPr>
          <w:rFonts w:cs="Times"/>
          <w:b/>
          <w:bCs/>
        </w:rPr>
        <w:sectPr w:rsidR="00D2122A" w:rsidRPr="001134B0" w:rsidSect="00E40AC7">
          <w:headerReference w:type="default" r:id="rId9"/>
          <w:footerReference w:type="default" r:id="rId10"/>
          <w:endnotePr>
            <w:numFmt w:val="decimal"/>
          </w:endnotePr>
          <w:pgSz w:w="12242" w:h="15842" w:code="1"/>
          <w:pgMar w:top="720" w:right="1094" w:bottom="953" w:left="1094" w:header="0" w:footer="0" w:gutter="0"/>
          <w:cols w:space="720"/>
        </w:sectPr>
      </w:pPr>
    </w:p>
    <w:p w14:paraId="38792D91" w14:textId="4540BEF6" w:rsidR="00920297" w:rsidRPr="001134B0" w:rsidRDefault="00920297" w:rsidP="005227B4">
      <w:pPr>
        <w:pStyle w:val="VDTableTitle"/>
        <w:rPr>
          <w:rFonts w:cs="Times"/>
        </w:rPr>
      </w:pPr>
      <w:r w:rsidRPr="001134B0">
        <w:rPr>
          <w:rFonts w:cs="Times"/>
        </w:rPr>
        <w:lastRenderedPageBreak/>
        <w:t>TABLE</w:t>
      </w:r>
      <w:r w:rsidR="007C4394" w:rsidRPr="001134B0">
        <w:rPr>
          <w:rFonts w:cs="Times"/>
        </w:rPr>
        <w:t>S</w:t>
      </w:r>
    </w:p>
    <w:p w14:paraId="1BD5EF77" w14:textId="6EB27675" w:rsidR="00920297" w:rsidRPr="001134B0" w:rsidRDefault="00920297" w:rsidP="005227B4">
      <w:pPr>
        <w:pStyle w:val="VDTableTitle"/>
        <w:rPr>
          <w:rFonts w:cs="Times"/>
        </w:rPr>
      </w:pPr>
      <w:r w:rsidRPr="001134B0">
        <w:rPr>
          <w:rFonts w:cs="Times"/>
        </w:rPr>
        <w:t xml:space="preserve">Table </w:t>
      </w:r>
      <w:r w:rsidRPr="001134B0">
        <w:rPr>
          <w:rFonts w:cs="Times"/>
        </w:rPr>
        <w:fldChar w:fldCharType="begin"/>
      </w:r>
      <w:r w:rsidRPr="001134B0">
        <w:rPr>
          <w:rFonts w:cs="Times"/>
        </w:rPr>
        <w:instrText>SEQ Table \* ARABIC</w:instrText>
      </w:r>
      <w:r w:rsidRPr="001134B0">
        <w:rPr>
          <w:rFonts w:cs="Times"/>
        </w:rPr>
        <w:fldChar w:fldCharType="separate"/>
      </w:r>
      <w:r w:rsidR="00354BD4">
        <w:rPr>
          <w:rFonts w:cs="Times"/>
          <w:noProof/>
        </w:rPr>
        <w:t>1</w:t>
      </w:r>
      <w:r w:rsidRPr="001134B0">
        <w:rPr>
          <w:rFonts w:cs="Times"/>
        </w:rPr>
        <w:fldChar w:fldCharType="end"/>
      </w:r>
      <w:r w:rsidRPr="001134B0">
        <w:rPr>
          <w:rFonts w:cs="Times"/>
        </w:rPr>
        <w:t>: Cytotoxicity</w:t>
      </w:r>
      <w:r w:rsidR="007A3C96" w:rsidRPr="001134B0">
        <w:rPr>
          <w:rFonts w:cs="Times"/>
        </w:rPr>
        <w:t xml:space="preserve">- and </w:t>
      </w:r>
      <w:r w:rsidR="003F4913" w:rsidRPr="001134B0">
        <w:rPr>
          <w:rFonts w:cs="Times"/>
        </w:rPr>
        <w:t>p</w:t>
      </w:r>
      <w:r w:rsidR="007A3C96" w:rsidRPr="001134B0">
        <w:rPr>
          <w:rFonts w:cs="Times"/>
        </w:rPr>
        <w:t xml:space="preserve">roliferation </w:t>
      </w:r>
      <w:r w:rsidR="003F4913" w:rsidRPr="001134B0">
        <w:rPr>
          <w:rFonts w:cs="Times"/>
        </w:rPr>
        <w:t>d</w:t>
      </w:r>
      <w:r w:rsidR="007A3C96" w:rsidRPr="001134B0">
        <w:rPr>
          <w:rFonts w:cs="Times"/>
        </w:rPr>
        <w:t>ecrease related</w:t>
      </w:r>
      <w:r w:rsidRPr="001134B0">
        <w:rPr>
          <w:rFonts w:cs="Times"/>
        </w:rPr>
        <w:t xml:space="preserve"> </w:t>
      </w:r>
      <w:r w:rsidR="003F4913" w:rsidRPr="001134B0">
        <w:rPr>
          <w:rFonts w:cs="Times"/>
        </w:rPr>
        <w:t>a</w:t>
      </w:r>
      <w:r w:rsidRPr="001134B0">
        <w:rPr>
          <w:rFonts w:cs="Times"/>
        </w:rPr>
        <w:t xml:space="preserve">ssay </w:t>
      </w:r>
      <w:r w:rsidR="003F4913" w:rsidRPr="001134B0">
        <w:rPr>
          <w:rFonts w:cs="Times"/>
        </w:rPr>
        <w:t>e</w:t>
      </w:r>
      <w:r w:rsidRPr="001134B0">
        <w:rPr>
          <w:rFonts w:cs="Times"/>
        </w:rPr>
        <w:t xml:space="preserve">ndpoints from </w:t>
      </w:r>
      <w:proofErr w:type="spellStart"/>
      <w:r w:rsidRPr="001134B0">
        <w:rPr>
          <w:rFonts w:cs="Times"/>
        </w:rPr>
        <w:t>ToxCast</w:t>
      </w:r>
      <w:proofErr w:type="spellEnd"/>
      <w:r w:rsidRPr="001134B0">
        <w:rPr>
          <w:rFonts w:cs="Times"/>
        </w:rPr>
        <w:t xml:space="preserve"> included in this study</w:t>
      </w:r>
      <w:r w:rsidR="00F30C17" w:rsidRPr="001134B0">
        <w:rPr>
          <w:rFonts w:cs="Times"/>
        </w:rPr>
        <w:t xml:space="preserve"> (see Table </w:t>
      </w:r>
      <w:r w:rsidR="002B10CA" w:rsidRPr="001134B0">
        <w:rPr>
          <w:rFonts w:cs="Times"/>
        </w:rPr>
        <w:t>S1</w:t>
      </w:r>
      <w:r w:rsidR="00F30C17" w:rsidRPr="001134B0">
        <w:rPr>
          <w:rFonts w:cs="Times"/>
        </w:rPr>
        <w:t xml:space="preserve"> for dataset sizes)</w:t>
      </w:r>
    </w:p>
    <w:tbl>
      <w:tblPr>
        <w:tblStyle w:val="TableGridLight"/>
        <w:tblW w:w="0" w:type="auto"/>
        <w:tblLook w:val="04A0" w:firstRow="1" w:lastRow="0" w:firstColumn="1" w:lastColumn="0" w:noHBand="0" w:noVBand="1"/>
      </w:tblPr>
      <w:tblGrid>
        <w:gridCol w:w="2122"/>
        <w:gridCol w:w="1417"/>
        <w:gridCol w:w="957"/>
        <w:gridCol w:w="3106"/>
        <w:gridCol w:w="1794"/>
      </w:tblGrid>
      <w:tr w:rsidR="002C2D89" w:rsidRPr="001134B0" w14:paraId="1E2FD63D" w14:textId="77777777" w:rsidTr="008B71F9">
        <w:trPr>
          <w:trHeight w:val="734"/>
        </w:trPr>
        <w:tc>
          <w:tcPr>
            <w:tcW w:w="2122" w:type="dxa"/>
          </w:tcPr>
          <w:p w14:paraId="4058C5E0" w14:textId="77777777" w:rsidR="002C2D89" w:rsidRPr="001134B0" w:rsidRDefault="002C2D89" w:rsidP="00E332F1">
            <w:pPr>
              <w:pStyle w:val="TCTableBody"/>
              <w:rPr>
                <w:rFonts w:cs="Times"/>
                <w:b/>
                <w:bCs/>
                <w:sz w:val="20"/>
              </w:rPr>
            </w:pPr>
            <w:r w:rsidRPr="001134B0">
              <w:rPr>
                <w:rFonts w:cs="Times"/>
                <w:b/>
                <w:bCs/>
                <w:sz w:val="20"/>
              </w:rPr>
              <w:t>Assays</w:t>
            </w:r>
          </w:p>
        </w:tc>
        <w:tc>
          <w:tcPr>
            <w:tcW w:w="1417" w:type="dxa"/>
          </w:tcPr>
          <w:p w14:paraId="28ABF5D9" w14:textId="77777777" w:rsidR="002C2D89" w:rsidRPr="001134B0" w:rsidRDefault="002C2D89" w:rsidP="00E332F1">
            <w:pPr>
              <w:pStyle w:val="TCTableBody"/>
              <w:rPr>
                <w:rFonts w:cs="Times"/>
                <w:b/>
                <w:bCs/>
                <w:sz w:val="20"/>
              </w:rPr>
            </w:pPr>
            <w:r w:rsidRPr="001134B0">
              <w:rPr>
                <w:rFonts w:cs="Times"/>
                <w:b/>
                <w:bCs/>
                <w:sz w:val="20"/>
              </w:rPr>
              <w:t>Biological process</w:t>
            </w:r>
          </w:p>
        </w:tc>
        <w:tc>
          <w:tcPr>
            <w:tcW w:w="957" w:type="dxa"/>
          </w:tcPr>
          <w:p w14:paraId="680346A5" w14:textId="77777777" w:rsidR="002C2D89" w:rsidRPr="001134B0" w:rsidRDefault="002C2D89" w:rsidP="00E332F1">
            <w:pPr>
              <w:pStyle w:val="TCTableBody"/>
              <w:rPr>
                <w:rFonts w:cs="Times"/>
                <w:b/>
                <w:bCs/>
                <w:sz w:val="20"/>
              </w:rPr>
            </w:pPr>
            <w:r w:rsidRPr="001134B0">
              <w:rPr>
                <w:rFonts w:cs="Times"/>
                <w:b/>
                <w:bCs/>
                <w:sz w:val="20"/>
              </w:rPr>
              <w:t>Tissue</w:t>
            </w:r>
          </w:p>
        </w:tc>
        <w:tc>
          <w:tcPr>
            <w:tcW w:w="0" w:type="auto"/>
          </w:tcPr>
          <w:p w14:paraId="60BA0659" w14:textId="77777777" w:rsidR="002C2D89" w:rsidRPr="001134B0" w:rsidRDefault="002C2D89" w:rsidP="00E332F1">
            <w:pPr>
              <w:pStyle w:val="TCTableBody"/>
              <w:rPr>
                <w:rFonts w:cs="Times"/>
                <w:b/>
                <w:bCs/>
                <w:sz w:val="20"/>
              </w:rPr>
            </w:pPr>
            <w:r w:rsidRPr="001134B0">
              <w:rPr>
                <w:rFonts w:cs="Times"/>
                <w:b/>
                <w:bCs/>
                <w:sz w:val="20"/>
              </w:rPr>
              <w:t>Cell line/ Cell type</w:t>
            </w:r>
          </w:p>
        </w:tc>
        <w:tc>
          <w:tcPr>
            <w:tcW w:w="0" w:type="auto"/>
          </w:tcPr>
          <w:p w14:paraId="5B927F70" w14:textId="77777777" w:rsidR="002C2D89" w:rsidRPr="001134B0" w:rsidRDefault="002C2D89" w:rsidP="00E332F1">
            <w:pPr>
              <w:pStyle w:val="TCTableBody"/>
              <w:jc w:val="left"/>
              <w:rPr>
                <w:rFonts w:cs="Times"/>
                <w:b/>
                <w:bCs/>
                <w:sz w:val="20"/>
              </w:rPr>
            </w:pPr>
            <w:r w:rsidRPr="001134B0">
              <w:rPr>
                <w:rFonts w:cs="Times"/>
                <w:b/>
                <w:bCs/>
                <w:sz w:val="20"/>
              </w:rPr>
              <w:t xml:space="preserve">Assay Type </w:t>
            </w:r>
            <w:r w:rsidRPr="001134B0">
              <w:rPr>
                <w:rFonts w:cs="Times"/>
                <w:b/>
                <w:bCs/>
                <w:sz w:val="20"/>
              </w:rPr>
              <w:br/>
              <w:t>(Assay endpoint)</w:t>
            </w:r>
          </w:p>
        </w:tc>
      </w:tr>
      <w:tr w:rsidR="002C2D89" w:rsidRPr="001134B0" w14:paraId="593164DF" w14:textId="77777777" w:rsidTr="008B71F9">
        <w:trPr>
          <w:trHeight w:val="714"/>
        </w:trPr>
        <w:tc>
          <w:tcPr>
            <w:tcW w:w="2122" w:type="dxa"/>
          </w:tcPr>
          <w:p w14:paraId="2C3AA0E0" w14:textId="77777777" w:rsidR="002C2D89" w:rsidRPr="001134B0" w:rsidRDefault="002C2D89" w:rsidP="00E332F1">
            <w:pPr>
              <w:pStyle w:val="TCTableBody"/>
              <w:rPr>
                <w:rFonts w:cs="Times"/>
                <w:sz w:val="20"/>
              </w:rPr>
            </w:pPr>
            <w:r w:rsidRPr="001134B0">
              <w:rPr>
                <w:rFonts w:cs="Times"/>
                <w:sz w:val="20"/>
              </w:rPr>
              <w:t>BSK_3C_SRB_down</w:t>
            </w:r>
          </w:p>
        </w:tc>
        <w:tc>
          <w:tcPr>
            <w:tcW w:w="1417" w:type="dxa"/>
          </w:tcPr>
          <w:p w14:paraId="603A8C7C" w14:textId="77777777" w:rsidR="002C2D89" w:rsidRPr="001134B0" w:rsidRDefault="002C2D89" w:rsidP="00E332F1">
            <w:pPr>
              <w:pStyle w:val="TCTableBody"/>
              <w:rPr>
                <w:rFonts w:cs="Times"/>
                <w:sz w:val="20"/>
              </w:rPr>
            </w:pPr>
            <w:r w:rsidRPr="001134B0">
              <w:rPr>
                <w:rFonts w:cs="Times"/>
                <w:sz w:val="20"/>
              </w:rPr>
              <w:t>Cytotoxicity SRB</w:t>
            </w:r>
          </w:p>
        </w:tc>
        <w:tc>
          <w:tcPr>
            <w:tcW w:w="957" w:type="dxa"/>
          </w:tcPr>
          <w:p w14:paraId="412C6C74" w14:textId="77777777" w:rsidR="002C2D89" w:rsidRPr="001134B0" w:rsidRDefault="002C2D89" w:rsidP="00E332F1">
            <w:pPr>
              <w:pStyle w:val="TCTableBody"/>
              <w:rPr>
                <w:rFonts w:cs="Times"/>
                <w:sz w:val="20"/>
              </w:rPr>
            </w:pPr>
            <w:r w:rsidRPr="001134B0">
              <w:rPr>
                <w:rFonts w:cs="Times"/>
                <w:sz w:val="20"/>
              </w:rPr>
              <w:t>Vascular</w:t>
            </w:r>
          </w:p>
        </w:tc>
        <w:tc>
          <w:tcPr>
            <w:tcW w:w="0" w:type="auto"/>
          </w:tcPr>
          <w:p w14:paraId="60497E32" w14:textId="77777777" w:rsidR="002C2D89" w:rsidRPr="001134B0" w:rsidRDefault="002C2D89" w:rsidP="00E332F1">
            <w:pPr>
              <w:pStyle w:val="TCTableBody"/>
              <w:jc w:val="left"/>
              <w:rPr>
                <w:rFonts w:cs="Times"/>
                <w:sz w:val="20"/>
              </w:rPr>
            </w:pPr>
            <w:r w:rsidRPr="001134B0">
              <w:rPr>
                <w:rFonts w:cs="Times"/>
                <w:sz w:val="20"/>
              </w:rPr>
              <w:t>Umbilical vein endothelium</w:t>
            </w:r>
          </w:p>
        </w:tc>
        <w:tc>
          <w:tcPr>
            <w:tcW w:w="0" w:type="auto"/>
          </w:tcPr>
          <w:p w14:paraId="7E7B3F1E" w14:textId="77777777" w:rsidR="002C2D89" w:rsidRPr="001134B0" w:rsidRDefault="002C2D89" w:rsidP="00BB398B">
            <w:pPr>
              <w:pStyle w:val="TCTableBody"/>
              <w:jc w:val="left"/>
              <w:rPr>
                <w:rFonts w:cs="Times"/>
                <w:sz w:val="20"/>
              </w:rPr>
            </w:pPr>
            <w:r w:rsidRPr="001134B0">
              <w:rPr>
                <w:rFonts w:cs="Times"/>
                <w:sz w:val="20"/>
              </w:rPr>
              <w:t>Protein content (cell death)</w:t>
            </w:r>
          </w:p>
        </w:tc>
      </w:tr>
      <w:tr w:rsidR="002C2D89" w:rsidRPr="001134B0" w14:paraId="6922EC63" w14:textId="77777777" w:rsidTr="008B71F9">
        <w:trPr>
          <w:trHeight w:val="714"/>
        </w:trPr>
        <w:tc>
          <w:tcPr>
            <w:tcW w:w="2122" w:type="dxa"/>
          </w:tcPr>
          <w:p w14:paraId="56F7AC55" w14:textId="77777777" w:rsidR="002C2D89" w:rsidRPr="001134B0" w:rsidRDefault="002C2D89" w:rsidP="00E332F1">
            <w:pPr>
              <w:pStyle w:val="TCTableBody"/>
              <w:rPr>
                <w:rFonts w:cs="Times"/>
                <w:sz w:val="20"/>
              </w:rPr>
            </w:pPr>
            <w:r w:rsidRPr="001134B0">
              <w:rPr>
                <w:rFonts w:cs="Times"/>
                <w:sz w:val="20"/>
              </w:rPr>
              <w:t>BSK_4H_SRB_down</w:t>
            </w:r>
          </w:p>
        </w:tc>
        <w:tc>
          <w:tcPr>
            <w:tcW w:w="1417" w:type="dxa"/>
          </w:tcPr>
          <w:p w14:paraId="769B133D" w14:textId="77777777" w:rsidR="002C2D89" w:rsidRPr="001134B0" w:rsidRDefault="002C2D89" w:rsidP="00E332F1">
            <w:pPr>
              <w:pStyle w:val="TCTableBody"/>
              <w:rPr>
                <w:rFonts w:cs="Times"/>
                <w:sz w:val="20"/>
              </w:rPr>
            </w:pPr>
            <w:r w:rsidRPr="001134B0">
              <w:rPr>
                <w:rFonts w:cs="Times"/>
                <w:sz w:val="20"/>
              </w:rPr>
              <w:t>Cytotoxicity SRB</w:t>
            </w:r>
          </w:p>
        </w:tc>
        <w:tc>
          <w:tcPr>
            <w:tcW w:w="957" w:type="dxa"/>
          </w:tcPr>
          <w:p w14:paraId="363E0D9C" w14:textId="77777777" w:rsidR="002C2D89" w:rsidRPr="001134B0" w:rsidRDefault="002C2D89" w:rsidP="00E332F1">
            <w:pPr>
              <w:pStyle w:val="TCTableBody"/>
              <w:rPr>
                <w:rFonts w:cs="Times"/>
                <w:sz w:val="20"/>
              </w:rPr>
            </w:pPr>
            <w:r w:rsidRPr="001134B0">
              <w:rPr>
                <w:rFonts w:cs="Times"/>
                <w:sz w:val="20"/>
              </w:rPr>
              <w:t>Vascular</w:t>
            </w:r>
          </w:p>
        </w:tc>
        <w:tc>
          <w:tcPr>
            <w:tcW w:w="0" w:type="auto"/>
          </w:tcPr>
          <w:p w14:paraId="059CFCA8" w14:textId="77777777" w:rsidR="002C2D89" w:rsidRPr="001134B0" w:rsidRDefault="002C2D89" w:rsidP="00E332F1">
            <w:pPr>
              <w:pStyle w:val="TCTableBody"/>
              <w:jc w:val="left"/>
              <w:rPr>
                <w:rFonts w:cs="Times"/>
                <w:sz w:val="20"/>
              </w:rPr>
            </w:pPr>
            <w:r w:rsidRPr="001134B0">
              <w:rPr>
                <w:rFonts w:cs="Times"/>
                <w:sz w:val="20"/>
              </w:rPr>
              <w:t>Umbilical vein endothelium</w:t>
            </w:r>
          </w:p>
        </w:tc>
        <w:tc>
          <w:tcPr>
            <w:tcW w:w="0" w:type="auto"/>
          </w:tcPr>
          <w:p w14:paraId="72956A7B" w14:textId="77777777" w:rsidR="002C2D89" w:rsidRPr="001134B0" w:rsidRDefault="002C2D89" w:rsidP="00BB398B">
            <w:pPr>
              <w:pStyle w:val="TCTableBody"/>
              <w:jc w:val="left"/>
              <w:rPr>
                <w:rFonts w:cs="Times"/>
                <w:sz w:val="20"/>
              </w:rPr>
            </w:pPr>
            <w:r w:rsidRPr="001134B0">
              <w:rPr>
                <w:rFonts w:cs="Times"/>
                <w:sz w:val="20"/>
              </w:rPr>
              <w:t>Protein content (cell death)</w:t>
            </w:r>
          </w:p>
        </w:tc>
      </w:tr>
      <w:tr w:rsidR="002C2D89" w:rsidRPr="001134B0" w14:paraId="424C4259" w14:textId="77777777" w:rsidTr="008B71F9">
        <w:trPr>
          <w:trHeight w:val="914"/>
        </w:trPr>
        <w:tc>
          <w:tcPr>
            <w:tcW w:w="2122" w:type="dxa"/>
          </w:tcPr>
          <w:p w14:paraId="7BD38DF8" w14:textId="77777777" w:rsidR="002C2D89" w:rsidRPr="001134B0" w:rsidRDefault="002C2D89" w:rsidP="00E332F1">
            <w:pPr>
              <w:pStyle w:val="TCTableBody"/>
              <w:rPr>
                <w:rFonts w:cs="Times"/>
                <w:sz w:val="20"/>
              </w:rPr>
            </w:pPr>
            <w:proofErr w:type="spellStart"/>
            <w:r w:rsidRPr="001134B0">
              <w:rPr>
                <w:rFonts w:cs="Times"/>
                <w:sz w:val="20"/>
              </w:rPr>
              <w:t>BSK_LPS_SRB_down</w:t>
            </w:r>
            <w:proofErr w:type="spellEnd"/>
          </w:p>
        </w:tc>
        <w:tc>
          <w:tcPr>
            <w:tcW w:w="1417" w:type="dxa"/>
          </w:tcPr>
          <w:p w14:paraId="7DFA5488" w14:textId="77777777" w:rsidR="002C2D89" w:rsidRPr="001134B0" w:rsidRDefault="002C2D89" w:rsidP="00E332F1">
            <w:pPr>
              <w:pStyle w:val="TCTableBody"/>
              <w:rPr>
                <w:rFonts w:cs="Times"/>
                <w:sz w:val="20"/>
              </w:rPr>
            </w:pPr>
            <w:r w:rsidRPr="001134B0">
              <w:rPr>
                <w:rFonts w:cs="Times"/>
                <w:sz w:val="20"/>
              </w:rPr>
              <w:t>Cytotoxicity SRB</w:t>
            </w:r>
          </w:p>
        </w:tc>
        <w:tc>
          <w:tcPr>
            <w:tcW w:w="957" w:type="dxa"/>
          </w:tcPr>
          <w:p w14:paraId="0789E5E9" w14:textId="77777777" w:rsidR="002C2D89" w:rsidRPr="001134B0" w:rsidRDefault="002C2D89" w:rsidP="00E332F1">
            <w:pPr>
              <w:pStyle w:val="TCTableBody"/>
              <w:rPr>
                <w:rFonts w:cs="Times"/>
                <w:sz w:val="20"/>
              </w:rPr>
            </w:pPr>
            <w:r w:rsidRPr="001134B0">
              <w:rPr>
                <w:rFonts w:cs="Times"/>
                <w:sz w:val="20"/>
              </w:rPr>
              <w:t>Vascular</w:t>
            </w:r>
          </w:p>
        </w:tc>
        <w:tc>
          <w:tcPr>
            <w:tcW w:w="0" w:type="auto"/>
          </w:tcPr>
          <w:p w14:paraId="5045E2E7" w14:textId="77777777" w:rsidR="002C2D89" w:rsidRPr="001134B0" w:rsidRDefault="002C2D89" w:rsidP="00E332F1">
            <w:pPr>
              <w:pStyle w:val="TCTableBody"/>
              <w:jc w:val="left"/>
              <w:rPr>
                <w:rFonts w:cs="Times"/>
                <w:sz w:val="20"/>
              </w:rPr>
            </w:pPr>
            <w:r w:rsidRPr="001134B0">
              <w:rPr>
                <w:rFonts w:cs="Times"/>
                <w:sz w:val="20"/>
              </w:rPr>
              <w:t>Umbilical vein endothelium and peripheral blood mononuclear cells</w:t>
            </w:r>
          </w:p>
        </w:tc>
        <w:tc>
          <w:tcPr>
            <w:tcW w:w="0" w:type="auto"/>
          </w:tcPr>
          <w:p w14:paraId="241E87CB" w14:textId="77777777" w:rsidR="002C2D89" w:rsidRPr="001134B0" w:rsidRDefault="002C2D89" w:rsidP="00BB398B">
            <w:pPr>
              <w:pStyle w:val="TCTableBody"/>
              <w:jc w:val="left"/>
              <w:rPr>
                <w:rFonts w:cs="Times"/>
                <w:sz w:val="20"/>
              </w:rPr>
            </w:pPr>
            <w:r w:rsidRPr="001134B0">
              <w:rPr>
                <w:rFonts w:cs="Times"/>
                <w:sz w:val="20"/>
              </w:rPr>
              <w:t>Protein content</w:t>
            </w:r>
            <w:r w:rsidRPr="001134B0">
              <w:rPr>
                <w:rFonts w:cs="Times"/>
                <w:sz w:val="20"/>
              </w:rPr>
              <w:br/>
              <w:t>(cell death)</w:t>
            </w:r>
          </w:p>
        </w:tc>
      </w:tr>
      <w:tr w:rsidR="00221EEB" w:rsidRPr="001134B0" w14:paraId="67704440" w14:textId="77777777" w:rsidTr="008B71F9">
        <w:trPr>
          <w:trHeight w:val="914"/>
        </w:trPr>
        <w:tc>
          <w:tcPr>
            <w:tcW w:w="2122" w:type="dxa"/>
          </w:tcPr>
          <w:p w14:paraId="41C7C69D" w14:textId="20035D2E" w:rsidR="00221EEB" w:rsidRPr="001134B0" w:rsidRDefault="00221EEB" w:rsidP="00221EEB">
            <w:pPr>
              <w:pStyle w:val="TCTableBody"/>
              <w:rPr>
                <w:rFonts w:cs="Times"/>
                <w:sz w:val="20"/>
              </w:rPr>
            </w:pPr>
            <w:proofErr w:type="spellStart"/>
            <w:r w:rsidRPr="001134B0">
              <w:rPr>
                <w:rFonts w:cs="Times"/>
                <w:sz w:val="20"/>
              </w:rPr>
              <w:t>BSK_SAg_SRB_down</w:t>
            </w:r>
            <w:proofErr w:type="spellEnd"/>
          </w:p>
        </w:tc>
        <w:tc>
          <w:tcPr>
            <w:tcW w:w="1417" w:type="dxa"/>
          </w:tcPr>
          <w:p w14:paraId="281B39E5" w14:textId="2A6D4BC5" w:rsidR="00221EEB" w:rsidRPr="001134B0" w:rsidRDefault="00221EEB" w:rsidP="00221EEB">
            <w:pPr>
              <w:pStyle w:val="TCTableBody"/>
              <w:rPr>
                <w:rFonts w:cs="Times"/>
                <w:sz w:val="20"/>
              </w:rPr>
            </w:pPr>
            <w:r w:rsidRPr="001134B0">
              <w:rPr>
                <w:rFonts w:cs="Times"/>
                <w:sz w:val="20"/>
              </w:rPr>
              <w:t>Cytotoxicity SRB</w:t>
            </w:r>
          </w:p>
        </w:tc>
        <w:tc>
          <w:tcPr>
            <w:tcW w:w="957" w:type="dxa"/>
          </w:tcPr>
          <w:p w14:paraId="3788DD42" w14:textId="50D469E3" w:rsidR="00221EEB" w:rsidRPr="001134B0" w:rsidRDefault="00221EEB" w:rsidP="00221EEB">
            <w:pPr>
              <w:pStyle w:val="TCTableBody"/>
              <w:rPr>
                <w:rFonts w:cs="Times"/>
                <w:sz w:val="20"/>
              </w:rPr>
            </w:pPr>
            <w:r w:rsidRPr="001134B0">
              <w:rPr>
                <w:rFonts w:cs="Times"/>
                <w:sz w:val="20"/>
              </w:rPr>
              <w:t>Vascular</w:t>
            </w:r>
          </w:p>
        </w:tc>
        <w:tc>
          <w:tcPr>
            <w:tcW w:w="0" w:type="auto"/>
          </w:tcPr>
          <w:p w14:paraId="189D095E" w14:textId="7FEEFB0F" w:rsidR="00221EEB" w:rsidRPr="001134B0" w:rsidRDefault="00221EEB" w:rsidP="00221EEB">
            <w:pPr>
              <w:pStyle w:val="TCTableBody"/>
              <w:jc w:val="left"/>
              <w:rPr>
                <w:rFonts w:cs="Times"/>
                <w:sz w:val="20"/>
              </w:rPr>
            </w:pPr>
            <w:r w:rsidRPr="001134B0">
              <w:rPr>
                <w:rFonts w:cs="Times"/>
                <w:sz w:val="20"/>
              </w:rPr>
              <w:t>Umbilical vein endothelium and peripheral blood mononuclear cells</w:t>
            </w:r>
          </w:p>
        </w:tc>
        <w:tc>
          <w:tcPr>
            <w:tcW w:w="0" w:type="auto"/>
          </w:tcPr>
          <w:p w14:paraId="5B7D0D33" w14:textId="32A9BCF6" w:rsidR="00221EEB" w:rsidRPr="001134B0" w:rsidRDefault="00221EEB" w:rsidP="00BB398B">
            <w:pPr>
              <w:pStyle w:val="TCTableBody"/>
              <w:jc w:val="left"/>
              <w:rPr>
                <w:rFonts w:cs="Times"/>
                <w:sz w:val="20"/>
              </w:rPr>
            </w:pPr>
            <w:r w:rsidRPr="001134B0">
              <w:rPr>
                <w:rFonts w:cs="Times"/>
                <w:sz w:val="20"/>
              </w:rPr>
              <w:t>Protein content</w:t>
            </w:r>
            <w:r w:rsidRPr="001134B0">
              <w:rPr>
                <w:rFonts w:cs="Times"/>
                <w:sz w:val="20"/>
              </w:rPr>
              <w:br/>
              <w:t>(cell death)</w:t>
            </w:r>
          </w:p>
        </w:tc>
      </w:tr>
      <w:tr w:rsidR="00221EEB" w:rsidRPr="001134B0" w14:paraId="6A3F3AD8" w14:textId="77777777" w:rsidTr="008B71F9">
        <w:trPr>
          <w:trHeight w:val="714"/>
        </w:trPr>
        <w:tc>
          <w:tcPr>
            <w:tcW w:w="2122" w:type="dxa"/>
          </w:tcPr>
          <w:p w14:paraId="029A34BD" w14:textId="77777777" w:rsidR="00221EEB" w:rsidRPr="001134B0" w:rsidRDefault="00221EEB" w:rsidP="00221EEB">
            <w:pPr>
              <w:pStyle w:val="TCTableBody"/>
              <w:rPr>
                <w:rFonts w:cs="Times"/>
                <w:sz w:val="20"/>
              </w:rPr>
            </w:pPr>
            <w:r w:rsidRPr="001134B0">
              <w:rPr>
                <w:rFonts w:cs="Times"/>
                <w:sz w:val="20"/>
              </w:rPr>
              <w:t>ACEA_T47D_</w:t>
            </w:r>
            <w:r w:rsidRPr="001134B0">
              <w:rPr>
                <w:rFonts w:cs="Times"/>
                <w:sz w:val="20"/>
              </w:rPr>
              <w:br/>
              <w:t>80hr_Negative</w:t>
            </w:r>
          </w:p>
        </w:tc>
        <w:tc>
          <w:tcPr>
            <w:tcW w:w="1417" w:type="dxa"/>
          </w:tcPr>
          <w:p w14:paraId="70E5F96B" w14:textId="77777777" w:rsidR="00221EEB" w:rsidRPr="001134B0" w:rsidRDefault="00221EEB" w:rsidP="00221EEB">
            <w:pPr>
              <w:pStyle w:val="TCTableBody"/>
              <w:rPr>
                <w:rFonts w:cs="Times"/>
                <w:sz w:val="20"/>
              </w:rPr>
            </w:pPr>
            <w:r w:rsidRPr="001134B0">
              <w:rPr>
                <w:rFonts w:cs="Times"/>
                <w:sz w:val="20"/>
              </w:rPr>
              <w:t>Proliferation decrease</w:t>
            </w:r>
          </w:p>
        </w:tc>
        <w:tc>
          <w:tcPr>
            <w:tcW w:w="957" w:type="dxa"/>
          </w:tcPr>
          <w:p w14:paraId="419E7802" w14:textId="77777777" w:rsidR="00221EEB" w:rsidRPr="001134B0" w:rsidRDefault="00221EEB" w:rsidP="00221EEB">
            <w:pPr>
              <w:pStyle w:val="TCTableBody"/>
              <w:rPr>
                <w:rFonts w:cs="Times"/>
                <w:sz w:val="20"/>
              </w:rPr>
            </w:pPr>
            <w:r w:rsidRPr="001134B0">
              <w:rPr>
                <w:rFonts w:cs="Times"/>
                <w:sz w:val="20"/>
              </w:rPr>
              <w:t>Breast</w:t>
            </w:r>
          </w:p>
        </w:tc>
        <w:tc>
          <w:tcPr>
            <w:tcW w:w="0" w:type="auto"/>
          </w:tcPr>
          <w:p w14:paraId="776EB220" w14:textId="77777777" w:rsidR="00221EEB" w:rsidRPr="001134B0" w:rsidRDefault="00221EEB" w:rsidP="00BB398B">
            <w:pPr>
              <w:pStyle w:val="TCTableBody"/>
              <w:jc w:val="left"/>
              <w:rPr>
                <w:rFonts w:cs="Times"/>
                <w:sz w:val="20"/>
              </w:rPr>
            </w:pPr>
            <w:r w:rsidRPr="001134B0">
              <w:rPr>
                <w:rFonts w:cs="Times"/>
                <w:sz w:val="20"/>
              </w:rPr>
              <w:t>T47D</w:t>
            </w:r>
          </w:p>
        </w:tc>
        <w:tc>
          <w:tcPr>
            <w:tcW w:w="0" w:type="auto"/>
          </w:tcPr>
          <w:p w14:paraId="6CB467D0" w14:textId="18F3DAF7" w:rsidR="00221EEB" w:rsidRPr="001134B0" w:rsidRDefault="00221EEB" w:rsidP="00BB398B">
            <w:pPr>
              <w:pStyle w:val="TCTableBody"/>
              <w:jc w:val="left"/>
              <w:rPr>
                <w:rFonts w:cs="Times"/>
                <w:sz w:val="20"/>
              </w:rPr>
            </w:pPr>
            <w:r w:rsidRPr="001134B0">
              <w:rPr>
                <w:rFonts w:cs="Times"/>
                <w:sz w:val="20"/>
              </w:rPr>
              <w:t>Real-time</w:t>
            </w:r>
            <w:r w:rsidR="00BB398B">
              <w:rPr>
                <w:rFonts w:cs="Times"/>
                <w:sz w:val="20"/>
              </w:rPr>
              <w:t xml:space="preserve"> </w:t>
            </w:r>
            <w:r w:rsidRPr="001134B0">
              <w:rPr>
                <w:rFonts w:cs="Times"/>
                <w:sz w:val="20"/>
              </w:rPr>
              <w:t xml:space="preserve">cell growth kinetics </w:t>
            </w:r>
          </w:p>
          <w:p w14:paraId="5FFF8FDF" w14:textId="77777777" w:rsidR="00221EEB" w:rsidRPr="001134B0" w:rsidRDefault="00221EEB" w:rsidP="00BB398B">
            <w:pPr>
              <w:pStyle w:val="TCTableBody"/>
              <w:jc w:val="left"/>
              <w:rPr>
                <w:rFonts w:cs="Times"/>
                <w:sz w:val="20"/>
              </w:rPr>
            </w:pPr>
            <w:r w:rsidRPr="001134B0">
              <w:rPr>
                <w:rFonts w:cs="Times"/>
                <w:sz w:val="20"/>
              </w:rPr>
              <w:t>(cell proliferation)</w:t>
            </w:r>
          </w:p>
        </w:tc>
      </w:tr>
      <w:tr w:rsidR="00221EEB" w:rsidRPr="001134B0" w14:paraId="24CF0D37" w14:textId="77777777" w:rsidTr="008B71F9">
        <w:trPr>
          <w:trHeight w:val="714"/>
        </w:trPr>
        <w:tc>
          <w:tcPr>
            <w:tcW w:w="2122" w:type="dxa"/>
          </w:tcPr>
          <w:p w14:paraId="16C172B2" w14:textId="77777777" w:rsidR="00221EEB" w:rsidRPr="001134B0" w:rsidRDefault="00221EEB" w:rsidP="00221EEB">
            <w:pPr>
              <w:pStyle w:val="TCTableBody"/>
              <w:rPr>
                <w:rFonts w:cs="Times"/>
                <w:sz w:val="20"/>
              </w:rPr>
            </w:pPr>
            <w:r w:rsidRPr="001134B0">
              <w:rPr>
                <w:rFonts w:cs="Times"/>
                <w:sz w:val="20"/>
              </w:rPr>
              <w:t>APR_HepG2_</w:t>
            </w:r>
            <w:r w:rsidRPr="001134B0">
              <w:rPr>
                <w:rFonts w:cs="Times"/>
                <w:sz w:val="20"/>
              </w:rPr>
              <w:br/>
              <w:t>CellLoss_72h_</w:t>
            </w:r>
            <w:r w:rsidRPr="001134B0">
              <w:rPr>
                <w:rFonts w:cs="Times"/>
                <w:sz w:val="20"/>
              </w:rPr>
              <w:br/>
            </w:r>
            <w:proofErr w:type="spellStart"/>
            <w:r w:rsidRPr="001134B0">
              <w:rPr>
                <w:rFonts w:cs="Times"/>
                <w:sz w:val="20"/>
              </w:rPr>
              <w:t>dn</w:t>
            </w:r>
            <w:proofErr w:type="spellEnd"/>
          </w:p>
        </w:tc>
        <w:tc>
          <w:tcPr>
            <w:tcW w:w="1417" w:type="dxa"/>
          </w:tcPr>
          <w:p w14:paraId="1659E4AB" w14:textId="77777777" w:rsidR="00221EEB" w:rsidRPr="001134B0" w:rsidRDefault="00221EEB" w:rsidP="00221EEB">
            <w:pPr>
              <w:pStyle w:val="TCTableBody"/>
              <w:rPr>
                <w:rFonts w:cs="Times"/>
                <w:sz w:val="20"/>
              </w:rPr>
            </w:pPr>
            <w:r w:rsidRPr="001134B0">
              <w:rPr>
                <w:rFonts w:cs="Times"/>
                <w:sz w:val="20"/>
              </w:rPr>
              <w:t>Proliferation decrease</w:t>
            </w:r>
          </w:p>
        </w:tc>
        <w:tc>
          <w:tcPr>
            <w:tcW w:w="957" w:type="dxa"/>
          </w:tcPr>
          <w:p w14:paraId="11A62AF9" w14:textId="77777777" w:rsidR="00221EEB" w:rsidRPr="001134B0" w:rsidRDefault="00221EEB" w:rsidP="00221EEB">
            <w:pPr>
              <w:pStyle w:val="TCTableBody"/>
              <w:rPr>
                <w:rFonts w:cs="Times"/>
                <w:sz w:val="20"/>
              </w:rPr>
            </w:pPr>
            <w:r w:rsidRPr="001134B0">
              <w:rPr>
                <w:rFonts w:cs="Times"/>
                <w:sz w:val="20"/>
              </w:rPr>
              <w:t>Liver</w:t>
            </w:r>
          </w:p>
        </w:tc>
        <w:tc>
          <w:tcPr>
            <w:tcW w:w="0" w:type="auto"/>
          </w:tcPr>
          <w:p w14:paraId="2ECB4470" w14:textId="77777777" w:rsidR="00221EEB" w:rsidRPr="001134B0" w:rsidRDefault="00221EEB" w:rsidP="00221EEB">
            <w:pPr>
              <w:pStyle w:val="TCTableBody"/>
              <w:rPr>
                <w:rFonts w:cs="Times"/>
                <w:sz w:val="20"/>
              </w:rPr>
            </w:pPr>
            <w:r w:rsidRPr="001134B0">
              <w:rPr>
                <w:rFonts w:cs="Times"/>
                <w:sz w:val="20"/>
              </w:rPr>
              <w:t>HepG2</w:t>
            </w:r>
          </w:p>
        </w:tc>
        <w:tc>
          <w:tcPr>
            <w:tcW w:w="0" w:type="auto"/>
          </w:tcPr>
          <w:p w14:paraId="470D3615" w14:textId="77777777" w:rsidR="00221EEB" w:rsidRPr="001134B0" w:rsidRDefault="00221EEB" w:rsidP="00BB398B">
            <w:pPr>
              <w:pStyle w:val="TCTableBody"/>
              <w:jc w:val="left"/>
              <w:rPr>
                <w:rFonts w:cs="Times"/>
                <w:sz w:val="20"/>
              </w:rPr>
            </w:pPr>
            <w:r w:rsidRPr="001134B0">
              <w:rPr>
                <w:rFonts w:cs="Times"/>
                <w:sz w:val="20"/>
              </w:rPr>
              <w:t>Cell number</w:t>
            </w:r>
          </w:p>
          <w:p w14:paraId="60E0A2B6" w14:textId="77777777" w:rsidR="00221EEB" w:rsidRPr="001134B0" w:rsidRDefault="00221EEB" w:rsidP="00BB398B">
            <w:pPr>
              <w:pStyle w:val="TCTableBody"/>
              <w:jc w:val="left"/>
              <w:rPr>
                <w:rFonts w:cs="Times"/>
                <w:sz w:val="20"/>
              </w:rPr>
            </w:pPr>
            <w:r w:rsidRPr="001134B0">
              <w:rPr>
                <w:rFonts w:cs="Times"/>
                <w:sz w:val="20"/>
              </w:rPr>
              <w:t>(cell death)</w:t>
            </w:r>
          </w:p>
        </w:tc>
      </w:tr>
      <w:tr w:rsidR="00221EEB" w:rsidRPr="001134B0" w14:paraId="0D488453" w14:textId="77777777" w:rsidTr="008B71F9">
        <w:trPr>
          <w:trHeight w:val="714"/>
        </w:trPr>
        <w:tc>
          <w:tcPr>
            <w:tcW w:w="2122" w:type="dxa"/>
          </w:tcPr>
          <w:p w14:paraId="55133964" w14:textId="059BFAED" w:rsidR="00221EEB" w:rsidRPr="001134B0" w:rsidRDefault="00221EEB" w:rsidP="00221EEB">
            <w:pPr>
              <w:pStyle w:val="TCTableBody"/>
              <w:rPr>
                <w:rFonts w:cs="Times"/>
                <w:sz w:val="20"/>
              </w:rPr>
            </w:pPr>
            <w:r w:rsidRPr="001134B0">
              <w:rPr>
                <w:rFonts w:cs="Times"/>
                <w:sz w:val="20"/>
              </w:rPr>
              <w:t>APR_HepG2_</w:t>
            </w:r>
            <w:r w:rsidRPr="001134B0">
              <w:rPr>
                <w:rFonts w:cs="Times"/>
                <w:sz w:val="20"/>
              </w:rPr>
              <w:br/>
              <w:t>CellLoss_24h_</w:t>
            </w:r>
            <w:r w:rsidRPr="001134B0">
              <w:rPr>
                <w:rFonts w:cs="Times"/>
                <w:sz w:val="20"/>
              </w:rPr>
              <w:br/>
            </w:r>
            <w:proofErr w:type="spellStart"/>
            <w:r w:rsidRPr="001134B0">
              <w:rPr>
                <w:rFonts w:cs="Times"/>
                <w:sz w:val="20"/>
              </w:rPr>
              <w:t>dn</w:t>
            </w:r>
            <w:proofErr w:type="spellEnd"/>
          </w:p>
        </w:tc>
        <w:tc>
          <w:tcPr>
            <w:tcW w:w="1417" w:type="dxa"/>
          </w:tcPr>
          <w:p w14:paraId="5D8DA577" w14:textId="4586BF71" w:rsidR="00221EEB" w:rsidRPr="001134B0" w:rsidRDefault="00221EEB" w:rsidP="00221EEB">
            <w:pPr>
              <w:pStyle w:val="TCTableBody"/>
              <w:rPr>
                <w:rFonts w:cs="Times"/>
                <w:sz w:val="20"/>
              </w:rPr>
            </w:pPr>
            <w:r w:rsidRPr="001134B0">
              <w:rPr>
                <w:rFonts w:cs="Times"/>
                <w:sz w:val="20"/>
              </w:rPr>
              <w:t>Proliferation decrease</w:t>
            </w:r>
          </w:p>
        </w:tc>
        <w:tc>
          <w:tcPr>
            <w:tcW w:w="957" w:type="dxa"/>
          </w:tcPr>
          <w:p w14:paraId="1E11B4E7" w14:textId="5D6B303C" w:rsidR="00221EEB" w:rsidRPr="001134B0" w:rsidRDefault="00221EEB" w:rsidP="00221EEB">
            <w:pPr>
              <w:pStyle w:val="TCTableBody"/>
              <w:rPr>
                <w:rFonts w:cs="Times"/>
                <w:sz w:val="20"/>
              </w:rPr>
            </w:pPr>
            <w:r w:rsidRPr="001134B0">
              <w:rPr>
                <w:rFonts w:cs="Times"/>
                <w:sz w:val="20"/>
              </w:rPr>
              <w:t>Liver</w:t>
            </w:r>
          </w:p>
        </w:tc>
        <w:tc>
          <w:tcPr>
            <w:tcW w:w="0" w:type="auto"/>
          </w:tcPr>
          <w:p w14:paraId="2855C043" w14:textId="742653FF" w:rsidR="00221EEB" w:rsidRPr="001134B0" w:rsidRDefault="00221EEB" w:rsidP="00221EEB">
            <w:pPr>
              <w:pStyle w:val="TCTableBody"/>
              <w:rPr>
                <w:rFonts w:cs="Times"/>
                <w:sz w:val="20"/>
              </w:rPr>
            </w:pPr>
            <w:r w:rsidRPr="001134B0">
              <w:rPr>
                <w:rFonts w:cs="Times"/>
                <w:sz w:val="20"/>
              </w:rPr>
              <w:t>HepG2</w:t>
            </w:r>
          </w:p>
        </w:tc>
        <w:tc>
          <w:tcPr>
            <w:tcW w:w="0" w:type="auto"/>
          </w:tcPr>
          <w:p w14:paraId="7D71548B" w14:textId="77777777" w:rsidR="00221EEB" w:rsidRPr="001134B0" w:rsidRDefault="00221EEB" w:rsidP="00BB398B">
            <w:pPr>
              <w:pStyle w:val="TCTableBody"/>
              <w:jc w:val="left"/>
              <w:rPr>
                <w:rFonts w:cs="Times"/>
                <w:sz w:val="20"/>
              </w:rPr>
            </w:pPr>
            <w:r w:rsidRPr="001134B0">
              <w:rPr>
                <w:rFonts w:cs="Times"/>
                <w:sz w:val="20"/>
              </w:rPr>
              <w:t>Cell number</w:t>
            </w:r>
          </w:p>
          <w:p w14:paraId="7CBD829C" w14:textId="7FC562E3" w:rsidR="00221EEB" w:rsidRPr="001134B0" w:rsidRDefault="00221EEB" w:rsidP="00BB398B">
            <w:pPr>
              <w:pStyle w:val="TCTableBody"/>
              <w:jc w:val="left"/>
              <w:rPr>
                <w:rFonts w:cs="Times"/>
                <w:sz w:val="20"/>
              </w:rPr>
            </w:pPr>
            <w:r w:rsidRPr="001134B0">
              <w:rPr>
                <w:rFonts w:cs="Times"/>
                <w:sz w:val="20"/>
              </w:rPr>
              <w:t>(cell death)</w:t>
            </w:r>
          </w:p>
        </w:tc>
      </w:tr>
      <w:tr w:rsidR="00221EEB" w:rsidRPr="001134B0" w14:paraId="5049E2BE" w14:textId="77777777" w:rsidTr="008B71F9">
        <w:trPr>
          <w:trHeight w:val="714"/>
        </w:trPr>
        <w:tc>
          <w:tcPr>
            <w:tcW w:w="2122" w:type="dxa"/>
          </w:tcPr>
          <w:p w14:paraId="363ABC71" w14:textId="77777777" w:rsidR="00221EEB" w:rsidRPr="001134B0" w:rsidRDefault="00221EEB" w:rsidP="00221EEB">
            <w:pPr>
              <w:pStyle w:val="TCTableBody"/>
              <w:rPr>
                <w:rFonts w:cs="Times"/>
                <w:sz w:val="20"/>
              </w:rPr>
            </w:pPr>
            <w:r w:rsidRPr="001134B0">
              <w:rPr>
                <w:rFonts w:cs="Times"/>
                <w:sz w:val="20"/>
              </w:rPr>
              <w:t>BSK_3C_</w:t>
            </w:r>
            <w:r w:rsidRPr="001134B0">
              <w:rPr>
                <w:rFonts w:cs="Times"/>
                <w:sz w:val="20"/>
              </w:rPr>
              <w:br/>
              <w:t>Proliferation_</w:t>
            </w:r>
            <w:r w:rsidRPr="001134B0">
              <w:rPr>
                <w:rFonts w:cs="Times"/>
                <w:sz w:val="20"/>
              </w:rPr>
              <w:br/>
              <w:t>down</w:t>
            </w:r>
          </w:p>
        </w:tc>
        <w:tc>
          <w:tcPr>
            <w:tcW w:w="1417" w:type="dxa"/>
          </w:tcPr>
          <w:p w14:paraId="065BFD24" w14:textId="77777777" w:rsidR="00221EEB" w:rsidRPr="001134B0" w:rsidRDefault="00221EEB" w:rsidP="00221EEB">
            <w:pPr>
              <w:pStyle w:val="TCTableBody"/>
              <w:rPr>
                <w:rFonts w:cs="Times"/>
                <w:sz w:val="20"/>
              </w:rPr>
            </w:pPr>
            <w:r w:rsidRPr="001134B0">
              <w:rPr>
                <w:rFonts w:cs="Times"/>
                <w:sz w:val="20"/>
              </w:rPr>
              <w:t>Proliferation decrease</w:t>
            </w:r>
          </w:p>
        </w:tc>
        <w:tc>
          <w:tcPr>
            <w:tcW w:w="957" w:type="dxa"/>
          </w:tcPr>
          <w:p w14:paraId="120B0980" w14:textId="77777777" w:rsidR="00221EEB" w:rsidRPr="001134B0" w:rsidRDefault="00221EEB" w:rsidP="00221EEB">
            <w:pPr>
              <w:pStyle w:val="TCTableBody"/>
              <w:rPr>
                <w:rFonts w:cs="Times"/>
                <w:sz w:val="20"/>
              </w:rPr>
            </w:pPr>
            <w:r w:rsidRPr="001134B0">
              <w:rPr>
                <w:rFonts w:cs="Times"/>
                <w:sz w:val="20"/>
              </w:rPr>
              <w:t>Vascular</w:t>
            </w:r>
          </w:p>
        </w:tc>
        <w:tc>
          <w:tcPr>
            <w:tcW w:w="0" w:type="auto"/>
          </w:tcPr>
          <w:p w14:paraId="4C78288C" w14:textId="77777777" w:rsidR="00221EEB" w:rsidRPr="001134B0" w:rsidRDefault="00221EEB" w:rsidP="00221EEB">
            <w:pPr>
              <w:pStyle w:val="TCTableBody"/>
              <w:rPr>
                <w:rFonts w:cs="Times"/>
                <w:sz w:val="20"/>
              </w:rPr>
            </w:pPr>
            <w:r w:rsidRPr="001134B0">
              <w:rPr>
                <w:rFonts w:cs="Times"/>
                <w:sz w:val="20"/>
              </w:rPr>
              <w:t>Umbilical vein endothelium</w:t>
            </w:r>
          </w:p>
        </w:tc>
        <w:tc>
          <w:tcPr>
            <w:tcW w:w="0" w:type="auto"/>
          </w:tcPr>
          <w:p w14:paraId="38B873C7" w14:textId="77777777" w:rsidR="00221EEB" w:rsidRPr="001134B0" w:rsidRDefault="00221EEB" w:rsidP="00BB398B">
            <w:pPr>
              <w:pStyle w:val="TCTableBody"/>
              <w:jc w:val="left"/>
              <w:rPr>
                <w:rFonts w:cs="Times"/>
                <w:sz w:val="20"/>
              </w:rPr>
            </w:pPr>
            <w:r w:rsidRPr="001134B0">
              <w:rPr>
                <w:rFonts w:cs="Times"/>
                <w:sz w:val="20"/>
              </w:rPr>
              <w:t>Protein content</w:t>
            </w:r>
          </w:p>
          <w:p w14:paraId="173E68DF" w14:textId="77777777" w:rsidR="00221EEB" w:rsidRPr="001134B0" w:rsidRDefault="00221EEB" w:rsidP="00BB398B">
            <w:pPr>
              <w:pStyle w:val="TCTableBody"/>
              <w:jc w:val="left"/>
              <w:rPr>
                <w:rFonts w:cs="Times"/>
                <w:sz w:val="20"/>
              </w:rPr>
            </w:pPr>
            <w:r w:rsidRPr="001134B0">
              <w:rPr>
                <w:rFonts w:cs="Times"/>
                <w:sz w:val="20"/>
              </w:rPr>
              <w:t>(cell proliferation)</w:t>
            </w:r>
          </w:p>
        </w:tc>
      </w:tr>
      <w:tr w:rsidR="00221EEB" w:rsidRPr="001134B0" w14:paraId="5890E281" w14:textId="77777777" w:rsidTr="008B71F9">
        <w:trPr>
          <w:trHeight w:val="714"/>
        </w:trPr>
        <w:tc>
          <w:tcPr>
            <w:tcW w:w="2122" w:type="dxa"/>
          </w:tcPr>
          <w:p w14:paraId="3D8C618C" w14:textId="77777777" w:rsidR="00221EEB" w:rsidRPr="001134B0" w:rsidRDefault="00221EEB" w:rsidP="00221EEB">
            <w:pPr>
              <w:pStyle w:val="TCTableBody"/>
              <w:rPr>
                <w:rFonts w:cs="Times"/>
                <w:sz w:val="20"/>
              </w:rPr>
            </w:pPr>
            <w:r w:rsidRPr="001134B0">
              <w:rPr>
                <w:rFonts w:cs="Times"/>
                <w:sz w:val="20"/>
              </w:rPr>
              <w:t>BSK_3C_Vis_down</w:t>
            </w:r>
          </w:p>
        </w:tc>
        <w:tc>
          <w:tcPr>
            <w:tcW w:w="1417" w:type="dxa"/>
          </w:tcPr>
          <w:p w14:paraId="4D871F7C" w14:textId="77777777" w:rsidR="00221EEB" w:rsidRPr="001134B0" w:rsidRDefault="00221EEB" w:rsidP="00221EEB">
            <w:pPr>
              <w:pStyle w:val="TCTableBody"/>
              <w:rPr>
                <w:rFonts w:cs="Times"/>
                <w:sz w:val="20"/>
              </w:rPr>
            </w:pPr>
            <w:r w:rsidRPr="001134B0">
              <w:rPr>
                <w:rFonts w:cs="Times"/>
                <w:sz w:val="20"/>
              </w:rPr>
              <w:t>Proliferation decrease</w:t>
            </w:r>
          </w:p>
        </w:tc>
        <w:tc>
          <w:tcPr>
            <w:tcW w:w="957" w:type="dxa"/>
          </w:tcPr>
          <w:p w14:paraId="53CFB9E7" w14:textId="77777777" w:rsidR="00221EEB" w:rsidRPr="001134B0" w:rsidRDefault="00221EEB" w:rsidP="00221EEB">
            <w:pPr>
              <w:pStyle w:val="TCTableBody"/>
              <w:rPr>
                <w:rFonts w:cs="Times"/>
                <w:sz w:val="20"/>
              </w:rPr>
            </w:pPr>
            <w:r w:rsidRPr="001134B0">
              <w:rPr>
                <w:rFonts w:cs="Times"/>
                <w:sz w:val="20"/>
              </w:rPr>
              <w:t>Vascular</w:t>
            </w:r>
          </w:p>
        </w:tc>
        <w:tc>
          <w:tcPr>
            <w:tcW w:w="0" w:type="auto"/>
          </w:tcPr>
          <w:p w14:paraId="631BB54C" w14:textId="77777777" w:rsidR="00221EEB" w:rsidRPr="001134B0" w:rsidRDefault="00221EEB" w:rsidP="00221EEB">
            <w:pPr>
              <w:pStyle w:val="TCTableBody"/>
              <w:rPr>
                <w:rFonts w:cs="Times"/>
                <w:sz w:val="20"/>
              </w:rPr>
            </w:pPr>
            <w:r w:rsidRPr="001134B0">
              <w:rPr>
                <w:rFonts w:cs="Times"/>
                <w:sz w:val="20"/>
              </w:rPr>
              <w:t>Umbilical vein endothelium</w:t>
            </w:r>
          </w:p>
        </w:tc>
        <w:tc>
          <w:tcPr>
            <w:tcW w:w="0" w:type="auto"/>
          </w:tcPr>
          <w:p w14:paraId="39071168" w14:textId="77777777" w:rsidR="00221EEB" w:rsidRPr="001134B0" w:rsidRDefault="00221EEB" w:rsidP="00BB398B">
            <w:pPr>
              <w:pStyle w:val="TCTableBody"/>
              <w:jc w:val="left"/>
              <w:rPr>
                <w:rFonts w:cs="Times"/>
                <w:sz w:val="20"/>
              </w:rPr>
            </w:pPr>
            <w:r w:rsidRPr="001134B0">
              <w:rPr>
                <w:rFonts w:cs="Times"/>
                <w:sz w:val="20"/>
              </w:rPr>
              <w:t>Cell phenotype</w:t>
            </w:r>
          </w:p>
          <w:p w14:paraId="5F3392BA" w14:textId="77777777" w:rsidR="00221EEB" w:rsidRPr="001134B0" w:rsidRDefault="00221EEB" w:rsidP="00BB398B">
            <w:pPr>
              <w:pStyle w:val="TCTableBody"/>
              <w:jc w:val="left"/>
              <w:rPr>
                <w:rFonts w:cs="Times"/>
                <w:sz w:val="20"/>
              </w:rPr>
            </w:pPr>
            <w:r w:rsidRPr="001134B0">
              <w:rPr>
                <w:rFonts w:cs="Times"/>
                <w:sz w:val="20"/>
              </w:rPr>
              <w:t>(cell morphology)</w:t>
            </w:r>
          </w:p>
        </w:tc>
      </w:tr>
      <w:tr w:rsidR="00221EEB" w:rsidRPr="001134B0" w14:paraId="28F1AD58" w14:textId="77777777" w:rsidTr="008B71F9">
        <w:trPr>
          <w:trHeight w:val="1088"/>
        </w:trPr>
        <w:tc>
          <w:tcPr>
            <w:tcW w:w="2122" w:type="dxa"/>
          </w:tcPr>
          <w:p w14:paraId="494E4F25" w14:textId="77777777" w:rsidR="00221EEB" w:rsidRPr="001134B0" w:rsidRDefault="00221EEB" w:rsidP="00221EEB">
            <w:pPr>
              <w:pStyle w:val="TCTableBody"/>
              <w:rPr>
                <w:rFonts w:cs="Times"/>
                <w:sz w:val="20"/>
              </w:rPr>
            </w:pPr>
            <w:r w:rsidRPr="001134B0">
              <w:rPr>
                <w:rFonts w:cs="Times"/>
                <w:sz w:val="20"/>
              </w:rPr>
              <w:t>BSK_CASM3C_Proliferation_</w:t>
            </w:r>
            <w:r w:rsidRPr="001134B0">
              <w:rPr>
                <w:rFonts w:cs="Times"/>
                <w:sz w:val="20"/>
              </w:rPr>
              <w:br/>
              <w:t>down</w:t>
            </w:r>
          </w:p>
        </w:tc>
        <w:tc>
          <w:tcPr>
            <w:tcW w:w="1417" w:type="dxa"/>
          </w:tcPr>
          <w:p w14:paraId="5C3F27F0" w14:textId="77777777" w:rsidR="00221EEB" w:rsidRPr="001134B0" w:rsidRDefault="00221EEB" w:rsidP="00221EEB">
            <w:pPr>
              <w:pStyle w:val="TCTableBody"/>
              <w:rPr>
                <w:rFonts w:cs="Times"/>
                <w:sz w:val="20"/>
              </w:rPr>
            </w:pPr>
            <w:r w:rsidRPr="001134B0">
              <w:rPr>
                <w:rFonts w:cs="Times"/>
                <w:sz w:val="20"/>
              </w:rPr>
              <w:t>Proliferation decrease</w:t>
            </w:r>
          </w:p>
        </w:tc>
        <w:tc>
          <w:tcPr>
            <w:tcW w:w="957" w:type="dxa"/>
          </w:tcPr>
          <w:p w14:paraId="7DEC18CC" w14:textId="77777777" w:rsidR="00221EEB" w:rsidRPr="001134B0" w:rsidRDefault="00221EEB" w:rsidP="00221EEB">
            <w:pPr>
              <w:pStyle w:val="TCTableBody"/>
              <w:rPr>
                <w:rFonts w:cs="Times"/>
                <w:sz w:val="20"/>
              </w:rPr>
            </w:pPr>
            <w:r w:rsidRPr="001134B0">
              <w:rPr>
                <w:rFonts w:cs="Times"/>
                <w:sz w:val="20"/>
              </w:rPr>
              <w:t>Vascular</w:t>
            </w:r>
          </w:p>
        </w:tc>
        <w:tc>
          <w:tcPr>
            <w:tcW w:w="0" w:type="auto"/>
          </w:tcPr>
          <w:p w14:paraId="6580388D" w14:textId="77777777" w:rsidR="00221EEB" w:rsidRPr="001134B0" w:rsidRDefault="00221EEB" w:rsidP="00221EEB">
            <w:pPr>
              <w:pStyle w:val="TCTableBody"/>
              <w:rPr>
                <w:rFonts w:cs="Times"/>
                <w:sz w:val="20"/>
              </w:rPr>
            </w:pPr>
            <w:r w:rsidRPr="001134B0">
              <w:rPr>
                <w:rFonts w:cs="Times"/>
                <w:sz w:val="20"/>
              </w:rPr>
              <w:t>Umbilical vein endothelium and coronary artery smooth muscle cells</w:t>
            </w:r>
          </w:p>
        </w:tc>
        <w:tc>
          <w:tcPr>
            <w:tcW w:w="0" w:type="auto"/>
          </w:tcPr>
          <w:p w14:paraId="03066F8A" w14:textId="77777777" w:rsidR="00221EEB" w:rsidRPr="001134B0" w:rsidRDefault="00221EEB" w:rsidP="00BB398B">
            <w:pPr>
              <w:pStyle w:val="TCTableBody"/>
              <w:jc w:val="left"/>
              <w:rPr>
                <w:rFonts w:cs="Times"/>
                <w:sz w:val="20"/>
              </w:rPr>
            </w:pPr>
            <w:r w:rsidRPr="001134B0">
              <w:rPr>
                <w:rFonts w:cs="Times"/>
                <w:sz w:val="20"/>
              </w:rPr>
              <w:t>Protein content (cell proliferation)</w:t>
            </w:r>
          </w:p>
        </w:tc>
      </w:tr>
      <w:tr w:rsidR="00221EEB" w:rsidRPr="001134B0" w14:paraId="5FCAB68F" w14:textId="77777777" w:rsidTr="008B71F9">
        <w:trPr>
          <w:trHeight w:val="714"/>
        </w:trPr>
        <w:tc>
          <w:tcPr>
            <w:tcW w:w="2122" w:type="dxa"/>
          </w:tcPr>
          <w:p w14:paraId="5A93C2E4" w14:textId="77777777" w:rsidR="00221EEB" w:rsidRPr="001134B0" w:rsidRDefault="00221EEB" w:rsidP="00221EEB">
            <w:pPr>
              <w:pStyle w:val="TCTableBody"/>
              <w:rPr>
                <w:rFonts w:cs="Times"/>
                <w:sz w:val="20"/>
              </w:rPr>
            </w:pPr>
            <w:proofErr w:type="spellStart"/>
            <w:r w:rsidRPr="001134B0">
              <w:rPr>
                <w:rFonts w:cs="Times"/>
                <w:sz w:val="20"/>
              </w:rPr>
              <w:t>BSK_hDFCGF_Proliferation</w:t>
            </w:r>
            <w:proofErr w:type="spellEnd"/>
            <w:r w:rsidRPr="001134B0">
              <w:rPr>
                <w:rFonts w:cs="Times"/>
                <w:sz w:val="20"/>
              </w:rPr>
              <w:t>_</w:t>
            </w:r>
            <w:r w:rsidRPr="001134B0">
              <w:rPr>
                <w:rFonts w:cs="Times"/>
                <w:sz w:val="20"/>
              </w:rPr>
              <w:br/>
              <w:t>down</w:t>
            </w:r>
          </w:p>
        </w:tc>
        <w:tc>
          <w:tcPr>
            <w:tcW w:w="1417" w:type="dxa"/>
          </w:tcPr>
          <w:p w14:paraId="71A87EF7" w14:textId="77777777" w:rsidR="00221EEB" w:rsidRPr="001134B0" w:rsidRDefault="00221EEB" w:rsidP="00221EEB">
            <w:pPr>
              <w:pStyle w:val="TCTableBody"/>
              <w:rPr>
                <w:rFonts w:cs="Times"/>
                <w:sz w:val="20"/>
              </w:rPr>
            </w:pPr>
            <w:r w:rsidRPr="001134B0">
              <w:rPr>
                <w:rFonts w:cs="Times"/>
                <w:sz w:val="20"/>
              </w:rPr>
              <w:t>Proliferation decrease</w:t>
            </w:r>
          </w:p>
        </w:tc>
        <w:tc>
          <w:tcPr>
            <w:tcW w:w="957" w:type="dxa"/>
          </w:tcPr>
          <w:p w14:paraId="681BB746" w14:textId="77777777" w:rsidR="00221EEB" w:rsidRPr="001134B0" w:rsidRDefault="00221EEB" w:rsidP="00221EEB">
            <w:pPr>
              <w:pStyle w:val="TCTableBody"/>
              <w:rPr>
                <w:rFonts w:cs="Times"/>
                <w:sz w:val="20"/>
              </w:rPr>
            </w:pPr>
            <w:r w:rsidRPr="001134B0">
              <w:rPr>
                <w:rFonts w:cs="Times"/>
                <w:sz w:val="20"/>
              </w:rPr>
              <w:t>Skin</w:t>
            </w:r>
          </w:p>
        </w:tc>
        <w:tc>
          <w:tcPr>
            <w:tcW w:w="0" w:type="auto"/>
          </w:tcPr>
          <w:p w14:paraId="0A52E7DA" w14:textId="77777777" w:rsidR="00221EEB" w:rsidRPr="001134B0" w:rsidRDefault="00221EEB" w:rsidP="00221EEB">
            <w:pPr>
              <w:pStyle w:val="TCTableBody"/>
              <w:rPr>
                <w:rFonts w:cs="Times"/>
                <w:sz w:val="20"/>
              </w:rPr>
            </w:pPr>
            <w:r w:rsidRPr="001134B0">
              <w:rPr>
                <w:rFonts w:cs="Times"/>
                <w:sz w:val="20"/>
              </w:rPr>
              <w:t>Foreskin fibroblast</w:t>
            </w:r>
          </w:p>
        </w:tc>
        <w:tc>
          <w:tcPr>
            <w:tcW w:w="0" w:type="auto"/>
          </w:tcPr>
          <w:p w14:paraId="29954D7E" w14:textId="77777777" w:rsidR="00221EEB" w:rsidRPr="001134B0" w:rsidRDefault="00221EEB" w:rsidP="00BB398B">
            <w:pPr>
              <w:pStyle w:val="TCTableBody"/>
              <w:jc w:val="left"/>
              <w:rPr>
                <w:rFonts w:cs="Times"/>
                <w:sz w:val="20"/>
              </w:rPr>
            </w:pPr>
            <w:r w:rsidRPr="001134B0">
              <w:rPr>
                <w:rFonts w:cs="Times"/>
                <w:sz w:val="20"/>
              </w:rPr>
              <w:t>Protein content (cell proliferation)</w:t>
            </w:r>
          </w:p>
        </w:tc>
      </w:tr>
      <w:tr w:rsidR="00221EEB" w:rsidRPr="001134B0" w14:paraId="2E570FCC" w14:textId="77777777" w:rsidTr="008B71F9">
        <w:trPr>
          <w:trHeight w:val="925"/>
        </w:trPr>
        <w:tc>
          <w:tcPr>
            <w:tcW w:w="2122" w:type="dxa"/>
          </w:tcPr>
          <w:p w14:paraId="7ECA7957" w14:textId="77777777" w:rsidR="00221EEB" w:rsidRPr="001134B0" w:rsidRDefault="00221EEB" w:rsidP="00221EEB">
            <w:pPr>
              <w:pStyle w:val="TCTableBody"/>
              <w:rPr>
                <w:rFonts w:cs="Times"/>
                <w:sz w:val="20"/>
              </w:rPr>
            </w:pPr>
            <w:proofErr w:type="spellStart"/>
            <w:r w:rsidRPr="001134B0">
              <w:rPr>
                <w:rFonts w:cs="Times"/>
                <w:sz w:val="20"/>
              </w:rPr>
              <w:t>BSK_SAg</w:t>
            </w:r>
            <w:proofErr w:type="spellEnd"/>
            <w:r w:rsidRPr="001134B0">
              <w:rPr>
                <w:rFonts w:cs="Times"/>
                <w:sz w:val="20"/>
              </w:rPr>
              <w:t>_</w:t>
            </w:r>
            <w:r w:rsidRPr="001134B0">
              <w:rPr>
                <w:rFonts w:cs="Times"/>
                <w:sz w:val="20"/>
              </w:rPr>
              <w:br/>
              <w:t>Proliferation_</w:t>
            </w:r>
            <w:r w:rsidRPr="001134B0">
              <w:rPr>
                <w:rFonts w:cs="Times"/>
                <w:sz w:val="20"/>
              </w:rPr>
              <w:br/>
              <w:t>down</w:t>
            </w:r>
          </w:p>
        </w:tc>
        <w:tc>
          <w:tcPr>
            <w:tcW w:w="1417" w:type="dxa"/>
          </w:tcPr>
          <w:p w14:paraId="389E064D" w14:textId="77777777" w:rsidR="00221EEB" w:rsidRPr="001134B0" w:rsidRDefault="00221EEB" w:rsidP="00221EEB">
            <w:pPr>
              <w:pStyle w:val="TCTableBody"/>
              <w:rPr>
                <w:rFonts w:cs="Times"/>
                <w:sz w:val="20"/>
              </w:rPr>
            </w:pPr>
            <w:r w:rsidRPr="001134B0">
              <w:rPr>
                <w:rFonts w:cs="Times"/>
                <w:sz w:val="20"/>
              </w:rPr>
              <w:t>Proliferation decrease</w:t>
            </w:r>
          </w:p>
        </w:tc>
        <w:tc>
          <w:tcPr>
            <w:tcW w:w="957" w:type="dxa"/>
          </w:tcPr>
          <w:p w14:paraId="21649004" w14:textId="77777777" w:rsidR="00221EEB" w:rsidRPr="001134B0" w:rsidRDefault="00221EEB" w:rsidP="00221EEB">
            <w:pPr>
              <w:pStyle w:val="TCTableBody"/>
              <w:rPr>
                <w:rFonts w:cs="Times"/>
                <w:sz w:val="20"/>
              </w:rPr>
            </w:pPr>
            <w:r w:rsidRPr="001134B0">
              <w:rPr>
                <w:rFonts w:cs="Times"/>
                <w:sz w:val="20"/>
              </w:rPr>
              <w:t>Vascular</w:t>
            </w:r>
          </w:p>
        </w:tc>
        <w:tc>
          <w:tcPr>
            <w:tcW w:w="0" w:type="auto"/>
          </w:tcPr>
          <w:p w14:paraId="29F5AD57" w14:textId="77777777" w:rsidR="00221EEB" w:rsidRPr="001134B0" w:rsidRDefault="00221EEB" w:rsidP="00221EEB">
            <w:pPr>
              <w:pStyle w:val="TCTableBody"/>
              <w:rPr>
                <w:rFonts w:cs="Times"/>
                <w:sz w:val="20"/>
              </w:rPr>
            </w:pPr>
            <w:r w:rsidRPr="001134B0">
              <w:rPr>
                <w:rFonts w:cs="Times"/>
                <w:sz w:val="20"/>
              </w:rPr>
              <w:t>Umbilical vein endothelium and peripheral blood mononuclear cells</w:t>
            </w:r>
          </w:p>
        </w:tc>
        <w:tc>
          <w:tcPr>
            <w:tcW w:w="0" w:type="auto"/>
          </w:tcPr>
          <w:p w14:paraId="5107ABCF" w14:textId="77777777" w:rsidR="00221EEB" w:rsidRPr="001134B0" w:rsidRDefault="00221EEB" w:rsidP="00BB398B">
            <w:pPr>
              <w:pStyle w:val="TCTableBody"/>
              <w:jc w:val="left"/>
              <w:rPr>
                <w:rFonts w:cs="Times"/>
                <w:sz w:val="20"/>
              </w:rPr>
            </w:pPr>
            <w:r w:rsidRPr="001134B0">
              <w:rPr>
                <w:rFonts w:cs="Times"/>
                <w:sz w:val="20"/>
              </w:rPr>
              <w:t>Protein content (cell proliferation)</w:t>
            </w:r>
          </w:p>
        </w:tc>
      </w:tr>
    </w:tbl>
    <w:p w14:paraId="5F6F2FC0" w14:textId="4D2E2B49" w:rsidR="00920297" w:rsidRPr="001134B0" w:rsidRDefault="00920297" w:rsidP="005227B4">
      <w:pPr>
        <w:pStyle w:val="VDTableTitle"/>
        <w:rPr>
          <w:rFonts w:cs="Times"/>
        </w:rPr>
      </w:pPr>
      <w:r w:rsidRPr="001134B0">
        <w:rPr>
          <w:rFonts w:cs="Times"/>
        </w:rPr>
        <w:lastRenderedPageBreak/>
        <w:t>Table 2:</w:t>
      </w:r>
      <w:r w:rsidR="00AF6E13">
        <w:rPr>
          <w:shd w:val="clear" w:color="auto" w:fill="FFFFFF"/>
        </w:rPr>
        <w:t xml:space="preserve"> </w:t>
      </w:r>
      <w:r w:rsidR="00AF6E13" w:rsidRPr="00E7031A">
        <w:rPr>
          <w:shd w:val="clear" w:color="auto" w:fill="FFFFFF"/>
        </w:rPr>
        <w:t xml:space="preserve">Aggregated metrics </w:t>
      </w:r>
      <w:r w:rsidR="00AF6E13">
        <w:rPr>
          <w:shd w:val="clear" w:color="auto" w:fill="FFFFFF"/>
        </w:rPr>
        <w:t>and c</w:t>
      </w:r>
      <w:r w:rsidR="00627217" w:rsidRPr="00B84E06">
        <w:rPr>
          <w:shd w:val="clear" w:color="auto" w:fill="FFFFFF"/>
        </w:rPr>
        <w:t xml:space="preserve">luster-averaged metrics for </w:t>
      </w:r>
      <w:r w:rsidR="00627217">
        <w:rPr>
          <w:shd w:val="clear" w:color="auto" w:fill="FFFFFF"/>
        </w:rPr>
        <w:t>R</w:t>
      </w:r>
      <w:r w:rsidR="00627217" w:rsidRPr="00B84E06">
        <w:rPr>
          <w:shd w:val="clear" w:color="auto" w:fill="FFFFFF"/>
        </w:rPr>
        <w:t xml:space="preserve">andom </w:t>
      </w:r>
      <w:r w:rsidR="00627217">
        <w:rPr>
          <w:shd w:val="clear" w:color="auto" w:fill="FFFFFF"/>
        </w:rPr>
        <w:t>F</w:t>
      </w:r>
      <w:r w:rsidR="00627217" w:rsidRPr="00B84E06">
        <w:rPr>
          <w:shd w:val="clear" w:color="auto" w:fill="FFFFFF"/>
        </w:rPr>
        <w:t xml:space="preserve">orest model using </w:t>
      </w:r>
      <w:r w:rsidR="007817B7" w:rsidRPr="007817B7">
        <w:rPr>
          <w:shd w:val="clear" w:color="auto" w:fill="FFFFFF"/>
        </w:rPr>
        <w:t>leave-one-cluster-out</w:t>
      </w:r>
      <w:r w:rsidR="00627217" w:rsidRPr="00B84E06">
        <w:rPr>
          <w:shd w:val="clear" w:color="auto" w:fill="FFFFFF"/>
        </w:rPr>
        <w:t xml:space="preserve"> splitting</w:t>
      </w:r>
      <w:r w:rsidR="00AF6E13">
        <w:rPr>
          <w:shd w:val="clear" w:color="auto" w:fill="FFFFFF"/>
        </w:rPr>
        <w:t xml:space="preserve"> </w:t>
      </w:r>
      <w:r w:rsidR="00AF6E13" w:rsidRPr="001134B0">
        <w:rPr>
          <w:rFonts w:cs="Times"/>
        </w:rPr>
        <w:t xml:space="preserve">for each cytotoxicity assay for different </w:t>
      </w:r>
      <w:r w:rsidR="00AF6E13">
        <w:rPr>
          <w:rFonts w:cs="Times"/>
        </w:rPr>
        <w:t>descriptors</w:t>
      </w:r>
      <w:r w:rsidR="00627217">
        <w:rPr>
          <w:shd w:val="clear" w:color="auto" w:fill="FFFFFF"/>
        </w:rPr>
        <w:t>.</w:t>
      </w:r>
      <w:r w:rsidR="00627217" w:rsidRPr="009B21EB">
        <w:t xml:space="preserve"> </w:t>
      </w:r>
      <w:r w:rsidR="004F1F5C">
        <w:rPr>
          <w:shd w:val="clear" w:color="auto" w:fill="FFFFFF"/>
        </w:rPr>
        <w:t>For stratified 5-fold</w:t>
      </w:r>
      <w:r w:rsidR="004F1F5C" w:rsidRPr="00B84E06">
        <w:rPr>
          <w:shd w:val="clear" w:color="auto" w:fill="FFFFFF"/>
        </w:rPr>
        <w:t xml:space="preserve"> splitting</w:t>
      </w:r>
      <w:r w:rsidR="004F1F5C">
        <w:rPr>
          <w:shd w:val="clear" w:color="auto" w:fill="FFFFFF"/>
        </w:rPr>
        <w:t xml:space="preserve">, </w:t>
      </w:r>
      <w:r w:rsidR="004F1F5C" w:rsidRPr="009D7C29">
        <w:rPr>
          <w:shd w:val="clear" w:color="auto" w:fill="FFFFFF"/>
        </w:rPr>
        <w:t>all the blind test sets</w:t>
      </w:r>
      <w:r w:rsidR="00096952" w:rsidRPr="00096952">
        <w:t xml:space="preserve"> </w:t>
      </w:r>
      <w:r w:rsidR="00096952">
        <w:rPr>
          <w:shd w:val="clear" w:color="auto" w:fill="FFFFFF"/>
        </w:rPr>
        <w:t>are</w:t>
      </w:r>
      <w:r w:rsidR="00096952" w:rsidRPr="00096952">
        <w:rPr>
          <w:shd w:val="clear" w:color="auto" w:fill="FFFFFF"/>
        </w:rPr>
        <w:t xml:space="preserve"> aggregated to give predictions </w:t>
      </w:r>
      <w:r w:rsidR="00096952">
        <w:rPr>
          <w:shd w:val="clear" w:color="auto" w:fill="FFFFFF"/>
        </w:rPr>
        <w:t>as a single</w:t>
      </w:r>
      <w:r w:rsidR="004F1F5C" w:rsidRPr="009D7C29">
        <w:rPr>
          <w:shd w:val="clear" w:color="auto" w:fill="FFFFFF"/>
        </w:rPr>
        <w:t xml:space="preserve"> </w:t>
      </w:r>
      <w:r w:rsidR="004F1F5C">
        <w:rPr>
          <w:shd w:val="clear" w:color="auto" w:fill="FFFFFF"/>
        </w:rPr>
        <w:t>aggregated</w:t>
      </w:r>
      <w:r w:rsidR="004F1F5C" w:rsidRPr="009D7C29">
        <w:rPr>
          <w:shd w:val="clear" w:color="auto" w:fill="FFFFFF"/>
        </w:rPr>
        <w:t xml:space="preserve"> metric value.</w:t>
      </w:r>
      <w:r w:rsidR="004F1F5C">
        <w:rPr>
          <w:shd w:val="clear" w:color="auto" w:fill="FFFFFF"/>
        </w:rPr>
        <w:t xml:space="preserve"> For </w:t>
      </w:r>
      <w:r w:rsidR="007817B7" w:rsidRPr="007817B7">
        <w:rPr>
          <w:shd w:val="clear" w:color="auto" w:fill="FFFFFF"/>
        </w:rPr>
        <w:t xml:space="preserve">leave-one-cluster-out </w:t>
      </w:r>
      <w:r w:rsidR="004F1F5C" w:rsidRPr="00B84E06">
        <w:rPr>
          <w:shd w:val="clear" w:color="auto" w:fill="FFFFFF"/>
        </w:rPr>
        <w:t>splitting</w:t>
      </w:r>
      <w:r w:rsidR="004F1F5C">
        <w:rPr>
          <w:shd w:val="clear" w:color="auto" w:fill="FFFFFF"/>
        </w:rPr>
        <w:t>, t</w:t>
      </w:r>
      <w:r w:rsidR="00627217" w:rsidRPr="009D7C29">
        <w:rPr>
          <w:shd w:val="clear" w:color="auto" w:fill="FFFFFF"/>
        </w:rPr>
        <w:t xml:space="preserve">he results of all the blind test sets are averaged </w:t>
      </w:r>
      <w:r w:rsidR="00627217">
        <w:rPr>
          <w:shd w:val="clear" w:color="auto" w:fill="FFFFFF"/>
        </w:rPr>
        <w:t xml:space="preserve">(and standard deviation calculated) </w:t>
      </w:r>
      <w:r w:rsidR="00627217" w:rsidRPr="009D7C29">
        <w:rPr>
          <w:shd w:val="clear" w:color="auto" w:fill="FFFFFF"/>
        </w:rPr>
        <w:t xml:space="preserve">to give final </w:t>
      </w:r>
      <w:r w:rsidR="004F1F5C">
        <w:rPr>
          <w:shd w:val="clear" w:color="auto" w:fill="FFFFFF"/>
        </w:rPr>
        <w:t xml:space="preserve">cluster-averaged </w:t>
      </w:r>
      <w:r w:rsidR="00627217" w:rsidRPr="009D7C29">
        <w:rPr>
          <w:shd w:val="clear" w:color="auto" w:fill="FFFFFF"/>
        </w:rPr>
        <w:t>metric values.</w:t>
      </w:r>
      <w:r w:rsidR="00371885" w:rsidRPr="00371885">
        <w:t xml:space="preserve"> </w:t>
      </w:r>
      <w:r w:rsidR="00F57EC2" w:rsidRPr="001520D9">
        <w:t xml:space="preserve">BA </w:t>
      </w:r>
      <w:r w:rsidR="00F57EC2">
        <w:t>:</w:t>
      </w:r>
      <w:r w:rsidR="00371885" w:rsidRPr="001520D9">
        <w:t>Balanced Accuracy</w:t>
      </w:r>
      <w:r w:rsidR="00F57EC2">
        <w:t>, MCC:</w:t>
      </w:r>
      <w:r w:rsidR="00371885" w:rsidRPr="001520D9">
        <w:t xml:space="preserve"> Mathew’s Correlation constant</w:t>
      </w:r>
      <w:r w:rsidR="00F57EC2">
        <w:t xml:space="preserve">, AUC-ROC: </w:t>
      </w:r>
      <w:r w:rsidR="00371885" w:rsidRPr="001520D9">
        <w:t>Area Under Curve- Receiver Operating Characteristic</w:t>
      </w:r>
    </w:p>
    <w:p w14:paraId="3E7FE65F" w14:textId="77777777" w:rsidR="00F20488" w:rsidRPr="001134B0" w:rsidRDefault="00F20488" w:rsidP="00F20488">
      <w:pPr>
        <w:rPr>
          <w:rFonts w:ascii="Times" w:hAnsi="Times" w:cs="Times"/>
        </w:rPr>
      </w:pPr>
    </w:p>
    <w:tbl>
      <w:tblPr>
        <w:tblW w:w="9918"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263"/>
        <w:gridCol w:w="1276"/>
        <w:gridCol w:w="851"/>
        <w:gridCol w:w="850"/>
        <w:gridCol w:w="851"/>
        <w:gridCol w:w="1275"/>
        <w:gridCol w:w="1276"/>
        <w:gridCol w:w="1276"/>
      </w:tblGrid>
      <w:tr w:rsidR="00F20488" w:rsidRPr="001134B0" w14:paraId="36175C30" w14:textId="77777777" w:rsidTr="00BA2CEA">
        <w:trPr>
          <w:trHeight w:val="300"/>
        </w:trPr>
        <w:tc>
          <w:tcPr>
            <w:tcW w:w="2263" w:type="dxa"/>
            <w:vMerge w:val="restart"/>
            <w:shd w:val="clear" w:color="auto" w:fill="auto"/>
            <w:noWrap/>
            <w:vAlign w:val="center"/>
            <w:hideMark/>
          </w:tcPr>
          <w:p w14:paraId="3BCD43AD" w14:textId="77777777" w:rsidR="00F20488" w:rsidRPr="001134B0" w:rsidRDefault="00F20488" w:rsidP="00F20488">
            <w:pPr>
              <w:pStyle w:val="TCTableBody"/>
              <w:rPr>
                <w:rFonts w:cs="Times"/>
                <w:b/>
                <w:bCs/>
                <w:sz w:val="20"/>
              </w:rPr>
            </w:pPr>
            <w:r w:rsidRPr="001134B0">
              <w:rPr>
                <w:rFonts w:cs="Times"/>
                <w:b/>
                <w:bCs/>
                <w:sz w:val="20"/>
              </w:rPr>
              <w:t>Endpoint</w:t>
            </w:r>
          </w:p>
        </w:tc>
        <w:tc>
          <w:tcPr>
            <w:tcW w:w="1276" w:type="dxa"/>
            <w:vMerge w:val="restart"/>
            <w:shd w:val="clear" w:color="auto" w:fill="auto"/>
            <w:noWrap/>
            <w:vAlign w:val="center"/>
            <w:hideMark/>
          </w:tcPr>
          <w:p w14:paraId="4CAA1C43" w14:textId="7B3AB488" w:rsidR="00F20488" w:rsidRPr="001134B0" w:rsidRDefault="00632423" w:rsidP="00F20488">
            <w:pPr>
              <w:pStyle w:val="TCTableBody"/>
              <w:rPr>
                <w:rFonts w:cs="Times"/>
                <w:b/>
                <w:bCs/>
                <w:sz w:val="20"/>
              </w:rPr>
            </w:pPr>
            <w:r w:rsidRPr="00632423">
              <w:rPr>
                <w:rFonts w:cs="Times"/>
                <w:b/>
                <w:bCs/>
                <w:sz w:val="20"/>
              </w:rPr>
              <w:t>Descriptor</w:t>
            </w:r>
          </w:p>
        </w:tc>
        <w:tc>
          <w:tcPr>
            <w:tcW w:w="2552" w:type="dxa"/>
            <w:gridSpan w:val="3"/>
            <w:shd w:val="clear" w:color="auto" w:fill="auto"/>
            <w:noWrap/>
            <w:vAlign w:val="center"/>
            <w:hideMark/>
          </w:tcPr>
          <w:p w14:paraId="350B1D11" w14:textId="77777777" w:rsidR="00F20488" w:rsidRPr="001134B0" w:rsidRDefault="00F20488" w:rsidP="00F20488">
            <w:pPr>
              <w:pStyle w:val="TCTableBody"/>
              <w:rPr>
                <w:rFonts w:cs="Times"/>
                <w:b/>
                <w:bCs/>
                <w:sz w:val="20"/>
              </w:rPr>
            </w:pPr>
            <w:r w:rsidRPr="001134B0">
              <w:rPr>
                <w:rFonts w:cs="Times"/>
                <w:b/>
                <w:bCs/>
                <w:sz w:val="20"/>
              </w:rPr>
              <w:t>5-fold outer split</w:t>
            </w:r>
          </w:p>
        </w:tc>
        <w:tc>
          <w:tcPr>
            <w:tcW w:w="3827" w:type="dxa"/>
            <w:gridSpan w:val="3"/>
            <w:shd w:val="clear" w:color="auto" w:fill="auto"/>
            <w:noWrap/>
            <w:vAlign w:val="center"/>
            <w:hideMark/>
          </w:tcPr>
          <w:p w14:paraId="0666F024" w14:textId="4155CED6" w:rsidR="00F20488" w:rsidRPr="001134B0" w:rsidRDefault="007817B7" w:rsidP="00F20488">
            <w:pPr>
              <w:pStyle w:val="TCTableBody"/>
              <w:rPr>
                <w:rFonts w:cs="Times"/>
                <w:b/>
                <w:bCs/>
                <w:sz w:val="20"/>
              </w:rPr>
            </w:pPr>
            <w:r w:rsidRPr="007817B7">
              <w:rPr>
                <w:rFonts w:cs="Times"/>
                <w:b/>
                <w:bCs/>
                <w:sz w:val="20"/>
              </w:rPr>
              <w:t>leave-one-cluster-out</w:t>
            </w:r>
            <w:r w:rsidR="002B3D91">
              <w:rPr>
                <w:rFonts w:cs="Times"/>
                <w:b/>
                <w:bCs/>
                <w:sz w:val="20"/>
              </w:rPr>
              <w:t xml:space="preserve"> </w:t>
            </w:r>
            <w:r w:rsidR="00F20488" w:rsidRPr="001134B0">
              <w:rPr>
                <w:rFonts w:cs="Times"/>
                <w:b/>
                <w:bCs/>
                <w:sz w:val="20"/>
              </w:rPr>
              <w:t>split</w:t>
            </w:r>
          </w:p>
        </w:tc>
      </w:tr>
      <w:tr w:rsidR="00F20488" w:rsidRPr="001134B0" w14:paraId="015EE1F5" w14:textId="77777777" w:rsidTr="00BA2CEA">
        <w:trPr>
          <w:trHeight w:val="315"/>
        </w:trPr>
        <w:tc>
          <w:tcPr>
            <w:tcW w:w="2263" w:type="dxa"/>
            <w:vMerge/>
            <w:vAlign w:val="center"/>
            <w:hideMark/>
          </w:tcPr>
          <w:p w14:paraId="39385F60" w14:textId="77777777" w:rsidR="00F20488" w:rsidRPr="001134B0" w:rsidRDefault="00F20488" w:rsidP="00F20488">
            <w:pPr>
              <w:pStyle w:val="TCTableBody"/>
              <w:rPr>
                <w:rFonts w:cs="Times"/>
                <w:b/>
                <w:bCs/>
                <w:sz w:val="20"/>
              </w:rPr>
            </w:pPr>
          </w:p>
        </w:tc>
        <w:tc>
          <w:tcPr>
            <w:tcW w:w="1276" w:type="dxa"/>
            <w:vMerge/>
            <w:vAlign w:val="center"/>
            <w:hideMark/>
          </w:tcPr>
          <w:p w14:paraId="42AFB9B8" w14:textId="77777777" w:rsidR="00F20488" w:rsidRPr="001134B0" w:rsidRDefault="00F20488" w:rsidP="00F20488">
            <w:pPr>
              <w:pStyle w:val="TCTableBody"/>
              <w:rPr>
                <w:rFonts w:cs="Times"/>
                <w:b/>
                <w:bCs/>
                <w:sz w:val="20"/>
              </w:rPr>
            </w:pPr>
          </w:p>
        </w:tc>
        <w:tc>
          <w:tcPr>
            <w:tcW w:w="2552" w:type="dxa"/>
            <w:gridSpan w:val="3"/>
            <w:shd w:val="clear" w:color="auto" w:fill="auto"/>
            <w:noWrap/>
            <w:vAlign w:val="center"/>
            <w:hideMark/>
          </w:tcPr>
          <w:p w14:paraId="6A74AB7F" w14:textId="77777777" w:rsidR="00F20488" w:rsidRPr="001134B0" w:rsidRDefault="00F20488" w:rsidP="00F20488">
            <w:pPr>
              <w:pStyle w:val="TCTableBody"/>
              <w:rPr>
                <w:rFonts w:cs="Times"/>
                <w:b/>
                <w:bCs/>
                <w:sz w:val="20"/>
              </w:rPr>
            </w:pPr>
            <w:r w:rsidRPr="001134B0">
              <w:rPr>
                <w:rFonts w:cs="Times"/>
                <w:b/>
                <w:bCs/>
                <w:sz w:val="20"/>
              </w:rPr>
              <w:t>(aggregated metrics)</w:t>
            </w:r>
          </w:p>
        </w:tc>
        <w:tc>
          <w:tcPr>
            <w:tcW w:w="3827" w:type="dxa"/>
            <w:gridSpan w:val="3"/>
            <w:shd w:val="clear" w:color="auto" w:fill="auto"/>
            <w:noWrap/>
            <w:vAlign w:val="center"/>
            <w:hideMark/>
          </w:tcPr>
          <w:p w14:paraId="18E4174F" w14:textId="77777777" w:rsidR="00F20488" w:rsidRPr="001134B0" w:rsidRDefault="00F20488" w:rsidP="00F20488">
            <w:pPr>
              <w:pStyle w:val="TCTableBody"/>
              <w:rPr>
                <w:rFonts w:cs="Times"/>
                <w:b/>
                <w:bCs/>
                <w:sz w:val="20"/>
              </w:rPr>
            </w:pPr>
            <w:r w:rsidRPr="001134B0">
              <w:rPr>
                <w:rFonts w:cs="Times"/>
                <w:b/>
                <w:bCs/>
                <w:sz w:val="20"/>
              </w:rPr>
              <w:t>(cluster averaged)</w:t>
            </w:r>
          </w:p>
        </w:tc>
      </w:tr>
      <w:tr w:rsidR="00F20488" w:rsidRPr="001134B0" w14:paraId="38FBC826" w14:textId="77777777" w:rsidTr="00BA2CEA">
        <w:trPr>
          <w:trHeight w:val="315"/>
        </w:trPr>
        <w:tc>
          <w:tcPr>
            <w:tcW w:w="2263" w:type="dxa"/>
            <w:vMerge/>
            <w:vAlign w:val="center"/>
            <w:hideMark/>
          </w:tcPr>
          <w:p w14:paraId="300F2695" w14:textId="77777777" w:rsidR="00F20488" w:rsidRPr="001134B0" w:rsidRDefault="00F20488" w:rsidP="00F20488">
            <w:pPr>
              <w:pStyle w:val="TCTableBody"/>
              <w:rPr>
                <w:rFonts w:cs="Times"/>
                <w:b/>
                <w:bCs/>
                <w:sz w:val="20"/>
              </w:rPr>
            </w:pPr>
          </w:p>
        </w:tc>
        <w:tc>
          <w:tcPr>
            <w:tcW w:w="1276" w:type="dxa"/>
            <w:vMerge/>
            <w:vAlign w:val="center"/>
            <w:hideMark/>
          </w:tcPr>
          <w:p w14:paraId="5047ECE8" w14:textId="77777777" w:rsidR="00F20488" w:rsidRPr="001134B0" w:rsidRDefault="00F20488" w:rsidP="00F20488">
            <w:pPr>
              <w:pStyle w:val="TCTableBody"/>
              <w:rPr>
                <w:rFonts w:cs="Times"/>
                <w:b/>
                <w:bCs/>
                <w:sz w:val="20"/>
              </w:rPr>
            </w:pPr>
          </w:p>
        </w:tc>
        <w:tc>
          <w:tcPr>
            <w:tcW w:w="851" w:type="dxa"/>
            <w:shd w:val="clear" w:color="auto" w:fill="auto"/>
            <w:noWrap/>
            <w:vAlign w:val="center"/>
            <w:hideMark/>
          </w:tcPr>
          <w:p w14:paraId="72587042" w14:textId="77777777" w:rsidR="00F20488" w:rsidRPr="001134B0" w:rsidRDefault="00F20488" w:rsidP="00F20488">
            <w:pPr>
              <w:pStyle w:val="TCTableBody"/>
              <w:rPr>
                <w:rFonts w:cs="Times"/>
                <w:b/>
                <w:bCs/>
                <w:sz w:val="20"/>
              </w:rPr>
            </w:pPr>
            <w:r w:rsidRPr="001134B0">
              <w:rPr>
                <w:rFonts w:cs="Times"/>
                <w:b/>
                <w:bCs/>
                <w:sz w:val="20"/>
              </w:rPr>
              <w:t>BA</w:t>
            </w:r>
          </w:p>
        </w:tc>
        <w:tc>
          <w:tcPr>
            <w:tcW w:w="850" w:type="dxa"/>
            <w:shd w:val="clear" w:color="auto" w:fill="auto"/>
            <w:noWrap/>
            <w:vAlign w:val="center"/>
            <w:hideMark/>
          </w:tcPr>
          <w:p w14:paraId="45D792C1" w14:textId="77777777" w:rsidR="00F20488" w:rsidRPr="001134B0" w:rsidRDefault="00F20488" w:rsidP="00F20488">
            <w:pPr>
              <w:pStyle w:val="TCTableBody"/>
              <w:rPr>
                <w:rFonts w:cs="Times"/>
                <w:b/>
                <w:bCs/>
                <w:sz w:val="20"/>
              </w:rPr>
            </w:pPr>
            <w:r w:rsidRPr="001134B0">
              <w:rPr>
                <w:rFonts w:cs="Times"/>
                <w:b/>
                <w:bCs/>
                <w:sz w:val="20"/>
              </w:rPr>
              <w:t>MCC</w:t>
            </w:r>
          </w:p>
        </w:tc>
        <w:tc>
          <w:tcPr>
            <w:tcW w:w="851" w:type="dxa"/>
            <w:shd w:val="clear" w:color="auto" w:fill="auto"/>
            <w:noWrap/>
            <w:vAlign w:val="center"/>
            <w:hideMark/>
          </w:tcPr>
          <w:p w14:paraId="7A25DCD6" w14:textId="77777777" w:rsidR="00F20488" w:rsidRPr="001134B0" w:rsidRDefault="00F20488" w:rsidP="00F20488">
            <w:pPr>
              <w:pStyle w:val="TCTableBody"/>
              <w:rPr>
                <w:rFonts w:cs="Times"/>
                <w:b/>
                <w:bCs/>
                <w:sz w:val="20"/>
              </w:rPr>
            </w:pPr>
            <w:r w:rsidRPr="001134B0">
              <w:rPr>
                <w:rFonts w:cs="Times"/>
                <w:b/>
                <w:bCs/>
                <w:sz w:val="20"/>
              </w:rPr>
              <w:t>AUC-ROC</w:t>
            </w:r>
          </w:p>
        </w:tc>
        <w:tc>
          <w:tcPr>
            <w:tcW w:w="1275" w:type="dxa"/>
            <w:shd w:val="clear" w:color="auto" w:fill="auto"/>
            <w:noWrap/>
            <w:vAlign w:val="center"/>
            <w:hideMark/>
          </w:tcPr>
          <w:p w14:paraId="1995FF12" w14:textId="77777777" w:rsidR="00F20488" w:rsidRPr="001134B0" w:rsidRDefault="00F20488" w:rsidP="00F20488">
            <w:pPr>
              <w:pStyle w:val="TCTableBody"/>
              <w:rPr>
                <w:rFonts w:cs="Times"/>
                <w:b/>
                <w:bCs/>
                <w:sz w:val="20"/>
              </w:rPr>
            </w:pPr>
            <w:r w:rsidRPr="001134B0">
              <w:rPr>
                <w:rFonts w:cs="Times"/>
                <w:b/>
                <w:bCs/>
                <w:sz w:val="20"/>
              </w:rPr>
              <w:t>BA</w:t>
            </w:r>
          </w:p>
        </w:tc>
        <w:tc>
          <w:tcPr>
            <w:tcW w:w="1276" w:type="dxa"/>
            <w:shd w:val="clear" w:color="auto" w:fill="auto"/>
            <w:noWrap/>
            <w:vAlign w:val="center"/>
            <w:hideMark/>
          </w:tcPr>
          <w:p w14:paraId="2A671CCC" w14:textId="77777777" w:rsidR="00F20488" w:rsidRPr="001134B0" w:rsidRDefault="00F20488" w:rsidP="00F20488">
            <w:pPr>
              <w:pStyle w:val="TCTableBody"/>
              <w:rPr>
                <w:rFonts w:cs="Times"/>
                <w:b/>
                <w:bCs/>
                <w:sz w:val="20"/>
              </w:rPr>
            </w:pPr>
            <w:r w:rsidRPr="001134B0">
              <w:rPr>
                <w:rFonts w:cs="Times"/>
                <w:b/>
                <w:bCs/>
                <w:sz w:val="20"/>
              </w:rPr>
              <w:t>MCC</w:t>
            </w:r>
          </w:p>
        </w:tc>
        <w:tc>
          <w:tcPr>
            <w:tcW w:w="1276" w:type="dxa"/>
            <w:shd w:val="clear" w:color="auto" w:fill="auto"/>
            <w:noWrap/>
            <w:vAlign w:val="center"/>
            <w:hideMark/>
          </w:tcPr>
          <w:p w14:paraId="50C88DFB" w14:textId="77777777" w:rsidR="00F20488" w:rsidRPr="001134B0" w:rsidRDefault="00F20488" w:rsidP="00F20488">
            <w:pPr>
              <w:pStyle w:val="TCTableBody"/>
              <w:rPr>
                <w:rFonts w:cs="Times"/>
                <w:b/>
                <w:bCs/>
                <w:sz w:val="20"/>
              </w:rPr>
            </w:pPr>
            <w:r w:rsidRPr="001134B0">
              <w:rPr>
                <w:rFonts w:cs="Times"/>
                <w:b/>
                <w:bCs/>
                <w:sz w:val="20"/>
              </w:rPr>
              <w:t>AUC-ROC</w:t>
            </w:r>
          </w:p>
        </w:tc>
      </w:tr>
      <w:tr w:rsidR="00F20488" w:rsidRPr="001134B0" w14:paraId="76C008AF" w14:textId="77777777" w:rsidTr="00BA2CEA">
        <w:trPr>
          <w:trHeight w:val="315"/>
        </w:trPr>
        <w:tc>
          <w:tcPr>
            <w:tcW w:w="2263" w:type="dxa"/>
            <w:vMerge w:val="restart"/>
            <w:shd w:val="clear" w:color="auto" w:fill="auto"/>
            <w:noWrap/>
            <w:vAlign w:val="bottom"/>
            <w:hideMark/>
          </w:tcPr>
          <w:p w14:paraId="0BC59596" w14:textId="77777777" w:rsidR="00F20488" w:rsidRPr="001134B0" w:rsidRDefault="00F20488" w:rsidP="00F20488">
            <w:pPr>
              <w:pStyle w:val="TCTableBody"/>
              <w:jc w:val="left"/>
              <w:rPr>
                <w:rFonts w:cs="Times"/>
                <w:sz w:val="20"/>
              </w:rPr>
            </w:pPr>
            <w:r w:rsidRPr="001134B0">
              <w:rPr>
                <w:rFonts w:cs="Times"/>
                <w:sz w:val="20"/>
              </w:rPr>
              <w:t>ACEA_T47D_</w:t>
            </w:r>
          </w:p>
          <w:p w14:paraId="2E3A3E36" w14:textId="1721EE74" w:rsidR="00F20488" w:rsidRPr="001134B0" w:rsidRDefault="00F20488" w:rsidP="00F20488">
            <w:pPr>
              <w:pStyle w:val="TCTableBody"/>
              <w:jc w:val="left"/>
              <w:rPr>
                <w:rFonts w:cs="Times"/>
                <w:sz w:val="20"/>
              </w:rPr>
            </w:pPr>
            <w:r w:rsidRPr="001134B0">
              <w:rPr>
                <w:rFonts w:cs="Times"/>
                <w:sz w:val="20"/>
              </w:rPr>
              <w:t>80hr_Negative</w:t>
            </w:r>
          </w:p>
        </w:tc>
        <w:tc>
          <w:tcPr>
            <w:tcW w:w="1276" w:type="dxa"/>
            <w:shd w:val="clear" w:color="auto" w:fill="auto"/>
            <w:noWrap/>
            <w:vAlign w:val="bottom"/>
            <w:hideMark/>
          </w:tcPr>
          <w:p w14:paraId="0B716062" w14:textId="77777777" w:rsidR="00F20488" w:rsidRPr="001134B0" w:rsidRDefault="00F20488" w:rsidP="00F20488">
            <w:pPr>
              <w:pStyle w:val="TCTableBody"/>
              <w:jc w:val="left"/>
              <w:rPr>
                <w:rFonts w:cs="Times"/>
                <w:sz w:val="20"/>
              </w:rPr>
            </w:pPr>
            <w:r w:rsidRPr="001134B0">
              <w:rPr>
                <w:rFonts w:cs="Times"/>
                <w:sz w:val="20"/>
              </w:rPr>
              <w:t>CP</w:t>
            </w:r>
          </w:p>
        </w:tc>
        <w:tc>
          <w:tcPr>
            <w:tcW w:w="851" w:type="dxa"/>
            <w:shd w:val="clear" w:color="auto" w:fill="auto"/>
            <w:noWrap/>
            <w:vAlign w:val="bottom"/>
            <w:hideMark/>
          </w:tcPr>
          <w:p w14:paraId="178B3D03" w14:textId="77777777" w:rsidR="00F20488" w:rsidRPr="001134B0" w:rsidRDefault="00F20488" w:rsidP="00F20488">
            <w:pPr>
              <w:pStyle w:val="TCTableBody"/>
              <w:jc w:val="left"/>
              <w:rPr>
                <w:rFonts w:cs="Times"/>
                <w:sz w:val="20"/>
              </w:rPr>
            </w:pPr>
            <w:r w:rsidRPr="001134B0">
              <w:rPr>
                <w:rFonts w:cs="Times"/>
                <w:sz w:val="20"/>
              </w:rPr>
              <w:t>0.6</w:t>
            </w:r>
          </w:p>
        </w:tc>
        <w:tc>
          <w:tcPr>
            <w:tcW w:w="850" w:type="dxa"/>
            <w:shd w:val="clear" w:color="auto" w:fill="auto"/>
            <w:noWrap/>
            <w:vAlign w:val="bottom"/>
            <w:hideMark/>
          </w:tcPr>
          <w:p w14:paraId="53B05269" w14:textId="77777777" w:rsidR="00F20488" w:rsidRPr="001134B0" w:rsidRDefault="00F20488" w:rsidP="00F20488">
            <w:pPr>
              <w:pStyle w:val="TCTableBody"/>
              <w:jc w:val="left"/>
              <w:rPr>
                <w:rFonts w:cs="Times"/>
                <w:sz w:val="20"/>
              </w:rPr>
            </w:pPr>
            <w:r w:rsidRPr="001134B0">
              <w:rPr>
                <w:rFonts w:cs="Times"/>
                <w:sz w:val="20"/>
              </w:rPr>
              <w:t>0.29</w:t>
            </w:r>
          </w:p>
        </w:tc>
        <w:tc>
          <w:tcPr>
            <w:tcW w:w="851" w:type="dxa"/>
            <w:shd w:val="clear" w:color="auto" w:fill="auto"/>
            <w:noWrap/>
            <w:vAlign w:val="bottom"/>
            <w:hideMark/>
          </w:tcPr>
          <w:p w14:paraId="2E567A6F" w14:textId="77777777" w:rsidR="00F20488" w:rsidRPr="001134B0" w:rsidRDefault="00F20488" w:rsidP="00F20488">
            <w:pPr>
              <w:pStyle w:val="TCTableBody"/>
              <w:jc w:val="left"/>
              <w:rPr>
                <w:rFonts w:cs="Times"/>
                <w:sz w:val="20"/>
              </w:rPr>
            </w:pPr>
            <w:r w:rsidRPr="001134B0">
              <w:rPr>
                <w:rFonts w:cs="Times"/>
                <w:sz w:val="20"/>
              </w:rPr>
              <w:t>0.63</w:t>
            </w:r>
          </w:p>
        </w:tc>
        <w:tc>
          <w:tcPr>
            <w:tcW w:w="1275" w:type="dxa"/>
            <w:shd w:val="clear" w:color="auto" w:fill="auto"/>
            <w:noWrap/>
            <w:vAlign w:val="bottom"/>
            <w:hideMark/>
          </w:tcPr>
          <w:p w14:paraId="46A3CA91" w14:textId="77777777" w:rsidR="00F20488" w:rsidRPr="001134B0" w:rsidRDefault="00F20488" w:rsidP="00F20488">
            <w:pPr>
              <w:pStyle w:val="TCTableBody"/>
              <w:jc w:val="left"/>
              <w:rPr>
                <w:rFonts w:cs="Times"/>
                <w:sz w:val="20"/>
              </w:rPr>
            </w:pPr>
            <w:r w:rsidRPr="001134B0">
              <w:rPr>
                <w:rFonts w:cs="Times"/>
                <w:sz w:val="20"/>
              </w:rPr>
              <w:t>0.63 ± 0.06</w:t>
            </w:r>
          </w:p>
        </w:tc>
        <w:tc>
          <w:tcPr>
            <w:tcW w:w="1276" w:type="dxa"/>
            <w:shd w:val="clear" w:color="auto" w:fill="auto"/>
            <w:noWrap/>
            <w:vAlign w:val="bottom"/>
            <w:hideMark/>
          </w:tcPr>
          <w:p w14:paraId="149EF924" w14:textId="77777777" w:rsidR="00F20488" w:rsidRPr="001134B0" w:rsidRDefault="00F20488" w:rsidP="00F20488">
            <w:pPr>
              <w:pStyle w:val="TCTableBody"/>
              <w:rPr>
                <w:rFonts w:cs="Times"/>
                <w:sz w:val="20"/>
              </w:rPr>
            </w:pPr>
            <w:r w:rsidRPr="001134B0">
              <w:rPr>
                <w:rFonts w:cs="Times"/>
                <w:sz w:val="20"/>
              </w:rPr>
              <w:t>0.28 ± 0.14</w:t>
            </w:r>
          </w:p>
        </w:tc>
        <w:tc>
          <w:tcPr>
            <w:tcW w:w="1276" w:type="dxa"/>
            <w:shd w:val="clear" w:color="auto" w:fill="auto"/>
            <w:noWrap/>
            <w:vAlign w:val="bottom"/>
            <w:hideMark/>
          </w:tcPr>
          <w:p w14:paraId="31C8931A" w14:textId="77777777" w:rsidR="00F20488" w:rsidRPr="001134B0" w:rsidRDefault="00F20488" w:rsidP="00F20488">
            <w:pPr>
              <w:pStyle w:val="TCTableBody"/>
              <w:rPr>
                <w:rFonts w:cs="Times"/>
                <w:sz w:val="20"/>
              </w:rPr>
            </w:pPr>
            <w:r w:rsidRPr="001134B0">
              <w:rPr>
                <w:rFonts w:cs="Times"/>
                <w:sz w:val="20"/>
              </w:rPr>
              <w:t>0.74 ± 0.13</w:t>
            </w:r>
          </w:p>
        </w:tc>
      </w:tr>
      <w:tr w:rsidR="00F20488" w:rsidRPr="001134B0" w14:paraId="547A8B75" w14:textId="77777777" w:rsidTr="00BA2CEA">
        <w:trPr>
          <w:trHeight w:val="315"/>
        </w:trPr>
        <w:tc>
          <w:tcPr>
            <w:tcW w:w="2263" w:type="dxa"/>
            <w:vMerge/>
            <w:vAlign w:val="center"/>
            <w:hideMark/>
          </w:tcPr>
          <w:p w14:paraId="401A2347" w14:textId="77777777" w:rsidR="00F20488" w:rsidRPr="001134B0" w:rsidRDefault="00F20488" w:rsidP="00F20488">
            <w:pPr>
              <w:pStyle w:val="TCTableBody"/>
              <w:jc w:val="left"/>
              <w:rPr>
                <w:rFonts w:cs="Times"/>
                <w:sz w:val="20"/>
              </w:rPr>
            </w:pPr>
          </w:p>
        </w:tc>
        <w:tc>
          <w:tcPr>
            <w:tcW w:w="1276" w:type="dxa"/>
            <w:shd w:val="clear" w:color="auto" w:fill="auto"/>
            <w:noWrap/>
            <w:vAlign w:val="bottom"/>
            <w:hideMark/>
          </w:tcPr>
          <w:p w14:paraId="45C81E74" w14:textId="77777777" w:rsidR="00F20488" w:rsidRPr="001134B0" w:rsidRDefault="00F20488" w:rsidP="00F20488">
            <w:pPr>
              <w:pStyle w:val="TCTableBody"/>
              <w:jc w:val="left"/>
              <w:rPr>
                <w:rFonts w:cs="Times"/>
                <w:sz w:val="20"/>
              </w:rPr>
            </w:pPr>
            <w:proofErr w:type="spellStart"/>
            <w:r w:rsidRPr="001134B0">
              <w:rPr>
                <w:rFonts w:cs="Times"/>
                <w:sz w:val="20"/>
              </w:rPr>
              <w:t>ErG</w:t>
            </w:r>
            <w:proofErr w:type="spellEnd"/>
          </w:p>
        </w:tc>
        <w:tc>
          <w:tcPr>
            <w:tcW w:w="851" w:type="dxa"/>
            <w:shd w:val="clear" w:color="auto" w:fill="auto"/>
            <w:noWrap/>
            <w:vAlign w:val="bottom"/>
            <w:hideMark/>
          </w:tcPr>
          <w:p w14:paraId="294522CE" w14:textId="77777777" w:rsidR="00F20488" w:rsidRPr="001134B0" w:rsidRDefault="00F20488" w:rsidP="00F20488">
            <w:pPr>
              <w:pStyle w:val="TCTableBody"/>
              <w:jc w:val="left"/>
              <w:rPr>
                <w:rFonts w:cs="Times"/>
                <w:sz w:val="20"/>
              </w:rPr>
            </w:pPr>
            <w:r w:rsidRPr="001134B0">
              <w:rPr>
                <w:rFonts w:cs="Times"/>
                <w:sz w:val="20"/>
              </w:rPr>
              <w:t>0.53</w:t>
            </w:r>
          </w:p>
        </w:tc>
        <w:tc>
          <w:tcPr>
            <w:tcW w:w="850" w:type="dxa"/>
            <w:shd w:val="clear" w:color="auto" w:fill="auto"/>
            <w:noWrap/>
            <w:vAlign w:val="bottom"/>
            <w:hideMark/>
          </w:tcPr>
          <w:p w14:paraId="5C550A6E" w14:textId="77777777" w:rsidR="00F20488" w:rsidRPr="001134B0" w:rsidRDefault="00F20488" w:rsidP="00F20488">
            <w:pPr>
              <w:pStyle w:val="TCTableBody"/>
              <w:jc w:val="left"/>
              <w:rPr>
                <w:rFonts w:cs="Times"/>
                <w:sz w:val="20"/>
              </w:rPr>
            </w:pPr>
            <w:r w:rsidRPr="001134B0">
              <w:rPr>
                <w:rFonts w:cs="Times"/>
                <w:sz w:val="20"/>
              </w:rPr>
              <w:t>0.1</w:t>
            </w:r>
          </w:p>
        </w:tc>
        <w:tc>
          <w:tcPr>
            <w:tcW w:w="851" w:type="dxa"/>
            <w:shd w:val="clear" w:color="auto" w:fill="auto"/>
            <w:noWrap/>
            <w:vAlign w:val="bottom"/>
            <w:hideMark/>
          </w:tcPr>
          <w:p w14:paraId="457E16BF" w14:textId="77777777" w:rsidR="00F20488" w:rsidRPr="001134B0" w:rsidRDefault="00F20488" w:rsidP="00F20488">
            <w:pPr>
              <w:pStyle w:val="TCTableBody"/>
              <w:jc w:val="left"/>
              <w:rPr>
                <w:rFonts w:cs="Times"/>
                <w:sz w:val="20"/>
              </w:rPr>
            </w:pPr>
            <w:r w:rsidRPr="001134B0">
              <w:rPr>
                <w:rFonts w:cs="Times"/>
                <w:sz w:val="20"/>
              </w:rPr>
              <w:t>0.59</w:t>
            </w:r>
          </w:p>
        </w:tc>
        <w:tc>
          <w:tcPr>
            <w:tcW w:w="1275" w:type="dxa"/>
            <w:shd w:val="clear" w:color="auto" w:fill="auto"/>
            <w:noWrap/>
            <w:vAlign w:val="bottom"/>
            <w:hideMark/>
          </w:tcPr>
          <w:p w14:paraId="113B6FBC" w14:textId="77777777" w:rsidR="00F20488" w:rsidRPr="001134B0" w:rsidRDefault="00F20488" w:rsidP="00F20488">
            <w:pPr>
              <w:pStyle w:val="TCTableBody"/>
              <w:jc w:val="left"/>
              <w:rPr>
                <w:rFonts w:cs="Times"/>
                <w:sz w:val="20"/>
              </w:rPr>
            </w:pPr>
            <w:r w:rsidRPr="001134B0">
              <w:rPr>
                <w:rFonts w:cs="Times"/>
                <w:sz w:val="20"/>
              </w:rPr>
              <w:t>0.5 ± 0.0</w:t>
            </w:r>
          </w:p>
        </w:tc>
        <w:tc>
          <w:tcPr>
            <w:tcW w:w="1276" w:type="dxa"/>
            <w:shd w:val="clear" w:color="auto" w:fill="auto"/>
            <w:noWrap/>
            <w:vAlign w:val="bottom"/>
            <w:hideMark/>
          </w:tcPr>
          <w:p w14:paraId="303A4AAD" w14:textId="77777777" w:rsidR="00F20488" w:rsidRPr="001134B0" w:rsidRDefault="00F20488" w:rsidP="00F20488">
            <w:pPr>
              <w:pStyle w:val="TCTableBody"/>
              <w:rPr>
                <w:rFonts w:cs="Times"/>
                <w:sz w:val="20"/>
              </w:rPr>
            </w:pPr>
            <w:r w:rsidRPr="001134B0">
              <w:rPr>
                <w:rFonts w:cs="Times"/>
                <w:sz w:val="20"/>
              </w:rPr>
              <w:t>0.01 ± 0.01</w:t>
            </w:r>
          </w:p>
        </w:tc>
        <w:tc>
          <w:tcPr>
            <w:tcW w:w="1276" w:type="dxa"/>
            <w:shd w:val="clear" w:color="auto" w:fill="auto"/>
            <w:noWrap/>
            <w:vAlign w:val="bottom"/>
            <w:hideMark/>
          </w:tcPr>
          <w:p w14:paraId="474F9E59" w14:textId="77777777" w:rsidR="00F20488" w:rsidRPr="001134B0" w:rsidRDefault="00F20488" w:rsidP="00F20488">
            <w:pPr>
              <w:pStyle w:val="TCTableBody"/>
              <w:rPr>
                <w:rFonts w:cs="Times"/>
                <w:sz w:val="20"/>
              </w:rPr>
            </w:pPr>
            <w:r w:rsidRPr="001134B0">
              <w:rPr>
                <w:rFonts w:cs="Times"/>
                <w:sz w:val="20"/>
              </w:rPr>
              <w:t>0.47 ± 0.11</w:t>
            </w:r>
          </w:p>
        </w:tc>
      </w:tr>
      <w:tr w:rsidR="00F20488" w:rsidRPr="001134B0" w14:paraId="4ED05364" w14:textId="77777777" w:rsidTr="00BA2CEA">
        <w:trPr>
          <w:trHeight w:val="300"/>
        </w:trPr>
        <w:tc>
          <w:tcPr>
            <w:tcW w:w="2263" w:type="dxa"/>
            <w:vMerge/>
            <w:vAlign w:val="center"/>
            <w:hideMark/>
          </w:tcPr>
          <w:p w14:paraId="7C44DA25"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7871CB0E" w14:textId="77777777" w:rsidR="00F20488" w:rsidRPr="001134B0" w:rsidRDefault="00F20488" w:rsidP="00F20488">
            <w:pPr>
              <w:pStyle w:val="TCTableBody"/>
              <w:rPr>
                <w:rFonts w:cs="Times"/>
                <w:sz w:val="20"/>
              </w:rPr>
            </w:pPr>
            <w:proofErr w:type="spellStart"/>
            <w:r w:rsidRPr="001134B0">
              <w:rPr>
                <w:rFonts w:cs="Times"/>
                <w:sz w:val="20"/>
              </w:rPr>
              <w:t>ErG+CP</w:t>
            </w:r>
            <w:proofErr w:type="spellEnd"/>
          </w:p>
        </w:tc>
        <w:tc>
          <w:tcPr>
            <w:tcW w:w="851" w:type="dxa"/>
            <w:shd w:val="clear" w:color="auto" w:fill="auto"/>
            <w:noWrap/>
            <w:vAlign w:val="bottom"/>
            <w:hideMark/>
          </w:tcPr>
          <w:p w14:paraId="4087BD9D" w14:textId="77777777" w:rsidR="00F20488" w:rsidRPr="001134B0" w:rsidRDefault="00F20488" w:rsidP="00F20488">
            <w:pPr>
              <w:pStyle w:val="TCTableBody"/>
              <w:rPr>
                <w:rFonts w:cs="Times"/>
                <w:sz w:val="20"/>
              </w:rPr>
            </w:pPr>
            <w:r w:rsidRPr="001134B0">
              <w:rPr>
                <w:rFonts w:cs="Times"/>
                <w:sz w:val="20"/>
              </w:rPr>
              <w:t>0.62</w:t>
            </w:r>
          </w:p>
        </w:tc>
        <w:tc>
          <w:tcPr>
            <w:tcW w:w="850" w:type="dxa"/>
            <w:shd w:val="clear" w:color="auto" w:fill="auto"/>
            <w:noWrap/>
            <w:vAlign w:val="bottom"/>
            <w:hideMark/>
          </w:tcPr>
          <w:p w14:paraId="32820EAC" w14:textId="77777777" w:rsidR="00F20488" w:rsidRPr="001134B0" w:rsidRDefault="00F20488" w:rsidP="00F20488">
            <w:pPr>
              <w:pStyle w:val="TCTableBody"/>
              <w:rPr>
                <w:rFonts w:cs="Times"/>
                <w:sz w:val="20"/>
              </w:rPr>
            </w:pPr>
            <w:r w:rsidRPr="001134B0">
              <w:rPr>
                <w:rFonts w:cs="Times"/>
                <w:sz w:val="20"/>
              </w:rPr>
              <w:t>0.35</w:t>
            </w:r>
          </w:p>
        </w:tc>
        <w:tc>
          <w:tcPr>
            <w:tcW w:w="851" w:type="dxa"/>
            <w:shd w:val="clear" w:color="auto" w:fill="auto"/>
            <w:noWrap/>
            <w:vAlign w:val="bottom"/>
            <w:hideMark/>
          </w:tcPr>
          <w:p w14:paraId="42799FC5" w14:textId="77777777" w:rsidR="00F20488" w:rsidRPr="001134B0" w:rsidRDefault="00F20488" w:rsidP="00F20488">
            <w:pPr>
              <w:pStyle w:val="TCTableBody"/>
              <w:rPr>
                <w:rFonts w:cs="Times"/>
                <w:sz w:val="20"/>
              </w:rPr>
            </w:pPr>
            <w:r w:rsidRPr="001134B0">
              <w:rPr>
                <w:rFonts w:cs="Times"/>
                <w:sz w:val="20"/>
              </w:rPr>
              <w:t>0.65</w:t>
            </w:r>
          </w:p>
        </w:tc>
        <w:tc>
          <w:tcPr>
            <w:tcW w:w="1275" w:type="dxa"/>
            <w:shd w:val="clear" w:color="auto" w:fill="auto"/>
            <w:noWrap/>
            <w:vAlign w:val="bottom"/>
            <w:hideMark/>
          </w:tcPr>
          <w:p w14:paraId="4EF326C0" w14:textId="77777777" w:rsidR="00F20488" w:rsidRPr="001134B0" w:rsidRDefault="00F20488" w:rsidP="00F20488">
            <w:pPr>
              <w:pStyle w:val="TCTableBody"/>
              <w:rPr>
                <w:rFonts w:cs="Times"/>
                <w:sz w:val="20"/>
              </w:rPr>
            </w:pPr>
            <w:r w:rsidRPr="001134B0">
              <w:rPr>
                <w:rFonts w:cs="Times"/>
                <w:sz w:val="20"/>
              </w:rPr>
              <w:t>0.61 ± 0.04</w:t>
            </w:r>
          </w:p>
        </w:tc>
        <w:tc>
          <w:tcPr>
            <w:tcW w:w="1276" w:type="dxa"/>
            <w:shd w:val="clear" w:color="auto" w:fill="auto"/>
            <w:noWrap/>
            <w:vAlign w:val="bottom"/>
            <w:hideMark/>
          </w:tcPr>
          <w:p w14:paraId="612279F3" w14:textId="77777777" w:rsidR="00F20488" w:rsidRPr="001134B0" w:rsidRDefault="00F20488" w:rsidP="00F20488">
            <w:pPr>
              <w:pStyle w:val="TCTableBody"/>
              <w:rPr>
                <w:rFonts w:cs="Times"/>
                <w:sz w:val="20"/>
              </w:rPr>
            </w:pPr>
            <w:r w:rsidRPr="001134B0">
              <w:rPr>
                <w:rFonts w:cs="Times"/>
                <w:sz w:val="20"/>
              </w:rPr>
              <w:t>0.26 ± 0.08</w:t>
            </w:r>
          </w:p>
        </w:tc>
        <w:tc>
          <w:tcPr>
            <w:tcW w:w="1276" w:type="dxa"/>
            <w:shd w:val="clear" w:color="auto" w:fill="auto"/>
            <w:noWrap/>
            <w:vAlign w:val="bottom"/>
            <w:hideMark/>
          </w:tcPr>
          <w:p w14:paraId="02AD5631" w14:textId="77777777" w:rsidR="00F20488" w:rsidRPr="001134B0" w:rsidRDefault="00F20488" w:rsidP="00F20488">
            <w:pPr>
              <w:pStyle w:val="TCTableBody"/>
              <w:rPr>
                <w:rFonts w:cs="Times"/>
                <w:sz w:val="20"/>
              </w:rPr>
            </w:pPr>
            <w:r w:rsidRPr="001134B0">
              <w:rPr>
                <w:rFonts w:cs="Times"/>
                <w:sz w:val="20"/>
              </w:rPr>
              <w:t>0.76 ± 0.13</w:t>
            </w:r>
          </w:p>
        </w:tc>
      </w:tr>
      <w:tr w:rsidR="00F20488" w:rsidRPr="001134B0" w14:paraId="2C5677EC" w14:textId="77777777" w:rsidTr="00BA2CEA">
        <w:trPr>
          <w:trHeight w:val="300"/>
        </w:trPr>
        <w:tc>
          <w:tcPr>
            <w:tcW w:w="2263" w:type="dxa"/>
            <w:vMerge/>
            <w:vAlign w:val="center"/>
            <w:hideMark/>
          </w:tcPr>
          <w:p w14:paraId="291C0903"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33926EDD" w14:textId="77777777" w:rsidR="00F20488" w:rsidRPr="001134B0" w:rsidRDefault="00F20488" w:rsidP="00F20488">
            <w:pPr>
              <w:pStyle w:val="TCTableBody"/>
              <w:rPr>
                <w:rFonts w:cs="Times"/>
                <w:sz w:val="20"/>
              </w:rPr>
            </w:pPr>
            <w:r w:rsidRPr="001134B0">
              <w:rPr>
                <w:rFonts w:cs="Times"/>
                <w:sz w:val="20"/>
              </w:rPr>
              <w:t>Morgan</w:t>
            </w:r>
          </w:p>
        </w:tc>
        <w:tc>
          <w:tcPr>
            <w:tcW w:w="851" w:type="dxa"/>
            <w:shd w:val="clear" w:color="auto" w:fill="auto"/>
            <w:noWrap/>
            <w:vAlign w:val="bottom"/>
            <w:hideMark/>
          </w:tcPr>
          <w:p w14:paraId="13B3E5A9" w14:textId="77777777" w:rsidR="00F20488" w:rsidRPr="001134B0" w:rsidRDefault="00F20488" w:rsidP="00F20488">
            <w:pPr>
              <w:pStyle w:val="TCTableBody"/>
              <w:rPr>
                <w:rFonts w:cs="Times"/>
                <w:sz w:val="20"/>
              </w:rPr>
            </w:pPr>
            <w:r w:rsidRPr="001134B0">
              <w:rPr>
                <w:rFonts w:cs="Times"/>
                <w:sz w:val="20"/>
              </w:rPr>
              <w:t>0.49</w:t>
            </w:r>
          </w:p>
        </w:tc>
        <w:tc>
          <w:tcPr>
            <w:tcW w:w="850" w:type="dxa"/>
            <w:shd w:val="clear" w:color="auto" w:fill="auto"/>
            <w:noWrap/>
            <w:vAlign w:val="bottom"/>
            <w:hideMark/>
          </w:tcPr>
          <w:p w14:paraId="777E41E8" w14:textId="77777777" w:rsidR="00F20488" w:rsidRPr="001134B0" w:rsidRDefault="00F20488" w:rsidP="00F20488">
            <w:pPr>
              <w:pStyle w:val="TCTableBody"/>
              <w:rPr>
                <w:rFonts w:cs="Times"/>
                <w:sz w:val="20"/>
              </w:rPr>
            </w:pPr>
            <w:r w:rsidRPr="001134B0">
              <w:rPr>
                <w:rFonts w:cs="Times"/>
                <w:sz w:val="20"/>
              </w:rPr>
              <w:t>-0.08</w:t>
            </w:r>
          </w:p>
        </w:tc>
        <w:tc>
          <w:tcPr>
            <w:tcW w:w="851" w:type="dxa"/>
            <w:shd w:val="clear" w:color="auto" w:fill="auto"/>
            <w:noWrap/>
            <w:vAlign w:val="bottom"/>
            <w:hideMark/>
          </w:tcPr>
          <w:p w14:paraId="41B3665B" w14:textId="77777777" w:rsidR="00F20488" w:rsidRPr="001134B0" w:rsidRDefault="00F20488" w:rsidP="00F20488">
            <w:pPr>
              <w:pStyle w:val="TCTableBody"/>
              <w:rPr>
                <w:rFonts w:cs="Times"/>
                <w:sz w:val="20"/>
              </w:rPr>
            </w:pPr>
            <w:r w:rsidRPr="001134B0">
              <w:rPr>
                <w:rFonts w:cs="Times"/>
                <w:sz w:val="20"/>
              </w:rPr>
              <w:t>0.61</w:t>
            </w:r>
          </w:p>
        </w:tc>
        <w:tc>
          <w:tcPr>
            <w:tcW w:w="1275" w:type="dxa"/>
            <w:shd w:val="clear" w:color="auto" w:fill="auto"/>
            <w:noWrap/>
            <w:vAlign w:val="bottom"/>
            <w:hideMark/>
          </w:tcPr>
          <w:p w14:paraId="1A6A7B51" w14:textId="77777777" w:rsidR="00F20488" w:rsidRPr="001134B0" w:rsidRDefault="00F20488" w:rsidP="00F20488">
            <w:pPr>
              <w:pStyle w:val="TCTableBody"/>
              <w:rPr>
                <w:rFonts w:cs="Times"/>
                <w:sz w:val="20"/>
              </w:rPr>
            </w:pPr>
            <w:r w:rsidRPr="001134B0">
              <w:rPr>
                <w:rFonts w:cs="Times"/>
                <w:sz w:val="20"/>
              </w:rPr>
              <w:t>0.45 ± 0.09</w:t>
            </w:r>
          </w:p>
        </w:tc>
        <w:tc>
          <w:tcPr>
            <w:tcW w:w="1276" w:type="dxa"/>
            <w:shd w:val="clear" w:color="auto" w:fill="auto"/>
            <w:noWrap/>
            <w:vAlign w:val="bottom"/>
            <w:hideMark/>
          </w:tcPr>
          <w:p w14:paraId="02098621" w14:textId="77777777" w:rsidR="00F20488" w:rsidRPr="001134B0" w:rsidRDefault="00F20488" w:rsidP="00F20488">
            <w:pPr>
              <w:pStyle w:val="TCTableBody"/>
              <w:rPr>
                <w:rFonts w:cs="Times"/>
                <w:sz w:val="20"/>
              </w:rPr>
            </w:pPr>
            <w:r w:rsidRPr="001134B0">
              <w:rPr>
                <w:rFonts w:cs="Times"/>
                <w:sz w:val="20"/>
              </w:rPr>
              <w:t>-0.05 ± 0.09</w:t>
            </w:r>
          </w:p>
        </w:tc>
        <w:tc>
          <w:tcPr>
            <w:tcW w:w="1276" w:type="dxa"/>
            <w:shd w:val="clear" w:color="auto" w:fill="auto"/>
            <w:noWrap/>
            <w:vAlign w:val="bottom"/>
            <w:hideMark/>
          </w:tcPr>
          <w:p w14:paraId="426B6034" w14:textId="77777777" w:rsidR="00F20488" w:rsidRPr="001134B0" w:rsidRDefault="00F20488" w:rsidP="00F20488">
            <w:pPr>
              <w:pStyle w:val="TCTableBody"/>
              <w:rPr>
                <w:rFonts w:cs="Times"/>
                <w:sz w:val="20"/>
              </w:rPr>
            </w:pPr>
            <w:r w:rsidRPr="001134B0">
              <w:rPr>
                <w:rFonts w:cs="Times"/>
                <w:sz w:val="20"/>
              </w:rPr>
              <w:t>0.46 ± 0.07</w:t>
            </w:r>
          </w:p>
        </w:tc>
      </w:tr>
      <w:tr w:rsidR="00F20488" w:rsidRPr="001134B0" w14:paraId="534751A1" w14:textId="77777777" w:rsidTr="00BA2CEA">
        <w:trPr>
          <w:trHeight w:val="315"/>
        </w:trPr>
        <w:tc>
          <w:tcPr>
            <w:tcW w:w="2263" w:type="dxa"/>
            <w:vMerge/>
            <w:vAlign w:val="center"/>
            <w:hideMark/>
          </w:tcPr>
          <w:p w14:paraId="0C4358BA"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0EAF8FB2" w14:textId="77777777" w:rsidR="00F20488" w:rsidRPr="001134B0" w:rsidRDefault="00F20488" w:rsidP="00F20488">
            <w:pPr>
              <w:pStyle w:val="TCTableBody"/>
              <w:rPr>
                <w:rFonts w:cs="Times"/>
                <w:sz w:val="20"/>
              </w:rPr>
            </w:pPr>
            <w:proofErr w:type="spellStart"/>
            <w:r w:rsidRPr="001134B0">
              <w:rPr>
                <w:rFonts w:cs="Times"/>
                <w:sz w:val="20"/>
              </w:rPr>
              <w:t>Morgan+CP</w:t>
            </w:r>
            <w:proofErr w:type="spellEnd"/>
          </w:p>
        </w:tc>
        <w:tc>
          <w:tcPr>
            <w:tcW w:w="851" w:type="dxa"/>
            <w:shd w:val="clear" w:color="auto" w:fill="auto"/>
            <w:noWrap/>
            <w:vAlign w:val="bottom"/>
            <w:hideMark/>
          </w:tcPr>
          <w:p w14:paraId="00285504" w14:textId="77777777" w:rsidR="00F20488" w:rsidRPr="001134B0" w:rsidRDefault="00F20488" w:rsidP="00F20488">
            <w:pPr>
              <w:pStyle w:val="TCTableBody"/>
              <w:rPr>
                <w:rFonts w:cs="Times"/>
                <w:sz w:val="20"/>
              </w:rPr>
            </w:pPr>
            <w:r w:rsidRPr="001134B0">
              <w:rPr>
                <w:rFonts w:cs="Times"/>
                <w:sz w:val="20"/>
              </w:rPr>
              <w:t>0.61</w:t>
            </w:r>
          </w:p>
        </w:tc>
        <w:tc>
          <w:tcPr>
            <w:tcW w:w="850" w:type="dxa"/>
            <w:shd w:val="clear" w:color="auto" w:fill="auto"/>
            <w:noWrap/>
            <w:vAlign w:val="bottom"/>
            <w:hideMark/>
          </w:tcPr>
          <w:p w14:paraId="26523A85" w14:textId="77777777" w:rsidR="00F20488" w:rsidRPr="001134B0" w:rsidRDefault="00F20488" w:rsidP="00F20488">
            <w:pPr>
              <w:pStyle w:val="TCTableBody"/>
              <w:rPr>
                <w:rFonts w:cs="Times"/>
                <w:sz w:val="20"/>
              </w:rPr>
            </w:pPr>
            <w:r w:rsidRPr="001134B0">
              <w:rPr>
                <w:rFonts w:cs="Times"/>
                <w:sz w:val="20"/>
              </w:rPr>
              <w:t>0.3</w:t>
            </w:r>
          </w:p>
        </w:tc>
        <w:tc>
          <w:tcPr>
            <w:tcW w:w="851" w:type="dxa"/>
            <w:shd w:val="clear" w:color="auto" w:fill="auto"/>
            <w:noWrap/>
            <w:vAlign w:val="bottom"/>
            <w:hideMark/>
          </w:tcPr>
          <w:p w14:paraId="3B9BBF68" w14:textId="77777777" w:rsidR="00F20488" w:rsidRPr="001134B0" w:rsidRDefault="00F20488" w:rsidP="00F20488">
            <w:pPr>
              <w:pStyle w:val="TCTableBody"/>
              <w:rPr>
                <w:rFonts w:cs="Times"/>
                <w:sz w:val="20"/>
              </w:rPr>
            </w:pPr>
            <w:r w:rsidRPr="001134B0">
              <w:rPr>
                <w:rFonts w:cs="Times"/>
                <w:sz w:val="20"/>
              </w:rPr>
              <w:t>0.65</w:t>
            </w:r>
          </w:p>
        </w:tc>
        <w:tc>
          <w:tcPr>
            <w:tcW w:w="1275" w:type="dxa"/>
            <w:shd w:val="clear" w:color="auto" w:fill="auto"/>
            <w:noWrap/>
            <w:vAlign w:val="bottom"/>
            <w:hideMark/>
          </w:tcPr>
          <w:p w14:paraId="610ADEC2" w14:textId="77777777" w:rsidR="00F20488" w:rsidRPr="001134B0" w:rsidRDefault="00F20488" w:rsidP="00F20488">
            <w:pPr>
              <w:pStyle w:val="TCTableBody"/>
              <w:rPr>
                <w:rFonts w:cs="Times"/>
                <w:sz w:val="20"/>
              </w:rPr>
            </w:pPr>
            <w:r w:rsidRPr="001134B0">
              <w:rPr>
                <w:rFonts w:cs="Times"/>
                <w:sz w:val="20"/>
              </w:rPr>
              <w:t>0.63 ± 0.08</w:t>
            </w:r>
          </w:p>
        </w:tc>
        <w:tc>
          <w:tcPr>
            <w:tcW w:w="1276" w:type="dxa"/>
            <w:shd w:val="clear" w:color="auto" w:fill="auto"/>
            <w:noWrap/>
            <w:vAlign w:val="bottom"/>
            <w:hideMark/>
          </w:tcPr>
          <w:p w14:paraId="79109A7B" w14:textId="77777777" w:rsidR="00F20488" w:rsidRPr="001134B0" w:rsidRDefault="00F20488" w:rsidP="00F20488">
            <w:pPr>
              <w:pStyle w:val="TCTableBody"/>
              <w:rPr>
                <w:rFonts w:cs="Times"/>
                <w:sz w:val="20"/>
              </w:rPr>
            </w:pPr>
            <w:r w:rsidRPr="001134B0">
              <w:rPr>
                <w:rFonts w:cs="Times"/>
                <w:sz w:val="20"/>
              </w:rPr>
              <w:t>0.28 ± 0.18</w:t>
            </w:r>
          </w:p>
        </w:tc>
        <w:tc>
          <w:tcPr>
            <w:tcW w:w="1276" w:type="dxa"/>
            <w:shd w:val="clear" w:color="auto" w:fill="auto"/>
            <w:noWrap/>
            <w:vAlign w:val="bottom"/>
            <w:hideMark/>
          </w:tcPr>
          <w:p w14:paraId="0D035101" w14:textId="77777777" w:rsidR="00F20488" w:rsidRPr="001134B0" w:rsidRDefault="00F20488" w:rsidP="00F20488">
            <w:pPr>
              <w:pStyle w:val="TCTableBody"/>
              <w:rPr>
                <w:rFonts w:cs="Times"/>
                <w:sz w:val="20"/>
              </w:rPr>
            </w:pPr>
            <w:r w:rsidRPr="001134B0">
              <w:rPr>
                <w:rFonts w:cs="Times"/>
                <w:sz w:val="20"/>
              </w:rPr>
              <w:t>0.74 ± 0.14</w:t>
            </w:r>
          </w:p>
        </w:tc>
      </w:tr>
      <w:tr w:rsidR="00F20488" w:rsidRPr="001134B0" w14:paraId="2E83C2C0" w14:textId="77777777" w:rsidTr="00BA2CEA">
        <w:trPr>
          <w:trHeight w:val="315"/>
        </w:trPr>
        <w:tc>
          <w:tcPr>
            <w:tcW w:w="2263" w:type="dxa"/>
            <w:vMerge w:val="restart"/>
            <w:shd w:val="clear" w:color="auto" w:fill="auto"/>
            <w:noWrap/>
            <w:vAlign w:val="bottom"/>
            <w:hideMark/>
          </w:tcPr>
          <w:p w14:paraId="7779D562" w14:textId="77777777" w:rsidR="00F20488" w:rsidRPr="001134B0" w:rsidRDefault="00F20488" w:rsidP="00F20488">
            <w:pPr>
              <w:pStyle w:val="TCTableBody"/>
              <w:rPr>
                <w:rFonts w:cs="Times"/>
                <w:sz w:val="20"/>
              </w:rPr>
            </w:pPr>
            <w:r w:rsidRPr="001134B0">
              <w:rPr>
                <w:rFonts w:cs="Times"/>
                <w:sz w:val="20"/>
              </w:rPr>
              <w:t>APR_HepG2_</w:t>
            </w:r>
          </w:p>
          <w:p w14:paraId="72136527" w14:textId="36084CDF" w:rsidR="00F20488" w:rsidRPr="001134B0" w:rsidRDefault="00F20488" w:rsidP="00F20488">
            <w:pPr>
              <w:pStyle w:val="TCTableBody"/>
              <w:rPr>
                <w:rFonts w:cs="Times"/>
                <w:sz w:val="20"/>
              </w:rPr>
            </w:pPr>
            <w:r w:rsidRPr="001134B0">
              <w:rPr>
                <w:rFonts w:cs="Times"/>
                <w:sz w:val="20"/>
              </w:rPr>
              <w:t>CellLoss_24h_dn</w:t>
            </w:r>
          </w:p>
        </w:tc>
        <w:tc>
          <w:tcPr>
            <w:tcW w:w="1276" w:type="dxa"/>
            <w:shd w:val="clear" w:color="auto" w:fill="auto"/>
            <w:noWrap/>
            <w:vAlign w:val="bottom"/>
            <w:hideMark/>
          </w:tcPr>
          <w:p w14:paraId="6D1C76EF" w14:textId="77777777" w:rsidR="00F20488" w:rsidRPr="001134B0" w:rsidRDefault="00F20488" w:rsidP="00F20488">
            <w:pPr>
              <w:pStyle w:val="TCTableBody"/>
              <w:rPr>
                <w:rFonts w:cs="Times"/>
                <w:sz w:val="20"/>
              </w:rPr>
            </w:pPr>
            <w:r w:rsidRPr="001134B0">
              <w:rPr>
                <w:rFonts w:cs="Times"/>
                <w:sz w:val="20"/>
              </w:rPr>
              <w:t>CP</w:t>
            </w:r>
          </w:p>
        </w:tc>
        <w:tc>
          <w:tcPr>
            <w:tcW w:w="851" w:type="dxa"/>
            <w:shd w:val="clear" w:color="auto" w:fill="auto"/>
            <w:noWrap/>
            <w:vAlign w:val="bottom"/>
            <w:hideMark/>
          </w:tcPr>
          <w:p w14:paraId="780BB312" w14:textId="77777777" w:rsidR="00F20488" w:rsidRPr="001134B0" w:rsidRDefault="00F20488" w:rsidP="00F20488">
            <w:pPr>
              <w:pStyle w:val="TCTableBody"/>
              <w:rPr>
                <w:rFonts w:cs="Times"/>
                <w:sz w:val="20"/>
              </w:rPr>
            </w:pPr>
            <w:r w:rsidRPr="001134B0">
              <w:rPr>
                <w:rFonts w:cs="Times"/>
                <w:sz w:val="20"/>
              </w:rPr>
              <w:t>0.65</w:t>
            </w:r>
          </w:p>
        </w:tc>
        <w:tc>
          <w:tcPr>
            <w:tcW w:w="850" w:type="dxa"/>
            <w:shd w:val="clear" w:color="auto" w:fill="auto"/>
            <w:noWrap/>
            <w:vAlign w:val="bottom"/>
            <w:hideMark/>
          </w:tcPr>
          <w:p w14:paraId="73E1AA4E" w14:textId="77777777" w:rsidR="00F20488" w:rsidRPr="001134B0" w:rsidRDefault="00F20488" w:rsidP="00F20488">
            <w:pPr>
              <w:pStyle w:val="TCTableBody"/>
              <w:rPr>
                <w:rFonts w:cs="Times"/>
                <w:sz w:val="20"/>
              </w:rPr>
            </w:pPr>
            <w:r w:rsidRPr="001134B0">
              <w:rPr>
                <w:rFonts w:cs="Times"/>
                <w:sz w:val="20"/>
              </w:rPr>
              <w:t>0.34</w:t>
            </w:r>
          </w:p>
        </w:tc>
        <w:tc>
          <w:tcPr>
            <w:tcW w:w="851" w:type="dxa"/>
            <w:shd w:val="clear" w:color="auto" w:fill="auto"/>
            <w:noWrap/>
            <w:vAlign w:val="bottom"/>
            <w:hideMark/>
          </w:tcPr>
          <w:p w14:paraId="334F5A6A" w14:textId="77777777" w:rsidR="00F20488" w:rsidRPr="001134B0" w:rsidRDefault="00F20488" w:rsidP="00F20488">
            <w:pPr>
              <w:pStyle w:val="TCTableBody"/>
              <w:rPr>
                <w:rFonts w:cs="Times"/>
                <w:sz w:val="20"/>
              </w:rPr>
            </w:pPr>
            <w:r w:rsidRPr="001134B0">
              <w:rPr>
                <w:rFonts w:cs="Times"/>
                <w:sz w:val="20"/>
              </w:rPr>
              <w:t>0.68</w:t>
            </w:r>
          </w:p>
        </w:tc>
        <w:tc>
          <w:tcPr>
            <w:tcW w:w="1275" w:type="dxa"/>
            <w:shd w:val="clear" w:color="auto" w:fill="auto"/>
            <w:noWrap/>
            <w:vAlign w:val="bottom"/>
            <w:hideMark/>
          </w:tcPr>
          <w:p w14:paraId="064C5387" w14:textId="77777777" w:rsidR="00F20488" w:rsidRPr="001134B0" w:rsidRDefault="00F20488" w:rsidP="00F20488">
            <w:pPr>
              <w:pStyle w:val="TCTableBody"/>
              <w:rPr>
                <w:rFonts w:cs="Times"/>
                <w:sz w:val="20"/>
              </w:rPr>
            </w:pPr>
            <w:r w:rsidRPr="001134B0">
              <w:rPr>
                <w:rFonts w:cs="Times"/>
                <w:sz w:val="20"/>
              </w:rPr>
              <w:t>0.72 ± 0.17</w:t>
            </w:r>
          </w:p>
        </w:tc>
        <w:tc>
          <w:tcPr>
            <w:tcW w:w="1276" w:type="dxa"/>
            <w:shd w:val="clear" w:color="auto" w:fill="auto"/>
            <w:noWrap/>
            <w:vAlign w:val="bottom"/>
            <w:hideMark/>
          </w:tcPr>
          <w:p w14:paraId="392D0C4E" w14:textId="77777777" w:rsidR="00F20488" w:rsidRPr="001134B0" w:rsidRDefault="00F20488" w:rsidP="00F20488">
            <w:pPr>
              <w:pStyle w:val="TCTableBody"/>
              <w:rPr>
                <w:rFonts w:cs="Times"/>
                <w:sz w:val="20"/>
              </w:rPr>
            </w:pPr>
            <w:r w:rsidRPr="001134B0">
              <w:rPr>
                <w:rFonts w:cs="Times"/>
                <w:sz w:val="20"/>
              </w:rPr>
              <w:t>0.42 ± 0.27</w:t>
            </w:r>
          </w:p>
        </w:tc>
        <w:tc>
          <w:tcPr>
            <w:tcW w:w="1276" w:type="dxa"/>
            <w:shd w:val="clear" w:color="auto" w:fill="auto"/>
            <w:noWrap/>
            <w:vAlign w:val="bottom"/>
            <w:hideMark/>
          </w:tcPr>
          <w:p w14:paraId="103DD0E6" w14:textId="77777777" w:rsidR="00F20488" w:rsidRPr="001134B0" w:rsidRDefault="00F20488" w:rsidP="00F20488">
            <w:pPr>
              <w:pStyle w:val="TCTableBody"/>
              <w:rPr>
                <w:rFonts w:cs="Times"/>
                <w:sz w:val="20"/>
              </w:rPr>
            </w:pPr>
            <w:r w:rsidRPr="001134B0">
              <w:rPr>
                <w:rFonts w:cs="Times"/>
                <w:sz w:val="20"/>
              </w:rPr>
              <w:t>0.78 ± 0.15</w:t>
            </w:r>
          </w:p>
        </w:tc>
      </w:tr>
      <w:tr w:rsidR="00F20488" w:rsidRPr="001134B0" w14:paraId="2044AC8D" w14:textId="77777777" w:rsidTr="00BA2CEA">
        <w:trPr>
          <w:trHeight w:val="315"/>
        </w:trPr>
        <w:tc>
          <w:tcPr>
            <w:tcW w:w="2263" w:type="dxa"/>
            <w:vMerge/>
            <w:vAlign w:val="center"/>
            <w:hideMark/>
          </w:tcPr>
          <w:p w14:paraId="0FD30643"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2DA3E8E5" w14:textId="77777777" w:rsidR="00F20488" w:rsidRPr="001134B0" w:rsidRDefault="00F20488" w:rsidP="00F20488">
            <w:pPr>
              <w:pStyle w:val="TCTableBody"/>
              <w:rPr>
                <w:rFonts w:cs="Times"/>
                <w:sz w:val="20"/>
              </w:rPr>
            </w:pPr>
            <w:proofErr w:type="spellStart"/>
            <w:r w:rsidRPr="001134B0">
              <w:rPr>
                <w:rFonts w:cs="Times"/>
                <w:sz w:val="20"/>
              </w:rPr>
              <w:t>ErG</w:t>
            </w:r>
            <w:proofErr w:type="spellEnd"/>
          </w:p>
        </w:tc>
        <w:tc>
          <w:tcPr>
            <w:tcW w:w="851" w:type="dxa"/>
            <w:shd w:val="clear" w:color="auto" w:fill="auto"/>
            <w:noWrap/>
            <w:vAlign w:val="bottom"/>
            <w:hideMark/>
          </w:tcPr>
          <w:p w14:paraId="042A67A5" w14:textId="77777777" w:rsidR="00F20488" w:rsidRPr="001134B0" w:rsidRDefault="00F20488" w:rsidP="00F20488">
            <w:pPr>
              <w:pStyle w:val="TCTableBody"/>
              <w:rPr>
                <w:rFonts w:cs="Times"/>
                <w:sz w:val="20"/>
              </w:rPr>
            </w:pPr>
            <w:r w:rsidRPr="001134B0">
              <w:rPr>
                <w:rFonts w:cs="Times"/>
                <w:sz w:val="20"/>
              </w:rPr>
              <w:t>0.6</w:t>
            </w:r>
          </w:p>
        </w:tc>
        <w:tc>
          <w:tcPr>
            <w:tcW w:w="850" w:type="dxa"/>
            <w:shd w:val="clear" w:color="auto" w:fill="auto"/>
            <w:noWrap/>
            <w:vAlign w:val="bottom"/>
            <w:hideMark/>
          </w:tcPr>
          <w:p w14:paraId="69D6DF3C" w14:textId="77777777" w:rsidR="00F20488" w:rsidRPr="001134B0" w:rsidRDefault="00F20488" w:rsidP="00F20488">
            <w:pPr>
              <w:pStyle w:val="TCTableBody"/>
              <w:rPr>
                <w:rFonts w:cs="Times"/>
                <w:sz w:val="20"/>
              </w:rPr>
            </w:pPr>
            <w:r w:rsidRPr="001134B0">
              <w:rPr>
                <w:rFonts w:cs="Times"/>
                <w:sz w:val="20"/>
              </w:rPr>
              <w:t>0.23</w:t>
            </w:r>
          </w:p>
        </w:tc>
        <w:tc>
          <w:tcPr>
            <w:tcW w:w="851" w:type="dxa"/>
            <w:shd w:val="clear" w:color="auto" w:fill="auto"/>
            <w:noWrap/>
            <w:vAlign w:val="bottom"/>
            <w:hideMark/>
          </w:tcPr>
          <w:p w14:paraId="733EE6C5" w14:textId="77777777" w:rsidR="00F20488" w:rsidRPr="001134B0" w:rsidRDefault="00F20488" w:rsidP="00F20488">
            <w:pPr>
              <w:pStyle w:val="TCTableBody"/>
              <w:rPr>
                <w:rFonts w:cs="Times"/>
                <w:sz w:val="20"/>
              </w:rPr>
            </w:pPr>
            <w:r w:rsidRPr="001134B0">
              <w:rPr>
                <w:rFonts w:cs="Times"/>
                <w:sz w:val="20"/>
              </w:rPr>
              <w:t>0.68</w:t>
            </w:r>
          </w:p>
        </w:tc>
        <w:tc>
          <w:tcPr>
            <w:tcW w:w="1275" w:type="dxa"/>
            <w:shd w:val="clear" w:color="auto" w:fill="auto"/>
            <w:noWrap/>
            <w:vAlign w:val="bottom"/>
            <w:hideMark/>
          </w:tcPr>
          <w:p w14:paraId="4F281BEF" w14:textId="77777777" w:rsidR="00F20488" w:rsidRPr="001134B0" w:rsidRDefault="00F20488" w:rsidP="00F20488">
            <w:pPr>
              <w:pStyle w:val="TCTableBody"/>
              <w:rPr>
                <w:rFonts w:cs="Times"/>
                <w:sz w:val="20"/>
              </w:rPr>
            </w:pPr>
            <w:r w:rsidRPr="001134B0">
              <w:rPr>
                <w:rFonts w:cs="Times"/>
                <w:sz w:val="20"/>
              </w:rPr>
              <w:t>0.56 ± 0.07</w:t>
            </w:r>
          </w:p>
        </w:tc>
        <w:tc>
          <w:tcPr>
            <w:tcW w:w="1276" w:type="dxa"/>
            <w:shd w:val="clear" w:color="auto" w:fill="auto"/>
            <w:noWrap/>
            <w:vAlign w:val="bottom"/>
            <w:hideMark/>
          </w:tcPr>
          <w:p w14:paraId="50C49024" w14:textId="77777777" w:rsidR="00F20488" w:rsidRPr="001134B0" w:rsidRDefault="00F20488" w:rsidP="00F20488">
            <w:pPr>
              <w:pStyle w:val="TCTableBody"/>
              <w:rPr>
                <w:rFonts w:cs="Times"/>
                <w:sz w:val="20"/>
              </w:rPr>
            </w:pPr>
            <w:r w:rsidRPr="001134B0">
              <w:rPr>
                <w:rFonts w:cs="Times"/>
                <w:sz w:val="20"/>
              </w:rPr>
              <w:t>0.14 ± 0.19</w:t>
            </w:r>
          </w:p>
        </w:tc>
        <w:tc>
          <w:tcPr>
            <w:tcW w:w="1276" w:type="dxa"/>
            <w:shd w:val="clear" w:color="auto" w:fill="auto"/>
            <w:noWrap/>
            <w:vAlign w:val="bottom"/>
            <w:hideMark/>
          </w:tcPr>
          <w:p w14:paraId="1FDA99A2" w14:textId="77777777" w:rsidR="00F20488" w:rsidRPr="001134B0" w:rsidRDefault="00F20488" w:rsidP="00F20488">
            <w:pPr>
              <w:pStyle w:val="TCTableBody"/>
              <w:rPr>
                <w:rFonts w:cs="Times"/>
                <w:sz w:val="20"/>
              </w:rPr>
            </w:pPr>
            <w:r w:rsidRPr="001134B0">
              <w:rPr>
                <w:rFonts w:cs="Times"/>
                <w:sz w:val="20"/>
              </w:rPr>
              <w:t>0.64 ± 0.19</w:t>
            </w:r>
          </w:p>
        </w:tc>
      </w:tr>
      <w:tr w:rsidR="00F20488" w:rsidRPr="001134B0" w14:paraId="212D71D8" w14:textId="77777777" w:rsidTr="00BA2CEA">
        <w:trPr>
          <w:trHeight w:val="300"/>
        </w:trPr>
        <w:tc>
          <w:tcPr>
            <w:tcW w:w="2263" w:type="dxa"/>
            <w:vMerge/>
            <w:vAlign w:val="center"/>
            <w:hideMark/>
          </w:tcPr>
          <w:p w14:paraId="059C68C1"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5C6B6B2F" w14:textId="77777777" w:rsidR="00F20488" w:rsidRPr="001134B0" w:rsidRDefault="00F20488" w:rsidP="00F20488">
            <w:pPr>
              <w:pStyle w:val="TCTableBody"/>
              <w:rPr>
                <w:rFonts w:cs="Times"/>
                <w:sz w:val="20"/>
              </w:rPr>
            </w:pPr>
            <w:proofErr w:type="spellStart"/>
            <w:r w:rsidRPr="001134B0">
              <w:rPr>
                <w:rFonts w:cs="Times"/>
                <w:sz w:val="20"/>
              </w:rPr>
              <w:t>ErG+CP</w:t>
            </w:r>
            <w:proofErr w:type="spellEnd"/>
          </w:p>
        </w:tc>
        <w:tc>
          <w:tcPr>
            <w:tcW w:w="851" w:type="dxa"/>
            <w:shd w:val="clear" w:color="auto" w:fill="auto"/>
            <w:noWrap/>
            <w:vAlign w:val="bottom"/>
            <w:hideMark/>
          </w:tcPr>
          <w:p w14:paraId="1FFBD752" w14:textId="77777777" w:rsidR="00F20488" w:rsidRPr="001134B0" w:rsidRDefault="00F20488" w:rsidP="00F20488">
            <w:pPr>
              <w:pStyle w:val="TCTableBody"/>
              <w:rPr>
                <w:rFonts w:cs="Times"/>
                <w:sz w:val="20"/>
              </w:rPr>
            </w:pPr>
            <w:r w:rsidRPr="001134B0">
              <w:rPr>
                <w:rFonts w:cs="Times"/>
                <w:sz w:val="20"/>
              </w:rPr>
              <w:t>0.65</w:t>
            </w:r>
          </w:p>
        </w:tc>
        <w:tc>
          <w:tcPr>
            <w:tcW w:w="850" w:type="dxa"/>
            <w:shd w:val="clear" w:color="auto" w:fill="auto"/>
            <w:noWrap/>
            <w:vAlign w:val="bottom"/>
            <w:hideMark/>
          </w:tcPr>
          <w:p w14:paraId="1B803830" w14:textId="77777777" w:rsidR="00F20488" w:rsidRPr="001134B0" w:rsidRDefault="00F20488" w:rsidP="00F20488">
            <w:pPr>
              <w:pStyle w:val="TCTableBody"/>
              <w:rPr>
                <w:rFonts w:cs="Times"/>
                <w:sz w:val="20"/>
              </w:rPr>
            </w:pPr>
            <w:r w:rsidRPr="001134B0">
              <w:rPr>
                <w:rFonts w:cs="Times"/>
                <w:sz w:val="20"/>
              </w:rPr>
              <w:t>0.36</w:t>
            </w:r>
          </w:p>
        </w:tc>
        <w:tc>
          <w:tcPr>
            <w:tcW w:w="851" w:type="dxa"/>
            <w:shd w:val="clear" w:color="auto" w:fill="auto"/>
            <w:noWrap/>
            <w:vAlign w:val="bottom"/>
            <w:hideMark/>
          </w:tcPr>
          <w:p w14:paraId="20F84349" w14:textId="77777777" w:rsidR="00F20488" w:rsidRPr="001134B0" w:rsidRDefault="00F20488" w:rsidP="00F20488">
            <w:pPr>
              <w:pStyle w:val="TCTableBody"/>
              <w:rPr>
                <w:rFonts w:cs="Times"/>
                <w:sz w:val="20"/>
              </w:rPr>
            </w:pPr>
            <w:r w:rsidRPr="001134B0">
              <w:rPr>
                <w:rFonts w:cs="Times"/>
                <w:sz w:val="20"/>
              </w:rPr>
              <w:t>0.72</w:t>
            </w:r>
          </w:p>
        </w:tc>
        <w:tc>
          <w:tcPr>
            <w:tcW w:w="1275" w:type="dxa"/>
            <w:shd w:val="clear" w:color="auto" w:fill="auto"/>
            <w:noWrap/>
            <w:vAlign w:val="bottom"/>
            <w:hideMark/>
          </w:tcPr>
          <w:p w14:paraId="6F3A03AF" w14:textId="77777777" w:rsidR="00F20488" w:rsidRPr="001134B0" w:rsidRDefault="00F20488" w:rsidP="00F20488">
            <w:pPr>
              <w:pStyle w:val="TCTableBody"/>
              <w:rPr>
                <w:rFonts w:cs="Times"/>
                <w:sz w:val="20"/>
              </w:rPr>
            </w:pPr>
            <w:r w:rsidRPr="001134B0">
              <w:rPr>
                <w:rFonts w:cs="Times"/>
                <w:sz w:val="20"/>
              </w:rPr>
              <w:t>0.7 ± 0.11</w:t>
            </w:r>
          </w:p>
        </w:tc>
        <w:tc>
          <w:tcPr>
            <w:tcW w:w="1276" w:type="dxa"/>
            <w:shd w:val="clear" w:color="auto" w:fill="auto"/>
            <w:noWrap/>
            <w:vAlign w:val="bottom"/>
            <w:hideMark/>
          </w:tcPr>
          <w:p w14:paraId="1FAC4B4F" w14:textId="77777777" w:rsidR="00F20488" w:rsidRPr="001134B0" w:rsidRDefault="00F20488" w:rsidP="00F20488">
            <w:pPr>
              <w:pStyle w:val="TCTableBody"/>
              <w:rPr>
                <w:rFonts w:cs="Times"/>
                <w:sz w:val="20"/>
              </w:rPr>
            </w:pPr>
            <w:r w:rsidRPr="001134B0">
              <w:rPr>
                <w:rFonts w:cs="Times"/>
                <w:sz w:val="20"/>
              </w:rPr>
              <w:t>0.39 ± 0.19</w:t>
            </w:r>
          </w:p>
        </w:tc>
        <w:tc>
          <w:tcPr>
            <w:tcW w:w="1276" w:type="dxa"/>
            <w:shd w:val="clear" w:color="auto" w:fill="auto"/>
            <w:noWrap/>
            <w:vAlign w:val="bottom"/>
            <w:hideMark/>
          </w:tcPr>
          <w:p w14:paraId="2FD1DD8F" w14:textId="77777777" w:rsidR="00F20488" w:rsidRPr="001134B0" w:rsidRDefault="00F20488" w:rsidP="00F20488">
            <w:pPr>
              <w:pStyle w:val="TCTableBody"/>
              <w:rPr>
                <w:rFonts w:cs="Times"/>
                <w:sz w:val="20"/>
              </w:rPr>
            </w:pPr>
            <w:r w:rsidRPr="001134B0">
              <w:rPr>
                <w:rFonts w:cs="Times"/>
                <w:sz w:val="20"/>
              </w:rPr>
              <w:t>0.78 ± 0.16</w:t>
            </w:r>
          </w:p>
        </w:tc>
      </w:tr>
      <w:tr w:rsidR="00F20488" w:rsidRPr="001134B0" w14:paraId="5FEB16F6" w14:textId="77777777" w:rsidTr="00BA2CEA">
        <w:trPr>
          <w:trHeight w:val="300"/>
        </w:trPr>
        <w:tc>
          <w:tcPr>
            <w:tcW w:w="2263" w:type="dxa"/>
            <w:vMerge/>
            <w:vAlign w:val="center"/>
            <w:hideMark/>
          </w:tcPr>
          <w:p w14:paraId="67753C77"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179D88A2" w14:textId="77777777" w:rsidR="00F20488" w:rsidRPr="001134B0" w:rsidRDefault="00F20488" w:rsidP="00F20488">
            <w:pPr>
              <w:pStyle w:val="TCTableBody"/>
              <w:rPr>
                <w:rFonts w:cs="Times"/>
                <w:sz w:val="20"/>
              </w:rPr>
            </w:pPr>
            <w:r w:rsidRPr="001134B0">
              <w:rPr>
                <w:rFonts w:cs="Times"/>
                <w:sz w:val="20"/>
              </w:rPr>
              <w:t>Morgan</w:t>
            </w:r>
          </w:p>
        </w:tc>
        <w:tc>
          <w:tcPr>
            <w:tcW w:w="851" w:type="dxa"/>
            <w:shd w:val="clear" w:color="auto" w:fill="auto"/>
            <w:noWrap/>
            <w:vAlign w:val="bottom"/>
            <w:hideMark/>
          </w:tcPr>
          <w:p w14:paraId="118F7BCE" w14:textId="77777777" w:rsidR="00F20488" w:rsidRPr="001134B0" w:rsidRDefault="00F20488" w:rsidP="00F20488">
            <w:pPr>
              <w:pStyle w:val="TCTableBody"/>
              <w:rPr>
                <w:rFonts w:cs="Times"/>
                <w:sz w:val="20"/>
              </w:rPr>
            </w:pPr>
            <w:r w:rsidRPr="001134B0">
              <w:rPr>
                <w:rFonts w:cs="Times"/>
                <w:sz w:val="20"/>
              </w:rPr>
              <w:t>0.58</w:t>
            </w:r>
          </w:p>
        </w:tc>
        <w:tc>
          <w:tcPr>
            <w:tcW w:w="850" w:type="dxa"/>
            <w:shd w:val="clear" w:color="auto" w:fill="auto"/>
            <w:noWrap/>
            <w:vAlign w:val="bottom"/>
            <w:hideMark/>
          </w:tcPr>
          <w:p w14:paraId="488D5637" w14:textId="77777777" w:rsidR="00F20488" w:rsidRPr="001134B0" w:rsidRDefault="00F20488" w:rsidP="00F20488">
            <w:pPr>
              <w:pStyle w:val="TCTableBody"/>
              <w:rPr>
                <w:rFonts w:cs="Times"/>
                <w:sz w:val="20"/>
              </w:rPr>
            </w:pPr>
            <w:r w:rsidRPr="001134B0">
              <w:rPr>
                <w:rFonts w:cs="Times"/>
                <w:sz w:val="20"/>
              </w:rPr>
              <w:t>0.19</w:t>
            </w:r>
          </w:p>
        </w:tc>
        <w:tc>
          <w:tcPr>
            <w:tcW w:w="851" w:type="dxa"/>
            <w:shd w:val="clear" w:color="auto" w:fill="auto"/>
            <w:noWrap/>
            <w:vAlign w:val="bottom"/>
            <w:hideMark/>
          </w:tcPr>
          <w:p w14:paraId="713167A6" w14:textId="77777777" w:rsidR="00F20488" w:rsidRPr="001134B0" w:rsidRDefault="00F20488" w:rsidP="00F20488">
            <w:pPr>
              <w:pStyle w:val="TCTableBody"/>
              <w:rPr>
                <w:rFonts w:cs="Times"/>
                <w:sz w:val="20"/>
              </w:rPr>
            </w:pPr>
            <w:r w:rsidRPr="001134B0">
              <w:rPr>
                <w:rFonts w:cs="Times"/>
                <w:sz w:val="20"/>
              </w:rPr>
              <w:t>0.61</w:t>
            </w:r>
          </w:p>
        </w:tc>
        <w:tc>
          <w:tcPr>
            <w:tcW w:w="1275" w:type="dxa"/>
            <w:shd w:val="clear" w:color="auto" w:fill="auto"/>
            <w:noWrap/>
            <w:vAlign w:val="bottom"/>
            <w:hideMark/>
          </w:tcPr>
          <w:p w14:paraId="0F624C2F" w14:textId="77777777" w:rsidR="00F20488" w:rsidRPr="001134B0" w:rsidRDefault="00F20488" w:rsidP="00F20488">
            <w:pPr>
              <w:pStyle w:val="TCTableBody"/>
              <w:rPr>
                <w:rFonts w:cs="Times"/>
                <w:sz w:val="20"/>
              </w:rPr>
            </w:pPr>
            <w:r w:rsidRPr="001134B0">
              <w:rPr>
                <w:rFonts w:cs="Times"/>
                <w:sz w:val="20"/>
              </w:rPr>
              <w:t>0.53 ± 0.04</w:t>
            </w:r>
          </w:p>
        </w:tc>
        <w:tc>
          <w:tcPr>
            <w:tcW w:w="1276" w:type="dxa"/>
            <w:shd w:val="clear" w:color="auto" w:fill="auto"/>
            <w:noWrap/>
            <w:vAlign w:val="bottom"/>
            <w:hideMark/>
          </w:tcPr>
          <w:p w14:paraId="49116ABC" w14:textId="77777777" w:rsidR="00F20488" w:rsidRPr="001134B0" w:rsidRDefault="00F20488" w:rsidP="00F20488">
            <w:pPr>
              <w:pStyle w:val="TCTableBody"/>
              <w:rPr>
                <w:rFonts w:cs="Times"/>
                <w:sz w:val="20"/>
              </w:rPr>
            </w:pPr>
            <w:r w:rsidRPr="001134B0">
              <w:rPr>
                <w:rFonts w:cs="Times"/>
                <w:sz w:val="20"/>
              </w:rPr>
              <w:t>0.06 ± 0.09</w:t>
            </w:r>
          </w:p>
        </w:tc>
        <w:tc>
          <w:tcPr>
            <w:tcW w:w="1276" w:type="dxa"/>
            <w:shd w:val="clear" w:color="auto" w:fill="auto"/>
            <w:noWrap/>
            <w:vAlign w:val="bottom"/>
            <w:hideMark/>
          </w:tcPr>
          <w:p w14:paraId="3C3888F6" w14:textId="77777777" w:rsidR="00F20488" w:rsidRPr="001134B0" w:rsidRDefault="00F20488" w:rsidP="00F20488">
            <w:pPr>
              <w:pStyle w:val="TCTableBody"/>
              <w:rPr>
                <w:rFonts w:cs="Times"/>
                <w:sz w:val="20"/>
              </w:rPr>
            </w:pPr>
            <w:r w:rsidRPr="001134B0">
              <w:rPr>
                <w:rFonts w:cs="Times"/>
                <w:sz w:val="20"/>
              </w:rPr>
              <w:t>0.56 ± 0.11</w:t>
            </w:r>
          </w:p>
        </w:tc>
      </w:tr>
      <w:tr w:rsidR="00F20488" w:rsidRPr="001134B0" w14:paraId="42092D42" w14:textId="77777777" w:rsidTr="00BA2CEA">
        <w:trPr>
          <w:trHeight w:val="315"/>
        </w:trPr>
        <w:tc>
          <w:tcPr>
            <w:tcW w:w="2263" w:type="dxa"/>
            <w:vMerge/>
            <w:vAlign w:val="center"/>
            <w:hideMark/>
          </w:tcPr>
          <w:p w14:paraId="58DCD427"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2AC3AE84" w14:textId="77777777" w:rsidR="00F20488" w:rsidRPr="001134B0" w:rsidRDefault="00F20488" w:rsidP="00F20488">
            <w:pPr>
              <w:pStyle w:val="TCTableBody"/>
              <w:rPr>
                <w:rFonts w:cs="Times"/>
                <w:sz w:val="20"/>
              </w:rPr>
            </w:pPr>
            <w:proofErr w:type="spellStart"/>
            <w:r w:rsidRPr="001134B0">
              <w:rPr>
                <w:rFonts w:cs="Times"/>
                <w:sz w:val="20"/>
              </w:rPr>
              <w:t>Morgan+CP</w:t>
            </w:r>
            <w:proofErr w:type="spellEnd"/>
          </w:p>
        </w:tc>
        <w:tc>
          <w:tcPr>
            <w:tcW w:w="851" w:type="dxa"/>
            <w:shd w:val="clear" w:color="auto" w:fill="auto"/>
            <w:noWrap/>
            <w:vAlign w:val="bottom"/>
            <w:hideMark/>
          </w:tcPr>
          <w:p w14:paraId="300AC955" w14:textId="77777777" w:rsidR="00F20488" w:rsidRPr="001134B0" w:rsidRDefault="00F20488" w:rsidP="00F20488">
            <w:pPr>
              <w:pStyle w:val="TCTableBody"/>
              <w:rPr>
                <w:rFonts w:cs="Times"/>
                <w:sz w:val="20"/>
              </w:rPr>
            </w:pPr>
            <w:r w:rsidRPr="001134B0">
              <w:rPr>
                <w:rFonts w:cs="Times"/>
                <w:sz w:val="20"/>
              </w:rPr>
              <w:t>0.66</w:t>
            </w:r>
          </w:p>
        </w:tc>
        <w:tc>
          <w:tcPr>
            <w:tcW w:w="850" w:type="dxa"/>
            <w:shd w:val="clear" w:color="auto" w:fill="auto"/>
            <w:noWrap/>
            <w:vAlign w:val="bottom"/>
            <w:hideMark/>
          </w:tcPr>
          <w:p w14:paraId="28DA9161" w14:textId="77777777" w:rsidR="00F20488" w:rsidRPr="001134B0" w:rsidRDefault="00F20488" w:rsidP="00F20488">
            <w:pPr>
              <w:pStyle w:val="TCTableBody"/>
              <w:rPr>
                <w:rFonts w:cs="Times"/>
                <w:sz w:val="20"/>
              </w:rPr>
            </w:pPr>
            <w:r w:rsidRPr="001134B0">
              <w:rPr>
                <w:rFonts w:cs="Times"/>
                <w:sz w:val="20"/>
              </w:rPr>
              <w:t>0.39</w:t>
            </w:r>
          </w:p>
        </w:tc>
        <w:tc>
          <w:tcPr>
            <w:tcW w:w="851" w:type="dxa"/>
            <w:shd w:val="clear" w:color="auto" w:fill="auto"/>
            <w:noWrap/>
            <w:vAlign w:val="bottom"/>
            <w:hideMark/>
          </w:tcPr>
          <w:p w14:paraId="6408055C" w14:textId="77777777" w:rsidR="00F20488" w:rsidRPr="001134B0" w:rsidRDefault="00F20488" w:rsidP="00F20488">
            <w:pPr>
              <w:pStyle w:val="TCTableBody"/>
              <w:rPr>
                <w:rFonts w:cs="Times"/>
                <w:sz w:val="20"/>
              </w:rPr>
            </w:pPr>
            <w:r w:rsidRPr="001134B0">
              <w:rPr>
                <w:rFonts w:cs="Times"/>
                <w:sz w:val="20"/>
              </w:rPr>
              <w:t>0.68</w:t>
            </w:r>
          </w:p>
        </w:tc>
        <w:tc>
          <w:tcPr>
            <w:tcW w:w="1275" w:type="dxa"/>
            <w:shd w:val="clear" w:color="auto" w:fill="auto"/>
            <w:noWrap/>
            <w:vAlign w:val="bottom"/>
            <w:hideMark/>
          </w:tcPr>
          <w:p w14:paraId="22C2936F" w14:textId="77777777" w:rsidR="00F20488" w:rsidRPr="001134B0" w:rsidRDefault="00F20488" w:rsidP="00F20488">
            <w:pPr>
              <w:pStyle w:val="TCTableBody"/>
              <w:rPr>
                <w:rFonts w:cs="Times"/>
                <w:sz w:val="20"/>
              </w:rPr>
            </w:pPr>
            <w:r w:rsidRPr="001134B0">
              <w:rPr>
                <w:rFonts w:cs="Times"/>
                <w:sz w:val="20"/>
              </w:rPr>
              <w:t>0.7 ± 0.17</w:t>
            </w:r>
          </w:p>
        </w:tc>
        <w:tc>
          <w:tcPr>
            <w:tcW w:w="1276" w:type="dxa"/>
            <w:shd w:val="clear" w:color="auto" w:fill="auto"/>
            <w:noWrap/>
            <w:vAlign w:val="bottom"/>
            <w:hideMark/>
          </w:tcPr>
          <w:p w14:paraId="1D9ECA37" w14:textId="77777777" w:rsidR="00F20488" w:rsidRPr="001134B0" w:rsidRDefault="00F20488" w:rsidP="00F20488">
            <w:pPr>
              <w:pStyle w:val="TCTableBody"/>
              <w:rPr>
                <w:rFonts w:cs="Times"/>
                <w:sz w:val="20"/>
              </w:rPr>
            </w:pPr>
            <w:r w:rsidRPr="001134B0">
              <w:rPr>
                <w:rFonts w:cs="Times"/>
                <w:sz w:val="20"/>
              </w:rPr>
              <w:t>0.37 ± 0.28</w:t>
            </w:r>
          </w:p>
        </w:tc>
        <w:tc>
          <w:tcPr>
            <w:tcW w:w="1276" w:type="dxa"/>
            <w:shd w:val="clear" w:color="auto" w:fill="auto"/>
            <w:noWrap/>
            <w:vAlign w:val="bottom"/>
            <w:hideMark/>
          </w:tcPr>
          <w:p w14:paraId="6FC05EFE" w14:textId="77777777" w:rsidR="00F20488" w:rsidRPr="001134B0" w:rsidRDefault="00F20488" w:rsidP="00F20488">
            <w:pPr>
              <w:pStyle w:val="TCTableBody"/>
              <w:rPr>
                <w:rFonts w:cs="Times"/>
                <w:sz w:val="20"/>
              </w:rPr>
            </w:pPr>
            <w:r w:rsidRPr="001134B0">
              <w:rPr>
                <w:rFonts w:cs="Times"/>
                <w:sz w:val="20"/>
              </w:rPr>
              <w:t>0.77 ± 0.16</w:t>
            </w:r>
          </w:p>
        </w:tc>
      </w:tr>
      <w:tr w:rsidR="00F20488" w:rsidRPr="001134B0" w14:paraId="7D42A013" w14:textId="77777777" w:rsidTr="00BA2CEA">
        <w:trPr>
          <w:trHeight w:val="315"/>
        </w:trPr>
        <w:tc>
          <w:tcPr>
            <w:tcW w:w="2263" w:type="dxa"/>
            <w:vMerge w:val="restart"/>
            <w:shd w:val="clear" w:color="auto" w:fill="auto"/>
            <w:noWrap/>
            <w:vAlign w:val="bottom"/>
            <w:hideMark/>
          </w:tcPr>
          <w:p w14:paraId="3C17C0D8" w14:textId="77777777" w:rsidR="00F20488" w:rsidRPr="001134B0" w:rsidRDefault="00F20488" w:rsidP="00F20488">
            <w:pPr>
              <w:pStyle w:val="TCTableBody"/>
              <w:rPr>
                <w:rFonts w:cs="Times"/>
                <w:sz w:val="20"/>
              </w:rPr>
            </w:pPr>
            <w:r w:rsidRPr="001134B0">
              <w:rPr>
                <w:rFonts w:cs="Times"/>
                <w:sz w:val="20"/>
              </w:rPr>
              <w:t>APR_HepG2_</w:t>
            </w:r>
          </w:p>
          <w:p w14:paraId="751A27E5" w14:textId="17FC10A8" w:rsidR="00F20488" w:rsidRPr="001134B0" w:rsidRDefault="00F20488" w:rsidP="00F20488">
            <w:pPr>
              <w:pStyle w:val="TCTableBody"/>
              <w:rPr>
                <w:rFonts w:cs="Times"/>
                <w:sz w:val="20"/>
              </w:rPr>
            </w:pPr>
            <w:r w:rsidRPr="001134B0">
              <w:rPr>
                <w:rFonts w:cs="Times"/>
                <w:sz w:val="20"/>
              </w:rPr>
              <w:t>CellLoss_72h_dn</w:t>
            </w:r>
          </w:p>
        </w:tc>
        <w:tc>
          <w:tcPr>
            <w:tcW w:w="1276" w:type="dxa"/>
            <w:shd w:val="clear" w:color="auto" w:fill="auto"/>
            <w:noWrap/>
            <w:vAlign w:val="bottom"/>
            <w:hideMark/>
          </w:tcPr>
          <w:p w14:paraId="0779841D" w14:textId="77777777" w:rsidR="00F20488" w:rsidRPr="001134B0" w:rsidRDefault="00F20488" w:rsidP="00F20488">
            <w:pPr>
              <w:pStyle w:val="TCTableBody"/>
              <w:rPr>
                <w:rFonts w:cs="Times"/>
                <w:sz w:val="20"/>
              </w:rPr>
            </w:pPr>
            <w:r w:rsidRPr="001134B0">
              <w:rPr>
                <w:rFonts w:cs="Times"/>
                <w:sz w:val="20"/>
              </w:rPr>
              <w:t>CP</w:t>
            </w:r>
          </w:p>
        </w:tc>
        <w:tc>
          <w:tcPr>
            <w:tcW w:w="851" w:type="dxa"/>
            <w:shd w:val="clear" w:color="auto" w:fill="auto"/>
            <w:noWrap/>
            <w:vAlign w:val="bottom"/>
            <w:hideMark/>
          </w:tcPr>
          <w:p w14:paraId="5BCE1331" w14:textId="77777777" w:rsidR="00F20488" w:rsidRPr="001134B0" w:rsidRDefault="00F20488" w:rsidP="00F20488">
            <w:pPr>
              <w:pStyle w:val="TCTableBody"/>
              <w:rPr>
                <w:rFonts w:cs="Times"/>
                <w:sz w:val="20"/>
              </w:rPr>
            </w:pPr>
            <w:r w:rsidRPr="001134B0">
              <w:rPr>
                <w:rFonts w:cs="Times"/>
                <w:sz w:val="20"/>
              </w:rPr>
              <w:t>0.67</w:t>
            </w:r>
          </w:p>
        </w:tc>
        <w:tc>
          <w:tcPr>
            <w:tcW w:w="850" w:type="dxa"/>
            <w:shd w:val="clear" w:color="auto" w:fill="auto"/>
            <w:noWrap/>
            <w:vAlign w:val="bottom"/>
            <w:hideMark/>
          </w:tcPr>
          <w:p w14:paraId="0BC323A8" w14:textId="77777777" w:rsidR="00F20488" w:rsidRPr="001134B0" w:rsidRDefault="00F20488" w:rsidP="00F20488">
            <w:pPr>
              <w:pStyle w:val="TCTableBody"/>
              <w:rPr>
                <w:rFonts w:cs="Times"/>
                <w:sz w:val="20"/>
              </w:rPr>
            </w:pPr>
            <w:r w:rsidRPr="001134B0">
              <w:rPr>
                <w:rFonts w:cs="Times"/>
                <w:sz w:val="20"/>
              </w:rPr>
              <w:t>0.36</w:t>
            </w:r>
          </w:p>
        </w:tc>
        <w:tc>
          <w:tcPr>
            <w:tcW w:w="851" w:type="dxa"/>
            <w:shd w:val="clear" w:color="auto" w:fill="auto"/>
            <w:noWrap/>
            <w:vAlign w:val="bottom"/>
            <w:hideMark/>
          </w:tcPr>
          <w:p w14:paraId="583BAA3D" w14:textId="77777777" w:rsidR="00F20488" w:rsidRPr="001134B0" w:rsidRDefault="00F20488" w:rsidP="00F20488">
            <w:pPr>
              <w:pStyle w:val="TCTableBody"/>
              <w:rPr>
                <w:rFonts w:cs="Times"/>
                <w:sz w:val="20"/>
              </w:rPr>
            </w:pPr>
            <w:r w:rsidRPr="001134B0">
              <w:rPr>
                <w:rFonts w:cs="Times"/>
                <w:sz w:val="20"/>
              </w:rPr>
              <w:t>0.68</w:t>
            </w:r>
          </w:p>
        </w:tc>
        <w:tc>
          <w:tcPr>
            <w:tcW w:w="1275" w:type="dxa"/>
            <w:shd w:val="clear" w:color="auto" w:fill="auto"/>
            <w:noWrap/>
            <w:vAlign w:val="bottom"/>
            <w:hideMark/>
          </w:tcPr>
          <w:p w14:paraId="03FEC792" w14:textId="77777777" w:rsidR="00F20488" w:rsidRPr="001134B0" w:rsidRDefault="00F20488" w:rsidP="00F20488">
            <w:pPr>
              <w:pStyle w:val="TCTableBody"/>
              <w:rPr>
                <w:rFonts w:cs="Times"/>
                <w:sz w:val="20"/>
              </w:rPr>
            </w:pPr>
            <w:r w:rsidRPr="001134B0">
              <w:rPr>
                <w:rFonts w:cs="Times"/>
                <w:sz w:val="20"/>
              </w:rPr>
              <w:t>0.59 ± 0.05</w:t>
            </w:r>
          </w:p>
        </w:tc>
        <w:tc>
          <w:tcPr>
            <w:tcW w:w="1276" w:type="dxa"/>
            <w:shd w:val="clear" w:color="auto" w:fill="auto"/>
            <w:noWrap/>
            <w:vAlign w:val="bottom"/>
            <w:hideMark/>
          </w:tcPr>
          <w:p w14:paraId="603AE49C" w14:textId="77777777" w:rsidR="00F20488" w:rsidRPr="001134B0" w:rsidRDefault="00F20488" w:rsidP="00F20488">
            <w:pPr>
              <w:pStyle w:val="TCTableBody"/>
              <w:rPr>
                <w:rFonts w:cs="Times"/>
                <w:sz w:val="20"/>
              </w:rPr>
            </w:pPr>
            <w:r w:rsidRPr="001134B0">
              <w:rPr>
                <w:rFonts w:cs="Times"/>
                <w:sz w:val="20"/>
              </w:rPr>
              <w:t>0.17 ± 0.08</w:t>
            </w:r>
          </w:p>
        </w:tc>
        <w:tc>
          <w:tcPr>
            <w:tcW w:w="1276" w:type="dxa"/>
            <w:shd w:val="clear" w:color="auto" w:fill="auto"/>
            <w:noWrap/>
            <w:vAlign w:val="bottom"/>
            <w:hideMark/>
          </w:tcPr>
          <w:p w14:paraId="4E6113D5" w14:textId="77777777" w:rsidR="00F20488" w:rsidRPr="001134B0" w:rsidRDefault="00F20488" w:rsidP="00F20488">
            <w:pPr>
              <w:pStyle w:val="TCTableBody"/>
              <w:rPr>
                <w:rFonts w:cs="Times"/>
                <w:sz w:val="20"/>
              </w:rPr>
            </w:pPr>
            <w:r w:rsidRPr="001134B0">
              <w:rPr>
                <w:rFonts w:cs="Times"/>
                <w:sz w:val="20"/>
              </w:rPr>
              <w:t>0.67 ± 0.13</w:t>
            </w:r>
          </w:p>
        </w:tc>
      </w:tr>
      <w:tr w:rsidR="00F20488" w:rsidRPr="001134B0" w14:paraId="17278091" w14:textId="77777777" w:rsidTr="00BA2CEA">
        <w:trPr>
          <w:trHeight w:val="315"/>
        </w:trPr>
        <w:tc>
          <w:tcPr>
            <w:tcW w:w="2263" w:type="dxa"/>
            <w:vMerge/>
            <w:vAlign w:val="center"/>
            <w:hideMark/>
          </w:tcPr>
          <w:p w14:paraId="000406F8"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358C1A8E" w14:textId="77777777" w:rsidR="00F20488" w:rsidRPr="001134B0" w:rsidRDefault="00F20488" w:rsidP="00F20488">
            <w:pPr>
              <w:pStyle w:val="TCTableBody"/>
              <w:rPr>
                <w:rFonts w:cs="Times"/>
                <w:sz w:val="20"/>
              </w:rPr>
            </w:pPr>
            <w:proofErr w:type="spellStart"/>
            <w:r w:rsidRPr="001134B0">
              <w:rPr>
                <w:rFonts w:cs="Times"/>
                <w:sz w:val="20"/>
              </w:rPr>
              <w:t>ErG</w:t>
            </w:r>
            <w:proofErr w:type="spellEnd"/>
          </w:p>
        </w:tc>
        <w:tc>
          <w:tcPr>
            <w:tcW w:w="851" w:type="dxa"/>
            <w:shd w:val="clear" w:color="auto" w:fill="auto"/>
            <w:noWrap/>
            <w:vAlign w:val="bottom"/>
            <w:hideMark/>
          </w:tcPr>
          <w:p w14:paraId="5AE397D9" w14:textId="77777777" w:rsidR="00F20488" w:rsidRPr="001134B0" w:rsidRDefault="00F20488" w:rsidP="00F20488">
            <w:pPr>
              <w:pStyle w:val="TCTableBody"/>
              <w:rPr>
                <w:rFonts w:cs="Times"/>
                <w:sz w:val="20"/>
              </w:rPr>
            </w:pPr>
            <w:r w:rsidRPr="001134B0">
              <w:rPr>
                <w:rFonts w:cs="Times"/>
                <w:sz w:val="20"/>
              </w:rPr>
              <w:t>0.62</w:t>
            </w:r>
          </w:p>
        </w:tc>
        <w:tc>
          <w:tcPr>
            <w:tcW w:w="850" w:type="dxa"/>
            <w:shd w:val="clear" w:color="auto" w:fill="auto"/>
            <w:noWrap/>
            <w:vAlign w:val="bottom"/>
            <w:hideMark/>
          </w:tcPr>
          <w:p w14:paraId="68453480" w14:textId="77777777" w:rsidR="00F20488" w:rsidRPr="001134B0" w:rsidRDefault="00F20488" w:rsidP="00F20488">
            <w:pPr>
              <w:pStyle w:val="TCTableBody"/>
              <w:rPr>
                <w:rFonts w:cs="Times"/>
                <w:sz w:val="20"/>
              </w:rPr>
            </w:pPr>
            <w:r w:rsidRPr="001134B0">
              <w:rPr>
                <w:rFonts w:cs="Times"/>
                <w:sz w:val="20"/>
              </w:rPr>
              <w:t>0.25</w:t>
            </w:r>
          </w:p>
        </w:tc>
        <w:tc>
          <w:tcPr>
            <w:tcW w:w="851" w:type="dxa"/>
            <w:shd w:val="clear" w:color="auto" w:fill="auto"/>
            <w:noWrap/>
            <w:vAlign w:val="bottom"/>
            <w:hideMark/>
          </w:tcPr>
          <w:p w14:paraId="41FBF614" w14:textId="77777777" w:rsidR="00F20488" w:rsidRPr="001134B0" w:rsidRDefault="00F20488" w:rsidP="00F20488">
            <w:pPr>
              <w:pStyle w:val="TCTableBody"/>
              <w:rPr>
                <w:rFonts w:cs="Times"/>
                <w:sz w:val="20"/>
              </w:rPr>
            </w:pPr>
            <w:r w:rsidRPr="001134B0">
              <w:rPr>
                <w:rFonts w:cs="Times"/>
                <w:sz w:val="20"/>
              </w:rPr>
              <w:t>0.67</w:t>
            </w:r>
          </w:p>
        </w:tc>
        <w:tc>
          <w:tcPr>
            <w:tcW w:w="1275" w:type="dxa"/>
            <w:shd w:val="clear" w:color="auto" w:fill="auto"/>
            <w:noWrap/>
            <w:vAlign w:val="bottom"/>
            <w:hideMark/>
          </w:tcPr>
          <w:p w14:paraId="7A1C4676" w14:textId="77777777" w:rsidR="00F20488" w:rsidRPr="001134B0" w:rsidRDefault="00F20488" w:rsidP="00F20488">
            <w:pPr>
              <w:pStyle w:val="TCTableBody"/>
              <w:rPr>
                <w:rFonts w:cs="Times"/>
                <w:sz w:val="20"/>
              </w:rPr>
            </w:pPr>
            <w:r w:rsidRPr="001134B0">
              <w:rPr>
                <w:rFonts w:cs="Times"/>
                <w:sz w:val="20"/>
              </w:rPr>
              <w:t>0.52 ± 0.11</w:t>
            </w:r>
          </w:p>
        </w:tc>
        <w:tc>
          <w:tcPr>
            <w:tcW w:w="1276" w:type="dxa"/>
            <w:shd w:val="clear" w:color="auto" w:fill="auto"/>
            <w:noWrap/>
            <w:vAlign w:val="bottom"/>
            <w:hideMark/>
          </w:tcPr>
          <w:p w14:paraId="29C81DF8" w14:textId="77777777" w:rsidR="00F20488" w:rsidRPr="001134B0" w:rsidRDefault="00F20488" w:rsidP="00F20488">
            <w:pPr>
              <w:pStyle w:val="TCTableBody"/>
              <w:rPr>
                <w:rFonts w:cs="Times"/>
                <w:sz w:val="20"/>
              </w:rPr>
            </w:pPr>
            <w:r w:rsidRPr="001134B0">
              <w:rPr>
                <w:rFonts w:cs="Times"/>
                <w:sz w:val="20"/>
              </w:rPr>
              <w:t>0.03 ± 0.24</w:t>
            </w:r>
          </w:p>
        </w:tc>
        <w:tc>
          <w:tcPr>
            <w:tcW w:w="1276" w:type="dxa"/>
            <w:shd w:val="clear" w:color="auto" w:fill="auto"/>
            <w:noWrap/>
            <w:vAlign w:val="bottom"/>
            <w:hideMark/>
          </w:tcPr>
          <w:p w14:paraId="7D328BBB" w14:textId="77777777" w:rsidR="00F20488" w:rsidRPr="001134B0" w:rsidRDefault="00F20488" w:rsidP="00F20488">
            <w:pPr>
              <w:pStyle w:val="TCTableBody"/>
              <w:rPr>
                <w:rFonts w:cs="Times"/>
                <w:sz w:val="20"/>
              </w:rPr>
            </w:pPr>
            <w:r w:rsidRPr="001134B0">
              <w:rPr>
                <w:rFonts w:cs="Times"/>
                <w:sz w:val="20"/>
              </w:rPr>
              <w:t>0.56 ± 0.16</w:t>
            </w:r>
          </w:p>
        </w:tc>
      </w:tr>
      <w:tr w:rsidR="00F20488" w:rsidRPr="001134B0" w14:paraId="41205B70" w14:textId="77777777" w:rsidTr="00BA2CEA">
        <w:trPr>
          <w:trHeight w:val="300"/>
        </w:trPr>
        <w:tc>
          <w:tcPr>
            <w:tcW w:w="2263" w:type="dxa"/>
            <w:vMerge/>
            <w:vAlign w:val="center"/>
            <w:hideMark/>
          </w:tcPr>
          <w:p w14:paraId="617C096C"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6E8270C3" w14:textId="77777777" w:rsidR="00F20488" w:rsidRPr="001134B0" w:rsidRDefault="00F20488" w:rsidP="00F20488">
            <w:pPr>
              <w:pStyle w:val="TCTableBody"/>
              <w:rPr>
                <w:rFonts w:cs="Times"/>
                <w:sz w:val="20"/>
              </w:rPr>
            </w:pPr>
            <w:proofErr w:type="spellStart"/>
            <w:r w:rsidRPr="001134B0">
              <w:rPr>
                <w:rFonts w:cs="Times"/>
                <w:sz w:val="20"/>
              </w:rPr>
              <w:t>ErG+CP</w:t>
            </w:r>
            <w:proofErr w:type="spellEnd"/>
          </w:p>
        </w:tc>
        <w:tc>
          <w:tcPr>
            <w:tcW w:w="851" w:type="dxa"/>
            <w:shd w:val="clear" w:color="auto" w:fill="auto"/>
            <w:noWrap/>
            <w:vAlign w:val="bottom"/>
            <w:hideMark/>
          </w:tcPr>
          <w:p w14:paraId="1D2CE4B3" w14:textId="77777777" w:rsidR="00F20488" w:rsidRPr="001134B0" w:rsidRDefault="00F20488" w:rsidP="00F20488">
            <w:pPr>
              <w:pStyle w:val="TCTableBody"/>
              <w:rPr>
                <w:rFonts w:cs="Times"/>
                <w:sz w:val="20"/>
              </w:rPr>
            </w:pPr>
            <w:r w:rsidRPr="001134B0">
              <w:rPr>
                <w:rFonts w:cs="Times"/>
                <w:sz w:val="20"/>
              </w:rPr>
              <w:t>0.64</w:t>
            </w:r>
          </w:p>
        </w:tc>
        <w:tc>
          <w:tcPr>
            <w:tcW w:w="850" w:type="dxa"/>
            <w:shd w:val="clear" w:color="auto" w:fill="auto"/>
            <w:noWrap/>
            <w:vAlign w:val="bottom"/>
            <w:hideMark/>
          </w:tcPr>
          <w:p w14:paraId="5E4E643E" w14:textId="77777777" w:rsidR="00F20488" w:rsidRPr="001134B0" w:rsidRDefault="00F20488" w:rsidP="00F20488">
            <w:pPr>
              <w:pStyle w:val="TCTableBody"/>
              <w:rPr>
                <w:rFonts w:cs="Times"/>
                <w:sz w:val="20"/>
              </w:rPr>
            </w:pPr>
            <w:r w:rsidRPr="001134B0">
              <w:rPr>
                <w:rFonts w:cs="Times"/>
                <w:sz w:val="20"/>
              </w:rPr>
              <w:t>0.29</w:t>
            </w:r>
          </w:p>
        </w:tc>
        <w:tc>
          <w:tcPr>
            <w:tcW w:w="851" w:type="dxa"/>
            <w:shd w:val="clear" w:color="auto" w:fill="auto"/>
            <w:noWrap/>
            <w:vAlign w:val="bottom"/>
            <w:hideMark/>
          </w:tcPr>
          <w:p w14:paraId="006887BA" w14:textId="77777777" w:rsidR="00F20488" w:rsidRPr="001134B0" w:rsidRDefault="00F20488" w:rsidP="00F20488">
            <w:pPr>
              <w:pStyle w:val="TCTableBody"/>
              <w:rPr>
                <w:rFonts w:cs="Times"/>
                <w:sz w:val="20"/>
              </w:rPr>
            </w:pPr>
            <w:r w:rsidRPr="001134B0">
              <w:rPr>
                <w:rFonts w:cs="Times"/>
                <w:sz w:val="20"/>
              </w:rPr>
              <w:t>0.71</w:t>
            </w:r>
          </w:p>
        </w:tc>
        <w:tc>
          <w:tcPr>
            <w:tcW w:w="1275" w:type="dxa"/>
            <w:shd w:val="clear" w:color="auto" w:fill="auto"/>
            <w:noWrap/>
            <w:vAlign w:val="bottom"/>
            <w:hideMark/>
          </w:tcPr>
          <w:p w14:paraId="452B9EF2" w14:textId="77777777" w:rsidR="00F20488" w:rsidRPr="001134B0" w:rsidRDefault="00F20488" w:rsidP="00F20488">
            <w:pPr>
              <w:pStyle w:val="TCTableBody"/>
              <w:rPr>
                <w:rFonts w:cs="Times"/>
                <w:sz w:val="20"/>
              </w:rPr>
            </w:pPr>
            <w:r w:rsidRPr="001134B0">
              <w:rPr>
                <w:rFonts w:cs="Times"/>
                <w:sz w:val="20"/>
              </w:rPr>
              <w:t>0.58 ± 0.09</w:t>
            </w:r>
          </w:p>
        </w:tc>
        <w:tc>
          <w:tcPr>
            <w:tcW w:w="1276" w:type="dxa"/>
            <w:shd w:val="clear" w:color="auto" w:fill="auto"/>
            <w:noWrap/>
            <w:vAlign w:val="bottom"/>
            <w:hideMark/>
          </w:tcPr>
          <w:p w14:paraId="357D827B" w14:textId="77777777" w:rsidR="00F20488" w:rsidRPr="001134B0" w:rsidRDefault="00F20488" w:rsidP="00F20488">
            <w:pPr>
              <w:pStyle w:val="TCTableBody"/>
              <w:rPr>
                <w:rFonts w:cs="Times"/>
                <w:sz w:val="20"/>
              </w:rPr>
            </w:pPr>
            <w:r w:rsidRPr="001134B0">
              <w:rPr>
                <w:rFonts w:cs="Times"/>
                <w:sz w:val="20"/>
              </w:rPr>
              <w:t>0.15 ± 0.17</w:t>
            </w:r>
          </w:p>
        </w:tc>
        <w:tc>
          <w:tcPr>
            <w:tcW w:w="1276" w:type="dxa"/>
            <w:shd w:val="clear" w:color="auto" w:fill="auto"/>
            <w:noWrap/>
            <w:vAlign w:val="bottom"/>
            <w:hideMark/>
          </w:tcPr>
          <w:p w14:paraId="2B03855F" w14:textId="77777777" w:rsidR="00F20488" w:rsidRPr="001134B0" w:rsidRDefault="00F20488" w:rsidP="00F20488">
            <w:pPr>
              <w:pStyle w:val="TCTableBody"/>
              <w:rPr>
                <w:rFonts w:cs="Times"/>
                <w:sz w:val="20"/>
              </w:rPr>
            </w:pPr>
            <w:r w:rsidRPr="001134B0">
              <w:rPr>
                <w:rFonts w:cs="Times"/>
                <w:sz w:val="20"/>
              </w:rPr>
              <w:t>0.69 ± 0.11</w:t>
            </w:r>
          </w:p>
        </w:tc>
      </w:tr>
      <w:tr w:rsidR="00F20488" w:rsidRPr="001134B0" w14:paraId="71283C07" w14:textId="77777777" w:rsidTr="00BA2CEA">
        <w:trPr>
          <w:trHeight w:val="300"/>
        </w:trPr>
        <w:tc>
          <w:tcPr>
            <w:tcW w:w="2263" w:type="dxa"/>
            <w:vMerge/>
            <w:vAlign w:val="center"/>
            <w:hideMark/>
          </w:tcPr>
          <w:p w14:paraId="1160ADEF"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44FD5FEC" w14:textId="77777777" w:rsidR="00F20488" w:rsidRPr="001134B0" w:rsidRDefault="00F20488" w:rsidP="00F20488">
            <w:pPr>
              <w:pStyle w:val="TCTableBody"/>
              <w:rPr>
                <w:rFonts w:cs="Times"/>
                <w:sz w:val="20"/>
              </w:rPr>
            </w:pPr>
            <w:r w:rsidRPr="001134B0">
              <w:rPr>
                <w:rFonts w:cs="Times"/>
                <w:sz w:val="20"/>
              </w:rPr>
              <w:t>Morgan</w:t>
            </w:r>
          </w:p>
        </w:tc>
        <w:tc>
          <w:tcPr>
            <w:tcW w:w="851" w:type="dxa"/>
            <w:shd w:val="clear" w:color="auto" w:fill="auto"/>
            <w:noWrap/>
            <w:vAlign w:val="bottom"/>
            <w:hideMark/>
          </w:tcPr>
          <w:p w14:paraId="4755C01E" w14:textId="77777777" w:rsidR="00F20488" w:rsidRPr="001134B0" w:rsidRDefault="00F20488" w:rsidP="00F20488">
            <w:pPr>
              <w:pStyle w:val="TCTableBody"/>
              <w:rPr>
                <w:rFonts w:cs="Times"/>
                <w:sz w:val="20"/>
              </w:rPr>
            </w:pPr>
            <w:r w:rsidRPr="001134B0">
              <w:rPr>
                <w:rFonts w:cs="Times"/>
                <w:sz w:val="20"/>
              </w:rPr>
              <w:t>0.75</w:t>
            </w:r>
          </w:p>
        </w:tc>
        <w:tc>
          <w:tcPr>
            <w:tcW w:w="850" w:type="dxa"/>
            <w:shd w:val="clear" w:color="auto" w:fill="auto"/>
            <w:noWrap/>
            <w:vAlign w:val="bottom"/>
            <w:hideMark/>
          </w:tcPr>
          <w:p w14:paraId="3FB82181" w14:textId="77777777" w:rsidR="00F20488" w:rsidRPr="001134B0" w:rsidRDefault="00F20488" w:rsidP="00F20488">
            <w:pPr>
              <w:pStyle w:val="TCTableBody"/>
              <w:rPr>
                <w:rFonts w:cs="Times"/>
                <w:sz w:val="20"/>
              </w:rPr>
            </w:pPr>
            <w:r w:rsidRPr="001134B0">
              <w:rPr>
                <w:rFonts w:cs="Times"/>
                <w:sz w:val="20"/>
              </w:rPr>
              <w:t>0.51</w:t>
            </w:r>
          </w:p>
        </w:tc>
        <w:tc>
          <w:tcPr>
            <w:tcW w:w="851" w:type="dxa"/>
            <w:shd w:val="clear" w:color="auto" w:fill="auto"/>
            <w:noWrap/>
            <w:vAlign w:val="bottom"/>
            <w:hideMark/>
          </w:tcPr>
          <w:p w14:paraId="15EA2D34" w14:textId="77777777" w:rsidR="00F20488" w:rsidRPr="001134B0" w:rsidRDefault="00F20488" w:rsidP="00F20488">
            <w:pPr>
              <w:pStyle w:val="TCTableBody"/>
              <w:rPr>
                <w:rFonts w:cs="Times"/>
                <w:sz w:val="20"/>
              </w:rPr>
            </w:pPr>
            <w:r w:rsidRPr="001134B0">
              <w:rPr>
                <w:rFonts w:cs="Times"/>
                <w:sz w:val="20"/>
              </w:rPr>
              <w:t>0.83</w:t>
            </w:r>
          </w:p>
        </w:tc>
        <w:tc>
          <w:tcPr>
            <w:tcW w:w="1275" w:type="dxa"/>
            <w:shd w:val="clear" w:color="auto" w:fill="auto"/>
            <w:noWrap/>
            <w:vAlign w:val="bottom"/>
            <w:hideMark/>
          </w:tcPr>
          <w:p w14:paraId="53D4E77A" w14:textId="77777777" w:rsidR="00F20488" w:rsidRPr="001134B0" w:rsidRDefault="00F20488" w:rsidP="00F20488">
            <w:pPr>
              <w:pStyle w:val="TCTableBody"/>
              <w:rPr>
                <w:rFonts w:cs="Times"/>
                <w:sz w:val="20"/>
              </w:rPr>
            </w:pPr>
            <w:r w:rsidRPr="001134B0">
              <w:rPr>
                <w:rFonts w:cs="Times"/>
                <w:sz w:val="20"/>
              </w:rPr>
              <w:t>0.57 ± 0.09</w:t>
            </w:r>
          </w:p>
        </w:tc>
        <w:tc>
          <w:tcPr>
            <w:tcW w:w="1276" w:type="dxa"/>
            <w:shd w:val="clear" w:color="auto" w:fill="auto"/>
            <w:noWrap/>
            <w:vAlign w:val="bottom"/>
            <w:hideMark/>
          </w:tcPr>
          <w:p w14:paraId="29C10704" w14:textId="77777777" w:rsidR="00F20488" w:rsidRPr="001134B0" w:rsidRDefault="00F20488" w:rsidP="00F20488">
            <w:pPr>
              <w:pStyle w:val="TCTableBody"/>
              <w:rPr>
                <w:rFonts w:cs="Times"/>
                <w:sz w:val="20"/>
              </w:rPr>
            </w:pPr>
            <w:r w:rsidRPr="001134B0">
              <w:rPr>
                <w:rFonts w:cs="Times"/>
                <w:sz w:val="20"/>
              </w:rPr>
              <w:t>0.12 ± 0.14</w:t>
            </w:r>
          </w:p>
        </w:tc>
        <w:tc>
          <w:tcPr>
            <w:tcW w:w="1276" w:type="dxa"/>
            <w:shd w:val="clear" w:color="auto" w:fill="auto"/>
            <w:noWrap/>
            <w:vAlign w:val="bottom"/>
            <w:hideMark/>
          </w:tcPr>
          <w:p w14:paraId="6D36FA2B" w14:textId="77777777" w:rsidR="00F20488" w:rsidRPr="001134B0" w:rsidRDefault="00F20488" w:rsidP="00F20488">
            <w:pPr>
              <w:pStyle w:val="TCTableBody"/>
              <w:rPr>
                <w:rFonts w:cs="Times"/>
                <w:sz w:val="20"/>
              </w:rPr>
            </w:pPr>
            <w:r w:rsidRPr="001134B0">
              <w:rPr>
                <w:rFonts w:cs="Times"/>
                <w:sz w:val="20"/>
              </w:rPr>
              <w:t>0.65 ± 0.12</w:t>
            </w:r>
          </w:p>
        </w:tc>
      </w:tr>
      <w:tr w:rsidR="00F20488" w:rsidRPr="001134B0" w14:paraId="5AC5A5DF" w14:textId="77777777" w:rsidTr="00BA2CEA">
        <w:trPr>
          <w:trHeight w:val="315"/>
        </w:trPr>
        <w:tc>
          <w:tcPr>
            <w:tcW w:w="2263" w:type="dxa"/>
            <w:vMerge/>
            <w:vAlign w:val="center"/>
            <w:hideMark/>
          </w:tcPr>
          <w:p w14:paraId="2F93D4DA"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55596FDC" w14:textId="77777777" w:rsidR="00F20488" w:rsidRPr="001134B0" w:rsidRDefault="00F20488" w:rsidP="00F20488">
            <w:pPr>
              <w:pStyle w:val="TCTableBody"/>
              <w:rPr>
                <w:rFonts w:cs="Times"/>
                <w:sz w:val="20"/>
              </w:rPr>
            </w:pPr>
            <w:proofErr w:type="spellStart"/>
            <w:r w:rsidRPr="001134B0">
              <w:rPr>
                <w:rFonts w:cs="Times"/>
                <w:sz w:val="20"/>
              </w:rPr>
              <w:t>Morgan+CP</w:t>
            </w:r>
            <w:proofErr w:type="spellEnd"/>
          </w:p>
        </w:tc>
        <w:tc>
          <w:tcPr>
            <w:tcW w:w="851" w:type="dxa"/>
            <w:shd w:val="clear" w:color="auto" w:fill="auto"/>
            <w:noWrap/>
            <w:vAlign w:val="bottom"/>
            <w:hideMark/>
          </w:tcPr>
          <w:p w14:paraId="63251B65" w14:textId="77777777" w:rsidR="00F20488" w:rsidRPr="001134B0" w:rsidRDefault="00F20488" w:rsidP="00F20488">
            <w:pPr>
              <w:pStyle w:val="TCTableBody"/>
              <w:rPr>
                <w:rFonts w:cs="Times"/>
                <w:sz w:val="20"/>
              </w:rPr>
            </w:pPr>
            <w:r w:rsidRPr="001134B0">
              <w:rPr>
                <w:rFonts w:cs="Times"/>
                <w:sz w:val="20"/>
              </w:rPr>
              <w:t>0.67</w:t>
            </w:r>
          </w:p>
        </w:tc>
        <w:tc>
          <w:tcPr>
            <w:tcW w:w="850" w:type="dxa"/>
            <w:shd w:val="clear" w:color="auto" w:fill="auto"/>
            <w:noWrap/>
            <w:vAlign w:val="bottom"/>
            <w:hideMark/>
          </w:tcPr>
          <w:p w14:paraId="2198CEAE" w14:textId="77777777" w:rsidR="00F20488" w:rsidRPr="001134B0" w:rsidRDefault="00F20488" w:rsidP="00F20488">
            <w:pPr>
              <w:pStyle w:val="TCTableBody"/>
              <w:rPr>
                <w:rFonts w:cs="Times"/>
                <w:sz w:val="20"/>
              </w:rPr>
            </w:pPr>
            <w:r w:rsidRPr="001134B0">
              <w:rPr>
                <w:rFonts w:cs="Times"/>
                <w:sz w:val="20"/>
              </w:rPr>
              <w:t>0.37</w:t>
            </w:r>
          </w:p>
        </w:tc>
        <w:tc>
          <w:tcPr>
            <w:tcW w:w="851" w:type="dxa"/>
            <w:shd w:val="clear" w:color="auto" w:fill="auto"/>
            <w:noWrap/>
            <w:vAlign w:val="bottom"/>
            <w:hideMark/>
          </w:tcPr>
          <w:p w14:paraId="7E3DACA5" w14:textId="77777777" w:rsidR="00F20488" w:rsidRPr="001134B0" w:rsidRDefault="00F20488" w:rsidP="00F20488">
            <w:pPr>
              <w:pStyle w:val="TCTableBody"/>
              <w:rPr>
                <w:rFonts w:cs="Times"/>
                <w:sz w:val="20"/>
              </w:rPr>
            </w:pPr>
            <w:r w:rsidRPr="001134B0">
              <w:rPr>
                <w:rFonts w:cs="Times"/>
                <w:sz w:val="20"/>
              </w:rPr>
              <w:t>0.67</w:t>
            </w:r>
          </w:p>
        </w:tc>
        <w:tc>
          <w:tcPr>
            <w:tcW w:w="1275" w:type="dxa"/>
            <w:shd w:val="clear" w:color="auto" w:fill="auto"/>
            <w:noWrap/>
            <w:vAlign w:val="bottom"/>
            <w:hideMark/>
          </w:tcPr>
          <w:p w14:paraId="1F152211" w14:textId="77777777" w:rsidR="00F20488" w:rsidRPr="001134B0" w:rsidRDefault="00F20488" w:rsidP="00F20488">
            <w:pPr>
              <w:pStyle w:val="TCTableBody"/>
              <w:rPr>
                <w:rFonts w:cs="Times"/>
                <w:sz w:val="20"/>
              </w:rPr>
            </w:pPr>
            <w:r w:rsidRPr="001134B0">
              <w:rPr>
                <w:rFonts w:cs="Times"/>
                <w:sz w:val="20"/>
              </w:rPr>
              <w:t>0.6 ± 0.05</w:t>
            </w:r>
          </w:p>
        </w:tc>
        <w:tc>
          <w:tcPr>
            <w:tcW w:w="1276" w:type="dxa"/>
            <w:shd w:val="clear" w:color="auto" w:fill="auto"/>
            <w:noWrap/>
            <w:vAlign w:val="bottom"/>
            <w:hideMark/>
          </w:tcPr>
          <w:p w14:paraId="08C89DDA" w14:textId="77777777" w:rsidR="00F20488" w:rsidRPr="001134B0" w:rsidRDefault="00F20488" w:rsidP="00F20488">
            <w:pPr>
              <w:pStyle w:val="TCTableBody"/>
              <w:rPr>
                <w:rFonts w:cs="Times"/>
                <w:sz w:val="20"/>
              </w:rPr>
            </w:pPr>
            <w:r w:rsidRPr="001134B0">
              <w:rPr>
                <w:rFonts w:cs="Times"/>
                <w:sz w:val="20"/>
              </w:rPr>
              <w:t>0.17 ± 0.07</w:t>
            </w:r>
          </w:p>
        </w:tc>
        <w:tc>
          <w:tcPr>
            <w:tcW w:w="1276" w:type="dxa"/>
            <w:shd w:val="clear" w:color="auto" w:fill="auto"/>
            <w:noWrap/>
            <w:vAlign w:val="bottom"/>
            <w:hideMark/>
          </w:tcPr>
          <w:p w14:paraId="135C661A" w14:textId="77777777" w:rsidR="00F20488" w:rsidRPr="001134B0" w:rsidRDefault="00F20488" w:rsidP="00F20488">
            <w:pPr>
              <w:pStyle w:val="TCTableBody"/>
              <w:rPr>
                <w:rFonts w:cs="Times"/>
                <w:sz w:val="20"/>
              </w:rPr>
            </w:pPr>
            <w:r w:rsidRPr="001134B0">
              <w:rPr>
                <w:rFonts w:cs="Times"/>
                <w:sz w:val="20"/>
              </w:rPr>
              <w:t>0.68 ± 0.11</w:t>
            </w:r>
          </w:p>
        </w:tc>
      </w:tr>
      <w:tr w:rsidR="00F20488" w:rsidRPr="001134B0" w14:paraId="57323625" w14:textId="77777777" w:rsidTr="00BA2CEA">
        <w:trPr>
          <w:trHeight w:val="315"/>
        </w:trPr>
        <w:tc>
          <w:tcPr>
            <w:tcW w:w="2263" w:type="dxa"/>
            <w:vMerge w:val="restart"/>
            <w:shd w:val="clear" w:color="auto" w:fill="auto"/>
            <w:noWrap/>
            <w:vAlign w:val="bottom"/>
            <w:hideMark/>
          </w:tcPr>
          <w:p w14:paraId="24B2491C" w14:textId="77777777" w:rsidR="00F20488" w:rsidRPr="001134B0" w:rsidRDefault="00F20488" w:rsidP="00F20488">
            <w:pPr>
              <w:pStyle w:val="TCTableBody"/>
              <w:rPr>
                <w:rFonts w:cs="Times"/>
                <w:sz w:val="20"/>
              </w:rPr>
            </w:pPr>
            <w:r w:rsidRPr="001134B0">
              <w:rPr>
                <w:rFonts w:cs="Times"/>
                <w:sz w:val="20"/>
              </w:rPr>
              <w:t>BSK_3C_</w:t>
            </w:r>
          </w:p>
          <w:p w14:paraId="6B793F37" w14:textId="764DE0B4" w:rsidR="00F20488" w:rsidRPr="001134B0" w:rsidRDefault="00F20488" w:rsidP="00F20488">
            <w:pPr>
              <w:pStyle w:val="TCTableBody"/>
              <w:rPr>
                <w:rFonts w:cs="Times"/>
                <w:sz w:val="20"/>
              </w:rPr>
            </w:pPr>
            <w:proofErr w:type="spellStart"/>
            <w:r w:rsidRPr="001134B0">
              <w:rPr>
                <w:rFonts w:cs="Times"/>
                <w:sz w:val="20"/>
              </w:rPr>
              <w:t>Proliferation_down</w:t>
            </w:r>
            <w:proofErr w:type="spellEnd"/>
          </w:p>
        </w:tc>
        <w:tc>
          <w:tcPr>
            <w:tcW w:w="1276" w:type="dxa"/>
            <w:shd w:val="clear" w:color="auto" w:fill="auto"/>
            <w:noWrap/>
            <w:vAlign w:val="bottom"/>
            <w:hideMark/>
          </w:tcPr>
          <w:p w14:paraId="257B0DB4" w14:textId="77777777" w:rsidR="00F20488" w:rsidRPr="001134B0" w:rsidRDefault="00F20488" w:rsidP="00F20488">
            <w:pPr>
              <w:pStyle w:val="TCTableBody"/>
              <w:rPr>
                <w:rFonts w:cs="Times"/>
                <w:sz w:val="20"/>
              </w:rPr>
            </w:pPr>
            <w:r w:rsidRPr="001134B0">
              <w:rPr>
                <w:rFonts w:cs="Times"/>
                <w:sz w:val="20"/>
              </w:rPr>
              <w:t>CP</w:t>
            </w:r>
          </w:p>
        </w:tc>
        <w:tc>
          <w:tcPr>
            <w:tcW w:w="851" w:type="dxa"/>
            <w:shd w:val="clear" w:color="auto" w:fill="auto"/>
            <w:noWrap/>
            <w:vAlign w:val="bottom"/>
            <w:hideMark/>
          </w:tcPr>
          <w:p w14:paraId="7CC97B71" w14:textId="77777777" w:rsidR="00F20488" w:rsidRPr="001134B0" w:rsidRDefault="00F20488" w:rsidP="00F20488">
            <w:pPr>
              <w:pStyle w:val="TCTableBody"/>
              <w:rPr>
                <w:rFonts w:cs="Times"/>
                <w:sz w:val="20"/>
              </w:rPr>
            </w:pPr>
            <w:r w:rsidRPr="001134B0">
              <w:rPr>
                <w:rFonts w:cs="Times"/>
                <w:sz w:val="20"/>
              </w:rPr>
              <w:t>0.6</w:t>
            </w:r>
          </w:p>
        </w:tc>
        <w:tc>
          <w:tcPr>
            <w:tcW w:w="850" w:type="dxa"/>
            <w:shd w:val="clear" w:color="auto" w:fill="auto"/>
            <w:noWrap/>
            <w:vAlign w:val="bottom"/>
            <w:hideMark/>
          </w:tcPr>
          <w:p w14:paraId="5891A213" w14:textId="77777777" w:rsidR="00F20488" w:rsidRPr="001134B0" w:rsidRDefault="00F20488" w:rsidP="00F20488">
            <w:pPr>
              <w:pStyle w:val="TCTableBody"/>
              <w:rPr>
                <w:rFonts w:cs="Times"/>
                <w:sz w:val="20"/>
              </w:rPr>
            </w:pPr>
            <w:r w:rsidRPr="001134B0">
              <w:rPr>
                <w:rFonts w:cs="Times"/>
                <w:sz w:val="20"/>
              </w:rPr>
              <w:t>0.2</w:t>
            </w:r>
          </w:p>
        </w:tc>
        <w:tc>
          <w:tcPr>
            <w:tcW w:w="851" w:type="dxa"/>
            <w:shd w:val="clear" w:color="auto" w:fill="auto"/>
            <w:noWrap/>
            <w:vAlign w:val="bottom"/>
            <w:hideMark/>
          </w:tcPr>
          <w:p w14:paraId="66038ED6" w14:textId="77777777" w:rsidR="00F20488" w:rsidRPr="001134B0" w:rsidRDefault="00F20488" w:rsidP="00F20488">
            <w:pPr>
              <w:pStyle w:val="TCTableBody"/>
              <w:rPr>
                <w:rFonts w:cs="Times"/>
                <w:sz w:val="20"/>
              </w:rPr>
            </w:pPr>
            <w:r w:rsidRPr="001134B0">
              <w:rPr>
                <w:rFonts w:cs="Times"/>
                <w:sz w:val="20"/>
              </w:rPr>
              <w:t>0.64</w:t>
            </w:r>
          </w:p>
        </w:tc>
        <w:tc>
          <w:tcPr>
            <w:tcW w:w="1275" w:type="dxa"/>
            <w:shd w:val="clear" w:color="auto" w:fill="auto"/>
            <w:noWrap/>
            <w:vAlign w:val="bottom"/>
            <w:hideMark/>
          </w:tcPr>
          <w:p w14:paraId="318BA313" w14:textId="77777777" w:rsidR="00F20488" w:rsidRPr="001134B0" w:rsidRDefault="00F20488" w:rsidP="00F20488">
            <w:pPr>
              <w:pStyle w:val="TCTableBody"/>
              <w:rPr>
                <w:rFonts w:cs="Times"/>
                <w:sz w:val="20"/>
              </w:rPr>
            </w:pPr>
            <w:r w:rsidRPr="001134B0">
              <w:rPr>
                <w:rFonts w:cs="Times"/>
                <w:sz w:val="20"/>
              </w:rPr>
              <w:t>0.68 ± 0.11</w:t>
            </w:r>
          </w:p>
        </w:tc>
        <w:tc>
          <w:tcPr>
            <w:tcW w:w="1276" w:type="dxa"/>
            <w:shd w:val="clear" w:color="auto" w:fill="auto"/>
            <w:noWrap/>
            <w:vAlign w:val="bottom"/>
            <w:hideMark/>
          </w:tcPr>
          <w:p w14:paraId="54FBE8FE" w14:textId="77777777" w:rsidR="00F20488" w:rsidRPr="001134B0" w:rsidRDefault="00F20488" w:rsidP="00F20488">
            <w:pPr>
              <w:pStyle w:val="TCTableBody"/>
              <w:rPr>
                <w:rFonts w:cs="Times"/>
                <w:sz w:val="20"/>
              </w:rPr>
            </w:pPr>
            <w:r w:rsidRPr="001134B0">
              <w:rPr>
                <w:rFonts w:cs="Times"/>
                <w:sz w:val="20"/>
              </w:rPr>
              <w:t>0.28 ± 0.15</w:t>
            </w:r>
          </w:p>
        </w:tc>
        <w:tc>
          <w:tcPr>
            <w:tcW w:w="1276" w:type="dxa"/>
            <w:shd w:val="clear" w:color="auto" w:fill="auto"/>
            <w:noWrap/>
            <w:vAlign w:val="bottom"/>
            <w:hideMark/>
          </w:tcPr>
          <w:p w14:paraId="5F2630FD" w14:textId="77777777" w:rsidR="00F20488" w:rsidRPr="001134B0" w:rsidRDefault="00F20488" w:rsidP="00F20488">
            <w:pPr>
              <w:pStyle w:val="TCTableBody"/>
              <w:rPr>
                <w:rFonts w:cs="Times"/>
                <w:sz w:val="20"/>
              </w:rPr>
            </w:pPr>
            <w:r w:rsidRPr="001134B0">
              <w:rPr>
                <w:rFonts w:cs="Times"/>
                <w:sz w:val="20"/>
              </w:rPr>
              <w:t>0.75 ± 0.12</w:t>
            </w:r>
          </w:p>
        </w:tc>
      </w:tr>
      <w:tr w:rsidR="00F20488" w:rsidRPr="001134B0" w14:paraId="27C2B3E1" w14:textId="77777777" w:rsidTr="00BA2CEA">
        <w:trPr>
          <w:trHeight w:val="315"/>
        </w:trPr>
        <w:tc>
          <w:tcPr>
            <w:tcW w:w="2263" w:type="dxa"/>
            <w:vMerge/>
            <w:vAlign w:val="center"/>
            <w:hideMark/>
          </w:tcPr>
          <w:p w14:paraId="3C541A49"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01812B21" w14:textId="77777777" w:rsidR="00F20488" w:rsidRPr="001134B0" w:rsidRDefault="00F20488" w:rsidP="00F20488">
            <w:pPr>
              <w:pStyle w:val="TCTableBody"/>
              <w:rPr>
                <w:rFonts w:cs="Times"/>
                <w:sz w:val="20"/>
              </w:rPr>
            </w:pPr>
            <w:proofErr w:type="spellStart"/>
            <w:r w:rsidRPr="001134B0">
              <w:rPr>
                <w:rFonts w:cs="Times"/>
                <w:sz w:val="20"/>
              </w:rPr>
              <w:t>ErG</w:t>
            </w:r>
            <w:proofErr w:type="spellEnd"/>
          </w:p>
        </w:tc>
        <w:tc>
          <w:tcPr>
            <w:tcW w:w="851" w:type="dxa"/>
            <w:shd w:val="clear" w:color="auto" w:fill="auto"/>
            <w:noWrap/>
            <w:vAlign w:val="bottom"/>
            <w:hideMark/>
          </w:tcPr>
          <w:p w14:paraId="536044D6" w14:textId="77777777" w:rsidR="00F20488" w:rsidRPr="001134B0" w:rsidRDefault="00F20488" w:rsidP="00F20488">
            <w:pPr>
              <w:pStyle w:val="TCTableBody"/>
              <w:rPr>
                <w:rFonts w:cs="Times"/>
                <w:sz w:val="20"/>
              </w:rPr>
            </w:pPr>
            <w:r w:rsidRPr="001134B0">
              <w:rPr>
                <w:rFonts w:cs="Times"/>
                <w:sz w:val="20"/>
              </w:rPr>
              <w:t>0.67</w:t>
            </w:r>
          </w:p>
        </w:tc>
        <w:tc>
          <w:tcPr>
            <w:tcW w:w="850" w:type="dxa"/>
            <w:shd w:val="clear" w:color="auto" w:fill="auto"/>
            <w:noWrap/>
            <w:vAlign w:val="bottom"/>
            <w:hideMark/>
          </w:tcPr>
          <w:p w14:paraId="2F3DBA42" w14:textId="77777777" w:rsidR="00F20488" w:rsidRPr="001134B0" w:rsidRDefault="00F20488" w:rsidP="00F20488">
            <w:pPr>
              <w:pStyle w:val="TCTableBody"/>
              <w:rPr>
                <w:rFonts w:cs="Times"/>
                <w:sz w:val="20"/>
              </w:rPr>
            </w:pPr>
            <w:r w:rsidRPr="001134B0">
              <w:rPr>
                <w:rFonts w:cs="Times"/>
                <w:sz w:val="20"/>
              </w:rPr>
              <w:t>0.34</w:t>
            </w:r>
          </w:p>
        </w:tc>
        <w:tc>
          <w:tcPr>
            <w:tcW w:w="851" w:type="dxa"/>
            <w:shd w:val="clear" w:color="auto" w:fill="auto"/>
            <w:noWrap/>
            <w:vAlign w:val="bottom"/>
            <w:hideMark/>
          </w:tcPr>
          <w:p w14:paraId="6E1F4639" w14:textId="77777777" w:rsidR="00F20488" w:rsidRPr="001134B0" w:rsidRDefault="00F20488" w:rsidP="00F20488">
            <w:pPr>
              <w:pStyle w:val="TCTableBody"/>
              <w:rPr>
                <w:rFonts w:cs="Times"/>
                <w:sz w:val="20"/>
              </w:rPr>
            </w:pPr>
            <w:r w:rsidRPr="001134B0">
              <w:rPr>
                <w:rFonts w:cs="Times"/>
                <w:sz w:val="20"/>
              </w:rPr>
              <w:t>0.75</w:t>
            </w:r>
          </w:p>
        </w:tc>
        <w:tc>
          <w:tcPr>
            <w:tcW w:w="1275" w:type="dxa"/>
            <w:shd w:val="clear" w:color="auto" w:fill="auto"/>
            <w:noWrap/>
            <w:vAlign w:val="bottom"/>
            <w:hideMark/>
          </w:tcPr>
          <w:p w14:paraId="40D5E727" w14:textId="77777777" w:rsidR="00F20488" w:rsidRPr="001134B0" w:rsidRDefault="00F20488" w:rsidP="00F20488">
            <w:pPr>
              <w:pStyle w:val="TCTableBody"/>
              <w:rPr>
                <w:rFonts w:cs="Times"/>
                <w:sz w:val="20"/>
              </w:rPr>
            </w:pPr>
            <w:r w:rsidRPr="001134B0">
              <w:rPr>
                <w:rFonts w:cs="Times"/>
                <w:sz w:val="20"/>
              </w:rPr>
              <w:t>0.56 ± 0.13</w:t>
            </w:r>
          </w:p>
        </w:tc>
        <w:tc>
          <w:tcPr>
            <w:tcW w:w="1276" w:type="dxa"/>
            <w:shd w:val="clear" w:color="auto" w:fill="auto"/>
            <w:noWrap/>
            <w:vAlign w:val="bottom"/>
            <w:hideMark/>
          </w:tcPr>
          <w:p w14:paraId="6911931D" w14:textId="77777777" w:rsidR="00F20488" w:rsidRPr="001134B0" w:rsidRDefault="00F20488" w:rsidP="00F20488">
            <w:pPr>
              <w:pStyle w:val="TCTableBody"/>
              <w:rPr>
                <w:rFonts w:cs="Times"/>
                <w:sz w:val="20"/>
              </w:rPr>
            </w:pPr>
            <w:r w:rsidRPr="001134B0">
              <w:rPr>
                <w:rFonts w:cs="Times"/>
                <w:sz w:val="20"/>
              </w:rPr>
              <w:t>0.12 ± 0.21</w:t>
            </w:r>
          </w:p>
        </w:tc>
        <w:tc>
          <w:tcPr>
            <w:tcW w:w="1276" w:type="dxa"/>
            <w:shd w:val="clear" w:color="auto" w:fill="auto"/>
            <w:noWrap/>
            <w:vAlign w:val="bottom"/>
            <w:hideMark/>
          </w:tcPr>
          <w:p w14:paraId="6245B878" w14:textId="77777777" w:rsidR="00F20488" w:rsidRPr="001134B0" w:rsidRDefault="00F20488" w:rsidP="00F20488">
            <w:pPr>
              <w:pStyle w:val="TCTableBody"/>
              <w:rPr>
                <w:rFonts w:cs="Times"/>
                <w:sz w:val="20"/>
              </w:rPr>
            </w:pPr>
            <w:r w:rsidRPr="001134B0">
              <w:rPr>
                <w:rFonts w:cs="Times"/>
                <w:sz w:val="20"/>
              </w:rPr>
              <w:t>0.62 ± 0.18</w:t>
            </w:r>
          </w:p>
        </w:tc>
      </w:tr>
      <w:tr w:rsidR="00F20488" w:rsidRPr="001134B0" w14:paraId="72EBC5BE" w14:textId="77777777" w:rsidTr="00BA2CEA">
        <w:trPr>
          <w:trHeight w:val="300"/>
        </w:trPr>
        <w:tc>
          <w:tcPr>
            <w:tcW w:w="2263" w:type="dxa"/>
            <w:vMerge/>
            <w:vAlign w:val="center"/>
            <w:hideMark/>
          </w:tcPr>
          <w:p w14:paraId="737B81DF"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64323E9F" w14:textId="77777777" w:rsidR="00F20488" w:rsidRPr="001134B0" w:rsidRDefault="00F20488" w:rsidP="00F20488">
            <w:pPr>
              <w:pStyle w:val="TCTableBody"/>
              <w:rPr>
                <w:rFonts w:cs="Times"/>
                <w:sz w:val="20"/>
              </w:rPr>
            </w:pPr>
            <w:proofErr w:type="spellStart"/>
            <w:r w:rsidRPr="001134B0">
              <w:rPr>
                <w:rFonts w:cs="Times"/>
                <w:sz w:val="20"/>
              </w:rPr>
              <w:t>ErG+CP</w:t>
            </w:r>
            <w:proofErr w:type="spellEnd"/>
          </w:p>
        </w:tc>
        <w:tc>
          <w:tcPr>
            <w:tcW w:w="851" w:type="dxa"/>
            <w:shd w:val="clear" w:color="auto" w:fill="auto"/>
            <w:noWrap/>
            <w:vAlign w:val="bottom"/>
            <w:hideMark/>
          </w:tcPr>
          <w:p w14:paraId="76994847" w14:textId="77777777" w:rsidR="00F20488" w:rsidRPr="001134B0" w:rsidRDefault="00F20488" w:rsidP="00F20488">
            <w:pPr>
              <w:pStyle w:val="TCTableBody"/>
              <w:rPr>
                <w:rFonts w:cs="Times"/>
                <w:sz w:val="20"/>
              </w:rPr>
            </w:pPr>
            <w:r w:rsidRPr="001134B0">
              <w:rPr>
                <w:rFonts w:cs="Times"/>
                <w:sz w:val="20"/>
              </w:rPr>
              <w:t>0.73</w:t>
            </w:r>
          </w:p>
        </w:tc>
        <w:tc>
          <w:tcPr>
            <w:tcW w:w="850" w:type="dxa"/>
            <w:shd w:val="clear" w:color="auto" w:fill="auto"/>
            <w:noWrap/>
            <w:vAlign w:val="bottom"/>
            <w:hideMark/>
          </w:tcPr>
          <w:p w14:paraId="7176C8EC" w14:textId="77777777" w:rsidR="00F20488" w:rsidRPr="001134B0" w:rsidRDefault="00F20488" w:rsidP="00F20488">
            <w:pPr>
              <w:pStyle w:val="TCTableBody"/>
              <w:rPr>
                <w:rFonts w:cs="Times"/>
                <w:sz w:val="20"/>
              </w:rPr>
            </w:pPr>
            <w:r w:rsidRPr="001134B0">
              <w:rPr>
                <w:rFonts w:cs="Times"/>
                <w:sz w:val="20"/>
              </w:rPr>
              <w:t>0.46</w:t>
            </w:r>
          </w:p>
        </w:tc>
        <w:tc>
          <w:tcPr>
            <w:tcW w:w="851" w:type="dxa"/>
            <w:shd w:val="clear" w:color="auto" w:fill="auto"/>
            <w:noWrap/>
            <w:vAlign w:val="bottom"/>
            <w:hideMark/>
          </w:tcPr>
          <w:p w14:paraId="7506ECC2" w14:textId="77777777" w:rsidR="00F20488" w:rsidRPr="001134B0" w:rsidRDefault="00F20488" w:rsidP="00F20488">
            <w:pPr>
              <w:pStyle w:val="TCTableBody"/>
              <w:rPr>
                <w:rFonts w:cs="Times"/>
                <w:sz w:val="20"/>
              </w:rPr>
            </w:pPr>
            <w:r w:rsidRPr="001134B0">
              <w:rPr>
                <w:rFonts w:cs="Times"/>
                <w:sz w:val="20"/>
              </w:rPr>
              <w:t>0.79</w:t>
            </w:r>
          </w:p>
        </w:tc>
        <w:tc>
          <w:tcPr>
            <w:tcW w:w="1275" w:type="dxa"/>
            <w:shd w:val="clear" w:color="auto" w:fill="auto"/>
            <w:noWrap/>
            <w:vAlign w:val="bottom"/>
            <w:hideMark/>
          </w:tcPr>
          <w:p w14:paraId="25B5C564" w14:textId="77777777" w:rsidR="00F20488" w:rsidRPr="001134B0" w:rsidRDefault="00F20488" w:rsidP="00F20488">
            <w:pPr>
              <w:pStyle w:val="TCTableBody"/>
              <w:rPr>
                <w:rFonts w:cs="Times"/>
                <w:sz w:val="20"/>
              </w:rPr>
            </w:pPr>
            <w:r w:rsidRPr="001134B0">
              <w:rPr>
                <w:rFonts w:cs="Times"/>
                <w:sz w:val="20"/>
              </w:rPr>
              <w:t>0.71 ± 0.09</w:t>
            </w:r>
          </w:p>
        </w:tc>
        <w:tc>
          <w:tcPr>
            <w:tcW w:w="1276" w:type="dxa"/>
            <w:shd w:val="clear" w:color="auto" w:fill="auto"/>
            <w:noWrap/>
            <w:vAlign w:val="bottom"/>
            <w:hideMark/>
          </w:tcPr>
          <w:p w14:paraId="49624AFE" w14:textId="77777777" w:rsidR="00F20488" w:rsidRPr="001134B0" w:rsidRDefault="00F20488" w:rsidP="00F20488">
            <w:pPr>
              <w:pStyle w:val="TCTableBody"/>
              <w:rPr>
                <w:rFonts w:cs="Times"/>
                <w:sz w:val="20"/>
              </w:rPr>
            </w:pPr>
            <w:r w:rsidRPr="001134B0">
              <w:rPr>
                <w:rFonts w:cs="Times"/>
                <w:sz w:val="20"/>
              </w:rPr>
              <w:t>0.35 ± 0.1</w:t>
            </w:r>
          </w:p>
        </w:tc>
        <w:tc>
          <w:tcPr>
            <w:tcW w:w="1276" w:type="dxa"/>
            <w:shd w:val="clear" w:color="auto" w:fill="auto"/>
            <w:noWrap/>
            <w:vAlign w:val="bottom"/>
            <w:hideMark/>
          </w:tcPr>
          <w:p w14:paraId="5AE3DEEB" w14:textId="77777777" w:rsidR="00F20488" w:rsidRPr="001134B0" w:rsidRDefault="00F20488" w:rsidP="00F20488">
            <w:pPr>
              <w:pStyle w:val="TCTableBody"/>
              <w:rPr>
                <w:rFonts w:cs="Times"/>
                <w:sz w:val="20"/>
              </w:rPr>
            </w:pPr>
            <w:r w:rsidRPr="001134B0">
              <w:rPr>
                <w:rFonts w:cs="Times"/>
                <w:sz w:val="20"/>
              </w:rPr>
              <w:t>0.83 ± 0.11</w:t>
            </w:r>
          </w:p>
        </w:tc>
      </w:tr>
      <w:tr w:rsidR="00F20488" w:rsidRPr="001134B0" w14:paraId="28A8382A" w14:textId="77777777" w:rsidTr="00BA2CEA">
        <w:trPr>
          <w:trHeight w:val="300"/>
        </w:trPr>
        <w:tc>
          <w:tcPr>
            <w:tcW w:w="2263" w:type="dxa"/>
            <w:vMerge/>
            <w:vAlign w:val="center"/>
            <w:hideMark/>
          </w:tcPr>
          <w:p w14:paraId="5A0E0B33"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67D0830F" w14:textId="77777777" w:rsidR="00F20488" w:rsidRPr="001134B0" w:rsidRDefault="00F20488" w:rsidP="00F20488">
            <w:pPr>
              <w:pStyle w:val="TCTableBody"/>
              <w:rPr>
                <w:rFonts w:cs="Times"/>
                <w:sz w:val="20"/>
              </w:rPr>
            </w:pPr>
            <w:r w:rsidRPr="001134B0">
              <w:rPr>
                <w:rFonts w:cs="Times"/>
                <w:sz w:val="20"/>
              </w:rPr>
              <w:t>Morgan</w:t>
            </w:r>
          </w:p>
        </w:tc>
        <w:tc>
          <w:tcPr>
            <w:tcW w:w="851" w:type="dxa"/>
            <w:shd w:val="clear" w:color="auto" w:fill="auto"/>
            <w:noWrap/>
            <w:vAlign w:val="bottom"/>
            <w:hideMark/>
          </w:tcPr>
          <w:p w14:paraId="4540C6FE" w14:textId="77777777" w:rsidR="00F20488" w:rsidRPr="001134B0" w:rsidRDefault="00F20488" w:rsidP="00F20488">
            <w:pPr>
              <w:pStyle w:val="TCTableBody"/>
              <w:rPr>
                <w:rFonts w:cs="Times"/>
                <w:sz w:val="20"/>
              </w:rPr>
            </w:pPr>
            <w:r w:rsidRPr="001134B0">
              <w:rPr>
                <w:rFonts w:cs="Times"/>
                <w:sz w:val="20"/>
              </w:rPr>
              <w:t>0.64</w:t>
            </w:r>
          </w:p>
        </w:tc>
        <w:tc>
          <w:tcPr>
            <w:tcW w:w="850" w:type="dxa"/>
            <w:shd w:val="clear" w:color="auto" w:fill="auto"/>
            <w:noWrap/>
            <w:vAlign w:val="bottom"/>
            <w:hideMark/>
          </w:tcPr>
          <w:p w14:paraId="611ED15E" w14:textId="77777777" w:rsidR="00F20488" w:rsidRPr="001134B0" w:rsidRDefault="00F20488" w:rsidP="00F20488">
            <w:pPr>
              <w:pStyle w:val="TCTableBody"/>
              <w:rPr>
                <w:rFonts w:cs="Times"/>
                <w:sz w:val="20"/>
              </w:rPr>
            </w:pPr>
            <w:r w:rsidRPr="001134B0">
              <w:rPr>
                <w:rFonts w:cs="Times"/>
                <w:sz w:val="20"/>
              </w:rPr>
              <w:t>0.28</w:t>
            </w:r>
          </w:p>
        </w:tc>
        <w:tc>
          <w:tcPr>
            <w:tcW w:w="851" w:type="dxa"/>
            <w:shd w:val="clear" w:color="auto" w:fill="auto"/>
            <w:noWrap/>
            <w:vAlign w:val="bottom"/>
            <w:hideMark/>
          </w:tcPr>
          <w:p w14:paraId="7652EDD8" w14:textId="77777777" w:rsidR="00F20488" w:rsidRPr="001134B0" w:rsidRDefault="00F20488" w:rsidP="00F20488">
            <w:pPr>
              <w:pStyle w:val="TCTableBody"/>
              <w:rPr>
                <w:rFonts w:cs="Times"/>
                <w:sz w:val="20"/>
              </w:rPr>
            </w:pPr>
            <w:r w:rsidRPr="001134B0">
              <w:rPr>
                <w:rFonts w:cs="Times"/>
                <w:sz w:val="20"/>
              </w:rPr>
              <w:t>0.7</w:t>
            </w:r>
          </w:p>
        </w:tc>
        <w:tc>
          <w:tcPr>
            <w:tcW w:w="1275" w:type="dxa"/>
            <w:shd w:val="clear" w:color="auto" w:fill="auto"/>
            <w:noWrap/>
            <w:vAlign w:val="bottom"/>
            <w:hideMark/>
          </w:tcPr>
          <w:p w14:paraId="667B6A7B" w14:textId="77777777" w:rsidR="00F20488" w:rsidRPr="001134B0" w:rsidRDefault="00F20488" w:rsidP="00F20488">
            <w:pPr>
              <w:pStyle w:val="TCTableBody"/>
              <w:rPr>
                <w:rFonts w:cs="Times"/>
                <w:sz w:val="20"/>
              </w:rPr>
            </w:pPr>
            <w:r w:rsidRPr="001134B0">
              <w:rPr>
                <w:rFonts w:cs="Times"/>
                <w:sz w:val="20"/>
              </w:rPr>
              <w:t>0.54 ± 0.09</w:t>
            </w:r>
          </w:p>
        </w:tc>
        <w:tc>
          <w:tcPr>
            <w:tcW w:w="1276" w:type="dxa"/>
            <w:shd w:val="clear" w:color="auto" w:fill="auto"/>
            <w:noWrap/>
            <w:vAlign w:val="bottom"/>
            <w:hideMark/>
          </w:tcPr>
          <w:p w14:paraId="27B0E9FF" w14:textId="77777777" w:rsidR="00F20488" w:rsidRPr="001134B0" w:rsidRDefault="00F20488" w:rsidP="00F20488">
            <w:pPr>
              <w:pStyle w:val="TCTableBody"/>
              <w:rPr>
                <w:rFonts w:cs="Times"/>
                <w:sz w:val="20"/>
              </w:rPr>
            </w:pPr>
            <w:r w:rsidRPr="001134B0">
              <w:rPr>
                <w:rFonts w:cs="Times"/>
                <w:sz w:val="20"/>
              </w:rPr>
              <w:t>0.07 ± 0.17</w:t>
            </w:r>
          </w:p>
        </w:tc>
        <w:tc>
          <w:tcPr>
            <w:tcW w:w="1276" w:type="dxa"/>
            <w:shd w:val="clear" w:color="auto" w:fill="auto"/>
            <w:noWrap/>
            <w:vAlign w:val="bottom"/>
            <w:hideMark/>
          </w:tcPr>
          <w:p w14:paraId="490D9209" w14:textId="77777777" w:rsidR="00F20488" w:rsidRPr="001134B0" w:rsidRDefault="00F20488" w:rsidP="00F20488">
            <w:pPr>
              <w:pStyle w:val="TCTableBody"/>
              <w:rPr>
                <w:rFonts w:cs="Times"/>
                <w:sz w:val="20"/>
              </w:rPr>
            </w:pPr>
            <w:r w:rsidRPr="001134B0">
              <w:rPr>
                <w:rFonts w:cs="Times"/>
                <w:sz w:val="20"/>
              </w:rPr>
              <w:t>0.6 ± 0.12</w:t>
            </w:r>
          </w:p>
        </w:tc>
      </w:tr>
      <w:tr w:rsidR="00F20488" w:rsidRPr="001134B0" w14:paraId="5F1613F8" w14:textId="77777777" w:rsidTr="00BA2CEA">
        <w:trPr>
          <w:trHeight w:val="315"/>
        </w:trPr>
        <w:tc>
          <w:tcPr>
            <w:tcW w:w="2263" w:type="dxa"/>
            <w:vMerge/>
            <w:vAlign w:val="center"/>
            <w:hideMark/>
          </w:tcPr>
          <w:p w14:paraId="587F7561"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2CC6E713" w14:textId="77777777" w:rsidR="00F20488" w:rsidRPr="001134B0" w:rsidRDefault="00F20488" w:rsidP="00F20488">
            <w:pPr>
              <w:pStyle w:val="TCTableBody"/>
              <w:rPr>
                <w:rFonts w:cs="Times"/>
                <w:sz w:val="20"/>
              </w:rPr>
            </w:pPr>
            <w:proofErr w:type="spellStart"/>
            <w:r w:rsidRPr="001134B0">
              <w:rPr>
                <w:rFonts w:cs="Times"/>
                <w:sz w:val="20"/>
              </w:rPr>
              <w:t>Morgan+CP</w:t>
            </w:r>
            <w:proofErr w:type="spellEnd"/>
          </w:p>
        </w:tc>
        <w:tc>
          <w:tcPr>
            <w:tcW w:w="851" w:type="dxa"/>
            <w:shd w:val="clear" w:color="auto" w:fill="auto"/>
            <w:noWrap/>
            <w:vAlign w:val="bottom"/>
            <w:hideMark/>
          </w:tcPr>
          <w:p w14:paraId="659B9FC3" w14:textId="77777777" w:rsidR="00F20488" w:rsidRPr="001134B0" w:rsidRDefault="00F20488" w:rsidP="00F20488">
            <w:pPr>
              <w:pStyle w:val="TCTableBody"/>
              <w:rPr>
                <w:rFonts w:cs="Times"/>
                <w:sz w:val="20"/>
              </w:rPr>
            </w:pPr>
            <w:r w:rsidRPr="001134B0">
              <w:rPr>
                <w:rFonts w:cs="Times"/>
                <w:sz w:val="20"/>
              </w:rPr>
              <w:t>0.62</w:t>
            </w:r>
          </w:p>
        </w:tc>
        <w:tc>
          <w:tcPr>
            <w:tcW w:w="850" w:type="dxa"/>
            <w:shd w:val="clear" w:color="auto" w:fill="auto"/>
            <w:noWrap/>
            <w:vAlign w:val="bottom"/>
            <w:hideMark/>
          </w:tcPr>
          <w:p w14:paraId="1E4CF035" w14:textId="77777777" w:rsidR="00F20488" w:rsidRPr="001134B0" w:rsidRDefault="00F20488" w:rsidP="00F20488">
            <w:pPr>
              <w:pStyle w:val="TCTableBody"/>
              <w:rPr>
                <w:rFonts w:cs="Times"/>
                <w:sz w:val="20"/>
              </w:rPr>
            </w:pPr>
            <w:r w:rsidRPr="001134B0">
              <w:rPr>
                <w:rFonts w:cs="Times"/>
                <w:sz w:val="20"/>
              </w:rPr>
              <w:t>0.24</w:t>
            </w:r>
          </w:p>
        </w:tc>
        <w:tc>
          <w:tcPr>
            <w:tcW w:w="851" w:type="dxa"/>
            <w:shd w:val="clear" w:color="auto" w:fill="auto"/>
            <w:noWrap/>
            <w:vAlign w:val="bottom"/>
            <w:hideMark/>
          </w:tcPr>
          <w:p w14:paraId="08A7D81B" w14:textId="77777777" w:rsidR="00F20488" w:rsidRPr="001134B0" w:rsidRDefault="00F20488" w:rsidP="00F20488">
            <w:pPr>
              <w:pStyle w:val="TCTableBody"/>
              <w:rPr>
                <w:rFonts w:cs="Times"/>
                <w:sz w:val="20"/>
              </w:rPr>
            </w:pPr>
            <w:r w:rsidRPr="001134B0">
              <w:rPr>
                <w:rFonts w:cs="Times"/>
                <w:sz w:val="20"/>
              </w:rPr>
              <w:t>0.68</w:t>
            </w:r>
          </w:p>
        </w:tc>
        <w:tc>
          <w:tcPr>
            <w:tcW w:w="1275" w:type="dxa"/>
            <w:shd w:val="clear" w:color="auto" w:fill="auto"/>
            <w:noWrap/>
            <w:vAlign w:val="bottom"/>
            <w:hideMark/>
          </w:tcPr>
          <w:p w14:paraId="2A1A35CA" w14:textId="77777777" w:rsidR="00F20488" w:rsidRPr="001134B0" w:rsidRDefault="00F20488" w:rsidP="00F20488">
            <w:pPr>
              <w:pStyle w:val="TCTableBody"/>
              <w:rPr>
                <w:rFonts w:cs="Times"/>
                <w:sz w:val="20"/>
              </w:rPr>
            </w:pPr>
            <w:r w:rsidRPr="001134B0">
              <w:rPr>
                <w:rFonts w:cs="Times"/>
                <w:sz w:val="20"/>
              </w:rPr>
              <w:t>0.65 ± 0.12</w:t>
            </w:r>
          </w:p>
        </w:tc>
        <w:tc>
          <w:tcPr>
            <w:tcW w:w="1276" w:type="dxa"/>
            <w:shd w:val="clear" w:color="auto" w:fill="auto"/>
            <w:noWrap/>
            <w:vAlign w:val="bottom"/>
            <w:hideMark/>
          </w:tcPr>
          <w:p w14:paraId="4A8E3FC7" w14:textId="77777777" w:rsidR="00F20488" w:rsidRPr="001134B0" w:rsidRDefault="00F20488" w:rsidP="00F20488">
            <w:pPr>
              <w:pStyle w:val="TCTableBody"/>
              <w:rPr>
                <w:rFonts w:cs="Times"/>
                <w:sz w:val="20"/>
              </w:rPr>
            </w:pPr>
            <w:r w:rsidRPr="001134B0">
              <w:rPr>
                <w:rFonts w:cs="Times"/>
                <w:sz w:val="20"/>
              </w:rPr>
              <w:t>0.22 ± 0.18</w:t>
            </w:r>
          </w:p>
        </w:tc>
        <w:tc>
          <w:tcPr>
            <w:tcW w:w="1276" w:type="dxa"/>
            <w:shd w:val="clear" w:color="auto" w:fill="auto"/>
            <w:noWrap/>
            <w:vAlign w:val="bottom"/>
            <w:hideMark/>
          </w:tcPr>
          <w:p w14:paraId="4E319460" w14:textId="77777777" w:rsidR="00F20488" w:rsidRPr="001134B0" w:rsidRDefault="00F20488" w:rsidP="00F20488">
            <w:pPr>
              <w:pStyle w:val="TCTableBody"/>
              <w:rPr>
                <w:rFonts w:cs="Times"/>
                <w:sz w:val="20"/>
              </w:rPr>
            </w:pPr>
            <w:r w:rsidRPr="001134B0">
              <w:rPr>
                <w:rFonts w:cs="Times"/>
                <w:sz w:val="20"/>
              </w:rPr>
              <w:t>0.73 ± 0.11</w:t>
            </w:r>
          </w:p>
        </w:tc>
      </w:tr>
      <w:tr w:rsidR="00F20488" w:rsidRPr="001134B0" w14:paraId="72381C85" w14:textId="77777777" w:rsidTr="00BA2CEA">
        <w:trPr>
          <w:trHeight w:val="315"/>
        </w:trPr>
        <w:tc>
          <w:tcPr>
            <w:tcW w:w="2263" w:type="dxa"/>
            <w:vMerge w:val="restart"/>
            <w:shd w:val="clear" w:color="auto" w:fill="auto"/>
            <w:noWrap/>
            <w:vAlign w:val="bottom"/>
            <w:hideMark/>
          </w:tcPr>
          <w:p w14:paraId="5DE9FD24" w14:textId="77777777" w:rsidR="00F20488" w:rsidRPr="001134B0" w:rsidRDefault="00F20488" w:rsidP="00F20488">
            <w:pPr>
              <w:pStyle w:val="TCTableBody"/>
              <w:rPr>
                <w:rFonts w:cs="Times"/>
                <w:sz w:val="20"/>
              </w:rPr>
            </w:pPr>
            <w:r w:rsidRPr="001134B0">
              <w:rPr>
                <w:rFonts w:cs="Times"/>
                <w:sz w:val="20"/>
              </w:rPr>
              <w:t>BSK_3C_</w:t>
            </w:r>
          </w:p>
          <w:p w14:paraId="6D08FCEA" w14:textId="66AB8A6A" w:rsidR="00F20488" w:rsidRPr="001134B0" w:rsidRDefault="00F20488" w:rsidP="00F20488">
            <w:pPr>
              <w:pStyle w:val="TCTableBody"/>
              <w:rPr>
                <w:rFonts w:cs="Times"/>
                <w:sz w:val="20"/>
              </w:rPr>
            </w:pPr>
            <w:proofErr w:type="spellStart"/>
            <w:r w:rsidRPr="001134B0">
              <w:rPr>
                <w:rFonts w:cs="Times"/>
                <w:sz w:val="20"/>
              </w:rPr>
              <w:t>SRB_down</w:t>
            </w:r>
            <w:proofErr w:type="spellEnd"/>
          </w:p>
        </w:tc>
        <w:tc>
          <w:tcPr>
            <w:tcW w:w="1276" w:type="dxa"/>
            <w:shd w:val="clear" w:color="auto" w:fill="auto"/>
            <w:noWrap/>
            <w:vAlign w:val="bottom"/>
            <w:hideMark/>
          </w:tcPr>
          <w:p w14:paraId="0CDB8576" w14:textId="77777777" w:rsidR="00F20488" w:rsidRPr="001134B0" w:rsidRDefault="00F20488" w:rsidP="00F20488">
            <w:pPr>
              <w:pStyle w:val="TCTableBody"/>
              <w:rPr>
                <w:rFonts w:cs="Times"/>
                <w:sz w:val="20"/>
              </w:rPr>
            </w:pPr>
            <w:r w:rsidRPr="001134B0">
              <w:rPr>
                <w:rFonts w:cs="Times"/>
                <w:sz w:val="20"/>
              </w:rPr>
              <w:t>CP</w:t>
            </w:r>
          </w:p>
        </w:tc>
        <w:tc>
          <w:tcPr>
            <w:tcW w:w="851" w:type="dxa"/>
            <w:shd w:val="clear" w:color="auto" w:fill="auto"/>
            <w:noWrap/>
            <w:vAlign w:val="bottom"/>
            <w:hideMark/>
          </w:tcPr>
          <w:p w14:paraId="5C9BBB6F" w14:textId="77777777" w:rsidR="00F20488" w:rsidRPr="001134B0" w:rsidRDefault="00F20488" w:rsidP="00F20488">
            <w:pPr>
              <w:pStyle w:val="TCTableBody"/>
              <w:rPr>
                <w:rFonts w:cs="Times"/>
                <w:sz w:val="20"/>
              </w:rPr>
            </w:pPr>
            <w:r w:rsidRPr="001134B0">
              <w:rPr>
                <w:rFonts w:cs="Times"/>
                <w:sz w:val="20"/>
              </w:rPr>
              <w:t>0.58</w:t>
            </w:r>
          </w:p>
        </w:tc>
        <w:tc>
          <w:tcPr>
            <w:tcW w:w="850" w:type="dxa"/>
            <w:shd w:val="clear" w:color="auto" w:fill="auto"/>
            <w:noWrap/>
            <w:vAlign w:val="bottom"/>
            <w:hideMark/>
          </w:tcPr>
          <w:p w14:paraId="5D727AAC" w14:textId="77777777" w:rsidR="00F20488" w:rsidRPr="001134B0" w:rsidRDefault="00F20488" w:rsidP="00F20488">
            <w:pPr>
              <w:pStyle w:val="TCTableBody"/>
              <w:rPr>
                <w:rFonts w:cs="Times"/>
                <w:sz w:val="20"/>
              </w:rPr>
            </w:pPr>
            <w:r w:rsidRPr="001134B0">
              <w:rPr>
                <w:rFonts w:cs="Times"/>
                <w:sz w:val="20"/>
              </w:rPr>
              <w:t>0.16</w:t>
            </w:r>
          </w:p>
        </w:tc>
        <w:tc>
          <w:tcPr>
            <w:tcW w:w="851" w:type="dxa"/>
            <w:shd w:val="clear" w:color="auto" w:fill="auto"/>
            <w:noWrap/>
            <w:vAlign w:val="bottom"/>
            <w:hideMark/>
          </w:tcPr>
          <w:p w14:paraId="0BD9012A" w14:textId="77777777" w:rsidR="00F20488" w:rsidRPr="001134B0" w:rsidRDefault="00F20488" w:rsidP="00F20488">
            <w:pPr>
              <w:pStyle w:val="TCTableBody"/>
              <w:rPr>
                <w:rFonts w:cs="Times"/>
                <w:sz w:val="20"/>
              </w:rPr>
            </w:pPr>
            <w:r w:rsidRPr="001134B0">
              <w:rPr>
                <w:rFonts w:cs="Times"/>
                <w:sz w:val="20"/>
              </w:rPr>
              <w:t>0.57</w:t>
            </w:r>
          </w:p>
        </w:tc>
        <w:tc>
          <w:tcPr>
            <w:tcW w:w="1275" w:type="dxa"/>
            <w:shd w:val="clear" w:color="auto" w:fill="auto"/>
            <w:noWrap/>
            <w:vAlign w:val="bottom"/>
            <w:hideMark/>
          </w:tcPr>
          <w:p w14:paraId="1F0E5238" w14:textId="77777777" w:rsidR="00F20488" w:rsidRPr="001134B0" w:rsidRDefault="00F20488" w:rsidP="00F20488">
            <w:pPr>
              <w:pStyle w:val="TCTableBody"/>
              <w:rPr>
                <w:rFonts w:cs="Times"/>
                <w:sz w:val="20"/>
              </w:rPr>
            </w:pPr>
            <w:r w:rsidRPr="001134B0">
              <w:rPr>
                <w:rFonts w:cs="Times"/>
                <w:sz w:val="20"/>
              </w:rPr>
              <w:t>0.6 ± 0.09</w:t>
            </w:r>
          </w:p>
        </w:tc>
        <w:tc>
          <w:tcPr>
            <w:tcW w:w="1276" w:type="dxa"/>
            <w:shd w:val="clear" w:color="auto" w:fill="auto"/>
            <w:noWrap/>
            <w:vAlign w:val="bottom"/>
            <w:hideMark/>
          </w:tcPr>
          <w:p w14:paraId="0374FD66" w14:textId="77777777" w:rsidR="00F20488" w:rsidRPr="001134B0" w:rsidRDefault="00F20488" w:rsidP="00F20488">
            <w:pPr>
              <w:pStyle w:val="TCTableBody"/>
              <w:rPr>
                <w:rFonts w:cs="Times"/>
                <w:sz w:val="20"/>
              </w:rPr>
            </w:pPr>
            <w:r w:rsidRPr="001134B0">
              <w:rPr>
                <w:rFonts w:cs="Times"/>
                <w:sz w:val="20"/>
              </w:rPr>
              <w:t>0.18 ± 0.15</w:t>
            </w:r>
          </w:p>
        </w:tc>
        <w:tc>
          <w:tcPr>
            <w:tcW w:w="1276" w:type="dxa"/>
            <w:shd w:val="clear" w:color="auto" w:fill="auto"/>
            <w:noWrap/>
            <w:vAlign w:val="bottom"/>
            <w:hideMark/>
          </w:tcPr>
          <w:p w14:paraId="3A29D75F" w14:textId="77777777" w:rsidR="00F20488" w:rsidRPr="001134B0" w:rsidRDefault="00F20488" w:rsidP="00F20488">
            <w:pPr>
              <w:pStyle w:val="TCTableBody"/>
              <w:rPr>
                <w:rFonts w:cs="Times"/>
                <w:sz w:val="20"/>
              </w:rPr>
            </w:pPr>
            <w:r w:rsidRPr="001134B0">
              <w:rPr>
                <w:rFonts w:cs="Times"/>
                <w:sz w:val="20"/>
              </w:rPr>
              <w:t>0.67 ± 0.12</w:t>
            </w:r>
          </w:p>
        </w:tc>
      </w:tr>
      <w:tr w:rsidR="00F20488" w:rsidRPr="001134B0" w14:paraId="079E919E" w14:textId="77777777" w:rsidTr="00BA2CEA">
        <w:trPr>
          <w:trHeight w:val="315"/>
        </w:trPr>
        <w:tc>
          <w:tcPr>
            <w:tcW w:w="2263" w:type="dxa"/>
            <w:vMerge/>
            <w:vAlign w:val="center"/>
            <w:hideMark/>
          </w:tcPr>
          <w:p w14:paraId="6DAAFF51"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5411C0EF" w14:textId="77777777" w:rsidR="00F20488" w:rsidRPr="001134B0" w:rsidRDefault="00F20488" w:rsidP="00F20488">
            <w:pPr>
              <w:pStyle w:val="TCTableBody"/>
              <w:rPr>
                <w:rFonts w:cs="Times"/>
                <w:sz w:val="20"/>
              </w:rPr>
            </w:pPr>
            <w:proofErr w:type="spellStart"/>
            <w:r w:rsidRPr="001134B0">
              <w:rPr>
                <w:rFonts w:cs="Times"/>
                <w:sz w:val="20"/>
              </w:rPr>
              <w:t>ErG</w:t>
            </w:r>
            <w:proofErr w:type="spellEnd"/>
          </w:p>
        </w:tc>
        <w:tc>
          <w:tcPr>
            <w:tcW w:w="851" w:type="dxa"/>
            <w:shd w:val="clear" w:color="auto" w:fill="auto"/>
            <w:noWrap/>
            <w:vAlign w:val="bottom"/>
            <w:hideMark/>
          </w:tcPr>
          <w:p w14:paraId="48236A10" w14:textId="77777777" w:rsidR="00F20488" w:rsidRPr="001134B0" w:rsidRDefault="00F20488" w:rsidP="00F20488">
            <w:pPr>
              <w:pStyle w:val="TCTableBody"/>
              <w:rPr>
                <w:rFonts w:cs="Times"/>
                <w:sz w:val="20"/>
              </w:rPr>
            </w:pPr>
            <w:r w:rsidRPr="001134B0">
              <w:rPr>
                <w:rFonts w:cs="Times"/>
                <w:sz w:val="20"/>
              </w:rPr>
              <w:t>0.53</w:t>
            </w:r>
          </w:p>
        </w:tc>
        <w:tc>
          <w:tcPr>
            <w:tcW w:w="850" w:type="dxa"/>
            <w:shd w:val="clear" w:color="auto" w:fill="auto"/>
            <w:noWrap/>
            <w:vAlign w:val="bottom"/>
            <w:hideMark/>
          </w:tcPr>
          <w:p w14:paraId="11A8CE78" w14:textId="77777777" w:rsidR="00F20488" w:rsidRPr="001134B0" w:rsidRDefault="00F20488" w:rsidP="00F20488">
            <w:pPr>
              <w:pStyle w:val="TCTableBody"/>
              <w:rPr>
                <w:rFonts w:cs="Times"/>
                <w:sz w:val="20"/>
              </w:rPr>
            </w:pPr>
            <w:r w:rsidRPr="001134B0">
              <w:rPr>
                <w:rFonts w:cs="Times"/>
                <w:sz w:val="20"/>
              </w:rPr>
              <w:t>0.06</w:t>
            </w:r>
          </w:p>
        </w:tc>
        <w:tc>
          <w:tcPr>
            <w:tcW w:w="851" w:type="dxa"/>
            <w:shd w:val="clear" w:color="auto" w:fill="auto"/>
            <w:noWrap/>
            <w:vAlign w:val="bottom"/>
            <w:hideMark/>
          </w:tcPr>
          <w:p w14:paraId="14057F3A" w14:textId="77777777" w:rsidR="00F20488" w:rsidRPr="001134B0" w:rsidRDefault="00F20488" w:rsidP="00F20488">
            <w:pPr>
              <w:pStyle w:val="TCTableBody"/>
              <w:rPr>
                <w:rFonts w:cs="Times"/>
                <w:sz w:val="20"/>
              </w:rPr>
            </w:pPr>
            <w:r w:rsidRPr="001134B0">
              <w:rPr>
                <w:rFonts w:cs="Times"/>
                <w:sz w:val="20"/>
              </w:rPr>
              <w:t>0.61</w:t>
            </w:r>
          </w:p>
        </w:tc>
        <w:tc>
          <w:tcPr>
            <w:tcW w:w="1275" w:type="dxa"/>
            <w:shd w:val="clear" w:color="auto" w:fill="auto"/>
            <w:noWrap/>
            <w:vAlign w:val="bottom"/>
            <w:hideMark/>
          </w:tcPr>
          <w:p w14:paraId="31EE9F4D" w14:textId="77777777" w:rsidR="00F20488" w:rsidRPr="001134B0" w:rsidRDefault="00F20488" w:rsidP="00F20488">
            <w:pPr>
              <w:pStyle w:val="TCTableBody"/>
              <w:rPr>
                <w:rFonts w:cs="Times"/>
                <w:sz w:val="20"/>
              </w:rPr>
            </w:pPr>
            <w:r w:rsidRPr="001134B0">
              <w:rPr>
                <w:rFonts w:cs="Times"/>
                <w:sz w:val="20"/>
              </w:rPr>
              <w:t>0.48 ± 0.05</w:t>
            </w:r>
          </w:p>
        </w:tc>
        <w:tc>
          <w:tcPr>
            <w:tcW w:w="1276" w:type="dxa"/>
            <w:shd w:val="clear" w:color="auto" w:fill="auto"/>
            <w:noWrap/>
            <w:vAlign w:val="bottom"/>
            <w:hideMark/>
          </w:tcPr>
          <w:p w14:paraId="2A620E89" w14:textId="77777777" w:rsidR="00F20488" w:rsidRPr="001134B0" w:rsidRDefault="00F20488" w:rsidP="00F20488">
            <w:pPr>
              <w:pStyle w:val="TCTableBody"/>
              <w:rPr>
                <w:rFonts w:cs="Times"/>
                <w:sz w:val="20"/>
              </w:rPr>
            </w:pPr>
            <w:r w:rsidRPr="001134B0">
              <w:rPr>
                <w:rFonts w:cs="Times"/>
                <w:sz w:val="20"/>
              </w:rPr>
              <w:t>-0.04 ± 0.09</w:t>
            </w:r>
          </w:p>
        </w:tc>
        <w:tc>
          <w:tcPr>
            <w:tcW w:w="1276" w:type="dxa"/>
            <w:shd w:val="clear" w:color="auto" w:fill="auto"/>
            <w:noWrap/>
            <w:vAlign w:val="bottom"/>
            <w:hideMark/>
          </w:tcPr>
          <w:p w14:paraId="0ED47524" w14:textId="77777777" w:rsidR="00F20488" w:rsidRPr="001134B0" w:rsidRDefault="00F20488" w:rsidP="00F20488">
            <w:pPr>
              <w:pStyle w:val="TCTableBody"/>
              <w:rPr>
                <w:rFonts w:cs="Times"/>
                <w:sz w:val="20"/>
              </w:rPr>
            </w:pPr>
            <w:r w:rsidRPr="001134B0">
              <w:rPr>
                <w:rFonts w:cs="Times"/>
                <w:sz w:val="20"/>
              </w:rPr>
              <w:t>0.53 ± 0.12</w:t>
            </w:r>
          </w:p>
        </w:tc>
      </w:tr>
      <w:tr w:rsidR="00F20488" w:rsidRPr="001134B0" w14:paraId="1A52F49F" w14:textId="77777777" w:rsidTr="00BA2CEA">
        <w:trPr>
          <w:trHeight w:val="300"/>
        </w:trPr>
        <w:tc>
          <w:tcPr>
            <w:tcW w:w="2263" w:type="dxa"/>
            <w:vMerge/>
            <w:vAlign w:val="center"/>
            <w:hideMark/>
          </w:tcPr>
          <w:p w14:paraId="6944FBF7"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16831AF5" w14:textId="77777777" w:rsidR="00F20488" w:rsidRPr="001134B0" w:rsidRDefault="00F20488" w:rsidP="00F20488">
            <w:pPr>
              <w:pStyle w:val="TCTableBody"/>
              <w:rPr>
                <w:rFonts w:cs="Times"/>
                <w:sz w:val="20"/>
              </w:rPr>
            </w:pPr>
            <w:proofErr w:type="spellStart"/>
            <w:r w:rsidRPr="001134B0">
              <w:rPr>
                <w:rFonts w:cs="Times"/>
                <w:sz w:val="20"/>
              </w:rPr>
              <w:t>ErG+CP</w:t>
            </w:r>
            <w:proofErr w:type="spellEnd"/>
          </w:p>
        </w:tc>
        <w:tc>
          <w:tcPr>
            <w:tcW w:w="851" w:type="dxa"/>
            <w:shd w:val="clear" w:color="auto" w:fill="auto"/>
            <w:noWrap/>
            <w:vAlign w:val="bottom"/>
            <w:hideMark/>
          </w:tcPr>
          <w:p w14:paraId="3EADF5E1" w14:textId="77777777" w:rsidR="00F20488" w:rsidRPr="001134B0" w:rsidRDefault="00F20488" w:rsidP="00F20488">
            <w:pPr>
              <w:pStyle w:val="TCTableBody"/>
              <w:rPr>
                <w:rFonts w:cs="Times"/>
                <w:sz w:val="20"/>
              </w:rPr>
            </w:pPr>
            <w:r w:rsidRPr="001134B0">
              <w:rPr>
                <w:rFonts w:cs="Times"/>
                <w:sz w:val="20"/>
              </w:rPr>
              <w:t>0.59</w:t>
            </w:r>
          </w:p>
        </w:tc>
        <w:tc>
          <w:tcPr>
            <w:tcW w:w="850" w:type="dxa"/>
            <w:shd w:val="clear" w:color="auto" w:fill="auto"/>
            <w:noWrap/>
            <w:vAlign w:val="bottom"/>
            <w:hideMark/>
          </w:tcPr>
          <w:p w14:paraId="32BEA084" w14:textId="77777777" w:rsidR="00F20488" w:rsidRPr="001134B0" w:rsidRDefault="00F20488" w:rsidP="00F20488">
            <w:pPr>
              <w:pStyle w:val="TCTableBody"/>
              <w:rPr>
                <w:rFonts w:cs="Times"/>
                <w:sz w:val="20"/>
              </w:rPr>
            </w:pPr>
            <w:r w:rsidRPr="001134B0">
              <w:rPr>
                <w:rFonts w:cs="Times"/>
                <w:sz w:val="20"/>
              </w:rPr>
              <w:t>0.19</w:t>
            </w:r>
          </w:p>
        </w:tc>
        <w:tc>
          <w:tcPr>
            <w:tcW w:w="851" w:type="dxa"/>
            <w:shd w:val="clear" w:color="auto" w:fill="auto"/>
            <w:noWrap/>
            <w:vAlign w:val="bottom"/>
            <w:hideMark/>
          </w:tcPr>
          <w:p w14:paraId="5620B162" w14:textId="77777777" w:rsidR="00F20488" w:rsidRPr="001134B0" w:rsidRDefault="00F20488" w:rsidP="00F20488">
            <w:pPr>
              <w:pStyle w:val="TCTableBody"/>
              <w:rPr>
                <w:rFonts w:cs="Times"/>
                <w:sz w:val="20"/>
              </w:rPr>
            </w:pPr>
            <w:r w:rsidRPr="001134B0">
              <w:rPr>
                <w:rFonts w:cs="Times"/>
                <w:sz w:val="20"/>
              </w:rPr>
              <w:t>0.63</w:t>
            </w:r>
          </w:p>
        </w:tc>
        <w:tc>
          <w:tcPr>
            <w:tcW w:w="1275" w:type="dxa"/>
            <w:shd w:val="clear" w:color="auto" w:fill="auto"/>
            <w:noWrap/>
            <w:vAlign w:val="bottom"/>
            <w:hideMark/>
          </w:tcPr>
          <w:p w14:paraId="3F41D6BE" w14:textId="77777777" w:rsidR="00F20488" w:rsidRPr="001134B0" w:rsidRDefault="00F20488" w:rsidP="00F20488">
            <w:pPr>
              <w:pStyle w:val="TCTableBody"/>
              <w:rPr>
                <w:rFonts w:cs="Times"/>
                <w:sz w:val="20"/>
              </w:rPr>
            </w:pPr>
            <w:r w:rsidRPr="001134B0">
              <w:rPr>
                <w:rFonts w:cs="Times"/>
                <w:sz w:val="20"/>
              </w:rPr>
              <w:t>0.61 ± 0.12</w:t>
            </w:r>
          </w:p>
        </w:tc>
        <w:tc>
          <w:tcPr>
            <w:tcW w:w="1276" w:type="dxa"/>
            <w:shd w:val="clear" w:color="auto" w:fill="auto"/>
            <w:noWrap/>
            <w:vAlign w:val="bottom"/>
            <w:hideMark/>
          </w:tcPr>
          <w:p w14:paraId="5BD7FE34" w14:textId="77777777" w:rsidR="00F20488" w:rsidRPr="001134B0" w:rsidRDefault="00F20488" w:rsidP="00F20488">
            <w:pPr>
              <w:pStyle w:val="TCTableBody"/>
              <w:rPr>
                <w:rFonts w:cs="Times"/>
                <w:sz w:val="20"/>
              </w:rPr>
            </w:pPr>
            <w:r w:rsidRPr="001134B0">
              <w:rPr>
                <w:rFonts w:cs="Times"/>
                <w:sz w:val="20"/>
              </w:rPr>
              <w:t>0.2 ± 0.21</w:t>
            </w:r>
          </w:p>
        </w:tc>
        <w:tc>
          <w:tcPr>
            <w:tcW w:w="1276" w:type="dxa"/>
            <w:shd w:val="clear" w:color="auto" w:fill="auto"/>
            <w:noWrap/>
            <w:vAlign w:val="bottom"/>
            <w:hideMark/>
          </w:tcPr>
          <w:p w14:paraId="0840002A" w14:textId="77777777" w:rsidR="00F20488" w:rsidRPr="001134B0" w:rsidRDefault="00F20488" w:rsidP="00F20488">
            <w:pPr>
              <w:pStyle w:val="TCTableBody"/>
              <w:rPr>
                <w:rFonts w:cs="Times"/>
                <w:sz w:val="20"/>
              </w:rPr>
            </w:pPr>
            <w:r w:rsidRPr="001134B0">
              <w:rPr>
                <w:rFonts w:cs="Times"/>
                <w:sz w:val="20"/>
              </w:rPr>
              <w:t>0.69 ± 0.1</w:t>
            </w:r>
          </w:p>
        </w:tc>
      </w:tr>
      <w:tr w:rsidR="00F20488" w:rsidRPr="001134B0" w14:paraId="383BE279" w14:textId="77777777" w:rsidTr="00BA2CEA">
        <w:trPr>
          <w:trHeight w:val="300"/>
        </w:trPr>
        <w:tc>
          <w:tcPr>
            <w:tcW w:w="2263" w:type="dxa"/>
            <w:vMerge/>
            <w:vAlign w:val="center"/>
            <w:hideMark/>
          </w:tcPr>
          <w:p w14:paraId="7B7F356D"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5A31833E" w14:textId="77777777" w:rsidR="00F20488" w:rsidRPr="001134B0" w:rsidRDefault="00F20488" w:rsidP="00F20488">
            <w:pPr>
              <w:pStyle w:val="TCTableBody"/>
              <w:rPr>
                <w:rFonts w:cs="Times"/>
                <w:sz w:val="20"/>
              </w:rPr>
            </w:pPr>
            <w:r w:rsidRPr="001134B0">
              <w:rPr>
                <w:rFonts w:cs="Times"/>
                <w:sz w:val="20"/>
              </w:rPr>
              <w:t>Morgan</w:t>
            </w:r>
          </w:p>
        </w:tc>
        <w:tc>
          <w:tcPr>
            <w:tcW w:w="851" w:type="dxa"/>
            <w:shd w:val="clear" w:color="auto" w:fill="auto"/>
            <w:noWrap/>
            <w:vAlign w:val="bottom"/>
            <w:hideMark/>
          </w:tcPr>
          <w:p w14:paraId="3884CA0D" w14:textId="77777777" w:rsidR="00F20488" w:rsidRPr="001134B0" w:rsidRDefault="00F20488" w:rsidP="00F20488">
            <w:pPr>
              <w:pStyle w:val="TCTableBody"/>
              <w:rPr>
                <w:rFonts w:cs="Times"/>
                <w:sz w:val="20"/>
              </w:rPr>
            </w:pPr>
            <w:r w:rsidRPr="001134B0">
              <w:rPr>
                <w:rFonts w:cs="Times"/>
                <w:sz w:val="20"/>
              </w:rPr>
              <w:t>0.49</w:t>
            </w:r>
          </w:p>
        </w:tc>
        <w:tc>
          <w:tcPr>
            <w:tcW w:w="850" w:type="dxa"/>
            <w:shd w:val="clear" w:color="auto" w:fill="auto"/>
            <w:noWrap/>
            <w:vAlign w:val="bottom"/>
            <w:hideMark/>
          </w:tcPr>
          <w:p w14:paraId="5948171C" w14:textId="77777777" w:rsidR="00F20488" w:rsidRPr="001134B0" w:rsidRDefault="00F20488" w:rsidP="00F20488">
            <w:pPr>
              <w:pStyle w:val="TCTableBody"/>
              <w:rPr>
                <w:rFonts w:cs="Times"/>
                <w:sz w:val="20"/>
              </w:rPr>
            </w:pPr>
            <w:r w:rsidRPr="001134B0">
              <w:rPr>
                <w:rFonts w:cs="Times"/>
                <w:sz w:val="20"/>
              </w:rPr>
              <w:t>-0.03</w:t>
            </w:r>
          </w:p>
        </w:tc>
        <w:tc>
          <w:tcPr>
            <w:tcW w:w="851" w:type="dxa"/>
            <w:shd w:val="clear" w:color="auto" w:fill="auto"/>
            <w:noWrap/>
            <w:vAlign w:val="bottom"/>
            <w:hideMark/>
          </w:tcPr>
          <w:p w14:paraId="3DAB6477" w14:textId="77777777" w:rsidR="00F20488" w:rsidRPr="001134B0" w:rsidRDefault="00F20488" w:rsidP="00F20488">
            <w:pPr>
              <w:pStyle w:val="TCTableBody"/>
              <w:rPr>
                <w:rFonts w:cs="Times"/>
                <w:sz w:val="20"/>
              </w:rPr>
            </w:pPr>
            <w:r w:rsidRPr="001134B0">
              <w:rPr>
                <w:rFonts w:cs="Times"/>
                <w:sz w:val="20"/>
              </w:rPr>
              <w:t>0.53</w:t>
            </w:r>
          </w:p>
        </w:tc>
        <w:tc>
          <w:tcPr>
            <w:tcW w:w="1275" w:type="dxa"/>
            <w:shd w:val="clear" w:color="auto" w:fill="auto"/>
            <w:noWrap/>
            <w:vAlign w:val="bottom"/>
            <w:hideMark/>
          </w:tcPr>
          <w:p w14:paraId="7339F428" w14:textId="77777777" w:rsidR="00F20488" w:rsidRPr="001134B0" w:rsidRDefault="00F20488" w:rsidP="00F20488">
            <w:pPr>
              <w:pStyle w:val="TCTableBody"/>
              <w:rPr>
                <w:rFonts w:cs="Times"/>
                <w:sz w:val="20"/>
              </w:rPr>
            </w:pPr>
            <w:r w:rsidRPr="001134B0">
              <w:rPr>
                <w:rFonts w:cs="Times"/>
                <w:sz w:val="20"/>
              </w:rPr>
              <w:t>0.52 ± 0.14</w:t>
            </w:r>
          </w:p>
        </w:tc>
        <w:tc>
          <w:tcPr>
            <w:tcW w:w="1276" w:type="dxa"/>
            <w:shd w:val="clear" w:color="auto" w:fill="auto"/>
            <w:noWrap/>
            <w:vAlign w:val="bottom"/>
            <w:hideMark/>
          </w:tcPr>
          <w:p w14:paraId="115894F3" w14:textId="77777777" w:rsidR="00F20488" w:rsidRPr="001134B0" w:rsidRDefault="00F20488" w:rsidP="00F20488">
            <w:pPr>
              <w:pStyle w:val="TCTableBody"/>
              <w:rPr>
                <w:rFonts w:cs="Times"/>
                <w:sz w:val="20"/>
              </w:rPr>
            </w:pPr>
            <w:r w:rsidRPr="001134B0">
              <w:rPr>
                <w:rFonts w:cs="Times"/>
                <w:sz w:val="20"/>
              </w:rPr>
              <w:t>0.06 ± 0.26</w:t>
            </w:r>
          </w:p>
        </w:tc>
        <w:tc>
          <w:tcPr>
            <w:tcW w:w="1276" w:type="dxa"/>
            <w:shd w:val="clear" w:color="auto" w:fill="auto"/>
            <w:noWrap/>
            <w:vAlign w:val="bottom"/>
            <w:hideMark/>
          </w:tcPr>
          <w:p w14:paraId="0E56EFD8" w14:textId="77777777" w:rsidR="00F20488" w:rsidRPr="001134B0" w:rsidRDefault="00F20488" w:rsidP="00F20488">
            <w:pPr>
              <w:pStyle w:val="TCTableBody"/>
              <w:rPr>
                <w:rFonts w:cs="Times"/>
                <w:sz w:val="20"/>
              </w:rPr>
            </w:pPr>
            <w:r w:rsidRPr="001134B0">
              <w:rPr>
                <w:rFonts w:cs="Times"/>
                <w:sz w:val="20"/>
              </w:rPr>
              <w:t>0.51 ± 0.17</w:t>
            </w:r>
          </w:p>
        </w:tc>
      </w:tr>
      <w:tr w:rsidR="00F20488" w:rsidRPr="001134B0" w14:paraId="01DD7328" w14:textId="77777777" w:rsidTr="00BA2CEA">
        <w:trPr>
          <w:trHeight w:val="315"/>
        </w:trPr>
        <w:tc>
          <w:tcPr>
            <w:tcW w:w="2263" w:type="dxa"/>
            <w:vMerge/>
            <w:vAlign w:val="center"/>
            <w:hideMark/>
          </w:tcPr>
          <w:p w14:paraId="6C6C0DDA"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085C527E" w14:textId="77777777" w:rsidR="00F20488" w:rsidRPr="001134B0" w:rsidRDefault="00F20488" w:rsidP="00F20488">
            <w:pPr>
              <w:pStyle w:val="TCTableBody"/>
              <w:rPr>
                <w:rFonts w:cs="Times"/>
                <w:sz w:val="20"/>
              </w:rPr>
            </w:pPr>
            <w:proofErr w:type="spellStart"/>
            <w:r w:rsidRPr="001134B0">
              <w:rPr>
                <w:rFonts w:cs="Times"/>
                <w:sz w:val="20"/>
              </w:rPr>
              <w:t>Morgan+CP</w:t>
            </w:r>
            <w:proofErr w:type="spellEnd"/>
          </w:p>
        </w:tc>
        <w:tc>
          <w:tcPr>
            <w:tcW w:w="851" w:type="dxa"/>
            <w:shd w:val="clear" w:color="auto" w:fill="auto"/>
            <w:noWrap/>
            <w:vAlign w:val="bottom"/>
            <w:hideMark/>
          </w:tcPr>
          <w:p w14:paraId="58D56DA2" w14:textId="77777777" w:rsidR="00F20488" w:rsidRPr="001134B0" w:rsidRDefault="00F20488" w:rsidP="00F20488">
            <w:pPr>
              <w:pStyle w:val="TCTableBody"/>
              <w:rPr>
                <w:rFonts w:cs="Times"/>
                <w:sz w:val="20"/>
              </w:rPr>
            </w:pPr>
            <w:r w:rsidRPr="001134B0">
              <w:rPr>
                <w:rFonts w:cs="Times"/>
                <w:sz w:val="20"/>
              </w:rPr>
              <w:t>0.56</w:t>
            </w:r>
          </w:p>
        </w:tc>
        <w:tc>
          <w:tcPr>
            <w:tcW w:w="850" w:type="dxa"/>
            <w:shd w:val="clear" w:color="auto" w:fill="auto"/>
            <w:noWrap/>
            <w:vAlign w:val="bottom"/>
            <w:hideMark/>
          </w:tcPr>
          <w:p w14:paraId="0EDBD318" w14:textId="77777777" w:rsidR="00F20488" w:rsidRPr="001134B0" w:rsidRDefault="00F20488" w:rsidP="00F20488">
            <w:pPr>
              <w:pStyle w:val="TCTableBody"/>
              <w:rPr>
                <w:rFonts w:cs="Times"/>
                <w:sz w:val="20"/>
              </w:rPr>
            </w:pPr>
            <w:r w:rsidRPr="001134B0">
              <w:rPr>
                <w:rFonts w:cs="Times"/>
                <w:sz w:val="20"/>
              </w:rPr>
              <w:t>0.13</w:t>
            </w:r>
          </w:p>
        </w:tc>
        <w:tc>
          <w:tcPr>
            <w:tcW w:w="851" w:type="dxa"/>
            <w:shd w:val="clear" w:color="auto" w:fill="auto"/>
            <w:noWrap/>
            <w:vAlign w:val="bottom"/>
            <w:hideMark/>
          </w:tcPr>
          <w:p w14:paraId="223E0122" w14:textId="77777777" w:rsidR="00F20488" w:rsidRPr="001134B0" w:rsidRDefault="00F20488" w:rsidP="00F20488">
            <w:pPr>
              <w:pStyle w:val="TCTableBody"/>
              <w:rPr>
                <w:rFonts w:cs="Times"/>
                <w:sz w:val="20"/>
              </w:rPr>
            </w:pPr>
            <w:r w:rsidRPr="001134B0">
              <w:rPr>
                <w:rFonts w:cs="Times"/>
                <w:sz w:val="20"/>
              </w:rPr>
              <w:t>0.56</w:t>
            </w:r>
          </w:p>
        </w:tc>
        <w:tc>
          <w:tcPr>
            <w:tcW w:w="1275" w:type="dxa"/>
            <w:shd w:val="clear" w:color="auto" w:fill="auto"/>
            <w:noWrap/>
            <w:vAlign w:val="bottom"/>
            <w:hideMark/>
          </w:tcPr>
          <w:p w14:paraId="3FBE3EC8" w14:textId="77777777" w:rsidR="00F20488" w:rsidRPr="001134B0" w:rsidRDefault="00F20488" w:rsidP="00F20488">
            <w:pPr>
              <w:pStyle w:val="TCTableBody"/>
              <w:rPr>
                <w:rFonts w:cs="Times"/>
                <w:sz w:val="20"/>
              </w:rPr>
            </w:pPr>
            <w:r w:rsidRPr="001134B0">
              <w:rPr>
                <w:rFonts w:cs="Times"/>
                <w:sz w:val="20"/>
              </w:rPr>
              <w:t>0.61 ± 0.07</w:t>
            </w:r>
          </w:p>
        </w:tc>
        <w:tc>
          <w:tcPr>
            <w:tcW w:w="1276" w:type="dxa"/>
            <w:shd w:val="clear" w:color="auto" w:fill="auto"/>
            <w:noWrap/>
            <w:vAlign w:val="bottom"/>
            <w:hideMark/>
          </w:tcPr>
          <w:p w14:paraId="007B58CD" w14:textId="77777777" w:rsidR="00F20488" w:rsidRPr="001134B0" w:rsidRDefault="00F20488" w:rsidP="00F20488">
            <w:pPr>
              <w:pStyle w:val="TCTableBody"/>
              <w:rPr>
                <w:rFonts w:cs="Times"/>
                <w:sz w:val="20"/>
              </w:rPr>
            </w:pPr>
            <w:r w:rsidRPr="001134B0">
              <w:rPr>
                <w:rFonts w:cs="Times"/>
                <w:sz w:val="20"/>
              </w:rPr>
              <w:t>0.2 ± 0.13</w:t>
            </w:r>
          </w:p>
        </w:tc>
        <w:tc>
          <w:tcPr>
            <w:tcW w:w="1276" w:type="dxa"/>
            <w:shd w:val="clear" w:color="auto" w:fill="auto"/>
            <w:noWrap/>
            <w:vAlign w:val="bottom"/>
            <w:hideMark/>
          </w:tcPr>
          <w:p w14:paraId="170A514B" w14:textId="77777777" w:rsidR="00F20488" w:rsidRPr="001134B0" w:rsidRDefault="00F20488" w:rsidP="00F20488">
            <w:pPr>
              <w:pStyle w:val="TCTableBody"/>
              <w:rPr>
                <w:rFonts w:cs="Times"/>
                <w:sz w:val="20"/>
              </w:rPr>
            </w:pPr>
            <w:r w:rsidRPr="001134B0">
              <w:rPr>
                <w:rFonts w:cs="Times"/>
                <w:sz w:val="20"/>
              </w:rPr>
              <w:t>0.66 ± 0.06</w:t>
            </w:r>
          </w:p>
        </w:tc>
      </w:tr>
      <w:tr w:rsidR="00F20488" w:rsidRPr="001134B0" w14:paraId="2992679D" w14:textId="77777777" w:rsidTr="00BA2CEA">
        <w:trPr>
          <w:trHeight w:val="315"/>
        </w:trPr>
        <w:tc>
          <w:tcPr>
            <w:tcW w:w="2263" w:type="dxa"/>
            <w:vMerge w:val="restart"/>
            <w:shd w:val="clear" w:color="auto" w:fill="auto"/>
            <w:noWrap/>
            <w:vAlign w:val="bottom"/>
            <w:hideMark/>
          </w:tcPr>
          <w:p w14:paraId="58926904" w14:textId="77777777" w:rsidR="00F20488" w:rsidRPr="001134B0" w:rsidRDefault="00F20488" w:rsidP="00F20488">
            <w:pPr>
              <w:pStyle w:val="TCTableBody"/>
              <w:rPr>
                <w:rFonts w:cs="Times"/>
                <w:sz w:val="20"/>
              </w:rPr>
            </w:pPr>
            <w:r w:rsidRPr="001134B0">
              <w:rPr>
                <w:rFonts w:cs="Times"/>
                <w:sz w:val="20"/>
              </w:rPr>
              <w:t>BSK_3C_</w:t>
            </w:r>
          </w:p>
          <w:p w14:paraId="27977A65" w14:textId="1C53DEAE" w:rsidR="00F20488" w:rsidRPr="001134B0" w:rsidRDefault="00F20488" w:rsidP="00F20488">
            <w:pPr>
              <w:pStyle w:val="TCTableBody"/>
              <w:rPr>
                <w:rFonts w:cs="Times"/>
                <w:sz w:val="20"/>
              </w:rPr>
            </w:pPr>
            <w:proofErr w:type="spellStart"/>
            <w:r w:rsidRPr="001134B0">
              <w:rPr>
                <w:rFonts w:cs="Times"/>
                <w:sz w:val="20"/>
              </w:rPr>
              <w:t>Vis_down</w:t>
            </w:r>
            <w:proofErr w:type="spellEnd"/>
          </w:p>
        </w:tc>
        <w:tc>
          <w:tcPr>
            <w:tcW w:w="1276" w:type="dxa"/>
            <w:shd w:val="clear" w:color="auto" w:fill="auto"/>
            <w:noWrap/>
            <w:vAlign w:val="bottom"/>
            <w:hideMark/>
          </w:tcPr>
          <w:p w14:paraId="793F4101" w14:textId="77777777" w:rsidR="00F20488" w:rsidRPr="001134B0" w:rsidRDefault="00F20488" w:rsidP="00F20488">
            <w:pPr>
              <w:pStyle w:val="TCTableBody"/>
              <w:rPr>
                <w:rFonts w:cs="Times"/>
                <w:sz w:val="20"/>
              </w:rPr>
            </w:pPr>
            <w:r w:rsidRPr="001134B0">
              <w:rPr>
                <w:rFonts w:cs="Times"/>
                <w:sz w:val="20"/>
              </w:rPr>
              <w:t>CP</w:t>
            </w:r>
          </w:p>
        </w:tc>
        <w:tc>
          <w:tcPr>
            <w:tcW w:w="851" w:type="dxa"/>
            <w:shd w:val="clear" w:color="auto" w:fill="auto"/>
            <w:noWrap/>
            <w:vAlign w:val="bottom"/>
            <w:hideMark/>
          </w:tcPr>
          <w:p w14:paraId="0AADC76E" w14:textId="77777777" w:rsidR="00F20488" w:rsidRPr="001134B0" w:rsidRDefault="00F20488" w:rsidP="00F20488">
            <w:pPr>
              <w:pStyle w:val="TCTableBody"/>
              <w:rPr>
                <w:rFonts w:cs="Times"/>
                <w:sz w:val="20"/>
              </w:rPr>
            </w:pPr>
            <w:r w:rsidRPr="001134B0">
              <w:rPr>
                <w:rFonts w:cs="Times"/>
                <w:sz w:val="20"/>
              </w:rPr>
              <w:t>0.71</w:t>
            </w:r>
          </w:p>
        </w:tc>
        <w:tc>
          <w:tcPr>
            <w:tcW w:w="850" w:type="dxa"/>
            <w:shd w:val="clear" w:color="auto" w:fill="auto"/>
            <w:noWrap/>
            <w:vAlign w:val="bottom"/>
            <w:hideMark/>
          </w:tcPr>
          <w:p w14:paraId="47C86CCD" w14:textId="77777777" w:rsidR="00F20488" w:rsidRPr="001134B0" w:rsidRDefault="00F20488" w:rsidP="00F20488">
            <w:pPr>
              <w:pStyle w:val="TCTableBody"/>
              <w:rPr>
                <w:rFonts w:cs="Times"/>
                <w:sz w:val="20"/>
              </w:rPr>
            </w:pPr>
            <w:r w:rsidRPr="001134B0">
              <w:rPr>
                <w:rFonts w:cs="Times"/>
                <w:sz w:val="20"/>
              </w:rPr>
              <w:t>0.45</w:t>
            </w:r>
          </w:p>
        </w:tc>
        <w:tc>
          <w:tcPr>
            <w:tcW w:w="851" w:type="dxa"/>
            <w:shd w:val="clear" w:color="auto" w:fill="auto"/>
            <w:noWrap/>
            <w:vAlign w:val="bottom"/>
            <w:hideMark/>
          </w:tcPr>
          <w:p w14:paraId="6F02C3E5" w14:textId="77777777" w:rsidR="00F20488" w:rsidRPr="001134B0" w:rsidRDefault="00F20488" w:rsidP="00F20488">
            <w:pPr>
              <w:pStyle w:val="TCTableBody"/>
              <w:rPr>
                <w:rFonts w:cs="Times"/>
                <w:sz w:val="20"/>
              </w:rPr>
            </w:pPr>
            <w:r w:rsidRPr="001134B0">
              <w:rPr>
                <w:rFonts w:cs="Times"/>
                <w:sz w:val="20"/>
              </w:rPr>
              <w:t>0.73</w:t>
            </w:r>
          </w:p>
        </w:tc>
        <w:tc>
          <w:tcPr>
            <w:tcW w:w="1275" w:type="dxa"/>
            <w:shd w:val="clear" w:color="auto" w:fill="auto"/>
            <w:noWrap/>
            <w:vAlign w:val="bottom"/>
            <w:hideMark/>
          </w:tcPr>
          <w:p w14:paraId="582216B6" w14:textId="77777777" w:rsidR="00F20488" w:rsidRPr="001134B0" w:rsidRDefault="00F20488" w:rsidP="00F20488">
            <w:pPr>
              <w:pStyle w:val="TCTableBody"/>
              <w:rPr>
                <w:rFonts w:cs="Times"/>
                <w:sz w:val="20"/>
              </w:rPr>
            </w:pPr>
            <w:r w:rsidRPr="001134B0">
              <w:rPr>
                <w:rFonts w:cs="Times"/>
                <w:sz w:val="20"/>
              </w:rPr>
              <w:t>0.76 ± 0.14</w:t>
            </w:r>
          </w:p>
        </w:tc>
        <w:tc>
          <w:tcPr>
            <w:tcW w:w="1276" w:type="dxa"/>
            <w:shd w:val="clear" w:color="auto" w:fill="auto"/>
            <w:noWrap/>
            <w:vAlign w:val="bottom"/>
            <w:hideMark/>
          </w:tcPr>
          <w:p w14:paraId="2ECE1AF6" w14:textId="77777777" w:rsidR="00F20488" w:rsidRPr="001134B0" w:rsidRDefault="00F20488" w:rsidP="00F20488">
            <w:pPr>
              <w:pStyle w:val="TCTableBody"/>
              <w:rPr>
                <w:rFonts w:cs="Times"/>
                <w:sz w:val="20"/>
              </w:rPr>
            </w:pPr>
            <w:r w:rsidRPr="001134B0">
              <w:rPr>
                <w:rFonts w:cs="Times"/>
                <w:sz w:val="20"/>
              </w:rPr>
              <w:t>0.49 ± 0.25</w:t>
            </w:r>
          </w:p>
        </w:tc>
        <w:tc>
          <w:tcPr>
            <w:tcW w:w="1276" w:type="dxa"/>
            <w:shd w:val="clear" w:color="auto" w:fill="auto"/>
            <w:noWrap/>
            <w:vAlign w:val="bottom"/>
            <w:hideMark/>
          </w:tcPr>
          <w:p w14:paraId="33ED16DA" w14:textId="77777777" w:rsidR="00F20488" w:rsidRPr="001134B0" w:rsidRDefault="00F20488" w:rsidP="00F20488">
            <w:pPr>
              <w:pStyle w:val="TCTableBody"/>
              <w:rPr>
                <w:rFonts w:cs="Times"/>
                <w:sz w:val="20"/>
              </w:rPr>
            </w:pPr>
            <w:r w:rsidRPr="001134B0">
              <w:rPr>
                <w:rFonts w:cs="Times"/>
                <w:sz w:val="20"/>
              </w:rPr>
              <w:t>0.74 ± 0.12</w:t>
            </w:r>
          </w:p>
        </w:tc>
      </w:tr>
      <w:tr w:rsidR="00F20488" w:rsidRPr="001134B0" w14:paraId="60D55521" w14:textId="77777777" w:rsidTr="00BA2CEA">
        <w:trPr>
          <w:trHeight w:val="315"/>
        </w:trPr>
        <w:tc>
          <w:tcPr>
            <w:tcW w:w="2263" w:type="dxa"/>
            <w:vMerge/>
            <w:vAlign w:val="center"/>
            <w:hideMark/>
          </w:tcPr>
          <w:p w14:paraId="709DB146"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6CA6AFF5" w14:textId="77777777" w:rsidR="00F20488" w:rsidRPr="001134B0" w:rsidRDefault="00F20488" w:rsidP="00F20488">
            <w:pPr>
              <w:pStyle w:val="TCTableBody"/>
              <w:rPr>
                <w:rFonts w:cs="Times"/>
                <w:sz w:val="20"/>
              </w:rPr>
            </w:pPr>
            <w:proofErr w:type="spellStart"/>
            <w:r w:rsidRPr="001134B0">
              <w:rPr>
                <w:rFonts w:cs="Times"/>
                <w:sz w:val="20"/>
              </w:rPr>
              <w:t>ErG</w:t>
            </w:r>
            <w:proofErr w:type="spellEnd"/>
          </w:p>
        </w:tc>
        <w:tc>
          <w:tcPr>
            <w:tcW w:w="851" w:type="dxa"/>
            <w:shd w:val="clear" w:color="auto" w:fill="auto"/>
            <w:noWrap/>
            <w:vAlign w:val="bottom"/>
            <w:hideMark/>
          </w:tcPr>
          <w:p w14:paraId="51B928A3" w14:textId="77777777" w:rsidR="00F20488" w:rsidRPr="001134B0" w:rsidRDefault="00F20488" w:rsidP="00F20488">
            <w:pPr>
              <w:pStyle w:val="TCTableBody"/>
              <w:rPr>
                <w:rFonts w:cs="Times"/>
                <w:sz w:val="20"/>
              </w:rPr>
            </w:pPr>
            <w:r w:rsidRPr="001134B0">
              <w:rPr>
                <w:rFonts w:cs="Times"/>
                <w:sz w:val="20"/>
              </w:rPr>
              <w:t>0.59</w:t>
            </w:r>
          </w:p>
        </w:tc>
        <w:tc>
          <w:tcPr>
            <w:tcW w:w="850" w:type="dxa"/>
            <w:shd w:val="clear" w:color="auto" w:fill="auto"/>
            <w:noWrap/>
            <w:vAlign w:val="bottom"/>
            <w:hideMark/>
          </w:tcPr>
          <w:p w14:paraId="4758DEF0" w14:textId="77777777" w:rsidR="00F20488" w:rsidRPr="001134B0" w:rsidRDefault="00F20488" w:rsidP="00F20488">
            <w:pPr>
              <w:pStyle w:val="TCTableBody"/>
              <w:rPr>
                <w:rFonts w:cs="Times"/>
                <w:sz w:val="20"/>
              </w:rPr>
            </w:pPr>
            <w:r w:rsidRPr="001134B0">
              <w:rPr>
                <w:rFonts w:cs="Times"/>
                <w:sz w:val="20"/>
              </w:rPr>
              <w:t>0.21</w:t>
            </w:r>
          </w:p>
        </w:tc>
        <w:tc>
          <w:tcPr>
            <w:tcW w:w="851" w:type="dxa"/>
            <w:shd w:val="clear" w:color="auto" w:fill="auto"/>
            <w:noWrap/>
            <w:vAlign w:val="bottom"/>
            <w:hideMark/>
          </w:tcPr>
          <w:p w14:paraId="376D8257" w14:textId="77777777" w:rsidR="00F20488" w:rsidRPr="001134B0" w:rsidRDefault="00F20488" w:rsidP="00F20488">
            <w:pPr>
              <w:pStyle w:val="TCTableBody"/>
              <w:rPr>
                <w:rFonts w:cs="Times"/>
                <w:sz w:val="20"/>
              </w:rPr>
            </w:pPr>
            <w:r w:rsidRPr="001134B0">
              <w:rPr>
                <w:rFonts w:cs="Times"/>
                <w:sz w:val="20"/>
              </w:rPr>
              <w:t>0.67</w:t>
            </w:r>
          </w:p>
        </w:tc>
        <w:tc>
          <w:tcPr>
            <w:tcW w:w="1275" w:type="dxa"/>
            <w:shd w:val="clear" w:color="auto" w:fill="auto"/>
            <w:noWrap/>
            <w:vAlign w:val="bottom"/>
            <w:hideMark/>
          </w:tcPr>
          <w:p w14:paraId="7F2E25AF" w14:textId="77777777" w:rsidR="00F20488" w:rsidRPr="001134B0" w:rsidRDefault="00F20488" w:rsidP="00F20488">
            <w:pPr>
              <w:pStyle w:val="TCTableBody"/>
              <w:rPr>
                <w:rFonts w:cs="Times"/>
                <w:sz w:val="20"/>
              </w:rPr>
            </w:pPr>
            <w:r w:rsidRPr="001134B0">
              <w:rPr>
                <w:rFonts w:cs="Times"/>
                <w:sz w:val="20"/>
              </w:rPr>
              <w:t>0.57 ± 0.17</w:t>
            </w:r>
          </w:p>
        </w:tc>
        <w:tc>
          <w:tcPr>
            <w:tcW w:w="1276" w:type="dxa"/>
            <w:shd w:val="clear" w:color="auto" w:fill="auto"/>
            <w:noWrap/>
            <w:vAlign w:val="bottom"/>
            <w:hideMark/>
          </w:tcPr>
          <w:p w14:paraId="2868A1DD" w14:textId="77777777" w:rsidR="00F20488" w:rsidRPr="001134B0" w:rsidRDefault="00F20488" w:rsidP="00F20488">
            <w:pPr>
              <w:pStyle w:val="TCTableBody"/>
              <w:rPr>
                <w:rFonts w:cs="Times"/>
                <w:sz w:val="20"/>
              </w:rPr>
            </w:pPr>
            <w:r w:rsidRPr="001134B0">
              <w:rPr>
                <w:rFonts w:cs="Times"/>
                <w:sz w:val="20"/>
              </w:rPr>
              <w:t>0.11 ± 0.37</w:t>
            </w:r>
          </w:p>
        </w:tc>
        <w:tc>
          <w:tcPr>
            <w:tcW w:w="1276" w:type="dxa"/>
            <w:shd w:val="clear" w:color="auto" w:fill="auto"/>
            <w:noWrap/>
            <w:vAlign w:val="bottom"/>
            <w:hideMark/>
          </w:tcPr>
          <w:p w14:paraId="5116555B" w14:textId="77777777" w:rsidR="00F20488" w:rsidRPr="001134B0" w:rsidRDefault="00F20488" w:rsidP="00F20488">
            <w:pPr>
              <w:pStyle w:val="TCTableBody"/>
              <w:rPr>
                <w:rFonts w:cs="Times"/>
                <w:sz w:val="20"/>
              </w:rPr>
            </w:pPr>
            <w:r w:rsidRPr="001134B0">
              <w:rPr>
                <w:rFonts w:cs="Times"/>
                <w:sz w:val="20"/>
              </w:rPr>
              <w:t>0.55 ± 0.12</w:t>
            </w:r>
          </w:p>
        </w:tc>
      </w:tr>
      <w:tr w:rsidR="00F20488" w:rsidRPr="001134B0" w14:paraId="6DFB4A5B" w14:textId="77777777" w:rsidTr="00BA2CEA">
        <w:trPr>
          <w:trHeight w:val="300"/>
        </w:trPr>
        <w:tc>
          <w:tcPr>
            <w:tcW w:w="2263" w:type="dxa"/>
            <w:vMerge/>
            <w:vAlign w:val="center"/>
            <w:hideMark/>
          </w:tcPr>
          <w:p w14:paraId="732FC15B"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0A19AF41" w14:textId="77777777" w:rsidR="00F20488" w:rsidRPr="001134B0" w:rsidRDefault="00F20488" w:rsidP="00F20488">
            <w:pPr>
              <w:pStyle w:val="TCTableBody"/>
              <w:rPr>
                <w:rFonts w:cs="Times"/>
                <w:sz w:val="20"/>
              </w:rPr>
            </w:pPr>
            <w:proofErr w:type="spellStart"/>
            <w:r w:rsidRPr="001134B0">
              <w:rPr>
                <w:rFonts w:cs="Times"/>
                <w:sz w:val="20"/>
              </w:rPr>
              <w:t>ErG+CP</w:t>
            </w:r>
            <w:proofErr w:type="spellEnd"/>
          </w:p>
        </w:tc>
        <w:tc>
          <w:tcPr>
            <w:tcW w:w="851" w:type="dxa"/>
            <w:shd w:val="clear" w:color="auto" w:fill="auto"/>
            <w:noWrap/>
            <w:vAlign w:val="bottom"/>
            <w:hideMark/>
          </w:tcPr>
          <w:p w14:paraId="1665195F" w14:textId="77777777" w:rsidR="00F20488" w:rsidRPr="001134B0" w:rsidRDefault="00F20488" w:rsidP="00F20488">
            <w:pPr>
              <w:pStyle w:val="TCTableBody"/>
              <w:rPr>
                <w:rFonts w:cs="Times"/>
                <w:sz w:val="20"/>
              </w:rPr>
            </w:pPr>
            <w:r w:rsidRPr="001134B0">
              <w:rPr>
                <w:rFonts w:cs="Times"/>
                <w:sz w:val="20"/>
              </w:rPr>
              <w:t>0.64</w:t>
            </w:r>
          </w:p>
        </w:tc>
        <w:tc>
          <w:tcPr>
            <w:tcW w:w="850" w:type="dxa"/>
            <w:shd w:val="clear" w:color="auto" w:fill="auto"/>
            <w:noWrap/>
            <w:vAlign w:val="bottom"/>
            <w:hideMark/>
          </w:tcPr>
          <w:p w14:paraId="3F8B134D" w14:textId="77777777" w:rsidR="00F20488" w:rsidRPr="001134B0" w:rsidRDefault="00F20488" w:rsidP="00F20488">
            <w:pPr>
              <w:pStyle w:val="TCTableBody"/>
              <w:rPr>
                <w:rFonts w:cs="Times"/>
                <w:sz w:val="20"/>
              </w:rPr>
            </w:pPr>
            <w:r w:rsidRPr="001134B0">
              <w:rPr>
                <w:rFonts w:cs="Times"/>
                <w:sz w:val="20"/>
              </w:rPr>
              <w:t>0.32</w:t>
            </w:r>
          </w:p>
        </w:tc>
        <w:tc>
          <w:tcPr>
            <w:tcW w:w="851" w:type="dxa"/>
            <w:shd w:val="clear" w:color="auto" w:fill="auto"/>
            <w:noWrap/>
            <w:vAlign w:val="bottom"/>
            <w:hideMark/>
          </w:tcPr>
          <w:p w14:paraId="557036E1" w14:textId="77777777" w:rsidR="00F20488" w:rsidRPr="001134B0" w:rsidRDefault="00F20488" w:rsidP="00F20488">
            <w:pPr>
              <w:pStyle w:val="TCTableBody"/>
              <w:rPr>
                <w:rFonts w:cs="Times"/>
                <w:sz w:val="20"/>
              </w:rPr>
            </w:pPr>
            <w:r w:rsidRPr="001134B0">
              <w:rPr>
                <w:rFonts w:cs="Times"/>
                <w:sz w:val="20"/>
              </w:rPr>
              <w:t>0.71</w:t>
            </w:r>
          </w:p>
        </w:tc>
        <w:tc>
          <w:tcPr>
            <w:tcW w:w="1275" w:type="dxa"/>
            <w:shd w:val="clear" w:color="auto" w:fill="auto"/>
            <w:noWrap/>
            <w:vAlign w:val="bottom"/>
            <w:hideMark/>
          </w:tcPr>
          <w:p w14:paraId="4CF641A2" w14:textId="77777777" w:rsidR="00F20488" w:rsidRPr="001134B0" w:rsidRDefault="00F20488" w:rsidP="00F20488">
            <w:pPr>
              <w:pStyle w:val="TCTableBody"/>
              <w:rPr>
                <w:rFonts w:cs="Times"/>
                <w:sz w:val="20"/>
              </w:rPr>
            </w:pPr>
            <w:r w:rsidRPr="001134B0">
              <w:rPr>
                <w:rFonts w:cs="Times"/>
                <w:sz w:val="20"/>
              </w:rPr>
              <w:t>0.69 ± 0.14</w:t>
            </w:r>
          </w:p>
        </w:tc>
        <w:tc>
          <w:tcPr>
            <w:tcW w:w="1276" w:type="dxa"/>
            <w:shd w:val="clear" w:color="auto" w:fill="auto"/>
            <w:noWrap/>
            <w:vAlign w:val="bottom"/>
            <w:hideMark/>
          </w:tcPr>
          <w:p w14:paraId="1E40D346" w14:textId="77777777" w:rsidR="00F20488" w:rsidRPr="001134B0" w:rsidRDefault="00F20488" w:rsidP="00F20488">
            <w:pPr>
              <w:pStyle w:val="TCTableBody"/>
              <w:rPr>
                <w:rFonts w:cs="Times"/>
                <w:sz w:val="20"/>
              </w:rPr>
            </w:pPr>
            <w:r w:rsidRPr="001134B0">
              <w:rPr>
                <w:rFonts w:cs="Times"/>
                <w:sz w:val="20"/>
              </w:rPr>
              <w:t>0.34 ± 0.24</w:t>
            </w:r>
          </w:p>
        </w:tc>
        <w:tc>
          <w:tcPr>
            <w:tcW w:w="1276" w:type="dxa"/>
            <w:shd w:val="clear" w:color="auto" w:fill="auto"/>
            <w:noWrap/>
            <w:vAlign w:val="bottom"/>
            <w:hideMark/>
          </w:tcPr>
          <w:p w14:paraId="37F5DBBA" w14:textId="77777777" w:rsidR="00F20488" w:rsidRPr="001134B0" w:rsidRDefault="00F20488" w:rsidP="00F20488">
            <w:pPr>
              <w:pStyle w:val="TCTableBody"/>
              <w:rPr>
                <w:rFonts w:cs="Times"/>
                <w:sz w:val="20"/>
              </w:rPr>
            </w:pPr>
            <w:r w:rsidRPr="001134B0">
              <w:rPr>
                <w:rFonts w:cs="Times"/>
                <w:sz w:val="20"/>
              </w:rPr>
              <w:t>0.73 ± 0.14</w:t>
            </w:r>
          </w:p>
        </w:tc>
      </w:tr>
      <w:tr w:rsidR="00F20488" w:rsidRPr="001134B0" w14:paraId="0477BC03" w14:textId="77777777" w:rsidTr="00BA2CEA">
        <w:trPr>
          <w:trHeight w:val="300"/>
        </w:trPr>
        <w:tc>
          <w:tcPr>
            <w:tcW w:w="2263" w:type="dxa"/>
            <w:vMerge/>
            <w:vAlign w:val="center"/>
            <w:hideMark/>
          </w:tcPr>
          <w:p w14:paraId="5C607274"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7B13AD78" w14:textId="77777777" w:rsidR="00F20488" w:rsidRPr="001134B0" w:rsidRDefault="00F20488" w:rsidP="00F20488">
            <w:pPr>
              <w:pStyle w:val="TCTableBody"/>
              <w:rPr>
                <w:rFonts w:cs="Times"/>
                <w:sz w:val="20"/>
              </w:rPr>
            </w:pPr>
            <w:r w:rsidRPr="001134B0">
              <w:rPr>
                <w:rFonts w:cs="Times"/>
                <w:sz w:val="20"/>
              </w:rPr>
              <w:t>Morgan</w:t>
            </w:r>
          </w:p>
        </w:tc>
        <w:tc>
          <w:tcPr>
            <w:tcW w:w="851" w:type="dxa"/>
            <w:shd w:val="clear" w:color="auto" w:fill="auto"/>
            <w:noWrap/>
            <w:vAlign w:val="bottom"/>
            <w:hideMark/>
          </w:tcPr>
          <w:p w14:paraId="3CF2D2EC" w14:textId="77777777" w:rsidR="00F20488" w:rsidRPr="001134B0" w:rsidRDefault="00F20488" w:rsidP="00F20488">
            <w:pPr>
              <w:pStyle w:val="TCTableBody"/>
              <w:rPr>
                <w:rFonts w:cs="Times"/>
                <w:sz w:val="20"/>
              </w:rPr>
            </w:pPr>
            <w:r w:rsidRPr="001134B0">
              <w:rPr>
                <w:rFonts w:cs="Times"/>
                <w:sz w:val="20"/>
              </w:rPr>
              <w:t>0.57</w:t>
            </w:r>
          </w:p>
        </w:tc>
        <w:tc>
          <w:tcPr>
            <w:tcW w:w="850" w:type="dxa"/>
            <w:shd w:val="clear" w:color="auto" w:fill="auto"/>
            <w:noWrap/>
            <w:vAlign w:val="bottom"/>
            <w:hideMark/>
          </w:tcPr>
          <w:p w14:paraId="4A928B2A" w14:textId="77777777" w:rsidR="00F20488" w:rsidRPr="001134B0" w:rsidRDefault="00F20488" w:rsidP="00F20488">
            <w:pPr>
              <w:pStyle w:val="TCTableBody"/>
              <w:rPr>
                <w:rFonts w:cs="Times"/>
                <w:sz w:val="20"/>
              </w:rPr>
            </w:pPr>
            <w:r w:rsidRPr="001134B0">
              <w:rPr>
                <w:rFonts w:cs="Times"/>
                <w:sz w:val="20"/>
              </w:rPr>
              <w:t>0.15</w:t>
            </w:r>
          </w:p>
        </w:tc>
        <w:tc>
          <w:tcPr>
            <w:tcW w:w="851" w:type="dxa"/>
            <w:shd w:val="clear" w:color="auto" w:fill="auto"/>
            <w:noWrap/>
            <w:vAlign w:val="bottom"/>
            <w:hideMark/>
          </w:tcPr>
          <w:p w14:paraId="72F1A585" w14:textId="77777777" w:rsidR="00F20488" w:rsidRPr="001134B0" w:rsidRDefault="00F20488" w:rsidP="00F20488">
            <w:pPr>
              <w:pStyle w:val="TCTableBody"/>
              <w:rPr>
                <w:rFonts w:cs="Times"/>
                <w:sz w:val="20"/>
              </w:rPr>
            </w:pPr>
            <w:r w:rsidRPr="001134B0">
              <w:rPr>
                <w:rFonts w:cs="Times"/>
                <w:sz w:val="20"/>
              </w:rPr>
              <w:t>0.63</w:t>
            </w:r>
          </w:p>
        </w:tc>
        <w:tc>
          <w:tcPr>
            <w:tcW w:w="1275" w:type="dxa"/>
            <w:shd w:val="clear" w:color="auto" w:fill="auto"/>
            <w:noWrap/>
            <w:vAlign w:val="bottom"/>
            <w:hideMark/>
          </w:tcPr>
          <w:p w14:paraId="3B67C24C" w14:textId="77777777" w:rsidR="00F20488" w:rsidRPr="001134B0" w:rsidRDefault="00F20488" w:rsidP="00F20488">
            <w:pPr>
              <w:pStyle w:val="TCTableBody"/>
              <w:rPr>
                <w:rFonts w:cs="Times"/>
                <w:sz w:val="20"/>
              </w:rPr>
            </w:pPr>
            <w:r w:rsidRPr="001134B0">
              <w:rPr>
                <w:rFonts w:cs="Times"/>
                <w:sz w:val="20"/>
              </w:rPr>
              <w:t>0.52 ± 0.04</w:t>
            </w:r>
          </w:p>
        </w:tc>
        <w:tc>
          <w:tcPr>
            <w:tcW w:w="1276" w:type="dxa"/>
            <w:shd w:val="clear" w:color="auto" w:fill="auto"/>
            <w:noWrap/>
            <w:vAlign w:val="bottom"/>
            <w:hideMark/>
          </w:tcPr>
          <w:p w14:paraId="1695B581" w14:textId="77777777" w:rsidR="00F20488" w:rsidRPr="001134B0" w:rsidRDefault="00F20488" w:rsidP="00F20488">
            <w:pPr>
              <w:pStyle w:val="TCTableBody"/>
              <w:rPr>
                <w:rFonts w:cs="Times"/>
                <w:sz w:val="20"/>
              </w:rPr>
            </w:pPr>
            <w:r w:rsidRPr="001134B0">
              <w:rPr>
                <w:rFonts w:cs="Times"/>
                <w:sz w:val="20"/>
              </w:rPr>
              <w:t>0.02 ± 0.08</w:t>
            </w:r>
          </w:p>
        </w:tc>
        <w:tc>
          <w:tcPr>
            <w:tcW w:w="1276" w:type="dxa"/>
            <w:shd w:val="clear" w:color="auto" w:fill="auto"/>
            <w:noWrap/>
            <w:vAlign w:val="bottom"/>
            <w:hideMark/>
          </w:tcPr>
          <w:p w14:paraId="0860CBD1" w14:textId="77777777" w:rsidR="00F20488" w:rsidRPr="001134B0" w:rsidRDefault="00F20488" w:rsidP="00F20488">
            <w:pPr>
              <w:pStyle w:val="TCTableBody"/>
              <w:rPr>
                <w:rFonts w:cs="Times"/>
                <w:sz w:val="20"/>
              </w:rPr>
            </w:pPr>
            <w:r w:rsidRPr="001134B0">
              <w:rPr>
                <w:rFonts w:cs="Times"/>
                <w:sz w:val="20"/>
              </w:rPr>
              <w:t>0.53 ± 0.1</w:t>
            </w:r>
          </w:p>
        </w:tc>
      </w:tr>
      <w:tr w:rsidR="00F20488" w:rsidRPr="001134B0" w14:paraId="573A81FE" w14:textId="77777777" w:rsidTr="00BA2CEA">
        <w:trPr>
          <w:trHeight w:val="315"/>
        </w:trPr>
        <w:tc>
          <w:tcPr>
            <w:tcW w:w="2263" w:type="dxa"/>
            <w:vMerge/>
            <w:vAlign w:val="center"/>
            <w:hideMark/>
          </w:tcPr>
          <w:p w14:paraId="00748394"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10E878FE" w14:textId="77777777" w:rsidR="00F20488" w:rsidRPr="001134B0" w:rsidRDefault="00F20488" w:rsidP="00F20488">
            <w:pPr>
              <w:pStyle w:val="TCTableBody"/>
              <w:rPr>
                <w:rFonts w:cs="Times"/>
                <w:sz w:val="20"/>
              </w:rPr>
            </w:pPr>
            <w:proofErr w:type="spellStart"/>
            <w:r w:rsidRPr="001134B0">
              <w:rPr>
                <w:rFonts w:cs="Times"/>
                <w:sz w:val="20"/>
              </w:rPr>
              <w:t>Morgan+CP</w:t>
            </w:r>
            <w:proofErr w:type="spellEnd"/>
          </w:p>
        </w:tc>
        <w:tc>
          <w:tcPr>
            <w:tcW w:w="851" w:type="dxa"/>
            <w:shd w:val="clear" w:color="auto" w:fill="auto"/>
            <w:noWrap/>
            <w:vAlign w:val="bottom"/>
            <w:hideMark/>
          </w:tcPr>
          <w:p w14:paraId="417672E7" w14:textId="77777777" w:rsidR="00F20488" w:rsidRPr="001134B0" w:rsidRDefault="00F20488" w:rsidP="00F20488">
            <w:pPr>
              <w:pStyle w:val="TCTableBody"/>
              <w:rPr>
                <w:rFonts w:cs="Times"/>
                <w:sz w:val="20"/>
              </w:rPr>
            </w:pPr>
            <w:r w:rsidRPr="001134B0">
              <w:rPr>
                <w:rFonts w:cs="Times"/>
                <w:sz w:val="20"/>
              </w:rPr>
              <w:t>0.68</w:t>
            </w:r>
          </w:p>
        </w:tc>
        <w:tc>
          <w:tcPr>
            <w:tcW w:w="850" w:type="dxa"/>
            <w:shd w:val="clear" w:color="auto" w:fill="auto"/>
            <w:noWrap/>
            <w:vAlign w:val="bottom"/>
            <w:hideMark/>
          </w:tcPr>
          <w:p w14:paraId="7822E9F5" w14:textId="77777777" w:rsidR="00F20488" w:rsidRPr="001134B0" w:rsidRDefault="00F20488" w:rsidP="00F20488">
            <w:pPr>
              <w:pStyle w:val="TCTableBody"/>
              <w:rPr>
                <w:rFonts w:cs="Times"/>
                <w:sz w:val="20"/>
              </w:rPr>
            </w:pPr>
            <w:r w:rsidRPr="001134B0">
              <w:rPr>
                <w:rFonts w:cs="Times"/>
                <w:sz w:val="20"/>
              </w:rPr>
              <w:t>0.4</w:t>
            </w:r>
          </w:p>
        </w:tc>
        <w:tc>
          <w:tcPr>
            <w:tcW w:w="851" w:type="dxa"/>
            <w:shd w:val="clear" w:color="auto" w:fill="auto"/>
            <w:noWrap/>
            <w:vAlign w:val="bottom"/>
            <w:hideMark/>
          </w:tcPr>
          <w:p w14:paraId="6E766306" w14:textId="77777777" w:rsidR="00F20488" w:rsidRPr="001134B0" w:rsidRDefault="00F20488" w:rsidP="00F20488">
            <w:pPr>
              <w:pStyle w:val="TCTableBody"/>
              <w:rPr>
                <w:rFonts w:cs="Times"/>
                <w:sz w:val="20"/>
              </w:rPr>
            </w:pPr>
            <w:r w:rsidRPr="001134B0">
              <w:rPr>
                <w:rFonts w:cs="Times"/>
                <w:sz w:val="20"/>
              </w:rPr>
              <w:t>0.7</w:t>
            </w:r>
          </w:p>
        </w:tc>
        <w:tc>
          <w:tcPr>
            <w:tcW w:w="1275" w:type="dxa"/>
            <w:shd w:val="clear" w:color="auto" w:fill="auto"/>
            <w:noWrap/>
            <w:vAlign w:val="bottom"/>
            <w:hideMark/>
          </w:tcPr>
          <w:p w14:paraId="4EC1C34E" w14:textId="77777777" w:rsidR="00F20488" w:rsidRPr="001134B0" w:rsidRDefault="00F20488" w:rsidP="00F20488">
            <w:pPr>
              <w:pStyle w:val="TCTableBody"/>
              <w:rPr>
                <w:rFonts w:cs="Times"/>
                <w:sz w:val="20"/>
              </w:rPr>
            </w:pPr>
            <w:r w:rsidRPr="001134B0">
              <w:rPr>
                <w:rFonts w:cs="Times"/>
                <w:sz w:val="20"/>
              </w:rPr>
              <w:t>0.68 ± 0.1</w:t>
            </w:r>
          </w:p>
        </w:tc>
        <w:tc>
          <w:tcPr>
            <w:tcW w:w="1276" w:type="dxa"/>
            <w:shd w:val="clear" w:color="auto" w:fill="auto"/>
            <w:noWrap/>
            <w:vAlign w:val="bottom"/>
            <w:hideMark/>
          </w:tcPr>
          <w:p w14:paraId="7A6E775A" w14:textId="77777777" w:rsidR="00F20488" w:rsidRPr="001134B0" w:rsidRDefault="00F20488" w:rsidP="00F20488">
            <w:pPr>
              <w:pStyle w:val="TCTableBody"/>
              <w:rPr>
                <w:rFonts w:cs="Times"/>
                <w:sz w:val="20"/>
              </w:rPr>
            </w:pPr>
            <w:r w:rsidRPr="001134B0">
              <w:rPr>
                <w:rFonts w:cs="Times"/>
                <w:sz w:val="20"/>
              </w:rPr>
              <w:t>0.34 ± 0.17</w:t>
            </w:r>
          </w:p>
        </w:tc>
        <w:tc>
          <w:tcPr>
            <w:tcW w:w="1276" w:type="dxa"/>
            <w:shd w:val="clear" w:color="auto" w:fill="auto"/>
            <w:noWrap/>
            <w:vAlign w:val="bottom"/>
            <w:hideMark/>
          </w:tcPr>
          <w:p w14:paraId="7AE5A6BC" w14:textId="77777777" w:rsidR="00F20488" w:rsidRPr="001134B0" w:rsidRDefault="00F20488" w:rsidP="00F20488">
            <w:pPr>
              <w:pStyle w:val="TCTableBody"/>
              <w:rPr>
                <w:rFonts w:cs="Times"/>
                <w:sz w:val="20"/>
              </w:rPr>
            </w:pPr>
            <w:r w:rsidRPr="001134B0">
              <w:rPr>
                <w:rFonts w:cs="Times"/>
                <w:sz w:val="20"/>
              </w:rPr>
              <w:t>0.7 ± 0.12</w:t>
            </w:r>
          </w:p>
        </w:tc>
      </w:tr>
      <w:tr w:rsidR="00F20488" w:rsidRPr="001134B0" w14:paraId="68F7179E" w14:textId="77777777" w:rsidTr="00BA2CEA">
        <w:trPr>
          <w:trHeight w:val="315"/>
        </w:trPr>
        <w:tc>
          <w:tcPr>
            <w:tcW w:w="2263" w:type="dxa"/>
            <w:vMerge w:val="restart"/>
            <w:shd w:val="clear" w:color="auto" w:fill="auto"/>
            <w:noWrap/>
            <w:vAlign w:val="bottom"/>
            <w:hideMark/>
          </w:tcPr>
          <w:p w14:paraId="569CC7A0" w14:textId="77777777" w:rsidR="00F20488" w:rsidRPr="001134B0" w:rsidRDefault="00F20488" w:rsidP="00F20488">
            <w:pPr>
              <w:pStyle w:val="TCTableBody"/>
              <w:rPr>
                <w:rFonts w:cs="Times"/>
                <w:sz w:val="20"/>
              </w:rPr>
            </w:pPr>
            <w:r w:rsidRPr="001134B0">
              <w:rPr>
                <w:rFonts w:cs="Times"/>
                <w:sz w:val="20"/>
              </w:rPr>
              <w:t>BSK_4H_</w:t>
            </w:r>
          </w:p>
          <w:p w14:paraId="7A99C550" w14:textId="1F1A7F92" w:rsidR="00F20488" w:rsidRPr="001134B0" w:rsidRDefault="00F20488" w:rsidP="00F20488">
            <w:pPr>
              <w:pStyle w:val="TCTableBody"/>
              <w:rPr>
                <w:rFonts w:cs="Times"/>
                <w:sz w:val="20"/>
              </w:rPr>
            </w:pPr>
            <w:proofErr w:type="spellStart"/>
            <w:r w:rsidRPr="001134B0">
              <w:rPr>
                <w:rFonts w:cs="Times"/>
                <w:sz w:val="20"/>
              </w:rPr>
              <w:t>SRB_down</w:t>
            </w:r>
            <w:proofErr w:type="spellEnd"/>
          </w:p>
        </w:tc>
        <w:tc>
          <w:tcPr>
            <w:tcW w:w="1276" w:type="dxa"/>
            <w:shd w:val="clear" w:color="auto" w:fill="auto"/>
            <w:noWrap/>
            <w:vAlign w:val="bottom"/>
            <w:hideMark/>
          </w:tcPr>
          <w:p w14:paraId="7833784F" w14:textId="77777777" w:rsidR="00F20488" w:rsidRPr="001134B0" w:rsidRDefault="00F20488" w:rsidP="00F20488">
            <w:pPr>
              <w:pStyle w:val="TCTableBody"/>
              <w:rPr>
                <w:rFonts w:cs="Times"/>
                <w:sz w:val="20"/>
              </w:rPr>
            </w:pPr>
            <w:r w:rsidRPr="001134B0">
              <w:rPr>
                <w:rFonts w:cs="Times"/>
                <w:sz w:val="20"/>
              </w:rPr>
              <w:t>CP</w:t>
            </w:r>
          </w:p>
        </w:tc>
        <w:tc>
          <w:tcPr>
            <w:tcW w:w="851" w:type="dxa"/>
            <w:shd w:val="clear" w:color="auto" w:fill="auto"/>
            <w:noWrap/>
            <w:vAlign w:val="bottom"/>
            <w:hideMark/>
          </w:tcPr>
          <w:p w14:paraId="699B5E6A" w14:textId="77777777" w:rsidR="00F20488" w:rsidRPr="001134B0" w:rsidRDefault="00F20488" w:rsidP="00F20488">
            <w:pPr>
              <w:pStyle w:val="TCTableBody"/>
              <w:rPr>
                <w:rFonts w:cs="Times"/>
                <w:sz w:val="20"/>
              </w:rPr>
            </w:pPr>
            <w:r w:rsidRPr="001134B0">
              <w:rPr>
                <w:rFonts w:cs="Times"/>
                <w:sz w:val="20"/>
              </w:rPr>
              <w:t>0.66</w:t>
            </w:r>
          </w:p>
        </w:tc>
        <w:tc>
          <w:tcPr>
            <w:tcW w:w="850" w:type="dxa"/>
            <w:shd w:val="clear" w:color="auto" w:fill="auto"/>
            <w:noWrap/>
            <w:vAlign w:val="bottom"/>
            <w:hideMark/>
          </w:tcPr>
          <w:p w14:paraId="0882021F" w14:textId="77777777" w:rsidR="00F20488" w:rsidRPr="001134B0" w:rsidRDefault="00F20488" w:rsidP="00F20488">
            <w:pPr>
              <w:pStyle w:val="TCTableBody"/>
              <w:rPr>
                <w:rFonts w:cs="Times"/>
                <w:sz w:val="20"/>
              </w:rPr>
            </w:pPr>
            <w:r w:rsidRPr="001134B0">
              <w:rPr>
                <w:rFonts w:cs="Times"/>
                <w:sz w:val="20"/>
              </w:rPr>
              <w:t>0.39</w:t>
            </w:r>
          </w:p>
        </w:tc>
        <w:tc>
          <w:tcPr>
            <w:tcW w:w="851" w:type="dxa"/>
            <w:shd w:val="clear" w:color="auto" w:fill="auto"/>
            <w:noWrap/>
            <w:vAlign w:val="bottom"/>
            <w:hideMark/>
          </w:tcPr>
          <w:p w14:paraId="7E980B2B" w14:textId="77777777" w:rsidR="00F20488" w:rsidRPr="001134B0" w:rsidRDefault="00F20488" w:rsidP="00F20488">
            <w:pPr>
              <w:pStyle w:val="TCTableBody"/>
              <w:rPr>
                <w:rFonts w:cs="Times"/>
                <w:sz w:val="20"/>
              </w:rPr>
            </w:pPr>
            <w:r w:rsidRPr="001134B0">
              <w:rPr>
                <w:rFonts w:cs="Times"/>
                <w:sz w:val="20"/>
              </w:rPr>
              <w:t>0.7</w:t>
            </w:r>
          </w:p>
        </w:tc>
        <w:tc>
          <w:tcPr>
            <w:tcW w:w="1275" w:type="dxa"/>
            <w:shd w:val="clear" w:color="auto" w:fill="auto"/>
            <w:noWrap/>
            <w:vAlign w:val="bottom"/>
            <w:hideMark/>
          </w:tcPr>
          <w:p w14:paraId="29F15B65" w14:textId="77777777" w:rsidR="00F20488" w:rsidRPr="001134B0" w:rsidRDefault="00F20488" w:rsidP="00F20488">
            <w:pPr>
              <w:pStyle w:val="TCTableBody"/>
              <w:rPr>
                <w:rFonts w:cs="Times"/>
                <w:sz w:val="20"/>
              </w:rPr>
            </w:pPr>
            <w:r w:rsidRPr="001134B0">
              <w:rPr>
                <w:rFonts w:cs="Times"/>
                <w:sz w:val="20"/>
              </w:rPr>
              <w:t>0.69 ± 0.07</w:t>
            </w:r>
          </w:p>
        </w:tc>
        <w:tc>
          <w:tcPr>
            <w:tcW w:w="1276" w:type="dxa"/>
            <w:shd w:val="clear" w:color="auto" w:fill="auto"/>
            <w:noWrap/>
            <w:vAlign w:val="bottom"/>
            <w:hideMark/>
          </w:tcPr>
          <w:p w14:paraId="2B4C0563" w14:textId="77777777" w:rsidR="00F20488" w:rsidRPr="001134B0" w:rsidRDefault="00F20488" w:rsidP="00F20488">
            <w:pPr>
              <w:pStyle w:val="TCTableBody"/>
              <w:rPr>
                <w:rFonts w:cs="Times"/>
                <w:sz w:val="20"/>
              </w:rPr>
            </w:pPr>
            <w:r w:rsidRPr="001134B0">
              <w:rPr>
                <w:rFonts w:cs="Times"/>
                <w:sz w:val="20"/>
              </w:rPr>
              <w:t>0.4 ± 0.11</w:t>
            </w:r>
          </w:p>
        </w:tc>
        <w:tc>
          <w:tcPr>
            <w:tcW w:w="1276" w:type="dxa"/>
            <w:shd w:val="clear" w:color="auto" w:fill="auto"/>
            <w:noWrap/>
            <w:vAlign w:val="bottom"/>
            <w:hideMark/>
          </w:tcPr>
          <w:p w14:paraId="1E777CAF" w14:textId="77777777" w:rsidR="00F20488" w:rsidRPr="001134B0" w:rsidRDefault="00F20488" w:rsidP="00F20488">
            <w:pPr>
              <w:pStyle w:val="TCTableBody"/>
              <w:rPr>
                <w:rFonts w:cs="Times"/>
                <w:sz w:val="20"/>
              </w:rPr>
            </w:pPr>
            <w:r w:rsidRPr="001134B0">
              <w:rPr>
                <w:rFonts w:cs="Times"/>
                <w:sz w:val="20"/>
              </w:rPr>
              <w:t>0.74 ± 0.09</w:t>
            </w:r>
          </w:p>
        </w:tc>
      </w:tr>
      <w:tr w:rsidR="00F20488" w:rsidRPr="001134B0" w14:paraId="21D6413C" w14:textId="77777777" w:rsidTr="00BA2CEA">
        <w:trPr>
          <w:trHeight w:val="315"/>
        </w:trPr>
        <w:tc>
          <w:tcPr>
            <w:tcW w:w="2263" w:type="dxa"/>
            <w:vMerge/>
            <w:vAlign w:val="center"/>
            <w:hideMark/>
          </w:tcPr>
          <w:p w14:paraId="6A5204A1"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67887478" w14:textId="77777777" w:rsidR="00F20488" w:rsidRPr="001134B0" w:rsidRDefault="00F20488" w:rsidP="00F20488">
            <w:pPr>
              <w:pStyle w:val="TCTableBody"/>
              <w:rPr>
                <w:rFonts w:cs="Times"/>
                <w:sz w:val="20"/>
              </w:rPr>
            </w:pPr>
            <w:proofErr w:type="spellStart"/>
            <w:r w:rsidRPr="001134B0">
              <w:rPr>
                <w:rFonts w:cs="Times"/>
                <w:sz w:val="20"/>
              </w:rPr>
              <w:t>ErG</w:t>
            </w:r>
            <w:proofErr w:type="spellEnd"/>
          </w:p>
        </w:tc>
        <w:tc>
          <w:tcPr>
            <w:tcW w:w="851" w:type="dxa"/>
            <w:shd w:val="clear" w:color="auto" w:fill="auto"/>
            <w:noWrap/>
            <w:vAlign w:val="bottom"/>
            <w:hideMark/>
          </w:tcPr>
          <w:p w14:paraId="78E91394" w14:textId="77777777" w:rsidR="00F20488" w:rsidRPr="001134B0" w:rsidRDefault="00F20488" w:rsidP="00F20488">
            <w:pPr>
              <w:pStyle w:val="TCTableBody"/>
              <w:rPr>
                <w:rFonts w:cs="Times"/>
                <w:sz w:val="20"/>
              </w:rPr>
            </w:pPr>
            <w:r w:rsidRPr="001134B0">
              <w:rPr>
                <w:rFonts w:cs="Times"/>
                <w:sz w:val="20"/>
              </w:rPr>
              <w:t>0.6</w:t>
            </w:r>
          </w:p>
        </w:tc>
        <w:tc>
          <w:tcPr>
            <w:tcW w:w="850" w:type="dxa"/>
            <w:shd w:val="clear" w:color="auto" w:fill="auto"/>
            <w:noWrap/>
            <w:vAlign w:val="bottom"/>
            <w:hideMark/>
          </w:tcPr>
          <w:p w14:paraId="20A11BDD" w14:textId="77777777" w:rsidR="00F20488" w:rsidRPr="001134B0" w:rsidRDefault="00F20488" w:rsidP="00F20488">
            <w:pPr>
              <w:pStyle w:val="TCTableBody"/>
              <w:rPr>
                <w:rFonts w:cs="Times"/>
                <w:sz w:val="20"/>
              </w:rPr>
            </w:pPr>
            <w:r w:rsidRPr="001134B0">
              <w:rPr>
                <w:rFonts w:cs="Times"/>
                <w:sz w:val="20"/>
              </w:rPr>
              <w:t>0.27</w:t>
            </w:r>
          </w:p>
        </w:tc>
        <w:tc>
          <w:tcPr>
            <w:tcW w:w="851" w:type="dxa"/>
            <w:shd w:val="clear" w:color="auto" w:fill="auto"/>
            <w:noWrap/>
            <w:vAlign w:val="bottom"/>
            <w:hideMark/>
          </w:tcPr>
          <w:p w14:paraId="5FB6B3F1" w14:textId="77777777" w:rsidR="00F20488" w:rsidRPr="001134B0" w:rsidRDefault="00F20488" w:rsidP="00F20488">
            <w:pPr>
              <w:pStyle w:val="TCTableBody"/>
              <w:rPr>
                <w:rFonts w:cs="Times"/>
                <w:sz w:val="20"/>
              </w:rPr>
            </w:pPr>
            <w:r w:rsidRPr="001134B0">
              <w:rPr>
                <w:rFonts w:cs="Times"/>
                <w:sz w:val="20"/>
              </w:rPr>
              <w:t>0.7</w:t>
            </w:r>
          </w:p>
        </w:tc>
        <w:tc>
          <w:tcPr>
            <w:tcW w:w="1275" w:type="dxa"/>
            <w:shd w:val="clear" w:color="auto" w:fill="auto"/>
            <w:noWrap/>
            <w:vAlign w:val="bottom"/>
            <w:hideMark/>
          </w:tcPr>
          <w:p w14:paraId="7F220967" w14:textId="77777777" w:rsidR="00F20488" w:rsidRPr="001134B0" w:rsidRDefault="00F20488" w:rsidP="00F20488">
            <w:pPr>
              <w:pStyle w:val="TCTableBody"/>
              <w:rPr>
                <w:rFonts w:cs="Times"/>
                <w:sz w:val="20"/>
              </w:rPr>
            </w:pPr>
            <w:r w:rsidRPr="001134B0">
              <w:rPr>
                <w:rFonts w:cs="Times"/>
                <w:sz w:val="20"/>
              </w:rPr>
              <w:t>0.62 ± 0.08</w:t>
            </w:r>
          </w:p>
        </w:tc>
        <w:tc>
          <w:tcPr>
            <w:tcW w:w="1276" w:type="dxa"/>
            <w:shd w:val="clear" w:color="auto" w:fill="auto"/>
            <w:noWrap/>
            <w:vAlign w:val="bottom"/>
            <w:hideMark/>
          </w:tcPr>
          <w:p w14:paraId="57CFA0FD" w14:textId="77777777" w:rsidR="00F20488" w:rsidRPr="001134B0" w:rsidRDefault="00F20488" w:rsidP="00F20488">
            <w:pPr>
              <w:pStyle w:val="TCTableBody"/>
              <w:rPr>
                <w:rFonts w:cs="Times"/>
                <w:sz w:val="20"/>
              </w:rPr>
            </w:pPr>
            <w:r w:rsidRPr="001134B0">
              <w:rPr>
                <w:rFonts w:cs="Times"/>
                <w:sz w:val="20"/>
              </w:rPr>
              <w:t>0.22 ± 0.12</w:t>
            </w:r>
          </w:p>
        </w:tc>
        <w:tc>
          <w:tcPr>
            <w:tcW w:w="1276" w:type="dxa"/>
            <w:shd w:val="clear" w:color="auto" w:fill="auto"/>
            <w:noWrap/>
            <w:vAlign w:val="bottom"/>
            <w:hideMark/>
          </w:tcPr>
          <w:p w14:paraId="535FEB64" w14:textId="77777777" w:rsidR="00F20488" w:rsidRPr="001134B0" w:rsidRDefault="00F20488" w:rsidP="00F20488">
            <w:pPr>
              <w:pStyle w:val="TCTableBody"/>
              <w:rPr>
                <w:rFonts w:cs="Times"/>
                <w:sz w:val="20"/>
              </w:rPr>
            </w:pPr>
            <w:r w:rsidRPr="001134B0">
              <w:rPr>
                <w:rFonts w:cs="Times"/>
                <w:sz w:val="20"/>
              </w:rPr>
              <w:t>0.67 ± 0.08</w:t>
            </w:r>
          </w:p>
        </w:tc>
      </w:tr>
      <w:tr w:rsidR="00F20488" w:rsidRPr="001134B0" w14:paraId="2C9C6B37" w14:textId="77777777" w:rsidTr="00BA2CEA">
        <w:trPr>
          <w:trHeight w:val="300"/>
        </w:trPr>
        <w:tc>
          <w:tcPr>
            <w:tcW w:w="2263" w:type="dxa"/>
            <w:vMerge/>
            <w:vAlign w:val="center"/>
            <w:hideMark/>
          </w:tcPr>
          <w:p w14:paraId="33914F79"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68A2A308" w14:textId="77777777" w:rsidR="00F20488" w:rsidRPr="001134B0" w:rsidRDefault="00F20488" w:rsidP="00F20488">
            <w:pPr>
              <w:pStyle w:val="TCTableBody"/>
              <w:rPr>
                <w:rFonts w:cs="Times"/>
                <w:sz w:val="20"/>
              </w:rPr>
            </w:pPr>
            <w:proofErr w:type="spellStart"/>
            <w:r w:rsidRPr="001134B0">
              <w:rPr>
                <w:rFonts w:cs="Times"/>
                <w:sz w:val="20"/>
              </w:rPr>
              <w:t>ErG+CP</w:t>
            </w:r>
            <w:proofErr w:type="spellEnd"/>
          </w:p>
        </w:tc>
        <w:tc>
          <w:tcPr>
            <w:tcW w:w="851" w:type="dxa"/>
            <w:shd w:val="clear" w:color="auto" w:fill="auto"/>
            <w:noWrap/>
            <w:vAlign w:val="bottom"/>
            <w:hideMark/>
          </w:tcPr>
          <w:p w14:paraId="42554E16" w14:textId="77777777" w:rsidR="00F20488" w:rsidRPr="001134B0" w:rsidRDefault="00F20488" w:rsidP="00F20488">
            <w:pPr>
              <w:pStyle w:val="TCTableBody"/>
              <w:rPr>
                <w:rFonts w:cs="Times"/>
                <w:sz w:val="20"/>
              </w:rPr>
            </w:pPr>
            <w:r w:rsidRPr="001134B0">
              <w:rPr>
                <w:rFonts w:cs="Times"/>
                <w:sz w:val="20"/>
              </w:rPr>
              <w:t>0.69</w:t>
            </w:r>
          </w:p>
        </w:tc>
        <w:tc>
          <w:tcPr>
            <w:tcW w:w="850" w:type="dxa"/>
            <w:shd w:val="clear" w:color="auto" w:fill="auto"/>
            <w:noWrap/>
            <w:vAlign w:val="bottom"/>
            <w:hideMark/>
          </w:tcPr>
          <w:p w14:paraId="5DA17636" w14:textId="77777777" w:rsidR="00F20488" w:rsidRPr="001134B0" w:rsidRDefault="00F20488" w:rsidP="00F20488">
            <w:pPr>
              <w:pStyle w:val="TCTableBody"/>
              <w:rPr>
                <w:rFonts w:cs="Times"/>
                <w:sz w:val="20"/>
              </w:rPr>
            </w:pPr>
            <w:r w:rsidRPr="001134B0">
              <w:rPr>
                <w:rFonts w:cs="Times"/>
                <w:sz w:val="20"/>
              </w:rPr>
              <w:t>0.44</w:t>
            </w:r>
          </w:p>
        </w:tc>
        <w:tc>
          <w:tcPr>
            <w:tcW w:w="851" w:type="dxa"/>
            <w:shd w:val="clear" w:color="auto" w:fill="auto"/>
            <w:noWrap/>
            <w:vAlign w:val="bottom"/>
            <w:hideMark/>
          </w:tcPr>
          <w:p w14:paraId="1640D5C1" w14:textId="77777777" w:rsidR="00F20488" w:rsidRPr="001134B0" w:rsidRDefault="00F20488" w:rsidP="00F20488">
            <w:pPr>
              <w:pStyle w:val="TCTableBody"/>
              <w:rPr>
                <w:rFonts w:cs="Times"/>
                <w:sz w:val="20"/>
              </w:rPr>
            </w:pPr>
            <w:r w:rsidRPr="001134B0">
              <w:rPr>
                <w:rFonts w:cs="Times"/>
                <w:sz w:val="20"/>
              </w:rPr>
              <w:t>0.74</w:t>
            </w:r>
          </w:p>
        </w:tc>
        <w:tc>
          <w:tcPr>
            <w:tcW w:w="1275" w:type="dxa"/>
            <w:shd w:val="clear" w:color="auto" w:fill="auto"/>
            <w:noWrap/>
            <w:vAlign w:val="bottom"/>
            <w:hideMark/>
          </w:tcPr>
          <w:p w14:paraId="50550250" w14:textId="77777777" w:rsidR="00F20488" w:rsidRPr="001134B0" w:rsidRDefault="00F20488" w:rsidP="00F20488">
            <w:pPr>
              <w:pStyle w:val="TCTableBody"/>
              <w:rPr>
                <w:rFonts w:cs="Times"/>
                <w:sz w:val="20"/>
              </w:rPr>
            </w:pPr>
            <w:r w:rsidRPr="001134B0">
              <w:rPr>
                <w:rFonts w:cs="Times"/>
                <w:sz w:val="20"/>
              </w:rPr>
              <w:t>0.71 ± 0.1</w:t>
            </w:r>
          </w:p>
        </w:tc>
        <w:tc>
          <w:tcPr>
            <w:tcW w:w="1276" w:type="dxa"/>
            <w:shd w:val="clear" w:color="auto" w:fill="auto"/>
            <w:noWrap/>
            <w:vAlign w:val="bottom"/>
            <w:hideMark/>
          </w:tcPr>
          <w:p w14:paraId="68468F8D" w14:textId="77777777" w:rsidR="00F20488" w:rsidRPr="001134B0" w:rsidRDefault="00F20488" w:rsidP="00F20488">
            <w:pPr>
              <w:pStyle w:val="TCTableBody"/>
              <w:rPr>
                <w:rFonts w:cs="Times"/>
                <w:sz w:val="20"/>
              </w:rPr>
            </w:pPr>
            <w:r w:rsidRPr="001134B0">
              <w:rPr>
                <w:rFonts w:cs="Times"/>
                <w:sz w:val="20"/>
              </w:rPr>
              <w:t>0.43 ± 0.16</w:t>
            </w:r>
          </w:p>
        </w:tc>
        <w:tc>
          <w:tcPr>
            <w:tcW w:w="1276" w:type="dxa"/>
            <w:shd w:val="clear" w:color="auto" w:fill="auto"/>
            <w:noWrap/>
            <w:vAlign w:val="bottom"/>
            <w:hideMark/>
          </w:tcPr>
          <w:p w14:paraId="75FE01EA" w14:textId="77777777" w:rsidR="00F20488" w:rsidRPr="001134B0" w:rsidRDefault="00F20488" w:rsidP="00F20488">
            <w:pPr>
              <w:pStyle w:val="TCTableBody"/>
              <w:rPr>
                <w:rFonts w:cs="Times"/>
                <w:sz w:val="20"/>
              </w:rPr>
            </w:pPr>
            <w:r w:rsidRPr="001134B0">
              <w:rPr>
                <w:rFonts w:cs="Times"/>
                <w:sz w:val="20"/>
              </w:rPr>
              <w:t>0.78 ± 0.12</w:t>
            </w:r>
          </w:p>
        </w:tc>
      </w:tr>
      <w:tr w:rsidR="00F20488" w:rsidRPr="001134B0" w14:paraId="40CA07B2" w14:textId="77777777" w:rsidTr="00BA2CEA">
        <w:trPr>
          <w:trHeight w:val="300"/>
        </w:trPr>
        <w:tc>
          <w:tcPr>
            <w:tcW w:w="2263" w:type="dxa"/>
            <w:vMerge/>
            <w:vAlign w:val="center"/>
            <w:hideMark/>
          </w:tcPr>
          <w:p w14:paraId="07C9E48A"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67514784" w14:textId="77777777" w:rsidR="00F20488" w:rsidRPr="001134B0" w:rsidRDefault="00F20488" w:rsidP="00F20488">
            <w:pPr>
              <w:pStyle w:val="TCTableBody"/>
              <w:rPr>
                <w:rFonts w:cs="Times"/>
                <w:sz w:val="20"/>
              </w:rPr>
            </w:pPr>
            <w:r w:rsidRPr="001134B0">
              <w:rPr>
                <w:rFonts w:cs="Times"/>
                <w:sz w:val="20"/>
              </w:rPr>
              <w:t>Morgan</w:t>
            </w:r>
          </w:p>
        </w:tc>
        <w:tc>
          <w:tcPr>
            <w:tcW w:w="851" w:type="dxa"/>
            <w:shd w:val="clear" w:color="auto" w:fill="auto"/>
            <w:noWrap/>
            <w:vAlign w:val="bottom"/>
            <w:hideMark/>
          </w:tcPr>
          <w:p w14:paraId="34317470" w14:textId="77777777" w:rsidR="00F20488" w:rsidRPr="001134B0" w:rsidRDefault="00F20488" w:rsidP="00F20488">
            <w:pPr>
              <w:pStyle w:val="TCTableBody"/>
              <w:rPr>
                <w:rFonts w:cs="Times"/>
                <w:sz w:val="20"/>
              </w:rPr>
            </w:pPr>
            <w:r w:rsidRPr="001134B0">
              <w:rPr>
                <w:rFonts w:cs="Times"/>
                <w:sz w:val="20"/>
              </w:rPr>
              <w:t>0.47</w:t>
            </w:r>
          </w:p>
        </w:tc>
        <w:tc>
          <w:tcPr>
            <w:tcW w:w="850" w:type="dxa"/>
            <w:shd w:val="clear" w:color="auto" w:fill="auto"/>
            <w:noWrap/>
            <w:vAlign w:val="bottom"/>
            <w:hideMark/>
          </w:tcPr>
          <w:p w14:paraId="684CAC39" w14:textId="77777777" w:rsidR="00F20488" w:rsidRPr="001134B0" w:rsidRDefault="00F20488" w:rsidP="00F20488">
            <w:pPr>
              <w:pStyle w:val="TCTableBody"/>
              <w:rPr>
                <w:rFonts w:cs="Times"/>
                <w:sz w:val="20"/>
              </w:rPr>
            </w:pPr>
            <w:r w:rsidRPr="001134B0">
              <w:rPr>
                <w:rFonts w:cs="Times"/>
                <w:sz w:val="20"/>
              </w:rPr>
              <w:t>-0.08</w:t>
            </w:r>
          </w:p>
        </w:tc>
        <w:tc>
          <w:tcPr>
            <w:tcW w:w="851" w:type="dxa"/>
            <w:shd w:val="clear" w:color="auto" w:fill="auto"/>
            <w:noWrap/>
            <w:vAlign w:val="bottom"/>
            <w:hideMark/>
          </w:tcPr>
          <w:p w14:paraId="6078081B" w14:textId="77777777" w:rsidR="00F20488" w:rsidRPr="001134B0" w:rsidRDefault="00F20488" w:rsidP="00F20488">
            <w:pPr>
              <w:pStyle w:val="TCTableBody"/>
              <w:rPr>
                <w:rFonts w:cs="Times"/>
                <w:sz w:val="20"/>
              </w:rPr>
            </w:pPr>
            <w:r w:rsidRPr="001134B0">
              <w:rPr>
                <w:rFonts w:cs="Times"/>
                <w:sz w:val="20"/>
              </w:rPr>
              <w:t>0.56</w:t>
            </w:r>
          </w:p>
        </w:tc>
        <w:tc>
          <w:tcPr>
            <w:tcW w:w="1275" w:type="dxa"/>
            <w:shd w:val="clear" w:color="auto" w:fill="auto"/>
            <w:noWrap/>
            <w:vAlign w:val="bottom"/>
            <w:hideMark/>
          </w:tcPr>
          <w:p w14:paraId="77DBE83E" w14:textId="77777777" w:rsidR="00F20488" w:rsidRPr="001134B0" w:rsidRDefault="00F20488" w:rsidP="00F20488">
            <w:pPr>
              <w:pStyle w:val="TCTableBody"/>
              <w:rPr>
                <w:rFonts w:cs="Times"/>
                <w:sz w:val="20"/>
              </w:rPr>
            </w:pPr>
            <w:r w:rsidRPr="001134B0">
              <w:rPr>
                <w:rFonts w:cs="Times"/>
                <w:sz w:val="20"/>
              </w:rPr>
              <w:t>0.48 ± 0.04</w:t>
            </w:r>
          </w:p>
        </w:tc>
        <w:tc>
          <w:tcPr>
            <w:tcW w:w="1276" w:type="dxa"/>
            <w:shd w:val="clear" w:color="auto" w:fill="auto"/>
            <w:noWrap/>
            <w:vAlign w:val="bottom"/>
            <w:hideMark/>
          </w:tcPr>
          <w:p w14:paraId="4A699D11" w14:textId="77777777" w:rsidR="00F20488" w:rsidRPr="001134B0" w:rsidRDefault="00F20488" w:rsidP="00F20488">
            <w:pPr>
              <w:pStyle w:val="TCTableBody"/>
              <w:rPr>
                <w:rFonts w:cs="Times"/>
                <w:sz w:val="20"/>
              </w:rPr>
            </w:pPr>
            <w:r w:rsidRPr="001134B0">
              <w:rPr>
                <w:rFonts w:cs="Times"/>
                <w:sz w:val="20"/>
              </w:rPr>
              <w:t>-0.03 ± 0.06</w:t>
            </w:r>
          </w:p>
        </w:tc>
        <w:tc>
          <w:tcPr>
            <w:tcW w:w="1276" w:type="dxa"/>
            <w:shd w:val="clear" w:color="auto" w:fill="auto"/>
            <w:noWrap/>
            <w:vAlign w:val="bottom"/>
            <w:hideMark/>
          </w:tcPr>
          <w:p w14:paraId="50BB6978" w14:textId="77777777" w:rsidR="00F20488" w:rsidRPr="001134B0" w:rsidRDefault="00F20488" w:rsidP="00F20488">
            <w:pPr>
              <w:pStyle w:val="TCTableBody"/>
              <w:rPr>
                <w:rFonts w:cs="Times"/>
                <w:sz w:val="20"/>
              </w:rPr>
            </w:pPr>
            <w:r w:rsidRPr="001134B0">
              <w:rPr>
                <w:rFonts w:cs="Times"/>
                <w:sz w:val="20"/>
              </w:rPr>
              <w:t>0.59 ± 0.13</w:t>
            </w:r>
          </w:p>
        </w:tc>
      </w:tr>
      <w:tr w:rsidR="00F20488" w:rsidRPr="001134B0" w14:paraId="556CE506" w14:textId="77777777" w:rsidTr="00BA2CEA">
        <w:trPr>
          <w:trHeight w:val="315"/>
        </w:trPr>
        <w:tc>
          <w:tcPr>
            <w:tcW w:w="2263" w:type="dxa"/>
            <w:vMerge/>
            <w:vAlign w:val="center"/>
            <w:hideMark/>
          </w:tcPr>
          <w:p w14:paraId="21960F1C"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14CE57AD" w14:textId="77777777" w:rsidR="00F20488" w:rsidRPr="001134B0" w:rsidRDefault="00F20488" w:rsidP="00F20488">
            <w:pPr>
              <w:pStyle w:val="TCTableBody"/>
              <w:rPr>
                <w:rFonts w:cs="Times"/>
                <w:sz w:val="20"/>
              </w:rPr>
            </w:pPr>
            <w:proofErr w:type="spellStart"/>
            <w:r w:rsidRPr="001134B0">
              <w:rPr>
                <w:rFonts w:cs="Times"/>
                <w:sz w:val="20"/>
              </w:rPr>
              <w:t>Morgan+CP</w:t>
            </w:r>
            <w:proofErr w:type="spellEnd"/>
          </w:p>
        </w:tc>
        <w:tc>
          <w:tcPr>
            <w:tcW w:w="851" w:type="dxa"/>
            <w:shd w:val="clear" w:color="auto" w:fill="auto"/>
            <w:noWrap/>
            <w:vAlign w:val="bottom"/>
            <w:hideMark/>
          </w:tcPr>
          <w:p w14:paraId="4B064BA8" w14:textId="77777777" w:rsidR="00F20488" w:rsidRPr="001134B0" w:rsidRDefault="00F20488" w:rsidP="00F20488">
            <w:pPr>
              <w:pStyle w:val="TCTableBody"/>
              <w:rPr>
                <w:rFonts w:cs="Times"/>
                <w:sz w:val="20"/>
              </w:rPr>
            </w:pPr>
            <w:r w:rsidRPr="001134B0">
              <w:rPr>
                <w:rFonts w:cs="Times"/>
                <w:sz w:val="20"/>
              </w:rPr>
              <w:t>0.66</w:t>
            </w:r>
          </w:p>
        </w:tc>
        <w:tc>
          <w:tcPr>
            <w:tcW w:w="850" w:type="dxa"/>
            <w:shd w:val="clear" w:color="auto" w:fill="auto"/>
            <w:noWrap/>
            <w:vAlign w:val="bottom"/>
            <w:hideMark/>
          </w:tcPr>
          <w:p w14:paraId="4B9154A1" w14:textId="77777777" w:rsidR="00F20488" w:rsidRPr="001134B0" w:rsidRDefault="00F20488" w:rsidP="00F20488">
            <w:pPr>
              <w:pStyle w:val="TCTableBody"/>
              <w:rPr>
                <w:rFonts w:cs="Times"/>
                <w:sz w:val="20"/>
              </w:rPr>
            </w:pPr>
            <w:r w:rsidRPr="001134B0">
              <w:rPr>
                <w:rFonts w:cs="Times"/>
                <w:sz w:val="20"/>
              </w:rPr>
              <w:t>0.39</w:t>
            </w:r>
          </w:p>
        </w:tc>
        <w:tc>
          <w:tcPr>
            <w:tcW w:w="851" w:type="dxa"/>
            <w:shd w:val="clear" w:color="auto" w:fill="auto"/>
            <w:noWrap/>
            <w:vAlign w:val="bottom"/>
            <w:hideMark/>
          </w:tcPr>
          <w:p w14:paraId="21689435" w14:textId="77777777" w:rsidR="00F20488" w:rsidRPr="001134B0" w:rsidRDefault="00F20488" w:rsidP="00F20488">
            <w:pPr>
              <w:pStyle w:val="TCTableBody"/>
              <w:rPr>
                <w:rFonts w:cs="Times"/>
                <w:sz w:val="20"/>
              </w:rPr>
            </w:pPr>
            <w:r w:rsidRPr="001134B0">
              <w:rPr>
                <w:rFonts w:cs="Times"/>
                <w:sz w:val="20"/>
              </w:rPr>
              <w:t>0.72</w:t>
            </w:r>
          </w:p>
        </w:tc>
        <w:tc>
          <w:tcPr>
            <w:tcW w:w="1275" w:type="dxa"/>
            <w:shd w:val="clear" w:color="auto" w:fill="auto"/>
            <w:noWrap/>
            <w:vAlign w:val="bottom"/>
            <w:hideMark/>
          </w:tcPr>
          <w:p w14:paraId="440A886D" w14:textId="77777777" w:rsidR="00F20488" w:rsidRPr="001134B0" w:rsidRDefault="00F20488" w:rsidP="00F20488">
            <w:pPr>
              <w:pStyle w:val="TCTableBody"/>
              <w:rPr>
                <w:rFonts w:cs="Times"/>
                <w:sz w:val="20"/>
              </w:rPr>
            </w:pPr>
            <w:r w:rsidRPr="001134B0">
              <w:rPr>
                <w:rFonts w:cs="Times"/>
                <w:sz w:val="20"/>
              </w:rPr>
              <w:t>0.72 ± 0.09</w:t>
            </w:r>
          </w:p>
        </w:tc>
        <w:tc>
          <w:tcPr>
            <w:tcW w:w="1276" w:type="dxa"/>
            <w:shd w:val="clear" w:color="auto" w:fill="auto"/>
            <w:noWrap/>
            <w:vAlign w:val="bottom"/>
            <w:hideMark/>
          </w:tcPr>
          <w:p w14:paraId="632088E6" w14:textId="77777777" w:rsidR="00F20488" w:rsidRPr="001134B0" w:rsidRDefault="00F20488" w:rsidP="00F20488">
            <w:pPr>
              <w:pStyle w:val="TCTableBody"/>
              <w:rPr>
                <w:rFonts w:cs="Times"/>
                <w:sz w:val="20"/>
              </w:rPr>
            </w:pPr>
            <w:r w:rsidRPr="001134B0">
              <w:rPr>
                <w:rFonts w:cs="Times"/>
                <w:sz w:val="20"/>
              </w:rPr>
              <w:t>0.49 ± 0.14</w:t>
            </w:r>
          </w:p>
        </w:tc>
        <w:tc>
          <w:tcPr>
            <w:tcW w:w="1276" w:type="dxa"/>
            <w:shd w:val="clear" w:color="auto" w:fill="auto"/>
            <w:noWrap/>
            <w:vAlign w:val="bottom"/>
            <w:hideMark/>
          </w:tcPr>
          <w:p w14:paraId="7230CE72" w14:textId="77777777" w:rsidR="00F20488" w:rsidRPr="001134B0" w:rsidRDefault="00F20488" w:rsidP="00F20488">
            <w:pPr>
              <w:pStyle w:val="TCTableBody"/>
              <w:rPr>
                <w:rFonts w:cs="Times"/>
                <w:sz w:val="20"/>
              </w:rPr>
            </w:pPr>
            <w:r w:rsidRPr="001134B0">
              <w:rPr>
                <w:rFonts w:cs="Times"/>
                <w:sz w:val="20"/>
              </w:rPr>
              <w:t>0.72 ± 0.11</w:t>
            </w:r>
          </w:p>
        </w:tc>
      </w:tr>
      <w:tr w:rsidR="00F20488" w:rsidRPr="001134B0" w14:paraId="58805C37" w14:textId="77777777" w:rsidTr="00BA2CEA">
        <w:trPr>
          <w:trHeight w:val="315"/>
        </w:trPr>
        <w:tc>
          <w:tcPr>
            <w:tcW w:w="2263" w:type="dxa"/>
            <w:vMerge w:val="restart"/>
            <w:shd w:val="clear" w:color="auto" w:fill="auto"/>
            <w:noWrap/>
            <w:vAlign w:val="bottom"/>
            <w:hideMark/>
          </w:tcPr>
          <w:p w14:paraId="20B01B78" w14:textId="77777777" w:rsidR="00F20488" w:rsidRPr="001134B0" w:rsidRDefault="00F20488" w:rsidP="00F20488">
            <w:pPr>
              <w:pStyle w:val="TCTableBody"/>
              <w:rPr>
                <w:rFonts w:cs="Times"/>
                <w:sz w:val="20"/>
              </w:rPr>
            </w:pPr>
            <w:r w:rsidRPr="001134B0">
              <w:rPr>
                <w:rFonts w:cs="Times"/>
                <w:sz w:val="20"/>
              </w:rPr>
              <w:t>BSK_CASM3C_</w:t>
            </w:r>
          </w:p>
          <w:p w14:paraId="4D9AE986" w14:textId="777D659C" w:rsidR="00F20488" w:rsidRPr="001134B0" w:rsidRDefault="00F20488" w:rsidP="00F20488">
            <w:pPr>
              <w:pStyle w:val="TCTableBody"/>
              <w:rPr>
                <w:rFonts w:cs="Times"/>
                <w:sz w:val="20"/>
              </w:rPr>
            </w:pPr>
            <w:proofErr w:type="spellStart"/>
            <w:r w:rsidRPr="001134B0">
              <w:rPr>
                <w:rFonts w:cs="Times"/>
                <w:sz w:val="20"/>
              </w:rPr>
              <w:t>Proliferation_down</w:t>
            </w:r>
            <w:proofErr w:type="spellEnd"/>
          </w:p>
        </w:tc>
        <w:tc>
          <w:tcPr>
            <w:tcW w:w="1276" w:type="dxa"/>
            <w:shd w:val="clear" w:color="auto" w:fill="auto"/>
            <w:noWrap/>
            <w:vAlign w:val="bottom"/>
            <w:hideMark/>
          </w:tcPr>
          <w:p w14:paraId="4AFDAB6C" w14:textId="77777777" w:rsidR="00F20488" w:rsidRPr="001134B0" w:rsidRDefault="00F20488" w:rsidP="00F20488">
            <w:pPr>
              <w:pStyle w:val="TCTableBody"/>
              <w:rPr>
                <w:rFonts w:cs="Times"/>
                <w:sz w:val="20"/>
              </w:rPr>
            </w:pPr>
            <w:r w:rsidRPr="001134B0">
              <w:rPr>
                <w:rFonts w:cs="Times"/>
                <w:sz w:val="20"/>
              </w:rPr>
              <w:t>CP</w:t>
            </w:r>
          </w:p>
        </w:tc>
        <w:tc>
          <w:tcPr>
            <w:tcW w:w="851" w:type="dxa"/>
            <w:shd w:val="clear" w:color="auto" w:fill="auto"/>
            <w:noWrap/>
            <w:vAlign w:val="bottom"/>
            <w:hideMark/>
          </w:tcPr>
          <w:p w14:paraId="00A61DBD" w14:textId="77777777" w:rsidR="00F20488" w:rsidRPr="001134B0" w:rsidRDefault="00F20488" w:rsidP="00F20488">
            <w:pPr>
              <w:pStyle w:val="TCTableBody"/>
              <w:rPr>
                <w:rFonts w:cs="Times"/>
                <w:sz w:val="20"/>
              </w:rPr>
            </w:pPr>
            <w:r w:rsidRPr="001134B0">
              <w:rPr>
                <w:rFonts w:cs="Times"/>
                <w:sz w:val="20"/>
              </w:rPr>
              <w:t>0.6</w:t>
            </w:r>
          </w:p>
        </w:tc>
        <w:tc>
          <w:tcPr>
            <w:tcW w:w="850" w:type="dxa"/>
            <w:shd w:val="clear" w:color="auto" w:fill="auto"/>
            <w:noWrap/>
            <w:vAlign w:val="bottom"/>
            <w:hideMark/>
          </w:tcPr>
          <w:p w14:paraId="7FCF846B" w14:textId="77777777" w:rsidR="00F20488" w:rsidRPr="001134B0" w:rsidRDefault="00F20488" w:rsidP="00F20488">
            <w:pPr>
              <w:pStyle w:val="TCTableBody"/>
              <w:rPr>
                <w:rFonts w:cs="Times"/>
                <w:sz w:val="20"/>
              </w:rPr>
            </w:pPr>
            <w:r w:rsidRPr="001134B0">
              <w:rPr>
                <w:rFonts w:cs="Times"/>
                <w:sz w:val="20"/>
              </w:rPr>
              <w:t>0.23</w:t>
            </w:r>
          </w:p>
        </w:tc>
        <w:tc>
          <w:tcPr>
            <w:tcW w:w="851" w:type="dxa"/>
            <w:shd w:val="clear" w:color="auto" w:fill="auto"/>
            <w:noWrap/>
            <w:vAlign w:val="bottom"/>
            <w:hideMark/>
          </w:tcPr>
          <w:p w14:paraId="5717F5E1" w14:textId="77777777" w:rsidR="00F20488" w:rsidRPr="001134B0" w:rsidRDefault="00F20488" w:rsidP="00F20488">
            <w:pPr>
              <w:pStyle w:val="TCTableBody"/>
              <w:rPr>
                <w:rFonts w:cs="Times"/>
                <w:sz w:val="20"/>
              </w:rPr>
            </w:pPr>
            <w:r w:rsidRPr="001134B0">
              <w:rPr>
                <w:rFonts w:cs="Times"/>
                <w:sz w:val="20"/>
              </w:rPr>
              <w:t>0.63</w:t>
            </w:r>
          </w:p>
        </w:tc>
        <w:tc>
          <w:tcPr>
            <w:tcW w:w="1275" w:type="dxa"/>
            <w:shd w:val="clear" w:color="auto" w:fill="auto"/>
            <w:noWrap/>
            <w:vAlign w:val="bottom"/>
            <w:hideMark/>
          </w:tcPr>
          <w:p w14:paraId="4D40AB9A" w14:textId="77777777" w:rsidR="00F20488" w:rsidRPr="001134B0" w:rsidRDefault="00F20488" w:rsidP="00F20488">
            <w:pPr>
              <w:pStyle w:val="TCTableBody"/>
              <w:rPr>
                <w:rFonts w:cs="Times"/>
                <w:sz w:val="20"/>
              </w:rPr>
            </w:pPr>
            <w:r w:rsidRPr="001134B0">
              <w:rPr>
                <w:rFonts w:cs="Times"/>
                <w:sz w:val="20"/>
              </w:rPr>
              <w:t>0.69 ± 0.07</w:t>
            </w:r>
          </w:p>
        </w:tc>
        <w:tc>
          <w:tcPr>
            <w:tcW w:w="1276" w:type="dxa"/>
            <w:shd w:val="clear" w:color="auto" w:fill="auto"/>
            <w:noWrap/>
            <w:vAlign w:val="bottom"/>
            <w:hideMark/>
          </w:tcPr>
          <w:p w14:paraId="45041E3E" w14:textId="77777777" w:rsidR="00F20488" w:rsidRPr="001134B0" w:rsidRDefault="00F20488" w:rsidP="00F20488">
            <w:pPr>
              <w:pStyle w:val="TCTableBody"/>
              <w:rPr>
                <w:rFonts w:cs="Times"/>
                <w:sz w:val="20"/>
              </w:rPr>
            </w:pPr>
            <w:r w:rsidRPr="001134B0">
              <w:rPr>
                <w:rFonts w:cs="Times"/>
                <w:sz w:val="20"/>
              </w:rPr>
              <w:t>0.37 ± 0.13</w:t>
            </w:r>
          </w:p>
        </w:tc>
        <w:tc>
          <w:tcPr>
            <w:tcW w:w="1276" w:type="dxa"/>
            <w:shd w:val="clear" w:color="auto" w:fill="auto"/>
            <w:noWrap/>
            <w:vAlign w:val="bottom"/>
            <w:hideMark/>
          </w:tcPr>
          <w:p w14:paraId="4A090E8F" w14:textId="77777777" w:rsidR="00F20488" w:rsidRPr="001134B0" w:rsidRDefault="00F20488" w:rsidP="00F20488">
            <w:pPr>
              <w:pStyle w:val="TCTableBody"/>
              <w:rPr>
                <w:rFonts w:cs="Times"/>
                <w:sz w:val="20"/>
              </w:rPr>
            </w:pPr>
            <w:r w:rsidRPr="001134B0">
              <w:rPr>
                <w:rFonts w:cs="Times"/>
                <w:sz w:val="20"/>
              </w:rPr>
              <w:t>0.77 ± 0.12</w:t>
            </w:r>
          </w:p>
        </w:tc>
      </w:tr>
      <w:tr w:rsidR="00F20488" w:rsidRPr="001134B0" w14:paraId="4D088D3B" w14:textId="77777777" w:rsidTr="00BA2CEA">
        <w:trPr>
          <w:trHeight w:val="315"/>
        </w:trPr>
        <w:tc>
          <w:tcPr>
            <w:tcW w:w="2263" w:type="dxa"/>
            <w:vMerge/>
            <w:vAlign w:val="center"/>
            <w:hideMark/>
          </w:tcPr>
          <w:p w14:paraId="4F5E82C5"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77CBA2C5" w14:textId="77777777" w:rsidR="00F20488" w:rsidRPr="001134B0" w:rsidRDefault="00F20488" w:rsidP="00F20488">
            <w:pPr>
              <w:pStyle w:val="TCTableBody"/>
              <w:rPr>
                <w:rFonts w:cs="Times"/>
                <w:sz w:val="20"/>
              </w:rPr>
            </w:pPr>
            <w:proofErr w:type="spellStart"/>
            <w:r w:rsidRPr="001134B0">
              <w:rPr>
                <w:rFonts w:cs="Times"/>
                <w:sz w:val="20"/>
              </w:rPr>
              <w:t>ErG</w:t>
            </w:r>
            <w:proofErr w:type="spellEnd"/>
          </w:p>
        </w:tc>
        <w:tc>
          <w:tcPr>
            <w:tcW w:w="851" w:type="dxa"/>
            <w:shd w:val="clear" w:color="auto" w:fill="auto"/>
            <w:noWrap/>
            <w:vAlign w:val="bottom"/>
            <w:hideMark/>
          </w:tcPr>
          <w:p w14:paraId="5A304C49" w14:textId="77777777" w:rsidR="00F20488" w:rsidRPr="001134B0" w:rsidRDefault="00F20488" w:rsidP="00F20488">
            <w:pPr>
              <w:pStyle w:val="TCTableBody"/>
              <w:rPr>
                <w:rFonts w:cs="Times"/>
                <w:sz w:val="20"/>
              </w:rPr>
            </w:pPr>
            <w:r w:rsidRPr="001134B0">
              <w:rPr>
                <w:rFonts w:cs="Times"/>
                <w:sz w:val="20"/>
              </w:rPr>
              <w:t>0.7</w:t>
            </w:r>
          </w:p>
        </w:tc>
        <w:tc>
          <w:tcPr>
            <w:tcW w:w="850" w:type="dxa"/>
            <w:shd w:val="clear" w:color="auto" w:fill="auto"/>
            <w:noWrap/>
            <w:vAlign w:val="bottom"/>
            <w:hideMark/>
          </w:tcPr>
          <w:p w14:paraId="09EB7BF1" w14:textId="77777777" w:rsidR="00F20488" w:rsidRPr="001134B0" w:rsidRDefault="00F20488" w:rsidP="00F20488">
            <w:pPr>
              <w:pStyle w:val="TCTableBody"/>
              <w:rPr>
                <w:rFonts w:cs="Times"/>
                <w:sz w:val="20"/>
              </w:rPr>
            </w:pPr>
            <w:r w:rsidRPr="001134B0">
              <w:rPr>
                <w:rFonts w:cs="Times"/>
                <w:sz w:val="20"/>
              </w:rPr>
              <w:t>0.4</w:t>
            </w:r>
          </w:p>
        </w:tc>
        <w:tc>
          <w:tcPr>
            <w:tcW w:w="851" w:type="dxa"/>
            <w:shd w:val="clear" w:color="auto" w:fill="auto"/>
            <w:noWrap/>
            <w:vAlign w:val="bottom"/>
            <w:hideMark/>
          </w:tcPr>
          <w:p w14:paraId="29FE83D9" w14:textId="77777777" w:rsidR="00F20488" w:rsidRPr="001134B0" w:rsidRDefault="00F20488" w:rsidP="00F20488">
            <w:pPr>
              <w:pStyle w:val="TCTableBody"/>
              <w:rPr>
                <w:rFonts w:cs="Times"/>
                <w:sz w:val="20"/>
              </w:rPr>
            </w:pPr>
            <w:r w:rsidRPr="001134B0">
              <w:rPr>
                <w:rFonts w:cs="Times"/>
                <w:sz w:val="20"/>
              </w:rPr>
              <w:t>0.81</w:t>
            </w:r>
          </w:p>
        </w:tc>
        <w:tc>
          <w:tcPr>
            <w:tcW w:w="1275" w:type="dxa"/>
            <w:shd w:val="clear" w:color="auto" w:fill="auto"/>
            <w:noWrap/>
            <w:vAlign w:val="bottom"/>
            <w:hideMark/>
          </w:tcPr>
          <w:p w14:paraId="2414F79F" w14:textId="77777777" w:rsidR="00F20488" w:rsidRPr="001134B0" w:rsidRDefault="00F20488" w:rsidP="00F20488">
            <w:pPr>
              <w:pStyle w:val="TCTableBody"/>
              <w:rPr>
                <w:rFonts w:cs="Times"/>
                <w:sz w:val="20"/>
              </w:rPr>
            </w:pPr>
            <w:r w:rsidRPr="001134B0">
              <w:rPr>
                <w:rFonts w:cs="Times"/>
                <w:sz w:val="20"/>
              </w:rPr>
              <w:t>0.6 ± 0.07</w:t>
            </w:r>
          </w:p>
        </w:tc>
        <w:tc>
          <w:tcPr>
            <w:tcW w:w="1276" w:type="dxa"/>
            <w:shd w:val="clear" w:color="auto" w:fill="auto"/>
            <w:noWrap/>
            <w:vAlign w:val="bottom"/>
            <w:hideMark/>
          </w:tcPr>
          <w:p w14:paraId="536C55CB" w14:textId="77777777" w:rsidR="00F20488" w:rsidRPr="001134B0" w:rsidRDefault="00F20488" w:rsidP="00F20488">
            <w:pPr>
              <w:pStyle w:val="TCTableBody"/>
              <w:rPr>
                <w:rFonts w:cs="Times"/>
                <w:sz w:val="20"/>
              </w:rPr>
            </w:pPr>
            <w:r w:rsidRPr="001134B0">
              <w:rPr>
                <w:rFonts w:cs="Times"/>
                <w:sz w:val="20"/>
              </w:rPr>
              <w:t>0.16 ± 0.11</w:t>
            </w:r>
          </w:p>
        </w:tc>
        <w:tc>
          <w:tcPr>
            <w:tcW w:w="1276" w:type="dxa"/>
            <w:shd w:val="clear" w:color="auto" w:fill="auto"/>
            <w:noWrap/>
            <w:vAlign w:val="bottom"/>
            <w:hideMark/>
          </w:tcPr>
          <w:p w14:paraId="7E242E13" w14:textId="77777777" w:rsidR="00F20488" w:rsidRPr="001134B0" w:rsidRDefault="00F20488" w:rsidP="00F20488">
            <w:pPr>
              <w:pStyle w:val="TCTableBody"/>
              <w:rPr>
                <w:rFonts w:cs="Times"/>
                <w:sz w:val="20"/>
              </w:rPr>
            </w:pPr>
            <w:r w:rsidRPr="001134B0">
              <w:rPr>
                <w:rFonts w:cs="Times"/>
                <w:sz w:val="20"/>
              </w:rPr>
              <w:t>0.75 ± 0.11</w:t>
            </w:r>
          </w:p>
        </w:tc>
      </w:tr>
      <w:tr w:rsidR="00F20488" w:rsidRPr="001134B0" w14:paraId="0DF01093" w14:textId="77777777" w:rsidTr="00BA2CEA">
        <w:trPr>
          <w:trHeight w:val="300"/>
        </w:trPr>
        <w:tc>
          <w:tcPr>
            <w:tcW w:w="2263" w:type="dxa"/>
            <w:vMerge/>
            <w:vAlign w:val="center"/>
            <w:hideMark/>
          </w:tcPr>
          <w:p w14:paraId="5C1EF3DD"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2A7E408D" w14:textId="77777777" w:rsidR="00F20488" w:rsidRPr="001134B0" w:rsidRDefault="00F20488" w:rsidP="00F20488">
            <w:pPr>
              <w:pStyle w:val="TCTableBody"/>
              <w:rPr>
                <w:rFonts w:cs="Times"/>
                <w:sz w:val="20"/>
              </w:rPr>
            </w:pPr>
            <w:proofErr w:type="spellStart"/>
            <w:r w:rsidRPr="001134B0">
              <w:rPr>
                <w:rFonts w:cs="Times"/>
                <w:sz w:val="20"/>
              </w:rPr>
              <w:t>ErG+CP</w:t>
            </w:r>
            <w:proofErr w:type="spellEnd"/>
          </w:p>
        </w:tc>
        <w:tc>
          <w:tcPr>
            <w:tcW w:w="851" w:type="dxa"/>
            <w:shd w:val="clear" w:color="auto" w:fill="auto"/>
            <w:noWrap/>
            <w:vAlign w:val="bottom"/>
            <w:hideMark/>
          </w:tcPr>
          <w:p w14:paraId="487F1DD7" w14:textId="77777777" w:rsidR="00F20488" w:rsidRPr="001134B0" w:rsidRDefault="00F20488" w:rsidP="00F20488">
            <w:pPr>
              <w:pStyle w:val="TCTableBody"/>
              <w:rPr>
                <w:rFonts w:cs="Times"/>
                <w:sz w:val="20"/>
              </w:rPr>
            </w:pPr>
            <w:r w:rsidRPr="001134B0">
              <w:rPr>
                <w:rFonts w:cs="Times"/>
                <w:sz w:val="20"/>
              </w:rPr>
              <w:t>0.61</w:t>
            </w:r>
          </w:p>
        </w:tc>
        <w:tc>
          <w:tcPr>
            <w:tcW w:w="850" w:type="dxa"/>
            <w:shd w:val="clear" w:color="auto" w:fill="auto"/>
            <w:noWrap/>
            <w:vAlign w:val="bottom"/>
            <w:hideMark/>
          </w:tcPr>
          <w:p w14:paraId="4FA898EC" w14:textId="77777777" w:rsidR="00F20488" w:rsidRPr="001134B0" w:rsidRDefault="00F20488" w:rsidP="00F20488">
            <w:pPr>
              <w:pStyle w:val="TCTableBody"/>
              <w:rPr>
                <w:rFonts w:cs="Times"/>
                <w:sz w:val="20"/>
              </w:rPr>
            </w:pPr>
            <w:r w:rsidRPr="001134B0">
              <w:rPr>
                <w:rFonts w:cs="Times"/>
                <w:sz w:val="20"/>
              </w:rPr>
              <w:t>0.25</w:t>
            </w:r>
          </w:p>
        </w:tc>
        <w:tc>
          <w:tcPr>
            <w:tcW w:w="851" w:type="dxa"/>
            <w:shd w:val="clear" w:color="auto" w:fill="auto"/>
            <w:noWrap/>
            <w:vAlign w:val="bottom"/>
            <w:hideMark/>
          </w:tcPr>
          <w:p w14:paraId="11FF6B15" w14:textId="77777777" w:rsidR="00F20488" w:rsidRPr="001134B0" w:rsidRDefault="00F20488" w:rsidP="00F20488">
            <w:pPr>
              <w:pStyle w:val="TCTableBody"/>
              <w:rPr>
                <w:rFonts w:cs="Times"/>
                <w:sz w:val="20"/>
              </w:rPr>
            </w:pPr>
            <w:r w:rsidRPr="001134B0">
              <w:rPr>
                <w:rFonts w:cs="Times"/>
                <w:sz w:val="20"/>
              </w:rPr>
              <w:t>0.74</w:t>
            </w:r>
          </w:p>
        </w:tc>
        <w:tc>
          <w:tcPr>
            <w:tcW w:w="1275" w:type="dxa"/>
            <w:shd w:val="clear" w:color="auto" w:fill="auto"/>
            <w:noWrap/>
            <w:vAlign w:val="bottom"/>
            <w:hideMark/>
          </w:tcPr>
          <w:p w14:paraId="0EBBB3D6" w14:textId="77777777" w:rsidR="00F20488" w:rsidRPr="001134B0" w:rsidRDefault="00F20488" w:rsidP="00F20488">
            <w:pPr>
              <w:pStyle w:val="TCTableBody"/>
              <w:rPr>
                <w:rFonts w:cs="Times"/>
                <w:sz w:val="20"/>
              </w:rPr>
            </w:pPr>
            <w:r w:rsidRPr="001134B0">
              <w:rPr>
                <w:rFonts w:cs="Times"/>
                <w:sz w:val="20"/>
              </w:rPr>
              <w:t>0.73 ± 0.11</w:t>
            </w:r>
          </w:p>
        </w:tc>
        <w:tc>
          <w:tcPr>
            <w:tcW w:w="1276" w:type="dxa"/>
            <w:shd w:val="clear" w:color="auto" w:fill="auto"/>
            <w:noWrap/>
            <w:vAlign w:val="bottom"/>
            <w:hideMark/>
          </w:tcPr>
          <w:p w14:paraId="51EEDCDA" w14:textId="77777777" w:rsidR="00F20488" w:rsidRPr="001134B0" w:rsidRDefault="00F20488" w:rsidP="00F20488">
            <w:pPr>
              <w:pStyle w:val="TCTableBody"/>
              <w:rPr>
                <w:rFonts w:cs="Times"/>
                <w:sz w:val="20"/>
              </w:rPr>
            </w:pPr>
            <w:r w:rsidRPr="001134B0">
              <w:rPr>
                <w:rFonts w:cs="Times"/>
                <w:sz w:val="20"/>
              </w:rPr>
              <w:t>0.44 ± 0.15</w:t>
            </w:r>
          </w:p>
        </w:tc>
        <w:tc>
          <w:tcPr>
            <w:tcW w:w="1276" w:type="dxa"/>
            <w:shd w:val="clear" w:color="auto" w:fill="auto"/>
            <w:noWrap/>
            <w:vAlign w:val="bottom"/>
            <w:hideMark/>
          </w:tcPr>
          <w:p w14:paraId="539B754E" w14:textId="77777777" w:rsidR="00F20488" w:rsidRPr="001134B0" w:rsidRDefault="00F20488" w:rsidP="00F20488">
            <w:pPr>
              <w:pStyle w:val="TCTableBody"/>
              <w:rPr>
                <w:rFonts w:cs="Times"/>
                <w:sz w:val="20"/>
              </w:rPr>
            </w:pPr>
            <w:r w:rsidRPr="001134B0">
              <w:rPr>
                <w:rFonts w:cs="Times"/>
                <w:sz w:val="20"/>
              </w:rPr>
              <w:t>0.81 ± 0.1</w:t>
            </w:r>
          </w:p>
        </w:tc>
      </w:tr>
      <w:tr w:rsidR="00F20488" w:rsidRPr="001134B0" w14:paraId="68BD6DC4" w14:textId="77777777" w:rsidTr="00BA2CEA">
        <w:trPr>
          <w:trHeight w:val="300"/>
        </w:trPr>
        <w:tc>
          <w:tcPr>
            <w:tcW w:w="2263" w:type="dxa"/>
            <w:vMerge/>
            <w:vAlign w:val="center"/>
            <w:hideMark/>
          </w:tcPr>
          <w:p w14:paraId="4DB885B5"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3AEE5456" w14:textId="77777777" w:rsidR="00F20488" w:rsidRPr="001134B0" w:rsidRDefault="00F20488" w:rsidP="00F20488">
            <w:pPr>
              <w:pStyle w:val="TCTableBody"/>
              <w:rPr>
                <w:rFonts w:cs="Times"/>
                <w:sz w:val="20"/>
              </w:rPr>
            </w:pPr>
            <w:r w:rsidRPr="001134B0">
              <w:rPr>
                <w:rFonts w:cs="Times"/>
                <w:sz w:val="20"/>
              </w:rPr>
              <w:t>Morgan</w:t>
            </w:r>
          </w:p>
        </w:tc>
        <w:tc>
          <w:tcPr>
            <w:tcW w:w="851" w:type="dxa"/>
            <w:shd w:val="clear" w:color="auto" w:fill="auto"/>
            <w:noWrap/>
            <w:vAlign w:val="bottom"/>
            <w:hideMark/>
          </w:tcPr>
          <w:p w14:paraId="64262A14" w14:textId="77777777" w:rsidR="00F20488" w:rsidRPr="001134B0" w:rsidRDefault="00F20488" w:rsidP="00F20488">
            <w:pPr>
              <w:pStyle w:val="TCTableBody"/>
              <w:rPr>
                <w:rFonts w:cs="Times"/>
                <w:sz w:val="20"/>
              </w:rPr>
            </w:pPr>
            <w:r w:rsidRPr="001134B0">
              <w:rPr>
                <w:rFonts w:cs="Times"/>
                <w:sz w:val="20"/>
              </w:rPr>
              <w:t>0.5</w:t>
            </w:r>
          </w:p>
        </w:tc>
        <w:tc>
          <w:tcPr>
            <w:tcW w:w="850" w:type="dxa"/>
            <w:shd w:val="clear" w:color="auto" w:fill="auto"/>
            <w:noWrap/>
            <w:vAlign w:val="bottom"/>
            <w:hideMark/>
          </w:tcPr>
          <w:p w14:paraId="27291C01" w14:textId="77777777" w:rsidR="00F20488" w:rsidRPr="001134B0" w:rsidRDefault="00F20488" w:rsidP="00F20488">
            <w:pPr>
              <w:pStyle w:val="TCTableBody"/>
              <w:rPr>
                <w:rFonts w:cs="Times"/>
                <w:sz w:val="20"/>
              </w:rPr>
            </w:pPr>
            <w:r w:rsidRPr="001134B0">
              <w:rPr>
                <w:rFonts w:cs="Times"/>
                <w:sz w:val="20"/>
              </w:rPr>
              <w:t>0.01</w:t>
            </w:r>
          </w:p>
        </w:tc>
        <w:tc>
          <w:tcPr>
            <w:tcW w:w="851" w:type="dxa"/>
            <w:shd w:val="clear" w:color="auto" w:fill="auto"/>
            <w:noWrap/>
            <w:vAlign w:val="bottom"/>
            <w:hideMark/>
          </w:tcPr>
          <w:p w14:paraId="6F242AED" w14:textId="77777777" w:rsidR="00F20488" w:rsidRPr="001134B0" w:rsidRDefault="00F20488" w:rsidP="00F20488">
            <w:pPr>
              <w:pStyle w:val="TCTableBody"/>
              <w:rPr>
                <w:rFonts w:cs="Times"/>
                <w:sz w:val="20"/>
              </w:rPr>
            </w:pPr>
            <w:r w:rsidRPr="001134B0">
              <w:rPr>
                <w:rFonts w:cs="Times"/>
                <w:sz w:val="20"/>
              </w:rPr>
              <w:t>0.54</w:t>
            </w:r>
          </w:p>
        </w:tc>
        <w:tc>
          <w:tcPr>
            <w:tcW w:w="1275" w:type="dxa"/>
            <w:shd w:val="clear" w:color="auto" w:fill="auto"/>
            <w:noWrap/>
            <w:vAlign w:val="bottom"/>
            <w:hideMark/>
          </w:tcPr>
          <w:p w14:paraId="598FBAC3" w14:textId="77777777" w:rsidR="00F20488" w:rsidRPr="001134B0" w:rsidRDefault="00F20488" w:rsidP="00F20488">
            <w:pPr>
              <w:pStyle w:val="TCTableBody"/>
              <w:rPr>
                <w:rFonts w:cs="Times"/>
                <w:sz w:val="20"/>
              </w:rPr>
            </w:pPr>
            <w:r w:rsidRPr="001134B0">
              <w:rPr>
                <w:rFonts w:cs="Times"/>
                <w:sz w:val="20"/>
              </w:rPr>
              <w:t>0.55 ± 0.08</w:t>
            </w:r>
          </w:p>
        </w:tc>
        <w:tc>
          <w:tcPr>
            <w:tcW w:w="1276" w:type="dxa"/>
            <w:shd w:val="clear" w:color="auto" w:fill="auto"/>
            <w:noWrap/>
            <w:vAlign w:val="bottom"/>
            <w:hideMark/>
          </w:tcPr>
          <w:p w14:paraId="79FC9DA2" w14:textId="77777777" w:rsidR="00F20488" w:rsidRPr="001134B0" w:rsidRDefault="00F20488" w:rsidP="00F20488">
            <w:pPr>
              <w:pStyle w:val="TCTableBody"/>
              <w:rPr>
                <w:rFonts w:cs="Times"/>
                <w:sz w:val="20"/>
              </w:rPr>
            </w:pPr>
            <w:r w:rsidRPr="001134B0">
              <w:rPr>
                <w:rFonts w:cs="Times"/>
                <w:sz w:val="20"/>
              </w:rPr>
              <w:t>0.1 ± 0.15</w:t>
            </w:r>
          </w:p>
        </w:tc>
        <w:tc>
          <w:tcPr>
            <w:tcW w:w="1276" w:type="dxa"/>
            <w:shd w:val="clear" w:color="auto" w:fill="auto"/>
            <w:noWrap/>
            <w:vAlign w:val="bottom"/>
            <w:hideMark/>
          </w:tcPr>
          <w:p w14:paraId="6B384509" w14:textId="77777777" w:rsidR="00F20488" w:rsidRPr="001134B0" w:rsidRDefault="00F20488" w:rsidP="00F20488">
            <w:pPr>
              <w:pStyle w:val="TCTableBody"/>
              <w:rPr>
                <w:rFonts w:cs="Times"/>
                <w:sz w:val="20"/>
              </w:rPr>
            </w:pPr>
            <w:r w:rsidRPr="001134B0">
              <w:rPr>
                <w:rFonts w:cs="Times"/>
                <w:sz w:val="20"/>
              </w:rPr>
              <w:t>0.5 ± 0.17</w:t>
            </w:r>
          </w:p>
        </w:tc>
      </w:tr>
      <w:tr w:rsidR="00F20488" w:rsidRPr="001134B0" w14:paraId="4779E820" w14:textId="77777777" w:rsidTr="00BA2CEA">
        <w:trPr>
          <w:trHeight w:val="315"/>
        </w:trPr>
        <w:tc>
          <w:tcPr>
            <w:tcW w:w="2263" w:type="dxa"/>
            <w:vMerge/>
            <w:vAlign w:val="center"/>
            <w:hideMark/>
          </w:tcPr>
          <w:p w14:paraId="4628F003"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2B8C8DF0" w14:textId="77777777" w:rsidR="00F20488" w:rsidRPr="001134B0" w:rsidRDefault="00F20488" w:rsidP="00F20488">
            <w:pPr>
              <w:pStyle w:val="TCTableBody"/>
              <w:rPr>
                <w:rFonts w:cs="Times"/>
                <w:sz w:val="20"/>
              </w:rPr>
            </w:pPr>
            <w:proofErr w:type="spellStart"/>
            <w:r w:rsidRPr="001134B0">
              <w:rPr>
                <w:rFonts w:cs="Times"/>
                <w:sz w:val="20"/>
              </w:rPr>
              <w:t>Morgan+CP</w:t>
            </w:r>
            <w:proofErr w:type="spellEnd"/>
          </w:p>
        </w:tc>
        <w:tc>
          <w:tcPr>
            <w:tcW w:w="851" w:type="dxa"/>
            <w:shd w:val="clear" w:color="auto" w:fill="auto"/>
            <w:noWrap/>
            <w:vAlign w:val="bottom"/>
            <w:hideMark/>
          </w:tcPr>
          <w:p w14:paraId="4A2E0AC7" w14:textId="77777777" w:rsidR="00F20488" w:rsidRPr="001134B0" w:rsidRDefault="00F20488" w:rsidP="00F20488">
            <w:pPr>
              <w:pStyle w:val="TCTableBody"/>
              <w:rPr>
                <w:rFonts w:cs="Times"/>
                <w:sz w:val="20"/>
              </w:rPr>
            </w:pPr>
            <w:r w:rsidRPr="001134B0">
              <w:rPr>
                <w:rFonts w:cs="Times"/>
                <w:sz w:val="20"/>
              </w:rPr>
              <w:t>0.62</w:t>
            </w:r>
          </w:p>
        </w:tc>
        <w:tc>
          <w:tcPr>
            <w:tcW w:w="850" w:type="dxa"/>
            <w:shd w:val="clear" w:color="auto" w:fill="auto"/>
            <w:noWrap/>
            <w:vAlign w:val="bottom"/>
            <w:hideMark/>
          </w:tcPr>
          <w:p w14:paraId="63603EEB" w14:textId="77777777" w:rsidR="00F20488" w:rsidRPr="001134B0" w:rsidRDefault="00F20488" w:rsidP="00F20488">
            <w:pPr>
              <w:pStyle w:val="TCTableBody"/>
              <w:rPr>
                <w:rFonts w:cs="Times"/>
                <w:sz w:val="20"/>
              </w:rPr>
            </w:pPr>
            <w:r w:rsidRPr="001134B0">
              <w:rPr>
                <w:rFonts w:cs="Times"/>
                <w:sz w:val="20"/>
              </w:rPr>
              <w:t>0.27</w:t>
            </w:r>
          </w:p>
        </w:tc>
        <w:tc>
          <w:tcPr>
            <w:tcW w:w="851" w:type="dxa"/>
            <w:shd w:val="clear" w:color="auto" w:fill="auto"/>
            <w:noWrap/>
            <w:vAlign w:val="bottom"/>
            <w:hideMark/>
          </w:tcPr>
          <w:p w14:paraId="7E5ABA46" w14:textId="77777777" w:rsidR="00F20488" w:rsidRPr="001134B0" w:rsidRDefault="00F20488" w:rsidP="00F20488">
            <w:pPr>
              <w:pStyle w:val="TCTableBody"/>
              <w:rPr>
                <w:rFonts w:cs="Times"/>
                <w:sz w:val="20"/>
              </w:rPr>
            </w:pPr>
            <w:r w:rsidRPr="001134B0">
              <w:rPr>
                <w:rFonts w:cs="Times"/>
                <w:sz w:val="20"/>
              </w:rPr>
              <w:t>0.65</w:t>
            </w:r>
          </w:p>
        </w:tc>
        <w:tc>
          <w:tcPr>
            <w:tcW w:w="1275" w:type="dxa"/>
            <w:shd w:val="clear" w:color="auto" w:fill="auto"/>
            <w:noWrap/>
            <w:vAlign w:val="bottom"/>
            <w:hideMark/>
          </w:tcPr>
          <w:p w14:paraId="79A907C3" w14:textId="77777777" w:rsidR="00F20488" w:rsidRPr="001134B0" w:rsidRDefault="00F20488" w:rsidP="00F20488">
            <w:pPr>
              <w:pStyle w:val="TCTableBody"/>
              <w:rPr>
                <w:rFonts w:cs="Times"/>
                <w:sz w:val="20"/>
              </w:rPr>
            </w:pPr>
            <w:r w:rsidRPr="001134B0">
              <w:rPr>
                <w:rFonts w:cs="Times"/>
                <w:sz w:val="20"/>
              </w:rPr>
              <w:t>0.69 ± 0.1</w:t>
            </w:r>
          </w:p>
        </w:tc>
        <w:tc>
          <w:tcPr>
            <w:tcW w:w="1276" w:type="dxa"/>
            <w:shd w:val="clear" w:color="auto" w:fill="auto"/>
            <w:noWrap/>
            <w:vAlign w:val="bottom"/>
            <w:hideMark/>
          </w:tcPr>
          <w:p w14:paraId="649BB940" w14:textId="77777777" w:rsidR="00F20488" w:rsidRPr="001134B0" w:rsidRDefault="00F20488" w:rsidP="00F20488">
            <w:pPr>
              <w:pStyle w:val="TCTableBody"/>
              <w:rPr>
                <w:rFonts w:cs="Times"/>
                <w:sz w:val="20"/>
              </w:rPr>
            </w:pPr>
            <w:r w:rsidRPr="001134B0">
              <w:rPr>
                <w:rFonts w:cs="Times"/>
                <w:sz w:val="20"/>
              </w:rPr>
              <w:t>0.43 ± 0.21</w:t>
            </w:r>
          </w:p>
        </w:tc>
        <w:tc>
          <w:tcPr>
            <w:tcW w:w="1276" w:type="dxa"/>
            <w:shd w:val="clear" w:color="auto" w:fill="auto"/>
            <w:noWrap/>
            <w:vAlign w:val="bottom"/>
            <w:hideMark/>
          </w:tcPr>
          <w:p w14:paraId="451EBE5E" w14:textId="77777777" w:rsidR="00F20488" w:rsidRPr="001134B0" w:rsidRDefault="00F20488" w:rsidP="00F20488">
            <w:pPr>
              <w:pStyle w:val="TCTableBody"/>
              <w:rPr>
                <w:rFonts w:cs="Times"/>
                <w:sz w:val="20"/>
              </w:rPr>
            </w:pPr>
            <w:r w:rsidRPr="001134B0">
              <w:rPr>
                <w:rFonts w:cs="Times"/>
                <w:sz w:val="20"/>
              </w:rPr>
              <w:t>0.76 ± 0.12</w:t>
            </w:r>
          </w:p>
        </w:tc>
      </w:tr>
      <w:tr w:rsidR="00F20488" w:rsidRPr="001134B0" w14:paraId="7981E542" w14:textId="77777777" w:rsidTr="00BA2CEA">
        <w:trPr>
          <w:trHeight w:val="315"/>
        </w:trPr>
        <w:tc>
          <w:tcPr>
            <w:tcW w:w="2263" w:type="dxa"/>
            <w:vMerge w:val="restart"/>
            <w:shd w:val="clear" w:color="auto" w:fill="auto"/>
            <w:noWrap/>
            <w:vAlign w:val="bottom"/>
            <w:hideMark/>
          </w:tcPr>
          <w:p w14:paraId="680ED6D0" w14:textId="77777777" w:rsidR="00F20488" w:rsidRPr="001134B0" w:rsidRDefault="00F20488" w:rsidP="00F20488">
            <w:pPr>
              <w:pStyle w:val="TCTableBody"/>
              <w:rPr>
                <w:rFonts w:cs="Times"/>
                <w:sz w:val="20"/>
              </w:rPr>
            </w:pPr>
            <w:proofErr w:type="spellStart"/>
            <w:r w:rsidRPr="001134B0">
              <w:rPr>
                <w:rFonts w:cs="Times"/>
                <w:sz w:val="20"/>
              </w:rPr>
              <w:t>BSK_hDFCGF</w:t>
            </w:r>
            <w:proofErr w:type="spellEnd"/>
            <w:r w:rsidRPr="001134B0">
              <w:rPr>
                <w:rFonts w:cs="Times"/>
                <w:sz w:val="20"/>
              </w:rPr>
              <w:t>_</w:t>
            </w:r>
          </w:p>
          <w:p w14:paraId="2ACAF482" w14:textId="74A138D9" w:rsidR="00F20488" w:rsidRPr="001134B0" w:rsidRDefault="00F20488" w:rsidP="00F20488">
            <w:pPr>
              <w:pStyle w:val="TCTableBody"/>
              <w:rPr>
                <w:rFonts w:cs="Times"/>
                <w:sz w:val="20"/>
              </w:rPr>
            </w:pPr>
            <w:proofErr w:type="spellStart"/>
            <w:r w:rsidRPr="001134B0">
              <w:rPr>
                <w:rFonts w:cs="Times"/>
                <w:sz w:val="20"/>
              </w:rPr>
              <w:t>Proliferation_down</w:t>
            </w:r>
            <w:proofErr w:type="spellEnd"/>
          </w:p>
        </w:tc>
        <w:tc>
          <w:tcPr>
            <w:tcW w:w="1276" w:type="dxa"/>
            <w:shd w:val="clear" w:color="auto" w:fill="auto"/>
            <w:noWrap/>
            <w:vAlign w:val="bottom"/>
            <w:hideMark/>
          </w:tcPr>
          <w:p w14:paraId="4712F3BF" w14:textId="77777777" w:rsidR="00F20488" w:rsidRPr="001134B0" w:rsidRDefault="00F20488" w:rsidP="00F20488">
            <w:pPr>
              <w:pStyle w:val="TCTableBody"/>
              <w:rPr>
                <w:rFonts w:cs="Times"/>
                <w:sz w:val="20"/>
              </w:rPr>
            </w:pPr>
            <w:r w:rsidRPr="001134B0">
              <w:rPr>
                <w:rFonts w:cs="Times"/>
                <w:sz w:val="20"/>
              </w:rPr>
              <w:t>CP</w:t>
            </w:r>
          </w:p>
        </w:tc>
        <w:tc>
          <w:tcPr>
            <w:tcW w:w="851" w:type="dxa"/>
            <w:shd w:val="clear" w:color="auto" w:fill="auto"/>
            <w:noWrap/>
            <w:vAlign w:val="bottom"/>
            <w:hideMark/>
          </w:tcPr>
          <w:p w14:paraId="3D1DBC08" w14:textId="77777777" w:rsidR="00F20488" w:rsidRPr="001134B0" w:rsidRDefault="00F20488" w:rsidP="00F20488">
            <w:pPr>
              <w:pStyle w:val="TCTableBody"/>
              <w:rPr>
                <w:rFonts w:cs="Times"/>
                <w:sz w:val="20"/>
              </w:rPr>
            </w:pPr>
            <w:r w:rsidRPr="001134B0">
              <w:rPr>
                <w:rFonts w:cs="Times"/>
                <w:sz w:val="20"/>
              </w:rPr>
              <w:t>0.6</w:t>
            </w:r>
          </w:p>
        </w:tc>
        <w:tc>
          <w:tcPr>
            <w:tcW w:w="850" w:type="dxa"/>
            <w:shd w:val="clear" w:color="auto" w:fill="auto"/>
            <w:noWrap/>
            <w:vAlign w:val="bottom"/>
            <w:hideMark/>
          </w:tcPr>
          <w:p w14:paraId="38C349FC" w14:textId="77777777" w:rsidR="00F20488" w:rsidRPr="001134B0" w:rsidRDefault="00F20488" w:rsidP="00F20488">
            <w:pPr>
              <w:pStyle w:val="TCTableBody"/>
              <w:rPr>
                <w:rFonts w:cs="Times"/>
                <w:sz w:val="20"/>
              </w:rPr>
            </w:pPr>
            <w:r w:rsidRPr="001134B0">
              <w:rPr>
                <w:rFonts w:cs="Times"/>
                <w:sz w:val="20"/>
              </w:rPr>
              <w:t>0.21</w:t>
            </w:r>
          </w:p>
        </w:tc>
        <w:tc>
          <w:tcPr>
            <w:tcW w:w="851" w:type="dxa"/>
            <w:shd w:val="clear" w:color="auto" w:fill="auto"/>
            <w:noWrap/>
            <w:vAlign w:val="bottom"/>
            <w:hideMark/>
          </w:tcPr>
          <w:p w14:paraId="36FA2289" w14:textId="77777777" w:rsidR="00F20488" w:rsidRPr="001134B0" w:rsidRDefault="00F20488" w:rsidP="00F20488">
            <w:pPr>
              <w:pStyle w:val="TCTableBody"/>
              <w:rPr>
                <w:rFonts w:cs="Times"/>
                <w:sz w:val="20"/>
              </w:rPr>
            </w:pPr>
            <w:r w:rsidRPr="001134B0">
              <w:rPr>
                <w:rFonts w:cs="Times"/>
                <w:sz w:val="20"/>
              </w:rPr>
              <w:t>0.63</w:t>
            </w:r>
          </w:p>
        </w:tc>
        <w:tc>
          <w:tcPr>
            <w:tcW w:w="1275" w:type="dxa"/>
            <w:shd w:val="clear" w:color="auto" w:fill="auto"/>
            <w:noWrap/>
            <w:vAlign w:val="bottom"/>
            <w:hideMark/>
          </w:tcPr>
          <w:p w14:paraId="350BC161" w14:textId="77777777" w:rsidR="00F20488" w:rsidRPr="001134B0" w:rsidRDefault="00F20488" w:rsidP="00F20488">
            <w:pPr>
              <w:pStyle w:val="TCTableBody"/>
              <w:rPr>
                <w:rFonts w:cs="Times"/>
                <w:sz w:val="20"/>
              </w:rPr>
            </w:pPr>
            <w:r w:rsidRPr="001134B0">
              <w:rPr>
                <w:rFonts w:cs="Times"/>
                <w:sz w:val="20"/>
              </w:rPr>
              <w:t>0.68 ± 0.15</w:t>
            </w:r>
          </w:p>
        </w:tc>
        <w:tc>
          <w:tcPr>
            <w:tcW w:w="1276" w:type="dxa"/>
            <w:shd w:val="clear" w:color="auto" w:fill="auto"/>
            <w:noWrap/>
            <w:vAlign w:val="bottom"/>
            <w:hideMark/>
          </w:tcPr>
          <w:p w14:paraId="1F067763" w14:textId="77777777" w:rsidR="00F20488" w:rsidRPr="001134B0" w:rsidRDefault="00F20488" w:rsidP="00F20488">
            <w:pPr>
              <w:pStyle w:val="TCTableBody"/>
              <w:rPr>
                <w:rFonts w:cs="Times"/>
                <w:sz w:val="20"/>
              </w:rPr>
            </w:pPr>
            <w:r w:rsidRPr="001134B0">
              <w:rPr>
                <w:rFonts w:cs="Times"/>
                <w:sz w:val="20"/>
              </w:rPr>
              <w:t>0.25 ± 0.22</w:t>
            </w:r>
          </w:p>
        </w:tc>
        <w:tc>
          <w:tcPr>
            <w:tcW w:w="1276" w:type="dxa"/>
            <w:shd w:val="clear" w:color="auto" w:fill="auto"/>
            <w:noWrap/>
            <w:vAlign w:val="bottom"/>
            <w:hideMark/>
          </w:tcPr>
          <w:p w14:paraId="561EDFF0" w14:textId="77777777" w:rsidR="00F20488" w:rsidRPr="001134B0" w:rsidRDefault="00F20488" w:rsidP="00F20488">
            <w:pPr>
              <w:pStyle w:val="TCTableBody"/>
              <w:rPr>
                <w:rFonts w:cs="Times"/>
                <w:sz w:val="20"/>
              </w:rPr>
            </w:pPr>
            <w:r w:rsidRPr="001134B0">
              <w:rPr>
                <w:rFonts w:cs="Times"/>
                <w:sz w:val="20"/>
              </w:rPr>
              <w:t>0.71 ± 0.13</w:t>
            </w:r>
          </w:p>
        </w:tc>
      </w:tr>
      <w:tr w:rsidR="00F20488" w:rsidRPr="001134B0" w14:paraId="113A3F54" w14:textId="77777777" w:rsidTr="00BA2CEA">
        <w:trPr>
          <w:trHeight w:val="315"/>
        </w:trPr>
        <w:tc>
          <w:tcPr>
            <w:tcW w:w="2263" w:type="dxa"/>
            <w:vMerge/>
            <w:vAlign w:val="center"/>
            <w:hideMark/>
          </w:tcPr>
          <w:p w14:paraId="07450479"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7DC95438" w14:textId="77777777" w:rsidR="00F20488" w:rsidRPr="001134B0" w:rsidRDefault="00F20488" w:rsidP="00F20488">
            <w:pPr>
              <w:pStyle w:val="TCTableBody"/>
              <w:rPr>
                <w:rFonts w:cs="Times"/>
                <w:sz w:val="20"/>
              </w:rPr>
            </w:pPr>
            <w:proofErr w:type="spellStart"/>
            <w:r w:rsidRPr="001134B0">
              <w:rPr>
                <w:rFonts w:cs="Times"/>
                <w:sz w:val="20"/>
              </w:rPr>
              <w:t>ErG</w:t>
            </w:r>
            <w:proofErr w:type="spellEnd"/>
          </w:p>
        </w:tc>
        <w:tc>
          <w:tcPr>
            <w:tcW w:w="851" w:type="dxa"/>
            <w:shd w:val="clear" w:color="auto" w:fill="auto"/>
            <w:noWrap/>
            <w:vAlign w:val="bottom"/>
            <w:hideMark/>
          </w:tcPr>
          <w:p w14:paraId="2FB0E660" w14:textId="77777777" w:rsidR="00F20488" w:rsidRPr="001134B0" w:rsidRDefault="00F20488" w:rsidP="00F20488">
            <w:pPr>
              <w:pStyle w:val="TCTableBody"/>
              <w:rPr>
                <w:rFonts w:cs="Times"/>
                <w:sz w:val="20"/>
              </w:rPr>
            </w:pPr>
            <w:r w:rsidRPr="001134B0">
              <w:rPr>
                <w:rFonts w:cs="Times"/>
                <w:sz w:val="20"/>
              </w:rPr>
              <w:t>0.71</w:t>
            </w:r>
          </w:p>
        </w:tc>
        <w:tc>
          <w:tcPr>
            <w:tcW w:w="850" w:type="dxa"/>
            <w:shd w:val="clear" w:color="auto" w:fill="auto"/>
            <w:noWrap/>
            <w:vAlign w:val="bottom"/>
            <w:hideMark/>
          </w:tcPr>
          <w:p w14:paraId="3082B86F" w14:textId="77777777" w:rsidR="00F20488" w:rsidRPr="001134B0" w:rsidRDefault="00F20488" w:rsidP="00F20488">
            <w:pPr>
              <w:pStyle w:val="TCTableBody"/>
              <w:rPr>
                <w:rFonts w:cs="Times"/>
                <w:sz w:val="20"/>
              </w:rPr>
            </w:pPr>
            <w:r w:rsidRPr="001134B0">
              <w:rPr>
                <w:rFonts w:cs="Times"/>
                <w:sz w:val="20"/>
              </w:rPr>
              <w:t>0.44</w:t>
            </w:r>
          </w:p>
        </w:tc>
        <w:tc>
          <w:tcPr>
            <w:tcW w:w="851" w:type="dxa"/>
            <w:shd w:val="clear" w:color="auto" w:fill="auto"/>
            <w:noWrap/>
            <w:vAlign w:val="bottom"/>
            <w:hideMark/>
          </w:tcPr>
          <w:p w14:paraId="21EA3FB6" w14:textId="77777777" w:rsidR="00F20488" w:rsidRPr="001134B0" w:rsidRDefault="00F20488" w:rsidP="00F20488">
            <w:pPr>
              <w:pStyle w:val="TCTableBody"/>
              <w:rPr>
                <w:rFonts w:cs="Times"/>
                <w:sz w:val="20"/>
              </w:rPr>
            </w:pPr>
            <w:r w:rsidRPr="001134B0">
              <w:rPr>
                <w:rFonts w:cs="Times"/>
                <w:sz w:val="20"/>
              </w:rPr>
              <w:t>0.76</w:t>
            </w:r>
          </w:p>
        </w:tc>
        <w:tc>
          <w:tcPr>
            <w:tcW w:w="1275" w:type="dxa"/>
            <w:shd w:val="clear" w:color="auto" w:fill="auto"/>
            <w:noWrap/>
            <w:vAlign w:val="bottom"/>
            <w:hideMark/>
          </w:tcPr>
          <w:p w14:paraId="329AE43D" w14:textId="77777777" w:rsidR="00F20488" w:rsidRPr="001134B0" w:rsidRDefault="00F20488" w:rsidP="00F20488">
            <w:pPr>
              <w:pStyle w:val="TCTableBody"/>
              <w:rPr>
                <w:rFonts w:cs="Times"/>
                <w:sz w:val="20"/>
              </w:rPr>
            </w:pPr>
            <w:r w:rsidRPr="001134B0">
              <w:rPr>
                <w:rFonts w:cs="Times"/>
                <w:sz w:val="20"/>
              </w:rPr>
              <w:t>0.63 ± 0.1</w:t>
            </w:r>
          </w:p>
        </w:tc>
        <w:tc>
          <w:tcPr>
            <w:tcW w:w="1276" w:type="dxa"/>
            <w:shd w:val="clear" w:color="auto" w:fill="auto"/>
            <w:noWrap/>
            <w:vAlign w:val="bottom"/>
            <w:hideMark/>
          </w:tcPr>
          <w:p w14:paraId="7B32B7B2" w14:textId="77777777" w:rsidR="00F20488" w:rsidRPr="001134B0" w:rsidRDefault="00F20488" w:rsidP="00F20488">
            <w:pPr>
              <w:pStyle w:val="TCTableBody"/>
              <w:rPr>
                <w:rFonts w:cs="Times"/>
                <w:sz w:val="20"/>
              </w:rPr>
            </w:pPr>
            <w:r w:rsidRPr="001134B0">
              <w:rPr>
                <w:rFonts w:cs="Times"/>
                <w:sz w:val="20"/>
              </w:rPr>
              <w:t>0.15 ± 0.16</w:t>
            </w:r>
          </w:p>
        </w:tc>
        <w:tc>
          <w:tcPr>
            <w:tcW w:w="1276" w:type="dxa"/>
            <w:shd w:val="clear" w:color="auto" w:fill="auto"/>
            <w:noWrap/>
            <w:vAlign w:val="bottom"/>
            <w:hideMark/>
          </w:tcPr>
          <w:p w14:paraId="63BE2910" w14:textId="77777777" w:rsidR="00F20488" w:rsidRPr="001134B0" w:rsidRDefault="00F20488" w:rsidP="00F20488">
            <w:pPr>
              <w:pStyle w:val="TCTableBody"/>
              <w:rPr>
                <w:rFonts w:cs="Times"/>
                <w:sz w:val="20"/>
              </w:rPr>
            </w:pPr>
            <w:r w:rsidRPr="001134B0">
              <w:rPr>
                <w:rFonts w:cs="Times"/>
                <w:sz w:val="20"/>
              </w:rPr>
              <w:t>0.58 ± 0.08</w:t>
            </w:r>
          </w:p>
        </w:tc>
      </w:tr>
      <w:tr w:rsidR="00F20488" w:rsidRPr="001134B0" w14:paraId="0CFCF7BF" w14:textId="77777777" w:rsidTr="00BA2CEA">
        <w:trPr>
          <w:trHeight w:val="300"/>
        </w:trPr>
        <w:tc>
          <w:tcPr>
            <w:tcW w:w="2263" w:type="dxa"/>
            <w:vMerge/>
            <w:vAlign w:val="center"/>
            <w:hideMark/>
          </w:tcPr>
          <w:p w14:paraId="029C3E4E"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3F0EE012" w14:textId="77777777" w:rsidR="00F20488" w:rsidRPr="001134B0" w:rsidRDefault="00F20488" w:rsidP="00F20488">
            <w:pPr>
              <w:pStyle w:val="TCTableBody"/>
              <w:rPr>
                <w:rFonts w:cs="Times"/>
                <w:sz w:val="20"/>
              </w:rPr>
            </w:pPr>
            <w:proofErr w:type="spellStart"/>
            <w:r w:rsidRPr="001134B0">
              <w:rPr>
                <w:rFonts w:cs="Times"/>
                <w:sz w:val="20"/>
              </w:rPr>
              <w:t>ErG+CP</w:t>
            </w:r>
            <w:proofErr w:type="spellEnd"/>
          </w:p>
        </w:tc>
        <w:tc>
          <w:tcPr>
            <w:tcW w:w="851" w:type="dxa"/>
            <w:shd w:val="clear" w:color="auto" w:fill="auto"/>
            <w:noWrap/>
            <w:vAlign w:val="bottom"/>
            <w:hideMark/>
          </w:tcPr>
          <w:p w14:paraId="38B6F30D" w14:textId="77777777" w:rsidR="00F20488" w:rsidRPr="001134B0" w:rsidRDefault="00F20488" w:rsidP="00F20488">
            <w:pPr>
              <w:pStyle w:val="TCTableBody"/>
              <w:rPr>
                <w:rFonts w:cs="Times"/>
                <w:sz w:val="20"/>
              </w:rPr>
            </w:pPr>
            <w:r w:rsidRPr="001134B0">
              <w:rPr>
                <w:rFonts w:cs="Times"/>
                <w:sz w:val="20"/>
              </w:rPr>
              <w:t>0.61</w:t>
            </w:r>
          </w:p>
        </w:tc>
        <w:tc>
          <w:tcPr>
            <w:tcW w:w="850" w:type="dxa"/>
            <w:shd w:val="clear" w:color="auto" w:fill="auto"/>
            <w:noWrap/>
            <w:vAlign w:val="bottom"/>
            <w:hideMark/>
          </w:tcPr>
          <w:p w14:paraId="5D970267" w14:textId="77777777" w:rsidR="00F20488" w:rsidRPr="001134B0" w:rsidRDefault="00F20488" w:rsidP="00F20488">
            <w:pPr>
              <w:pStyle w:val="TCTableBody"/>
              <w:rPr>
                <w:rFonts w:cs="Times"/>
                <w:sz w:val="20"/>
              </w:rPr>
            </w:pPr>
            <w:r w:rsidRPr="001134B0">
              <w:rPr>
                <w:rFonts w:cs="Times"/>
                <w:sz w:val="20"/>
              </w:rPr>
              <w:t>0.21</w:t>
            </w:r>
          </w:p>
        </w:tc>
        <w:tc>
          <w:tcPr>
            <w:tcW w:w="851" w:type="dxa"/>
            <w:shd w:val="clear" w:color="auto" w:fill="auto"/>
            <w:noWrap/>
            <w:vAlign w:val="bottom"/>
            <w:hideMark/>
          </w:tcPr>
          <w:p w14:paraId="05440A9B" w14:textId="77777777" w:rsidR="00F20488" w:rsidRPr="001134B0" w:rsidRDefault="00F20488" w:rsidP="00F20488">
            <w:pPr>
              <w:pStyle w:val="TCTableBody"/>
              <w:rPr>
                <w:rFonts w:cs="Times"/>
                <w:sz w:val="20"/>
              </w:rPr>
            </w:pPr>
            <w:r w:rsidRPr="001134B0">
              <w:rPr>
                <w:rFonts w:cs="Times"/>
                <w:sz w:val="20"/>
              </w:rPr>
              <w:t>0.68</w:t>
            </w:r>
          </w:p>
        </w:tc>
        <w:tc>
          <w:tcPr>
            <w:tcW w:w="1275" w:type="dxa"/>
            <w:shd w:val="clear" w:color="auto" w:fill="auto"/>
            <w:noWrap/>
            <w:vAlign w:val="bottom"/>
            <w:hideMark/>
          </w:tcPr>
          <w:p w14:paraId="1E577FFA" w14:textId="77777777" w:rsidR="00F20488" w:rsidRPr="001134B0" w:rsidRDefault="00F20488" w:rsidP="00F20488">
            <w:pPr>
              <w:pStyle w:val="TCTableBody"/>
              <w:rPr>
                <w:rFonts w:cs="Times"/>
                <w:sz w:val="20"/>
              </w:rPr>
            </w:pPr>
            <w:r w:rsidRPr="001134B0">
              <w:rPr>
                <w:rFonts w:cs="Times"/>
                <w:sz w:val="20"/>
              </w:rPr>
              <w:t>0.63 ± 0.11</w:t>
            </w:r>
          </w:p>
        </w:tc>
        <w:tc>
          <w:tcPr>
            <w:tcW w:w="1276" w:type="dxa"/>
            <w:shd w:val="clear" w:color="auto" w:fill="auto"/>
            <w:noWrap/>
            <w:vAlign w:val="bottom"/>
            <w:hideMark/>
          </w:tcPr>
          <w:p w14:paraId="1DD55EFB" w14:textId="77777777" w:rsidR="00F20488" w:rsidRPr="001134B0" w:rsidRDefault="00F20488" w:rsidP="00F20488">
            <w:pPr>
              <w:pStyle w:val="TCTableBody"/>
              <w:rPr>
                <w:rFonts w:cs="Times"/>
                <w:sz w:val="20"/>
              </w:rPr>
            </w:pPr>
            <w:r w:rsidRPr="001134B0">
              <w:rPr>
                <w:rFonts w:cs="Times"/>
                <w:sz w:val="20"/>
              </w:rPr>
              <w:t>0.17 ± 0.14</w:t>
            </w:r>
          </w:p>
        </w:tc>
        <w:tc>
          <w:tcPr>
            <w:tcW w:w="1276" w:type="dxa"/>
            <w:shd w:val="clear" w:color="auto" w:fill="auto"/>
            <w:noWrap/>
            <w:vAlign w:val="bottom"/>
            <w:hideMark/>
          </w:tcPr>
          <w:p w14:paraId="1DA98FC3" w14:textId="77777777" w:rsidR="00F20488" w:rsidRPr="001134B0" w:rsidRDefault="00F20488" w:rsidP="00F20488">
            <w:pPr>
              <w:pStyle w:val="TCTableBody"/>
              <w:rPr>
                <w:rFonts w:cs="Times"/>
                <w:sz w:val="20"/>
              </w:rPr>
            </w:pPr>
            <w:r w:rsidRPr="001134B0">
              <w:rPr>
                <w:rFonts w:cs="Times"/>
                <w:sz w:val="20"/>
              </w:rPr>
              <w:t>0.69 ± 0.14</w:t>
            </w:r>
          </w:p>
        </w:tc>
      </w:tr>
      <w:tr w:rsidR="00F20488" w:rsidRPr="001134B0" w14:paraId="7250DA35" w14:textId="77777777" w:rsidTr="00BA2CEA">
        <w:trPr>
          <w:trHeight w:val="300"/>
        </w:trPr>
        <w:tc>
          <w:tcPr>
            <w:tcW w:w="2263" w:type="dxa"/>
            <w:vMerge/>
            <w:vAlign w:val="center"/>
            <w:hideMark/>
          </w:tcPr>
          <w:p w14:paraId="5FB90DF0"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595888D4" w14:textId="77777777" w:rsidR="00F20488" w:rsidRPr="001134B0" w:rsidRDefault="00F20488" w:rsidP="00F20488">
            <w:pPr>
              <w:pStyle w:val="TCTableBody"/>
              <w:rPr>
                <w:rFonts w:cs="Times"/>
                <w:sz w:val="20"/>
              </w:rPr>
            </w:pPr>
            <w:r w:rsidRPr="001134B0">
              <w:rPr>
                <w:rFonts w:cs="Times"/>
                <w:sz w:val="20"/>
              </w:rPr>
              <w:t>Morgan</w:t>
            </w:r>
          </w:p>
        </w:tc>
        <w:tc>
          <w:tcPr>
            <w:tcW w:w="851" w:type="dxa"/>
            <w:shd w:val="clear" w:color="auto" w:fill="auto"/>
            <w:noWrap/>
            <w:vAlign w:val="bottom"/>
            <w:hideMark/>
          </w:tcPr>
          <w:p w14:paraId="34860249" w14:textId="77777777" w:rsidR="00F20488" w:rsidRPr="001134B0" w:rsidRDefault="00F20488" w:rsidP="00F20488">
            <w:pPr>
              <w:pStyle w:val="TCTableBody"/>
              <w:rPr>
                <w:rFonts w:cs="Times"/>
                <w:sz w:val="20"/>
              </w:rPr>
            </w:pPr>
            <w:r w:rsidRPr="001134B0">
              <w:rPr>
                <w:rFonts w:cs="Times"/>
                <w:sz w:val="20"/>
              </w:rPr>
              <w:t>0.69</w:t>
            </w:r>
          </w:p>
        </w:tc>
        <w:tc>
          <w:tcPr>
            <w:tcW w:w="850" w:type="dxa"/>
            <w:shd w:val="clear" w:color="auto" w:fill="auto"/>
            <w:noWrap/>
            <w:vAlign w:val="bottom"/>
            <w:hideMark/>
          </w:tcPr>
          <w:p w14:paraId="1412791F" w14:textId="77777777" w:rsidR="00F20488" w:rsidRPr="001134B0" w:rsidRDefault="00F20488" w:rsidP="00F20488">
            <w:pPr>
              <w:pStyle w:val="TCTableBody"/>
              <w:rPr>
                <w:rFonts w:cs="Times"/>
                <w:sz w:val="20"/>
              </w:rPr>
            </w:pPr>
            <w:r w:rsidRPr="001134B0">
              <w:rPr>
                <w:rFonts w:cs="Times"/>
                <w:sz w:val="20"/>
              </w:rPr>
              <w:t>0.38</w:t>
            </w:r>
          </w:p>
        </w:tc>
        <w:tc>
          <w:tcPr>
            <w:tcW w:w="851" w:type="dxa"/>
            <w:shd w:val="clear" w:color="auto" w:fill="auto"/>
            <w:noWrap/>
            <w:vAlign w:val="bottom"/>
            <w:hideMark/>
          </w:tcPr>
          <w:p w14:paraId="23BD627F" w14:textId="77777777" w:rsidR="00F20488" w:rsidRPr="001134B0" w:rsidRDefault="00F20488" w:rsidP="00F20488">
            <w:pPr>
              <w:pStyle w:val="TCTableBody"/>
              <w:rPr>
                <w:rFonts w:cs="Times"/>
                <w:sz w:val="20"/>
              </w:rPr>
            </w:pPr>
            <w:r w:rsidRPr="001134B0">
              <w:rPr>
                <w:rFonts w:cs="Times"/>
                <w:sz w:val="20"/>
              </w:rPr>
              <w:t>0.73</w:t>
            </w:r>
          </w:p>
        </w:tc>
        <w:tc>
          <w:tcPr>
            <w:tcW w:w="1275" w:type="dxa"/>
            <w:shd w:val="clear" w:color="auto" w:fill="auto"/>
            <w:noWrap/>
            <w:vAlign w:val="bottom"/>
            <w:hideMark/>
          </w:tcPr>
          <w:p w14:paraId="33785983" w14:textId="77777777" w:rsidR="00F20488" w:rsidRPr="001134B0" w:rsidRDefault="00F20488" w:rsidP="00F20488">
            <w:pPr>
              <w:pStyle w:val="TCTableBody"/>
              <w:rPr>
                <w:rFonts w:cs="Times"/>
                <w:sz w:val="20"/>
              </w:rPr>
            </w:pPr>
            <w:r w:rsidRPr="001134B0">
              <w:rPr>
                <w:rFonts w:cs="Times"/>
                <w:sz w:val="20"/>
              </w:rPr>
              <w:t>0.67 ± 0.15</w:t>
            </w:r>
          </w:p>
        </w:tc>
        <w:tc>
          <w:tcPr>
            <w:tcW w:w="1276" w:type="dxa"/>
            <w:shd w:val="clear" w:color="auto" w:fill="auto"/>
            <w:noWrap/>
            <w:vAlign w:val="bottom"/>
            <w:hideMark/>
          </w:tcPr>
          <w:p w14:paraId="2B0EB2FC" w14:textId="77777777" w:rsidR="00F20488" w:rsidRPr="001134B0" w:rsidRDefault="00F20488" w:rsidP="00F20488">
            <w:pPr>
              <w:pStyle w:val="TCTableBody"/>
              <w:rPr>
                <w:rFonts w:cs="Times"/>
                <w:sz w:val="20"/>
              </w:rPr>
            </w:pPr>
            <w:r w:rsidRPr="001134B0">
              <w:rPr>
                <w:rFonts w:cs="Times"/>
                <w:sz w:val="20"/>
              </w:rPr>
              <w:t>0.22 ± 0.21</w:t>
            </w:r>
          </w:p>
        </w:tc>
        <w:tc>
          <w:tcPr>
            <w:tcW w:w="1276" w:type="dxa"/>
            <w:shd w:val="clear" w:color="auto" w:fill="auto"/>
            <w:noWrap/>
            <w:vAlign w:val="bottom"/>
            <w:hideMark/>
          </w:tcPr>
          <w:p w14:paraId="6DF53075" w14:textId="77777777" w:rsidR="00F20488" w:rsidRPr="001134B0" w:rsidRDefault="00F20488" w:rsidP="00F20488">
            <w:pPr>
              <w:pStyle w:val="TCTableBody"/>
              <w:rPr>
                <w:rFonts w:cs="Times"/>
                <w:sz w:val="20"/>
              </w:rPr>
            </w:pPr>
            <w:r w:rsidRPr="001134B0">
              <w:rPr>
                <w:rFonts w:cs="Times"/>
                <w:sz w:val="20"/>
              </w:rPr>
              <w:t>0.77 ± 0.17</w:t>
            </w:r>
          </w:p>
        </w:tc>
      </w:tr>
      <w:tr w:rsidR="00F20488" w:rsidRPr="001134B0" w14:paraId="6077D47C" w14:textId="77777777" w:rsidTr="00BA2CEA">
        <w:trPr>
          <w:trHeight w:val="315"/>
        </w:trPr>
        <w:tc>
          <w:tcPr>
            <w:tcW w:w="2263" w:type="dxa"/>
            <w:vMerge/>
            <w:vAlign w:val="center"/>
            <w:hideMark/>
          </w:tcPr>
          <w:p w14:paraId="22D01E10"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251E1A90" w14:textId="77777777" w:rsidR="00F20488" w:rsidRPr="001134B0" w:rsidRDefault="00F20488" w:rsidP="00F20488">
            <w:pPr>
              <w:pStyle w:val="TCTableBody"/>
              <w:rPr>
                <w:rFonts w:cs="Times"/>
                <w:sz w:val="20"/>
              </w:rPr>
            </w:pPr>
            <w:proofErr w:type="spellStart"/>
            <w:r w:rsidRPr="001134B0">
              <w:rPr>
                <w:rFonts w:cs="Times"/>
                <w:sz w:val="20"/>
              </w:rPr>
              <w:t>Morgan+CP</w:t>
            </w:r>
            <w:proofErr w:type="spellEnd"/>
          </w:p>
        </w:tc>
        <w:tc>
          <w:tcPr>
            <w:tcW w:w="851" w:type="dxa"/>
            <w:shd w:val="clear" w:color="auto" w:fill="auto"/>
            <w:noWrap/>
            <w:vAlign w:val="bottom"/>
            <w:hideMark/>
          </w:tcPr>
          <w:p w14:paraId="0EEDDC7C" w14:textId="77777777" w:rsidR="00F20488" w:rsidRPr="001134B0" w:rsidRDefault="00F20488" w:rsidP="00F20488">
            <w:pPr>
              <w:pStyle w:val="TCTableBody"/>
              <w:rPr>
                <w:rFonts w:cs="Times"/>
                <w:sz w:val="20"/>
              </w:rPr>
            </w:pPr>
            <w:r w:rsidRPr="001134B0">
              <w:rPr>
                <w:rFonts w:cs="Times"/>
                <w:sz w:val="20"/>
              </w:rPr>
              <w:t>0.63</w:t>
            </w:r>
          </w:p>
        </w:tc>
        <w:tc>
          <w:tcPr>
            <w:tcW w:w="850" w:type="dxa"/>
            <w:shd w:val="clear" w:color="auto" w:fill="auto"/>
            <w:noWrap/>
            <w:vAlign w:val="bottom"/>
            <w:hideMark/>
          </w:tcPr>
          <w:p w14:paraId="5630302D" w14:textId="77777777" w:rsidR="00F20488" w:rsidRPr="001134B0" w:rsidRDefault="00F20488" w:rsidP="00F20488">
            <w:pPr>
              <w:pStyle w:val="TCTableBody"/>
              <w:rPr>
                <w:rFonts w:cs="Times"/>
                <w:sz w:val="20"/>
              </w:rPr>
            </w:pPr>
            <w:r w:rsidRPr="001134B0">
              <w:rPr>
                <w:rFonts w:cs="Times"/>
                <w:sz w:val="20"/>
              </w:rPr>
              <w:t>0.27</w:t>
            </w:r>
          </w:p>
        </w:tc>
        <w:tc>
          <w:tcPr>
            <w:tcW w:w="851" w:type="dxa"/>
            <w:shd w:val="clear" w:color="auto" w:fill="auto"/>
            <w:noWrap/>
            <w:vAlign w:val="bottom"/>
            <w:hideMark/>
          </w:tcPr>
          <w:p w14:paraId="11B511DB" w14:textId="77777777" w:rsidR="00F20488" w:rsidRPr="001134B0" w:rsidRDefault="00F20488" w:rsidP="00F20488">
            <w:pPr>
              <w:pStyle w:val="TCTableBody"/>
              <w:rPr>
                <w:rFonts w:cs="Times"/>
                <w:sz w:val="20"/>
              </w:rPr>
            </w:pPr>
            <w:r w:rsidRPr="001134B0">
              <w:rPr>
                <w:rFonts w:cs="Times"/>
                <w:sz w:val="20"/>
              </w:rPr>
              <w:t>0.66</w:t>
            </w:r>
          </w:p>
        </w:tc>
        <w:tc>
          <w:tcPr>
            <w:tcW w:w="1275" w:type="dxa"/>
            <w:shd w:val="clear" w:color="auto" w:fill="auto"/>
            <w:noWrap/>
            <w:vAlign w:val="bottom"/>
            <w:hideMark/>
          </w:tcPr>
          <w:p w14:paraId="6A7ABA6D" w14:textId="77777777" w:rsidR="00F20488" w:rsidRPr="001134B0" w:rsidRDefault="00F20488" w:rsidP="00F20488">
            <w:pPr>
              <w:pStyle w:val="TCTableBody"/>
              <w:rPr>
                <w:rFonts w:cs="Times"/>
                <w:sz w:val="20"/>
              </w:rPr>
            </w:pPr>
            <w:r w:rsidRPr="001134B0">
              <w:rPr>
                <w:rFonts w:cs="Times"/>
                <w:sz w:val="20"/>
              </w:rPr>
              <w:t>0.68 ± 0.16</w:t>
            </w:r>
          </w:p>
        </w:tc>
        <w:tc>
          <w:tcPr>
            <w:tcW w:w="1276" w:type="dxa"/>
            <w:shd w:val="clear" w:color="auto" w:fill="auto"/>
            <w:noWrap/>
            <w:vAlign w:val="bottom"/>
            <w:hideMark/>
          </w:tcPr>
          <w:p w14:paraId="014EC676" w14:textId="77777777" w:rsidR="00F20488" w:rsidRPr="001134B0" w:rsidRDefault="00F20488" w:rsidP="00F20488">
            <w:pPr>
              <w:pStyle w:val="TCTableBody"/>
              <w:rPr>
                <w:rFonts w:cs="Times"/>
                <w:sz w:val="20"/>
              </w:rPr>
            </w:pPr>
            <w:r w:rsidRPr="001134B0">
              <w:rPr>
                <w:rFonts w:cs="Times"/>
                <w:sz w:val="20"/>
              </w:rPr>
              <w:t>0.26 ± 0.24</w:t>
            </w:r>
          </w:p>
        </w:tc>
        <w:tc>
          <w:tcPr>
            <w:tcW w:w="1276" w:type="dxa"/>
            <w:shd w:val="clear" w:color="auto" w:fill="auto"/>
            <w:noWrap/>
            <w:vAlign w:val="bottom"/>
            <w:hideMark/>
          </w:tcPr>
          <w:p w14:paraId="46204EB2" w14:textId="77777777" w:rsidR="00F20488" w:rsidRPr="001134B0" w:rsidRDefault="00F20488" w:rsidP="00F20488">
            <w:pPr>
              <w:pStyle w:val="TCTableBody"/>
              <w:rPr>
                <w:rFonts w:cs="Times"/>
                <w:sz w:val="20"/>
              </w:rPr>
            </w:pPr>
            <w:r w:rsidRPr="001134B0">
              <w:rPr>
                <w:rFonts w:cs="Times"/>
                <w:sz w:val="20"/>
              </w:rPr>
              <w:t>0.68 ± 0.18</w:t>
            </w:r>
          </w:p>
        </w:tc>
      </w:tr>
      <w:tr w:rsidR="00F20488" w:rsidRPr="001134B0" w14:paraId="14983805" w14:textId="77777777" w:rsidTr="00BA2CEA">
        <w:trPr>
          <w:trHeight w:val="315"/>
        </w:trPr>
        <w:tc>
          <w:tcPr>
            <w:tcW w:w="2263" w:type="dxa"/>
            <w:vMerge w:val="restart"/>
            <w:shd w:val="clear" w:color="auto" w:fill="auto"/>
            <w:noWrap/>
            <w:vAlign w:val="bottom"/>
            <w:hideMark/>
          </w:tcPr>
          <w:p w14:paraId="66DF8E6B" w14:textId="77777777" w:rsidR="00F20488" w:rsidRPr="001134B0" w:rsidRDefault="00F20488" w:rsidP="00F20488">
            <w:pPr>
              <w:pStyle w:val="TCTableBody"/>
              <w:rPr>
                <w:rFonts w:cs="Times"/>
                <w:sz w:val="20"/>
              </w:rPr>
            </w:pPr>
            <w:r w:rsidRPr="001134B0">
              <w:rPr>
                <w:rFonts w:cs="Times"/>
                <w:sz w:val="20"/>
              </w:rPr>
              <w:t>BSK_LPS_</w:t>
            </w:r>
          </w:p>
          <w:p w14:paraId="701F8BD6" w14:textId="03D393F3" w:rsidR="00F20488" w:rsidRPr="001134B0" w:rsidRDefault="00F20488" w:rsidP="00F20488">
            <w:pPr>
              <w:pStyle w:val="TCTableBody"/>
              <w:rPr>
                <w:rFonts w:cs="Times"/>
                <w:sz w:val="20"/>
              </w:rPr>
            </w:pPr>
            <w:proofErr w:type="spellStart"/>
            <w:r w:rsidRPr="001134B0">
              <w:rPr>
                <w:rFonts w:cs="Times"/>
                <w:sz w:val="20"/>
              </w:rPr>
              <w:t>SRB_down</w:t>
            </w:r>
            <w:proofErr w:type="spellEnd"/>
          </w:p>
        </w:tc>
        <w:tc>
          <w:tcPr>
            <w:tcW w:w="1276" w:type="dxa"/>
            <w:shd w:val="clear" w:color="auto" w:fill="auto"/>
            <w:noWrap/>
            <w:vAlign w:val="bottom"/>
            <w:hideMark/>
          </w:tcPr>
          <w:p w14:paraId="05447513" w14:textId="77777777" w:rsidR="00F20488" w:rsidRPr="001134B0" w:rsidRDefault="00F20488" w:rsidP="00F20488">
            <w:pPr>
              <w:pStyle w:val="TCTableBody"/>
              <w:rPr>
                <w:rFonts w:cs="Times"/>
                <w:sz w:val="20"/>
              </w:rPr>
            </w:pPr>
            <w:r w:rsidRPr="001134B0">
              <w:rPr>
                <w:rFonts w:cs="Times"/>
                <w:sz w:val="20"/>
              </w:rPr>
              <w:t>CP</w:t>
            </w:r>
          </w:p>
        </w:tc>
        <w:tc>
          <w:tcPr>
            <w:tcW w:w="851" w:type="dxa"/>
            <w:shd w:val="clear" w:color="auto" w:fill="auto"/>
            <w:noWrap/>
            <w:vAlign w:val="bottom"/>
            <w:hideMark/>
          </w:tcPr>
          <w:p w14:paraId="2E4C15C5" w14:textId="77777777" w:rsidR="00F20488" w:rsidRPr="001134B0" w:rsidRDefault="00F20488" w:rsidP="00F20488">
            <w:pPr>
              <w:pStyle w:val="TCTableBody"/>
              <w:rPr>
                <w:rFonts w:cs="Times"/>
                <w:sz w:val="20"/>
              </w:rPr>
            </w:pPr>
            <w:r w:rsidRPr="001134B0">
              <w:rPr>
                <w:rFonts w:cs="Times"/>
                <w:sz w:val="20"/>
              </w:rPr>
              <w:t>0.66</w:t>
            </w:r>
          </w:p>
        </w:tc>
        <w:tc>
          <w:tcPr>
            <w:tcW w:w="850" w:type="dxa"/>
            <w:shd w:val="clear" w:color="auto" w:fill="auto"/>
            <w:noWrap/>
            <w:vAlign w:val="bottom"/>
            <w:hideMark/>
          </w:tcPr>
          <w:p w14:paraId="37EC056D" w14:textId="77777777" w:rsidR="00F20488" w:rsidRPr="001134B0" w:rsidRDefault="00F20488" w:rsidP="00F20488">
            <w:pPr>
              <w:pStyle w:val="TCTableBody"/>
              <w:rPr>
                <w:rFonts w:cs="Times"/>
                <w:sz w:val="20"/>
              </w:rPr>
            </w:pPr>
            <w:r w:rsidRPr="001134B0">
              <w:rPr>
                <w:rFonts w:cs="Times"/>
                <w:sz w:val="20"/>
              </w:rPr>
              <w:t>0.35</w:t>
            </w:r>
          </w:p>
        </w:tc>
        <w:tc>
          <w:tcPr>
            <w:tcW w:w="851" w:type="dxa"/>
            <w:shd w:val="clear" w:color="auto" w:fill="auto"/>
            <w:noWrap/>
            <w:vAlign w:val="bottom"/>
            <w:hideMark/>
          </w:tcPr>
          <w:p w14:paraId="7498FEC9" w14:textId="77777777" w:rsidR="00F20488" w:rsidRPr="001134B0" w:rsidRDefault="00F20488" w:rsidP="00F20488">
            <w:pPr>
              <w:pStyle w:val="TCTableBody"/>
              <w:rPr>
                <w:rFonts w:cs="Times"/>
                <w:sz w:val="20"/>
              </w:rPr>
            </w:pPr>
            <w:r w:rsidRPr="001134B0">
              <w:rPr>
                <w:rFonts w:cs="Times"/>
                <w:sz w:val="20"/>
              </w:rPr>
              <w:t>0.71</w:t>
            </w:r>
          </w:p>
        </w:tc>
        <w:tc>
          <w:tcPr>
            <w:tcW w:w="1275" w:type="dxa"/>
            <w:shd w:val="clear" w:color="auto" w:fill="auto"/>
            <w:noWrap/>
            <w:vAlign w:val="bottom"/>
            <w:hideMark/>
          </w:tcPr>
          <w:p w14:paraId="2C735D35" w14:textId="77777777" w:rsidR="00F20488" w:rsidRPr="001134B0" w:rsidRDefault="00F20488" w:rsidP="00F20488">
            <w:pPr>
              <w:pStyle w:val="TCTableBody"/>
              <w:rPr>
                <w:rFonts w:cs="Times"/>
                <w:sz w:val="20"/>
              </w:rPr>
            </w:pPr>
            <w:r w:rsidRPr="001134B0">
              <w:rPr>
                <w:rFonts w:cs="Times"/>
                <w:sz w:val="20"/>
              </w:rPr>
              <w:t>0.61 ± 0.08</w:t>
            </w:r>
          </w:p>
        </w:tc>
        <w:tc>
          <w:tcPr>
            <w:tcW w:w="1276" w:type="dxa"/>
            <w:shd w:val="clear" w:color="auto" w:fill="auto"/>
            <w:noWrap/>
            <w:vAlign w:val="bottom"/>
            <w:hideMark/>
          </w:tcPr>
          <w:p w14:paraId="60CB7B37" w14:textId="77777777" w:rsidR="00F20488" w:rsidRPr="001134B0" w:rsidRDefault="00F20488" w:rsidP="00F20488">
            <w:pPr>
              <w:pStyle w:val="TCTableBody"/>
              <w:rPr>
                <w:rFonts w:cs="Times"/>
                <w:sz w:val="20"/>
              </w:rPr>
            </w:pPr>
            <w:r w:rsidRPr="001134B0">
              <w:rPr>
                <w:rFonts w:cs="Times"/>
                <w:sz w:val="20"/>
              </w:rPr>
              <w:t>0.25 ± 0.21</w:t>
            </w:r>
          </w:p>
        </w:tc>
        <w:tc>
          <w:tcPr>
            <w:tcW w:w="1276" w:type="dxa"/>
            <w:shd w:val="clear" w:color="auto" w:fill="auto"/>
            <w:noWrap/>
            <w:vAlign w:val="bottom"/>
            <w:hideMark/>
          </w:tcPr>
          <w:p w14:paraId="7942D953" w14:textId="77777777" w:rsidR="00F20488" w:rsidRPr="001134B0" w:rsidRDefault="00F20488" w:rsidP="00F20488">
            <w:pPr>
              <w:pStyle w:val="TCTableBody"/>
              <w:rPr>
                <w:rFonts w:cs="Times"/>
                <w:sz w:val="20"/>
              </w:rPr>
            </w:pPr>
            <w:r w:rsidRPr="001134B0">
              <w:rPr>
                <w:rFonts w:cs="Times"/>
                <w:sz w:val="20"/>
              </w:rPr>
              <w:t>0.7 ± 0.06</w:t>
            </w:r>
          </w:p>
        </w:tc>
      </w:tr>
      <w:tr w:rsidR="00F20488" w:rsidRPr="001134B0" w14:paraId="14A4437D" w14:textId="77777777" w:rsidTr="00BA2CEA">
        <w:trPr>
          <w:trHeight w:val="315"/>
        </w:trPr>
        <w:tc>
          <w:tcPr>
            <w:tcW w:w="2263" w:type="dxa"/>
            <w:vMerge/>
            <w:vAlign w:val="center"/>
            <w:hideMark/>
          </w:tcPr>
          <w:p w14:paraId="2EA9DCD4"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45896FA8" w14:textId="77777777" w:rsidR="00F20488" w:rsidRPr="001134B0" w:rsidRDefault="00F20488" w:rsidP="00F20488">
            <w:pPr>
              <w:pStyle w:val="TCTableBody"/>
              <w:rPr>
                <w:rFonts w:cs="Times"/>
                <w:sz w:val="20"/>
              </w:rPr>
            </w:pPr>
            <w:proofErr w:type="spellStart"/>
            <w:r w:rsidRPr="001134B0">
              <w:rPr>
                <w:rFonts w:cs="Times"/>
                <w:sz w:val="20"/>
              </w:rPr>
              <w:t>ErG</w:t>
            </w:r>
            <w:proofErr w:type="spellEnd"/>
          </w:p>
        </w:tc>
        <w:tc>
          <w:tcPr>
            <w:tcW w:w="851" w:type="dxa"/>
            <w:shd w:val="clear" w:color="auto" w:fill="auto"/>
            <w:noWrap/>
            <w:vAlign w:val="bottom"/>
            <w:hideMark/>
          </w:tcPr>
          <w:p w14:paraId="448D542D" w14:textId="77777777" w:rsidR="00F20488" w:rsidRPr="001134B0" w:rsidRDefault="00F20488" w:rsidP="00F20488">
            <w:pPr>
              <w:pStyle w:val="TCTableBody"/>
              <w:rPr>
                <w:rFonts w:cs="Times"/>
                <w:sz w:val="20"/>
              </w:rPr>
            </w:pPr>
            <w:r w:rsidRPr="001134B0">
              <w:rPr>
                <w:rFonts w:cs="Times"/>
                <w:sz w:val="20"/>
              </w:rPr>
              <w:t>0.64</w:t>
            </w:r>
          </w:p>
        </w:tc>
        <w:tc>
          <w:tcPr>
            <w:tcW w:w="850" w:type="dxa"/>
            <w:shd w:val="clear" w:color="auto" w:fill="auto"/>
            <w:noWrap/>
            <w:vAlign w:val="bottom"/>
            <w:hideMark/>
          </w:tcPr>
          <w:p w14:paraId="7CE31B82" w14:textId="77777777" w:rsidR="00F20488" w:rsidRPr="001134B0" w:rsidRDefault="00F20488" w:rsidP="00F20488">
            <w:pPr>
              <w:pStyle w:val="TCTableBody"/>
              <w:rPr>
                <w:rFonts w:cs="Times"/>
                <w:sz w:val="20"/>
              </w:rPr>
            </w:pPr>
            <w:r w:rsidRPr="001134B0">
              <w:rPr>
                <w:rFonts w:cs="Times"/>
                <w:sz w:val="20"/>
              </w:rPr>
              <w:t>0.29</w:t>
            </w:r>
          </w:p>
        </w:tc>
        <w:tc>
          <w:tcPr>
            <w:tcW w:w="851" w:type="dxa"/>
            <w:shd w:val="clear" w:color="auto" w:fill="auto"/>
            <w:noWrap/>
            <w:vAlign w:val="bottom"/>
            <w:hideMark/>
          </w:tcPr>
          <w:p w14:paraId="2FA35046" w14:textId="77777777" w:rsidR="00F20488" w:rsidRPr="001134B0" w:rsidRDefault="00F20488" w:rsidP="00F20488">
            <w:pPr>
              <w:pStyle w:val="TCTableBody"/>
              <w:rPr>
                <w:rFonts w:cs="Times"/>
                <w:sz w:val="20"/>
              </w:rPr>
            </w:pPr>
            <w:r w:rsidRPr="001134B0">
              <w:rPr>
                <w:rFonts w:cs="Times"/>
                <w:sz w:val="20"/>
              </w:rPr>
              <w:t>0.69</w:t>
            </w:r>
          </w:p>
        </w:tc>
        <w:tc>
          <w:tcPr>
            <w:tcW w:w="1275" w:type="dxa"/>
            <w:shd w:val="clear" w:color="auto" w:fill="auto"/>
            <w:noWrap/>
            <w:vAlign w:val="bottom"/>
            <w:hideMark/>
          </w:tcPr>
          <w:p w14:paraId="274B659F" w14:textId="77777777" w:rsidR="00F20488" w:rsidRPr="001134B0" w:rsidRDefault="00F20488" w:rsidP="00F20488">
            <w:pPr>
              <w:pStyle w:val="TCTableBody"/>
              <w:rPr>
                <w:rFonts w:cs="Times"/>
                <w:sz w:val="20"/>
              </w:rPr>
            </w:pPr>
            <w:r w:rsidRPr="001134B0">
              <w:rPr>
                <w:rFonts w:cs="Times"/>
                <w:sz w:val="20"/>
              </w:rPr>
              <w:t>0.54 ± 0.14</w:t>
            </w:r>
          </w:p>
        </w:tc>
        <w:tc>
          <w:tcPr>
            <w:tcW w:w="1276" w:type="dxa"/>
            <w:shd w:val="clear" w:color="auto" w:fill="auto"/>
            <w:noWrap/>
            <w:vAlign w:val="bottom"/>
            <w:hideMark/>
          </w:tcPr>
          <w:p w14:paraId="12865696" w14:textId="77777777" w:rsidR="00F20488" w:rsidRPr="001134B0" w:rsidRDefault="00F20488" w:rsidP="00F20488">
            <w:pPr>
              <w:pStyle w:val="TCTableBody"/>
              <w:rPr>
                <w:rFonts w:cs="Times"/>
                <w:sz w:val="20"/>
              </w:rPr>
            </w:pPr>
            <w:r w:rsidRPr="001134B0">
              <w:rPr>
                <w:rFonts w:cs="Times"/>
                <w:sz w:val="20"/>
              </w:rPr>
              <w:t>0.07 ± 0.3</w:t>
            </w:r>
          </w:p>
        </w:tc>
        <w:tc>
          <w:tcPr>
            <w:tcW w:w="1276" w:type="dxa"/>
            <w:shd w:val="clear" w:color="auto" w:fill="auto"/>
            <w:noWrap/>
            <w:vAlign w:val="bottom"/>
            <w:hideMark/>
          </w:tcPr>
          <w:p w14:paraId="46B47974" w14:textId="77777777" w:rsidR="00F20488" w:rsidRPr="001134B0" w:rsidRDefault="00F20488" w:rsidP="00F20488">
            <w:pPr>
              <w:pStyle w:val="TCTableBody"/>
              <w:rPr>
                <w:rFonts w:cs="Times"/>
                <w:sz w:val="20"/>
              </w:rPr>
            </w:pPr>
            <w:r w:rsidRPr="001134B0">
              <w:rPr>
                <w:rFonts w:cs="Times"/>
                <w:sz w:val="20"/>
              </w:rPr>
              <w:t>0.62 ± 0.15</w:t>
            </w:r>
          </w:p>
        </w:tc>
      </w:tr>
      <w:tr w:rsidR="00F20488" w:rsidRPr="001134B0" w14:paraId="127A90AA" w14:textId="77777777" w:rsidTr="00BA2CEA">
        <w:trPr>
          <w:trHeight w:val="300"/>
        </w:trPr>
        <w:tc>
          <w:tcPr>
            <w:tcW w:w="2263" w:type="dxa"/>
            <w:vMerge/>
            <w:vAlign w:val="center"/>
            <w:hideMark/>
          </w:tcPr>
          <w:p w14:paraId="7CBDDEE9"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1B1D7BF2" w14:textId="77777777" w:rsidR="00F20488" w:rsidRPr="001134B0" w:rsidRDefault="00F20488" w:rsidP="00F20488">
            <w:pPr>
              <w:pStyle w:val="TCTableBody"/>
              <w:rPr>
                <w:rFonts w:cs="Times"/>
                <w:sz w:val="20"/>
              </w:rPr>
            </w:pPr>
            <w:proofErr w:type="spellStart"/>
            <w:r w:rsidRPr="001134B0">
              <w:rPr>
                <w:rFonts w:cs="Times"/>
                <w:sz w:val="20"/>
              </w:rPr>
              <w:t>ErG+CP</w:t>
            </w:r>
            <w:proofErr w:type="spellEnd"/>
          </w:p>
        </w:tc>
        <w:tc>
          <w:tcPr>
            <w:tcW w:w="851" w:type="dxa"/>
            <w:shd w:val="clear" w:color="auto" w:fill="auto"/>
            <w:noWrap/>
            <w:vAlign w:val="bottom"/>
            <w:hideMark/>
          </w:tcPr>
          <w:p w14:paraId="5528AA96" w14:textId="77777777" w:rsidR="00F20488" w:rsidRPr="001134B0" w:rsidRDefault="00F20488" w:rsidP="00F20488">
            <w:pPr>
              <w:pStyle w:val="TCTableBody"/>
              <w:rPr>
                <w:rFonts w:cs="Times"/>
                <w:sz w:val="20"/>
              </w:rPr>
            </w:pPr>
            <w:r w:rsidRPr="001134B0">
              <w:rPr>
                <w:rFonts w:cs="Times"/>
                <w:sz w:val="20"/>
              </w:rPr>
              <w:t>0.66</w:t>
            </w:r>
          </w:p>
        </w:tc>
        <w:tc>
          <w:tcPr>
            <w:tcW w:w="850" w:type="dxa"/>
            <w:shd w:val="clear" w:color="auto" w:fill="auto"/>
            <w:noWrap/>
            <w:vAlign w:val="bottom"/>
            <w:hideMark/>
          </w:tcPr>
          <w:p w14:paraId="142514C3" w14:textId="77777777" w:rsidR="00F20488" w:rsidRPr="001134B0" w:rsidRDefault="00F20488" w:rsidP="00F20488">
            <w:pPr>
              <w:pStyle w:val="TCTableBody"/>
              <w:rPr>
                <w:rFonts w:cs="Times"/>
                <w:sz w:val="20"/>
              </w:rPr>
            </w:pPr>
            <w:r w:rsidRPr="001134B0">
              <w:rPr>
                <w:rFonts w:cs="Times"/>
                <w:sz w:val="20"/>
              </w:rPr>
              <w:t>0.33</w:t>
            </w:r>
          </w:p>
        </w:tc>
        <w:tc>
          <w:tcPr>
            <w:tcW w:w="851" w:type="dxa"/>
            <w:shd w:val="clear" w:color="auto" w:fill="auto"/>
            <w:noWrap/>
            <w:vAlign w:val="bottom"/>
            <w:hideMark/>
          </w:tcPr>
          <w:p w14:paraId="6D9A2F44" w14:textId="77777777" w:rsidR="00F20488" w:rsidRPr="001134B0" w:rsidRDefault="00F20488" w:rsidP="00F20488">
            <w:pPr>
              <w:pStyle w:val="TCTableBody"/>
              <w:rPr>
                <w:rFonts w:cs="Times"/>
                <w:sz w:val="20"/>
              </w:rPr>
            </w:pPr>
            <w:r w:rsidRPr="001134B0">
              <w:rPr>
                <w:rFonts w:cs="Times"/>
                <w:sz w:val="20"/>
              </w:rPr>
              <w:t>0.73</w:t>
            </w:r>
          </w:p>
        </w:tc>
        <w:tc>
          <w:tcPr>
            <w:tcW w:w="1275" w:type="dxa"/>
            <w:shd w:val="clear" w:color="auto" w:fill="auto"/>
            <w:noWrap/>
            <w:vAlign w:val="bottom"/>
            <w:hideMark/>
          </w:tcPr>
          <w:p w14:paraId="4F1426E8" w14:textId="77777777" w:rsidR="00F20488" w:rsidRPr="001134B0" w:rsidRDefault="00F20488" w:rsidP="00F20488">
            <w:pPr>
              <w:pStyle w:val="TCTableBody"/>
              <w:rPr>
                <w:rFonts w:cs="Times"/>
                <w:sz w:val="20"/>
              </w:rPr>
            </w:pPr>
            <w:r w:rsidRPr="001134B0">
              <w:rPr>
                <w:rFonts w:cs="Times"/>
                <w:sz w:val="20"/>
              </w:rPr>
              <w:t>0.66 ± 0.08</w:t>
            </w:r>
          </w:p>
        </w:tc>
        <w:tc>
          <w:tcPr>
            <w:tcW w:w="1276" w:type="dxa"/>
            <w:shd w:val="clear" w:color="auto" w:fill="auto"/>
            <w:noWrap/>
            <w:vAlign w:val="bottom"/>
            <w:hideMark/>
          </w:tcPr>
          <w:p w14:paraId="53257F00" w14:textId="77777777" w:rsidR="00F20488" w:rsidRPr="001134B0" w:rsidRDefault="00F20488" w:rsidP="00F20488">
            <w:pPr>
              <w:pStyle w:val="TCTableBody"/>
              <w:rPr>
                <w:rFonts w:cs="Times"/>
                <w:sz w:val="20"/>
              </w:rPr>
            </w:pPr>
            <w:r w:rsidRPr="001134B0">
              <w:rPr>
                <w:rFonts w:cs="Times"/>
                <w:sz w:val="20"/>
              </w:rPr>
              <w:t>0.31 ± 0.16</w:t>
            </w:r>
          </w:p>
        </w:tc>
        <w:tc>
          <w:tcPr>
            <w:tcW w:w="1276" w:type="dxa"/>
            <w:shd w:val="clear" w:color="auto" w:fill="auto"/>
            <w:noWrap/>
            <w:vAlign w:val="bottom"/>
            <w:hideMark/>
          </w:tcPr>
          <w:p w14:paraId="60861257" w14:textId="77777777" w:rsidR="00F20488" w:rsidRPr="001134B0" w:rsidRDefault="00F20488" w:rsidP="00F20488">
            <w:pPr>
              <w:pStyle w:val="TCTableBody"/>
              <w:rPr>
                <w:rFonts w:cs="Times"/>
                <w:sz w:val="20"/>
              </w:rPr>
            </w:pPr>
            <w:r w:rsidRPr="001134B0">
              <w:rPr>
                <w:rFonts w:cs="Times"/>
                <w:sz w:val="20"/>
              </w:rPr>
              <w:t>0.7 ± 0.09</w:t>
            </w:r>
          </w:p>
        </w:tc>
      </w:tr>
      <w:tr w:rsidR="00F20488" w:rsidRPr="001134B0" w14:paraId="38731910" w14:textId="77777777" w:rsidTr="00BA2CEA">
        <w:trPr>
          <w:trHeight w:val="300"/>
        </w:trPr>
        <w:tc>
          <w:tcPr>
            <w:tcW w:w="2263" w:type="dxa"/>
            <w:vMerge/>
            <w:vAlign w:val="center"/>
            <w:hideMark/>
          </w:tcPr>
          <w:p w14:paraId="030C834F"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12160DFF" w14:textId="77777777" w:rsidR="00F20488" w:rsidRPr="001134B0" w:rsidRDefault="00F20488" w:rsidP="00F20488">
            <w:pPr>
              <w:pStyle w:val="TCTableBody"/>
              <w:rPr>
                <w:rFonts w:cs="Times"/>
                <w:sz w:val="20"/>
              </w:rPr>
            </w:pPr>
            <w:r w:rsidRPr="001134B0">
              <w:rPr>
                <w:rFonts w:cs="Times"/>
                <w:sz w:val="20"/>
              </w:rPr>
              <w:t>Morgan</w:t>
            </w:r>
          </w:p>
        </w:tc>
        <w:tc>
          <w:tcPr>
            <w:tcW w:w="851" w:type="dxa"/>
            <w:shd w:val="clear" w:color="auto" w:fill="auto"/>
            <w:noWrap/>
            <w:vAlign w:val="bottom"/>
            <w:hideMark/>
          </w:tcPr>
          <w:p w14:paraId="7323AE20" w14:textId="77777777" w:rsidR="00F20488" w:rsidRPr="001134B0" w:rsidRDefault="00F20488" w:rsidP="00F20488">
            <w:pPr>
              <w:pStyle w:val="TCTableBody"/>
              <w:rPr>
                <w:rFonts w:cs="Times"/>
                <w:sz w:val="20"/>
              </w:rPr>
            </w:pPr>
            <w:r w:rsidRPr="001134B0">
              <w:rPr>
                <w:rFonts w:cs="Times"/>
                <w:sz w:val="20"/>
              </w:rPr>
              <w:t>0.48</w:t>
            </w:r>
          </w:p>
        </w:tc>
        <w:tc>
          <w:tcPr>
            <w:tcW w:w="850" w:type="dxa"/>
            <w:shd w:val="clear" w:color="auto" w:fill="auto"/>
            <w:noWrap/>
            <w:vAlign w:val="bottom"/>
            <w:hideMark/>
          </w:tcPr>
          <w:p w14:paraId="3ADC0533" w14:textId="77777777" w:rsidR="00F20488" w:rsidRPr="001134B0" w:rsidRDefault="00F20488" w:rsidP="00F20488">
            <w:pPr>
              <w:pStyle w:val="TCTableBody"/>
              <w:rPr>
                <w:rFonts w:cs="Times"/>
                <w:sz w:val="20"/>
              </w:rPr>
            </w:pPr>
            <w:r w:rsidRPr="001134B0">
              <w:rPr>
                <w:rFonts w:cs="Times"/>
                <w:sz w:val="20"/>
              </w:rPr>
              <w:t>-0.05</w:t>
            </w:r>
          </w:p>
        </w:tc>
        <w:tc>
          <w:tcPr>
            <w:tcW w:w="851" w:type="dxa"/>
            <w:shd w:val="clear" w:color="auto" w:fill="auto"/>
            <w:noWrap/>
            <w:vAlign w:val="bottom"/>
            <w:hideMark/>
          </w:tcPr>
          <w:p w14:paraId="25C04DDF" w14:textId="77777777" w:rsidR="00F20488" w:rsidRPr="001134B0" w:rsidRDefault="00F20488" w:rsidP="00F20488">
            <w:pPr>
              <w:pStyle w:val="TCTableBody"/>
              <w:rPr>
                <w:rFonts w:cs="Times"/>
                <w:sz w:val="20"/>
              </w:rPr>
            </w:pPr>
            <w:r w:rsidRPr="001134B0">
              <w:rPr>
                <w:rFonts w:cs="Times"/>
                <w:sz w:val="20"/>
              </w:rPr>
              <w:t>0.58</w:t>
            </w:r>
          </w:p>
        </w:tc>
        <w:tc>
          <w:tcPr>
            <w:tcW w:w="1275" w:type="dxa"/>
            <w:shd w:val="clear" w:color="auto" w:fill="auto"/>
            <w:noWrap/>
            <w:vAlign w:val="bottom"/>
            <w:hideMark/>
          </w:tcPr>
          <w:p w14:paraId="5D781D68" w14:textId="77777777" w:rsidR="00F20488" w:rsidRPr="001134B0" w:rsidRDefault="00F20488" w:rsidP="00F20488">
            <w:pPr>
              <w:pStyle w:val="TCTableBody"/>
              <w:rPr>
                <w:rFonts w:cs="Times"/>
                <w:sz w:val="20"/>
              </w:rPr>
            </w:pPr>
            <w:r w:rsidRPr="001134B0">
              <w:rPr>
                <w:rFonts w:cs="Times"/>
                <w:sz w:val="20"/>
              </w:rPr>
              <w:t>0.53 ± 0.14</w:t>
            </w:r>
          </w:p>
        </w:tc>
        <w:tc>
          <w:tcPr>
            <w:tcW w:w="1276" w:type="dxa"/>
            <w:shd w:val="clear" w:color="auto" w:fill="auto"/>
            <w:noWrap/>
            <w:vAlign w:val="bottom"/>
            <w:hideMark/>
          </w:tcPr>
          <w:p w14:paraId="640CFDDD" w14:textId="77777777" w:rsidR="00F20488" w:rsidRPr="001134B0" w:rsidRDefault="00F20488" w:rsidP="00F20488">
            <w:pPr>
              <w:pStyle w:val="TCTableBody"/>
              <w:rPr>
                <w:rFonts w:cs="Times"/>
                <w:sz w:val="20"/>
              </w:rPr>
            </w:pPr>
            <w:r w:rsidRPr="001134B0">
              <w:rPr>
                <w:rFonts w:cs="Times"/>
                <w:sz w:val="20"/>
              </w:rPr>
              <w:t>0.03 ± 0.22</w:t>
            </w:r>
          </w:p>
        </w:tc>
        <w:tc>
          <w:tcPr>
            <w:tcW w:w="1276" w:type="dxa"/>
            <w:shd w:val="clear" w:color="auto" w:fill="auto"/>
            <w:noWrap/>
            <w:vAlign w:val="bottom"/>
            <w:hideMark/>
          </w:tcPr>
          <w:p w14:paraId="6173F461" w14:textId="77777777" w:rsidR="00F20488" w:rsidRPr="001134B0" w:rsidRDefault="00F20488" w:rsidP="00F20488">
            <w:pPr>
              <w:pStyle w:val="TCTableBody"/>
              <w:rPr>
                <w:rFonts w:cs="Times"/>
                <w:sz w:val="20"/>
              </w:rPr>
            </w:pPr>
            <w:r w:rsidRPr="001134B0">
              <w:rPr>
                <w:rFonts w:cs="Times"/>
                <w:sz w:val="20"/>
              </w:rPr>
              <w:t>0.55 ± 0.19</w:t>
            </w:r>
          </w:p>
        </w:tc>
      </w:tr>
      <w:tr w:rsidR="00F20488" w:rsidRPr="001134B0" w14:paraId="217DA4D0" w14:textId="77777777" w:rsidTr="00BA2CEA">
        <w:trPr>
          <w:trHeight w:val="315"/>
        </w:trPr>
        <w:tc>
          <w:tcPr>
            <w:tcW w:w="2263" w:type="dxa"/>
            <w:vMerge/>
            <w:vAlign w:val="center"/>
            <w:hideMark/>
          </w:tcPr>
          <w:p w14:paraId="32953CE7"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224E2557" w14:textId="77777777" w:rsidR="00F20488" w:rsidRPr="001134B0" w:rsidRDefault="00F20488" w:rsidP="00F20488">
            <w:pPr>
              <w:pStyle w:val="TCTableBody"/>
              <w:rPr>
                <w:rFonts w:cs="Times"/>
                <w:sz w:val="20"/>
              </w:rPr>
            </w:pPr>
            <w:proofErr w:type="spellStart"/>
            <w:r w:rsidRPr="001134B0">
              <w:rPr>
                <w:rFonts w:cs="Times"/>
                <w:sz w:val="20"/>
              </w:rPr>
              <w:t>Morgan+CP</w:t>
            </w:r>
            <w:proofErr w:type="spellEnd"/>
          </w:p>
        </w:tc>
        <w:tc>
          <w:tcPr>
            <w:tcW w:w="851" w:type="dxa"/>
            <w:shd w:val="clear" w:color="auto" w:fill="auto"/>
            <w:noWrap/>
            <w:vAlign w:val="bottom"/>
            <w:hideMark/>
          </w:tcPr>
          <w:p w14:paraId="2AFB2FA8" w14:textId="77777777" w:rsidR="00F20488" w:rsidRPr="001134B0" w:rsidRDefault="00F20488" w:rsidP="00F20488">
            <w:pPr>
              <w:pStyle w:val="TCTableBody"/>
              <w:rPr>
                <w:rFonts w:cs="Times"/>
                <w:sz w:val="20"/>
              </w:rPr>
            </w:pPr>
            <w:r w:rsidRPr="001134B0">
              <w:rPr>
                <w:rFonts w:cs="Times"/>
                <w:sz w:val="20"/>
              </w:rPr>
              <w:t>0.66</w:t>
            </w:r>
          </w:p>
        </w:tc>
        <w:tc>
          <w:tcPr>
            <w:tcW w:w="850" w:type="dxa"/>
            <w:shd w:val="clear" w:color="auto" w:fill="auto"/>
            <w:noWrap/>
            <w:vAlign w:val="bottom"/>
            <w:hideMark/>
          </w:tcPr>
          <w:p w14:paraId="01600A97" w14:textId="77777777" w:rsidR="00F20488" w:rsidRPr="001134B0" w:rsidRDefault="00F20488" w:rsidP="00F20488">
            <w:pPr>
              <w:pStyle w:val="TCTableBody"/>
              <w:rPr>
                <w:rFonts w:cs="Times"/>
                <w:sz w:val="20"/>
              </w:rPr>
            </w:pPr>
            <w:r w:rsidRPr="001134B0">
              <w:rPr>
                <w:rFonts w:cs="Times"/>
                <w:sz w:val="20"/>
              </w:rPr>
              <w:t>0.34</w:t>
            </w:r>
          </w:p>
        </w:tc>
        <w:tc>
          <w:tcPr>
            <w:tcW w:w="851" w:type="dxa"/>
            <w:shd w:val="clear" w:color="auto" w:fill="auto"/>
            <w:noWrap/>
            <w:vAlign w:val="bottom"/>
            <w:hideMark/>
          </w:tcPr>
          <w:p w14:paraId="5C82EC11" w14:textId="77777777" w:rsidR="00F20488" w:rsidRPr="001134B0" w:rsidRDefault="00F20488" w:rsidP="00F20488">
            <w:pPr>
              <w:pStyle w:val="TCTableBody"/>
              <w:rPr>
                <w:rFonts w:cs="Times"/>
                <w:sz w:val="20"/>
              </w:rPr>
            </w:pPr>
            <w:r w:rsidRPr="001134B0">
              <w:rPr>
                <w:rFonts w:cs="Times"/>
                <w:sz w:val="20"/>
              </w:rPr>
              <w:t>0.71</w:t>
            </w:r>
          </w:p>
        </w:tc>
        <w:tc>
          <w:tcPr>
            <w:tcW w:w="1275" w:type="dxa"/>
            <w:shd w:val="clear" w:color="auto" w:fill="auto"/>
            <w:noWrap/>
            <w:vAlign w:val="bottom"/>
            <w:hideMark/>
          </w:tcPr>
          <w:p w14:paraId="25A71E46" w14:textId="77777777" w:rsidR="00F20488" w:rsidRPr="001134B0" w:rsidRDefault="00F20488" w:rsidP="00F20488">
            <w:pPr>
              <w:pStyle w:val="TCTableBody"/>
              <w:rPr>
                <w:rFonts w:cs="Times"/>
                <w:sz w:val="20"/>
              </w:rPr>
            </w:pPr>
            <w:r w:rsidRPr="001134B0">
              <w:rPr>
                <w:rFonts w:cs="Times"/>
                <w:sz w:val="20"/>
              </w:rPr>
              <w:t>0.59 ± 0.04</w:t>
            </w:r>
          </w:p>
        </w:tc>
        <w:tc>
          <w:tcPr>
            <w:tcW w:w="1276" w:type="dxa"/>
            <w:shd w:val="clear" w:color="auto" w:fill="auto"/>
            <w:noWrap/>
            <w:vAlign w:val="bottom"/>
            <w:hideMark/>
          </w:tcPr>
          <w:p w14:paraId="1741170F" w14:textId="77777777" w:rsidR="00F20488" w:rsidRPr="001134B0" w:rsidRDefault="00F20488" w:rsidP="00F20488">
            <w:pPr>
              <w:pStyle w:val="TCTableBody"/>
              <w:rPr>
                <w:rFonts w:cs="Times"/>
                <w:sz w:val="20"/>
              </w:rPr>
            </w:pPr>
            <w:r w:rsidRPr="001134B0">
              <w:rPr>
                <w:rFonts w:cs="Times"/>
                <w:sz w:val="20"/>
              </w:rPr>
              <w:t>0.23 ± 0.15</w:t>
            </w:r>
          </w:p>
        </w:tc>
        <w:tc>
          <w:tcPr>
            <w:tcW w:w="1276" w:type="dxa"/>
            <w:shd w:val="clear" w:color="auto" w:fill="auto"/>
            <w:noWrap/>
            <w:vAlign w:val="bottom"/>
            <w:hideMark/>
          </w:tcPr>
          <w:p w14:paraId="371E53B2" w14:textId="77777777" w:rsidR="00F20488" w:rsidRPr="001134B0" w:rsidRDefault="00F20488" w:rsidP="00F20488">
            <w:pPr>
              <w:pStyle w:val="TCTableBody"/>
              <w:rPr>
                <w:rFonts w:cs="Times"/>
                <w:sz w:val="20"/>
              </w:rPr>
            </w:pPr>
            <w:r w:rsidRPr="001134B0">
              <w:rPr>
                <w:rFonts w:cs="Times"/>
                <w:sz w:val="20"/>
              </w:rPr>
              <w:t>0.72 ± 0.06</w:t>
            </w:r>
          </w:p>
        </w:tc>
      </w:tr>
      <w:tr w:rsidR="00F20488" w:rsidRPr="001134B0" w14:paraId="67F46A77" w14:textId="77777777" w:rsidTr="00BA2CEA">
        <w:trPr>
          <w:trHeight w:val="315"/>
        </w:trPr>
        <w:tc>
          <w:tcPr>
            <w:tcW w:w="2263" w:type="dxa"/>
            <w:vMerge w:val="restart"/>
            <w:shd w:val="clear" w:color="auto" w:fill="auto"/>
            <w:noWrap/>
            <w:vAlign w:val="bottom"/>
            <w:hideMark/>
          </w:tcPr>
          <w:p w14:paraId="02D0A14F" w14:textId="77777777" w:rsidR="00F20488" w:rsidRPr="001134B0" w:rsidRDefault="00F20488" w:rsidP="00F20488">
            <w:pPr>
              <w:pStyle w:val="TCTableBody"/>
              <w:rPr>
                <w:rFonts w:cs="Times"/>
                <w:sz w:val="20"/>
              </w:rPr>
            </w:pPr>
            <w:proofErr w:type="spellStart"/>
            <w:r w:rsidRPr="001134B0">
              <w:rPr>
                <w:rFonts w:cs="Times"/>
                <w:sz w:val="20"/>
              </w:rPr>
              <w:t>BSK_SAg</w:t>
            </w:r>
            <w:proofErr w:type="spellEnd"/>
            <w:r w:rsidRPr="001134B0">
              <w:rPr>
                <w:rFonts w:cs="Times"/>
                <w:sz w:val="20"/>
              </w:rPr>
              <w:t>_</w:t>
            </w:r>
          </w:p>
          <w:p w14:paraId="6C288E89" w14:textId="2967811B" w:rsidR="00F20488" w:rsidRPr="001134B0" w:rsidRDefault="00F20488" w:rsidP="00F20488">
            <w:pPr>
              <w:pStyle w:val="TCTableBody"/>
              <w:rPr>
                <w:rFonts w:cs="Times"/>
                <w:sz w:val="20"/>
              </w:rPr>
            </w:pPr>
            <w:proofErr w:type="spellStart"/>
            <w:r w:rsidRPr="001134B0">
              <w:rPr>
                <w:rFonts w:cs="Times"/>
                <w:sz w:val="20"/>
              </w:rPr>
              <w:t>Proliferation_down</w:t>
            </w:r>
            <w:proofErr w:type="spellEnd"/>
          </w:p>
        </w:tc>
        <w:tc>
          <w:tcPr>
            <w:tcW w:w="1276" w:type="dxa"/>
            <w:shd w:val="clear" w:color="auto" w:fill="auto"/>
            <w:noWrap/>
            <w:vAlign w:val="bottom"/>
            <w:hideMark/>
          </w:tcPr>
          <w:p w14:paraId="6AF108D7" w14:textId="77777777" w:rsidR="00F20488" w:rsidRPr="001134B0" w:rsidRDefault="00F20488" w:rsidP="00F20488">
            <w:pPr>
              <w:pStyle w:val="TCTableBody"/>
              <w:rPr>
                <w:rFonts w:cs="Times"/>
                <w:sz w:val="20"/>
              </w:rPr>
            </w:pPr>
            <w:r w:rsidRPr="001134B0">
              <w:rPr>
                <w:rFonts w:cs="Times"/>
                <w:sz w:val="20"/>
              </w:rPr>
              <w:t>CP</w:t>
            </w:r>
          </w:p>
        </w:tc>
        <w:tc>
          <w:tcPr>
            <w:tcW w:w="851" w:type="dxa"/>
            <w:shd w:val="clear" w:color="auto" w:fill="auto"/>
            <w:noWrap/>
            <w:vAlign w:val="bottom"/>
            <w:hideMark/>
          </w:tcPr>
          <w:p w14:paraId="3BED0FAD" w14:textId="77777777" w:rsidR="00F20488" w:rsidRPr="001134B0" w:rsidRDefault="00F20488" w:rsidP="00F20488">
            <w:pPr>
              <w:pStyle w:val="TCTableBody"/>
              <w:rPr>
                <w:rFonts w:cs="Times"/>
                <w:sz w:val="20"/>
              </w:rPr>
            </w:pPr>
            <w:r w:rsidRPr="001134B0">
              <w:rPr>
                <w:rFonts w:cs="Times"/>
                <w:sz w:val="20"/>
              </w:rPr>
              <w:t>0.57</w:t>
            </w:r>
          </w:p>
        </w:tc>
        <w:tc>
          <w:tcPr>
            <w:tcW w:w="850" w:type="dxa"/>
            <w:shd w:val="clear" w:color="auto" w:fill="auto"/>
            <w:noWrap/>
            <w:vAlign w:val="bottom"/>
            <w:hideMark/>
          </w:tcPr>
          <w:p w14:paraId="107F2529" w14:textId="77777777" w:rsidR="00F20488" w:rsidRPr="001134B0" w:rsidRDefault="00F20488" w:rsidP="00F20488">
            <w:pPr>
              <w:pStyle w:val="TCTableBody"/>
              <w:rPr>
                <w:rFonts w:cs="Times"/>
                <w:sz w:val="20"/>
              </w:rPr>
            </w:pPr>
            <w:r w:rsidRPr="001134B0">
              <w:rPr>
                <w:rFonts w:cs="Times"/>
                <w:sz w:val="20"/>
              </w:rPr>
              <w:t>0.15</w:t>
            </w:r>
          </w:p>
        </w:tc>
        <w:tc>
          <w:tcPr>
            <w:tcW w:w="851" w:type="dxa"/>
            <w:shd w:val="clear" w:color="auto" w:fill="auto"/>
            <w:noWrap/>
            <w:vAlign w:val="bottom"/>
            <w:hideMark/>
          </w:tcPr>
          <w:p w14:paraId="78C14A0B" w14:textId="77777777" w:rsidR="00F20488" w:rsidRPr="001134B0" w:rsidRDefault="00F20488" w:rsidP="00F20488">
            <w:pPr>
              <w:pStyle w:val="TCTableBody"/>
              <w:rPr>
                <w:rFonts w:cs="Times"/>
                <w:sz w:val="20"/>
              </w:rPr>
            </w:pPr>
            <w:r w:rsidRPr="001134B0">
              <w:rPr>
                <w:rFonts w:cs="Times"/>
                <w:sz w:val="20"/>
              </w:rPr>
              <w:t>0.58</w:t>
            </w:r>
          </w:p>
        </w:tc>
        <w:tc>
          <w:tcPr>
            <w:tcW w:w="1275" w:type="dxa"/>
            <w:shd w:val="clear" w:color="auto" w:fill="auto"/>
            <w:noWrap/>
            <w:vAlign w:val="bottom"/>
            <w:hideMark/>
          </w:tcPr>
          <w:p w14:paraId="2A427205" w14:textId="77777777" w:rsidR="00F20488" w:rsidRPr="001134B0" w:rsidRDefault="00F20488" w:rsidP="00F20488">
            <w:pPr>
              <w:pStyle w:val="TCTableBody"/>
              <w:rPr>
                <w:rFonts w:cs="Times"/>
                <w:sz w:val="20"/>
              </w:rPr>
            </w:pPr>
            <w:r w:rsidRPr="001134B0">
              <w:rPr>
                <w:rFonts w:cs="Times"/>
                <w:sz w:val="20"/>
              </w:rPr>
              <w:t>0.58 ± 0.09</w:t>
            </w:r>
          </w:p>
        </w:tc>
        <w:tc>
          <w:tcPr>
            <w:tcW w:w="1276" w:type="dxa"/>
            <w:shd w:val="clear" w:color="auto" w:fill="auto"/>
            <w:noWrap/>
            <w:vAlign w:val="bottom"/>
            <w:hideMark/>
          </w:tcPr>
          <w:p w14:paraId="521D048E" w14:textId="77777777" w:rsidR="00F20488" w:rsidRPr="001134B0" w:rsidRDefault="00F20488" w:rsidP="00F20488">
            <w:pPr>
              <w:pStyle w:val="TCTableBody"/>
              <w:rPr>
                <w:rFonts w:cs="Times"/>
                <w:sz w:val="20"/>
              </w:rPr>
            </w:pPr>
            <w:r w:rsidRPr="001134B0">
              <w:rPr>
                <w:rFonts w:cs="Times"/>
                <w:sz w:val="20"/>
              </w:rPr>
              <w:t>0.16 ± 0.15</w:t>
            </w:r>
          </w:p>
        </w:tc>
        <w:tc>
          <w:tcPr>
            <w:tcW w:w="1276" w:type="dxa"/>
            <w:shd w:val="clear" w:color="auto" w:fill="auto"/>
            <w:noWrap/>
            <w:vAlign w:val="bottom"/>
            <w:hideMark/>
          </w:tcPr>
          <w:p w14:paraId="3E449427" w14:textId="77777777" w:rsidR="00F20488" w:rsidRPr="001134B0" w:rsidRDefault="00F20488" w:rsidP="00F20488">
            <w:pPr>
              <w:pStyle w:val="TCTableBody"/>
              <w:rPr>
                <w:rFonts w:cs="Times"/>
                <w:sz w:val="20"/>
              </w:rPr>
            </w:pPr>
            <w:r w:rsidRPr="001134B0">
              <w:rPr>
                <w:rFonts w:cs="Times"/>
                <w:sz w:val="20"/>
              </w:rPr>
              <w:t>0.65 ± 0.15</w:t>
            </w:r>
          </w:p>
        </w:tc>
      </w:tr>
      <w:tr w:rsidR="00F20488" w:rsidRPr="001134B0" w14:paraId="09EA2285" w14:textId="77777777" w:rsidTr="00BA2CEA">
        <w:trPr>
          <w:trHeight w:val="315"/>
        </w:trPr>
        <w:tc>
          <w:tcPr>
            <w:tcW w:w="2263" w:type="dxa"/>
            <w:vMerge/>
            <w:vAlign w:val="center"/>
            <w:hideMark/>
          </w:tcPr>
          <w:p w14:paraId="26A55051"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2F06FB49" w14:textId="77777777" w:rsidR="00F20488" w:rsidRPr="001134B0" w:rsidRDefault="00F20488" w:rsidP="00F20488">
            <w:pPr>
              <w:pStyle w:val="TCTableBody"/>
              <w:rPr>
                <w:rFonts w:cs="Times"/>
                <w:sz w:val="20"/>
              </w:rPr>
            </w:pPr>
            <w:proofErr w:type="spellStart"/>
            <w:r w:rsidRPr="001134B0">
              <w:rPr>
                <w:rFonts w:cs="Times"/>
                <w:sz w:val="20"/>
              </w:rPr>
              <w:t>ErG</w:t>
            </w:r>
            <w:proofErr w:type="spellEnd"/>
          </w:p>
        </w:tc>
        <w:tc>
          <w:tcPr>
            <w:tcW w:w="851" w:type="dxa"/>
            <w:shd w:val="clear" w:color="auto" w:fill="auto"/>
            <w:noWrap/>
            <w:vAlign w:val="bottom"/>
            <w:hideMark/>
          </w:tcPr>
          <w:p w14:paraId="39E2DA6A" w14:textId="77777777" w:rsidR="00F20488" w:rsidRPr="001134B0" w:rsidRDefault="00F20488" w:rsidP="00F20488">
            <w:pPr>
              <w:pStyle w:val="TCTableBody"/>
              <w:rPr>
                <w:rFonts w:cs="Times"/>
                <w:sz w:val="20"/>
              </w:rPr>
            </w:pPr>
            <w:r w:rsidRPr="001134B0">
              <w:rPr>
                <w:rFonts w:cs="Times"/>
                <w:sz w:val="20"/>
              </w:rPr>
              <w:t>0.61</w:t>
            </w:r>
          </w:p>
        </w:tc>
        <w:tc>
          <w:tcPr>
            <w:tcW w:w="850" w:type="dxa"/>
            <w:shd w:val="clear" w:color="auto" w:fill="auto"/>
            <w:noWrap/>
            <w:vAlign w:val="bottom"/>
            <w:hideMark/>
          </w:tcPr>
          <w:p w14:paraId="4EE1E581" w14:textId="77777777" w:rsidR="00F20488" w:rsidRPr="001134B0" w:rsidRDefault="00F20488" w:rsidP="00F20488">
            <w:pPr>
              <w:pStyle w:val="TCTableBody"/>
              <w:rPr>
                <w:rFonts w:cs="Times"/>
                <w:sz w:val="20"/>
              </w:rPr>
            </w:pPr>
            <w:r w:rsidRPr="001134B0">
              <w:rPr>
                <w:rFonts w:cs="Times"/>
                <w:sz w:val="20"/>
              </w:rPr>
              <w:t>0.21</w:t>
            </w:r>
          </w:p>
        </w:tc>
        <w:tc>
          <w:tcPr>
            <w:tcW w:w="851" w:type="dxa"/>
            <w:shd w:val="clear" w:color="auto" w:fill="auto"/>
            <w:noWrap/>
            <w:vAlign w:val="bottom"/>
            <w:hideMark/>
          </w:tcPr>
          <w:p w14:paraId="4B2E6D44" w14:textId="77777777" w:rsidR="00F20488" w:rsidRPr="001134B0" w:rsidRDefault="00F20488" w:rsidP="00F20488">
            <w:pPr>
              <w:pStyle w:val="TCTableBody"/>
              <w:rPr>
                <w:rFonts w:cs="Times"/>
                <w:sz w:val="20"/>
              </w:rPr>
            </w:pPr>
            <w:r w:rsidRPr="001134B0">
              <w:rPr>
                <w:rFonts w:cs="Times"/>
                <w:sz w:val="20"/>
              </w:rPr>
              <w:t>0.63</w:t>
            </w:r>
          </w:p>
        </w:tc>
        <w:tc>
          <w:tcPr>
            <w:tcW w:w="1275" w:type="dxa"/>
            <w:shd w:val="clear" w:color="auto" w:fill="auto"/>
            <w:noWrap/>
            <w:vAlign w:val="bottom"/>
            <w:hideMark/>
          </w:tcPr>
          <w:p w14:paraId="4F2296A7" w14:textId="77777777" w:rsidR="00F20488" w:rsidRPr="001134B0" w:rsidRDefault="00F20488" w:rsidP="00F20488">
            <w:pPr>
              <w:pStyle w:val="TCTableBody"/>
              <w:rPr>
                <w:rFonts w:cs="Times"/>
                <w:sz w:val="20"/>
              </w:rPr>
            </w:pPr>
            <w:r w:rsidRPr="001134B0">
              <w:rPr>
                <w:rFonts w:cs="Times"/>
                <w:sz w:val="20"/>
              </w:rPr>
              <w:t>0.49 ± 0.16</w:t>
            </w:r>
          </w:p>
        </w:tc>
        <w:tc>
          <w:tcPr>
            <w:tcW w:w="1276" w:type="dxa"/>
            <w:shd w:val="clear" w:color="auto" w:fill="auto"/>
            <w:noWrap/>
            <w:vAlign w:val="bottom"/>
            <w:hideMark/>
          </w:tcPr>
          <w:p w14:paraId="7CFA7369" w14:textId="77777777" w:rsidR="00F20488" w:rsidRPr="001134B0" w:rsidRDefault="00F20488" w:rsidP="00F20488">
            <w:pPr>
              <w:pStyle w:val="TCTableBody"/>
              <w:rPr>
                <w:rFonts w:cs="Times"/>
                <w:sz w:val="20"/>
              </w:rPr>
            </w:pPr>
            <w:r w:rsidRPr="001134B0">
              <w:rPr>
                <w:rFonts w:cs="Times"/>
                <w:sz w:val="20"/>
              </w:rPr>
              <w:t>0.0 ± 0.28</w:t>
            </w:r>
          </w:p>
        </w:tc>
        <w:tc>
          <w:tcPr>
            <w:tcW w:w="1276" w:type="dxa"/>
            <w:shd w:val="clear" w:color="auto" w:fill="auto"/>
            <w:noWrap/>
            <w:vAlign w:val="bottom"/>
            <w:hideMark/>
          </w:tcPr>
          <w:p w14:paraId="2F2A6ED1" w14:textId="77777777" w:rsidR="00F20488" w:rsidRPr="001134B0" w:rsidRDefault="00F20488" w:rsidP="00F20488">
            <w:pPr>
              <w:pStyle w:val="TCTableBody"/>
              <w:rPr>
                <w:rFonts w:cs="Times"/>
                <w:sz w:val="20"/>
              </w:rPr>
            </w:pPr>
            <w:r w:rsidRPr="001134B0">
              <w:rPr>
                <w:rFonts w:cs="Times"/>
                <w:sz w:val="20"/>
              </w:rPr>
              <w:t>0.58 ± 0.19</w:t>
            </w:r>
          </w:p>
        </w:tc>
      </w:tr>
      <w:tr w:rsidR="00F20488" w:rsidRPr="001134B0" w14:paraId="5596CE28" w14:textId="77777777" w:rsidTr="00BA2CEA">
        <w:trPr>
          <w:trHeight w:val="300"/>
        </w:trPr>
        <w:tc>
          <w:tcPr>
            <w:tcW w:w="2263" w:type="dxa"/>
            <w:vMerge/>
            <w:vAlign w:val="center"/>
            <w:hideMark/>
          </w:tcPr>
          <w:p w14:paraId="763AEC94"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4D92E6AC" w14:textId="77777777" w:rsidR="00F20488" w:rsidRPr="001134B0" w:rsidRDefault="00F20488" w:rsidP="00F20488">
            <w:pPr>
              <w:pStyle w:val="TCTableBody"/>
              <w:rPr>
                <w:rFonts w:cs="Times"/>
                <w:sz w:val="20"/>
              </w:rPr>
            </w:pPr>
            <w:proofErr w:type="spellStart"/>
            <w:r w:rsidRPr="001134B0">
              <w:rPr>
                <w:rFonts w:cs="Times"/>
                <w:sz w:val="20"/>
              </w:rPr>
              <w:t>ErG+CP</w:t>
            </w:r>
            <w:proofErr w:type="spellEnd"/>
          </w:p>
        </w:tc>
        <w:tc>
          <w:tcPr>
            <w:tcW w:w="851" w:type="dxa"/>
            <w:shd w:val="clear" w:color="auto" w:fill="auto"/>
            <w:noWrap/>
            <w:vAlign w:val="bottom"/>
            <w:hideMark/>
          </w:tcPr>
          <w:p w14:paraId="17A82689" w14:textId="77777777" w:rsidR="00F20488" w:rsidRPr="001134B0" w:rsidRDefault="00F20488" w:rsidP="00F20488">
            <w:pPr>
              <w:pStyle w:val="TCTableBody"/>
              <w:rPr>
                <w:rFonts w:cs="Times"/>
                <w:sz w:val="20"/>
              </w:rPr>
            </w:pPr>
            <w:r w:rsidRPr="001134B0">
              <w:rPr>
                <w:rFonts w:cs="Times"/>
                <w:sz w:val="20"/>
              </w:rPr>
              <w:t>0.6</w:t>
            </w:r>
          </w:p>
        </w:tc>
        <w:tc>
          <w:tcPr>
            <w:tcW w:w="850" w:type="dxa"/>
            <w:shd w:val="clear" w:color="auto" w:fill="auto"/>
            <w:noWrap/>
            <w:vAlign w:val="bottom"/>
            <w:hideMark/>
          </w:tcPr>
          <w:p w14:paraId="28DB0547" w14:textId="77777777" w:rsidR="00F20488" w:rsidRPr="001134B0" w:rsidRDefault="00F20488" w:rsidP="00F20488">
            <w:pPr>
              <w:pStyle w:val="TCTableBody"/>
              <w:rPr>
                <w:rFonts w:cs="Times"/>
                <w:sz w:val="20"/>
              </w:rPr>
            </w:pPr>
            <w:r w:rsidRPr="001134B0">
              <w:rPr>
                <w:rFonts w:cs="Times"/>
                <w:sz w:val="20"/>
              </w:rPr>
              <w:t>0.21</w:t>
            </w:r>
          </w:p>
        </w:tc>
        <w:tc>
          <w:tcPr>
            <w:tcW w:w="851" w:type="dxa"/>
            <w:shd w:val="clear" w:color="auto" w:fill="auto"/>
            <w:noWrap/>
            <w:vAlign w:val="bottom"/>
            <w:hideMark/>
          </w:tcPr>
          <w:p w14:paraId="75662E69" w14:textId="77777777" w:rsidR="00F20488" w:rsidRPr="001134B0" w:rsidRDefault="00F20488" w:rsidP="00F20488">
            <w:pPr>
              <w:pStyle w:val="TCTableBody"/>
              <w:rPr>
                <w:rFonts w:cs="Times"/>
                <w:sz w:val="20"/>
              </w:rPr>
            </w:pPr>
            <w:r w:rsidRPr="001134B0">
              <w:rPr>
                <w:rFonts w:cs="Times"/>
                <w:sz w:val="20"/>
              </w:rPr>
              <w:t>0.63</w:t>
            </w:r>
          </w:p>
        </w:tc>
        <w:tc>
          <w:tcPr>
            <w:tcW w:w="1275" w:type="dxa"/>
            <w:shd w:val="clear" w:color="auto" w:fill="auto"/>
            <w:noWrap/>
            <w:vAlign w:val="bottom"/>
            <w:hideMark/>
          </w:tcPr>
          <w:p w14:paraId="6C0F6622" w14:textId="77777777" w:rsidR="00F20488" w:rsidRPr="001134B0" w:rsidRDefault="00F20488" w:rsidP="00F20488">
            <w:pPr>
              <w:pStyle w:val="TCTableBody"/>
              <w:rPr>
                <w:rFonts w:cs="Times"/>
                <w:sz w:val="20"/>
              </w:rPr>
            </w:pPr>
            <w:r w:rsidRPr="001134B0">
              <w:rPr>
                <w:rFonts w:cs="Times"/>
                <w:sz w:val="20"/>
              </w:rPr>
              <w:t>0.61 ± 0.1</w:t>
            </w:r>
          </w:p>
        </w:tc>
        <w:tc>
          <w:tcPr>
            <w:tcW w:w="1276" w:type="dxa"/>
            <w:shd w:val="clear" w:color="auto" w:fill="auto"/>
            <w:noWrap/>
            <w:vAlign w:val="bottom"/>
            <w:hideMark/>
          </w:tcPr>
          <w:p w14:paraId="25CE0716" w14:textId="77777777" w:rsidR="00F20488" w:rsidRPr="001134B0" w:rsidRDefault="00F20488" w:rsidP="00F20488">
            <w:pPr>
              <w:pStyle w:val="TCTableBody"/>
              <w:rPr>
                <w:rFonts w:cs="Times"/>
                <w:sz w:val="20"/>
              </w:rPr>
            </w:pPr>
            <w:r w:rsidRPr="001134B0">
              <w:rPr>
                <w:rFonts w:cs="Times"/>
                <w:sz w:val="20"/>
              </w:rPr>
              <w:t>0.22 ± 0.19</w:t>
            </w:r>
          </w:p>
        </w:tc>
        <w:tc>
          <w:tcPr>
            <w:tcW w:w="1276" w:type="dxa"/>
            <w:shd w:val="clear" w:color="auto" w:fill="auto"/>
            <w:noWrap/>
            <w:vAlign w:val="bottom"/>
            <w:hideMark/>
          </w:tcPr>
          <w:p w14:paraId="6BF29DA6" w14:textId="77777777" w:rsidR="00F20488" w:rsidRPr="001134B0" w:rsidRDefault="00F20488" w:rsidP="00F20488">
            <w:pPr>
              <w:pStyle w:val="TCTableBody"/>
              <w:rPr>
                <w:rFonts w:cs="Times"/>
                <w:sz w:val="20"/>
              </w:rPr>
            </w:pPr>
            <w:r w:rsidRPr="001134B0">
              <w:rPr>
                <w:rFonts w:cs="Times"/>
                <w:sz w:val="20"/>
              </w:rPr>
              <w:t>0.71 ± 0.12</w:t>
            </w:r>
          </w:p>
        </w:tc>
      </w:tr>
      <w:tr w:rsidR="00F20488" w:rsidRPr="001134B0" w14:paraId="768D782B" w14:textId="77777777" w:rsidTr="00BA2CEA">
        <w:trPr>
          <w:trHeight w:val="300"/>
        </w:trPr>
        <w:tc>
          <w:tcPr>
            <w:tcW w:w="2263" w:type="dxa"/>
            <w:vMerge/>
            <w:vAlign w:val="center"/>
            <w:hideMark/>
          </w:tcPr>
          <w:p w14:paraId="156FC141"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7B55A397" w14:textId="77777777" w:rsidR="00F20488" w:rsidRPr="001134B0" w:rsidRDefault="00F20488" w:rsidP="00F20488">
            <w:pPr>
              <w:pStyle w:val="TCTableBody"/>
              <w:rPr>
                <w:rFonts w:cs="Times"/>
                <w:sz w:val="20"/>
              </w:rPr>
            </w:pPr>
            <w:r w:rsidRPr="001134B0">
              <w:rPr>
                <w:rFonts w:cs="Times"/>
                <w:sz w:val="20"/>
              </w:rPr>
              <w:t>Morgan</w:t>
            </w:r>
          </w:p>
        </w:tc>
        <w:tc>
          <w:tcPr>
            <w:tcW w:w="851" w:type="dxa"/>
            <w:shd w:val="clear" w:color="auto" w:fill="auto"/>
            <w:noWrap/>
            <w:vAlign w:val="bottom"/>
            <w:hideMark/>
          </w:tcPr>
          <w:p w14:paraId="1F71D4EA" w14:textId="77777777" w:rsidR="00F20488" w:rsidRPr="001134B0" w:rsidRDefault="00F20488" w:rsidP="00F20488">
            <w:pPr>
              <w:pStyle w:val="TCTableBody"/>
              <w:rPr>
                <w:rFonts w:cs="Times"/>
                <w:sz w:val="20"/>
              </w:rPr>
            </w:pPr>
            <w:r w:rsidRPr="001134B0">
              <w:rPr>
                <w:rFonts w:cs="Times"/>
                <w:sz w:val="20"/>
              </w:rPr>
              <w:t>0.58</w:t>
            </w:r>
          </w:p>
        </w:tc>
        <w:tc>
          <w:tcPr>
            <w:tcW w:w="850" w:type="dxa"/>
            <w:shd w:val="clear" w:color="auto" w:fill="auto"/>
            <w:noWrap/>
            <w:vAlign w:val="bottom"/>
            <w:hideMark/>
          </w:tcPr>
          <w:p w14:paraId="6D01CEA0" w14:textId="77777777" w:rsidR="00F20488" w:rsidRPr="001134B0" w:rsidRDefault="00F20488" w:rsidP="00F20488">
            <w:pPr>
              <w:pStyle w:val="TCTableBody"/>
              <w:rPr>
                <w:rFonts w:cs="Times"/>
                <w:sz w:val="20"/>
              </w:rPr>
            </w:pPr>
            <w:r w:rsidRPr="001134B0">
              <w:rPr>
                <w:rFonts w:cs="Times"/>
                <w:sz w:val="20"/>
              </w:rPr>
              <w:t>0.16</w:t>
            </w:r>
          </w:p>
        </w:tc>
        <w:tc>
          <w:tcPr>
            <w:tcW w:w="851" w:type="dxa"/>
            <w:shd w:val="clear" w:color="auto" w:fill="auto"/>
            <w:noWrap/>
            <w:vAlign w:val="bottom"/>
            <w:hideMark/>
          </w:tcPr>
          <w:p w14:paraId="7960C41C" w14:textId="77777777" w:rsidR="00F20488" w:rsidRPr="001134B0" w:rsidRDefault="00F20488" w:rsidP="00F20488">
            <w:pPr>
              <w:pStyle w:val="TCTableBody"/>
              <w:rPr>
                <w:rFonts w:cs="Times"/>
                <w:sz w:val="20"/>
              </w:rPr>
            </w:pPr>
            <w:r w:rsidRPr="001134B0">
              <w:rPr>
                <w:rFonts w:cs="Times"/>
                <w:sz w:val="20"/>
              </w:rPr>
              <w:t>0.6</w:t>
            </w:r>
          </w:p>
        </w:tc>
        <w:tc>
          <w:tcPr>
            <w:tcW w:w="1275" w:type="dxa"/>
            <w:shd w:val="clear" w:color="auto" w:fill="auto"/>
            <w:noWrap/>
            <w:vAlign w:val="bottom"/>
            <w:hideMark/>
          </w:tcPr>
          <w:p w14:paraId="10506D45" w14:textId="77777777" w:rsidR="00F20488" w:rsidRPr="001134B0" w:rsidRDefault="00F20488" w:rsidP="00F20488">
            <w:pPr>
              <w:pStyle w:val="TCTableBody"/>
              <w:rPr>
                <w:rFonts w:cs="Times"/>
                <w:sz w:val="20"/>
              </w:rPr>
            </w:pPr>
            <w:r w:rsidRPr="001134B0">
              <w:rPr>
                <w:rFonts w:cs="Times"/>
                <w:sz w:val="20"/>
              </w:rPr>
              <w:t>0.51 ± 0.08</w:t>
            </w:r>
          </w:p>
        </w:tc>
        <w:tc>
          <w:tcPr>
            <w:tcW w:w="1276" w:type="dxa"/>
            <w:shd w:val="clear" w:color="auto" w:fill="auto"/>
            <w:noWrap/>
            <w:vAlign w:val="bottom"/>
            <w:hideMark/>
          </w:tcPr>
          <w:p w14:paraId="787CB6B8" w14:textId="77777777" w:rsidR="00F20488" w:rsidRPr="001134B0" w:rsidRDefault="00F20488" w:rsidP="00F20488">
            <w:pPr>
              <w:pStyle w:val="TCTableBody"/>
              <w:rPr>
                <w:rFonts w:cs="Times"/>
                <w:sz w:val="20"/>
              </w:rPr>
            </w:pPr>
            <w:r w:rsidRPr="001134B0">
              <w:rPr>
                <w:rFonts w:cs="Times"/>
                <w:sz w:val="20"/>
              </w:rPr>
              <w:t>0.01 ± 0.15</w:t>
            </w:r>
          </w:p>
        </w:tc>
        <w:tc>
          <w:tcPr>
            <w:tcW w:w="1276" w:type="dxa"/>
            <w:shd w:val="clear" w:color="auto" w:fill="auto"/>
            <w:noWrap/>
            <w:vAlign w:val="bottom"/>
            <w:hideMark/>
          </w:tcPr>
          <w:p w14:paraId="637ABC0F" w14:textId="77777777" w:rsidR="00F20488" w:rsidRPr="001134B0" w:rsidRDefault="00F20488" w:rsidP="00F20488">
            <w:pPr>
              <w:pStyle w:val="TCTableBody"/>
              <w:rPr>
                <w:rFonts w:cs="Times"/>
                <w:sz w:val="20"/>
              </w:rPr>
            </w:pPr>
            <w:r w:rsidRPr="001134B0">
              <w:rPr>
                <w:rFonts w:cs="Times"/>
                <w:sz w:val="20"/>
              </w:rPr>
              <w:t>0.51 ± 0.15</w:t>
            </w:r>
          </w:p>
        </w:tc>
      </w:tr>
      <w:tr w:rsidR="00F20488" w:rsidRPr="001134B0" w14:paraId="337D1B33" w14:textId="77777777" w:rsidTr="00BA2CEA">
        <w:trPr>
          <w:trHeight w:val="315"/>
        </w:trPr>
        <w:tc>
          <w:tcPr>
            <w:tcW w:w="2263" w:type="dxa"/>
            <w:vMerge/>
            <w:vAlign w:val="center"/>
            <w:hideMark/>
          </w:tcPr>
          <w:p w14:paraId="2C47F8F7"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6026F292" w14:textId="77777777" w:rsidR="00F20488" w:rsidRPr="001134B0" w:rsidRDefault="00F20488" w:rsidP="00F20488">
            <w:pPr>
              <w:pStyle w:val="TCTableBody"/>
              <w:rPr>
                <w:rFonts w:cs="Times"/>
                <w:sz w:val="20"/>
              </w:rPr>
            </w:pPr>
            <w:proofErr w:type="spellStart"/>
            <w:r w:rsidRPr="001134B0">
              <w:rPr>
                <w:rFonts w:cs="Times"/>
                <w:sz w:val="20"/>
              </w:rPr>
              <w:t>Morgan+CP</w:t>
            </w:r>
            <w:proofErr w:type="spellEnd"/>
          </w:p>
        </w:tc>
        <w:tc>
          <w:tcPr>
            <w:tcW w:w="851" w:type="dxa"/>
            <w:shd w:val="clear" w:color="auto" w:fill="auto"/>
            <w:noWrap/>
            <w:vAlign w:val="bottom"/>
            <w:hideMark/>
          </w:tcPr>
          <w:p w14:paraId="5134B8E2" w14:textId="77777777" w:rsidR="00F20488" w:rsidRPr="001134B0" w:rsidRDefault="00F20488" w:rsidP="00F20488">
            <w:pPr>
              <w:pStyle w:val="TCTableBody"/>
              <w:rPr>
                <w:rFonts w:cs="Times"/>
                <w:sz w:val="20"/>
              </w:rPr>
            </w:pPr>
            <w:r w:rsidRPr="001134B0">
              <w:rPr>
                <w:rFonts w:cs="Times"/>
                <w:sz w:val="20"/>
              </w:rPr>
              <w:t>0.57</w:t>
            </w:r>
          </w:p>
        </w:tc>
        <w:tc>
          <w:tcPr>
            <w:tcW w:w="850" w:type="dxa"/>
            <w:shd w:val="clear" w:color="auto" w:fill="auto"/>
            <w:noWrap/>
            <w:vAlign w:val="bottom"/>
            <w:hideMark/>
          </w:tcPr>
          <w:p w14:paraId="6EA59AE1" w14:textId="77777777" w:rsidR="00F20488" w:rsidRPr="001134B0" w:rsidRDefault="00F20488" w:rsidP="00F20488">
            <w:pPr>
              <w:pStyle w:val="TCTableBody"/>
              <w:rPr>
                <w:rFonts w:cs="Times"/>
                <w:sz w:val="20"/>
              </w:rPr>
            </w:pPr>
            <w:r w:rsidRPr="001134B0">
              <w:rPr>
                <w:rFonts w:cs="Times"/>
                <w:sz w:val="20"/>
              </w:rPr>
              <w:t>0.15</w:t>
            </w:r>
          </w:p>
        </w:tc>
        <w:tc>
          <w:tcPr>
            <w:tcW w:w="851" w:type="dxa"/>
            <w:shd w:val="clear" w:color="auto" w:fill="auto"/>
            <w:noWrap/>
            <w:vAlign w:val="bottom"/>
            <w:hideMark/>
          </w:tcPr>
          <w:p w14:paraId="62338F57" w14:textId="77777777" w:rsidR="00F20488" w:rsidRPr="001134B0" w:rsidRDefault="00F20488" w:rsidP="00F20488">
            <w:pPr>
              <w:pStyle w:val="TCTableBody"/>
              <w:rPr>
                <w:rFonts w:cs="Times"/>
                <w:sz w:val="20"/>
              </w:rPr>
            </w:pPr>
            <w:r w:rsidRPr="001134B0">
              <w:rPr>
                <w:rFonts w:cs="Times"/>
                <w:sz w:val="20"/>
              </w:rPr>
              <w:t>0.59</w:t>
            </w:r>
          </w:p>
        </w:tc>
        <w:tc>
          <w:tcPr>
            <w:tcW w:w="1275" w:type="dxa"/>
            <w:shd w:val="clear" w:color="auto" w:fill="auto"/>
            <w:noWrap/>
            <w:vAlign w:val="bottom"/>
            <w:hideMark/>
          </w:tcPr>
          <w:p w14:paraId="6F0EE221" w14:textId="77777777" w:rsidR="00F20488" w:rsidRPr="001134B0" w:rsidRDefault="00F20488" w:rsidP="00F20488">
            <w:pPr>
              <w:pStyle w:val="TCTableBody"/>
              <w:rPr>
                <w:rFonts w:cs="Times"/>
                <w:sz w:val="20"/>
              </w:rPr>
            </w:pPr>
            <w:r w:rsidRPr="001134B0">
              <w:rPr>
                <w:rFonts w:cs="Times"/>
                <w:sz w:val="20"/>
              </w:rPr>
              <w:t>0.62 ± 0.09</w:t>
            </w:r>
          </w:p>
        </w:tc>
        <w:tc>
          <w:tcPr>
            <w:tcW w:w="1276" w:type="dxa"/>
            <w:shd w:val="clear" w:color="auto" w:fill="auto"/>
            <w:noWrap/>
            <w:vAlign w:val="bottom"/>
            <w:hideMark/>
          </w:tcPr>
          <w:p w14:paraId="290610EA" w14:textId="77777777" w:rsidR="00F20488" w:rsidRPr="001134B0" w:rsidRDefault="00F20488" w:rsidP="00F20488">
            <w:pPr>
              <w:pStyle w:val="TCTableBody"/>
              <w:rPr>
                <w:rFonts w:cs="Times"/>
                <w:sz w:val="20"/>
              </w:rPr>
            </w:pPr>
            <w:r w:rsidRPr="001134B0">
              <w:rPr>
                <w:rFonts w:cs="Times"/>
                <w:sz w:val="20"/>
              </w:rPr>
              <w:t>0.23 ± 0.15</w:t>
            </w:r>
          </w:p>
        </w:tc>
        <w:tc>
          <w:tcPr>
            <w:tcW w:w="1276" w:type="dxa"/>
            <w:shd w:val="clear" w:color="auto" w:fill="auto"/>
            <w:noWrap/>
            <w:vAlign w:val="bottom"/>
            <w:hideMark/>
          </w:tcPr>
          <w:p w14:paraId="68C39D79" w14:textId="77777777" w:rsidR="00F20488" w:rsidRPr="001134B0" w:rsidRDefault="00F20488" w:rsidP="00F20488">
            <w:pPr>
              <w:pStyle w:val="TCTableBody"/>
              <w:rPr>
                <w:rFonts w:cs="Times"/>
                <w:sz w:val="20"/>
              </w:rPr>
            </w:pPr>
            <w:r w:rsidRPr="001134B0">
              <w:rPr>
                <w:rFonts w:cs="Times"/>
                <w:sz w:val="20"/>
              </w:rPr>
              <w:t>0.7 ± 0.1</w:t>
            </w:r>
          </w:p>
        </w:tc>
      </w:tr>
      <w:tr w:rsidR="00F20488" w:rsidRPr="001134B0" w14:paraId="5F2B4B3A" w14:textId="77777777" w:rsidTr="00BA2CEA">
        <w:trPr>
          <w:trHeight w:val="315"/>
        </w:trPr>
        <w:tc>
          <w:tcPr>
            <w:tcW w:w="2263" w:type="dxa"/>
            <w:vMerge w:val="restart"/>
            <w:shd w:val="clear" w:color="auto" w:fill="auto"/>
            <w:noWrap/>
            <w:vAlign w:val="bottom"/>
            <w:hideMark/>
          </w:tcPr>
          <w:p w14:paraId="72E5DDDD" w14:textId="77777777" w:rsidR="00F20488" w:rsidRPr="001134B0" w:rsidRDefault="00F20488" w:rsidP="00F20488">
            <w:pPr>
              <w:pStyle w:val="TCTableBody"/>
              <w:rPr>
                <w:rFonts w:cs="Times"/>
                <w:sz w:val="20"/>
              </w:rPr>
            </w:pPr>
            <w:proofErr w:type="spellStart"/>
            <w:r w:rsidRPr="001134B0">
              <w:rPr>
                <w:rFonts w:cs="Times"/>
                <w:sz w:val="20"/>
              </w:rPr>
              <w:t>BSK_SAg</w:t>
            </w:r>
            <w:proofErr w:type="spellEnd"/>
            <w:r w:rsidRPr="001134B0">
              <w:rPr>
                <w:rFonts w:cs="Times"/>
                <w:sz w:val="20"/>
              </w:rPr>
              <w:t>_</w:t>
            </w:r>
          </w:p>
          <w:p w14:paraId="6189511C" w14:textId="18C90587" w:rsidR="00F20488" w:rsidRPr="001134B0" w:rsidRDefault="00F20488" w:rsidP="00F20488">
            <w:pPr>
              <w:pStyle w:val="TCTableBody"/>
              <w:rPr>
                <w:rFonts w:cs="Times"/>
                <w:sz w:val="20"/>
              </w:rPr>
            </w:pPr>
            <w:proofErr w:type="spellStart"/>
            <w:r w:rsidRPr="001134B0">
              <w:rPr>
                <w:rFonts w:cs="Times"/>
                <w:sz w:val="20"/>
              </w:rPr>
              <w:t>SRB_down</w:t>
            </w:r>
            <w:proofErr w:type="spellEnd"/>
          </w:p>
        </w:tc>
        <w:tc>
          <w:tcPr>
            <w:tcW w:w="1276" w:type="dxa"/>
            <w:shd w:val="clear" w:color="auto" w:fill="auto"/>
            <w:noWrap/>
            <w:vAlign w:val="bottom"/>
            <w:hideMark/>
          </w:tcPr>
          <w:p w14:paraId="6BF99A5A" w14:textId="77777777" w:rsidR="00F20488" w:rsidRPr="001134B0" w:rsidRDefault="00F20488" w:rsidP="00F20488">
            <w:pPr>
              <w:pStyle w:val="TCTableBody"/>
              <w:rPr>
                <w:rFonts w:cs="Times"/>
                <w:sz w:val="20"/>
              </w:rPr>
            </w:pPr>
            <w:r w:rsidRPr="001134B0">
              <w:rPr>
                <w:rFonts w:cs="Times"/>
                <w:sz w:val="20"/>
              </w:rPr>
              <w:t>CP</w:t>
            </w:r>
          </w:p>
        </w:tc>
        <w:tc>
          <w:tcPr>
            <w:tcW w:w="851" w:type="dxa"/>
            <w:shd w:val="clear" w:color="auto" w:fill="auto"/>
            <w:noWrap/>
            <w:vAlign w:val="bottom"/>
            <w:hideMark/>
          </w:tcPr>
          <w:p w14:paraId="61A36036" w14:textId="77777777" w:rsidR="00F20488" w:rsidRPr="001134B0" w:rsidRDefault="00F20488" w:rsidP="00F20488">
            <w:pPr>
              <w:pStyle w:val="TCTableBody"/>
              <w:rPr>
                <w:rFonts w:cs="Times"/>
                <w:sz w:val="20"/>
              </w:rPr>
            </w:pPr>
            <w:r w:rsidRPr="001134B0">
              <w:rPr>
                <w:rFonts w:cs="Times"/>
                <w:sz w:val="20"/>
              </w:rPr>
              <w:t>0.58</w:t>
            </w:r>
          </w:p>
        </w:tc>
        <w:tc>
          <w:tcPr>
            <w:tcW w:w="850" w:type="dxa"/>
            <w:shd w:val="clear" w:color="auto" w:fill="auto"/>
            <w:noWrap/>
            <w:vAlign w:val="bottom"/>
            <w:hideMark/>
          </w:tcPr>
          <w:p w14:paraId="53AED8A6" w14:textId="77777777" w:rsidR="00F20488" w:rsidRPr="001134B0" w:rsidRDefault="00F20488" w:rsidP="00F20488">
            <w:pPr>
              <w:pStyle w:val="TCTableBody"/>
              <w:rPr>
                <w:rFonts w:cs="Times"/>
                <w:sz w:val="20"/>
              </w:rPr>
            </w:pPr>
            <w:r w:rsidRPr="001134B0">
              <w:rPr>
                <w:rFonts w:cs="Times"/>
                <w:sz w:val="20"/>
              </w:rPr>
              <w:t>0.19</w:t>
            </w:r>
          </w:p>
        </w:tc>
        <w:tc>
          <w:tcPr>
            <w:tcW w:w="851" w:type="dxa"/>
            <w:shd w:val="clear" w:color="auto" w:fill="auto"/>
            <w:noWrap/>
            <w:vAlign w:val="bottom"/>
            <w:hideMark/>
          </w:tcPr>
          <w:p w14:paraId="75BA3AC2" w14:textId="77777777" w:rsidR="00F20488" w:rsidRPr="001134B0" w:rsidRDefault="00F20488" w:rsidP="00F20488">
            <w:pPr>
              <w:pStyle w:val="TCTableBody"/>
              <w:rPr>
                <w:rFonts w:cs="Times"/>
                <w:sz w:val="20"/>
              </w:rPr>
            </w:pPr>
            <w:r w:rsidRPr="001134B0">
              <w:rPr>
                <w:rFonts w:cs="Times"/>
                <w:sz w:val="20"/>
              </w:rPr>
              <w:t>0.63</w:t>
            </w:r>
          </w:p>
        </w:tc>
        <w:tc>
          <w:tcPr>
            <w:tcW w:w="1275" w:type="dxa"/>
            <w:shd w:val="clear" w:color="auto" w:fill="auto"/>
            <w:noWrap/>
            <w:vAlign w:val="bottom"/>
            <w:hideMark/>
          </w:tcPr>
          <w:p w14:paraId="046D183F" w14:textId="77777777" w:rsidR="00F20488" w:rsidRPr="001134B0" w:rsidRDefault="00F20488" w:rsidP="00F20488">
            <w:pPr>
              <w:pStyle w:val="TCTableBody"/>
              <w:rPr>
                <w:rFonts w:cs="Times"/>
                <w:sz w:val="20"/>
              </w:rPr>
            </w:pPr>
            <w:r w:rsidRPr="001134B0">
              <w:rPr>
                <w:rFonts w:cs="Times"/>
                <w:sz w:val="20"/>
              </w:rPr>
              <w:t>0.56 ± 0.05</w:t>
            </w:r>
          </w:p>
        </w:tc>
        <w:tc>
          <w:tcPr>
            <w:tcW w:w="1276" w:type="dxa"/>
            <w:shd w:val="clear" w:color="auto" w:fill="auto"/>
            <w:noWrap/>
            <w:vAlign w:val="bottom"/>
            <w:hideMark/>
          </w:tcPr>
          <w:p w14:paraId="6847CE6C" w14:textId="77777777" w:rsidR="00F20488" w:rsidRPr="001134B0" w:rsidRDefault="00F20488" w:rsidP="00F20488">
            <w:pPr>
              <w:pStyle w:val="TCTableBody"/>
              <w:rPr>
                <w:rFonts w:cs="Times"/>
                <w:sz w:val="20"/>
              </w:rPr>
            </w:pPr>
            <w:r w:rsidRPr="001134B0">
              <w:rPr>
                <w:rFonts w:cs="Times"/>
                <w:sz w:val="20"/>
              </w:rPr>
              <w:t>0.13 ± 0.11</w:t>
            </w:r>
          </w:p>
        </w:tc>
        <w:tc>
          <w:tcPr>
            <w:tcW w:w="1276" w:type="dxa"/>
            <w:shd w:val="clear" w:color="auto" w:fill="auto"/>
            <w:noWrap/>
            <w:vAlign w:val="bottom"/>
            <w:hideMark/>
          </w:tcPr>
          <w:p w14:paraId="25C70583" w14:textId="77777777" w:rsidR="00F20488" w:rsidRPr="001134B0" w:rsidRDefault="00F20488" w:rsidP="00F20488">
            <w:pPr>
              <w:pStyle w:val="TCTableBody"/>
              <w:rPr>
                <w:rFonts w:cs="Times"/>
                <w:sz w:val="20"/>
              </w:rPr>
            </w:pPr>
            <w:r w:rsidRPr="001134B0">
              <w:rPr>
                <w:rFonts w:cs="Times"/>
                <w:sz w:val="20"/>
              </w:rPr>
              <w:t>0.62 ± 0.08</w:t>
            </w:r>
          </w:p>
        </w:tc>
      </w:tr>
      <w:tr w:rsidR="00F20488" w:rsidRPr="001134B0" w14:paraId="3DC20626" w14:textId="77777777" w:rsidTr="00BA2CEA">
        <w:trPr>
          <w:trHeight w:val="315"/>
        </w:trPr>
        <w:tc>
          <w:tcPr>
            <w:tcW w:w="2263" w:type="dxa"/>
            <w:vMerge/>
            <w:vAlign w:val="center"/>
            <w:hideMark/>
          </w:tcPr>
          <w:p w14:paraId="1AF1EBB4"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4DEC26FD" w14:textId="77777777" w:rsidR="00F20488" w:rsidRPr="001134B0" w:rsidRDefault="00F20488" w:rsidP="00F20488">
            <w:pPr>
              <w:pStyle w:val="TCTableBody"/>
              <w:rPr>
                <w:rFonts w:cs="Times"/>
                <w:sz w:val="20"/>
              </w:rPr>
            </w:pPr>
            <w:proofErr w:type="spellStart"/>
            <w:r w:rsidRPr="001134B0">
              <w:rPr>
                <w:rFonts w:cs="Times"/>
                <w:sz w:val="20"/>
              </w:rPr>
              <w:t>ErG</w:t>
            </w:r>
            <w:proofErr w:type="spellEnd"/>
          </w:p>
        </w:tc>
        <w:tc>
          <w:tcPr>
            <w:tcW w:w="851" w:type="dxa"/>
            <w:shd w:val="clear" w:color="auto" w:fill="auto"/>
            <w:noWrap/>
            <w:vAlign w:val="bottom"/>
            <w:hideMark/>
          </w:tcPr>
          <w:p w14:paraId="77A0A680" w14:textId="77777777" w:rsidR="00F20488" w:rsidRPr="001134B0" w:rsidRDefault="00F20488" w:rsidP="00F20488">
            <w:pPr>
              <w:pStyle w:val="TCTableBody"/>
              <w:rPr>
                <w:rFonts w:cs="Times"/>
                <w:sz w:val="20"/>
              </w:rPr>
            </w:pPr>
            <w:r w:rsidRPr="001134B0">
              <w:rPr>
                <w:rFonts w:cs="Times"/>
                <w:sz w:val="20"/>
              </w:rPr>
              <w:t>0.59</w:t>
            </w:r>
          </w:p>
        </w:tc>
        <w:tc>
          <w:tcPr>
            <w:tcW w:w="850" w:type="dxa"/>
            <w:shd w:val="clear" w:color="auto" w:fill="auto"/>
            <w:noWrap/>
            <w:vAlign w:val="bottom"/>
            <w:hideMark/>
          </w:tcPr>
          <w:p w14:paraId="69208099" w14:textId="77777777" w:rsidR="00F20488" w:rsidRPr="001134B0" w:rsidRDefault="00F20488" w:rsidP="00F20488">
            <w:pPr>
              <w:pStyle w:val="TCTableBody"/>
              <w:rPr>
                <w:rFonts w:cs="Times"/>
                <w:sz w:val="20"/>
              </w:rPr>
            </w:pPr>
            <w:r w:rsidRPr="001134B0">
              <w:rPr>
                <w:rFonts w:cs="Times"/>
                <w:sz w:val="20"/>
              </w:rPr>
              <w:t>0.2</w:t>
            </w:r>
          </w:p>
        </w:tc>
        <w:tc>
          <w:tcPr>
            <w:tcW w:w="851" w:type="dxa"/>
            <w:shd w:val="clear" w:color="auto" w:fill="auto"/>
            <w:noWrap/>
            <w:vAlign w:val="bottom"/>
            <w:hideMark/>
          </w:tcPr>
          <w:p w14:paraId="1EF2506A" w14:textId="77777777" w:rsidR="00F20488" w:rsidRPr="001134B0" w:rsidRDefault="00F20488" w:rsidP="00F20488">
            <w:pPr>
              <w:pStyle w:val="TCTableBody"/>
              <w:rPr>
                <w:rFonts w:cs="Times"/>
                <w:sz w:val="20"/>
              </w:rPr>
            </w:pPr>
            <w:r w:rsidRPr="001134B0">
              <w:rPr>
                <w:rFonts w:cs="Times"/>
                <w:sz w:val="20"/>
              </w:rPr>
              <w:t>0.72</w:t>
            </w:r>
          </w:p>
        </w:tc>
        <w:tc>
          <w:tcPr>
            <w:tcW w:w="1275" w:type="dxa"/>
            <w:shd w:val="clear" w:color="auto" w:fill="auto"/>
            <w:noWrap/>
            <w:vAlign w:val="bottom"/>
            <w:hideMark/>
          </w:tcPr>
          <w:p w14:paraId="5103BC63" w14:textId="77777777" w:rsidR="00F20488" w:rsidRPr="001134B0" w:rsidRDefault="00F20488" w:rsidP="00F20488">
            <w:pPr>
              <w:pStyle w:val="TCTableBody"/>
              <w:rPr>
                <w:rFonts w:cs="Times"/>
                <w:sz w:val="20"/>
              </w:rPr>
            </w:pPr>
            <w:r w:rsidRPr="001134B0">
              <w:rPr>
                <w:rFonts w:cs="Times"/>
                <w:sz w:val="20"/>
              </w:rPr>
              <w:t>0.57 ± 0.08</w:t>
            </w:r>
          </w:p>
        </w:tc>
        <w:tc>
          <w:tcPr>
            <w:tcW w:w="1276" w:type="dxa"/>
            <w:shd w:val="clear" w:color="auto" w:fill="auto"/>
            <w:noWrap/>
            <w:vAlign w:val="bottom"/>
            <w:hideMark/>
          </w:tcPr>
          <w:p w14:paraId="175EFF8E" w14:textId="77777777" w:rsidR="00F20488" w:rsidRPr="001134B0" w:rsidRDefault="00F20488" w:rsidP="00F20488">
            <w:pPr>
              <w:pStyle w:val="TCTableBody"/>
              <w:rPr>
                <w:rFonts w:cs="Times"/>
                <w:sz w:val="20"/>
              </w:rPr>
            </w:pPr>
            <w:r w:rsidRPr="001134B0">
              <w:rPr>
                <w:rFonts w:cs="Times"/>
                <w:sz w:val="20"/>
              </w:rPr>
              <w:t>0.14 ± 0.13</w:t>
            </w:r>
          </w:p>
        </w:tc>
        <w:tc>
          <w:tcPr>
            <w:tcW w:w="1276" w:type="dxa"/>
            <w:shd w:val="clear" w:color="auto" w:fill="auto"/>
            <w:noWrap/>
            <w:vAlign w:val="bottom"/>
            <w:hideMark/>
          </w:tcPr>
          <w:p w14:paraId="327E990B" w14:textId="77777777" w:rsidR="00F20488" w:rsidRPr="001134B0" w:rsidRDefault="00F20488" w:rsidP="00F20488">
            <w:pPr>
              <w:pStyle w:val="TCTableBody"/>
              <w:rPr>
                <w:rFonts w:cs="Times"/>
                <w:sz w:val="20"/>
              </w:rPr>
            </w:pPr>
            <w:r w:rsidRPr="001134B0">
              <w:rPr>
                <w:rFonts w:cs="Times"/>
                <w:sz w:val="20"/>
              </w:rPr>
              <w:t>0.59 ± 0.07</w:t>
            </w:r>
          </w:p>
        </w:tc>
      </w:tr>
      <w:tr w:rsidR="00F20488" w:rsidRPr="001134B0" w14:paraId="49AB03FD" w14:textId="77777777" w:rsidTr="00BA2CEA">
        <w:trPr>
          <w:trHeight w:val="300"/>
        </w:trPr>
        <w:tc>
          <w:tcPr>
            <w:tcW w:w="2263" w:type="dxa"/>
            <w:vMerge/>
            <w:vAlign w:val="center"/>
            <w:hideMark/>
          </w:tcPr>
          <w:p w14:paraId="5772C0C3"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6859D453" w14:textId="77777777" w:rsidR="00F20488" w:rsidRPr="001134B0" w:rsidRDefault="00F20488" w:rsidP="00F20488">
            <w:pPr>
              <w:pStyle w:val="TCTableBody"/>
              <w:rPr>
                <w:rFonts w:cs="Times"/>
                <w:sz w:val="20"/>
              </w:rPr>
            </w:pPr>
            <w:proofErr w:type="spellStart"/>
            <w:r w:rsidRPr="001134B0">
              <w:rPr>
                <w:rFonts w:cs="Times"/>
                <w:sz w:val="20"/>
              </w:rPr>
              <w:t>ErG+CP</w:t>
            </w:r>
            <w:proofErr w:type="spellEnd"/>
          </w:p>
        </w:tc>
        <w:tc>
          <w:tcPr>
            <w:tcW w:w="851" w:type="dxa"/>
            <w:shd w:val="clear" w:color="auto" w:fill="auto"/>
            <w:noWrap/>
            <w:vAlign w:val="bottom"/>
            <w:hideMark/>
          </w:tcPr>
          <w:p w14:paraId="59336C09" w14:textId="77777777" w:rsidR="00F20488" w:rsidRPr="001134B0" w:rsidRDefault="00F20488" w:rsidP="00F20488">
            <w:pPr>
              <w:pStyle w:val="TCTableBody"/>
              <w:rPr>
                <w:rFonts w:cs="Times"/>
                <w:sz w:val="20"/>
              </w:rPr>
            </w:pPr>
            <w:r w:rsidRPr="001134B0">
              <w:rPr>
                <w:rFonts w:cs="Times"/>
                <w:sz w:val="20"/>
              </w:rPr>
              <w:t>0.62</w:t>
            </w:r>
          </w:p>
        </w:tc>
        <w:tc>
          <w:tcPr>
            <w:tcW w:w="850" w:type="dxa"/>
            <w:shd w:val="clear" w:color="auto" w:fill="auto"/>
            <w:noWrap/>
            <w:vAlign w:val="bottom"/>
            <w:hideMark/>
          </w:tcPr>
          <w:p w14:paraId="24C48716" w14:textId="77777777" w:rsidR="00F20488" w:rsidRPr="001134B0" w:rsidRDefault="00F20488" w:rsidP="00F20488">
            <w:pPr>
              <w:pStyle w:val="TCTableBody"/>
              <w:rPr>
                <w:rFonts w:cs="Times"/>
                <w:sz w:val="20"/>
              </w:rPr>
            </w:pPr>
            <w:r w:rsidRPr="001134B0">
              <w:rPr>
                <w:rFonts w:cs="Times"/>
                <w:sz w:val="20"/>
              </w:rPr>
              <w:t>0.27</w:t>
            </w:r>
          </w:p>
        </w:tc>
        <w:tc>
          <w:tcPr>
            <w:tcW w:w="851" w:type="dxa"/>
            <w:shd w:val="clear" w:color="auto" w:fill="auto"/>
            <w:noWrap/>
            <w:vAlign w:val="bottom"/>
            <w:hideMark/>
          </w:tcPr>
          <w:p w14:paraId="227F2D76" w14:textId="77777777" w:rsidR="00F20488" w:rsidRPr="001134B0" w:rsidRDefault="00F20488" w:rsidP="00F20488">
            <w:pPr>
              <w:pStyle w:val="TCTableBody"/>
              <w:rPr>
                <w:rFonts w:cs="Times"/>
                <w:sz w:val="20"/>
              </w:rPr>
            </w:pPr>
            <w:r w:rsidRPr="001134B0">
              <w:rPr>
                <w:rFonts w:cs="Times"/>
                <w:sz w:val="20"/>
              </w:rPr>
              <w:t>0.68</w:t>
            </w:r>
          </w:p>
        </w:tc>
        <w:tc>
          <w:tcPr>
            <w:tcW w:w="1275" w:type="dxa"/>
            <w:shd w:val="clear" w:color="auto" w:fill="auto"/>
            <w:noWrap/>
            <w:vAlign w:val="bottom"/>
            <w:hideMark/>
          </w:tcPr>
          <w:p w14:paraId="03FFD2E0" w14:textId="77777777" w:rsidR="00F20488" w:rsidRPr="001134B0" w:rsidRDefault="00F20488" w:rsidP="00F20488">
            <w:pPr>
              <w:pStyle w:val="TCTableBody"/>
              <w:rPr>
                <w:rFonts w:cs="Times"/>
                <w:sz w:val="20"/>
              </w:rPr>
            </w:pPr>
            <w:r w:rsidRPr="001134B0">
              <w:rPr>
                <w:rFonts w:cs="Times"/>
                <w:sz w:val="20"/>
              </w:rPr>
              <w:t>0.61 ± 0.07</w:t>
            </w:r>
          </w:p>
        </w:tc>
        <w:tc>
          <w:tcPr>
            <w:tcW w:w="1276" w:type="dxa"/>
            <w:shd w:val="clear" w:color="auto" w:fill="auto"/>
            <w:noWrap/>
            <w:vAlign w:val="bottom"/>
            <w:hideMark/>
          </w:tcPr>
          <w:p w14:paraId="08498809" w14:textId="77777777" w:rsidR="00F20488" w:rsidRPr="001134B0" w:rsidRDefault="00F20488" w:rsidP="00F20488">
            <w:pPr>
              <w:pStyle w:val="TCTableBody"/>
              <w:rPr>
                <w:rFonts w:cs="Times"/>
                <w:sz w:val="20"/>
              </w:rPr>
            </w:pPr>
            <w:r w:rsidRPr="001134B0">
              <w:rPr>
                <w:rFonts w:cs="Times"/>
                <w:sz w:val="20"/>
              </w:rPr>
              <w:t>0.21 ± 0.11</w:t>
            </w:r>
          </w:p>
        </w:tc>
        <w:tc>
          <w:tcPr>
            <w:tcW w:w="1276" w:type="dxa"/>
            <w:shd w:val="clear" w:color="auto" w:fill="auto"/>
            <w:noWrap/>
            <w:vAlign w:val="bottom"/>
            <w:hideMark/>
          </w:tcPr>
          <w:p w14:paraId="07F47EA4" w14:textId="77777777" w:rsidR="00F20488" w:rsidRPr="001134B0" w:rsidRDefault="00F20488" w:rsidP="00F20488">
            <w:pPr>
              <w:pStyle w:val="TCTableBody"/>
              <w:rPr>
                <w:rFonts w:cs="Times"/>
                <w:sz w:val="20"/>
              </w:rPr>
            </w:pPr>
            <w:r w:rsidRPr="001134B0">
              <w:rPr>
                <w:rFonts w:cs="Times"/>
                <w:sz w:val="20"/>
              </w:rPr>
              <w:t>0.69 ± 0.08</w:t>
            </w:r>
          </w:p>
        </w:tc>
      </w:tr>
      <w:tr w:rsidR="00F20488" w:rsidRPr="001134B0" w14:paraId="3EE6AF44" w14:textId="77777777" w:rsidTr="00BA2CEA">
        <w:trPr>
          <w:trHeight w:val="300"/>
        </w:trPr>
        <w:tc>
          <w:tcPr>
            <w:tcW w:w="2263" w:type="dxa"/>
            <w:vMerge/>
            <w:vAlign w:val="center"/>
            <w:hideMark/>
          </w:tcPr>
          <w:p w14:paraId="40C4D368"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59EF1618" w14:textId="77777777" w:rsidR="00F20488" w:rsidRPr="001134B0" w:rsidRDefault="00F20488" w:rsidP="00F20488">
            <w:pPr>
              <w:pStyle w:val="TCTableBody"/>
              <w:rPr>
                <w:rFonts w:cs="Times"/>
                <w:sz w:val="20"/>
              </w:rPr>
            </w:pPr>
            <w:r w:rsidRPr="001134B0">
              <w:rPr>
                <w:rFonts w:cs="Times"/>
                <w:sz w:val="20"/>
              </w:rPr>
              <w:t>Morgan</w:t>
            </w:r>
          </w:p>
        </w:tc>
        <w:tc>
          <w:tcPr>
            <w:tcW w:w="851" w:type="dxa"/>
            <w:shd w:val="clear" w:color="auto" w:fill="auto"/>
            <w:noWrap/>
            <w:vAlign w:val="bottom"/>
            <w:hideMark/>
          </w:tcPr>
          <w:p w14:paraId="442F8457" w14:textId="77777777" w:rsidR="00F20488" w:rsidRPr="001134B0" w:rsidRDefault="00F20488" w:rsidP="00F20488">
            <w:pPr>
              <w:pStyle w:val="TCTableBody"/>
              <w:rPr>
                <w:rFonts w:cs="Times"/>
                <w:sz w:val="20"/>
              </w:rPr>
            </w:pPr>
            <w:r w:rsidRPr="001134B0">
              <w:rPr>
                <w:rFonts w:cs="Times"/>
                <w:sz w:val="20"/>
              </w:rPr>
              <w:t>0.52</w:t>
            </w:r>
          </w:p>
        </w:tc>
        <w:tc>
          <w:tcPr>
            <w:tcW w:w="850" w:type="dxa"/>
            <w:shd w:val="clear" w:color="auto" w:fill="auto"/>
            <w:noWrap/>
            <w:vAlign w:val="bottom"/>
            <w:hideMark/>
          </w:tcPr>
          <w:p w14:paraId="6DF4CD7A" w14:textId="77777777" w:rsidR="00F20488" w:rsidRPr="001134B0" w:rsidRDefault="00F20488" w:rsidP="00F20488">
            <w:pPr>
              <w:pStyle w:val="TCTableBody"/>
              <w:rPr>
                <w:rFonts w:cs="Times"/>
                <w:sz w:val="20"/>
              </w:rPr>
            </w:pPr>
            <w:r w:rsidRPr="001134B0">
              <w:rPr>
                <w:rFonts w:cs="Times"/>
                <w:sz w:val="20"/>
              </w:rPr>
              <w:t>0.04</w:t>
            </w:r>
          </w:p>
        </w:tc>
        <w:tc>
          <w:tcPr>
            <w:tcW w:w="851" w:type="dxa"/>
            <w:shd w:val="clear" w:color="auto" w:fill="auto"/>
            <w:noWrap/>
            <w:vAlign w:val="bottom"/>
            <w:hideMark/>
          </w:tcPr>
          <w:p w14:paraId="637BB349" w14:textId="77777777" w:rsidR="00F20488" w:rsidRPr="001134B0" w:rsidRDefault="00F20488" w:rsidP="00F20488">
            <w:pPr>
              <w:pStyle w:val="TCTableBody"/>
              <w:rPr>
                <w:rFonts w:cs="Times"/>
                <w:sz w:val="20"/>
              </w:rPr>
            </w:pPr>
            <w:r w:rsidRPr="001134B0">
              <w:rPr>
                <w:rFonts w:cs="Times"/>
                <w:sz w:val="20"/>
              </w:rPr>
              <w:t>0.6</w:t>
            </w:r>
          </w:p>
        </w:tc>
        <w:tc>
          <w:tcPr>
            <w:tcW w:w="1275" w:type="dxa"/>
            <w:shd w:val="clear" w:color="auto" w:fill="auto"/>
            <w:noWrap/>
            <w:vAlign w:val="bottom"/>
            <w:hideMark/>
          </w:tcPr>
          <w:p w14:paraId="1B99DC00" w14:textId="77777777" w:rsidR="00F20488" w:rsidRPr="001134B0" w:rsidRDefault="00F20488" w:rsidP="00F20488">
            <w:pPr>
              <w:pStyle w:val="TCTableBody"/>
              <w:rPr>
                <w:rFonts w:cs="Times"/>
                <w:sz w:val="20"/>
              </w:rPr>
            </w:pPr>
            <w:r w:rsidRPr="001134B0">
              <w:rPr>
                <w:rFonts w:cs="Times"/>
                <w:sz w:val="20"/>
              </w:rPr>
              <w:t>0.56 ± 0.04</w:t>
            </w:r>
          </w:p>
        </w:tc>
        <w:tc>
          <w:tcPr>
            <w:tcW w:w="1276" w:type="dxa"/>
            <w:shd w:val="clear" w:color="auto" w:fill="auto"/>
            <w:noWrap/>
            <w:vAlign w:val="bottom"/>
            <w:hideMark/>
          </w:tcPr>
          <w:p w14:paraId="7899B5BA" w14:textId="77777777" w:rsidR="00F20488" w:rsidRPr="001134B0" w:rsidRDefault="00F20488" w:rsidP="00F20488">
            <w:pPr>
              <w:pStyle w:val="TCTableBody"/>
              <w:rPr>
                <w:rFonts w:cs="Times"/>
                <w:sz w:val="20"/>
              </w:rPr>
            </w:pPr>
            <w:r w:rsidRPr="001134B0">
              <w:rPr>
                <w:rFonts w:cs="Times"/>
                <w:sz w:val="20"/>
              </w:rPr>
              <w:t>0.13 ± 0.1</w:t>
            </w:r>
          </w:p>
        </w:tc>
        <w:tc>
          <w:tcPr>
            <w:tcW w:w="1276" w:type="dxa"/>
            <w:shd w:val="clear" w:color="auto" w:fill="auto"/>
            <w:noWrap/>
            <w:vAlign w:val="bottom"/>
            <w:hideMark/>
          </w:tcPr>
          <w:p w14:paraId="3BDD9695" w14:textId="77777777" w:rsidR="00F20488" w:rsidRPr="001134B0" w:rsidRDefault="00F20488" w:rsidP="00F20488">
            <w:pPr>
              <w:pStyle w:val="TCTableBody"/>
              <w:rPr>
                <w:rFonts w:cs="Times"/>
                <w:sz w:val="20"/>
              </w:rPr>
            </w:pPr>
            <w:r w:rsidRPr="001134B0">
              <w:rPr>
                <w:rFonts w:cs="Times"/>
                <w:sz w:val="20"/>
              </w:rPr>
              <w:t>0.54 ± 0.08</w:t>
            </w:r>
          </w:p>
        </w:tc>
      </w:tr>
      <w:tr w:rsidR="00F20488" w:rsidRPr="001134B0" w14:paraId="1A4AB1B1" w14:textId="77777777" w:rsidTr="00BA2CEA">
        <w:trPr>
          <w:trHeight w:val="315"/>
        </w:trPr>
        <w:tc>
          <w:tcPr>
            <w:tcW w:w="2263" w:type="dxa"/>
            <w:vMerge/>
            <w:vAlign w:val="center"/>
            <w:hideMark/>
          </w:tcPr>
          <w:p w14:paraId="32DE9514" w14:textId="77777777" w:rsidR="00F20488" w:rsidRPr="001134B0" w:rsidRDefault="00F20488" w:rsidP="00F20488">
            <w:pPr>
              <w:pStyle w:val="TCTableBody"/>
              <w:rPr>
                <w:rFonts w:cs="Times"/>
                <w:sz w:val="20"/>
              </w:rPr>
            </w:pPr>
          </w:p>
        </w:tc>
        <w:tc>
          <w:tcPr>
            <w:tcW w:w="1276" w:type="dxa"/>
            <w:shd w:val="clear" w:color="auto" w:fill="auto"/>
            <w:noWrap/>
            <w:vAlign w:val="bottom"/>
            <w:hideMark/>
          </w:tcPr>
          <w:p w14:paraId="2009DDC9" w14:textId="77777777" w:rsidR="00F20488" w:rsidRPr="001134B0" w:rsidRDefault="00F20488" w:rsidP="00F20488">
            <w:pPr>
              <w:pStyle w:val="TCTableBody"/>
              <w:rPr>
                <w:rFonts w:cs="Times"/>
                <w:sz w:val="20"/>
              </w:rPr>
            </w:pPr>
            <w:proofErr w:type="spellStart"/>
            <w:r w:rsidRPr="001134B0">
              <w:rPr>
                <w:rFonts w:cs="Times"/>
                <w:sz w:val="20"/>
              </w:rPr>
              <w:t>Morgan+CP</w:t>
            </w:r>
            <w:proofErr w:type="spellEnd"/>
          </w:p>
        </w:tc>
        <w:tc>
          <w:tcPr>
            <w:tcW w:w="851" w:type="dxa"/>
            <w:shd w:val="clear" w:color="auto" w:fill="auto"/>
            <w:noWrap/>
            <w:vAlign w:val="bottom"/>
            <w:hideMark/>
          </w:tcPr>
          <w:p w14:paraId="358E205E" w14:textId="77777777" w:rsidR="00F20488" w:rsidRPr="001134B0" w:rsidRDefault="00F20488" w:rsidP="00F20488">
            <w:pPr>
              <w:pStyle w:val="TCTableBody"/>
              <w:rPr>
                <w:rFonts w:cs="Times"/>
                <w:sz w:val="20"/>
              </w:rPr>
            </w:pPr>
            <w:r w:rsidRPr="001134B0">
              <w:rPr>
                <w:rFonts w:cs="Times"/>
                <w:sz w:val="20"/>
              </w:rPr>
              <w:t>0.59</w:t>
            </w:r>
          </w:p>
        </w:tc>
        <w:tc>
          <w:tcPr>
            <w:tcW w:w="850" w:type="dxa"/>
            <w:shd w:val="clear" w:color="auto" w:fill="auto"/>
            <w:noWrap/>
            <w:vAlign w:val="bottom"/>
            <w:hideMark/>
          </w:tcPr>
          <w:p w14:paraId="287C8067" w14:textId="77777777" w:rsidR="00F20488" w:rsidRPr="001134B0" w:rsidRDefault="00F20488" w:rsidP="00F20488">
            <w:pPr>
              <w:pStyle w:val="TCTableBody"/>
              <w:rPr>
                <w:rFonts w:cs="Times"/>
                <w:sz w:val="20"/>
              </w:rPr>
            </w:pPr>
            <w:r w:rsidRPr="001134B0">
              <w:rPr>
                <w:rFonts w:cs="Times"/>
                <w:sz w:val="20"/>
              </w:rPr>
              <w:t>0.2</w:t>
            </w:r>
          </w:p>
        </w:tc>
        <w:tc>
          <w:tcPr>
            <w:tcW w:w="851" w:type="dxa"/>
            <w:shd w:val="clear" w:color="auto" w:fill="auto"/>
            <w:noWrap/>
            <w:vAlign w:val="bottom"/>
            <w:hideMark/>
          </w:tcPr>
          <w:p w14:paraId="4B56C97B" w14:textId="77777777" w:rsidR="00F20488" w:rsidRPr="001134B0" w:rsidRDefault="00F20488" w:rsidP="00F20488">
            <w:pPr>
              <w:pStyle w:val="TCTableBody"/>
              <w:rPr>
                <w:rFonts w:cs="Times"/>
                <w:sz w:val="20"/>
              </w:rPr>
            </w:pPr>
            <w:r w:rsidRPr="001134B0">
              <w:rPr>
                <w:rFonts w:cs="Times"/>
                <w:sz w:val="20"/>
              </w:rPr>
              <w:t>0.66</w:t>
            </w:r>
          </w:p>
        </w:tc>
        <w:tc>
          <w:tcPr>
            <w:tcW w:w="1275" w:type="dxa"/>
            <w:shd w:val="clear" w:color="auto" w:fill="auto"/>
            <w:noWrap/>
            <w:vAlign w:val="bottom"/>
            <w:hideMark/>
          </w:tcPr>
          <w:p w14:paraId="5B7C5A42" w14:textId="77777777" w:rsidR="00F20488" w:rsidRPr="001134B0" w:rsidRDefault="00F20488" w:rsidP="00F20488">
            <w:pPr>
              <w:pStyle w:val="TCTableBody"/>
              <w:rPr>
                <w:rFonts w:cs="Times"/>
                <w:sz w:val="20"/>
              </w:rPr>
            </w:pPr>
            <w:r w:rsidRPr="001134B0">
              <w:rPr>
                <w:rFonts w:cs="Times"/>
                <w:sz w:val="20"/>
              </w:rPr>
              <w:t>0.59 ± 0.06</w:t>
            </w:r>
          </w:p>
        </w:tc>
        <w:tc>
          <w:tcPr>
            <w:tcW w:w="1276" w:type="dxa"/>
            <w:shd w:val="clear" w:color="auto" w:fill="auto"/>
            <w:noWrap/>
            <w:vAlign w:val="bottom"/>
            <w:hideMark/>
          </w:tcPr>
          <w:p w14:paraId="4C9F895E" w14:textId="77777777" w:rsidR="00F20488" w:rsidRPr="001134B0" w:rsidRDefault="00F20488" w:rsidP="00F20488">
            <w:pPr>
              <w:pStyle w:val="TCTableBody"/>
              <w:rPr>
                <w:rFonts w:cs="Times"/>
                <w:sz w:val="20"/>
              </w:rPr>
            </w:pPr>
            <w:r w:rsidRPr="001134B0">
              <w:rPr>
                <w:rFonts w:cs="Times"/>
                <w:sz w:val="20"/>
              </w:rPr>
              <w:t>0.2 ± 0.12</w:t>
            </w:r>
          </w:p>
        </w:tc>
        <w:tc>
          <w:tcPr>
            <w:tcW w:w="1276" w:type="dxa"/>
            <w:shd w:val="clear" w:color="auto" w:fill="auto"/>
            <w:noWrap/>
            <w:vAlign w:val="bottom"/>
            <w:hideMark/>
          </w:tcPr>
          <w:p w14:paraId="1F65AA80" w14:textId="77777777" w:rsidR="00F20488" w:rsidRPr="001134B0" w:rsidRDefault="00F20488" w:rsidP="00F20488">
            <w:pPr>
              <w:pStyle w:val="TCTableBody"/>
              <w:rPr>
                <w:rFonts w:cs="Times"/>
                <w:sz w:val="20"/>
              </w:rPr>
            </w:pPr>
            <w:r w:rsidRPr="001134B0">
              <w:rPr>
                <w:rFonts w:cs="Times"/>
                <w:sz w:val="20"/>
              </w:rPr>
              <w:t>0.65 ± 0.07</w:t>
            </w:r>
          </w:p>
        </w:tc>
      </w:tr>
      <w:tr w:rsidR="009C5608" w:rsidRPr="001134B0" w14:paraId="04E9D1AA" w14:textId="77777777" w:rsidTr="00BA2CEA">
        <w:trPr>
          <w:trHeight w:val="315"/>
        </w:trPr>
        <w:tc>
          <w:tcPr>
            <w:tcW w:w="2263" w:type="dxa"/>
            <w:vMerge w:val="restart"/>
            <w:shd w:val="clear" w:color="auto" w:fill="auto"/>
            <w:noWrap/>
            <w:vAlign w:val="bottom"/>
            <w:hideMark/>
          </w:tcPr>
          <w:p w14:paraId="5677AE22" w14:textId="10B002B4" w:rsidR="009C5608" w:rsidRPr="001134B0" w:rsidRDefault="009C5608" w:rsidP="002849B9">
            <w:pPr>
              <w:pStyle w:val="TCTableBody"/>
              <w:rPr>
                <w:rFonts w:cs="Times"/>
                <w:sz w:val="20"/>
              </w:rPr>
            </w:pPr>
            <w:r>
              <w:rPr>
                <w:rFonts w:cs="Times"/>
                <w:sz w:val="20"/>
              </w:rPr>
              <w:t>Combined Endpoint</w:t>
            </w:r>
          </w:p>
        </w:tc>
        <w:tc>
          <w:tcPr>
            <w:tcW w:w="1276" w:type="dxa"/>
            <w:shd w:val="clear" w:color="auto" w:fill="auto"/>
            <w:noWrap/>
            <w:vAlign w:val="bottom"/>
            <w:hideMark/>
          </w:tcPr>
          <w:p w14:paraId="48602FC2" w14:textId="77777777" w:rsidR="009C5608" w:rsidRPr="001134B0" w:rsidRDefault="009C5608" w:rsidP="002849B9">
            <w:pPr>
              <w:pStyle w:val="TCTableBody"/>
              <w:rPr>
                <w:rFonts w:cs="Times"/>
                <w:sz w:val="20"/>
              </w:rPr>
            </w:pPr>
            <w:r w:rsidRPr="001134B0">
              <w:rPr>
                <w:rFonts w:cs="Times"/>
                <w:sz w:val="20"/>
              </w:rPr>
              <w:t>CP</w:t>
            </w:r>
          </w:p>
        </w:tc>
        <w:tc>
          <w:tcPr>
            <w:tcW w:w="851" w:type="dxa"/>
            <w:shd w:val="clear" w:color="auto" w:fill="auto"/>
            <w:noWrap/>
            <w:vAlign w:val="bottom"/>
          </w:tcPr>
          <w:p w14:paraId="2D15046A" w14:textId="1E3EDFC4" w:rsidR="009C5608" w:rsidRPr="001134B0" w:rsidRDefault="009039FE" w:rsidP="002849B9">
            <w:pPr>
              <w:pStyle w:val="TCTableBody"/>
              <w:rPr>
                <w:rFonts w:cs="Times"/>
                <w:sz w:val="20"/>
              </w:rPr>
            </w:pPr>
            <w:r>
              <w:rPr>
                <w:rFonts w:cs="Times"/>
                <w:sz w:val="20"/>
              </w:rPr>
              <w:t>0.61</w:t>
            </w:r>
          </w:p>
        </w:tc>
        <w:tc>
          <w:tcPr>
            <w:tcW w:w="850" w:type="dxa"/>
            <w:shd w:val="clear" w:color="auto" w:fill="auto"/>
            <w:noWrap/>
            <w:vAlign w:val="bottom"/>
          </w:tcPr>
          <w:p w14:paraId="1A570F4E" w14:textId="6DAEEB08" w:rsidR="009C5608" w:rsidRPr="001134B0" w:rsidRDefault="009039FE" w:rsidP="002849B9">
            <w:pPr>
              <w:pStyle w:val="TCTableBody"/>
              <w:rPr>
                <w:rFonts w:cs="Times"/>
                <w:sz w:val="20"/>
              </w:rPr>
            </w:pPr>
            <w:r>
              <w:rPr>
                <w:rFonts w:cs="Times"/>
                <w:sz w:val="20"/>
              </w:rPr>
              <w:t>0.22</w:t>
            </w:r>
          </w:p>
        </w:tc>
        <w:tc>
          <w:tcPr>
            <w:tcW w:w="851" w:type="dxa"/>
            <w:shd w:val="clear" w:color="auto" w:fill="auto"/>
            <w:noWrap/>
            <w:vAlign w:val="bottom"/>
          </w:tcPr>
          <w:p w14:paraId="18F2F10A" w14:textId="454ED8ED" w:rsidR="009C5608" w:rsidRPr="001134B0" w:rsidRDefault="009039FE" w:rsidP="002849B9">
            <w:pPr>
              <w:pStyle w:val="TCTableBody"/>
              <w:rPr>
                <w:rFonts w:cs="Times"/>
                <w:sz w:val="20"/>
              </w:rPr>
            </w:pPr>
            <w:r>
              <w:rPr>
                <w:rFonts w:cs="Times"/>
                <w:sz w:val="20"/>
              </w:rPr>
              <w:t>0.59</w:t>
            </w:r>
          </w:p>
        </w:tc>
        <w:tc>
          <w:tcPr>
            <w:tcW w:w="1275" w:type="dxa"/>
            <w:shd w:val="clear" w:color="auto" w:fill="auto"/>
            <w:noWrap/>
            <w:vAlign w:val="bottom"/>
          </w:tcPr>
          <w:p w14:paraId="3B15CDF9" w14:textId="4880CF5C" w:rsidR="009C5608" w:rsidRPr="001134B0" w:rsidRDefault="00C120E1" w:rsidP="002849B9">
            <w:pPr>
              <w:pStyle w:val="TCTableBody"/>
              <w:rPr>
                <w:rFonts w:cs="Times"/>
                <w:sz w:val="20"/>
              </w:rPr>
            </w:pPr>
            <w:r w:rsidRPr="008C4E0B">
              <w:rPr>
                <w:rFonts w:cs="Times"/>
                <w:sz w:val="20"/>
              </w:rPr>
              <w:t>0.56 ± 0.2</w:t>
            </w:r>
          </w:p>
        </w:tc>
        <w:tc>
          <w:tcPr>
            <w:tcW w:w="1276" w:type="dxa"/>
            <w:shd w:val="clear" w:color="auto" w:fill="auto"/>
            <w:noWrap/>
            <w:vAlign w:val="bottom"/>
          </w:tcPr>
          <w:p w14:paraId="4E8B8BEB" w14:textId="5B7B78AE" w:rsidR="009C5608" w:rsidRPr="001134B0" w:rsidRDefault="000D1E45" w:rsidP="002849B9">
            <w:pPr>
              <w:pStyle w:val="TCTableBody"/>
              <w:rPr>
                <w:rFonts w:cs="Times"/>
                <w:sz w:val="20"/>
              </w:rPr>
            </w:pPr>
            <w:r>
              <w:rPr>
                <w:rFonts w:cs="Times"/>
                <w:sz w:val="20"/>
              </w:rPr>
              <w:t xml:space="preserve">0.03 </w:t>
            </w:r>
            <w:r w:rsidRPr="001134B0">
              <w:rPr>
                <w:rFonts w:cs="Times"/>
                <w:sz w:val="20"/>
              </w:rPr>
              <w:t>±</w:t>
            </w:r>
            <w:r>
              <w:rPr>
                <w:rFonts w:cs="Times"/>
                <w:sz w:val="20"/>
              </w:rPr>
              <w:t xml:space="preserve"> 0.3</w:t>
            </w:r>
          </w:p>
        </w:tc>
        <w:tc>
          <w:tcPr>
            <w:tcW w:w="1276" w:type="dxa"/>
            <w:shd w:val="clear" w:color="auto" w:fill="auto"/>
            <w:noWrap/>
            <w:vAlign w:val="bottom"/>
          </w:tcPr>
          <w:p w14:paraId="5A8394A1" w14:textId="1A2F73BC" w:rsidR="009C5608" w:rsidRPr="001134B0" w:rsidRDefault="00494F4F" w:rsidP="002849B9">
            <w:pPr>
              <w:pStyle w:val="TCTableBody"/>
              <w:rPr>
                <w:rFonts w:cs="Times"/>
                <w:sz w:val="20"/>
              </w:rPr>
            </w:pPr>
            <w:r w:rsidRPr="005B0DFF">
              <w:rPr>
                <w:rFonts w:cs="Times"/>
                <w:sz w:val="20"/>
              </w:rPr>
              <w:t>0.59 ± 0.15</w:t>
            </w:r>
          </w:p>
        </w:tc>
      </w:tr>
      <w:tr w:rsidR="009C5608" w:rsidRPr="001134B0" w14:paraId="2167F617" w14:textId="77777777" w:rsidTr="00BA2CEA">
        <w:trPr>
          <w:trHeight w:val="315"/>
        </w:trPr>
        <w:tc>
          <w:tcPr>
            <w:tcW w:w="2263" w:type="dxa"/>
            <w:vMerge/>
            <w:vAlign w:val="center"/>
            <w:hideMark/>
          </w:tcPr>
          <w:p w14:paraId="191D0CD3" w14:textId="77777777" w:rsidR="009C5608" w:rsidRPr="001134B0" w:rsidRDefault="009C5608" w:rsidP="002849B9">
            <w:pPr>
              <w:pStyle w:val="TCTableBody"/>
              <w:rPr>
                <w:rFonts w:cs="Times"/>
                <w:sz w:val="20"/>
              </w:rPr>
            </w:pPr>
          </w:p>
        </w:tc>
        <w:tc>
          <w:tcPr>
            <w:tcW w:w="1276" w:type="dxa"/>
            <w:shd w:val="clear" w:color="auto" w:fill="auto"/>
            <w:noWrap/>
            <w:vAlign w:val="bottom"/>
            <w:hideMark/>
          </w:tcPr>
          <w:p w14:paraId="0A81B89F" w14:textId="77777777" w:rsidR="009C5608" w:rsidRPr="001134B0" w:rsidRDefault="009C5608" w:rsidP="002849B9">
            <w:pPr>
              <w:pStyle w:val="TCTableBody"/>
              <w:rPr>
                <w:rFonts w:cs="Times"/>
                <w:sz w:val="20"/>
              </w:rPr>
            </w:pPr>
            <w:proofErr w:type="spellStart"/>
            <w:r w:rsidRPr="001134B0">
              <w:rPr>
                <w:rFonts w:cs="Times"/>
                <w:sz w:val="20"/>
              </w:rPr>
              <w:t>ErG</w:t>
            </w:r>
            <w:proofErr w:type="spellEnd"/>
          </w:p>
        </w:tc>
        <w:tc>
          <w:tcPr>
            <w:tcW w:w="851" w:type="dxa"/>
            <w:shd w:val="clear" w:color="auto" w:fill="auto"/>
            <w:noWrap/>
            <w:vAlign w:val="bottom"/>
          </w:tcPr>
          <w:p w14:paraId="2D94678E" w14:textId="37DBAF56" w:rsidR="009C5608" w:rsidRPr="001134B0" w:rsidRDefault="009039FE" w:rsidP="002849B9">
            <w:pPr>
              <w:pStyle w:val="TCTableBody"/>
              <w:rPr>
                <w:rFonts w:cs="Times"/>
                <w:sz w:val="20"/>
              </w:rPr>
            </w:pPr>
            <w:r>
              <w:rPr>
                <w:rFonts w:cs="Times"/>
                <w:sz w:val="20"/>
              </w:rPr>
              <w:t>0.64</w:t>
            </w:r>
          </w:p>
        </w:tc>
        <w:tc>
          <w:tcPr>
            <w:tcW w:w="850" w:type="dxa"/>
            <w:shd w:val="clear" w:color="auto" w:fill="auto"/>
            <w:noWrap/>
            <w:vAlign w:val="bottom"/>
          </w:tcPr>
          <w:p w14:paraId="31558A7A" w14:textId="5F8CC476" w:rsidR="009C5608" w:rsidRPr="001134B0" w:rsidRDefault="009039FE" w:rsidP="002849B9">
            <w:pPr>
              <w:pStyle w:val="TCTableBody"/>
              <w:rPr>
                <w:rFonts w:cs="Times"/>
                <w:sz w:val="20"/>
              </w:rPr>
            </w:pPr>
            <w:r>
              <w:rPr>
                <w:rFonts w:cs="Times"/>
                <w:sz w:val="20"/>
              </w:rPr>
              <w:t>0.28</w:t>
            </w:r>
          </w:p>
        </w:tc>
        <w:tc>
          <w:tcPr>
            <w:tcW w:w="851" w:type="dxa"/>
            <w:shd w:val="clear" w:color="auto" w:fill="auto"/>
            <w:noWrap/>
            <w:vAlign w:val="bottom"/>
          </w:tcPr>
          <w:p w14:paraId="39AE46A2" w14:textId="5AAD1CAE" w:rsidR="009C5608" w:rsidRPr="001134B0" w:rsidRDefault="009039FE" w:rsidP="002849B9">
            <w:pPr>
              <w:pStyle w:val="TCTableBody"/>
              <w:rPr>
                <w:rFonts w:cs="Times"/>
                <w:sz w:val="20"/>
              </w:rPr>
            </w:pPr>
            <w:r>
              <w:rPr>
                <w:rFonts w:cs="Times"/>
                <w:sz w:val="20"/>
              </w:rPr>
              <w:t>0.68</w:t>
            </w:r>
          </w:p>
        </w:tc>
        <w:tc>
          <w:tcPr>
            <w:tcW w:w="1275" w:type="dxa"/>
            <w:shd w:val="clear" w:color="auto" w:fill="auto"/>
            <w:noWrap/>
            <w:vAlign w:val="bottom"/>
          </w:tcPr>
          <w:p w14:paraId="6DD8864C" w14:textId="2056B967" w:rsidR="009C5608" w:rsidRPr="001134B0" w:rsidRDefault="00C120E1" w:rsidP="002849B9">
            <w:pPr>
              <w:pStyle w:val="TCTableBody"/>
              <w:rPr>
                <w:rFonts w:cs="Times"/>
                <w:sz w:val="20"/>
              </w:rPr>
            </w:pPr>
            <w:r w:rsidRPr="008C4E0B">
              <w:rPr>
                <w:rFonts w:cs="Times"/>
                <w:sz w:val="20"/>
              </w:rPr>
              <w:t>0.61 ± 0.17</w:t>
            </w:r>
          </w:p>
        </w:tc>
        <w:tc>
          <w:tcPr>
            <w:tcW w:w="1276" w:type="dxa"/>
            <w:shd w:val="clear" w:color="auto" w:fill="auto"/>
            <w:noWrap/>
            <w:vAlign w:val="bottom"/>
          </w:tcPr>
          <w:p w14:paraId="26A4FC76" w14:textId="3FEB14B4" w:rsidR="009C5608" w:rsidRPr="001134B0" w:rsidRDefault="00494F4F" w:rsidP="002849B9">
            <w:pPr>
              <w:pStyle w:val="TCTableBody"/>
              <w:rPr>
                <w:rFonts w:cs="Times"/>
                <w:sz w:val="20"/>
              </w:rPr>
            </w:pPr>
            <w:r w:rsidRPr="00494F4F">
              <w:rPr>
                <w:rFonts w:cs="Times"/>
                <w:sz w:val="20"/>
              </w:rPr>
              <w:t>0.17 ± 0.23</w:t>
            </w:r>
          </w:p>
        </w:tc>
        <w:tc>
          <w:tcPr>
            <w:tcW w:w="1276" w:type="dxa"/>
            <w:shd w:val="clear" w:color="auto" w:fill="auto"/>
            <w:noWrap/>
            <w:vAlign w:val="bottom"/>
          </w:tcPr>
          <w:p w14:paraId="2275EF3F" w14:textId="12BB1C0C" w:rsidR="009C5608" w:rsidRPr="001134B0" w:rsidRDefault="005B0DFF" w:rsidP="002849B9">
            <w:pPr>
              <w:pStyle w:val="TCTableBody"/>
              <w:rPr>
                <w:rFonts w:cs="Times"/>
                <w:sz w:val="20"/>
              </w:rPr>
            </w:pPr>
            <w:r w:rsidRPr="005B0DFF">
              <w:rPr>
                <w:rFonts w:cs="Times"/>
                <w:sz w:val="20"/>
              </w:rPr>
              <w:t>0.64 ± 0.13</w:t>
            </w:r>
          </w:p>
        </w:tc>
      </w:tr>
      <w:tr w:rsidR="009C5608" w:rsidRPr="001134B0" w14:paraId="32E7C101" w14:textId="77777777" w:rsidTr="00BA2CEA">
        <w:trPr>
          <w:trHeight w:val="300"/>
        </w:trPr>
        <w:tc>
          <w:tcPr>
            <w:tcW w:w="2263" w:type="dxa"/>
            <w:vMerge/>
            <w:vAlign w:val="center"/>
            <w:hideMark/>
          </w:tcPr>
          <w:p w14:paraId="2C589EA8" w14:textId="77777777" w:rsidR="009C5608" w:rsidRPr="001134B0" w:rsidRDefault="009C5608" w:rsidP="002849B9">
            <w:pPr>
              <w:pStyle w:val="TCTableBody"/>
              <w:rPr>
                <w:rFonts w:cs="Times"/>
                <w:sz w:val="20"/>
              </w:rPr>
            </w:pPr>
          </w:p>
        </w:tc>
        <w:tc>
          <w:tcPr>
            <w:tcW w:w="1276" w:type="dxa"/>
            <w:shd w:val="clear" w:color="auto" w:fill="auto"/>
            <w:noWrap/>
            <w:vAlign w:val="bottom"/>
            <w:hideMark/>
          </w:tcPr>
          <w:p w14:paraId="5ECB65C0" w14:textId="77777777" w:rsidR="009C5608" w:rsidRPr="001134B0" w:rsidRDefault="009C5608" w:rsidP="002849B9">
            <w:pPr>
              <w:pStyle w:val="TCTableBody"/>
              <w:rPr>
                <w:rFonts w:cs="Times"/>
                <w:sz w:val="20"/>
              </w:rPr>
            </w:pPr>
            <w:proofErr w:type="spellStart"/>
            <w:r w:rsidRPr="001134B0">
              <w:rPr>
                <w:rFonts w:cs="Times"/>
                <w:sz w:val="20"/>
              </w:rPr>
              <w:t>ErG+CP</w:t>
            </w:r>
            <w:proofErr w:type="spellEnd"/>
          </w:p>
        </w:tc>
        <w:tc>
          <w:tcPr>
            <w:tcW w:w="851" w:type="dxa"/>
            <w:shd w:val="clear" w:color="auto" w:fill="auto"/>
            <w:noWrap/>
            <w:vAlign w:val="bottom"/>
          </w:tcPr>
          <w:p w14:paraId="3C0B64F8" w14:textId="191A1247" w:rsidR="009C5608" w:rsidRPr="001134B0" w:rsidRDefault="009039FE" w:rsidP="002849B9">
            <w:pPr>
              <w:pStyle w:val="TCTableBody"/>
              <w:rPr>
                <w:rFonts w:cs="Times"/>
                <w:sz w:val="20"/>
              </w:rPr>
            </w:pPr>
            <w:r>
              <w:rPr>
                <w:rFonts w:cs="Times"/>
                <w:sz w:val="20"/>
              </w:rPr>
              <w:t>0.61</w:t>
            </w:r>
          </w:p>
        </w:tc>
        <w:tc>
          <w:tcPr>
            <w:tcW w:w="850" w:type="dxa"/>
            <w:shd w:val="clear" w:color="auto" w:fill="auto"/>
            <w:noWrap/>
            <w:vAlign w:val="bottom"/>
          </w:tcPr>
          <w:p w14:paraId="1C2D5F5A" w14:textId="5CEAB050" w:rsidR="009C5608" w:rsidRPr="001134B0" w:rsidRDefault="009039FE" w:rsidP="002849B9">
            <w:pPr>
              <w:pStyle w:val="TCTableBody"/>
              <w:rPr>
                <w:rFonts w:cs="Times"/>
                <w:sz w:val="20"/>
              </w:rPr>
            </w:pPr>
            <w:r>
              <w:rPr>
                <w:rFonts w:cs="Times"/>
                <w:sz w:val="20"/>
              </w:rPr>
              <w:t>0.23</w:t>
            </w:r>
          </w:p>
        </w:tc>
        <w:tc>
          <w:tcPr>
            <w:tcW w:w="851" w:type="dxa"/>
            <w:shd w:val="clear" w:color="auto" w:fill="auto"/>
            <w:noWrap/>
            <w:vAlign w:val="bottom"/>
          </w:tcPr>
          <w:p w14:paraId="13AFD0B2" w14:textId="6D18B043" w:rsidR="009C5608" w:rsidRPr="001134B0" w:rsidRDefault="009039FE" w:rsidP="002849B9">
            <w:pPr>
              <w:pStyle w:val="TCTableBody"/>
              <w:rPr>
                <w:rFonts w:cs="Times"/>
                <w:sz w:val="20"/>
              </w:rPr>
            </w:pPr>
            <w:r>
              <w:rPr>
                <w:rFonts w:cs="Times"/>
                <w:sz w:val="20"/>
              </w:rPr>
              <w:t>0.63</w:t>
            </w:r>
          </w:p>
        </w:tc>
        <w:tc>
          <w:tcPr>
            <w:tcW w:w="1275" w:type="dxa"/>
            <w:shd w:val="clear" w:color="auto" w:fill="auto"/>
            <w:noWrap/>
            <w:vAlign w:val="bottom"/>
          </w:tcPr>
          <w:p w14:paraId="5AE5FDB3" w14:textId="405A4793" w:rsidR="009C5608" w:rsidRPr="001134B0" w:rsidRDefault="008C4E0B" w:rsidP="002849B9">
            <w:pPr>
              <w:pStyle w:val="TCTableBody"/>
              <w:rPr>
                <w:rFonts w:cs="Times"/>
                <w:sz w:val="20"/>
              </w:rPr>
            </w:pPr>
            <w:r w:rsidRPr="008C4E0B">
              <w:rPr>
                <w:rFonts w:cs="Times"/>
                <w:sz w:val="20"/>
              </w:rPr>
              <w:t>0.59 ± 0.15</w:t>
            </w:r>
          </w:p>
        </w:tc>
        <w:tc>
          <w:tcPr>
            <w:tcW w:w="1276" w:type="dxa"/>
            <w:shd w:val="clear" w:color="auto" w:fill="auto"/>
            <w:noWrap/>
            <w:vAlign w:val="bottom"/>
          </w:tcPr>
          <w:p w14:paraId="4442AF58" w14:textId="5C98F7BC" w:rsidR="009C5608" w:rsidRPr="001134B0" w:rsidRDefault="00494F4F" w:rsidP="00494F4F">
            <w:pPr>
              <w:pStyle w:val="TCTableBody"/>
              <w:pBdr>
                <w:top w:val="nil"/>
                <w:left w:val="nil"/>
                <w:bottom w:val="nil"/>
                <w:right w:val="nil"/>
                <w:between w:val="nil"/>
                <w:bar w:val="nil"/>
              </w:pBdr>
              <w:rPr>
                <w:rFonts w:cs="Times"/>
                <w:sz w:val="20"/>
              </w:rPr>
            </w:pPr>
            <w:r w:rsidRPr="00494F4F">
              <w:rPr>
                <w:rFonts w:cs="Times"/>
                <w:sz w:val="20"/>
              </w:rPr>
              <w:t>0.1 ± 0.2</w:t>
            </w:r>
          </w:p>
        </w:tc>
        <w:tc>
          <w:tcPr>
            <w:tcW w:w="1276" w:type="dxa"/>
            <w:shd w:val="clear" w:color="auto" w:fill="auto"/>
            <w:noWrap/>
            <w:vAlign w:val="bottom"/>
          </w:tcPr>
          <w:p w14:paraId="4D4D8B59" w14:textId="25283DD3" w:rsidR="009C5608" w:rsidRPr="001134B0" w:rsidRDefault="005B0DFF" w:rsidP="002849B9">
            <w:pPr>
              <w:pStyle w:val="TCTableBody"/>
              <w:rPr>
                <w:rFonts w:cs="Times"/>
                <w:sz w:val="20"/>
              </w:rPr>
            </w:pPr>
            <w:r w:rsidRPr="005B0DFF">
              <w:rPr>
                <w:rFonts w:cs="Times"/>
                <w:sz w:val="20"/>
              </w:rPr>
              <w:t>0.65 ± 0.14</w:t>
            </w:r>
          </w:p>
        </w:tc>
      </w:tr>
      <w:tr w:rsidR="009C5608" w:rsidRPr="001134B0" w14:paraId="66F81971" w14:textId="77777777" w:rsidTr="00BA2CEA">
        <w:trPr>
          <w:trHeight w:val="300"/>
        </w:trPr>
        <w:tc>
          <w:tcPr>
            <w:tcW w:w="2263" w:type="dxa"/>
            <w:vMerge/>
            <w:vAlign w:val="center"/>
            <w:hideMark/>
          </w:tcPr>
          <w:p w14:paraId="7FE41DE0" w14:textId="77777777" w:rsidR="009C5608" w:rsidRPr="001134B0" w:rsidRDefault="009C5608" w:rsidP="002849B9">
            <w:pPr>
              <w:pStyle w:val="TCTableBody"/>
              <w:rPr>
                <w:rFonts w:cs="Times"/>
                <w:sz w:val="20"/>
              </w:rPr>
            </w:pPr>
          </w:p>
        </w:tc>
        <w:tc>
          <w:tcPr>
            <w:tcW w:w="1276" w:type="dxa"/>
            <w:shd w:val="clear" w:color="auto" w:fill="auto"/>
            <w:noWrap/>
            <w:vAlign w:val="bottom"/>
            <w:hideMark/>
          </w:tcPr>
          <w:p w14:paraId="6D5B0465" w14:textId="77777777" w:rsidR="009C5608" w:rsidRPr="001134B0" w:rsidRDefault="009C5608" w:rsidP="002849B9">
            <w:pPr>
              <w:pStyle w:val="TCTableBody"/>
              <w:rPr>
                <w:rFonts w:cs="Times"/>
                <w:sz w:val="20"/>
              </w:rPr>
            </w:pPr>
            <w:r w:rsidRPr="001134B0">
              <w:rPr>
                <w:rFonts w:cs="Times"/>
                <w:sz w:val="20"/>
              </w:rPr>
              <w:t>Morgan</w:t>
            </w:r>
          </w:p>
        </w:tc>
        <w:tc>
          <w:tcPr>
            <w:tcW w:w="851" w:type="dxa"/>
            <w:shd w:val="clear" w:color="auto" w:fill="auto"/>
            <w:noWrap/>
            <w:vAlign w:val="bottom"/>
          </w:tcPr>
          <w:p w14:paraId="57C497CB" w14:textId="0C5995F9" w:rsidR="009C5608" w:rsidRPr="001134B0" w:rsidRDefault="009039FE" w:rsidP="002849B9">
            <w:pPr>
              <w:pStyle w:val="TCTableBody"/>
              <w:rPr>
                <w:rFonts w:cs="Times"/>
                <w:sz w:val="20"/>
              </w:rPr>
            </w:pPr>
            <w:r>
              <w:rPr>
                <w:rFonts w:cs="Times"/>
                <w:sz w:val="20"/>
              </w:rPr>
              <w:t>0.63</w:t>
            </w:r>
          </w:p>
        </w:tc>
        <w:tc>
          <w:tcPr>
            <w:tcW w:w="850" w:type="dxa"/>
            <w:shd w:val="clear" w:color="auto" w:fill="auto"/>
            <w:noWrap/>
            <w:vAlign w:val="bottom"/>
          </w:tcPr>
          <w:p w14:paraId="2C001F63" w14:textId="67036B41" w:rsidR="009C5608" w:rsidRPr="001134B0" w:rsidRDefault="009039FE" w:rsidP="002849B9">
            <w:pPr>
              <w:pStyle w:val="TCTableBody"/>
              <w:rPr>
                <w:rFonts w:cs="Times"/>
                <w:sz w:val="20"/>
              </w:rPr>
            </w:pPr>
            <w:r>
              <w:rPr>
                <w:rFonts w:cs="Times"/>
                <w:sz w:val="20"/>
              </w:rPr>
              <w:t>0.26</w:t>
            </w:r>
          </w:p>
        </w:tc>
        <w:tc>
          <w:tcPr>
            <w:tcW w:w="851" w:type="dxa"/>
            <w:shd w:val="clear" w:color="auto" w:fill="auto"/>
            <w:noWrap/>
            <w:vAlign w:val="bottom"/>
          </w:tcPr>
          <w:p w14:paraId="1BC0EE3C" w14:textId="3C34FE85" w:rsidR="009C5608" w:rsidRPr="001134B0" w:rsidRDefault="009039FE" w:rsidP="002849B9">
            <w:pPr>
              <w:pStyle w:val="TCTableBody"/>
              <w:rPr>
                <w:rFonts w:cs="Times"/>
                <w:sz w:val="20"/>
              </w:rPr>
            </w:pPr>
            <w:r>
              <w:rPr>
                <w:rFonts w:cs="Times"/>
                <w:sz w:val="20"/>
              </w:rPr>
              <w:t>0.67</w:t>
            </w:r>
          </w:p>
        </w:tc>
        <w:tc>
          <w:tcPr>
            <w:tcW w:w="1275" w:type="dxa"/>
            <w:shd w:val="clear" w:color="auto" w:fill="auto"/>
            <w:noWrap/>
            <w:vAlign w:val="bottom"/>
          </w:tcPr>
          <w:p w14:paraId="53804265" w14:textId="3254D33E" w:rsidR="009C5608" w:rsidRPr="001134B0" w:rsidRDefault="008C4E0B" w:rsidP="008C4E0B">
            <w:pPr>
              <w:pStyle w:val="TCTableBody"/>
              <w:pBdr>
                <w:top w:val="nil"/>
                <w:left w:val="nil"/>
                <w:bottom w:val="nil"/>
                <w:right w:val="nil"/>
                <w:between w:val="nil"/>
                <w:bar w:val="nil"/>
              </w:pBdr>
              <w:rPr>
                <w:rFonts w:cs="Times"/>
                <w:sz w:val="20"/>
              </w:rPr>
            </w:pPr>
            <w:r w:rsidRPr="008C4E0B">
              <w:rPr>
                <w:rFonts w:cs="Times"/>
                <w:sz w:val="20"/>
              </w:rPr>
              <w:t>0.53 ± 0.07</w:t>
            </w:r>
          </w:p>
        </w:tc>
        <w:tc>
          <w:tcPr>
            <w:tcW w:w="1276" w:type="dxa"/>
            <w:shd w:val="clear" w:color="auto" w:fill="auto"/>
            <w:noWrap/>
            <w:vAlign w:val="bottom"/>
          </w:tcPr>
          <w:p w14:paraId="7A800B48" w14:textId="03169FB2" w:rsidR="009C5608" w:rsidRPr="001134B0" w:rsidRDefault="00494F4F" w:rsidP="008C4E0B">
            <w:pPr>
              <w:pStyle w:val="TCTableBody"/>
              <w:pBdr>
                <w:top w:val="nil"/>
                <w:left w:val="nil"/>
                <w:bottom w:val="nil"/>
                <w:right w:val="nil"/>
                <w:between w:val="nil"/>
                <w:bar w:val="nil"/>
              </w:pBdr>
              <w:rPr>
                <w:rFonts w:cs="Times"/>
                <w:sz w:val="20"/>
              </w:rPr>
            </w:pPr>
            <w:r w:rsidRPr="00494F4F">
              <w:rPr>
                <w:rFonts w:cs="Times"/>
                <w:sz w:val="20"/>
              </w:rPr>
              <w:t>0.05 ± 0.11</w:t>
            </w:r>
          </w:p>
        </w:tc>
        <w:tc>
          <w:tcPr>
            <w:tcW w:w="1276" w:type="dxa"/>
            <w:shd w:val="clear" w:color="auto" w:fill="auto"/>
            <w:noWrap/>
            <w:vAlign w:val="bottom"/>
          </w:tcPr>
          <w:p w14:paraId="1D3DCD42" w14:textId="726E0508" w:rsidR="009C5608" w:rsidRPr="001134B0" w:rsidRDefault="005B0DFF" w:rsidP="002849B9">
            <w:pPr>
              <w:pStyle w:val="TCTableBody"/>
              <w:rPr>
                <w:rFonts w:cs="Times"/>
                <w:sz w:val="20"/>
              </w:rPr>
            </w:pPr>
            <w:r w:rsidRPr="005B0DFF">
              <w:rPr>
                <w:rFonts w:cs="Times"/>
                <w:sz w:val="20"/>
              </w:rPr>
              <w:t>0.61 ± 0.06</w:t>
            </w:r>
          </w:p>
        </w:tc>
      </w:tr>
      <w:tr w:rsidR="009C5608" w:rsidRPr="001134B0" w14:paraId="5C506020" w14:textId="77777777" w:rsidTr="00BA2CEA">
        <w:trPr>
          <w:trHeight w:val="315"/>
        </w:trPr>
        <w:tc>
          <w:tcPr>
            <w:tcW w:w="2263" w:type="dxa"/>
            <w:vMerge/>
            <w:vAlign w:val="center"/>
            <w:hideMark/>
          </w:tcPr>
          <w:p w14:paraId="56F4F44B" w14:textId="77777777" w:rsidR="009C5608" w:rsidRPr="001134B0" w:rsidRDefault="009C5608" w:rsidP="002849B9">
            <w:pPr>
              <w:pStyle w:val="TCTableBody"/>
              <w:rPr>
                <w:rFonts w:cs="Times"/>
                <w:sz w:val="20"/>
              </w:rPr>
            </w:pPr>
          </w:p>
        </w:tc>
        <w:tc>
          <w:tcPr>
            <w:tcW w:w="1276" w:type="dxa"/>
            <w:shd w:val="clear" w:color="auto" w:fill="auto"/>
            <w:noWrap/>
            <w:vAlign w:val="bottom"/>
            <w:hideMark/>
          </w:tcPr>
          <w:p w14:paraId="0E4CBED6" w14:textId="77777777" w:rsidR="009C5608" w:rsidRPr="001134B0" w:rsidRDefault="009C5608" w:rsidP="002849B9">
            <w:pPr>
              <w:pStyle w:val="TCTableBody"/>
              <w:rPr>
                <w:rFonts w:cs="Times"/>
                <w:sz w:val="20"/>
              </w:rPr>
            </w:pPr>
            <w:proofErr w:type="spellStart"/>
            <w:r w:rsidRPr="001134B0">
              <w:rPr>
                <w:rFonts w:cs="Times"/>
                <w:sz w:val="20"/>
              </w:rPr>
              <w:t>Morgan+CP</w:t>
            </w:r>
            <w:proofErr w:type="spellEnd"/>
          </w:p>
        </w:tc>
        <w:tc>
          <w:tcPr>
            <w:tcW w:w="851" w:type="dxa"/>
            <w:shd w:val="clear" w:color="auto" w:fill="auto"/>
            <w:noWrap/>
            <w:vAlign w:val="bottom"/>
          </w:tcPr>
          <w:p w14:paraId="3141C633" w14:textId="382BC4B7" w:rsidR="009C5608" w:rsidRPr="001134B0" w:rsidRDefault="009039FE" w:rsidP="002849B9">
            <w:pPr>
              <w:pStyle w:val="TCTableBody"/>
              <w:rPr>
                <w:rFonts w:cs="Times"/>
                <w:sz w:val="20"/>
              </w:rPr>
            </w:pPr>
            <w:r>
              <w:rPr>
                <w:rFonts w:cs="Times"/>
                <w:sz w:val="20"/>
              </w:rPr>
              <w:t>0.61</w:t>
            </w:r>
          </w:p>
        </w:tc>
        <w:tc>
          <w:tcPr>
            <w:tcW w:w="850" w:type="dxa"/>
            <w:shd w:val="clear" w:color="auto" w:fill="auto"/>
            <w:noWrap/>
            <w:vAlign w:val="bottom"/>
          </w:tcPr>
          <w:p w14:paraId="435D5DAE" w14:textId="4FC51E22" w:rsidR="009C5608" w:rsidRPr="001134B0" w:rsidRDefault="009039FE" w:rsidP="002849B9">
            <w:pPr>
              <w:pStyle w:val="TCTableBody"/>
              <w:rPr>
                <w:rFonts w:cs="Times"/>
                <w:sz w:val="20"/>
              </w:rPr>
            </w:pPr>
            <w:r>
              <w:rPr>
                <w:rFonts w:cs="Times"/>
                <w:sz w:val="20"/>
              </w:rPr>
              <w:t>0.23</w:t>
            </w:r>
          </w:p>
        </w:tc>
        <w:tc>
          <w:tcPr>
            <w:tcW w:w="851" w:type="dxa"/>
            <w:shd w:val="clear" w:color="auto" w:fill="auto"/>
            <w:noWrap/>
            <w:vAlign w:val="bottom"/>
          </w:tcPr>
          <w:p w14:paraId="6FDFBD2A" w14:textId="38E97D7F" w:rsidR="009C5608" w:rsidRPr="001134B0" w:rsidRDefault="009039FE" w:rsidP="002849B9">
            <w:pPr>
              <w:pStyle w:val="TCTableBody"/>
              <w:rPr>
                <w:rFonts w:cs="Times"/>
                <w:sz w:val="20"/>
              </w:rPr>
            </w:pPr>
            <w:r>
              <w:rPr>
                <w:rFonts w:cs="Times"/>
                <w:sz w:val="20"/>
              </w:rPr>
              <w:t>0.61</w:t>
            </w:r>
          </w:p>
        </w:tc>
        <w:tc>
          <w:tcPr>
            <w:tcW w:w="1275" w:type="dxa"/>
            <w:shd w:val="clear" w:color="auto" w:fill="auto"/>
            <w:noWrap/>
            <w:vAlign w:val="bottom"/>
          </w:tcPr>
          <w:p w14:paraId="7568F61B" w14:textId="4DF22D6A" w:rsidR="009C5608" w:rsidRPr="001134B0" w:rsidRDefault="008C4E0B" w:rsidP="002849B9">
            <w:pPr>
              <w:pStyle w:val="TCTableBody"/>
              <w:rPr>
                <w:rFonts w:cs="Times"/>
                <w:sz w:val="20"/>
              </w:rPr>
            </w:pPr>
            <w:r w:rsidRPr="008C4E0B">
              <w:rPr>
                <w:rFonts w:cs="Times"/>
                <w:sz w:val="20"/>
              </w:rPr>
              <w:t>0.61 ± 0.18</w:t>
            </w:r>
          </w:p>
        </w:tc>
        <w:tc>
          <w:tcPr>
            <w:tcW w:w="1276" w:type="dxa"/>
            <w:shd w:val="clear" w:color="auto" w:fill="auto"/>
            <w:noWrap/>
            <w:vAlign w:val="bottom"/>
          </w:tcPr>
          <w:p w14:paraId="56B661C5" w14:textId="4F3C7509" w:rsidR="009C5608" w:rsidRPr="001134B0" w:rsidRDefault="00494F4F" w:rsidP="002849B9">
            <w:pPr>
              <w:pStyle w:val="TCTableBody"/>
              <w:rPr>
                <w:rFonts w:cs="Times"/>
                <w:sz w:val="20"/>
              </w:rPr>
            </w:pPr>
            <w:r w:rsidRPr="00494F4F">
              <w:rPr>
                <w:rFonts w:cs="Times"/>
                <w:sz w:val="20"/>
              </w:rPr>
              <w:t>0.12 ± 0.27</w:t>
            </w:r>
          </w:p>
        </w:tc>
        <w:tc>
          <w:tcPr>
            <w:tcW w:w="1276" w:type="dxa"/>
            <w:shd w:val="clear" w:color="auto" w:fill="auto"/>
            <w:noWrap/>
            <w:vAlign w:val="bottom"/>
          </w:tcPr>
          <w:p w14:paraId="2DD19510" w14:textId="597444DA" w:rsidR="009C5608" w:rsidRPr="001134B0" w:rsidRDefault="005B0DFF" w:rsidP="002849B9">
            <w:pPr>
              <w:pStyle w:val="TCTableBody"/>
              <w:rPr>
                <w:rFonts w:cs="Times"/>
                <w:sz w:val="20"/>
              </w:rPr>
            </w:pPr>
            <w:r w:rsidRPr="005B0DFF">
              <w:rPr>
                <w:rFonts w:cs="Times"/>
                <w:sz w:val="20"/>
              </w:rPr>
              <w:t>0.63 ± 0.13</w:t>
            </w:r>
          </w:p>
        </w:tc>
      </w:tr>
    </w:tbl>
    <w:p w14:paraId="7E77EF30" w14:textId="37913E2D" w:rsidR="00784C8A" w:rsidRPr="001134B0" w:rsidRDefault="00F127F4" w:rsidP="005227B4">
      <w:pPr>
        <w:pStyle w:val="VDTableTitle"/>
        <w:rPr>
          <w:rFonts w:cs="Times"/>
        </w:rPr>
      </w:pPr>
      <w:r w:rsidRPr="001134B0">
        <w:rPr>
          <w:rFonts w:cs="Times"/>
        </w:rPr>
        <w:br w:type="page"/>
      </w:r>
      <w:r w:rsidR="00585E28" w:rsidRPr="001134B0">
        <w:rPr>
          <w:rFonts w:cs="Times"/>
        </w:rPr>
        <w:lastRenderedPageBreak/>
        <w:t>Table 3.</w:t>
      </w:r>
      <w:r w:rsidR="00784C8A" w:rsidRPr="001134B0">
        <w:rPr>
          <w:rFonts w:cs="Times"/>
        </w:rPr>
        <w:t xml:space="preserve"> Differences in cluster-averaged performance on using different fingerprints compared with the models trained and tested on the same data but using the comparison descriptor set. The p-value is calculated using a two-sided test for the null hypothesis that </w:t>
      </w:r>
      <w:r w:rsidR="002B3D91">
        <w:rPr>
          <w:rFonts w:cs="Times"/>
        </w:rPr>
        <w:t>two</w:t>
      </w:r>
      <w:r w:rsidR="00784C8A" w:rsidRPr="001134B0">
        <w:rPr>
          <w:rFonts w:cs="Times"/>
        </w:rPr>
        <w:t xml:space="preserve"> related or repeated samples have identical average (expected) values.</w:t>
      </w:r>
      <w:r w:rsidR="00F57EC2">
        <w:rPr>
          <w:rFonts w:cs="Times"/>
        </w:rPr>
        <w:t xml:space="preserve"> CP: Cell Painting</w:t>
      </w:r>
    </w:p>
    <w:tbl>
      <w:tblPr>
        <w:tblStyle w:val="TableGridLight"/>
        <w:tblW w:w="10251" w:type="dxa"/>
        <w:tblLayout w:type="fixed"/>
        <w:tblLook w:val="04A0" w:firstRow="1" w:lastRow="0" w:firstColumn="1" w:lastColumn="0" w:noHBand="0" w:noVBand="1"/>
      </w:tblPr>
      <w:tblGrid>
        <w:gridCol w:w="1888"/>
        <w:gridCol w:w="992"/>
        <w:gridCol w:w="1276"/>
        <w:gridCol w:w="1275"/>
        <w:gridCol w:w="1276"/>
        <w:gridCol w:w="1559"/>
        <w:gridCol w:w="1134"/>
        <w:gridCol w:w="851"/>
      </w:tblGrid>
      <w:tr w:rsidR="00EB1BB7" w:rsidRPr="001134B0" w14:paraId="4855D2A3" w14:textId="77777777" w:rsidTr="00E332F1">
        <w:trPr>
          <w:trHeight w:val="300"/>
        </w:trPr>
        <w:tc>
          <w:tcPr>
            <w:tcW w:w="1888" w:type="dxa"/>
            <w:vMerge w:val="restart"/>
            <w:hideMark/>
          </w:tcPr>
          <w:p w14:paraId="5063B195" w14:textId="77777777" w:rsidR="00EB1BB7" w:rsidRPr="001134B0" w:rsidRDefault="00EB1BB7" w:rsidP="00E332F1">
            <w:pPr>
              <w:pStyle w:val="TCTableBody"/>
              <w:rPr>
                <w:rFonts w:cs="Times"/>
                <w:b/>
                <w:bCs/>
                <w:sz w:val="20"/>
              </w:rPr>
            </w:pPr>
            <w:r w:rsidRPr="001134B0">
              <w:rPr>
                <w:rFonts w:cs="Times"/>
                <w:b/>
                <w:bCs/>
                <w:sz w:val="20"/>
              </w:rPr>
              <w:t>Target</w:t>
            </w:r>
          </w:p>
        </w:tc>
        <w:tc>
          <w:tcPr>
            <w:tcW w:w="992" w:type="dxa"/>
            <w:vMerge w:val="restart"/>
            <w:hideMark/>
          </w:tcPr>
          <w:p w14:paraId="1BA07713" w14:textId="77777777" w:rsidR="00EB1BB7" w:rsidRPr="001134B0" w:rsidRDefault="00EB1BB7" w:rsidP="00E332F1">
            <w:pPr>
              <w:pStyle w:val="TCTableBody"/>
              <w:rPr>
                <w:rFonts w:cs="Times"/>
                <w:b/>
                <w:bCs/>
                <w:sz w:val="20"/>
              </w:rPr>
            </w:pPr>
            <w:r w:rsidRPr="001134B0">
              <w:rPr>
                <w:rFonts w:cs="Times"/>
                <w:b/>
                <w:bCs/>
                <w:sz w:val="20"/>
              </w:rPr>
              <w:t>Metric</w:t>
            </w:r>
          </w:p>
        </w:tc>
        <w:tc>
          <w:tcPr>
            <w:tcW w:w="1276" w:type="dxa"/>
            <w:vMerge w:val="restart"/>
            <w:hideMark/>
          </w:tcPr>
          <w:p w14:paraId="7604D47D" w14:textId="77777777" w:rsidR="00EB1BB7" w:rsidRPr="001134B0" w:rsidRDefault="00EB1BB7" w:rsidP="00E332F1">
            <w:pPr>
              <w:pStyle w:val="TCTableBody"/>
              <w:rPr>
                <w:rFonts w:cs="Times"/>
                <w:b/>
                <w:bCs/>
                <w:sz w:val="20"/>
              </w:rPr>
            </w:pPr>
            <w:r w:rsidRPr="001134B0">
              <w:rPr>
                <w:rFonts w:cs="Times"/>
                <w:b/>
                <w:bCs/>
                <w:sz w:val="20"/>
              </w:rPr>
              <w:t>Fingerprint</w:t>
            </w:r>
          </w:p>
        </w:tc>
        <w:tc>
          <w:tcPr>
            <w:tcW w:w="1275" w:type="dxa"/>
            <w:vMerge w:val="restart"/>
            <w:hideMark/>
          </w:tcPr>
          <w:p w14:paraId="3258AF47" w14:textId="40D4E2C1" w:rsidR="00EB1BB7" w:rsidRPr="001134B0" w:rsidRDefault="00EB1BB7" w:rsidP="00E332F1">
            <w:pPr>
              <w:pStyle w:val="TCTableBody"/>
              <w:rPr>
                <w:rFonts w:cs="Times"/>
                <w:b/>
                <w:bCs/>
                <w:sz w:val="20"/>
              </w:rPr>
            </w:pPr>
            <w:r w:rsidRPr="001134B0">
              <w:rPr>
                <w:rFonts w:cs="Times"/>
                <w:b/>
                <w:bCs/>
                <w:sz w:val="20"/>
              </w:rPr>
              <w:t>Metric using fingerprint</w:t>
            </w:r>
          </w:p>
        </w:tc>
        <w:tc>
          <w:tcPr>
            <w:tcW w:w="1276" w:type="dxa"/>
            <w:vMerge w:val="restart"/>
            <w:hideMark/>
          </w:tcPr>
          <w:p w14:paraId="0F4917FA" w14:textId="77777777" w:rsidR="00EB1BB7" w:rsidRPr="001134B0" w:rsidRDefault="00EB1BB7" w:rsidP="00E332F1">
            <w:pPr>
              <w:pStyle w:val="TCTableBody"/>
              <w:rPr>
                <w:rFonts w:cs="Times"/>
                <w:b/>
                <w:bCs/>
                <w:sz w:val="20"/>
              </w:rPr>
            </w:pPr>
            <w:r w:rsidRPr="001134B0">
              <w:rPr>
                <w:rFonts w:cs="Times"/>
                <w:b/>
                <w:bCs/>
                <w:sz w:val="20"/>
              </w:rPr>
              <w:t>Comparison Fingerprint</w:t>
            </w:r>
          </w:p>
        </w:tc>
        <w:tc>
          <w:tcPr>
            <w:tcW w:w="1559" w:type="dxa"/>
            <w:vMerge w:val="restart"/>
            <w:hideMark/>
          </w:tcPr>
          <w:p w14:paraId="02299BDB" w14:textId="420BD670" w:rsidR="00EB1BB7" w:rsidRPr="001134B0" w:rsidRDefault="00EB1BB7" w:rsidP="00E332F1">
            <w:pPr>
              <w:pStyle w:val="TCTableBody"/>
              <w:rPr>
                <w:rFonts w:cs="Times"/>
                <w:b/>
                <w:bCs/>
                <w:sz w:val="20"/>
              </w:rPr>
            </w:pPr>
            <w:r w:rsidRPr="001134B0">
              <w:rPr>
                <w:rFonts w:cs="Times"/>
                <w:b/>
                <w:bCs/>
                <w:sz w:val="20"/>
              </w:rPr>
              <w:t>Metric using comparison fingerprint</w:t>
            </w:r>
          </w:p>
        </w:tc>
        <w:tc>
          <w:tcPr>
            <w:tcW w:w="1985" w:type="dxa"/>
            <w:gridSpan w:val="2"/>
            <w:hideMark/>
          </w:tcPr>
          <w:p w14:paraId="114CBF5B" w14:textId="77777777" w:rsidR="00EB1BB7" w:rsidRPr="001134B0" w:rsidRDefault="00EB1BB7" w:rsidP="00E332F1">
            <w:pPr>
              <w:pStyle w:val="TCTableBody"/>
              <w:rPr>
                <w:rFonts w:cs="Times"/>
                <w:b/>
                <w:bCs/>
                <w:sz w:val="20"/>
              </w:rPr>
            </w:pPr>
            <w:r w:rsidRPr="001134B0">
              <w:rPr>
                <w:rFonts w:cs="Times"/>
                <w:b/>
                <w:bCs/>
                <w:sz w:val="20"/>
              </w:rPr>
              <w:t>T-test</w:t>
            </w:r>
          </w:p>
        </w:tc>
      </w:tr>
      <w:tr w:rsidR="00EB1BB7" w:rsidRPr="001134B0" w14:paraId="2ACE6BC5" w14:textId="77777777" w:rsidTr="00E332F1">
        <w:trPr>
          <w:trHeight w:val="300"/>
        </w:trPr>
        <w:tc>
          <w:tcPr>
            <w:tcW w:w="1888" w:type="dxa"/>
            <w:vMerge/>
            <w:hideMark/>
          </w:tcPr>
          <w:p w14:paraId="1F7E9A1F" w14:textId="77777777" w:rsidR="00EB1BB7" w:rsidRPr="001134B0" w:rsidRDefault="00EB1BB7" w:rsidP="00E332F1">
            <w:pPr>
              <w:pStyle w:val="TCTableBody"/>
              <w:rPr>
                <w:rFonts w:cs="Times"/>
                <w:b/>
                <w:bCs/>
                <w:sz w:val="20"/>
              </w:rPr>
            </w:pPr>
          </w:p>
        </w:tc>
        <w:tc>
          <w:tcPr>
            <w:tcW w:w="992" w:type="dxa"/>
            <w:vMerge/>
            <w:hideMark/>
          </w:tcPr>
          <w:p w14:paraId="56EB681C" w14:textId="77777777" w:rsidR="00EB1BB7" w:rsidRPr="001134B0" w:rsidRDefault="00EB1BB7" w:rsidP="00E332F1">
            <w:pPr>
              <w:pStyle w:val="TCTableBody"/>
              <w:rPr>
                <w:rFonts w:cs="Times"/>
                <w:b/>
                <w:bCs/>
                <w:sz w:val="20"/>
              </w:rPr>
            </w:pPr>
          </w:p>
        </w:tc>
        <w:tc>
          <w:tcPr>
            <w:tcW w:w="1276" w:type="dxa"/>
            <w:vMerge/>
            <w:hideMark/>
          </w:tcPr>
          <w:p w14:paraId="2005D3A3" w14:textId="77777777" w:rsidR="00EB1BB7" w:rsidRPr="001134B0" w:rsidRDefault="00EB1BB7" w:rsidP="00E332F1">
            <w:pPr>
              <w:pStyle w:val="TCTableBody"/>
              <w:rPr>
                <w:rFonts w:cs="Times"/>
                <w:b/>
                <w:bCs/>
                <w:sz w:val="20"/>
              </w:rPr>
            </w:pPr>
          </w:p>
        </w:tc>
        <w:tc>
          <w:tcPr>
            <w:tcW w:w="1275" w:type="dxa"/>
            <w:vMerge/>
            <w:hideMark/>
          </w:tcPr>
          <w:p w14:paraId="1A94E969" w14:textId="77777777" w:rsidR="00EB1BB7" w:rsidRPr="001134B0" w:rsidRDefault="00EB1BB7" w:rsidP="00E332F1">
            <w:pPr>
              <w:pStyle w:val="TCTableBody"/>
              <w:rPr>
                <w:rFonts w:cs="Times"/>
                <w:b/>
                <w:bCs/>
                <w:sz w:val="20"/>
              </w:rPr>
            </w:pPr>
          </w:p>
        </w:tc>
        <w:tc>
          <w:tcPr>
            <w:tcW w:w="1276" w:type="dxa"/>
            <w:vMerge/>
            <w:hideMark/>
          </w:tcPr>
          <w:p w14:paraId="5DCB28C6" w14:textId="77777777" w:rsidR="00EB1BB7" w:rsidRPr="001134B0" w:rsidRDefault="00EB1BB7" w:rsidP="00E332F1">
            <w:pPr>
              <w:pStyle w:val="TCTableBody"/>
              <w:rPr>
                <w:rFonts w:cs="Times"/>
                <w:b/>
                <w:bCs/>
                <w:sz w:val="20"/>
              </w:rPr>
            </w:pPr>
          </w:p>
        </w:tc>
        <w:tc>
          <w:tcPr>
            <w:tcW w:w="1559" w:type="dxa"/>
            <w:vMerge/>
            <w:hideMark/>
          </w:tcPr>
          <w:p w14:paraId="55E826A5" w14:textId="77777777" w:rsidR="00EB1BB7" w:rsidRPr="001134B0" w:rsidRDefault="00EB1BB7" w:rsidP="00E332F1">
            <w:pPr>
              <w:pStyle w:val="TCTableBody"/>
              <w:rPr>
                <w:rFonts w:cs="Times"/>
                <w:b/>
                <w:bCs/>
                <w:sz w:val="20"/>
              </w:rPr>
            </w:pPr>
          </w:p>
        </w:tc>
        <w:tc>
          <w:tcPr>
            <w:tcW w:w="1134" w:type="dxa"/>
            <w:hideMark/>
          </w:tcPr>
          <w:p w14:paraId="461F654D" w14:textId="77777777" w:rsidR="00EB1BB7" w:rsidRPr="001134B0" w:rsidRDefault="00EB1BB7" w:rsidP="00E332F1">
            <w:pPr>
              <w:pStyle w:val="TCTableBody"/>
              <w:rPr>
                <w:rFonts w:cs="Times"/>
                <w:b/>
                <w:bCs/>
                <w:sz w:val="20"/>
              </w:rPr>
            </w:pPr>
            <w:r w:rsidRPr="001134B0">
              <w:rPr>
                <w:rFonts w:cs="Times"/>
                <w:b/>
                <w:bCs/>
                <w:sz w:val="20"/>
              </w:rPr>
              <w:t>T-statistic value</w:t>
            </w:r>
          </w:p>
        </w:tc>
        <w:tc>
          <w:tcPr>
            <w:tcW w:w="851" w:type="dxa"/>
            <w:hideMark/>
          </w:tcPr>
          <w:p w14:paraId="3D7E2140" w14:textId="5B2E55BC" w:rsidR="00EB1BB7" w:rsidRPr="001134B0" w:rsidRDefault="002B3D91" w:rsidP="00E332F1">
            <w:pPr>
              <w:pStyle w:val="TCTableBody"/>
              <w:rPr>
                <w:rFonts w:cs="Times"/>
                <w:b/>
                <w:bCs/>
                <w:sz w:val="20"/>
              </w:rPr>
            </w:pPr>
            <w:r>
              <w:rPr>
                <w:rFonts w:cs="Times"/>
                <w:b/>
                <w:bCs/>
                <w:sz w:val="20"/>
              </w:rPr>
              <w:t>p</w:t>
            </w:r>
            <w:r w:rsidR="00EB1BB7" w:rsidRPr="001134B0">
              <w:rPr>
                <w:rFonts w:cs="Times"/>
                <w:b/>
                <w:bCs/>
                <w:sz w:val="20"/>
              </w:rPr>
              <w:t>-value</w:t>
            </w:r>
          </w:p>
        </w:tc>
      </w:tr>
      <w:tr w:rsidR="00EB1BB7" w:rsidRPr="001134B0" w14:paraId="1673CEF4" w14:textId="77777777" w:rsidTr="00E332F1">
        <w:trPr>
          <w:trHeight w:val="300"/>
        </w:trPr>
        <w:tc>
          <w:tcPr>
            <w:tcW w:w="1888" w:type="dxa"/>
            <w:vMerge w:val="restart"/>
            <w:hideMark/>
          </w:tcPr>
          <w:p w14:paraId="4C091E09" w14:textId="77777777" w:rsidR="00EB1BB7" w:rsidRPr="001134B0" w:rsidRDefault="00EB1BB7" w:rsidP="00E332F1">
            <w:pPr>
              <w:pStyle w:val="TCTableBody"/>
              <w:rPr>
                <w:rFonts w:cs="Times"/>
                <w:sz w:val="20"/>
              </w:rPr>
            </w:pPr>
            <w:r w:rsidRPr="001134B0">
              <w:rPr>
                <w:rFonts w:cs="Times"/>
                <w:sz w:val="20"/>
              </w:rPr>
              <w:t>ACEA_T47D_80hr</w:t>
            </w:r>
            <w:r w:rsidRPr="001134B0">
              <w:rPr>
                <w:rFonts w:cs="Times"/>
                <w:sz w:val="20"/>
              </w:rPr>
              <w:br/>
              <w:t>_Negative</w:t>
            </w:r>
          </w:p>
        </w:tc>
        <w:tc>
          <w:tcPr>
            <w:tcW w:w="992" w:type="dxa"/>
            <w:hideMark/>
          </w:tcPr>
          <w:p w14:paraId="14D22553" w14:textId="77777777" w:rsidR="00EB1BB7" w:rsidRPr="001134B0" w:rsidRDefault="00EB1BB7" w:rsidP="00E332F1">
            <w:pPr>
              <w:pStyle w:val="TCTableBody"/>
              <w:rPr>
                <w:rFonts w:cs="Times"/>
                <w:sz w:val="20"/>
              </w:rPr>
            </w:pPr>
            <w:r w:rsidRPr="001134B0">
              <w:rPr>
                <w:rFonts w:cs="Times"/>
                <w:sz w:val="20"/>
              </w:rPr>
              <w:t>AUC-ROC</w:t>
            </w:r>
          </w:p>
        </w:tc>
        <w:tc>
          <w:tcPr>
            <w:tcW w:w="1276" w:type="dxa"/>
            <w:hideMark/>
          </w:tcPr>
          <w:p w14:paraId="5CEEA3C3" w14:textId="77777777" w:rsidR="00EB1BB7" w:rsidRPr="001134B0" w:rsidRDefault="00EB1BB7" w:rsidP="00E332F1">
            <w:pPr>
              <w:pStyle w:val="TCTableBody"/>
              <w:rPr>
                <w:rFonts w:cs="Times"/>
                <w:sz w:val="20"/>
              </w:rPr>
            </w:pPr>
            <w:proofErr w:type="spellStart"/>
            <w:r w:rsidRPr="001134B0">
              <w:rPr>
                <w:rFonts w:cs="Times"/>
                <w:sz w:val="20"/>
              </w:rPr>
              <w:t>ErG+CP</w:t>
            </w:r>
            <w:proofErr w:type="spellEnd"/>
          </w:p>
        </w:tc>
        <w:tc>
          <w:tcPr>
            <w:tcW w:w="1275" w:type="dxa"/>
            <w:hideMark/>
          </w:tcPr>
          <w:p w14:paraId="4A0D5C09" w14:textId="77777777" w:rsidR="00EB1BB7" w:rsidRPr="001134B0" w:rsidRDefault="00EB1BB7" w:rsidP="00E332F1">
            <w:pPr>
              <w:pStyle w:val="TCTableBody"/>
              <w:rPr>
                <w:rFonts w:cs="Times"/>
                <w:sz w:val="20"/>
              </w:rPr>
            </w:pPr>
            <w:r w:rsidRPr="001134B0">
              <w:rPr>
                <w:rFonts w:cs="Times"/>
                <w:sz w:val="20"/>
              </w:rPr>
              <w:t>0.76 ± 0.13</w:t>
            </w:r>
          </w:p>
        </w:tc>
        <w:tc>
          <w:tcPr>
            <w:tcW w:w="1276" w:type="dxa"/>
            <w:hideMark/>
          </w:tcPr>
          <w:p w14:paraId="7D90AA32"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31DE33B4" w14:textId="77777777" w:rsidR="00EB1BB7" w:rsidRPr="001134B0" w:rsidRDefault="00EB1BB7" w:rsidP="00E332F1">
            <w:pPr>
              <w:pStyle w:val="TCTableBody"/>
              <w:rPr>
                <w:rFonts w:cs="Times"/>
                <w:sz w:val="20"/>
              </w:rPr>
            </w:pPr>
            <w:r w:rsidRPr="001134B0">
              <w:rPr>
                <w:rFonts w:cs="Times"/>
                <w:sz w:val="20"/>
              </w:rPr>
              <w:t>0.46 ± 0.07</w:t>
            </w:r>
          </w:p>
        </w:tc>
        <w:tc>
          <w:tcPr>
            <w:tcW w:w="1134" w:type="dxa"/>
            <w:hideMark/>
          </w:tcPr>
          <w:p w14:paraId="34725DD4" w14:textId="77777777" w:rsidR="00EB1BB7" w:rsidRPr="001134B0" w:rsidRDefault="00EB1BB7" w:rsidP="00E332F1">
            <w:pPr>
              <w:pStyle w:val="TCTableBody"/>
              <w:rPr>
                <w:rFonts w:cs="Times"/>
                <w:sz w:val="20"/>
              </w:rPr>
            </w:pPr>
            <w:r w:rsidRPr="001134B0">
              <w:rPr>
                <w:rFonts w:cs="Times"/>
                <w:sz w:val="20"/>
              </w:rPr>
              <w:t>4.18</w:t>
            </w:r>
          </w:p>
        </w:tc>
        <w:tc>
          <w:tcPr>
            <w:tcW w:w="851" w:type="dxa"/>
            <w:hideMark/>
          </w:tcPr>
          <w:p w14:paraId="228654E6" w14:textId="77777777" w:rsidR="00EB1BB7" w:rsidRPr="001134B0" w:rsidRDefault="00EB1BB7" w:rsidP="00E332F1">
            <w:pPr>
              <w:pStyle w:val="TCTableBody"/>
              <w:rPr>
                <w:rFonts w:cs="Times"/>
                <w:sz w:val="20"/>
              </w:rPr>
            </w:pPr>
            <w:r w:rsidRPr="001134B0">
              <w:rPr>
                <w:rFonts w:cs="Times"/>
                <w:sz w:val="20"/>
              </w:rPr>
              <w:t>0.025</w:t>
            </w:r>
          </w:p>
        </w:tc>
      </w:tr>
      <w:tr w:rsidR="00EB1BB7" w:rsidRPr="001134B0" w14:paraId="12290690" w14:textId="77777777" w:rsidTr="00E332F1">
        <w:trPr>
          <w:trHeight w:val="300"/>
        </w:trPr>
        <w:tc>
          <w:tcPr>
            <w:tcW w:w="1888" w:type="dxa"/>
            <w:vMerge/>
            <w:hideMark/>
          </w:tcPr>
          <w:p w14:paraId="73D7207C" w14:textId="77777777" w:rsidR="00EB1BB7" w:rsidRPr="001134B0" w:rsidRDefault="00EB1BB7" w:rsidP="00E332F1">
            <w:pPr>
              <w:pStyle w:val="TCTableBody"/>
              <w:rPr>
                <w:rFonts w:cs="Times"/>
                <w:sz w:val="20"/>
              </w:rPr>
            </w:pPr>
          </w:p>
        </w:tc>
        <w:tc>
          <w:tcPr>
            <w:tcW w:w="992" w:type="dxa"/>
            <w:hideMark/>
          </w:tcPr>
          <w:p w14:paraId="1F061794" w14:textId="77777777" w:rsidR="00EB1BB7" w:rsidRPr="001134B0" w:rsidRDefault="00EB1BB7" w:rsidP="00E332F1">
            <w:pPr>
              <w:pStyle w:val="TCTableBody"/>
              <w:rPr>
                <w:rFonts w:cs="Times"/>
                <w:sz w:val="20"/>
              </w:rPr>
            </w:pPr>
            <w:r w:rsidRPr="001134B0">
              <w:rPr>
                <w:rFonts w:cs="Times"/>
                <w:sz w:val="20"/>
              </w:rPr>
              <w:t>AUC-ROC</w:t>
            </w:r>
          </w:p>
        </w:tc>
        <w:tc>
          <w:tcPr>
            <w:tcW w:w="1276" w:type="dxa"/>
            <w:hideMark/>
          </w:tcPr>
          <w:p w14:paraId="47C35D36" w14:textId="77777777" w:rsidR="00EB1BB7" w:rsidRPr="001134B0" w:rsidRDefault="00EB1BB7" w:rsidP="00E332F1">
            <w:pPr>
              <w:pStyle w:val="TCTableBody"/>
              <w:rPr>
                <w:rFonts w:cs="Times"/>
                <w:sz w:val="20"/>
              </w:rPr>
            </w:pPr>
            <w:proofErr w:type="spellStart"/>
            <w:r w:rsidRPr="001134B0">
              <w:rPr>
                <w:rFonts w:cs="Times"/>
                <w:sz w:val="20"/>
              </w:rPr>
              <w:t>Morgan+CP</w:t>
            </w:r>
            <w:proofErr w:type="spellEnd"/>
          </w:p>
        </w:tc>
        <w:tc>
          <w:tcPr>
            <w:tcW w:w="1275" w:type="dxa"/>
            <w:hideMark/>
          </w:tcPr>
          <w:p w14:paraId="2CDBAF4B" w14:textId="77777777" w:rsidR="00EB1BB7" w:rsidRPr="001134B0" w:rsidRDefault="00EB1BB7" w:rsidP="00E332F1">
            <w:pPr>
              <w:pStyle w:val="TCTableBody"/>
              <w:rPr>
                <w:rFonts w:cs="Times"/>
                <w:sz w:val="20"/>
              </w:rPr>
            </w:pPr>
            <w:r w:rsidRPr="001134B0">
              <w:rPr>
                <w:rFonts w:cs="Times"/>
                <w:sz w:val="20"/>
              </w:rPr>
              <w:t>0.74 ± 0.14</w:t>
            </w:r>
          </w:p>
        </w:tc>
        <w:tc>
          <w:tcPr>
            <w:tcW w:w="1276" w:type="dxa"/>
            <w:hideMark/>
          </w:tcPr>
          <w:p w14:paraId="02E09F73"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7E51B206" w14:textId="77777777" w:rsidR="00EB1BB7" w:rsidRPr="001134B0" w:rsidRDefault="00EB1BB7" w:rsidP="00E332F1">
            <w:pPr>
              <w:pStyle w:val="TCTableBody"/>
              <w:rPr>
                <w:rFonts w:cs="Times"/>
                <w:sz w:val="20"/>
              </w:rPr>
            </w:pPr>
            <w:r w:rsidRPr="001134B0">
              <w:rPr>
                <w:rFonts w:cs="Times"/>
                <w:sz w:val="20"/>
              </w:rPr>
              <w:t>0.46 ± 0.07</w:t>
            </w:r>
          </w:p>
        </w:tc>
        <w:tc>
          <w:tcPr>
            <w:tcW w:w="1134" w:type="dxa"/>
            <w:hideMark/>
          </w:tcPr>
          <w:p w14:paraId="1F2799AE" w14:textId="77777777" w:rsidR="00EB1BB7" w:rsidRPr="001134B0" w:rsidRDefault="00EB1BB7" w:rsidP="00E332F1">
            <w:pPr>
              <w:pStyle w:val="TCTableBody"/>
              <w:rPr>
                <w:rFonts w:cs="Times"/>
                <w:sz w:val="20"/>
              </w:rPr>
            </w:pPr>
            <w:r w:rsidRPr="001134B0">
              <w:rPr>
                <w:rFonts w:cs="Times"/>
                <w:sz w:val="20"/>
              </w:rPr>
              <w:t>3.61</w:t>
            </w:r>
          </w:p>
        </w:tc>
        <w:tc>
          <w:tcPr>
            <w:tcW w:w="851" w:type="dxa"/>
            <w:hideMark/>
          </w:tcPr>
          <w:p w14:paraId="4D3F583D" w14:textId="77777777" w:rsidR="00EB1BB7" w:rsidRPr="001134B0" w:rsidRDefault="00EB1BB7" w:rsidP="00E332F1">
            <w:pPr>
              <w:pStyle w:val="TCTableBody"/>
              <w:rPr>
                <w:rFonts w:cs="Times"/>
                <w:sz w:val="20"/>
              </w:rPr>
            </w:pPr>
            <w:r w:rsidRPr="001134B0">
              <w:rPr>
                <w:rFonts w:cs="Times"/>
                <w:sz w:val="20"/>
              </w:rPr>
              <w:t>0.036</w:t>
            </w:r>
          </w:p>
        </w:tc>
      </w:tr>
      <w:tr w:rsidR="00EB1BB7" w:rsidRPr="001134B0" w14:paraId="417ACB86" w14:textId="77777777" w:rsidTr="00E332F1">
        <w:trPr>
          <w:trHeight w:val="300"/>
        </w:trPr>
        <w:tc>
          <w:tcPr>
            <w:tcW w:w="1888" w:type="dxa"/>
            <w:vMerge/>
            <w:hideMark/>
          </w:tcPr>
          <w:p w14:paraId="4AED7317" w14:textId="77777777" w:rsidR="00EB1BB7" w:rsidRPr="001134B0" w:rsidRDefault="00EB1BB7" w:rsidP="00E332F1">
            <w:pPr>
              <w:pStyle w:val="TCTableBody"/>
              <w:rPr>
                <w:rFonts w:cs="Times"/>
                <w:sz w:val="20"/>
              </w:rPr>
            </w:pPr>
          </w:p>
        </w:tc>
        <w:tc>
          <w:tcPr>
            <w:tcW w:w="992" w:type="dxa"/>
            <w:hideMark/>
          </w:tcPr>
          <w:p w14:paraId="12651CB7" w14:textId="77777777" w:rsidR="00EB1BB7" w:rsidRPr="001134B0" w:rsidRDefault="00EB1BB7" w:rsidP="00E332F1">
            <w:pPr>
              <w:pStyle w:val="TCTableBody"/>
              <w:rPr>
                <w:rFonts w:cs="Times"/>
                <w:sz w:val="20"/>
              </w:rPr>
            </w:pPr>
            <w:r w:rsidRPr="001134B0">
              <w:rPr>
                <w:rFonts w:cs="Times"/>
                <w:sz w:val="20"/>
              </w:rPr>
              <w:t>BA</w:t>
            </w:r>
          </w:p>
        </w:tc>
        <w:tc>
          <w:tcPr>
            <w:tcW w:w="1276" w:type="dxa"/>
            <w:hideMark/>
          </w:tcPr>
          <w:p w14:paraId="4C0B4669" w14:textId="77777777" w:rsidR="00EB1BB7" w:rsidRPr="001134B0" w:rsidRDefault="00EB1BB7" w:rsidP="00E332F1">
            <w:pPr>
              <w:pStyle w:val="TCTableBody"/>
              <w:rPr>
                <w:rFonts w:cs="Times"/>
                <w:sz w:val="20"/>
              </w:rPr>
            </w:pPr>
            <w:proofErr w:type="spellStart"/>
            <w:r w:rsidRPr="001134B0">
              <w:rPr>
                <w:rFonts w:cs="Times"/>
                <w:sz w:val="20"/>
              </w:rPr>
              <w:t>ErG+CP</w:t>
            </w:r>
            <w:proofErr w:type="spellEnd"/>
          </w:p>
        </w:tc>
        <w:tc>
          <w:tcPr>
            <w:tcW w:w="1275" w:type="dxa"/>
            <w:hideMark/>
          </w:tcPr>
          <w:p w14:paraId="6799113E" w14:textId="77777777" w:rsidR="00EB1BB7" w:rsidRPr="001134B0" w:rsidRDefault="00EB1BB7" w:rsidP="00E332F1">
            <w:pPr>
              <w:pStyle w:val="TCTableBody"/>
              <w:rPr>
                <w:rFonts w:cs="Times"/>
                <w:sz w:val="20"/>
              </w:rPr>
            </w:pPr>
            <w:r w:rsidRPr="001134B0">
              <w:rPr>
                <w:rFonts w:cs="Times"/>
                <w:sz w:val="20"/>
              </w:rPr>
              <w:t>0.61 ± 0.04</w:t>
            </w:r>
          </w:p>
        </w:tc>
        <w:tc>
          <w:tcPr>
            <w:tcW w:w="1276" w:type="dxa"/>
            <w:hideMark/>
          </w:tcPr>
          <w:p w14:paraId="76377553" w14:textId="77777777" w:rsidR="00EB1BB7" w:rsidRPr="001134B0" w:rsidRDefault="00EB1BB7" w:rsidP="00E332F1">
            <w:pPr>
              <w:pStyle w:val="TCTableBody"/>
              <w:rPr>
                <w:rFonts w:cs="Times"/>
                <w:sz w:val="20"/>
              </w:rPr>
            </w:pPr>
            <w:proofErr w:type="spellStart"/>
            <w:r w:rsidRPr="001134B0">
              <w:rPr>
                <w:rFonts w:cs="Times"/>
                <w:sz w:val="20"/>
              </w:rPr>
              <w:t>ErG</w:t>
            </w:r>
            <w:proofErr w:type="spellEnd"/>
          </w:p>
        </w:tc>
        <w:tc>
          <w:tcPr>
            <w:tcW w:w="1559" w:type="dxa"/>
            <w:hideMark/>
          </w:tcPr>
          <w:p w14:paraId="489CF061" w14:textId="77777777" w:rsidR="00EB1BB7" w:rsidRPr="001134B0" w:rsidRDefault="00EB1BB7" w:rsidP="00E332F1">
            <w:pPr>
              <w:pStyle w:val="TCTableBody"/>
              <w:rPr>
                <w:rFonts w:cs="Times"/>
                <w:sz w:val="20"/>
              </w:rPr>
            </w:pPr>
            <w:r w:rsidRPr="001134B0">
              <w:rPr>
                <w:rFonts w:cs="Times"/>
                <w:sz w:val="20"/>
              </w:rPr>
              <w:t>0.50 ± 0.00</w:t>
            </w:r>
          </w:p>
        </w:tc>
        <w:tc>
          <w:tcPr>
            <w:tcW w:w="1134" w:type="dxa"/>
            <w:hideMark/>
          </w:tcPr>
          <w:p w14:paraId="47BEA390" w14:textId="77777777" w:rsidR="00EB1BB7" w:rsidRPr="001134B0" w:rsidRDefault="00EB1BB7" w:rsidP="00E332F1">
            <w:pPr>
              <w:pStyle w:val="TCTableBody"/>
              <w:rPr>
                <w:rFonts w:cs="Times"/>
                <w:sz w:val="20"/>
              </w:rPr>
            </w:pPr>
            <w:r w:rsidRPr="001134B0">
              <w:rPr>
                <w:rFonts w:cs="Times"/>
                <w:sz w:val="20"/>
              </w:rPr>
              <w:t>4.15</w:t>
            </w:r>
          </w:p>
        </w:tc>
        <w:tc>
          <w:tcPr>
            <w:tcW w:w="851" w:type="dxa"/>
            <w:hideMark/>
          </w:tcPr>
          <w:p w14:paraId="77959B7C" w14:textId="77777777" w:rsidR="00EB1BB7" w:rsidRPr="001134B0" w:rsidRDefault="00EB1BB7" w:rsidP="00E332F1">
            <w:pPr>
              <w:pStyle w:val="TCTableBody"/>
              <w:rPr>
                <w:rFonts w:cs="Times"/>
                <w:sz w:val="20"/>
              </w:rPr>
            </w:pPr>
            <w:r w:rsidRPr="001134B0">
              <w:rPr>
                <w:rFonts w:cs="Times"/>
                <w:sz w:val="20"/>
              </w:rPr>
              <w:t>0.025</w:t>
            </w:r>
          </w:p>
        </w:tc>
      </w:tr>
      <w:tr w:rsidR="00EB1BB7" w:rsidRPr="001134B0" w14:paraId="49AEC793" w14:textId="77777777" w:rsidTr="00E332F1">
        <w:trPr>
          <w:trHeight w:val="300"/>
        </w:trPr>
        <w:tc>
          <w:tcPr>
            <w:tcW w:w="1888" w:type="dxa"/>
            <w:vMerge/>
            <w:hideMark/>
          </w:tcPr>
          <w:p w14:paraId="1EDEA7AD" w14:textId="77777777" w:rsidR="00EB1BB7" w:rsidRPr="001134B0" w:rsidRDefault="00EB1BB7" w:rsidP="00E332F1">
            <w:pPr>
              <w:pStyle w:val="TCTableBody"/>
              <w:rPr>
                <w:rFonts w:cs="Times"/>
                <w:sz w:val="20"/>
              </w:rPr>
            </w:pPr>
          </w:p>
        </w:tc>
        <w:tc>
          <w:tcPr>
            <w:tcW w:w="992" w:type="dxa"/>
            <w:hideMark/>
          </w:tcPr>
          <w:p w14:paraId="5ED36313" w14:textId="77777777" w:rsidR="00EB1BB7" w:rsidRPr="001134B0" w:rsidRDefault="00EB1BB7" w:rsidP="00E332F1">
            <w:pPr>
              <w:pStyle w:val="TCTableBody"/>
              <w:rPr>
                <w:rFonts w:cs="Times"/>
                <w:sz w:val="20"/>
              </w:rPr>
            </w:pPr>
            <w:r w:rsidRPr="001134B0">
              <w:rPr>
                <w:rFonts w:cs="Times"/>
                <w:sz w:val="20"/>
              </w:rPr>
              <w:t>MCC</w:t>
            </w:r>
          </w:p>
        </w:tc>
        <w:tc>
          <w:tcPr>
            <w:tcW w:w="1276" w:type="dxa"/>
            <w:hideMark/>
          </w:tcPr>
          <w:p w14:paraId="6E8CB7D3" w14:textId="77777777" w:rsidR="00EB1BB7" w:rsidRPr="001134B0" w:rsidRDefault="00EB1BB7" w:rsidP="00E332F1">
            <w:pPr>
              <w:pStyle w:val="TCTableBody"/>
              <w:rPr>
                <w:rFonts w:cs="Times"/>
                <w:sz w:val="20"/>
              </w:rPr>
            </w:pPr>
            <w:proofErr w:type="spellStart"/>
            <w:r w:rsidRPr="001134B0">
              <w:rPr>
                <w:rFonts w:cs="Times"/>
                <w:sz w:val="20"/>
              </w:rPr>
              <w:t>ErG+CP</w:t>
            </w:r>
            <w:proofErr w:type="spellEnd"/>
          </w:p>
        </w:tc>
        <w:tc>
          <w:tcPr>
            <w:tcW w:w="1275" w:type="dxa"/>
            <w:hideMark/>
          </w:tcPr>
          <w:p w14:paraId="27751762" w14:textId="77777777" w:rsidR="00EB1BB7" w:rsidRPr="001134B0" w:rsidRDefault="00EB1BB7" w:rsidP="00E332F1">
            <w:pPr>
              <w:pStyle w:val="TCTableBody"/>
              <w:rPr>
                <w:rFonts w:cs="Times"/>
                <w:sz w:val="20"/>
              </w:rPr>
            </w:pPr>
            <w:r w:rsidRPr="001134B0">
              <w:rPr>
                <w:rFonts w:cs="Times"/>
                <w:sz w:val="20"/>
              </w:rPr>
              <w:t>0.26 ± 0.08</w:t>
            </w:r>
          </w:p>
        </w:tc>
        <w:tc>
          <w:tcPr>
            <w:tcW w:w="1276" w:type="dxa"/>
            <w:hideMark/>
          </w:tcPr>
          <w:p w14:paraId="520EDCA6" w14:textId="77777777" w:rsidR="00EB1BB7" w:rsidRPr="001134B0" w:rsidRDefault="00EB1BB7" w:rsidP="00E332F1">
            <w:pPr>
              <w:pStyle w:val="TCTableBody"/>
              <w:rPr>
                <w:rFonts w:cs="Times"/>
                <w:sz w:val="20"/>
              </w:rPr>
            </w:pPr>
            <w:proofErr w:type="spellStart"/>
            <w:r w:rsidRPr="001134B0">
              <w:rPr>
                <w:rFonts w:cs="Times"/>
                <w:sz w:val="20"/>
              </w:rPr>
              <w:t>ErG</w:t>
            </w:r>
            <w:proofErr w:type="spellEnd"/>
          </w:p>
        </w:tc>
        <w:tc>
          <w:tcPr>
            <w:tcW w:w="1559" w:type="dxa"/>
            <w:hideMark/>
          </w:tcPr>
          <w:p w14:paraId="1F33A22D" w14:textId="77777777" w:rsidR="00EB1BB7" w:rsidRPr="001134B0" w:rsidRDefault="00EB1BB7" w:rsidP="00E332F1">
            <w:pPr>
              <w:pStyle w:val="TCTableBody"/>
              <w:rPr>
                <w:rFonts w:cs="Times"/>
                <w:sz w:val="20"/>
              </w:rPr>
            </w:pPr>
            <w:r w:rsidRPr="001134B0">
              <w:rPr>
                <w:rFonts w:cs="Times"/>
                <w:sz w:val="20"/>
              </w:rPr>
              <w:t>0.01 ± 0.01</w:t>
            </w:r>
          </w:p>
        </w:tc>
        <w:tc>
          <w:tcPr>
            <w:tcW w:w="1134" w:type="dxa"/>
            <w:hideMark/>
          </w:tcPr>
          <w:p w14:paraId="1AE151F8" w14:textId="77777777" w:rsidR="00EB1BB7" w:rsidRPr="001134B0" w:rsidRDefault="00EB1BB7" w:rsidP="00E332F1">
            <w:pPr>
              <w:pStyle w:val="TCTableBody"/>
              <w:rPr>
                <w:rFonts w:cs="Times"/>
                <w:sz w:val="20"/>
              </w:rPr>
            </w:pPr>
            <w:r w:rsidRPr="001134B0">
              <w:rPr>
                <w:rFonts w:cs="Times"/>
                <w:sz w:val="20"/>
              </w:rPr>
              <w:t>5.61</w:t>
            </w:r>
          </w:p>
        </w:tc>
        <w:tc>
          <w:tcPr>
            <w:tcW w:w="851" w:type="dxa"/>
            <w:hideMark/>
          </w:tcPr>
          <w:p w14:paraId="511264B8" w14:textId="77777777" w:rsidR="00EB1BB7" w:rsidRPr="001134B0" w:rsidRDefault="00EB1BB7" w:rsidP="00E332F1">
            <w:pPr>
              <w:pStyle w:val="TCTableBody"/>
              <w:rPr>
                <w:rFonts w:cs="Times"/>
                <w:sz w:val="20"/>
              </w:rPr>
            </w:pPr>
            <w:r w:rsidRPr="001134B0">
              <w:rPr>
                <w:rFonts w:cs="Times"/>
                <w:sz w:val="20"/>
              </w:rPr>
              <w:t>0.011</w:t>
            </w:r>
          </w:p>
        </w:tc>
      </w:tr>
      <w:tr w:rsidR="00EB1BB7" w:rsidRPr="001134B0" w14:paraId="20DAC8A0" w14:textId="77777777" w:rsidTr="00E332F1">
        <w:trPr>
          <w:trHeight w:val="300"/>
        </w:trPr>
        <w:tc>
          <w:tcPr>
            <w:tcW w:w="1888" w:type="dxa"/>
            <w:vMerge/>
            <w:hideMark/>
          </w:tcPr>
          <w:p w14:paraId="512B3F59" w14:textId="77777777" w:rsidR="00EB1BB7" w:rsidRPr="001134B0" w:rsidRDefault="00EB1BB7" w:rsidP="00E332F1">
            <w:pPr>
              <w:pStyle w:val="TCTableBody"/>
              <w:rPr>
                <w:rFonts w:cs="Times"/>
                <w:sz w:val="20"/>
              </w:rPr>
            </w:pPr>
          </w:p>
        </w:tc>
        <w:tc>
          <w:tcPr>
            <w:tcW w:w="992" w:type="dxa"/>
            <w:hideMark/>
          </w:tcPr>
          <w:p w14:paraId="032A1739" w14:textId="77777777" w:rsidR="00EB1BB7" w:rsidRPr="001134B0" w:rsidRDefault="00EB1BB7" w:rsidP="00E332F1">
            <w:pPr>
              <w:pStyle w:val="TCTableBody"/>
              <w:rPr>
                <w:rFonts w:cs="Times"/>
                <w:sz w:val="20"/>
              </w:rPr>
            </w:pPr>
            <w:r w:rsidRPr="001134B0">
              <w:rPr>
                <w:rFonts w:cs="Times"/>
                <w:sz w:val="20"/>
              </w:rPr>
              <w:t>MCC</w:t>
            </w:r>
          </w:p>
        </w:tc>
        <w:tc>
          <w:tcPr>
            <w:tcW w:w="1276" w:type="dxa"/>
            <w:hideMark/>
          </w:tcPr>
          <w:p w14:paraId="00C989AD" w14:textId="77777777" w:rsidR="00EB1BB7" w:rsidRPr="001134B0" w:rsidRDefault="00EB1BB7" w:rsidP="00E332F1">
            <w:pPr>
              <w:pStyle w:val="TCTableBody"/>
              <w:rPr>
                <w:rFonts w:cs="Times"/>
                <w:sz w:val="20"/>
              </w:rPr>
            </w:pPr>
            <w:proofErr w:type="spellStart"/>
            <w:r w:rsidRPr="001134B0">
              <w:rPr>
                <w:rFonts w:cs="Times"/>
                <w:sz w:val="20"/>
              </w:rPr>
              <w:t>ErG+CP</w:t>
            </w:r>
            <w:proofErr w:type="spellEnd"/>
          </w:p>
        </w:tc>
        <w:tc>
          <w:tcPr>
            <w:tcW w:w="1275" w:type="dxa"/>
            <w:hideMark/>
          </w:tcPr>
          <w:p w14:paraId="4EB36C85" w14:textId="77777777" w:rsidR="00EB1BB7" w:rsidRPr="001134B0" w:rsidRDefault="00EB1BB7" w:rsidP="00E332F1">
            <w:pPr>
              <w:pStyle w:val="TCTableBody"/>
              <w:rPr>
                <w:rFonts w:cs="Times"/>
                <w:sz w:val="20"/>
              </w:rPr>
            </w:pPr>
            <w:r w:rsidRPr="001134B0">
              <w:rPr>
                <w:rFonts w:cs="Times"/>
                <w:sz w:val="20"/>
              </w:rPr>
              <w:t>0.26 ± 0.08</w:t>
            </w:r>
          </w:p>
        </w:tc>
        <w:tc>
          <w:tcPr>
            <w:tcW w:w="1276" w:type="dxa"/>
            <w:hideMark/>
          </w:tcPr>
          <w:p w14:paraId="5456FD68"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28445660" w14:textId="77777777" w:rsidR="00EB1BB7" w:rsidRPr="001134B0" w:rsidRDefault="00EB1BB7" w:rsidP="00E332F1">
            <w:pPr>
              <w:pStyle w:val="TCTableBody"/>
              <w:rPr>
                <w:rFonts w:cs="Times"/>
                <w:sz w:val="20"/>
              </w:rPr>
            </w:pPr>
            <w:r w:rsidRPr="001134B0">
              <w:rPr>
                <w:rFonts w:cs="Times"/>
                <w:sz w:val="20"/>
              </w:rPr>
              <w:t>-0.05 ± 0.09</w:t>
            </w:r>
          </w:p>
        </w:tc>
        <w:tc>
          <w:tcPr>
            <w:tcW w:w="1134" w:type="dxa"/>
            <w:hideMark/>
          </w:tcPr>
          <w:p w14:paraId="60B26150" w14:textId="77777777" w:rsidR="00EB1BB7" w:rsidRPr="001134B0" w:rsidRDefault="00EB1BB7" w:rsidP="00E332F1">
            <w:pPr>
              <w:pStyle w:val="TCTableBody"/>
              <w:rPr>
                <w:rFonts w:cs="Times"/>
                <w:sz w:val="20"/>
              </w:rPr>
            </w:pPr>
            <w:r w:rsidRPr="001134B0">
              <w:rPr>
                <w:rFonts w:cs="Times"/>
                <w:sz w:val="20"/>
              </w:rPr>
              <w:t>6.03</w:t>
            </w:r>
          </w:p>
        </w:tc>
        <w:tc>
          <w:tcPr>
            <w:tcW w:w="851" w:type="dxa"/>
            <w:hideMark/>
          </w:tcPr>
          <w:p w14:paraId="364C1BFF" w14:textId="77777777" w:rsidR="00EB1BB7" w:rsidRPr="001134B0" w:rsidRDefault="00EB1BB7" w:rsidP="00E332F1">
            <w:pPr>
              <w:pStyle w:val="TCTableBody"/>
              <w:rPr>
                <w:rFonts w:cs="Times"/>
                <w:sz w:val="20"/>
              </w:rPr>
            </w:pPr>
            <w:r w:rsidRPr="001134B0">
              <w:rPr>
                <w:rFonts w:cs="Times"/>
                <w:sz w:val="20"/>
              </w:rPr>
              <w:t>0.009</w:t>
            </w:r>
          </w:p>
        </w:tc>
      </w:tr>
      <w:tr w:rsidR="00EB1BB7" w:rsidRPr="001134B0" w14:paraId="23946086" w14:textId="77777777" w:rsidTr="00E332F1">
        <w:trPr>
          <w:trHeight w:val="300"/>
        </w:trPr>
        <w:tc>
          <w:tcPr>
            <w:tcW w:w="1888" w:type="dxa"/>
            <w:vMerge/>
            <w:hideMark/>
          </w:tcPr>
          <w:p w14:paraId="044F6471" w14:textId="77777777" w:rsidR="00EB1BB7" w:rsidRPr="001134B0" w:rsidRDefault="00EB1BB7" w:rsidP="00E332F1">
            <w:pPr>
              <w:pStyle w:val="TCTableBody"/>
              <w:rPr>
                <w:rFonts w:cs="Times"/>
                <w:sz w:val="20"/>
              </w:rPr>
            </w:pPr>
          </w:p>
        </w:tc>
        <w:tc>
          <w:tcPr>
            <w:tcW w:w="992" w:type="dxa"/>
            <w:hideMark/>
          </w:tcPr>
          <w:p w14:paraId="74CCED02" w14:textId="77777777" w:rsidR="00EB1BB7" w:rsidRPr="001134B0" w:rsidRDefault="00EB1BB7" w:rsidP="00E332F1">
            <w:pPr>
              <w:pStyle w:val="TCTableBody"/>
              <w:rPr>
                <w:rFonts w:cs="Times"/>
                <w:sz w:val="20"/>
              </w:rPr>
            </w:pPr>
            <w:r w:rsidRPr="001134B0">
              <w:rPr>
                <w:rFonts w:cs="Times"/>
                <w:sz w:val="20"/>
              </w:rPr>
              <w:t>MCC</w:t>
            </w:r>
          </w:p>
        </w:tc>
        <w:tc>
          <w:tcPr>
            <w:tcW w:w="1276" w:type="dxa"/>
            <w:hideMark/>
          </w:tcPr>
          <w:p w14:paraId="74AD5B23" w14:textId="77777777" w:rsidR="00EB1BB7" w:rsidRPr="001134B0" w:rsidRDefault="00EB1BB7" w:rsidP="00E332F1">
            <w:pPr>
              <w:pStyle w:val="TCTableBody"/>
              <w:rPr>
                <w:rFonts w:cs="Times"/>
                <w:sz w:val="20"/>
              </w:rPr>
            </w:pPr>
            <w:proofErr w:type="spellStart"/>
            <w:r w:rsidRPr="001134B0">
              <w:rPr>
                <w:rFonts w:cs="Times"/>
                <w:sz w:val="20"/>
              </w:rPr>
              <w:t>Morgan+CP</w:t>
            </w:r>
            <w:proofErr w:type="spellEnd"/>
          </w:p>
        </w:tc>
        <w:tc>
          <w:tcPr>
            <w:tcW w:w="1275" w:type="dxa"/>
            <w:hideMark/>
          </w:tcPr>
          <w:p w14:paraId="398E3FD5" w14:textId="77777777" w:rsidR="00EB1BB7" w:rsidRPr="001134B0" w:rsidRDefault="00EB1BB7" w:rsidP="00E332F1">
            <w:pPr>
              <w:pStyle w:val="TCTableBody"/>
              <w:rPr>
                <w:rFonts w:cs="Times"/>
                <w:sz w:val="20"/>
              </w:rPr>
            </w:pPr>
            <w:r w:rsidRPr="001134B0">
              <w:rPr>
                <w:rFonts w:cs="Times"/>
                <w:sz w:val="20"/>
              </w:rPr>
              <w:t>0.28 ± 0.18</w:t>
            </w:r>
          </w:p>
        </w:tc>
        <w:tc>
          <w:tcPr>
            <w:tcW w:w="1276" w:type="dxa"/>
            <w:hideMark/>
          </w:tcPr>
          <w:p w14:paraId="21339A6F"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53B855D0" w14:textId="77777777" w:rsidR="00EB1BB7" w:rsidRPr="001134B0" w:rsidRDefault="00EB1BB7" w:rsidP="00E332F1">
            <w:pPr>
              <w:pStyle w:val="TCTableBody"/>
              <w:rPr>
                <w:rFonts w:cs="Times"/>
                <w:sz w:val="20"/>
              </w:rPr>
            </w:pPr>
            <w:r w:rsidRPr="001134B0">
              <w:rPr>
                <w:rFonts w:cs="Times"/>
                <w:sz w:val="20"/>
              </w:rPr>
              <w:t>-0.05 ± 0.09</w:t>
            </w:r>
          </w:p>
        </w:tc>
        <w:tc>
          <w:tcPr>
            <w:tcW w:w="1134" w:type="dxa"/>
            <w:hideMark/>
          </w:tcPr>
          <w:p w14:paraId="61C0DCF5" w14:textId="77777777" w:rsidR="00EB1BB7" w:rsidRPr="001134B0" w:rsidRDefault="00EB1BB7" w:rsidP="00E332F1">
            <w:pPr>
              <w:pStyle w:val="TCTableBody"/>
              <w:rPr>
                <w:rFonts w:cs="Times"/>
                <w:sz w:val="20"/>
              </w:rPr>
            </w:pPr>
            <w:r w:rsidRPr="001134B0">
              <w:rPr>
                <w:rFonts w:cs="Times"/>
                <w:sz w:val="20"/>
              </w:rPr>
              <w:t>3.58</w:t>
            </w:r>
          </w:p>
        </w:tc>
        <w:tc>
          <w:tcPr>
            <w:tcW w:w="851" w:type="dxa"/>
            <w:hideMark/>
          </w:tcPr>
          <w:p w14:paraId="3EE99F63" w14:textId="77777777" w:rsidR="00EB1BB7" w:rsidRPr="001134B0" w:rsidRDefault="00EB1BB7" w:rsidP="00E332F1">
            <w:pPr>
              <w:pStyle w:val="TCTableBody"/>
              <w:rPr>
                <w:rFonts w:cs="Times"/>
                <w:sz w:val="20"/>
              </w:rPr>
            </w:pPr>
            <w:r w:rsidRPr="001134B0">
              <w:rPr>
                <w:rFonts w:cs="Times"/>
                <w:sz w:val="20"/>
              </w:rPr>
              <w:t>0.037</w:t>
            </w:r>
          </w:p>
        </w:tc>
      </w:tr>
      <w:tr w:rsidR="00EB1BB7" w:rsidRPr="001134B0" w14:paraId="6B9FCF56" w14:textId="77777777" w:rsidTr="00E332F1">
        <w:trPr>
          <w:trHeight w:val="300"/>
        </w:trPr>
        <w:tc>
          <w:tcPr>
            <w:tcW w:w="1888" w:type="dxa"/>
            <w:vMerge/>
            <w:hideMark/>
          </w:tcPr>
          <w:p w14:paraId="0E47BA11" w14:textId="77777777" w:rsidR="00EB1BB7" w:rsidRPr="001134B0" w:rsidRDefault="00EB1BB7" w:rsidP="00E332F1">
            <w:pPr>
              <w:pStyle w:val="TCTableBody"/>
              <w:rPr>
                <w:rFonts w:cs="Times"/>
                <w:sz w:val="20"/>
              </w:rPr>
            </w:pPr>
          </w:p>
        </w:tc>
        <w:tc>
          <w:tcPr>
            <w:tcW w:w="992" w:type="dxa"/>
            <w:hideMark/>
          </w:tcPr>
          <w:p w14:paraId="70B9D94B" w14:textId="77777777" w:rsidR="00EB1BB7" w:rsidRPr="001134B0" w:rsidRDefault="00EB1BB7" w:rsidP="00E332F1">
            <w:pPr>
              <w:pStyle w:val="TCTableBody"/>
              <w:rPr>
                <w:rFonts w:cs="Times"/>
                <w:sz w:val="20"/>
              </w:rPr>
            </w:pPr>
            <w:r w:rsidRPr="001134B0">
              <w:rPr>
                <w:rFonts w:cs="Times"/>
                <w:sz w:val="20"/>
              </w:rPr>
              <w:t>SEN</w:t>
            </w:r>
          </w:p>
        </w:tc>
        <w:tc>
          <w:tcPr>
            <w:tcW w:w="1276" w:type="dxa"/>
            <w:hideMark/>
          </w:tcPr>
          <w:p w14:paraId="24D1F827" w14:textId="77777777" w:rsidR="00EB1BB7" w:rsidRPr="001134B0" w:rsidRDefault="00EB1BB7" w:rsidP="00E332F1">
            <w:pPr>
              <w:pStyle w:val="TCTableBody"/>
              <w:rPr>
                <w:rFonts w:cs="Times"/>
                <w:sz w:val="20"/>
              </w:rPr>
            </w:pPr>
            <w:proofErr w:type="spellStart"/>
            <w:r w:rsidRPr="001134B0">
              <w:rPr>
                <w:rFonts w:cs="Times"/>
                <w:sz w:val="20"/>
              </w:rPr>
              <w:t>ErG+CP</w:t>
            </w:r>
            <w:proofErr w:type="spellEnd"/>
          </w:p>
        </w:tc>
        <w:tc>
          <w:tcPr>
            <w:tcW w:w="1275" w:type="dxa"/>
            <w:hideMark/>
          </w:tcPr>
          <w:p w14:paraId="2629A4D8" w14:textId="77777777" w:rsidR="00EB1BB7" w:rsidRPr="001134B0" w:rsidRDefault="00EB1BB7" w:rsidP="00E332F1">
            <w:pPr>
              <w:pStyle w:val="TCTableBody"/>
              <w:rPr>
                <w:rFonts w:cs="Times"/>
                <w:sz w:val="20"/>
              </w:rPr>
            </w:pPr>
            <w:r w:rsidRPr="001134B0">
              <w:rPr>
                <w:rFonts w:cs="Times"/>
                <w:sz w:val="20"/>
              </w:rPr>
              <w:t>0.28 ± 0.13</w:t>
            </w:r>
          </w:p>
        </w:tc>
        <w:tc>
          <w:tcPr>
            <w:tcW w:w="1276" w:type="dxa"/>
            <w:hideMark/>
          </w:tcPr>
          <w:p w14:paraId="26A5C08C"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3FD878AD" w14:textId="77777777" w:rsidR="00EB1BB7" w:rsidRPr="001134B0" w:rsidRDefault="00EB1BB7" w:rsidP="00E332F1">
            <w:pPr>
              <w:pStyle w:val="TCTableBody"/>
              <w:rPr>
                <w:rFonts w:cs="Times"/>
                <w:sz w:val="20"/>
              </w:rPr>
            </w:pPr>
            <w:r w:rsidRPr="001134B0">
              <w:rPr>
                <w:rFonts w:cs="Times"/>
                <w:sz w:val="20"/>
              </w:rPr>
              <w:t>0.00 ± 0.00</w:t>
            </w:r>
          </w:p>
        </w:tc>
        <w:tc>
          <w:tcPr>
            <w:tcW w:w="1134" w:type="dxa"/>
            <w:hideMark/>
          </w:tcPr>
          <w:p w14:paraId="6E9A5911" w14:textId="77777777" w:rsidR="00EB1BB7" w:rsidRPr="001134B0" w:rsidRDefault="00EB1BB7" w:rsidP="00E332F1">
            <w:pPr>
              <w:pStyle w:val="TCTableBody"/>
              <w:rPr>
                <w:rFonts w:cs="Times"/>
                <w:sz w:val="20"/>
              </w:rPr>
            </w:pPr>
            <w:r w:rsidRPr="001134B0">
              <w:rPr>
                <w:rFonts w:cs="Times"/>
                <w:sz w:val="20"/>
              </w:rPr>
              <w:t>3.69</w:t>
            </w:r>
          </w:p>
        </w:tc>
        <w:tc>
          <w:tcPr>
            <w:tcW w:w="851" w:type="dxa"/>
            <w:hideMark/>
          </w:tcPr>
          <w:p w14:paraId="3257C14F" w14:textId="77777777" w:rsidR="00EB1BB7" w:rsidRPr="001134B0" w:rsidRDefault="00EB1BB7" w:rsidP="00E332F1">
            <w:pPr>
              <w:pStyle w:val="TCTableBody"/>
              <w:rPr>
                <w:rFonts w:cs="Times"/>
                <w:sz w:val="20"/>
              </w:rPr>
            </w:pPr>
            <w:r w:rsidRPr="001134B0">
              <w:rPr>
                <w:rFonts w:cs="Times"/>
                <w:sz w:val="20"/>
              </w:rPr>
              <w:t>0.035</w:t>
            </w:r>
          </w:p>
        </w:tc>
      </w:tr>
      <w:tr w:rsidR="00EB1BB7" w:rsidRPr="001134B0" w14:paraId="4EAE9535" w14:textId="77777777" w:rsidTr="00E332F1">
        <w:trPr>
          <w:trHeight w:val="300"/>
        </w:trPr>
        <w:tc>
          <w:tcPr>
            <w:tcW w:w="1888" w:type="dxa"/>
            <w:vMerge/>
            <w:hideMark/>
          </w:tcPr>
          <w:p w14:paraId="6CE1F5B3" w14:textId="77777777" w:rsidR="00EB1BB7" w:rsidRPr="001134B0" w:rsidRDefault="00EB1BB7" w:rsidP="00E332F1">
            <w:pPr>
              <w:pStyle w:val="TCTableBody"/>
              <w:rPr>
                <w:rFonts w:cs="Times"/>
                <w:sz w:val="20"/>
              </w:rPr>
            </w:pPr>
          </w:p>
        </w:tc>
        <w:tc>
          <w:tcPr>
            <w:tcW w:w="992" w:type="dxa"/>
            <w:hideMark/>
          </w:tcPr>
          <w:p w14:paraId="339BBDC1" w14:textId="77777777" w:rsidR="00EB1BB7" w:rsidRPr="001134B0" w:rsidRDefault="00EB1BB7" w:rsidP="00E332F1">
            <w:pPr>
              <w:pStyle w:val="TCTableBody"/>
              <w:rPr>
                <w:rFonts w:cs="Times"/>
                <w:sz w:val="20"/>
              </w:rPr>
            </w:pPr>
            <w:r w:rsidRPr="001134B0">
              <w:rPr>
                <w:rFonts w:cs="Times"/>
                <w:sz w:val="20"/>
              </w:rPr>
              <w:t>SEN</w:t>
            </w:r>
          </w:p>
        </w:tc>
        <w:tc>
          <w:tcPr>
            <w:tcW w:w="1276" w:type="dxa"/>
            <w:hideMark/>
          </w:tcPr>
          <w:p w14:paraId="78CB53FA" w14:textId="77777777" w:rsidR="00EB1BB7" w:rsidRPr="001134B0" w:rsidRDefault="00EB1BB7" w:rsidP="00E332F1">
            <w:pPr>
              <w:pStyle w:val="TCTableBody"/>
              <w:rPr>
                <w:rFonts w:cs="Times"/>
                <w:sz w:val="20"/>
              </w:rPr>
            </w:pPr>
            <w:proofErr w:type="spellStart"/>
            <w:r w:rsidRPr="001134B0">
              <w:rPr>
                <w:rFonts w:cs="Times"/>
                <w:sz w:val="20"/>
              </w:rPr>
              <w:t>Morgan+CP</w:t>
            </w:r>
            <w:proofErr w:type="spellEnd"/>
          </w:p>
        </w:tc>
        <w:tc>
          <w:tcPr>
            <w:tcW w:w="1275" w:type="dxa"/>
            <w:hideMark/>
          </w:tcPr>
          <w:p w14:paraId="2B6186DF" w14:textId="77777777" w:rsidR="00EB1BB7" w:rsidRPr="001134B0" w:rsidRDefault="00EB1BB7" w:rsidP="00E332F1">
            <w:pPr>
              <w:pStyle w:val="TCTableBody"/>
              <w:rPr>
                <w:rFonts w:cs="Times"/>
                <w:sz w:val="20"/>
              </w:rPr>
            </w:pPr>
            <w:r w:rsidRPr="001134B0">
              <w:rPr>
                <w:rFonts w:cs="Times"/>
                <w:sz w:val="20"/>
              </w:rPr>
              <w:t>0.33 ± 0.17</w:t>
            </w:r>
          </w:p>
        </w:tc>
        <w:tc>
          <w:tcPr>
            <w:tcW w:w="1276" w:type="dxa"/>
            <w:hideMark/>
          </w:tcPr>
          <w:p w14:paraId="577FE5F6"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60A5FD1C" w14:textId="77777777" w:rsidR="00EB1BB7" w:rsidRPr="001134B0" w:rsidRDefault="00EB1BB7" w:rsidP="00E332F1">
            <w:pPr>
              <w:pStyle w:val="TCTableBody"/>
              <w:rPr>
                <w:rFonts w:cs="Times"/>
                <w:sz w:val="20"/>
              </w:rPr>
            </w:pPr>
            <w:r w:rsidRPr="001134B0">
              <w:rPr>
                <w:rFonts w:cs="Times"/>
                <w:sz w:val="20"/>
              </w:rPr>
              <w:t>0.00 ± 0.00</w:t>
            </w:r>
          </w:p>
        </w:tc>
        <w:tc>
          <w:tcPr>
            <w:tcW w:w="1134" w:type="dxa"/>
            <w:hideMark/>
          </w:tcPr>
          <w:p w14:paraId="5AEC06D8" w14:textId="77777777" w:rsidR="00EB1BB7" w:rsidRPr="001134B0" w:rsidRDefault="00EB1BB7" w:rsidP="00E332F1">
            <w:pPr>
              <w:pStyle w:val="TCTableBody"/>
              <w:rPr>
                <w:rFonts w:cs="Times"/>
                <w:sz w:val="20"/>
              </w:rPr>
            </w:pPr>
            <w:r w:rsidRPr="001134B0">
              <w:rPr>
                <w:rFonts w:cs="Times"/>
                <w:sz w:val="20"/>
              </w:rPr>
              <w:t>3.35</w:t>
            </w:r>
          </w:p>
        </w:tc>
        <w:tc>
          <w:tcPr>
            <w:tcW w:w="851" w:type="dxa"/>
            <w:hideMark/>
          </w:tcPr>
          <w:p w14:paraId="2BCF66FC" w14:textId="77777777" w:rsidR="00EB1BB7" w:rsidRPr="001134B0" w:rsidRDefault="00EB1BB7" w:rsidP="00E332F1">
            <w:pPr>
              <w:pStyle w:val="TCTableBody"/>
              <w:rPr>
                <w:rFonts w:cs="Times"/>
                <w:sz w:val="20"/>
              </w:rPr>
            </w:pPr>
            <w:r w:rsidRPr="001134B0">
              <w:rPr>
                <w:rFonts w:cs="Times"/>
                <w:sz w:val="20"/>
              </w:rPr>
              <w:t>0.044</w:t>
            </w:r>
          </w:p>
        </w:tc>
      </w:tr>
      <w:tr w:rsidR="00ED649A" w:rsidRPr="001134B0" w14:paraId="7BE1654C" w14:textId="77777777" w:rsidTr="00ED649A">
        <w:trPr>
          <w:trHeight w:val="422"/>
        </w:trPr>
        <w:tc>
          <w:tcPr>
            <w:tcW w:w="1888" w:type="dxa"/>
            <w:vMerge w:val="restart"/>
            <w:vAlign w:val="bottom"/>
          </w:tcPr>
          <w:p w14:paraId="06AD32A1" w14:textId="45469297" w:rsidR="00ED649A" w:rsidRPr="001134B0" w:rsidRDefault="00ED649A" w:rsidP="00ED649A">
            <w:pPr>
              <w:pStyle w:val="TCTableBody"/>
              <w:rPr>
                <w:rFonts w:cs="Times"/>
                <w:sz w:val="20"/>
              </w:rPr>
            </w:pPr>
            <w:r w:rsidRPr="001134B0">
              <w:rPr>
                <w:rFonts w:cs="Times"/>
                <w:sz w:val="20"/>
              </w:rPr>
              <w:t>APR_HepG2_</w:t>
            </w:r>
            <w:r w:rsidR="00F20488" w:rsidRPr="001134B0">
              <w:rPr>
                <w:rFonts w:cs="Times"/>
                <w:sz w:val="20"/>
              </w:rPr>
              <w:br/>
            </w:r>
            <w:r w:rsidRPr="001134B0">
              <w:rPr>
                <w:rFonts w:cs="Times"/>
                <w:sz w:val="20"/>
              </w:rPr>
              <w:t>CellLoss_24h_dn</w:t>
            </w:r>
          </w:p>
          <w:p w14:paraId="6688DE1E" w14:textId="001A7845" w:rsidR="00ED649A" w:rsidRPr="001134B0" w:rsidRDefault="00ED649A" w:rsidP="00ED649A">
            <w:pPr>
              <w:pStyle w:val="TCTableBody"/>
              <w:rPr>
                <w:rFonts w:cs="Times"/>
                <w:sz w:val="20"/>
              </w:rPr>
            </w:pPr>
            <w:r w:rsidRPr="001134B0">
              <w:rPr>
                <w:rFonts w:cs="Times"/>
                <w:sz w:val="20"/>
              </w:rPr>
              <w:br/>
            </w:r>
          </w:p>
        </w:tc>
        <w:tc>
          <w:tcPr>
            <w:tcW w:w="992" w:type="dxa"/>
            <w:vAlign w:val="bottom"/>
          </w:tcPr>
          <w:p w14:paraId="2BBE0A0E" w14:textId="377673FC" w:rsidR="00ED649A" w:rsidRPr="001134B0" w:rsidRDefault="00ED649A" w:rsidP="00E92E96">
            <w:pPr>
              <w:pStyle w:val="TCTableBody"/>
              <w:rPr>
                <w:rFonts w:cs="Times"/>
                <w:sz w:val="20"/>
              </w:rPr>
            </w:pPr>
            <w:r w:rsidRPr="001134B0">
              <w:rPr>
                <w:rFonts w:cs="Times"/>
                <w:sz w:val="20"/>
              </w:rPr>
              <w:t>AUC-ROC</w:t>
            </w:r>
          </w:p>
        </w:tc>
        <w:tc>
          <w:tcPr>
            <w:tcW w:w="1276" w:type="dxa"/>
            <w:vAlign w:val="bottom"/>
          </w:tcPr>
          <w:p w14:paraId="349476CE" w14:textId="12849C67" w:rsidR="00ED649A" w:rsidRPr="001134B0" w:rsidRDefault="00ED649A" w:rsidP="00E92E96">
            <w:pPr>
              <w:pStyle w:val="TCTableBody"/>
              <w:rPr>
                <w:rFonts w:cs="Times"/>
                <w:sz w:val="20"/>
              </w:rPr>
            </w:pPr>
            <w:proofErr w:type="spellStart"/>
            <w:r w:rsidRPr="001134B0">
              <w:rPr>
                <w:rFonts w:cs="Times"/>
                <w:sz w:val="20"/>
              </w:rPr>
              <w:t>ErG+CP</w:t>
            </w:r>
            <w:proofErr w:type="spellEnd"/>
          </w:p>
        </w:tc>
        <w:tc>
          <w:tcPr>
            <w:tcW w:w="1275" w:type="dxa"/>
            <w:vAlign w:val="bottom"/>
          </w:tcPr>
          <w:p w14:paraId="3E9E8DC2" w14:textId="402EA3A8" w:rsidR="00ED649A" w:rsidRPr="001134B0" w:rsidRDefault="00ED649A" w:rsidP="00E92E96">
            <w:pPr>
              <w:pStyle w:val="TCTableBody"/>
              <w:rPr>
                <w:rFonts w:cs="Times"/>
                <w:sz w:val="20"/>
              </w:rPr>
            </w:pPr>
            <w:r w:rsidRPr="001134B0">
              <w:rPr>
                <w:rFonts w:cs="Times"/>
                <w:sz w:val="20"/>
              </w:rPr>
              <w:t>0.78 ± 0.16</w:t>
            </w:r>
          </w:p>
        </w:tc>
        <w:tc>
          <w:tcPr>
            <w:tcW w:w="1276" w:type="dxa"/>
            <w:vAlign w:val="bottom"/>
          </w:tcPr>
          <w:p w14:paraId="63B12BE8" w14:textId="1A91196A" w:rsidR="00ED649A" w:rsidRPr="001134B0" w:rsidRDefault="00ED649A" w:rsidP="00E92E96">
            <w:pPr>
              <w:pStyle w:val="TCTableBody"/>
              <w:rPr>
                <w:rFonts w:cs="Times"/>
                <w:sz w:val="20"/>
              </w:rPr>
            </w:pPr>
            <w:r w:rsidRPr="001134B0">
              <w:rPr>
                <w:rFonts w:cs="Times"/>
                <w:sz w:val="20"/>
              </w:rPr>
              <w:t>Morgan</w:t>
            </w:r>
          </w:p>
        </w:tc>
        <w:tc>
          <w:tcPr>
            <w:tcW w:w="1559" w:type="dxa"/>
            <w:vAlign w:val="bottom"/>
          </w:tcPr>
          <w:p w14:paraId="1EEE5AB8" w14:textId="0DDCF9EB" w:rsidR="00ED649A" w:rsidRPr="001134B0" w:rsidRDefault="00ED649A" w:rsidP="00E92E96">
            <w:pPr>
              <w:pStyle w:val="TCTableBody"/>
              <w:rPr>
                <w:rFonts w:cs="Times"/>
                <w:sz w:val="20"/>
              </w:rPr>
            </w:pPr>
            <w:r w:rsidRPr="001134B0">
              <w:rPr>
                <w:rFonts w:cs="Times"/>
                <w:sz w:val="20"/>
              </w:rPr>
              <w:t>0.56 ± 0.11</w:t>
            </w:r>
          </w:p>
        </w:tc>
        <w:tc>
          <w:tcPr>
            <w:tcW w:w="1134" w:type="dxa"/>
            <w:vAlign w:val="bottom"/>
          </w:tcPr>
          <w:p w14:paraId="391B0CDA" w14:textId="54C0FAF8" w:rsidR="00ED649A" w:rsidRPr="001134B0" w:rsidRDefault="00ED649A" w:rsidP="00E92E96">
            <w:pPr>
              <w:pStyle w:val="TCTableBody"/>
              <w:rPr>
                <w:rFonts w:cs="Times"/>
                <w:sz w:val="20"/>
              </w:rPr>
            </w:pPr>
            <w:r w:rsidRPr="001134B0">
              <w:rPr>
                <w:rFonts w:cs="Times"/>
                <w:sz w:val="20"/>
              </w:rPr>
              <w:t>7.04</w:t>
            </w:r>
          </w:p>
        </w:tc>
        <w:tc>
          <w:tcPr>
            <w:tcW w:w="851" w:type="dxa"/>
            <w:vAlign w:val="bottom"/>
          </w:tcPr>
          <w:p w14:paraId="5DC8D006" w14:textId="04FAE4BC" w:rsidR="00ED649A" w:rsidRPr="001134B0" w:rsidRDefault="00ED649A" w:rsidP="00E92E96">
            <w:pPr>
              <w:pStyle w:val="TCTableBody"/>
              <w:rPr>
                <w:rFonts w:cs="Times"/>
                <w:sz w:val="20"/>
              </w:rPr>
            </w:pPr>
            <w:r w:rsidRPr="001134B0">
              <w:rPr>
                <w:rFonts w:cs="Times"/>
                <w:sz w:val="20"/>
              </w:rPr>
              <w:t>0.002</w:t>
            </w:r>
          </w:p>
        </w:tc>
      </w:tr>
      <w:tr w:rsidR="00ED649A" w:rsidRPr="001134B0" w14:paraId="38821084" w14:textId="77777777" w:rsidTr="00EE7CA4">
        <w:trPr>
          <w:trHeight w:val="300"/>
        </w:trPr>
        <w:tc>
          <w:tcPr>
            <w:tcW w:w="1888" w:type="dxa"/>
            <w:vMerge/>
            <w:vAlign w:val="bottom"/>
          </w:tcPr>
          <w:p w14:paraId="7E728122" w14:textId="4451DFC1" w:rsidR="00ED649A" w:rsidRPr="001134B0" w:rsidRDefault="00ED649A" w:rsidP="00E92E96">
            <w:pPr>
              <w:pStyle w:val="TCTableBody"/>
              <w:rPr>
                <w:rFonts w:cs="Times"/>
                <w:sz w:val="20"/>
              </w:rPr>
            </w:pPr>
          </w:p>
        </w:tc>
        <w:tc>
          <w:tcPr>
            <w:tcW w:w="992" w:type="dxa"/>
            <w:vAlign w:val="bottom"/>
          </w:tcPr>
          <w:p w14:paraId="09D0F15D" w14:textId="10F83644" w:rsidR="00ED649A" w:rsidRPr="001134B0" w:rsidRDefault="00ED649A" w:rsidP="00E92E96">
            <w:pPr>
              <w:pStyle w:val="TCTableBody"/>
              <w:rPr>
                <w:rFonts w:cs="Times"/>
                <w:sz w:val="20"/>
              </w:rPr>
            </w:pPr>
            <w:r w:rsidRPr="001134B0">
              <w:rPr>
                <w:rFonts w:cs="Times"/>
                <w:sz w:val="20"/>
              </w:rPr>
              <w:t>AUC-ROC</w:t>
            </w:r>
          </w:p>
        </w:tc>
        <w:tc>
          <w:tcPr>
            <w:tcW w:w="1276" w:type="dxa"/>
            <w:vAlign w:val="bottom"/>
          </w:tcPr>
          <w:p w14:paraId="2FC82194" w14:textId="66DF2B68" w:rsidR="00ED649A" w:rsidRPr="001134B0" w:rsidRDefault="00ED649A" w:rsidP="00E92E96">
            <w:pPr>
              <w:pStyle w:val="TCTableBody"/>
              <w:rPr>
                <w:rFonts w:cs="Times"/>
                <w:sz w:val="20"/>
              </w:rPr>
            </w:pPr>
            <w:proofErr w:type="spellStart"/>
            <w:r w:rsidRPr="001134B0">
              <w:rPr>
                <w:rFonts w:cs="Times"/>
                <w:sz w:val="20"/>
              </w:rPr>
              <w:t>Morgan+CP</w:t>
            </w:r>
            <w:proofErr w:type="spellEnd"/>
          </w:p>
        </w:tc>
        <w:tc>
          <w:tcPr>
            <w:tcW w:w="1275" w:type="dxa"/>
            <w:vAlign w:val="bottom"/>
          </w:tcPr>
          <w:p w14:paraId="2BBCE55C" w14:textId="584944B0" w:rsidR="00ED649A" w:rsidRPr="001134B0" w:rsidRDefault="00ED649A" w:rsidP="00E92E96">
            <w:pPr>
              <w:pStyle w:val="TCTableBody"/>
              <w:rPr>
                <w:rFonts w:cs="Times"/>
                <w:sz w:val="20"/>
              </w:rPr>
            </w:pPr>
            <w:r w:rsidRPr="001134B0">
              <w:rPr>
                <w:rFonts w:cs="Times"/>
                <w:sz w:val="20"/>
              </w:rPr>
              <w:t>0.77 ± 0.16</w:t>
            </w:r>
          </w:p>
        </w:tc>
        <w:tc>
          <w:tcPr>
            <w:tcW w:w="1276" w:type="dxa"/>
            <w:vAlign w:val="bottom"/>
          </w:tcPr>
          <w:p w14:paraId="08B7D5EA" w14:textId="4B88A8CF" w:rsidR="00ED649A" w:rsidRPr="001134B0" w:rsidRDefault="00ED649A" w:rsidP="00E92E96">
            <w:pPr>
              <w:pStyle w:val="TCTableBody"/>
              <w:rPr>
                <w:rFonts w:cs="Times"/>
                <w:sz w:val="20"/>
              </w:rPr>
            </w:pPr>
            <w:r w:rsidRPr="001134B0">
              <w:rPr>
                <w:rFonts w:cs="Times"/>
                <w:sz w:val="20"/>
              </w:rPr>
              <w:t>Morgan</w:t>
            </w:r>
          </w:p>
        </w:tc>
        <w:tc>
          <w:tcPr>
            <w:tcW w:w="1559" w:type="dxa"/>
            <w:vAlign w:val="bottom"/>
          </w:tcPr>
          <w:p w14:paraId="0F961D2B" w14:textId="716C6803" w:rsidR="00ED649A" w:rsidRPr="001134B0" w:rsidRDefault="00ED649A" w:rsidP="00E92E96">
            <w:pPr>
              <w:pStyle w:val="TCTableBody"/>
              <w:rPr>
                <w:rFonts w:cs="Times"/>
                <w:sz w:val="20"/>
              </w:rPr>
            </w:pPr>
            <w:r w:rsidRPr="001134B0">
              <w:rPr>
                <w:rFonts w:cs="Times"/>
                <w:sz w:val="20"/>
              </w:rPr>
              <w:t>0.56 ± 0.11</w:t>
            </w:r>
          </w:p>
        </w:tc>
        <w:tc>
          <w:tcPr>
            <w:tcW w:w="1134" w:type="dxa"/>
            <w:vAlign w:val="bottom"/>
          </w:tcPr>
          <w:p w14:paraId="0CE9C614" w14:textId="737C5CA4" w:rsidR="00ED649A" w:rsidRPr="001134B0" w:rsidRDefault="00ED649A" w:rsidP="00E92E96">
            <w:pPr>
              <w:pStyle w:val="TCTableBody"/>
              <w:rPr>
                <w:rFonts w:cs="Times"/>
                <w:sz w:val="20"/>
              </w:rPr>
            </w:pPr>
            <w:r w:rsidRPr="001134B0">
              <w:rPr>
                <w:rFonts w:cs="Times"/>
                <w:sz w:val="20"/>
              </w:rPr>
              <w:t>7.56</w:t>
            </w:r>
          </w:p>
        </w:tc>
        <w:tc>
          <w:tcPr>
            <w:tcW w:w="851" w:type="dxa"/>
            <w:vAlign w:val="bottom"/>
          </w:tcPr>
          <w:p w14:paraId="7F609D5E" w14:textId="2825BC2B" w:rsidR="00ED649A" w:rsidRPr="001134B0" w:rsidRDefault="00ED649A" w:rsidP="00E92E96">
            <w:pPr>
              <w:pStyle w:val="TCTableBody"/>
              <w:rPr>
                <w:rFonts w:cs="Times"/>
                <w:sz w:val="20"/>
              </w:rPr>
            </w:pPr>
            <w:r w:rsidRPr="001134B0">
              <w:rPr>
                <w:rFonts w:cs="Times"/>
                <w:sz w:val="20"/>
              </w:rPr>
              <w:t>0.001</w:t>
            </w:r>
          </w:p>
        </w:tc>
      </w:tr>
      <w:tr w:rsidR="00EB1BB7" w:rsidRPr="001134B0" w14:paraId="522836AA" w14:textId="77777777" w:rsidTr="00E332F1">
        <w:trPr>
          <w:trHeight w:val="300"/>
        </w:trPr>
        <w:tc>
          <w:tcPr>
            <w:tcW w:w="1888" w:type="dxa"/>
            <w:vMerge w:val="restart"/>
            <w:hideMark/>
          </w:tcPr>
          <w:p w14:paraId="1A9EECEB" w14:textId="77777777" w:rsidR="00EB1BB7" w:rsidRPr="001134B0" w:rsidRDefault="00EB1BB7" w:rsidP="00E332F1">
            <w:pPr>
              <w:pStyle w:val="TCTableBody"/>
              <w:rPr>
                <w:rFonts w:cs="Times"/>
                <w:sz w:val="20"/>
              </w:rPr>
            </w:pPr>
            <w:r w:rsidRPr="001134B0">
              <w:rPr>
                <w:rFonts w:cs="Times"/>
                <w:sz w:val="20"/>
              </w:rPr>
              <w:t>BSK_3C_</w:t>
            </w:r>
            <w:r w:rsidRPr="001134B0">
              <w:rPr>
                <w:rFonts w:cs="Times"/>
                <w:sz w:val="20"/>
              </w:rPr>
              <w:br/>
              <w:t>Proliferation_</w:t>
            </w:r>
            <w:r w:rsidRPr="001134B0">
              <w:rPr>
                <w:rFonts w:cs="Times"/>
                <w:sz w:val="20"/>
              </w:rPr>
              <w:br/>
              <w:t>down</w:t>
            </w:r>
          </w:p>
        </w:tc>
        <w:tc>
          <w:tcPr>
            <w:tcW w:w="992" w:type="dxa"/>
            <w:hideMark/>
          </w:tcPr>
          <w:p w14:paraId="5DF3C4F7" w14:textId="77777777" w:rsidR="00EB1BB7" w:rsidRPr="001134B0" w:rsidRDefault="00EB1BB7" w:rsidP="00E332F1">
            <w:pPr>
              <w:pStyle w:val="TCTableBody"/>
              <w:rPr>
                <w:rFonts w:cs="Times"/>
                <w:sz w:val="20"/>
              </w:rPr>
            </w:pPr>
            <w:r w:rsidRPr="001134B0">
              <w:rPr>
                <w:rFonts w:cs="Times"/>
                <w:sz w:val="20"/>
              </w:rPr>
              <w:t>AUC-ROC</w:t>
            </w:r>
          </w:p>
        </w:tc>
        <w:tc>
          <w:tcPr>
            <w:tcW w:w="1276" w:type="dxa"/>
            <w:hideMark/>
          </w:tcPr>
          <w:p w14:paraId="6BD83083" w14:textId="77777777" w:rsidR="00EB1BB7" w:rsidRPr="001134B0" w:rsidRDefault="00EB1BB7" w:rsidP="00E332F1">
            <w:pPr>
              <w:pStyle w:val="TCTableBody"/>
              <w:rPr>
                <w:rFonts w:cs="Times"/>
                <w:sz w:val="20"/>
              </w:rPr>
            </w:pPr>
            <w:proofErr w:type="spellStart"/>
            <w:r w:rsidRPr="001134B0">
              <w:rPr>
                <w:rFonts w:cs="Times"/>
                <w:sz w:val="20"/>
              </w:rPr>
              <w:t>ErG+CP</w:t>
            </w:r>
            <w:proofErr w:type="spellEnd"/>
          </w:p>
        </w:tc>
        <w:tc>
          <w:tcPr>
            <w:tcW w:w="1275" w:type="dxa"/>
            <w:hideMark/>
          </w:tcPr>
          <w:p w14:paraId="5FCA0A4C" w14:textId="77777777" w:rsidR="00EB1BB7" w:rsidRPr="001134B0" w:rsidRDefault="00EB1BB7" w:rsidP="00E332F1">
            <w:pPr>
              <w:pStyle w:val="TCTableBody"/>
              <w:rPr>
                <w:rFonts w:cs="Times"/>
                <w:sz w:val="20"/>
              </w:rPr>
            </w:pPr>
            <w:r w:rsidRPr="001134B0">
              <w:rPr>
                <w:rFonts w:cs="Times"/>
                <w:sz w:val="20"/>
              </w:rPr>
              <w:t>0.83 ± 0.11</w:t>
            </w:r>
          </w:p>
        </w:tc>
        <w:tc>
          <w:tcPr>
            <w:tcW w:w="1276" w:type="dxa"/>
            <w:hideMark/>
          </w:tcPr>
          <w:p w14:paraId="64F9F76C"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6495E710" w14:textId="77777777" w:rsidR="00EB1BB7" w:rsidRPr="001134B0" w:rsidRDefault="00EB1BB7" w:rsidP="00E332F1">
            <w:pPr>
              <w:pStyle w:val="TCTableBody"/>
              <w:rPr>
                <w:rFonts w:cs="Times"/>
                <w:sz w:val="20"/>
              </w:rPr>
            </w:pPr>
            <w:r w:rsidRPr="001134B0">
              <w:rPr>
                <w:rFonts w:cs="Times"/>
                <w:sz w:val="20"/>
              </w:rPr>
              <w:t>0.60 ± 0.12</w:t>
            </w:r>
          </w:p>
        </w:tc>
        <w:tc>
          <w:tcPr>
            <w:tcW w:w="1134" w:type="dxa"/>
            <w:hideMark/>
          </w:tcPr>
          <w:p w14:paraId="65CE422D" w14:textId="77777777" w:rsidR="00EB1BB7" w:rsidRPr="001134B0" w:rsidRDefault="00EB1BB7" w:rsidP="00E332F1">
            <w:pPr>
              <w:pStyle w:val="TCTableBody"/>
              <w:rPr>
                <w:rFonts w:cs="Times"/>
                <w:sz w:val="20"/>
              </w:rPr>
            </w:pPr>
            <w:r w:rsidRPr="001134B0">
              <w:rPr>
                <w:rFonts w:cs="Times"/>
                <w:sz w:val="20"/>
              </w:rPr>
              <w:t>3.04</w:t>
            </w:r>
          </w:p>
        </w:tc>
        <w:tc>
          <w:tcPr>
            <w:tcW w:w="851" w:type="dxa"/>
            <w:hideMark/>
          </w:tcPr>
          <w:p w14:paraId="34CDB1BC" w14:textId="77777777" w:rsidR="00EB1BB7" w:rsidRPr="001134B0" w:rsidRDefault="00EB1BB7" w:rsidP="00E332F1">
            <w:pPr>
              <w:pStyle w:val="TCTableBody"/>
              <w:rPr>
                <w:rFonts w:cs="Times"/>
                <w:sz w:val="20"/>
              </w:rPr>
            </w:pPr>
            <w:r w:rsidRPr="001134B0">
              <w:rPr>
                <w:rFonts w:cs="Times"/>
                <w:sz w:val="20"/>
              </w:rPr>
              <w:t>0.038</w:t>
            </w:r>
          </w:p>
        </w:tc>
      </w:tr>
      <w:tr w:rsidR="00EB1BB7" w:rsidRPr="001134B0" w14:paraId="35BDF044" w14:textId="77777777" w:rsidTr="00E332F1">
        <w:trPr>
          <w:trHeight w:val="300"/>
        </w:trPr>
        <w:tc>
          <w:tcPr>
            <w:tcW w:w="1888" w:type="dxa"/>
            <w:vMerge/>
            <w:hideMark/>
          </w:tcPr>
          <w:p w14:paraId="6BC5E887" w14:textId="77777777" w:rsidR="00EB1BB7" w:rsidRPr="001134B0" w:rsidRDefault="00EB1BB7" w:rsidP="00E332F1">
            <w:pPr>
              <w:pStyle w:val="TCTableBody"/>
              <w:rPr>
                <w:rFonts w:cs="Times"/>
                <w:sz w:val="20"/>
              </w:rPr>
            </w:pPr>
          </w:p>
        </w:tc>
        <w:tc>
          <w:tcPr>
            <w:tcW w:w="992" w:type="dxa"/>
            <w:hideMark/>
          </w:tcPr>
          <w:p w14:paraId="22767BE8" w14:textId="77777777" w:rsidR="00EB1BB7" w:rsidRPr="001134B0" w:rsidRDefault="00EB1BB7" w:rsidP="00E332F1">
            <w:pPr>
              <w:pStyle w:val="TCTableBody"/>
              <w:rPr>
                <w:rFonts w:cs="Times"/>
                <w:sz w:val="20"/>
              </w:rPr>
            </w:pPr>
            <w:r w:rsidRPr="001134B0">
              <w:rPr>
                <w:rFonts w:cs="Times"/>
                <w:sz w:val="20"/>
              </w:rPr>
              <w:t>AUC-ROC</w:t>
            </w:r>
          </w:p>
        </w:tc>
        <w:tc>
          <w:tcPr>
            <w:tcW w:w="1276" w:type="dxa"/>
            <w:hideMark/>
          </w:tcPr>
          <w:p w14:paraId="367C264F" w14:textId="77777777" w:rsidR="00EB1BB7" w:rsidRPr="001134B0" w:rsidRDefault="00EB1BB7" w:rsidP="00E332F1">
            <w:pPr>
              <w:pStyle w:val="TCTableBody"/>
              <w:rPr>
                <w:rFonts w:cs="Times"/>
                <w:sz w:val="20"/>
              </w:rPr>
            </w:pPr>
            <w:proofErr w:type="spellStart"/>
            <w:r w:rsidRPr="001134B0">
              <w:rPr>
                <w:rFonts w:cs="Times"/>
                <w:sz w:val="20"/>
              </w:rPr>
              <w:t>Morgan+CP</w:t>
            </w:r>
            <w:proofErr w:type="spellEnd"/>
          </w:p>
        </w:tc>
        <w:tc>
          <w:tcPr>
            <w:tcW w:w="1275" w:type="dxa"/>
            <w:hideMark/>
          </w:tcPr>
          <w:p w14:paraId="53D672EC" w14:textId="77777777" w:rsidR="00EB1BB7" w:rsidRPr="001134B0" w:rsidRDefault="00EB1BB7" w:rsidP="00E332F1">
            <w:pPr>
              <w:pStyle w:val="TCTableBody"/>
              <w:rPr>
                <w:rFonts w:cs="Times"/>
                <w:sz w:val="20"/>
              </w:rPr>
            </w:pPr>
            <w:r w:rsidRPr="001134B0">
              <w:rPr>
                <w:rFonts w:cs="Times"/>
                <w:sz w:val="20"/>
              </w:rPr>
              <w:t>0.73 ± 0.11</w:t>
            </w:r>
          </w:p>
        </w:tc>
        <w:tc>
          <w:tcPr>
            <w:tcW w:w="1276" w:type="dxa"/>
            <w:hideMark/>
          </w:tcPr>
          <w:p w14:paraId="6503B9D9"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5AFDAC2C" w14:textId="77777777" w:rsidR="00EB1BB7" w:rsidRPr="001134B0" w:rsidRDefault="00EB1BB7" w:rsidP="00E332F1">
            <w:pPr>
              <w:pStyle w:val="TCTableBody"/>
              <w:rPr>
                <w:rFonts w:cs="Times"/>
                <w:sz w:val="20"/>
              </w:rPr>
            </w:pPr>
            <w:r w:rsidRPr="001134B0">
              <w:rPr>
                <w:rFonts w:cs="Times"/>
                <w:sz w:val="20"/>
              </w:rPr>
              <w:t>0.60 ± 0.12</w:t>
            </w:r>
          </w:p>
        </w:tc>
        <w:tc>
          <w:tcPr>
            <w:tcW w:w="1134" w:type="dxa"/>
            <w:hideMark/>
          </w:tcPr>
          <w:p w14:paraId="50C2F4DE" w14:textId="77777777" w:rsidR="00EB1BB7" w:rsidRPr="001134B0" w:rsidRDefault="00EB1BB7" w:rsidP="00E332F1">
            <w:pPr>
              <w:pStyle w:val="TCTableBody"/>
              <w:rPr>
                <w:rFonts w:cs="Times"/>
                <w:sz w:val="20"/>
              </w:rPr>
            </w:pPr>
            <w:r w:rsidRPr="001134B0">
              <w:rPr>
                <w:rFonts w:cs="Times"/>
                <w:sz w:val="20"/>
              </w:rPr>
              <w:t>3.14</w:t>
            </w:r>
          </w:p>
        </w:tc>
        <w:tc>
          <w:tcPr>
            <w:tcW w:w="851" w:type="dxa"/>
            <w:hideMark/>
          </w:tcPr>
          <w:p w14:paraId="6238BD2A" w14:textId="77777777" w:rsidR="00EB1BB7" w:rsidRPr="001134B0" w:rsidRDefault="00EB1BB7" w:rsidP="00E332F1">
            <w:pPr>
              <w:pStyle w:val="TCTableBody"/>
              <w:rPr>
                <w:rFonts w:cs="Times"/>
                <w:sz w:val="20"/>
              </w:rPr>
            </w:pPr>
            <w:r w:rsidRPr="001134B0">
              <w:rPr>
                <w:rFonts w:cs="Times"/>
                <w:sz w:val="20"/>
              </w:rPr>
              <w:t>0.035</w:t>
            </w:r>
          </w:p>
        </w:tc>
      </w:tr>
      <w:tr w:rsidR="00EB1BB7" w:rsidRPr="001134B0" w14:paraId="7C8207AB" w14:textId="77777777" w:rsidTr="00E332F1">
        <w:trPr>
          <w:trHeight w:val="300"/>
        </w:trPr>
        <w:tc>
          <w:tcPr>
            <w:tcW w:w="1888" w:type="dxa"/>
            <w:vMerge/>
            <w:hideMark/>
          </w:tcPr>
          <w:p w14:paraId="52B72BC8" w14:textId="77777777" w:rsidR="00EB1BB7" w:rsidRPr="001134B0" w:rsidRDefault="00EB1BB7" w:rsidP="00E332F1">
            <w:pPr>
              <w:pStyle w:val="TCTableBody"/>
              <w:rPr>
                <w:rFonts w:cs="Times"/>
                <w:sz w:val="20"/>
              </w:rPr>
            </w:pPr>
          </w:p>
        </w:tc>
        <w:tc>
          <w:tcPr>
            <w:tcW w:w="992" w:type="dxa"/>
            <w:hideMark/>
          </w:tcPr>
          <w:p w14:paraId="581771A5" w14:textId="77777777" w:rsidR="00EB1BB7" w:rsidRPr="001134B0" w:rsidRDefault="00EB1BB7" w:rsidP="00E332F1">
            <w:pPr>
              <w:pStyle w:val="TCTableBody"/>
              <w:rPr>
                <w:rFonts w:cs="Times"/>
                <w:sz w:val="20"/>
              </w:rPr>
            </w:pPr>
            <w:r w:rsidRPr="001134B0">
              <w:rPr>
                <w:rFonts w:cs="Times"/>
                <w:sz w:val="20"/>
              </w:rPr>
              <w:t>BA</w:t>
            </w:r>
          </w:p>
        </w:tc>
        <w:tc>
          <w:tcPr>
            <w:tcW w:w="1276" w:type="dxa"/>
            <w:hideMark/>
          </w:tcPr>
          <w:p w14:paraId="166FA68E" w14:textId="77777777" w:rsidR="00EB1BB7" w:rsidRPr="001134B0" w:rsidRDefault="00EB1BB7" w:rsidP="00E332F1">
            <w:pPr>
              <w:pStyle w:val="TCTableBody"/>
              <w:rPr>
                <w:rFonts w:cs="Times"/>
                <w:sz w:val="20"/>
              </w:rPr>
            </w:pPr>
            <w:proofErr w:type="spellStart"/>
            <w:r w:rsidRPr="001134B0">
              <w:rPr>
                <w:rFonts w:cs="Times"/>
                <w:sz w:val="20"/>
              </w:rPr>
              <w:t>ErG+CP</w:t>
            </w:r>
            <w:proofErr w:type="spellEnd"/>
          </w:p>
        </w:tc>
        <w:tc>
          <w:tcPr>
            <w:tcW w:w="1275" w:type="dxa"/>
            <w:hideMark/>
          </w:tcPr>
          <w:p w14:paraId="5455405E" w14:textId="77777777" w:rsidR="00EB1BB7" w:rsidRPr="001134B0" w:rsidRDefault="00EB1BB7" w:rsidP="00E332F1">
            <w:pPr>
              <w:pStyle w:val="TCTableBody"/>
              <w:rPr>
                <w:rFonts w:cs="Times"/>
                <w:sz w:val="20"/>
              </w:rPr>
            </w:pPr>
            <w:r w:rsidRPr="001134B0">
              <w:rPr>
                <w:rFonts w:cs="Times"/>
                <w:sz w:val="20"/>
              </w:rPr>
              <w:t>0.71 ± 0.09</w:t>
            </w:r>
          </w:p>
        </w:tc>
        <w:tc>
          <w:tcPr>
            <w:tcW w:w="1276" w:type="dxa"/>
            <w:hideMark/>
          </w:tcPr>
          <w:p w14:paraId="65934B7C"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5EC3BF1E" w14:textId="77777777" w:rsidR="00EB1BB7" w:rsidRPr="001134B0" w:rsidRDefault="00EB1BB7" w:rsidP="00E332F1">
            <w:pPr>
              <w:pStyle w:val="TCTableBody"/>
              <w:rPr>
                <w:rFonts w:cs="Times"/>
                <w:sz w:val="20"/>
              </w:rPr>
            </w:pPr>
            <w:r w:rsidRPr="001134B0">
              <w:rPr>
                <w:rFonts w:cs="Times"/>
                <w:sz w:val="20"/>
              </w:rPr>
              <w:t>0.54 ± 0.09</w:t>
            </w:r>
          </w:p>
        </w:tc>
        <w:tc>
          <w:tcPr>
            <w:tcW w:w="1134" w:type="dxa"/>
            <w:hideMark/>
          </w:tcPr>
          <w:p w14:paraId="1687D165" w14:textId="77777777" w:rsidR="00EB1BB7" w:rsidRPr="001134B0" w:rsidRDefault="00EB1BB7" w:rsidP="00E332F1">
            <w:pPr>
              <w:pStyle w:val="TCTableBody"/>
              <w:rPr>
                <w:rFonts w:cs="Times"/>
                <w:sz w:val="20"/>
              </w:rPr>
            </w:pPr>
            <w:r w:rsidRPr="001134B0">
              <w:rPr>
                <w:rFonts w:cs="Times"/>
                <w:sz w:val="20"/>
              </w:rPr>
              <w:t>3.05</w:t>
            </w:r>
          </w:p>
        </w:tc>
        <w:tc>
          <w:tcPr>
            <w:tcW w:w="851" w:type="dxa"/>
            <w:hideMark/>
          </w:tcPr>
          <w:p w14:paraId="7378CDF4" w14:textId="77777777" w:rsidR="00EB1BB7" w:rsidRPr="001134B0" w:rsidRDefault="00EB1BB7" w:rsidP="00E332F1">
            <w:pPr>
              <w:pStyle w:val="TCTableBody"/>
              <w:rPr>
                <w:rFonts w:cs="Times"/>
                <w:sz w:val="20"/>
              </w:rPr>
            </w:pPr>
            <w:r w:rsidRPr="001134B0">
              <w:rPr>
                <w:rFonts w:cs="Times"/>
                <w:sz w:val="20"/>
              </w:rPr>
              <w:t>0.038</w:t>
            </w:r>
          </w:p>
        </w:tc>
      </w:tr>
      <w:tr w:rsidR="00EB1BB7" w:rsidRPr="001134B0" w14:paraId="01A0B1F5" w14:textId="77777777" w:rsidTr="00E332F1">
        <w:trPr>
          <w:trHeight w:val="300"/>
        </w:trPr>
        <w:tc>
          <w:tcPr>
            <w:tcW w:w="1888" w:type="dxa"/>
            <w:hideMark/>
          </w:tcPr>
          <w:p w14:paraId="236D190B" w14:textId="1982AD7F" w:rsidR="00EB1BB7" w:rsidRPr="001134B0" w:rsidRDefault="00EB1BB7" w:rsidP="00E332F1">
            <w:pPr>
              <w:pStyle w:val="TCTableBody"/>
              <w:rPr>
                <w:rFonts w:cs="Times"/>
                <w:sz w:val="20"/>
              </w:rPr>
            </w:pPr>
            <w:r w:rsidRPr="001134B0">
              <w:rPr>
                <w:rFonts w:cs="Times"/>
                <w:sz w:val="20"/>
              </w:rPr>
              <w:t>BSK_3C_SRB</w:t>
            </w:r>
            <w:r w:rsidR="00F20488" w:rsidRPr="001134B0">
              <w:rPr>
                <w:rFonts w:cs="Times"/>
                <w:sz w:val="20"/>
              </w:rPr>
              <w:br/>
            </w:r>
            <w:r w:rsidRPr="001134B0">
              <w:rPr>
                <w:rFonts w:cs="Times"/>
                <w:sz w:val="20"/>
              </w:rPr>
              <w:t>_down</w:t>
            </w:r>
          </w:p>
        </w:tc>
        <w:tc>
          <w:tcPr>
            <w:tcW w:w="992" w:type="dxa"/>
            <w:hideMark/>
          </w:tcPr>
          <w:p w14:paraId="2B668075" w14:textId="77777777" w:rsidR="00EB1BB7" w:rsidRPr="001134B0" w:rsidRDefault="00EB1BB7" w:rsidP="00E332F1">
            <w:pPr>
              <w:pStyle w:val="TCTableBody"/>
              <w:rPr>
                <w:rFonts w:cs="Times"/>
                <w:sz w:val="20"/>
              </w:rPr>
            </w:pPr>
            <w:r w:rsidRPr="001134B0">
              <w:rPr>
                <w:rFonts w:cs="Times"/>
                <w:sz w:val="20"/>
              </w:rPr>
              <w:t>AUC-ROC</w:t>
            </w:r>
          </w:p>
        </w:tc>
        <w:tc>
          <w:tcPr>
            <w:tcW w:w="1276" w:type="dxa"/>
            <w:hideMark/>
          </w:tcPr>
          <w:p w14:paraId="165ACA98" w14:textId="77777777" w:rsidR="00EB1BB7" w:rsidRPr="001134B0" w:rsidRDefault="00EB1BB7" w:rsidP="00E332F1">
            <w:pPr>
              <w:pStyle w:val="TCTableBody"/>
              <w:rPr>
                <w:rFonts w:cs="Times"/>
                <w:sz w:val="20"/>
              </w:rPr>
            </w:pPr>
            <w:proofErr w:type="spellStart"/>
            <w:r w:rsidRPr="001134B0">
              <w:rPr>
                <w:rFonts w:cs="Times"/>
                <w:sz w:val="20"/>
              </w:rPr>
              <w:t>ErG+CP</w:t>
            </w:r>
            <w:proofErr w:type="spellEnd"/>
          </w:p>
        </w:tc>
        <w:tc>
          <w:tcPr>
            <w:tcW w:w="1275" w:type="dxa"/>
            <w:hideMark/>
          </w:tcPr>
          <w:p w14:paraId="341AE4A3" w14:textId="77777777" w:rsidR="00EB1BB7" w:rsidRPr="001134B0" w:rsidRDefault="00EB1BB7" w:rsidP="00E332F1">
            <w:pPr>
              <w:pStyle w:val="TCTableBody"/>
              <w:rPr>
                <w:rFonts w:cs="Times"/>
                <w:sz w:val="20"/>
              </w:rPr>
            </w:pPr>
            <w:r w:rsidRPr="001134B0">
              <w:rPr>
                <w:rFonts w:cs="Times"/>
                <w:sz w:val="20"/>
              </w:rPr>
              <w:t>0.69 ± 0.10</w:t>
            </w:r>
          </w:p>
        </w:tc>
        <w:tc>
          <w:tcPr>
            <w:tcW w:w="1276" w:type="dxa"/>
            <w:hideMark/>
          </w:tcPr>
          <w:p w14:paraId="06C21CA2" w14:textId="77777777" w:rsidR="00EB1BB7" w:rsidRPr="001134B0" w:rsidRDefault="00EB1BB7" w:rsidP="00E332F1">
            <w:pPr>
              <w:pStyle w:val="TCTableBody"/>
              <w:rPr>
                <w:rFonts w:cs="Times"/>
                <w:sz w:val="20"/>
              </w:rPr>
            </w:pPr>
            <w:proofErr w:type="spellStart"/>
            <w:r w:rsidRPr="001134B0">
              <w:rPr>
                <w:rFonts w:cs="Times"/>
                <w:sz w:val="20"/>
              </w:rPr>
              <w:t>ErG</w:t>
            </w:r>
            <w:proofErr w:type="spellEnd"/>
          </w:p>
        </w:tc>
        <w:tc>
          <w:tcPr>
            <w:tcW w:w="1559" w:type="dxa"/>
            <w:hideMark/>
          </w:tcPr>
          <w:p w14:paraId="5FD1170A" w14:textId="77777777" w:rsidR="00EB1BB7" w:rsidRPr="001134B0" w:rsidRDefault="00EB1BB7" w:rsidP="00E332F1">
            <w:pPr>
              <w:pStyle w:val="TCTableBody"/>
              <w:rPr>
                <w:rFonts w:cs="Times"/>
                <w:sz w:val="20"/>
              </w:rPr>
            </w:pPr>
            <w:r w:rsidRPr="001134B0">
              <w:rPr>
                <w:rFonts w:cs="Times"/>
                <w:sz w:val="20"/>
              </w:rPr>
              <w:t>0.53 ± 0.12</w:t>
            </w:r>
          </w:p>
        </w:tc>
        <w:tc>
          <w:tcPr>
            <w:tcW w:w="1134" w:type="dxa"/>
            <w:hideMark/>
          </w:tcPr>
          <w:p w14:paraId="736DD091" w14:textId="77777777" w:rsidR="00EB1BB7" w:rsidRPr="001134B0" w:rsidRDefault="00EB1BB7" w:rsidP="00E332F1">
            <w:pPr>
              <w:pStyle w:val="TCTableBody"/>
              <w:rPr>
                <w:rFonts w:cs="Times"/>
                <w:sz w:val="20"/>
              </w:rPr>
            </w:pPr>
            <w:r w:rsidRPr="001134B0">
              <w:rPr>
                <w:rFonts w:cs="Times"/>
                <w:sz w:val="20"/>
              </w:rPr>
              <w:t>3.36</w:t>
            </w:r>
          </w:p>
        </w:tc>
        <w:tc>
          <w:tcPr>
            <w:tcW w:w="851" w:type="dxa"/>
            <w:hideMark/>
          </w:tcPr>
          <w:p w14:paraId="56E74721" w14:textId="77777777" w:rsidR="00EB1BB7" w:rsidRPr="001134B0" w:rsidRDefault="00EB1BB7" w:rsidP="00E332F1">
            <w:pPr>
              <w:pStyle w:val="TCTableBody"/>
              <w:rPr>
                <w:rFonts w:cs="Times"/>
                <w:sz w:val="20"/>
              </w:rPr>
            </w:pPr>
            <w:r w:rsidRPr="001134B0">
              <w:rPr>
                <w:rFonts w:cs="Times"/>
                <w:sz w:val="20"/>
              </w:rPr>
              <w:t>0.028</w:t>
            </w:r>
          </w:p>
        </w:tc>
      </w:tr>
      <w:tr w:rsidR="00EB1BB7" w:rsidRPr="001134B0" w14:paraId="7EBF148B" w14:textId="77777777" w:rsidTr="00E332F1">
        <w:trPr>
          <w:trHeight w:val="300"/>
        </w:trPr>
        <w:tc>
          <w:tcPr>
            <w:tcW w:w="1888" w:type="dxa"/>
            <w:vMerge w:val="restart"/>
            <w:hideMark/>
          </w:tcPr>
          <w:p w14:paraId="0CD7A5E0" w14:textId="77777777" w:rsidR="00EB1BB7" w:rsidRPr="001134B0" w:rsidRDefault="00EB1BB7" w:rsidP="00E332F1">
            <w:pPr>
              <w:pStyle w:val="TCTableBody"/>
              <w:rPr>
                <w:rFonts w:cs="Times"/>
                <w:sz w:val="20"/>
              </w:rPr>
            </w:pPr>
            <w:r w:rsidRPr="001134B0">
              <w:rPr>
                <w:rFonts w:cs="Times"/>
                <w:sz w:val="20"/>
              </w:rPr>
              <w:t>BSK_3C_Vis_down</w:t>
            </w:r>
          </w:p>
        </w:tc>
        <w:tc>
          <w:tcPr>
            <w:tcW w:w="992" w:type="dxa"/>
            <w:hideMark/>
          </w:tcPr>
          <w:p w14:paraId="480339BF" w14:textId="77777777" w:rsidR="00EB1BB7" w:rsidRPr="001134B0" w:rsidRDefault="00EB1BB7" w:rsidP="00E332F1">
            <w:pPr>
              <w:pStyle w:val="TCTableBody"/>
              <w:rPr>
                <w:rFonts w:cs="Times"/>
                <w:sz w:val="20"/>
              </w:rPr>
            </w:pPr>
            <w:r w:rsidRPr="001134B0">
              <w:rPr>
                <w:rFonts w:cs="Times"/>
                <w:sz w:val="20"/>
              </w:rPr>
              <w:t>AUC-ROC</w:t>
            </w:r>
          </w:p>
        </w:tc>
        <w:tc>
          <w:tcPr>
            <w:tcW w:w="1276" w:type="dxa"/>
            <w:hideMark/>
          </w:tcPr>
          <w:p w14:paraId="3ECB42A5" w14:textId="77777777" w:rsidR="00EB1BB7" w:rsidRPr="001134B0" w:rsidRDefault="00EB1BB7" w:rsidP="00E332F1">
            <w:pPr>
              <w:pStyle w:val="TCTableBody"/>
              <w:rPr>
                <w:rFonts w:cs="Times"/>
                <w:sz w:val="20"/>
              </w:rPr>
            </w:pPr>
            <w:proofErr w:type="spellStart"/>
            <w:r w:rsidRPr="001134B0">
              <w:rPr>
                <w:rFonts w:cs="Times"/>
                <w:sz w:val="20"/>
              </w:rPr>
              <w:t>ErG+CP</w:t>
            </w:r>
            <w:proofErr w:type="spellEnd"/>
          </w:p>
        </w:tc>
        <w:tc>
          <w:tcPr>
            <w:tcW w:w="1275" w:type="dxa"/>
            <w:hideMark/>
          </w:tcPr>
          <w:p w14:paraId="16C88577" w14:textId="77777777" w:rsidR="00EB1BB7" w:rsidRPr="001134B0" w:rsidRDefault="00EB1BB7" w:rsidP="00E332F1">
            <w:pPr>
              <w:pStyle w:val="TCTableBody"/>
              <w:rPr>
                <w:rFonts w:cs="Times"/>
                <w:sz w:val="20"/>
              </w:rPr>
            </w:pPr>
            <w:r w:rsidRPr="001134B0">
              <w:rPr>
                <w:rFonts w:cs="Times"/>
                <w:sz w:val="20"/>
              </w:rPr>
              <w:t>0.73 ± 0.14</w:t>
            </w:r>
          </w:p>
        </w:tc>
        <w:tc>
          <w:tcPr>
            <w:tcW w:w="1276" w:type="dxa"/>
            <w:hideMark/>
          </w:tcPr>
          <w:p w14:paraId="25B4F1AF" w14:textId="77777777" w:rsidR="00EB1BB7" w:rsidRPr="001134B0" w:rsidRDefault="00EB1BB7" w:rsidP="00E332F1">
            <w:pPr>
              <w:pStyle w:val="TCTableBody"/>
              <w:rPr>
                <w:rFonts w:cs="Times"/>
                <w:sz w:val="20"/>
              </w:rPr>
            </w:pPr>
            <w:proofErr w:type="spellStart"/>
            <w:r w:rsidRPr="001134B0">
              <w:rPr>
                <w:rFonts w:cs="Times"/>
                <w:sz w:val="20"/>
              </w:rPr>
              <w:t>ErG</w:t>
            </w:r>
            <w:proofErr w:type="spellEnd"/>
          </w:p>
        </w:tc>
        <w:tc>
          <w:tcPr>
            <w:tcW w:w="1559" w:type="dxa"/>
            <w:hideMark/>
          </w:tcPr>
          <w:p w14:paraId="29A89D0B" w14:textId="77777777" w:rsidR="00EB1BB7" w:rsidRPr="001134B0" w:rsidRDefault="00EB1BB7" w:rsidP="00E332F1">
            <w:pPr>
              <w:pStyle w:val="TCTableBody"/>
              <w:rPr>
                <w:rFonts w:cs="Times"/>
                <w:sz w:val="20"/>
              </w:rPr>
            </w:pPr>
            <w:r w:rsidRPr="001134B0">
              <w:rPr>
                <w:rFonts w:cs="Times"/>
                <w:sz w:val="20"/>
              </w:rPr>
              <w:t>0.55 ± 0.12</w:t>
            </w:r>
          </w:p>
        </w:tc>
        <w:tc>
          <w:tcPr>
            <w:tcW w:w="1134" w:type="dxa"/>
            <w:hideMark/>
          </w:tcPr>
          <w:p w14:paraId="449D7A00" w14:textId="77777777" w:rsidR="00EB1BB7" w:rsidRPr="001134B0" w:rsidRDefault="00EB1BB7" w:rsidP="00E332F1">
            <w:pPr>
              <w:pStyle w:val="TCTableBody"/>
              <w:rPr>
                <w:rFonts w:cs="Times"/>
                <w:sz w:val="20"/>
              </w:rPr>
            </w:pPr>
            <w:r w:rsidRPr="001134B0">
              <w:rPr>
                <w:rFonts w:cs="Times"/>
                <w:sz w:val="20"/>
              </w:rPr>
              <w:t>3.05</w:t>
            </w:r>
          </w:p>
        </w:tc>
        <w:tc>
          <w:tcPr>
            <w:tcW w:w="851" w:type="dxa"/>
            <w:hideMark/>
          </w:tcPr>
          <w:p w14:paraId="685E2505" w14:textId="77777777" w:rsidR="00EB1BB7" w:rsidRPr="001134B0" w:rsidRDefault="00EB1BB7" w:rsidP="00E332F1">
            <w:pPr>
              <w:pStyle w:val="TCTableBody"/>
              <w:rPr>
                <w:rFonts w:cs="Times"/>
                <w:sz w:val="20"/>
              </w:rPr>
            </w:pPr>
            <w:r w:rsidRPr="001134B0">
              <w:rPr>
                <w:rFonts w:cs="Times"/>
                <w:sz w:val="20"/>
              </w:rPr>
              <w:t>0.038</w:t>
            </w:r>
          </w:p>
        </w:tc>
      </w:tr>
      <w:tr w:rsidR="00EB1BB7" w:rsidRPr="001134B0" w14:paraId="05D46E7E" w14:textId="77777777" w:rsidTr="00E332F1">
        <w:trPr>
          <w:trHeight w:val="300"/>
        </w:trPr>
        <w:tc>
          <w:tcPr>
            <w:tcW w:w="1888" w:type="dxa"/>
            <w:vMerge/>
            <w:hideMark/>
          </w:tcPr>
          <w:p w14:paraId="03840FA3" w14:textId="77777777" w:rsidR="00EB1BB7" w:rsidRPr="001134B0" w:rsidRDefault="00EB1BB7" w:rsidP="00E332F1">
            <w:pPr>
              <w:pStyle w:val="TCTableBody"/>
              <w:rPr>
                <w:rFonts w:cs="Times"/>
                <w:sz w:val="20"/>
              </w:rPr>
            </w:pPr>
          </w:p>
        </w:tc>
        <w:tc>
          <w:tcPr>
            <w:tcW w:w="992" w:type="dxa"/>
            <w:hideMark/>
          </w:tcPr>
          <w:p w14:paraId="7C588C7E" w14:textId="77777777" w:rsidR="00EB1BB7" w:rsidRPr="001134B0" w:rsidRDefault="00EB1BB7" w:rsidP="00E332F1">
            <w:pPr>
              <w:pStyle w:val="TCTableBody"/>
              <w:rPr>
                <w:rFonts w:cs="Times"/>
                <w:sz w:val="20"/>
              </w:rPr>
            </w:pPr>
            <w:r w:rsidRPr="001134B0">
              <w:rPr>
                <w:rFonts w:cs="Times"/>
                <w:sz w:val="20"/>
              </w:rPr>
              <w:t>BA</w:t>
            </w:r>
          </w:p>
        </w:tc>
        <w:tc>
          <w:tcPr>
            <w:tcW w:w="1276" w:type="dxa"/>
            <w:hideMark/>
          </w:tcPr>
          <w:p w14:paraId="6C12CB63" w14:textId="77777777" w:rsidR="00EB1BB7" w:rsidRPr="001134B0" w:rsidRDefault="00EB1BB7" w:rsidP="00E332F1">
            <w:pPr>
              <w:pStyle w:val="TCTableBody"/>
              <w:rPr>
                <w:rFonts w:cs="Times"/>
                <w:sz w:val="20"/>
              </w:rPr>
            </w:pPr>
            <w:proofErr w:type="spellStart"/>
            <w:r w:rsidRPr="001134B0">
              <w:rPr>
                <w:rFonts w:cs="Times"/>
                <w:sz w:val="20"/>
              </w:rPr>
              <w:t>Morgan+CP</w:t>
            </w:r>
            <w:proofErr w:type="spellEnd"/>
          </w:p>
        </w:tc>
        <w:tc>
          <w:tcPr>
            <w:tcW w:w="1275" w:type="dxa"/>
            <w:hideMark/>
          </w:tcPr>
          <w:p w14:paraId="28117A7F" w14:textId="77777777" w:rsidR="00EB1BB7" w:rsidRPr="001134B0" w:rsidRDefault="00EB1BB7" w:rsidP="00E332F1">
            <w:pPr>
              <w:pStyle w:val="TCTableBody"/>
              <w:rPr>
                <w:rFonts w:cs="Times"/>
                <w:sz w:val="20"/>
              </w:rPr>
            </w:pPr>
            <w:r w:rsidRPr="001134B0">
              <w:rPr>
                <w:rFonts w:cs="Times"/>
                <w:sz w:val="20"/>
              </w:rPr>
              <w:t>0.68 ± 0.10</w:t>
            </w:r>
          </w:p>
        </w:tc>
        <w:tc>
          <w:tcPr>
            <w:tcW w:w="1276" w:type="dxa"/>
            <w:hideMark/>
          </w:tcPr>
          <w:p w14:paraId="41951268"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0EF0096F" w14:textId="77777777" w:rsidR="00EB1BB7" w:rsidRPr="001134B0" w:rsidRDefault="00EB1BB7" w:rsidP="00E332F1">
            <w:pPr>
              <w:pStyle w:val="TCTableBody"/>
              <w:rPr>
                <w:rFonts w:cs="Times"/>
                <w:sz w:val="20"/>
              </w:rPr>
            </w:pPr>
            <w:r w:rsidRPr="001134B0">
              <w:rPr>
                <w:rFonts w:cs="Times"/>
                <w:sz w:val="20"/>
              </w:rPr>
              <w:t>0.52 ± 0.04</w:t>
            </w:r>
          </w:p>
        </w:tc>
        <w:tc>
          <w:tcPr>
            <w:tcW w:w="1134" w:type="dxa"/>
            <w:hideMark/>
          </w:tcPr>
          <w:p w14:paraId="29A69F26" w14:textId="77777777" w:rsidR="00EB1BB7" w:rsidRPr="001134B0" w:rsidRDefault="00EB1BB7" w:rsidP="00E332F1">
            <w:pPr>
              <w:pStyle w:val="TCTableBody"/>
              <w:rPr>
                <w:rFonts w:cs="Times"/>
                <w:sz w:val="20"/>
              </w:rPr>
            </w:pPr>
            <w:r w:rsidRPr="001134B0">
              <w:rPr>
                <w:rFonts w:cs="Times"/>
                <w:sz w:val="20"/>
              </w:rPr>
              <w:t>3.55</w:t>
            </w:r>
          </w:p>
        </w:tc>
        <w:tc>
          <w:tcPr>
            <w:tcW w:w="851" w:type="dxa"/>
            <w:hideMark/>
          </w:tcPr>
          <w:p w14:paraId="783434A4" w14:textId="77777777" w:rsidR="00EB1BB7" w:rsidRPr="001134B0" w:rsidRDefault="00EB1BB7" w:rsidP="00E332F1">
            <w:pPr>
              <w:pStyle w:val="TCTableBody"/>
              <w:rPr>
                <w:rFonts w:cs="Times"/>
                <w:sz w:val="20"/>
              </w:rPr>
            </w:pPr>
            <w:r w:rsidRPr="001134B0">
              <w:rPr>
                <w:rFonts w:cs="Times"/>
                <w:sz w:val="20"/>
              </w:rPr>
              <w:t>0.024</w:t>
            </w:r>
          </w:p>
        </w:tc>
      </w:tr>
      <w:tr w:rsidR="00EB1BB7" w:rsidRPr="001134B0" w14:paraId="4806401C" w14:textId="77777777" w:rsidTr="00E332F1">
        <w:trPr>
          <w:trHeight w:val="300"/>
        </w:trPr>
        <w:tc>
          <w:tcPr>
            <w:tcW w:w="1888" w:type="dxa"/>
            <w:vMerge/>
            <w:hideMark/>
          </w:tcPr>
          <w:p w14:paraId="419F9571" w14:textId="77777777" w:rsidR="00EB1BB7" w:rsidRPr="001134B0" w:rsidRDefault="00EB1BB7" w:rsidP="00E332F1">
            <w:pPr>
              <w:pStyle w:val="TCTableBody"/>
              <w:rPr>
                <w:rFonts w:cs="Times"/>
                <w:sz w:val="20"/>
              </w:rPr>
            </w:pPr>
          </w:p>
        </w:tc>
        <w:tc>
          <w:tcPr>
            <w:tcW w:w="992" w:type="dxa"/>
            <w:hideMark/>
          </w:tcPr>
          <w:p w14:paraId="2234D656" w14:textId="77777777" w:rsidR="00EB1BB7" w:rsidRPr="001134B0" w:rsidRDefault="00EB1BB7" w:rsidP="00E332F1">
            <w:pPr>
              <w:pStyle w:val="TCTableBody"/>
              <w:rPr>
                <w:rFonts w:cs="Times"/>
                <w:sz w:val="20"/>
              </w:rPr>
            </w:pPr>
            <w:r w:rsidRPr="001134B0">
              <w:rPr>
                <w:rFonts w:cs="Times"/>
                <w:sz w:val="20"/>
              </w:rPr>
              <w:t>MCC</w:t>
            </w:r>
          </w:p>
        </w:tc>
        <w:tc>
          <w:tcPr>
            <w:tcW w:w="1276" w:type="dxa"/>
            <w:hideMark/>
          </w:tcPr>
          <w:p w14:paraId="600F6341" w14:textId="77777777" w:rsidR="00EB1BB7" w:rsidRPr="001134B0" w:rsidRDefault="00EB1BB7" w:rsidP="00E332F1">
            <w:pPr>
              <w:pStyle w:val="TCTableBody"/>
              <w:rPr>
                <w:rFonts w:cs="Times"/>
                <w:sz w:val="20"/>
              </w:rPr>
            </w:pPr>
            <w:proofErr w:type="spellStart"/>
            <w:r w:rsidRPr="001134B0">
              <w:rPr>
                <w:rFonts w:cs="Times"/>
                <w:sz w:val="20"/>
              </w:rPr>
              <w:t>Morgan+CP</w:t>
            </w:r>
            <w:proofErr w:type="spellEnd"/>
          </w:p>
        </w:tc>
        <w:tc>
          <w:tcPr>
            <w:tcW w:w="1275" w:type="dxa"/>
            <w:hideMark/>
          </w:tcPr>
          <w:p w14:paraId="495F8F6D" w14:textId="77777777" w:rsidR="00EB1BB7" w:rsidRPr="001134B0" w:rsidRDefault="00EB1BB7" w:rsidP="00E332F1">
            <w:pPr>
              <w:pStyle w:val="TCTableBody"/>
              <w:rPr>
                <w:rFonts w:cs="Times"/>
                <w:sz w:val="20"/>
              </w:rPr>
            </w:pPr>
            <w:r w:rsidRPr="001134B0">
              <w:rPr>
                <w:rFonts w:cs="Times"/>
                <w:sz w:val="20"/>
              </w:rPr>
              <w:t>0.34 ± 0.17</w:t>
            </w:r>
          </w:p>
        </w:tc>
        <w:tc>
          <w:tcPr>
            <w:tcW w:w="1276" w:type="dxa"/>
            <w:hideMark/>
          </w:tcPr>
          <w:p w14:paraId="720E2821"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24266A88" w14:textId="77777777" w:rsidR="00EB1BB7" w:rsidRPr="001134B0" w:rsidRDefault="00EB1BB7" w:rsidP="00E332F1">
            <w:pPr>
              <w:pStyle w:val="TCTableBody"/>
              <w:rPr>
                <w:rFonts w:cs="Times"/>
                <w:sz w:val="20"/>
              </w:rPr>
            </w:pPr>
            <w:r w:rsidRPr="001134B0">
              <w:rPr>
                <w:rFonts w:cs="Times"/>
                <w:sz w:val="20"/>
              </w:rPr>
              <w:t>0.02 ± 0.08</w:t>
            </w:r>
          </w:p>
        </w:tc>
        <w:tc>
          <w:tcPr>
            <w:tcW w:w="1134" w:type="dxa"/>
            <w:hideMark/>
          </w:tcPr>
          <w:p w14:paraId="70D1B6A6" w14:textId="77777777" w:rsidR="00EB1BB7" w:rsidRPr="001134B0" w:rsidRDefault="00EB1BB7" w:rsidP="00E332F1">
            <w:pPr>
              <w:pStyle w:val="TCTableBody"/>
              <w:rPr>
                <w:rFonts w:cs="Times"/>
                <w:sz w:val="20"/>
              </w:rPr>
            </w:pPr>
            <w:r w:rsidRPr="001134B0">
              <w:rPr>
                <w:rFonts w:cs="Times"/>
                <w:sz w:val="20"/>
              </w:rPr>
              <w:t>3.77</w:t>
            </w:r>
          </w:p>
        </w:tc>
        <w:tc>
          <w:tcPr>
            <w:tcW w:w="851" w:type="dxa"/>
            <w:hideMark/>
          </w:tcPr>
          <w:p w14:paraId="3858F6F1" w14:textId="77777777" w:rsidR="00EB1BB7" w:rsidRPr="001134B0" w:rsidRDefault="00EB1BB7" w:rsidP="00E332F1">
            <w:pPr>
              <w:pStyle w:val="TCTableBody"/>
              <w:rPr>
                <w:rFonts w:cs="Times"/>
                <w:sz w:val="20"/>
              </w:rPr>
            </w:pPr>
            <w:r w:rsidRPr="001134B0">
              <w:rPr>
                <w:rFonts w:cs="Times"/>
                <w:sz w:val="20"/>
              </w:rPr>
              <w:t>0.020</w:t>
            </w:r>
          </w:p>
        </w:tc>
      </w:tr>
      <w:tr w:rsidR="00EB1BB7" w:rsidRPr="001134B0" w14:paraId="4E5E8F7D" w14:textId="77777777" w:rsidTr="00E332F1">
        <w:trPr>
          <w:trHeight w:val="300"/>
        </w:trPr>
        <w:tc>
          <w:tcPr>
            <w:tcW w:w="1888" w:type="dxa"/>
            <w:vMerge w:val="restart"/>
            <w:hideMark/>
          </w:tcPr>
          <w:p w14:paraId="32D653BB" w14:textId="3F728033" w:rsidR="00EB1BB7" w:rsidRPr="001134B0" w:rsidRDefault="00EB1BB7" w:rsidP="00E332F1">
            <w:pPr>
              <w:pStyle w:val="TCTableBody"/>
              <w:rPr>
                <w:rFonts w:cs="Times"/>
                <w:sz w:val="20"/>
              </w:rPr>
            </w:pPr>
            <w:r w:rsidRPr="001134B0">
              <w:rPr>
                <w:rFonts w:cs="Times"/>
                <w:sz w:val="20"/>
              </w:rPr>
              <w:t>BSK_4H_</w:t>
            </w:r>
            <w:r w:rsidR="00F20488" w:rsidRPr="001134B0">
              <w:rPr>
                <w:rFonts w:cs="Times"/>
                <w:sz w:val="20"/>
              </w:rPr>
              <w:br/>
            </w:r>
            <w:proofErr w:type="spellStart"/>
            <w:r w:rsidRPr="001134B0">
              <w:rPr>
                <w:rFonts w:cs="Times"/>
                <w:sz w:val="20"/>
              </w:rPr>
              <w:t>SRB_down</w:t>
            </w:r>
            <w:proofErr w:type="spellEnd"/>
          </w:p>
        </w:tc>
        <w:tc>
          <w:tcPr>
            <w:tcW w:w="992" w:type="dxa"/>
            <w:hideMark/>
          </w:tcPr>
          <w:p w14:paraId="6356F370" w14:textId="77777777" w:rsidR="00EB1BB7" w:rsidRPr="001134B0" w:rsidRDefault="00EB1BB7" w:rsidP="00E332F1">
            <w:pPr>
              <w:pStyle w:val="TCTableBody"/>
              <w:rPr>
                <w:rFonts w:cs="Times"/>
                <w:sz w:val="20"/>
              </w:rPr>
            </w:pPr>
            <w:r w:rsidRPr="001134B0">
              <w:rPr>
                <w:rFonts w:cs="Times"/>
                <w:sz w:val="20"/>
              </w:rPr>
              <w:t>AUC-ROC</w:t>
            </w:r>
          </w:p>
        </w:tc>
        <w:tc>
          <w:tcPr>
            <w:tcW w:w="1276" w:type="dxa"/>
            <w:hideMark/>
          </w:tcPr>
          <w:p w14:paraId="19C60CF8" w14:textId="77777777" w:rsidR="00EB1BB7" w:rsidRPr="001134B0" w:rsidRDefault="00EB1BB7" w:rsidP="00E332F1">
            <w:pPr>
              <w:pStyle w:val="TCTableBody"/>
              <w:rPr>
                <w:rFonts w:cs="Times"/>
                <w:sz w:val="20"/>
              </w:rPr>
            </w:pPr>
            <w:proofErr w:type="spellStart"/>
            <w:r w:rsidRPr="001134B0">
              <w:rPr>
                <w:rFonts w:cs="Times"/>
                <w:sz w:val="20"/>
              </w:rPr>
              <w:t>ErG+CP</w:t>
            </w:r>
            <w:proofErr w:type="spellEnd"/>
          </w:p>
        </w:tc>
        <w:tc>
          <w:tcPr>
            <w:tcW w:w="1275" w:type="dxa"/>
            <w:hideMark/>
          </w:tcPr>
          <w:p w14:paraId="5DEC548B" w14:textId="77777777" w:rsidR="00EB1BB7" w:rsidRPr="001134B0" w:rsidRDefault="00EB1BB7" w:rsidP="00E332F1">
            <w:pPr>
              <w:pStyle w:val="TCTableBody"/>
              <w:rPr>
                <w:rFonts w:cs="Times"/>
                <w:sz w:val="20"/>
              </w:rPr>
            </w:pPr>
            <w:r w:rsidRPr="001134B0">
              <w:rPr>
                <w:rFonts w:cs="Times"/>
                <w:sz w:val="20"/>
              </w:rPr>
              <w:t>0.78 ± 0.12</w:t>
            </w:r>
          </w:p>
        </w:tc>
        <w:tc>
          <w:tcPr>
            <w:tcW w:w="1276" w:type="dxa"/>
            <w:hideMark/>
          </w:tcPr>
          <w:p w14:paraId="4E743927" w14:textId="77777777" w:rsidR="00EB1BB7" w:rsidRPr="001134B0" w:rsidRDefault="00EB1BB7" w:rsidP="00E332F1">
            <w:pPr>
              <w:pStyle w:val="TCTableBody"/>
              <w:rPr>
                <w:rFonts w:cs="Times"/>
                <w:sz w:val="20"/>
              </w:rPr>
            </w:pPr>
            <w:proofErr w:type="spellStart"/>
            <w:r w:rsidRPr="001134B0">
              <w:rPr>
                <w:rFonts w:cs="Times"/>
                <w:sz w:val="20"/>
              </w:rPr>
              <w:t>ErG</w:t>
            </w:r>
            <w:proofErr w:type="spellEnd"/>
          </w:p>
        </w:tc>
        <w:tc>
          <w:tcPr>
            <w:tcW w:w="1559" w:type="dxa"/>
            <w:hideMark/>
          </w:tcPr>
          <w:p w14:paraId="5BC17325" w14:textId="77777777" w:rsidR="00EB1BB7" w:rsidRPr="001134B0" w:rsidRDefault="00EB1BB7" w:rsidP="00E332F1">
            <w:pPr>
              <w:pStyle w:val="TCTableBody"/>
              <w:rPr>
                <w:rFonts w:cs="Times"/>
                <w:sz w:val="20"/>
              </w:rPr>
            </w:pPr>
            <w:r w:rsidRPr="001134B0">
              <w:rPr>
                <w:rFonts w:cs="Times"/>
                <w:sz w:val="20"/>
              </w:rPr>
              <w:t>0.67 ± 0.08</w:t>
            </w:r>
          </w:p>
        </w:tc>
        <w:tc>
          <w:tcPr>
            <w:tcW w:w="1134" w:type="dxa"/>
            <w:hideMark/>
          </w:tcPr>
          <w:p w14:paraId="276B3473" w14:textId="77777777" w:rsidR="00EB1BB7" w:rsidRPr="001134B0" w:rsidRDefault="00EB1BB7" w:rsidP="00E332F1">
            <w:pPr>
              <w:pStyle w:val="TCTableBody"/>
              <w:rPr>
                <w:rFonts w:cs="Times"/>
                <w:sz w:val="20"/>
              </w:rPr>
            </w:pPr>
            <w:r w:rsidRPr="001134B0">
              <w:rPr>
                <w:rFonts w:cs="Times"/>
                <w:sz w:val="20"/>
              </w:rPr>
              <w:t>3.30</w:t>
            </w:r>
          </w:p>
        </w:tc>
        <w:tc>
          <w:tcPr>
            <w:tcW w:w="851" w:type="dxa"/>
            <w:hideMark/>
          </w:tcPr>
          <w:p w14:paraId="56C7E9BB" w14:textId="77777777" w:rsidR="00EB1BB7" w:rsidRPr="001134B0" w:rsidRDefault="00EB1BB7" w:rsidP="00E332F1">
            <w:pPr>
              <w:pStyle w:val="TCTableBody"/>
              <w:rPr>
                <w:rFonts w:cs="Times"/>
                <w:sz w:val="20"/>
              </w:rPr>
            </w:pPr>
            <w:r w:rsidRPr="001134B0">
              <w:rPr>
                <w:rFonts w:cs="Times"/>
                <w:sz w:val="20"/>
              </w:rPr>
              <w:t>0.030</w:t>
            </w:r>
          </w:p>
        </w:tc>
      </w:tr>
      <w:tr w:rsidR="00EB1BB7" w:rsidRPr="001134B0" w14:paraId="77E3F17C" w14:textId="77777777" w:rsidTr="00E332F1">
        <w:trPr>
          <w:trHeight w:val="300"/>
        </w:trPr>
        <w:tc>
          <w:tcPr>
            <w:tcW w:w="1888" w:type="dxa"/>
            <w:vMerge/>
            <w:hideMark/>
          </w:tcPr>
          <w:p w14:paraId="1CB37F1C" w14:textId="77777777" w:rsidR="00EB1BB7" w:rsidRPr="001134B0" w:rsidRDefault="00EB1BB7" w:rsidP="00E332F1">
            <w:pPr>
              <w:pStyle w:val="TCTableBody"/>
              <w:rPr>
                <w:rFonts w:cs="Times"/>
                <w:sz w:val="20"/>
              </w:rPr>
            </w:pPr>
          </w:p>
        </w:tc>
        <w:tc>
          <w:tcPr>
            <w:tcW w:w="992" w:type="dxa"/>
            <w:hideMark/>
          </w:tcPr>
          <w:p w14:paraId="2D2020B3" w14:textId="77777777" w:rsidR="00EB1BB7" w:rsidRPr="001134B0" w:rsidRDefault="00EB1BB7" w:rsidP="00E332F1">
            <w:pPr>
              <w:pStyle w:val="TCTableBody"/>
              <w:rPr>
                <w:rFonts w:cs="Times"/>
                <w:sz w:val="20"/>
              </w:rPr>
            </w:pPr>
            <w:r w:rsidRPr="001134B0">
              <w:rPr>
                <w:rFonts w:cs="Times"/>
                <w:sz w:val="20"/>
              </w:rPr>
              <w:t>BA</w:t>
            </w:r>
          </w:p>
        </w:tc>
        <w:tc>
          <w:tcPr>
            <w:tcW w:w="1276" w:type="dxa"/>
            <w:hideMark/>
          </w:tcPr>
          <w:p w14:paraId="44935077" w14:textId="77777777" w:rsidR="00EB1BB7" w:rsidRPr="001134B0" w:rsidRDefault="00EB1BB7" w:rsidP="00E332F1">
            <w:pPr>
              <w:pStyle w:val="TCTableBody"/>
              <w:rPr>
                <w:rFonts w:cs="Times"/>
                <w:sz w:val="20"/>
              </w:rPr>
            </w:pPr>
            <w:proofErr w:type="spellStart"/>
            <w:r w:rsidRPr="001134B0">
              <w:rPr>
                <w:rFonts w:cs="Times"/>
                <w:sz w:val="20"/>
              </w:rPr>
              <w:t>ErG+CP</w:t>
            </w:r>
            <w:proofErr w:type="spellEnd"/>
          </w:p>
        </w:tc>
        <w:tc>
          <w:tcPr>
            <w:tcW w:w="1275" w:type="dxa"/>
            <w:hideMark/>
          </w:tcPr>
          <w:p w14:paraId="6282AC1C" w14:textId="77777777" w:rsidR="00EB1BB7" w:rsidRPr="001134B0" w:rsidRDefault="00EB1BB7" w:rsidP="00E332F1">
            <w:pPr>
              <w:pStyle w:val="TCTableBody"/>
              <w:rPr>
                <w:rFonts w:cs="Times"/>
                <w:sz w:val="20"/>
              </w:rPr>
            </w:pPr>
            <w:r w:rsidRPr="001134B0">
              <w:rPr>
                <w:rFonts w:cs="Times"/>
                <w:sz w:val="20"/>
              </w:rPr>
              <w:t>0.71 ± 0.10</w:t>
            </w:r>
          </w:p>
        </w:tc>
        <w:tc>
          <w:tcPr>
            <w:tcW w:w="1276" w:type="dxa"/>
            <w:hideMark/>
          </w:tcPr>
          <w:p w14:paraId="4A11A7EE"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226435AC" w14:textId="77777777" w:rsidR="00EB1BB7" w:rsidRPr="001134B0" w:rsidRDefault="00EB1BB7" w:rsidP="00E332F1">
            <w:pPr>
              <w:pStyle w:val="TCTableBody"/>
              <w:rPr>
                <w:rFonts w:cs="Times"/>
                <w:sz w:val="20"/>
              </w:rPr>
            </w:pPr>
            <w:r w:rsidRPr="001134B0">
              <w:rPr>
                <w:rFonts w:cs="Times"/>
                <w:sz w:val="20"/>
              </w:rPr>
              <w:t>0.48 ± 0.04</w:t>
            </w:r>
          </w:p>
        </w:tc>
        <w:tc>
          <w:tcPr>
            <w:tcW w:w="1134" w:type="dxa"/>
            <w:hideMark/>
          </w:tcPr>
          <w:p w14:paraId="796BC3A6" w14:textId="77777777" w:rsidR="00EB1BB7" w:rsidRPr="001134B0" w:rsidRDefault="00EB1BB7" w:rsidP="00E332F1">
            <w:pPr>
              <w:pStyle w:val="TCTableBody"/>
              <w:rPr>
                <w:rFonts w:cs="Times"/>
                <w:sz w:val="20"/>
              </w:rPr>
            </w:pPr>
            <w:r w:rsidRPr="001134B0">
              <w:rPr>
                <w:rFonts w:cs="Times"/>
                <w:sz w:val="20"/>
              </w:rPr>
              <w:t>3.61</w:t>
            </w:r>
          </w:p>
        </w:tc>
        <w:tc>
          <w:tcPr>
            <w:tcW w:w="851" w:type="dxa"/>
            <w:hideMark/>
          </w:tcPr>
          <w:p w14:paraId="363DB20A" w14:textId="77777777" w:rsidR="00EB1BB7" w:rsidRPr="001134B0" w:rsidRDefault="00EB1BB7" w:rsidP="00E332F1">
            <w:pPr>
              <w:pStyle w:val="TCTableBody"/>
              <w:rPr>
                <w:rFonts w:cs="Times"/>
                <w:sz w:val="20"/>
              </w:rPr>
            </w:pPr>
            <w:r w:rsidRPr="001134B0">
              <w:rPr>
                <w:rFonts w:cs="Times"/>
                <w:sz w:val="20"/>
              </w:rPr>
              <w:t>0.023</w:t>
            </w:r>
          </w:p>
        </w:tc>
      </w:tr>
      <w:tr w:rsidR="00EB1BB7" w:rsidRPr="001134B0" w14:paraId="3F9B46A9" w14:textId="77777777" w:rsidTr="00E332F1">
        <w:trPr>
          <w:trHeight w:val="300"/>
        </w:trPr>
        <w:tc>
          <w:tcPr>
            <w:tcW w:w="1888" w:type="dxa"/>
            <w:vMerge/>
            <w:hideMark/>
          </w:tcPr>
          <w:p w14:paraId="7EB429AA" w14:textId="77777777" w:rsidR="00EB1BB7" w:rsidRPr="001134B0" w:rsidRDefault="00EB1BB7" w:rsidP="00E332F1">
            <w:pPr>
              <w:pStyle w:val="TCTableBody"/>
              <w:rPr>
                <w:rFonts w:cs="Times"/>
                <w:sz w:val="20"/>
              </w:rPr>
            </w:pPr>
          </w:p>
        </w:tc>
        <w:tc>
          <w:tcPr>
            <w:tcW w:w="992" w:type="dxa"/>
            <w:hideMark/>
          </w:tcPr>
          <w:p w14:paraId="60AF5644" w14:textId="77777777" w:rsidR="00EB1BB7" w:rsidRPr="001134B0" w:rsidRDefault="00EB1BB7" w:rsidP="00E332F1">
            <w:pPr>
              <w:pStyle w:val="TCTableBody"/>
              <w:rPr>
                <w:rFonts w:cs="Times"/>
                <w:sz w:val="20"/>
              </w:rPr>
            </w:pPr>
            <w:r w:rsidRPr="001134B0">
              <w:rPr>
                <w:rFonts w:cs="Times"/>
                <w:sz w:val="20"/>
              </w:rPr>
              <w:t>BA</w:t>
            </w:r>
          </w:p>
        </w:tc>
        <w:tc>
          <w:tcPr>
            <w:tcW w:w="1276" w:type="dxa"/>
            <w:hideMark/>
          </w:tcPr>
          <w:p w14:paraId="418D641E" w14:textId="77777777" w:rsidR="00EB1BB7" w:rsidRPr="001134B0" w:rsidRDefault="00EB1BB7" w:rsidP="00E332F1">
            <w:pPr>
              <w:pStyle w:val="TCTableBody"/>
              <w:rPr>
                <w:rFonts w:cs="Times"/>
                <w:sz w:val="20"/>
              </w:rPr>
            </w:pPr>
            <w:proofErr w:type="spellStart"/>
            <w:r w:rsidRPr="001134B0">
              <w:rPr>
                <w:rFonts w:cs="Times"/>
                <w:sz w:val="20"/>
              </w:rPr>
              <w:t>Morgan+CP</w:t>
            </w:r>
            <w:proofErr w:type="spellEnd"/>
          </w:p>
        </w:tc>
        <w:tc>
          <w:tcPr>
            <w:tcW w:w="1275" w:type="dxa"/>
            <w:hideMark/>
          </w:tcPr>
          <w:p w14:paraId="68469E93" w14:textId="77777777" w:rsidR="00EB1BB7" w:rsidRPr="001134B0" w:rsidRDefault="00EB1BB7" w:rsidP="00E332F1">
            <w:pPr>
              <w:pStyle w:val="TCTableBody"/>
              <w:rPr>
                <w:rFonts w:cs="Times"/>
                <w:sz w:val="20"/>
              </w:rPr>
            </w:pPr>
            <w:r w:rsidRPr="001134B0">
              <w:rPr>
                <w:rFonts w:cs="Times"/>
                <w:sz w:val="20"/>
              </w:rPr>
              <w:t>0.72 ± 0.09</w:t>
            </w:r>
          </w:p>
        </w:tc>
        <w:tc>
          <w:tcPr>
            <w:tcW w:w="1276" w:type="dxa"/>
            <w:hideMark/>
          </w:tcPr>
          <w:p w14:paraId="783E58C5"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0AE088F0" w14:textId="77777777" w:rsidR="00EB1BB7" w:rsidRPr="001134B0" w:rsidRDefault="00EB1BB7" w:rsidP="00E332F1">
            <w:pPr>
              <w:pStyle w:val="TCTableBody"/>
              <w:rPr>
                <w:rFonts w:cs="Times"/>
                <w:sz w:val="20"/>
              </w:rPr>
            </w:pPr>
            <w:r w:rsidRPr="001134B0">
              <w:rPr>
                <w:rFonts w:cs="Times"/>
                <w:sz w:val="20"/>
              </w:rPr>
              <w:t>0.48 ± 0.04</w:t>
            </w:r>
          </w:p>
        </w:tc>
        <w:tc>
          <w:tcPr>
            <w:tcW w:w="1134" w:type="dxa"/>
            <w:hideMark/>
          </w:tcPr>
          <w:p w14:paraId="62F20CF8" w14:textId="77777777" w:rsidR="00EB1BB7" w:rsidRPr="001134B0" w:rsidRDefault="00EB1BB7" w:rsidP="00E332F1">
            <w:pPr>
              <w:pStyle w:val="TCTableBody"/>
              <w:rPr>
                <w:rFonts w:cs="Times"/>
                <w:sz w:val="20"/>
              </w:rPr>
            </w:pPr>
            <w:r w:rsidRPr="001134B0">
              <w:rPr>
                <w:rFonts w:cs="Times"/>
                <w:sz w:val="20"/>
              </w:rPr>
              <w:t>4.30</w:t>
            </w:r>
          </w:p>
        </w:tc>
        <w:tc>
          <w:tcPr>
            <w:tcW w:w="851" w:type="dxa"/>
            <w:hideMark/>
          </w:tcPr>
          <w:p w14:paraId="7AE85F41" w14:textId="77777777" w:rsidR="00EB1BB7" w:rsidRPr="001134B0" w:rsidRDefault="00EB1BB7" w:rsidP="00E332F1">
            <w:pPr>
              <w:pStyle w:val="TCTableBody"/>
              <w:rPr>
                <w:rFonts w:cs="Times"/>
                <w:sz w:val="20"/>
              </w:rPr>
            </w:pPr>
            <w:r w:rsidRPr="001134B0">
              <w:rPr>
                <w:rFonts w:cs="Times"/>
                <w:sz w:val="20"/>
              </w:rPr>
              <w:t>0.013</w:t>
            </w:r>
          </w:p>
        </w:tc>
      </w:tr>
      <w:tr w:rsidR="00EB1BB7" w:rsidRPr="001134B0" w14:paraId="1628D247" w14:textId="77777777" w:rsidTr="00E332F1">
        <w:trPr>
          <w:trHeight w:val="300"/>
        </w:trPr>
        <w:tc>
          <w:tcPr>
            <w:tcW w:w="1888" w:type="dxa"/>
            <w:vMerge/>
            <w:hideMark/>
          </w:tcPr>
          <w:p w14:paraId="42F29996" w14:textId="77777777" w:rsidR="00EB1BB7" w:rsidRPr="001134B0" w:rsidRDefault="00EB1BB7" w:rsidP="00E332F1">
            <w:pPr>
              <w:pStyle w:val="TCTableBody"/>
              <w:rPr>
                <w:rFonts w:cs="Times"/>
                <w:sz w:val="20"/>
              </w:rPr>
            </w:pPr>
          </w:p>
        </w:tc>
        <w:tc>
          <w:tcPr>
            <w:tcW w:w="992" w:type="dxa"/>
            <w:hideMark/>
          </w:tcPr>
          <w:p w14:paraId="6FFAE150" w14:textId="77777777" w:rsidR="00EB1BB7" w:rsidRPr="001134B0" w:rsidRDefault="00EB1BB7" w:rsidP="00E332F1">
            <w:pPr>
              <w:pStyle w:val="TCTableBody"/>
              <w:rPr>
                <w:rFonts w:cs="Times"/>
                <w:sz w:val="20"/>
              </w:rPr>
            </w:pPr>
            <w:r w:rsidRPr="001134B0">
              <w:rPr>
                <w:rFonts w:cs="Times"/>
                <w:sz w:val="20"/>
              </w:rPr>
              <w:t>MCC</w:t>
            </w:r>
          </w:p>
        </w:tc>
        <w:tc>
          <w:tcPr>
            <w:tcW w:w="1276" w:type="dxa"/>
            <w:hideMark/>
          </w:tcPr>
          <w:p w14:paraId="06A2A164" w14:textId="77777777" w:rsidR="00EB1BB7" w:rsidRPr="001134B0" w:rsidRDefault="00EB1BB7" w:rsidP="00E332F1">
            <w:pPr>
              <w:pStyle w:val="TCTableBody"/>
              <w:rPr>
                <w:rFonts w:cs="Times"/>
                <w:sz w:val="20"/>
              </w:rPr>
            </w:pPr>
            <w:proofErr w:type="spellStart"/>
            <w:r w:rsidRPr="001134B0">
              <w:rPr>
                <w:rFonts w:cs="Times"/>
                <w:sz w:val="20"/>
              </w:rPr>
              <w:t>ErG+CP</w:t>
            </w:r>
            <w:proofErr w:type="spellEnd"/>
          </w:p>
        </w:tc>
        <w:tc>
          <w:tcPr>
            <w:tcW w:w="1275" w:type="dxa"/>
            <w:hideMark/>
          </w:tcPr>
          <w:p w14:paraId="28163F63" w14:textId="77777777" w:rsidR="00EB1BB7" w:rsidRPr="001134B0" w:rsidRDefault="00EB1BB7" w:rsidP="00E332F1">
            <w:pPr>
              <w:pStyle w:val="TCTableBody"/>
              <w:rPr>
                <w:rFonts w:cs="Times"/>
                <w:sz w:val="20"/>
              </w:rPr>
            </w:pPr>
            <w:r w:rsidRPr="001134B0">
              <w:rPr>
                <w:rFonts w:cs="Times"/>
                <w:sz w:val="20"/>
              </w:rPr>
              <w:t>0.43 ± 0.16</w:t>
            </w:r>
          </w:p>
        </w:tc>
        <w:tc>
          <w:tcPr>
            <w:tcW w:w="1276" w:type="dxa"/>
            <w:hideMark/>
          </w:tcPr>
          <w:p w14:paraId="788A8C6F" w14:textId="77777777" w:rsidR="00EB1BB7" w:rsidRPr="001134B0" w:rsidRDefault="00EB1BB7" w:rsidP="00E332F1">
            <w:pPr>
              <w:pStyle w:val="TCTableBody"/>
              <w:rPr>
                <w:rFonts w:cs="Times"/>
                <w:sz w:val="20"/>
              </w:rPr>
            </w:pPr>
            <w:proofErr w:type="spellStart"/>
            <w:r w:rsidRPr="001134B0">
              <w:rPr>
                <w:rFonts w:cs="Times"/>
                <w:sz w:val="20"/>
              </w:rPr>
              <w:t>ErG</w:t>
            </w:r>
            <w:proofErr w:type="spellEnd"/>
          </w:p>
        </w:tc>
        <w:tc>
          <w:tcPr>
            <w:tcW w:w="1559" w:type="dxa"/>
            <w:hideMark/>
          </w:tcPr>
          <w:p w14:paraId="763A657F" w14:textId="77777777" w:rsidR="00EB1BB7" w:rsidRPr="001134B0" w:rsidRDefault="00EB1BB7" w:rsidP="00E332F1">
            <w:pPr>
              <w:pStyle w:val="TCTableBody"/>
              <w:rPr>
                <w:rFonts w:cs="Times"/>
                <w:sz w:val="20"/>
              </w:rPr>
            </w:pPr>
            <w:r w:rsidRPr="001134B0">
              <w:rPr>
                <w:rFonts w:cs="Times"/>
                <w:sz w:val="20"/>
              </w:rPr>
              <w:t>0.22 ± 0.12</w:t>
            </w:r>
          </w:p>
        </w:tc>
        <w:tc>
          <w:tcPr>
            <w:tcW w:w="1134" w:type="dxa"/>
            <w:hideMark/>
          </w:tcPr>
          <w:p w14:paraId="3954BDFC" w14:textId="77777777" w:rsidR="00EB1BB7" w:rsidRPr="001134B0" w:rsidRDefault="00EB1BB7" w:rsidP="00E332F1">
            <w:pPr>
              <w:pStyle w:val="TCTableBody"/>
              <w:rPr>
                <w:rFonts w:cs="Times"/>
                <w:sz w:val="20"/>
              </w:rPr>
            </w:pPr>
            <w:r w:rsidRPr="001134B0">
              <w:rPr>
                <w:rFonts w:cs="Times"/>
                <w:sz w:val="20"/>
              </w:rPr>
              <w:t>3.33</w:t>
            </w:r>
          </w:p>
        </w:tc>
        <w:tc>
          <w:tcPr>
            <w:tcW w:w="851" w:type="dxa"/>
            <w:hideMark/>
          </w:tcPr>
          <w:p w14:paraId="03094857" w14:textId="77777777" w:rsidR="00EB1BB7" w:rsidRPr="001134B0" w:rsidRDefault="00EB1BB7" w:rsidP="00E332F1">
            <w:pPr>
              <w:pStyle w:val="TCTableBody"/>
              <w:rPr>
                <w:rFonts w:cs="Times"/>
                <w:sz w:val="20"/>
              </w:rPr>
            </w:pPr>
            <w:r w:rsidRPr="001134B0">
              <w:rPr>
                <w:rFonts w:cs="Times"/>
                <w:sz w:val="20"/>
              </w:rPr>
              <w:t>0.029</w:t>
            </w:r>
          </w:p>
        </w:tc>
      </w:tr>
      <w:tr w:rsidR="00EB1BB7" w:rsidRPr="001134B0" w14:paraId="6652F5E2" w14:textId="77777777" w:rsidTr="00E332F1">
        <w:trPr>
          <w:trHeight w:val="300"/>
        </w:trPr>
        <w:tc>
          <w:tcPr>
            <w:tcW w:w="1888" w:type="dxa"/>
            <w:vMerge/>
            <w:hideMark/>
          </w:tcPr>
          <w:p w14:paraId="3717A8C4" w14:textId="77777777" w:rsidR="00EB1BB7" w:rsidRPr="001134B0" w:rsidRDefault="00EB1BB7" w:rsidP="00E332F1">
            <w:pPr>
              <w:pStyle w:val="TCTableBody"/>
              <w:rPr>
                <w:rFonts w:cs="Times"/>
                <w:sz w:val="20"/>
              </w:rPr>
            </w:pPr>
          </w:p>
        </w:tc>
        <w:tc>
          <w:tcPr>
            <w:tcW w:w="992" w:type="dxa"/>
            <w:hideMark/>
          </w:tcPr>
          <w:p w14:paraId="21B22FD0" w14:textId="77777777" w:rsidR="00EB1BB7" w:rsidRPr="001134B0" w:rsidRDefault="00EB1BB7" w:rsidP="00E332F1">
            <w:pPr>
              <w:pStyle w:val="TCTableBody"/>
              <w:rPr>
                <w:rFonts w:cs="Times"/>
                <w:sz w:val="20"/>
              </w:rPr>
            </w:pPr>
            <w:r w:rsidRPr="001134B0">
              <w:rPr>
                <w:rFonts w:cs="Times"/>
                <w:sz w:val="20"/>
              </w:rPr>
              <w:t>MCC</w:t>
            </w:r>
          </w:p>
        </w:tc>
        <w:tc>
          <w:tcPr>
            <w:tcW w:w="1276" w:type="dxa"/>
            <w:hideMark/>
          </w:tcPr>
          <w:p w14:paraId="4BE0F26A" w14:textId="77777777" w:rsidR="00EB1BB7" w:rsidRPr="001134B0" w:rsidRDefault="00EB1BB7" w:rsidP="00E332F1">
            <w:pPr>
              <w:pStyle w:val="TCTableBody"/>
              <w:rPr>
                <w:rFonts w:cs="Times"/>
                <w:sz w:val="20"/>
              </w:rPr>
            </w:pPr>
            <w:proofErr w:type="spellStart"/>
            <w:r w:rsidRPr="001134B0">
              <w:rPr>
                <w:rFonts w:cs="Times"/>
                <w:sz w:val="20"/>
              </w:rPr>
              <w:t>ErG+CP</w:t>
            </w:r>
            <w:proofErr w:type="spellEnd"/>
          </w:p>
        </w:tc>
        <w:tc>
          <w:tcPr>
            <w:tcW w:w="1275" w:type="dxa"/>
            <w:hideMark/>
          </w:tcPr>
          <w:p w14:paraId="0FC09AA9" w14:textId="77777777" w:rsidR="00EB1BB7" w:rsidRPr="001134B0" w:rsidRDefault="00EB1BB7" w:rsidP="00E332F1">
            <w:pPr>
              <w:pStyle w:val="TCTableBody"/>
              <w:rPr>
                <w:rFonts w:cs="Times"/>
                <w:sz w:val="20"/>
              </w:rPr>
            </w:pPr>
            <w:r w:rsidRPr="001134B0">
              <w:rPr>
                <w:rFonts w:cs="Times"/>
                <w:sz w:val="20"/>
              </w:rPr>
              <w:t>0.43 ± 0.16</w:t>
            </w:r>
          </w:p>
        </w:tc>
        <w:tc>
          <w:tcPr>
            <w:tcW w:w="1276" w:type="dxa"/>
            <w:hideMark/>
          </w:tcPr>
          <w:p w14:paraId="6AFA0A2D"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156556D0" w14:textId="77777777" w:rsidR="00EB1BB7" w:rsidRPr="001134B0" w:rsidRDefault="00EB1BB7" w:rsidP="00E332F1">
            <w:pPr>
              <w:pStyle w:val="TCTableBody"/>
              <w:rPr>
                <w:rFonts w:cs="Times"/>
                <w:sz w:val="20"/>
              </w:rPr>
            </w:pPr>
            <w:r w:rsidRPr="001134B0">
              <w:rPr>
                <w:rFonts w:cs="Times"/>
                <w:sz w:val="20"/>
              </w:rPr>
              <w:t>-0.03 ± 0.06</w:t>
            </w:r>
          </w:p>
        </w:tc>
        <w:tc>
          <w:tcPr>
            <w:tcW w:w="1134" w:type="dxa"/>
            <w:hideMark/>
          </w:tcPr>
          <w:p w14:paraId="6BC023C8" w14:textId="77777777" w:rsidR="00EB1BB7" w:rsidRPr="001134B0" w:rsidRDefault="00EB1BB7" w:rsidP="00E332F1">
            <w:pPr>
              <w:pStyle w:val="TCTableBody"/>
              <w:rPr>
                <w:rFonts w:cs="Times"/>
                <w:sz w:val="20"/>
              </w:rPr>
            </w:pPr>
            <w:r w:rsidRPr="001134B0">
              <w:rPr>
                <w:rFonts w:cs="Times"/>
                <w:sz w:val="20"/>
              </w:rPr>
              <w:t>4.62</w:t>
            </w:r>
          </w:p>
        </w:tc>
        <w:tc>
          <w:tcPr>
            <w:tcW w:w="851" w:type="dxa"/>
            <w:hideMark/>
          </w:tcPr>
          <w:p w14:paraId="45298EAA" w14:textId="77777777" w:rsidR="00EB1BB7" w:rsidRPr="001134B0" w:rsidRDefault="00EB1BB7" w:rsidP="00E332F1">
            <w:pPr>
              <w:pStyle w:val="TCTableBody"/>
              <w:rPr>
                <w:rFonts w:cs="Times"/>
                <w:sz w:val="20"/>
              </w:rPr>
            </w:pPr>
            <w:r w:rsidRPr="001134B0">
              <w:rPr>
                <w:rFonts w:cs="Times"/>
                <w:sz w:val="20"/>
              </w:rPr>
              <w:t>0.010</w:t>
            </w:r>
          </w:p>
        </w:tc>
      </w:tr>
      <w:tr w:rsidR="00EB1BB7" w:rsidRPr="001134B0" w14:paraId="089CE581" w14:textId="77777777" w:rsidTr="00E332F1">
        <w:trPr>
          <w:trHeight w:val="300"/>
        </w:trPr>
        <w:tc>
          <w:tcPr>
            <w:tcW w:w="1888" w:type="dxa"/>
            <w:vMerge/>
            <w:hideMark/>
          </w:tcPr>
          <w:p w14:paraId="17AFCF0C" w14:textId="77777777" w:rsidR="00EB1BB7" w:rsidRPr="001134B0" w:rsidRDefault="00EB1BB7" w:rsidP="00E332F1">
            <w:pPr>
              <w:pStyle w:val="TCTableBody"/>
              <w:rPr>
                <w:rFonts w:cs="Times"/>
                <w:sz w:val="20"/>
              </w:rPr>
            </w:pPr>
          </w:p>
        </w:tc>
        <w:tc>
          <w:tcPr>
            <w:tcW w:w="992" w:type="dxa"/>
            <w:hideMark/>
          </w:tcPr>
          <w:p w14:paraId="4EA6C112" w14:textId="77777777" w:rsidR="00EB1BB7" w:rsidRPr="001134B0" w:rsidRDefault="00EB1BB7" w:rsidP="00E332F1">
            <w:pPr>
              <w:pStyle w:val="TCTableBody"/>
              <w:rPr>
                <w:rFonts w:cs="Times"/>
                <w:sz w:val="20"/>
              </w:rPr>
            </w:pPr>
            <w:r w:rsidRPr="001134B0">
              <w:rPr>
                <w:rFonts w:cs="Times"/>
                <w:sz w:val="20"/>
              </w:rPr>
              <w:t>MCC</w:t>
            </w:r>
          </w:p>
        </w:tc>
        <w:tc>
          <w:tcPr>
            <w:tcW w:w="1276" w:type="dxa"/>
            <w:hideMark/>
          </w:tcPr>
          <w:p w14:paraId="6E49B4D7" w14:textId="77777777" w:rsidR="00EB1BB7" w:rsidRPr="001134B0" w:rsidRDefault="00EB1BB7" w:rsidP="00E332F1">
            <w:pPr>
              <w:pStyle w:val="TCTableBody"/>
              <w:rPr>
                <w:rFonts w:cs="Times"/>
                <w:sz w:val="20"/>
              </w:rPr>
            </w:pPr>
            <w:proofErr w:type="spellStart"/>
            <w:r w:rsidRPr="001134B0">
              <w:rPr>
                <w:rFonts w:cs="Times"/>
                <w:sz w:val="20"/>
              </w:rPr>
              <w:t>Morgan+CP</w:t>
            </w:r>
            <w:proofErr w:type="spellEnd"/>
          </w:p>
        </w:tc>
        <w:tc>
          <w:tcPr>
            <w:tcW w:w="1275" w:type="dxa"/>
            <w:hideMark/>
          </w:tcPr>
          <w:p w14:paraId="1CAB8C20" w14:textId="77777777" w:rsidR="00EB1BB7" w:rsidRPr="001134B0" w:rsidRDefault="00EB1BB7" w:rsidP="00E332F1">
            <w:pPr>
              <w:pStyle w:val="TCTableBody"/>
              <w:rPr>
                <w:rFonts w:cs="Times"/>
                <w:sz w:val="20"/>
              </w:rPr>
            </w:pPr>
            <w:r w:rsidRPr="001134B0">
              <w:rPr>
                <w:rFonts w:cs="Times"/>
                <w:sz w:val="20"/>
              </w:rPr>
              <w:t>0.49 ± 0.14</w:t>
            </w:r>
          </w:p>
        </w:tc>
        <w:tc>
          <w:tcPr>
            <w:tcW w:w="1276" w:type="dxa"/>
            <w:hideMark/>
          </w:tcPr>
          <w:p w14:paraId="7C2B7061"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29832164" w14:textId="77777777" w:rsidR="00EB1BB7" w:rsidRPr="001134B0" w:rsidRDefault="00EB1BB7" w:rsidP="00E332F1">
            <w:pPr>
              <w:pStyle w:val="TCTableBody"/>
              <w:rPr>
                <w:rFonts w:cs="Times"/>
                <w:sz w:val="20"/>
              </w:rPr>
            </w:pPr>
            <w:r w:rsidRPr="001134B0">
              <w:rPr>
                <w:rFonts w:cs="Times"/>
                <w:sz w:val="20"/>
              </w:rPr>
              <w:t>-0.03 ± 0.06</w:t>
            </w:r>
          </w:p>
        </w:tc>
        <w:tc>
          <w:tcPr>
            <w:tcW w:w="1134" w:type="dxa"/>
            <w:hideMark/>
          </w:tcPr>
          <w:p w14:paraId="26A4BF63" w14:textId="77777777" w:rsidR="00EB1BB7" w:rsidRPr="001134B0" w:rsidRDefault="00EB1BB7" w:rsidP="00E332F1">
            <w:pPr>
              <w:pStyle w:val="TCTableBody"/>
              <w:rPr>
                <w:rFonts w:cs="Times"/>
                <w:sz w:val="20"/>
              </w:rPr>
            </w:pPr>
            <w:r w:rsidRPr="001134B0">
              <w:rPr>
                <w:rFonts w:cs="Times"/>
                <w:sz w:val="20"/>
              </w:rPr>
              <w:t>6.75</w:t>
            </w:r>
          </w:p>
        </w:tc>
        <w:tc>
          <w:tcPr>
            <w:tcW w:w="851" w:type="dxa"/>
            <w:hideMark/>
          </w:tcPr>
          <w:p w14:paraId="194F0C70" w14:textId="77777777" w:rsidR="00EB1BB7" w:rsidRPr="001134B0" w:rsidRDefault="00EB1BB7" w:rsidP="00E332F1">
            <w:pPr>
              <w:pStyle w:val="TCTableBody"/>
              <w:rPr>
                <w:rFonts w:cs="Times"/>
                <w:sz w:val="20"/>
              </w:rPr>
            </w:pPr>
            <w:r w:rsidRPr="001134B0">
              <w:rPr>
                <w:rFonts w:cs="Times"/>
                <w:sz w:val="20"/>
              </w:rPr>
              <w:t>0.003</w:t>
            </w:r>
          </w:p>
        </w:tc>
      </w:tr>
      <w:tr w:rsidR="00EB1BB7" w:rsidRPr="001134B0" w14:paraId="3BCFD52D" w14:textId="77777777" w:rsidTr="00E332F1">
        <w:trPr>
          <w:trHeight w:val="300"/>
        </w:trPr>
        <w:tc>
          <w:tcPr>
            <w:tcW w:w="1888" w:type="dxa"/>
            <w:vMerge/>
            <w:hideMark/>
          </w:tcPr>
          <w:p w14:paraId="061D3DEA" w14:textId="77777777" w:rsidR="00EB1BB7" w:rsidRPr="001134B0" w:rsidRDefault="00EB1BB7" w:rsidP="00E332F1">
            <w:pPr>
              <w:pStyle w:val="TCTableBody"/>
              <w:rPr>
                <w:rFonts w:cs="Times"/>
                <w:sz w:val="20"/>
              </w:rPr>
            </w:pPr>
          </w:p>
        </w:tc>
        <w:tc>
          <w:tcPr>
            <w:tcW w:w="992" w:type="dxa"/>
            <w:hideMark/>
          </w:tcPr>
          <w:p w14:paraId="2ADCE864" w14:textId="77777777" w:rsidR="00EB1BB7" w:rsidRPr="001134B0" w:rsidRDefault="00EB1BB7" w:rsidP="00E332F1">
            <w:pPr>
              <w:pStyle w:val="TCTableBody"/>
              <w:rPr>
                <w:rFonts w:cs="Times"/>
                <w:sz w:val="20"/>
              </w:rPr>
            </w:pPr>
            <w:r w:rsidRPr="001134B0">
              <w:rPr>
                <w:rFonts w:cs="Times"/>
                <w:sz w:val="20"/>
              </w:rPr>
              <w:t>SEN</w:t>
            </w:r>
          </w:p>
        </w:tc>
        <w:tc>
          <w:tcPr>
            <w:tcW w:w="1276" w:type="dxa"/>
            <w:hideMark/>
          </w:tcPr>
          <w:p w14:paraId="77CC0883" w14:textId="77777777" w:rsidR="00EB1BB7" w:rsidRPr="001134B0" w:rsidRDefault="00EB1BB7" w:rsidP="00E332F1">
            <w:pPr>
              <w:pStyle w:val="TCTableBody"/>
              <w:rPr>
                <w:rFonts w:cs="Times"/>
                <w:sz w:val="20"/>
              </w:rPr>
            </w:pPr>
            <w:proofErr w:type="spellStart"/>
            <w:r w:rsidRPr="001134B0">
              <w:rPr>
                <w:rFonts w:cs="Times"/>
                <w:sz w:val="20"/>
              </w:rPr>
              <w:t>ErG+CP</w:t>
            </w:r>
            <w:proofErr w:type="spellEnd"/>
          </w:p>
        </w:tc>
        <w:tc>
          <w:tcPr>
            <w:tcW w:w="1275" w:type="dxa"/>
            <w:hideMark/>
          </w:tcPr>
          <w:p w14:paraId="696F6EAA" w14:textId="77777777" w:rsidR="00EB1BB7" w:rsidRPr="001134B0" w:rsidRDefault="00EB1BB7" w:rsidP="00E332F1">
            <w:pPr>
              <w:pStyle w:val="TCTableBody"/>
              <w:rPr>
                <w:rFonts w:cs="Times"/>
                <w:sz w:val="20"/>
              </w:rPr>
            </w:pPr>
            <w:r w:rsidRPr="001134B0">
              <w:rPr>
                <w:rFonts w:cs="Times"/>
                <w:sz w:val="20"/>
              </w:rPr>
              <w:t>0.53 ± 0.25</w:t>
            </w:r>
          </w:p>
        </w:tc>
        <w:tc>
          <w:tcPr>
            <w:tcW w:w="1276" w:type="dxa"/>
            <w:hideMark/>
          </w:tcPr>
          <w:p w14:paraId="72F5714E"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4D08BFB6" w14:textId="77777777" w:rsidR="00EB1BB7" w:rsidRPr="001134B0" w:rsidRDefault="00EB1BB7" w:rsidP="00E332F1">
            <w:pPr>
              <w:pStyle w:val="TCTableBody"/>
              <w:rPr>
                <w:rFonts w:cs="Times"/>
                <w:sz w:val="20"/>
              </w:rPr>
            </w:pPr>
            <w:r w:rsidRPr="001134B0">
              <w:rPr>
                <w:rFonts w:cs="Times"/>
                <w:sz w:val="20"/>
              </w:rPr>
              <w:t>0.10 ± 0.20</w:t>
            </w:r>
          </w:p>
        </w:tc>
        <w:tc>
          <w:tcPr>
            <w:tcW w:w="1134" w:type="dxa"/>
            <w:hideMark/>
          </w:tcPr>
          <w:p w14:paraId="63AF850D" w14:textId="77777777" w:rsidR="00EB1BB7" w:rsidRPr="001134B0" w:rsidRDefault="00EB1BB7" w:rsidP="00E332F1">
            <w:pPr>
              <w:pStyle w:val="TCTableBody"/>
              <w:rPr>
                <w:rFonts w:cs="Times"/>
                <w:sz w:val="20"/>
              </w:rPr>
            </w:pPr>
            <w:r w:rsidRPr="001134B0">
              <w:rPr>
                <w:rFonts w:cs="Times"/>
                <w:sz w:val="20"/>
              </w:rPr>
              <w:t>3.53</w:t>
            </w:r>
          </w:p>
        </w:tc>
        <w:tc>
          <w:tcPr>
            <w:tcW w:w="851" w:type="dxa"/>
            <w:hideMark/>
          </w:tcPr>
          <w:p w14:paraId="5F903F0E" w14:textId="77777777" w:rsidR="00EB1BB7" w:rsidRPr="001134B0" w:rsidRDefault="00EB1BB7" w:rsidP="00E332F1">
            <w:pPr>
              <w:pStyle w:val="TCTableBody"/>
              <w:rPr>
                <w:rFonts w:cs="Times"/>
                <w:sz w:val="20"/>
              </w:rPr>
            </w:pPr>
            <w:r w:rsidRPr="001134B0">
              <w:rPr>
                <w:rFonts w:cs="Times"/>
                <w:sz w:val="20"/>
              </w:rPr>
              <w:t>0.024</w:t>
            </w:r>
          </w:p>
        </w:tc>
      </w:tr>
      <w:tr w:rsidR="00EB1BB7" w:rsidRPr="001134B0" w14:paraId="4AF784A5" w14:textId="77777777" w:rsidTr="00E332F1">
        <w:trPr>
          <w:trHeight w:val="300"/>
        </w:trPr>
        <w:tc>
          <w:tcPr>
            <w:tcW w:w="1888" w:type="dxa"/>
            <w:vMerge/>
            <w:hideMark/>
          </w:tcPr>
          <w:p w14:paraId="2F31F810" w14:textId="77777777" w:rsidR="00EB1BB7" w:rsidRPr="001134B0" w:rsidRDefault="00EB1BB7" w:rsidP="00E332F1">
            <w:pPr>
              <w:pStyle w:val="TCTableBody"/>
              <w:rPr>
                <w:rFonts w:cs="Times"/>
                <w:sz w:val="20"/>
              </w:rPr>
            </w:pPr>
          </w:p>
        </w:tc>
        <w:tc>
          <w:tcPr>
            <w:tcW w:w="992" w:type="dxa"/>
            <w:hideMark/>
          </w:tcPr>
          <w:p w14:paraId="2B065A0D" w14:textId="77777777" w:rsidR="00EB1BB7" w:rsidRPr="001134B0" w:rsidRDefault="00EB1BB7" w:rsidP="00E332F1">
            <w:pPr>
              <w:pStyle w:val="TCTableBody"/>
              <w:rPr>
                <w:rFonts w:cs="Times"/>
                <w:sz w:val="20"/>
              </w:rPr>
            </w:pPr>
            <w:r w:rsidRPr="001134B0">
              <w:rPr>
                <w:rFonts w:cs="Times"/>
                <w:sz w:val="20"/>
              </w:rPr>
              <w:t>SEN</w:t>
            </w:r>
          </w:p>
        </w:tc>
        <w:tc>
          <w:tcPr>
            <w:tcW w:w="1276" w:type="dxa"/>
            <w:hideMark/>
          </w:tcPr>
          <w:p w14:paraId="2DB96F34" w14:textId="77777777" w:rsidR="00EB1BB7" w:rsidRPr="001134B0" w:rsidRDefault="00EB1BB7" w:rsidP="00E332F1">
            <w:pPr>
              <w:pStyle w:val="TCTableBody"/>
              <w:rPr>
                <w:rFonts w:cs="Times"/>
                <w:sz w:val="20"/>
              </w:rPr>
            </w:pPr>
            <w:proofErr w:type="spellStart"/>
            <w:r w:rsidRPr="001134B0">
              <w:rPr>
                <w:rFonts w:cs="Times"/>
                <w:sz w:val="20"/>
              </w:rPr>
              <w:t>Morgan+CP</w:t>
            </w:r>
            <w:proofErr w:type="spellEnd"/>
          </w:p>
        </w:tc>
        <w:tc>
          <w:tcPr>
            <w:tcW w:w="1275" w:type="dxa"/>
            <w:hideMark/>
          </w:tcPr>
          <w:p w14:paraId="3DEBE67F" w14:textId="77777777" w:rsidR="00EB1BB7" w:rsidRPr="001134B0" w:rsidRDefault="00EB1BB7" w:rsidP="00E332F1">
            <w:pPr>
              <w:pStyle w:val="TCTableBody"/>
              <w:rPr>
                <w:rFonts w:cs="Times"/>
                <w:sz w:val="20"/>
              </w:rPr>
            </w:pPr>
            <w:r w:rsidRPr="001134B0">
              <w:rPr>
                <w:rFonts w:cs="Times"/>
                <w:sz w:val="20"/>
              </w:rPr>
              <w:t>0.53 ± 0.25</w:t>
            </w:r>
          </w:p>
        </w:tc>
        <w:tc>
          <w:tcPr>
            <w:tcW w:w="1276" w:type="dxa"/>
            <w:hideMark/>
          </w:tcPr>
          <w:p w14:paraId="1DF6705A"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1240FAD9" w14:textId="77777777" w:rsidR="00EB1BB7" w:rsidRPr="001134B0" w:rsidRDefault="00EB1BB7" w:rsidP="00E332F1">
            <w:pPr>
              <w:pStyle w:val="TCTableBody"/>
              <w:rPr>
                <w:rFonts w:cs="Times"/>
                <w:sz w:val="20"/>
              </w:rPr>
            </w:pPr>
            <w:r w:rsidRPr="001134B0">
              <w:rPr>
                <w:rFonts w:cs="Times"/>
                <w:sz w:val="20"/>
              </w:rPr>
              <w:t>0.10 ± 0.20</w:t>
            </w:r>
          </w:p>
        </w:tc>
        <w:tc>
          <w:tcPr>
            <w:tcW w:w="1134" w:type="dxa"/>
            <w:hideMark/>
          </w:tcPr>
          <w:p w14:paraId="61E41B9D" w14:textId="77777777" w:rsidR="00EB1BB7" w:rsidRPr="001134B0" w:rsidRDefault="00EB1BB7" w:rsidP="00E332F1">
            <w:pPr>
              <w:pStyle w:val="TCTableBody"/>
              <w:rPr>
                <w:rFonts w:cs="Times"/>
                <w:sz w:val="20"/>
              </w:rPr>
            </w:pPr>
            <w:r w:rsidRPr="001134B0">
              <w:rPr>
                <w:rFonts w:cs="Times"/>
                <w:sz w:val="20"/>
              </w:rPr>
              <w:t>3.53</w:t>
            </w:r>
          </w:p>
        </w:tc>
        <w:tc>
          <w:tcPr>
            <w:tcW w:w="851" w:type="dxa"/>
            <w:hideMark/>
          </w:tcPr>
          <w:p w14:paraId="07044C80" w14:textId="77777777" w:rsidR="00EB1BB7" w:rsidRPr="001134B0" w:rsidRDefault="00EB1BB7" w:rsidP="00E332F1">
            <w:pPr>
              <w:pStyle w:val="TCTableBody"/>
              <w:rPr>
                <w:rFonts w:cs="Times"/>
                <w:sz w:val="20"/>
              </w:rPr>
            </w:pPr>
            <w:r w:rsidRPr="001134B0">
              <w:rPr>
                <w:rFonts w:cs="Times"/>
                <w:sz w:val="20"/>
              </w:rPr>
              <w:t>0.024</w:t>
            </w:r>
          </w:p>
        </w:tc>
      </w:tr>
      <w:tr w:rsidR="00EB1BB7" w:rsidRPr="001134B0" w14:paraId="0D9A6E5C" w14:textId="77777777" w:rsidTr="00E332F1">
        <w:trPr>
          <w:trHeight w:val="300"/>
        </w:trPr>
        <w:tc>
          <w:tcPr>
            <w:tcW w:w="1888" w:type="dxa"/>
            <w:vMerge w:val="restart"/>
            <w:hideMark/>
          </w:tcPr>
          <w:p w14:paraId="14A885FC" w14:textId="77777777" w:rsidR="00EB1BB7" w:rsidRPr="001134B0" w:rsidRDefault="00EB1BB7" w:rsidP="00E332F1">
            <w:pPr>
              <w:pStyle w:val="TCTableBody"/>
              <w:rPr>
                <w:rFonts w:cs="Times"/>
                <w:sz w:val="20"/>
              </w:rPr>
            </w:pPr>
            <w:r w:rsidRPr="001134B0">
              <w:rPr>
                <w:rFonts w:cs="Times"/>
                <w:sz w:val="20"/>
              </w:rPr>
              <w:t>BSK_CASM3C_</w:t>
            </w:r>
            <w:r w:rsidRPr="001134B0">
              <w:rPr>
                <w:rFonts w:cs="Times"/>
                <w:sz w:val="20"/>
              </w:rPr>
              <w:br/>
              <w:t>Proliferation_</w:t>
            </w:r>
            <w:r w:rsidRPr="001134B0">
              <w:rPr>
                <w:rFonts w:cs="Times"/>
                <w:sz w:val="20"/>
              </w:rPr>
              <w:br/>
              <w:t>down</w:t>
            </w:r>
          </w:p>
          <w:p w14:paraId="2028D86F" w14:textId="77777777" w:rsidR="00EB1BB7" w:rsidRPr="001134B0" w:rsidRDefault="00EB1BB7" w:rsidP="00E332F1">
            <w:pPr>
              <w:pStyle w:val="TCTableBody"/>
              <w:rPr>
                <w:rFonts w:cs="Times"/>
                <w:sz w:val="20"/>
              </w:rPr>
            </w:pPr>
          </w:p>
          <w:p w14:paraId="5A03E387" w14:textId="77777777" w:rsidR="00EB1BB7" w:rsidRPr="001134B0" w:rsidRDefault="00EB1BB7" w:rsidP="00E332F1">
            <w:pPr>
              <w:pStyle w:val="TCTableBody"/>
              <w:rPr>
                <w:rFonts w:cs="Times"/>
                <w:sz w:val="20"/>
              </w:rPr>
            </w:pPr>
          </w:p>
          <w:p w14:paraId="623C9DA3" w14:textId="77777777" w:rsidR="00EB1BB7" w:rsidRPr="001134B0" w:rsidRDefault="00EB1BB7" w:rsidP="00E332F1">
            <w:pPr>
              <w:pStyle w:val="TCTableBody"/>
              <w:rPr>
                <w:rFonts w:cs="Times"/>
                <w:sz w:val="20"/>
              </w:rPr>
            </w:pPr>
          </w:p>
          <w:p w14:paraId="4A78701F" w14:textId="77777777" w:rsidR="00EB1BB7" w:rsidRPr="001134B0" w:rsidRDefault="00EB1BB7" w:rsidP="00E332F1">
            <w:pPr>
              <w:pStyle w:val="TCTableBody"/>
              <w:rPr>
                <w:rFonts w:cs="Times"/>
                <w:sz w:val="20"/>
              </w:rPr>
            </w:pPr>
          </w:p>
          <w:p w14:paraId="09724369" w14:textId="77777777" w:rsidR="00EB1BB7" w:rsidRPr="001134B0" w:rsidRDefault="00EB1BB7" w:rsidP="00E332F1">
            <w:pPr>
              <w:pStyle w:val="TCTableBody"/>
              <w:rPr>
                <w:rFonts w:cs="Times"/>
                <w:sz w:val="20"/>
              </w:rPr>
            </w:pPr>
          </w:p>
        </w:tc>
        <w:tc>
          <w:tcPr>
            <w:tcW w:w="992" w:type="dxa"/>
            <w:hideMark/>
          </w:tcPr>
          <w:p w14:paraId="7F90C711" w14:textId="77777777" w:rsidR="00EB1BB7" w:rsidRPr="001134B0" w:rsidRDefault="00EB1BB7" w:rsidP="00E332F1">
            <w:pPr>
              <w:pStyle w:val="TCTableBody"/>
              <w:rPr>
                <w:rFonts w:cs="Times"/>
                <w:sz w:val="20"/>
              </w:rPr>
            </w:pPr>
            <w:r w:rsidRPr="001134B0">
              <w:rPr>
                <w:rFonts w:cs="Times"/>
                <w:sz w:val="20"/>
              </w:rPr>
              <w:t>AUC-ROC</w:t>
            </w:r>
          </w:p>
        </w:tc>
        <w:tc>
          <w:tcPr>
            <w:tcW w:w="1276" w:type="dxa"/>
            <w:hideMark/>
          </w:tcPr>
          <w:p w14:paraId="7031D2A8" w14:textId="77777777" w:rsidR="00EB1BB7" w:rsidRPr="001134B0" w:rsidRDefault="00EB1BB7" w:rsidP="00E332F1">
            <w:pPr>
              <w:pStyle w:val="TCTableBody"/>
              <w:rPr>
                <w:rFonts w:cs="Times"/>
                <w:sz w:val="20"/>
              </w:rPr>
            </w:pPr>
            <w:proofErr w:type="spellStart"/>
            <w:r w:rsidRPr="001134B0">
              <w:rPr>
                <w:rFonts w:cs="Times"/>
                <w:sz w:val="20"/>
              </w:rPr>
              <w:t>ErG+CP</w:t>
            </w:r>
            <w:proofErr w:type="spellEnd"/>
          </w:p>
        </w:tc>
        <w:tc>
          <w:tcPr>
            <w:tcW w:w="1275" w:type="dxa"/>
            <w:hideMark/>
          </w:tcPr>
          <w:p w14:paraId="426B5E0F" w14:textId="77777777" w:rsidR="00EB1BB7" w:rsidRPr="001134B0" w:rsidRDefault="00EB1BB7" w:rsidP="00E332F1">
            <w:pPr>
              <w:pStyle w:val="TCTableBody"/>
              <w:rPr>
                <w:rFonts w:cs="Times"/>
                <w:sz w:val="20"/>
              </w:rPr>
            </w:pPr>
            <w:r w:rsidRPr="001134B0">
              <w:rPr>
                <w:rFonts w:cs="Times"/>
                <w:sz w:val="20"/>
              </w:rPr>
              <w:t>0.81 ± 0.10</w:t>
            </w:r>
          </w:p>
        </w:tc>
        <w:tc>
          <w:tcPr>
            <w:tcW w:w="1276" w:type="dxa"/>
            <w:hideMark/>
          </w:tcPr>
          <w:p w14:paraId="2C043600"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38985B98" w14:textId="77777777" w:rsidR="00EB1BB7" w:rsidRPr="001134B0" w:rsidRDefault="00EB1BB7" w:rsidP="00E332F1">
            <w:pPr>
              <w:pStyle w:val="TCTableBody"/>
              <w:rPr>
                <w:rFonts w:cs="Times"/>
                <w:sz w:val="20"/>
              </w:rPr>
            </w:pPr>
            <w:r w:rsidRPr="001134B0">
              <w:rPr>
                <w:rFonts w:cs="Times"/>
                <w:sz w:val="20"/>
              </w:rPr>
              <w:t>0.50 ± 0.17</w:t>
            </w:r>
          </w:p>
        </w:tc>
        <w:tc>
          <w:tcPr>
            <w:tcW w:w="1134" w:type="dxa"/>
            <w:hideMark/>
          </w:tcPr>
          <w:p w14:paraId="47FE9588" w14:textId="77777777" w:rsidR="00EB1BB7" w:rsidRPr="001134B0" w:rsidRDefault="00EB1BB7" w:rsidP="00E332F1">
            <w:pPr>
              <w:pStyle w:val="TCTableBody"/>
              <w:rPr>
                <w:rFonts w:cs="Times"/>
                <w:sz w:val="20"/>
              </w:rPr>
            </w:pPr>
            <w:r w:rsidRPr="001134B0">
              <w:rPr>
                <w:rFonts w:cs="Times"/>
                <w:sz w:val="20"/>
              </w:rPr>
              <w:t>2.91</w:t>
            </w:r>
          </w:p>
        </w:tc>
        <w:tc>
          <w:tcPr>
            <w:tcW w:w="851" w:type="dxa"/>
            <w:hideMark/>
          </w:tcPr>
          <w:p w14:paraId="0CBB6EE8" w14:textId="77777777" w:rsidR="00EB1BB7" w:rsidRPr="001134B0" w:rsidRDefault="00EB1BB7" w:rsidP="00E332F1">
            <w:pPr>
              <w:pStyle w:val="TCTableBody"/>
              <w:rPr>
                <w:rFonts w:cs="Times"/>
                <w:sz w:val="20"/>
              </w:rPr>
            </w:pPr>
            <w:r w:rsidRPr="001134B0">
              <w:rPr>
                <w:rFonts w:cs="Times"/>
                <w:sz w:val="20"/>
              </w:rPr>
              <w:t>0.044</w:t>
            </w:r>
          </w:p>
        </w:tc>
      </w:tr>
      <w:tr w:rsidR="00EB1BB7" w:rsidRPr="001134B0" w14:paraId="3509F417" w14:textId="77777777" w:rsidTr="00E332F1">
        <w:trPr>
          <w:trHeight w:val="300"/>
        </w:trPr>
        <w:tc>
          <w:tcPr>
            <w:tcW w:w="1888" w:type="dxa"/>
            <w:vMerge/>
            <w:hideMark/>
          </w:tcPr>
          <w:p w14:paraId="78887C1C" w14:textId="77777777" w:rsidR="00EB1BB7" w:rsidRPr="001134B0" w:rsidRDefault="00EB1BB7" w:rsidP="00E332F1">
            <w:pPr>
              <w:pStyle w:val="TCTableBody"/>
              <w:rPr>
                <w:rFonts w:cs="Times"/>
                <w:sz w:val="20"/>
              </w:rPr>
            </w:pPr>
          </w:p>
        </w:tc>
        <w:tc>
          <w:tcPr>
            <w:tcW w:w="992" w:type="dxa"/>
            <w:hideMark/>
          </w:tcPr>
          <w:p w14:paraId="270E4352" w14:textId="77777777" w:rsidR="00EB1BB7" w:rsidRPr="001134B0" w:rsidRDefault="00EB1BB7" w:rsidP="00E332F1">
            <w:pPr>
              <w:pStyle w:val="TCTableBody"/>
              <w:rPr>
                <w:rFonts w:cs="Times"/>
                <w:sz w:val="20"/>
              </w:rPr>
            </w:pPr>
            <w:r w:rsidRPr="001134B0">
              <w:rPr>
                <w:rFonts w:cs="Times"/>
                <w:sz w:val="20"/>
              </w:rPr>
              <w:t>BA</w:t>
            </w:r>
          </w:p>
        </w:tc>
        <w:tc>
          <w:tcPr>
            <w:tcW w:w="1276" w:type="dxa"/>
            <w:hideMark/>
          </w:tcPr>
          <w:p w14:paraId="69397216" w14:textId="77777777" w:rsidR="00EB1BB7" w:rsidRPr="001134B0" w:rsidRDefault="00EB1BB7" w:rsidP="00E332F1">
            <w:pPr>
              <w:pStyle w:val="TCTableBody"/>
              <w:rPr>
                <w:rFonts w:cs="Times"/>
                <w:sz w:val="20"/>
              </w:rPr>
            </w:pPr>
            <w:proofErr w:type="spellStart"/>
            <w:r w:rsidRPr="001134B0">
              <w:rPr>
                <w:rFonts w:cs="Times"/>
                <w:sz w:val="20"/>
              </w:rPr>
              <w:t>ErG+CP</w:t>
            </w:r>
            <w:proofErr w:type="spellEnd"/>
          </w:p>
        </w:tc>
        <w:tc>
          <w:tcPr>
            <w:tcW w:w="1275" w:type="dxa"/>
            <w:hideMark/>
          </w:tcPr>
          <w:p w14:paraId="5BDA92E7" w14:textId="77777777" w:rsidR="00EB1BB7" w:rsidRPr="001134B0" w:rsidRDefault="00EB1BB7" w:rsidP="00E332F1">
            <w:pPr>
              <w:pStyle w:val="TCTableBody"/>
              <w:rPr>
                <w:rFonts w:cs="Times"/>
                <w:sz w:val="20"/>
              </w:rPr>
            </w:pPr>
            <w:r w:rsidRPr="001134B0">
              <w:rPr>
                <w:rFonts w:cs="Times"/>
                <w:sz w:val="20"/>
              </w:rPr>
              <w:t>0.73 ± 0.11</w:t>
            </w:r>
          </w:p>
        </w:tc>
        <w:tc>
          <w:tcPr>
            <w:tcW w:w="1276" w:type="dxa"/>
            <w:hideMark/>
          </w:tcPr>
          <w:p w14:paraId="6B428ABF" w14:textId="77777777" w:rsidR="00EB1BB7" w:rsidRPr="001134B0" w:rsidRDefault="00EB1BB7" w:rsidP="00E332F1">
            <w:pPr>
              <w:pStyle w:val="TCTableBody"/>
              <w:rPr>
                <w:rFonts w:cs="Times"/>
                <w:sz w:val="20"/>
              </w:rPr>
            </w:pPr>
            <w:proofErr w:type="spellStart"/>
            <w:r w:rsidRPr="001134B0">
              <w:rPr>
                <w:rFonts w:cs="Times"/>
                <w:sz w:val="20"/>
              </w:rPr>
              <w:t>ErG</w:t>
            </w:r>
            <w:proofErr w:type="spellEnd"/>
          </w:p>
        </w:tc>
        <w:tc>
          <w:tcPr>
            <w:tcW w:w="1559" w:type="dxa"/>
            <w:hideMark/>
          </w:tcPr>
          <w:p w14:paraId="72D1B1A0" w14:textId="77777777" w:rsidR="00EB1BB7" w:rsidRPr="001134B0" w:rsidRDefault="00EB1BB7" w:rsidP="00E332F1">
            <w:pPr>
              <w:pStyle w:val="TCTableBody"/>
              <w:rPr>
                <w:rFonts w:cs="Times"/>
                <w:sz w:val="20"/>
              </w:rPr>
            </w:pPr>
            <w:r w:rsidRPr="001134B0">
              <w:rPr>
                <w:rFonts w:cs="Times"/>
                <w:sz w:val="20"/>
              </w:rPr>
              <w:t>0.60 ± 0.07</w:t>
            </w:r>
          </w:p>
        </w:tc>
        <w:tc>
          <w:tcPr>
            <w:tcW w:w="1134" w:type="dxa"/>
            <w:hideMark/>
          </w:tcPr>
          <w:p w14:paraId="71984B39" w14:textId="77777777" w:rsidR="00EB1BB7" w:rsidRPr="001134B0" w:rsidRDefault="00EB1BB7" w:rsidP="00E332F1">
            <w:pPr>
              <w:pStyle w:val="TCTableBody"/>
              <w:rPr>
                <w:rFonts w:cs="Times"/>
                <w:sz w:val="20"/>
              </w:rPr>
            </w:pPr>
            <w:r w:rsidRPr="001134B0">
              <w:rPr>
                <w:rFonts w:cs="Times"/>
                <w:sz w:val="20"/>
              </w:rPr>
              <w:t>3.25</w:t>
            </w:r>
          </w:p>
        </w:tc>
        <w:tc>
          <w:tcPr>
            <w:tcW w:w="851" w:type="dxa"/>
            <w:hideMark/>
          </w:tcPr>
          <w:p w14:paraId="7A8AAC89" w14:textId="77777777" w:rsidR="00EB1BB7" w:rsidRPr="001134B0" w:rsidRDefault="00EB1BB7" w:rsidP="00E332F1">
            <w:pPr>
              <w:pStyle w:val="TCTableBody"/>
              <w:rPr>
                <w:rFonts w:cs="Times"/>
                <w:sz w:val="20"/>
              </w:rPr>
            </w:pPr>
            <w:r w:rsidRPr="001134B0">
              <w:rPr>
                <w:rFonts w:cs="Times"/>
                <w:sz w:val="20"/>
              </w:rPr>
              <w:t>0.031</w:t>
            </w:r>
          </w:p>
        </w:tc>
      </w:tr>
      <w:tr w:rsidR="00EB1BB7" w:rsidRPr="001134B0" w14:paraId="0428AE46" w14:textId="77777777" w:rsidTr="00E332F1">
        <w:trPr>
          <w:trHeight w:val="300"/>
        </w:trPr>
        <w:tc>
          <w:tcPr>
            <w:tcW w:w="1888" w:type="dxa"/>
            <w:vMerge/>
            <w:hideMark/>
          </w:tcPr>
          <w:p w14:paraId="59E5D49F" w14:textId="77777777" w:rsidR="00EB1BB7" w:rsidRPr="001134B0" w:rsidRDefault="00EB1BB7" w:rsidP="00E332F1">
            <w:pPr>
              <w:pStyle w:val="TCTableBody"/>
              <w:rPr>
                <w:rFonts w:cs="Times"/>
                <w:sz w:val="20"/>
              </w:rPr>
            </w:pPr>
          </w:p>
        </w:tc>
        <w:tc>
          <w:tcPr>
            <w:tcW w:w="992" w:type="dxa"/>
            <w:hideMark/>
          </w:tcPr>
          <w:p w14:paraId="611AAF6D" w14:textId="77777777" w:rsidR="00EB1BB7" w:rsidRPr="001134B0" w:rsidRDefault="00EB1BB7" w:rsidP="00E332F1">
            <w:pPr>
              <w:pStyle w:val="TCTableBody"/>
              <w:rPr>
                <w:rFonts w:cs="Times"/>
                <w:sz w:val="20"/>
              </w:rPr>
            </w:pPr>
            <w:r w:rsidRPr="001134B0">
              <w:rPr>
                <w:rFonts w:cs="Times"/>
                <w:sz w:val="20"/>
              </w:rPr>
              <w:t>MCC</w:t>
            </w:r>
          </w:p>
        </w:tc>
        <w:tc>
          <w:tcPr>
            <w:tcW w:w="1276" w:type="dxa"/>
            <w:hideMark/>
          </w:tcPr>
          <w:p w14:paraId="57C8D65E" w14:textId="77777777" w:rsidR="00EB1BB7" w:rsidRPr="001134B0" w:rsidRDefault="00EB1BB7" w:rsidP="00E332F1">
            <w:pPr>
              <w:pStyle w:val="TCTableBody"/>
              <w:rPr>
                <w:rFonts w:cs="Times"/>
                <w:sz w:val="20"/>
              </w:rPr>
            </w:pPr>
            <w:proofErr w:type="spellStart"/>
            <w:r w:rsidRPr="001134B0">
              <w:rPr>
                <w:rFonts w:cs="Times"/>
                <w:sz w:val="20"/>
              </w:rPr>
              <w:t>ErG+CP</w:t>
            </w:r>
            <w:proofErr w:type="spellEnd"/>
          </w:p>
        </w:tc>
        <w:tc>
          <w:tcPr>
            <w:tcW w:w="1275" w:type="dxa"/>
            <w:hideMark/>
          </w:tcPr>
          <w:p w14:paraId="4ED4B1F5" w14:textId="77777777" w:rsidR="00EB1BB7" w:rsidRPr="001134B0" w:rsidRDefault="00EB1BB7" w:rsidP="00E332F1">
            <w:pPr>
              <w:pStyle w:val="TCTableBody"/>
              <w:rPr>
                <w:rFonts w:cs="Times"/>
                <w:sz w:val="20"/>
              </w:rPr>
            </w:pPr>
            <w:r w:rsidRPr="001134B0">
              <w:rPr>
                <w:rFonts w:cs="Times"/>
                <w:sz w:val="20"/>
              </w:rPr>
              <w:t>0.44 ± 0.15</w:t>
            </w:r>
          </w:p>
        </w:tc>
        <w:tc>
          <w:tcPr>
            <w:tcW w:w="1276" w:type="dxa"/>
            <w:hideMark/>
          </w:tcPr>
          <w:p w14:paraId="50BBEDBA" w14:textId="77777777" w:rsidR="00EB1BB7" w:rsidRPr="001134B0" w:rsidRDefault="00EB1BB7" w:rsidP="00E332F1">
            <w:pPr>
              <w:pStyle w:val="TCTableBody"/>
              <w:rPr>
                <w:rFonts w:cs="Times"/>
                <w:sz w:val="20"/>
              </w:rPr>
            </w:pPr>
            <w:proofErr w:type="spellStart"/>
            <w:r w:rsidRPr="001134B0">
              <w:rPr>
                <w:rFonts w:cs="Times"/>
                <w:sz w:val="20"/>
              </w:rPr>
              <w:t>ErG</w:t>
            </w:r>
            <w:proofErr w:type="spellEnd"/>
          </w:p>
        </w:tc>
        <w:tc>
          <w:tcPr>
            <w:tcW w:w="1559" w:type="dxa"/>
            <w:hideMark/>
          </w:tcPr>
          <w:p w14:paraId="549BDDB9" w14:textId="77777777" w:rsidR="00EB1BB7" w:rsidRPr="001134B0" w:rsidRDefault="00EB1BB7" w:rsidP="00E332F1">
            <w:pPr>
              <w:pStyle w:val="TCTableBody"/>
              <w:rPr>
                <w:rFonts w:cs="Times"/>
                <w:sz w:val="20"/>
              </w:rPr>
            </w:pPr>
            <w:r w:rsidRPr="001134B0">
              <w:rPr>
                <w:rFonts w:cs="Times"/>
                <w:sz w:val="20"/>
              </w:rPr>
              <w:t>0.16 ± 0.11</w:t>
            </w:r>
          </w:p>
        </w:tc>
        <w:tc>
          <w:tcPr>
            <w:tcW w:w="1134" w:type="dxa"/>
            <w:hideMark/>
          </w:tcPr>
          <w:p w14:paraId="7A95E449" w14:textId="77777777" w:rsidR="00EB1BB7" w:rsidRPr="001134B0" w:rsidRDefault="00EB1BB7" w:rsidP="00E332F1">
            <w:pPr>
              <w:pStyle w:val="TCTableBody"/>
              <w:rPr>
                <w:rFonts w:cs="Times"/>
                <w:sz w:val="20"/>
              </w:rPr>
            </w:pPr>
            <w:r w:rsidRPr="001134B0">
              <w:rPr>
                <w:rFonts w:cs="Times"/>
                <w:sz w:val="20"/>
              </w:rPr>
              <w:t>4.10</w:t>
            </w:r>
          </w:p>
        </w:tc>
        <w:tc>
          <w:tcPr>
            <w:tcW w:w="851" w:type="dxa"/>
            <w:hideMark/>
          </w:tcPr>
          <w:p w14:paraId="6363BBCE" w14:textId="77777777" w:rsidR="00EB1BB7" w:rsidRPr="001134B0" w:rsidRDefault="00EB1BB7" w:rsidP="00E332F1">
            <w:pPr>
              <w:pStyle w:val="TCTableBody"/>
              <w:rPr>
                <w:rFonts w:cs="Times"/>
                <w:sz w:val="20"/>
              </w:rPr>
            </w:pPr>
            <w:r w:rsidRPr="001134B0">
              <w:rPr>
                <w:rFonts w:cs="Times"/>
                <w:sz w:val="20"/>
              </w:rPr>
              <w:t>0.015</w:t>
            </w:r>
          </w:p>
        </w:tc>
      </w:tr>
      <w:tr w:rsidR="00EB1BB7" w:rsidRPr="001134B0" w14:paraId="58D88E12" w14:textId="77777777" w:rsidTr="00E332F1">
        <w:trPr>
          <w:trHeight w:val="300"/>
        </w:trPr>
        <w:tc>
          <w:tcPr>
            <w:tcW w:w="1888" w:type="dxa"/>
            <w:vMerge/>
            <w:hideMark/>
          </w:tcPr>
          <w:p w14:paraId="27B25E24" w14:textId="77777777" w:rsidR="00EB1BB7" w:rsidRPr="001134B0" w:rsidRDefault="00EB1BB7" w:rsidP="00E332F1">
            <w:pPr>
              <w:pStyle w:val="TCTableBody"/>
              <w:rPr>
                <w:rFonts w:cs="Times"/>
                <w:sz w:val="20"/>
              </w:rPr>
            </w:pPr>
          </w:p>
        </w:tc>
        <w:tc>
          <w:tcPr>
            <w:tcW w:w="992" w:type="dxa"/>
            <w:hideMark/>
          </w:tcPr>
          <w:p w14:paraId="00D25317" w14:textId="77777777" w:rsidR="00EB1BB7" w:rsidRPr="001134B0" w:rsidRDefault="00EB1BB7" w:rsidP="00E332F1">
            <w:pPr>
              <w:pStyle w:val="TCTableBody"/>
              <w:rPr>
                <w:rFonts w:cs="Times"/>
                <w:sz w:val="20"/>
              </w:rPr>
            </w:pPr>
            <w:r w:rsidRPr="001134B0">
              <w:rPr>
                <w:rFonts w:cs="Times"/>
                <w:sz w:val="20"/>
              </w:rPr>
              <w:t>MCC</w:t>
            </w:r>
          </w:p>
        </w:tc>
        <w:tc>
          <w:tcPr>
            <w:tcW w:w="1276" w:type="dxa"/>
            <w:hideMark/>
          </w:tcPr>
          <w:p w14:paraId="1FCA3BD3" w14:textId="77777777" w:rsidR="00EB1BB7" w:rsidRPr="001134B0" w:rsidRDefault="00EB1BB7" w:rsidP="00E332F1">
            <w:pPr>
              <w:pStyle w:val="TCTableBody"/>
              <w:rPr>
                <w:rFonts w:cs="Times"/>
                <w:sz w:val="20"/>
              </w:rPr>
            </w:pPr>
            <w:proofErr w:type="spellStart"/>
            <w:r w:rsidRPr="001134B0">
              <w:rPr>
                <w:rFonts w:cs="Times"/>
                <w:sz w:val="20"/>
              </w:rPr>
              <w:t>ErG+CP</w:t>
            </w:r>
            <w:proofErr w:type="spellEnd"/>
          </w:p>
        </w:tc>
        <w:tc>
          <w:tcPr>
            <w:tcW w:w="1275" w:type="dxa"/>
            <w:hideMark/>
          </w:tcPr>
          <w:p w14:paraId="2C65D669" w14:textId="77777777" w:rsidR="00EB1BB7" w:rsidRPr="001134B0" w:rsidRDefault="00EB1BB7" w:rsidP="00E332F1">
            <w:pPr>
              <w:pStyle w:val="TCTableBody"/>
              <w:rPr>
                <w:rFonts w:cs="Times"/>
                <w:sz w:val="20"/>
              </w:rPr>
            </w:pPr>
            <w:r w:rsidRPr="001134B0">
              <w:rPr>
                <w:rFonts w:cs="Times"/>
                <w:sz w:val="20"/>
              </w:rPr>
              <w:t>0.44 ± 0.15</w:t>
            </w:r>
          </w:p>
        </w:tc>
        <w:tc>
          <w:tcPr>
            <w:tcW w:w="1276" w:type="dxa"/>
            <w:hideMark/>
          </w:tcPr>
          <w:p w14:paraId="59DF476F"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65C441E1" w14:textId="77777777" w:rsidR="00EB1BB7" w:rsidRPr="001134B0" w:rsidRDefault="00EB1BB7" w:rsidP="00E332F1">
            <w:pPr>
              <w:pStyle w:val="TCTableBody"/>
              <w:rPr>
                <w:rFonts w:cs="Times"/>
                <w:sz w:val="20"/>
              </w:rPr>
            </w:pPr>
            <w:r w:rsidRPr="001134B0">
              <w:rPr>
                <w:rFonts w:cs="Times"/>
                <w:sz w:val="20"/>
              </w:rPr>
              <w:t>0.10 ± 0.15</w:t>
            </w:r>
          </w:p>
        </w:tc>
        <w:tc>
          <w:tcPr>
            <w:tcW w:w="1134" w:type="dxa"/>
            <w:hideMark/>
          </w:tcPr>
          <w:p w14:paraId="35204116" w14:textId="77777777" w:rsidR="00EB1BB7" w:rsidRPr="001134B0" w:rsidRDefault="00EB1BB7" w:rsidP="00E332F1">
            <w:pPr>
              <w:pStyle w:val="TCTableBody"/>
              <w:rPr>
                <w:rFonts w:cs="Times"/>
                <w:sz w:val="20"/>
              </w:rPr>
            </w:pPr>
            <w:r w:rsidRPr="001134B0">
              <w:rPr>
                <w:rFonts w:cs="Times"/>
                <w:sz w:val="20"/>
              </w:rPr>
              <w:t>2.89</w:t>
            </w:r>
          </w:p>
        </w:tc>
        <w:tc>
          <w:tcPr>
            <w:tcW w:w="851" w:type="dxa"/>
            <w:hideMark/>
          </w:tcPr>
          <w:p w14:paraId="316DB57F" w14:textId="77777777" w:rsidR="00EB1BB7" w:rsidRPr="001134B0" w:rsidRDefault="00EB1BB7" w:rsidP="00E332F1">
            <w:pPr>
              <w:pStyle w:val="TCTableBody"/>
              <w:rPr>
                <w:rFonts w:cs="Times"/>
                <w:sz w:val="20"/>
              </w:rPr>
            </w:pPr>
            <w:r w:rsidRPr="001134B0">
              <w:rPr>
                <w:rFonts w:cs="Times"/>
                <w:sz w:val="20"/>
              </w:rPr>
              <w:t>0.044</w:t>
            </w:r>
          </w:p>
        </w:tc>
      </w:tr>
      <w:tr w:rsidR="00EB1BB7" w:rsidRPr="001134B0" w14:paraId="025C801C" w14:textId="77777777" w:rsidTr="00E332F1">
        <w:trPr>
          <w:trHeight w:val="300"/>
        </w:trPr>
        <w:tc>
          <w:tcPr>
            <w:tcW w:w="1888" w:type="dxa"/>
            <w:vMerge/>
            <w:hideMark/>
          </w:tcPr>
          <w:p w14:paraId="06CF2694" w14:textId="77777777" w:rsidR="00EB1BB7" w:rsidRPr="001134B0" w:rsidRDefault="00EB1BB7" w:rsidP="00E332F1">
            <w:pPr>
              <w:pStyle w:val="TCTableBody"/>
              <w:rPr>
                <w:rFonts w:cs="Times"/>
                <w:sz w:val="20"/>
              </w:rPr>
            </w:pPr>
          </w:p>
        </w:tc>
        <w:tc>
          <w:tcPr>
            <w:tcW w:w="992" w:type="dxa"/>
            <w:hideMark/>
          </w:tcPr>
          <w:p w14:paraId="5407ADAB" w14:textId="77777777" w:rsidR="00EB1BB7" w:rsidRPr="001134B0" w:rsidRDefault="00EB1BB7" w:rsidP="00E332F1">
            <w:pPr>
              <w:pStyle w:val="TCTableBody"/>
              <w:rPr>
                <w:rFonts w:cs="Times"/>
                <w:sz w:val="20"/>
              </w:rPr>
            </w:pPr>
            <w:r w:rsidRPr="001134B0">
              <w:rPr>
                <w:rFonts w:cs="Times"/>
                <w:sz w:val="20"/>
              </w:rPr>
              <w:t>SPE</w:t>
            </w:r>
          </w:p>
        </w:tc>
        <w:tc>
          <w:tcPr>
            <w:tcW w:w="1276" w:type="dxa"/>
            <w:hideMark/>
          </w:tcPr>
          <w:p w14:paraId="459E51E9" w14:textId="77777777" w:rsidR="00EB1BB7" w:rsidRPr="001134B0" w:rsidRDefault="00EB1BB7" w:rsidP="00E332F1">
            <w:pPr>
              <w:pStyle w:val="TCTableBody"/>
              <w:rPr>
                <w:rFonts w:cs="Times"/>
                <w:sz w:val="20"/>
              </w:rPr>
            </w:pPr>
            <w:proofErr w:type="spellStart"/>
            <w:r w:rsidRPr="001134B0">
              <w:rPr>
                <w:rFonts w:cs="Times"/>
                <w:sz w:val="20"/>
              </w:rPr>
              <w:t>ErG+CP</w:t>
            </w:r>
            <w:proofErr w:type="spellEnd"/>
          </w:p>
        </w:tc>
        <w:tc>
          <w:tcPr>
            <w:tcW w:w="1275" w:type="dxa"/>
            <w:hideMark/>
          </w:tcPr>
          <w:p w14:paraId="65B93AD9" w14:textId="77777777" w:rsidR="00EB1BB7" w:rsidRPr="001134B0" w:rsidRDefault="00EB1BB7" w:rsidP="00E332F1">
            <w:pPr>
              <w:pStyle w:val="TCTableBody"/>
              <w:rPr>
                <w:rFonts w:cs="Times"/>
                <w:sz w:val="20"/>
              </w:rPr>
            </w:pPr>
            <w:r w:rsidRPr="001134B0">
              <w:rPr>
                <w:rFonts w:cs="Times"/>
                <w:sz w:val="20"/>
              </w:rPr>
              <w:t>0.91 ± 0.09</w:t>
            </w:r>
          </w:p>
        </w:tc>
        <w:tc>
          <w:tcPr>
            <w:tcW w:w="1276" w:type="dxa"/>
            <w:hideMark/>
          </w:tcPr>
          <w:p w14:paraId="0E13838E" w14:textId="77777777" w:rsidR="00EB1BB7" w:rsidRPr="001134B0" w:rsidRDefault="00EB1BB7" w:rsidP="00E332F1">
            <w:pPr>
              <w:pStyle w:val="TCTableBody"/>
              <w:rPr>
                <w:rFonts w:cs="Times"/>
                <w:sz w:val="20"/>
              </w:rPr>
            </w:pPr>
            <w:proofErr w:type="spellStart"/>
            <w:r w:rsidRPr="001134B0">
              <w:rPr>
                <w:rFonts w:cs="Times"/>
                <w:sz w:val="20"/>
              </w:rPr>
              <w:t>ErG</w:t>
            </w:r>
            <w:proofErr w:type="spellEnd"/>
          </w:p>
        </w:tc>
        <w:tc>
          <w:tcPr>
            <w:tcW w:w="1559" w:type="dxa"/>
            <w:hideMark/>
          </w:tcPr>
          <w:p w14:paraId="1DAAA792" w14:textId="77777777" w:rsidR="00EB1BB7" w:rsidRPr="001134B0" w:rsidRDefault="00EB1BB7" w:rsidP="00E332F1">
            <w:pPr>
              <w:pStyle w:val="TCTableBody"/>
              <w:rPr>
                <w:rFonts w:cs="Times"/>
                <w:sz w:val="20"/>
              </w:rPr>
            </w:pPr>
            <w:r w:rsidRPr="001134B0">
              <w:rPr>
                <w:rFonts w:cs="Times"/>
                <w:sz w:val="20"/>
              </w:rPr>
              <w:t>0.70 ± 0.10</w:t>
            </w:r>
          </w:p>
        </w:tc>
        <w:tc>
          <w:tcPr>
            <w:tcW w:w="1134" w:type="dxa"/>
            <w:hideMark/>
          </w:tcPr>
          <w:p w14:paraId="36EB3C5E" w14:textId="77777777" w:rsidR="00EB1BB7" w:rsidRPr="001134B0" w:rsidRDefault="00EB1BB7" w:rsidP="00E332F1">
            <w:pPr>
              <w:pStyle w:val="TCTableBody"/>
              <w:rPr>
                <w:rFonts w:cs="Times"/>
                <w:sz w:val="20"/>
              </w:rPr>
            </w:pPr>
            <w:r w:rsidRPr="001134B0">
              <w:rPr>
                <w:rFonts w:cs="Times"/>
                <w:sz w:val="20"/>
              </w:rPr>
              <w:t>7.45</w:t>
            </w:r>
          </w:p>
        </w:tc>
        <w:tc>
          <w:tcPr>
            <w:tcW w:w="851" w:type="dxa"/>
            <w:hideMark/>
          </w:tcPr>
          <w:p w14:paraId="7977C20E" w14:textId="77777777" w:rsidR="00EB1BB7" w:rsidRPr="001134B0" w:rsidRDefault="00EB1BB7" w:rsidP="00E332F1">
            <w:pPr>
              <w:pStyle w:val="TCTableBody"/>
              <w:rPr>
                <w:rFonts w:cs="Times"/>
                <w:sz w:val="20"/>
              </w:rPr>
            </w:pPr>
            <w:r w:rsidRPr="001134B0">
              <w:rPr>
                <w:rFonts w:cs="Times"/>
                <w:sz w:val="20"/>
              </w:rPr>
              <w:t>0.002</w:t>
            </w:r>
          </w:p>
        </w:tc>
      </w:tr>
      <w:tr w:rsidR="00EB1BB7" w:rsidRPr="001134B0" w14:paraId="68E70B64" w14:textId="77777777" w:rsidTr="00E332F1">
        <w:trPr>
          <w:trHeight w:val="300"/>
        </w:trPr>
        <w:tc>
          <w:tcPr>
            <w:tcW w:w="1888" w:type="dxa"/>
            <w:vMerge/>
            <w:hideMark/>
          </w:tcPr>
          <w:p w14:paraId="31AB70BD" w14:textId="77777777" w:rsidR="00EB1BB7" w:rsidRPr="001134B0" w:rsidRDefault="00EB1BB7" w:rsidP="00E332F1">
            <w:pPr>
              <w:pStyle w:val="TCTableBody"/>
              <w:rPr>
                <w:rFonts w:cs="Times"/>
                <w:sz w:val="20"/>
              </w:rPr>
            </w:pPr>
          </w:p>
        </w:tc>
        <w:tc>
          <w:tcPr>
            <w:tcW w:w="992" w:type="dxa"/>
            <w:hideMark/>
          </w:tcPr>
          <w:p w14:paraId="1910CFD7" w14:textId="77777777" w:rsidR="00EB1BB7" w:rsidRPr="001134B0" w:rsidRDefault="00EB1BB7" w:rsidP="00E332F1">
            <w:pPr>
              <w:pStyle w:val="TCTableBody"/>
              <w:rPr>
                <w:rFonts w:cs="Times"/>
                <w:sz w:val="20"/>
              </w:rPr>
            </w:pPr>
            <w:r w:rsidRPr="001134B0">
              <w:rPr>
                <w:rFonts w:cs="Times"/>
                <w:sz w:val="20"/>
              </w:rPr>
              <w:t>SEN</w:t>
            </w:r>
          </w:p>
        </w:tc>
        <w:tc>
          <w:tcPr>
            <w:tcW w:w="1276" w:type="dxa"/>
            <w:hideMark/>
          </w:tcPr>
          <w:p w14:paraId="35023908" w14:textId="77777777" w:rsidR="00EB1BB7" w:rsidRPr="001134B0" w:rsidRDefault="00EB1BB7" w:rsidP="00E332F1">
            <w:pPr>
              <w:pStyle w:val="TCTableBody"/>
              <w:rPr>
                <w:rFonts w:cs="Times"/>
                <w:sz w:val="20"/>
              </w:rPr>
            </w:pPr>
            <w:proofErr w:type="spellStart"/>
            <w:r w:rsidRPr="001134B0">
              <w:rPr>
                <w:rFonts w:cs="Times"/>
                <w:sz w:val="20"/>
              </w:rPr>
              <w:t>ErG+CP</w:t>
            </w:r>
            <w:proofErr w:type="spellEnd"/>
          </w:p>
        </w:tc>
        <w:tc>
          <w:tcPr>
            <w:tcW w:w="1275" w:type="dxa"/>
            <w:hideMark/>
          </w:tcPr>
          <w:p w14:paraId="3152BE26" w14:textId="77777777" w:rsidR="00EB1BB7" w:rsidRPr="001134B0" w:rsidRDefault="00EB1BB7" w:rsidP="00E332F1">
            <w:pPr>
              <w:pStyle w:val="TCTableBody"/>
              <w:rPr>
                <w:rFonts w:cs="Times"/>
                <w:sz w:val="20"/>
              </w:rPr>
            </w:pPr>
            <w:r w:rsidRPr="001134B0">
              <w:rPr>
                <w:rFonts w:cs="Times"/>
                <w:sz w:val="20"/>
              </w:rPr>
              <w:t>0.55 ± 0.30</w:t>
            </w:r>
          </w:p>
        </w:tc>
        <w:tc>
          <w:tcPr>
            <w:tcW w:w="1276" w:type="dxa"/>
            <w:hideMark/>
          </w:tcPr>
          <w:p w14:paraId="4E559444"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4425D416" w14:textId="77777777" w:rsidR="00EB1BB7" w:rsidRPr="001134B0" w:rsidRDefault="00EB1BB7" w:rsidP="00E332F1">
            <w:pPr>
              <w:pStyle w:val="TCTableBody"/>
              <w:rPr>
                <w:rFonts w:cs="Times"/>
                <w:sz w:val="20"/>
              </w:rPr>
            </w:pPr>
            <w:r w:rsidRPr="001134B0">
              <w:rPr>
                <w:rFonts w:cs="Times"/>
                <w:sz w:val="20"/>
              </w:rPr>
              <w:t>0.22 ± 0.19</w:t>
            </w:r>
          </w:p>
        </w:tc>
        <w:tc>
          <w:tcPr>
            <w:tcW w:w="1134" w:type="dxa"/>
            <w:hideMark/>
          </w:tcPr>
          <w:p w14:paraId="7A463298" w14:textId="77777777" w:rsidR="00EB1BB7" w:rsidRPr="001134B0" w:rsidRDefault="00EB1BB7" w:rsidP="00E332F1">
            <w:pPr>
              <w:pStyle w:val="TCTableBody"/>
              <w:rPr>
                <w:rFonts w:cs="Times"/>
                <w:sz w:val="20"/>
              </w:rPr>
            </w:pPr>
            <w:r w:rsidRPr="001134B0">
              <w:rPr>
                <w:rFonts w:cs="Times"/>
                <w:sz w:val="20"/>
              </w:rPr>
              <w:t>3.04</w:t>
            </w:r>
          </w:p>
        </w:tc>
        <w:tc>
          <w:tcPr>
            <w:tcW w:w="851" w:type="dxa"/>
            <w:hideMark/>
          </w:tcPr>
          <w:p w14:paraId="720FF2EB" w14:textId="77777777" w:rsidR="00EB1BB7" w:rsidRPr="001134B0" w:rsidRDefault="00EB1BB7" w:rsidP="00E332F1">
            <w:pPr>
              <w:pStyle w:val="TCTableBody"/>
              <w:rPr>
                <w:rFonts w:cs="Times"/>
                <w:sz w:val="20"/>
              </w:rPr>
            </w:pPr>
            <w:r w:rsidRPr="001134B0">
              <w:rPr>
                <w:rFonts w:cs="Times"/>
                <w:sz w:val="20"/>
              </w:rPr>
              <w:t>0.039</w:t>
            </w:r>
          </w:p>
        </w:tc>
      </w:tr>
      <w:tr w:rsidR="00D20886" w:rsidRPr="001134B0" w14:paraId="750BE6B9" w14:textId="77777777" w:rsidTr="00EE7CA4">
        <w:trPr>
          <w:trHeight w:val="300"/>
        </w:trPr>
        <w:tc>
          <w:tcPr>
            <w:tcW w:w="1888" w:type="dxa"/>
            <w:vMerge w:val="restart"/>
            <w:vAlign w:val="bottom"/>
          </w:tcPr>
          <w:p w14:paraId="1EC4D93E" w14:textId="1DABE8B2" w:rsidR="00D20886" w:rsidRPr="001134B0" w:rsidRDefault="00D20886" w:rsidP="00D20886">
            <w:pPr>
              <w:pStyle w:val="TCTableBody"/>
              <w:rPr>
                <w:rFonts w:cs="Times"/>
                <w:sz w:val="20"/>
              </w:rPr>
            </w:pPr>
            <w:proofErr w:type="spellStart"/>
            <w:r w:rsidRPr="001134B0">
              <w:rPr>
                <w:rFonts w:cs="Times"/>
                <w:sz w:val="20"/>
              </w:rPr>
              <w:t>BSK_SAg</w:t>
            </w:r>
            <w:proofErr w:type="spellEnd"/>
            <w:r w:rsidRPr="001134B0">
              <w:rPr>
                <w:rFonts w:cs="Times"/>
                <w:sz w:val="20"/>
              </w:rPr>
              <w:t>_</w:t>
            </w:r>
            <w:r w:rsidRPr="001134B0">
              <w:rPr>
                <w:rFonts w:cs="Times"/>
                <w:sz w:val="20"/>
              </w:rPr>
              <w:br/>
            </w:r>
            <w:proofErr w:type="spellStart"/>
            <w:r w:rsidRPr="001134B0">
              <w:rPr>
                <w:rFonts w:cs="Times"/>
                <w:sz w:val="20"/>
              </w:rPr>
              <w:t>SRB_down</w:t>
            </w:r>
            <w:proofErr w:type="spellEnd"/>
          </w:p>
          <w:p w14:paraId="7479204E" w14:textId="00CEEECD" w:rsidR="00D20886" w:rsidRPr="001134B0" w:rsidRDefault="00D20886" w:rsidP="00D20886">
            <w:pPr>
              <w:pStyle w:val="TCTableBody"/>
              <w:rPr>
                <w:rFonts w:cs="Times"/>
                <w:sz w:val="20"/>
              </w:rPr>
            </w:pPr>
            <w:r w:rsidRPr="001134B0">
              <w:rPr>
                <w:rFonts w:cs="Times"/>
                <w:sz w:val="20"/>
              </w:rPr>
              <w:br/>
            </w:r>
          </w:p>
        </w:tc>
        <w:tc>
          <w:tcPr>
            <w:tcW w:w="992" w:type="dxa"/>
            <w:vAlign w:val="bottom"/>
          </w:tcPr>
          <w:p w14:paraId="65D949B8" w14:textId="4EE6323B" w:rsidR="00D20886" w:rsidRPr="001134B0" w:rsidRDefault="00D20886" w:rsidP="00D20886">
            <w:pPr>
              <w:pStyle w:val="TCTableBody"/>
              <w:rPr>
                <w:rFonts w:cs="Times"/>
                <w:sz w:val="20"/>
              </w:rPr>
            </w:pPr>
            <w:r w:rsidRPr="001134B0">
              <w:rPr>
                <w:rFonts w:cs="Times"/>
                <w:sz w:val="20"/>
              </w:rPr>
              <w:t>AUC-ROC</w:t>
            </w:r>
          </w:p>
        </w:tc>
        <w:tc>
          <w:tcPr>
            <w:tcW w:w="1276" w:type="dxa"/>
            <w:vAlign w:val="bottom"/>
          </w:tcPr>
          <w:p w14:paraId="5BEDFB92" w14:textId="41EB3257" w:rsidR="00D20886" w:rsidRPr="001134B0" w:rsidRDefault="00D20886" w:rsidP="00D20886">
            <w:pPr>
              <w:pStyle w:val="TCTableBody"/>
              <w:rPr>
                <w:rFonts w:cs="Times"/>
                <w:sz w:val="20"/>
              </w:rPr>
            </w:pPr>
            <w:proofErr w:type="spellStart"/>
            <w:r w:rsidRPr="001134B0">
              <w:rPr>
                <w:rFonts w:cs="Times"/>
                <w:sz w:val="20"/>
              </w:rPr>
              <w:t>ErG+CP</w:t>
            </w:r>
            <w:proofErr w:type="spellEnd"/>
          </w:p>
        </w:tc>
        <w:tc>
          <w:tcPr>
            <w:tcW w:w="1275" w:type="dxa"/>
            <w:vAlign w:val="bottom"/>
          </w:tcPr>
          <w:p w14:paraId="53D9072D" w14:textId="7CA0D90B" w:rsidR="00D20886" w:rsidRPr="001134B0" w:rsidRDefault="00D20886" w:rsidP="00D20886">
            <w:pPr>
              <w:pStyle w:val="TCTableBody"/>
              <w:rPr>
                <w:rFonts w:cs="Times"/>
                <w:sz w:val="20"/>
              </w:rPr>
            </w:pPr>
            <w:r w:rsidRPr="001134B0">
              <w:rPr>
                <w:rFonts w:cs="Times"/>
                <w:sz w:val="20"/>
              </w:rPr>
              <w:t>0.69 ± 0.08</w:t>
            </w:r>
          </w:p>
        </w:tc>
        <w:tc>
          <w:tcPr>
            <w:tcW w:w="1276" w:type="dxa"/>
            <w:vAlign w:val="bottom"/>
          </w:tcPr>
          <w:p w14:paraId="47F51BD8" w14:textId="173B9CCE" w:rsidR="00D20886" w:rsidRPr="001134B0" w:rsidRDefault="00D20886" w:rsidP="00D20886">
            <w:pPr>
              <w:pStyle w:val="TCTableBody"/>
              <w:rPr>
                <w:rFonts w:cs="Times"/>
                <w:sz w:val="20"/>
              </w:rPr>
            </w:pPr>
            <w:proofErr w:type="spellStart"/>
            <w:r w:rsidRPr="001134B0">
              <w:rPr>
                <w:rFonts w:cs="Times"/>
                <w:sz w:val="20"/>
              </w:rPr>
              <w:t>ErG</w:t>
            </w:r>
            <w:proofErr w:type="spellEnd"/>
          </w:p>
        </w:tc>
        <w:tc>
          <w:tcPr>
            <w:tcW w:w="1559" w:type="dxa"/>
            <w:vAlign w:val="bottom"/>
          </w:tcPr>
          <w:p w14:paraId="213A06C9" w14:textId="2CB61251" w:rsidR="00D20886" w:rsidRPr="001134B0" w:rsidRDefault="00D20886" w:rsidP="00D20886">
            <w:pPr>
              <w:pStyle w:val="TCTableBody"/>
              <w:rPr>
                <w:rFonts w:cs="Times"/>
                <w:sz w:val="20"/>
              </w:rPr>
            </w:pPr>
            <w:r w:rsidRPr="001134B0">
              <w:rPr>
                <w:rFonts w:cs="Times"/>
                <w:sz w:val="20"/>
              </w:rPr>
              <w:t>0.59 ± 0.07</w:t>
            </w:r>
          </w:p>
        </w:tc>
        <w:tc>
          <w:tcPr>
            <w:tcW w:w="1134" w:type="dxa"/>
            <w:vAlign w:val="bottom"/>
          </w:tcPr>
          <w:p w14:paraId="4A231447" w14:textId="18624225" w:rsidR="00D20886" w:rsidRPr="001134B0" w:rsidRDefault="00D20886" w:rsidP="00D20886">
            <w:pPr>
              <w:pStyle w:val="TCTableBody"/>
              <w:rPr>
                <w:rFonts w:cs="Times"/>
                <w:sz w:val="20"/>
              </w:rPr>
            </w:pPr>
            <w:r w:rsidRPr="001134B0">
              <w:rPr>
                <w:rFonts w:cs="Times"/>
                <w:sz w:val="20"/>
              </w:rPr>
              <w:t>4.54</w:t>
            </w:r>
          </w:p>
        </w:tc>
        <w:tc>
          <w:tcPr>
            <w:tcW w:w="851" w:type="dxa"/>
            <w:vAlign w:val="bottom"/>
          </w:tcPr>
          <w:p w14:paraId="3ECDB7AB" w14:textId="79217D20" w:rsidR="00D20886" w:rsidRPr="001134B0" w:rsidRDefault="00D20886" w:rsidP="00D20886">
            <w:pPr>
              <w:pStyle w:val="TCTableBody"/>
              <w:rPr>
                <w:rFonts w:cs="Times"/>
                <w:sz w:val="20"/>
              </w:rPr>
            </w:pPr>
            <w:r w:rsidRPr="001134B0">
              <w:rPr>
                <w:rFonts w:cs="Times"/>
                <w:sz w:val="20"/>
              </w:rPr>
              <w:t>0.01</w:t>
            </w:r>
          </w:p>
        </w:tc>
      </w:tr>
      <w:tr w:rsidR="00D20886" w:rsidRPr="001134B0" w14:paraId="329CC2B3" w14:textId="77777777" w:rsidTr="00EE7CA4">
        <w:trPr>
          <w:trHeight w:val="300"/>
        </w:trPr>
        <w:tc>
          <w:tcPr>
            <w:tcW w:w="1888" w:type="dxa"/>
            <w:vMerge/>
            <w:vAlign w:val="bottom"/>
          </w:tcPr>
          <w:p w14:paraId="0AC8E670" w14:textId="439A6A1A" w:rsidR="00D20886" w:rsidRPr="001134B0" w:rsidRDefault="00D20886" w:rsidP="00D20886">
            <w:pPr>
              <w:pStyle w:val="TCTableBody"/>
              <w:rPr>
                <w:rFonts w:cs="Times"/>
                <w:sz w:val="20"/>
              </w:rPr>
            </w:pPr>
          </w:p>
        </w:tc>
        <w:tc>
          <w:tcPr>
            <w:tcW w:w="992" w:type="dxa"/>
            <w:vAlign w:val="bottom"/>
          </w:tcPr>
          <w:p w14:paraId="583D085D" w14:textId="4E3E4294" w:rsidR="00D20886" w:rsidRPr="001134B0" w:rsidRDefault="00D20886" w:rsidP="00D20886">
            <w:pPr>
              <w:pStyle w:val="TCTableBody"/>
              <w:rPr>
                <w:rFonts w:cs="Times"/>
                <w:sz w:val="20"/>
              </w:rPr>
            </w:pPr>
            <w:r w:rsidRPr="001134B0">
              <w:rPr>
                <w:rFonts w:cs="Times"/>
                <w:sz w:val="20"/>
              </w:rPr>
              <w:t>AUC-ROC</w:t>
            </w:r>
          </w:p>
        </w:tc>
        <w:tc>
          <w:tcPr>
            <w:tcW w:w="1276" w:type="dxa"/>
            <w:vAlign w:val="bottom"/>
          </w:tcPr>
          <w:p w14:paraId="3876C209" w14:textId="76F6FEFB" w:rsidR="00D20886" w:rsidRPr="001134B0" w:rsidRDefault="00D20886" w:rsidP="00D20886">
            <w:pPr>
              <w:pStyle w:val="TCTableBody"/>
              <w:rPr>
                <w:rFonts w:cs="Times"/>
                <w:sz w:val="20"/>
              </w:rPr>
            </w:pPr>
            <w:proofErr w:type="spellStart"/>
            <w:r w:rsidRPr="001134B0">
              <w:rPr>
                <w:rFonts w:cs="Times"/>
                <w:sz w:val="20"/>
              </w:rPr>
              <w:t>ErG+CP</w:t>
            </w:r>
            <w:proofErr w:type="spellEnd"/>
          </w:p>
        </w:tc>
        <w:tc>
          <w:tcPr>
            <w:tcW w:w="1275" w:type="dxa"/>
            <w:vAlign w:val="bottom"/>
          </w:tcPr>
          <w:p w14:paraId="3EFE9C7A" w14:textId="41B3708F" w:rsidR="00D20886" w:rsidRPr="001134B0" w:rsidRDefault="00D20886" w:rsidP="00D20886">
            <w:pPr>
              <w:pStyle w:val="TCTableBody"/>
              <w:rPr>
                <w:rFonts w:cs="Times"/>
                <w:sz w:val="20"/>
              </w:rPr>
            </w:pPr>
            <w:r w:rsidRPr="001134B0">
              <w:rPr>
                <w:rFonts w:cs="Times"/>
                <w:sz w:val="20"/>
              </w:rPr>
              <w:t>0.69 ± 0.08</w:t>
            </w:r>
          </w:p>
        </w:tc>
        <w:tc>
          <w:tcPr>
            <w:tcW w:w="1276" w:type="dxa"/>
            <w:vAlign w:val="bottom"/>
          </w:tcPr>
          <w:p w14:paraId="48C5B98E" w14:textId="1BF1F7A4" w:rsidR="00D20886" w:rsidRPr="001134B0" w:rsidRDefault="00D20886" w:rsidP="00D20886">
            <w:pPr>
              <w:pStyle w:val="TCTableBody"/>
              <w:rPr>
                <w:rFonts w:cs="Times"/>
                <w:sz w:val="20"/>
              </w:rPr>
            </w:pPr>
            <w:r w:rsidRPr="001134B0">
              <w:rPr>
                <w:rFonts w:cs="Times"/>
                <w:sz w:val="20"/>
              </w:rPr>
              <w:t>Morgan</w:t>
            </w:r>
          </w:p>
        </w:tc>
        <w:tc>
          <w:tcPr>
            <w:tcW w:w="1559" w:type="dxa"/>
            <w:vAlign w:val="bottom"/>
          </w:tcPr>
          <w:p w14:paraId="646C5021" w14:textId="5FE968B1" w:rsidR="00D20886" w:rsidRPr="001134B0" w:rsidRDefault="00D20886" w:rsidP="00D20886">
            <w:pPr>
              <w:pStyle w:val="TCTableBody"/>
              <w:rPr>
                <w:rFonts w:cs="Times"/>
                <w:sz w:val="20"/>
              </w:rPr>
            </w:pPr>
            <w:r w:rsidRPr="001134B0">
              <w:rPr>
                <w:rFonts w:cs="Times"/>
                <w:sz w:val="20"/>
              </w:rPr>
              <w:t>0.54 ± 0.08</w:t>
            </w:r>
          </w:p>
        </w:tc>
        <w:tc>
          <w:tcPr>
            <w:tcW w:w="1134" w:type="dxa"/>
            <w:vAlign w:val="bottom"/>
          </w:tcPr>
          <w:p w14:paraId="2A4AF022" w14:textId="12D62D34" w:rsidR="00D20886" w:rsidRPr="001134B0" w:rsidRDefault="00D20886" w:rsidP="00D20886">
            <w:pPr>
              <w:pStyle w:val="TCTableBody"/>
              <w:rPr>
                <w:rFonts w:cs="Times"/>
                <w:sz w:val="20"/>
              </w:rPr>
            </w:pPr>
            <w:r w:rsidRPr="001134B0">
              <w:rPr>
                <w:rFonts w:cs="Times"/>
                <w:sz w:val="20"/>
              </w:rPr>
              <w:t>3.26</w:t>
            </w:r>
          </w:p>
        </w:tc>
        <w:tc>
          <w:tcPr>
            <w:tcW w:w="851" w:type="dxa"/>
            <w:vAlign w:val="bottom"/>
          </w:tcPr>
          <w:p w14:paraId="17EB22A5" w14:textId="3D90DAAA" w:rsidR="00D20886" w:rsidRPr="001134B0" w:rsidRDefault="00D20886" w:rsidP="00D20886">
            <w:pPr>
              <w:pStyle w:val="TCTableBody"/>
              <w:rPr>
                <w:rFonts w:cs="Times"/>
                <w:sz w:val="20"/>
              </w:rPr>
            </w:pPr>
            <w:r w:rsidRPr="001134B0">
              <w:rPr>
                <w:rFonts w:cs="Times"/>
                <w:sz w:val="20"/>
              </w:rPr>
              <w:t>0.03</w:t>
            </w:r>
          </w:p>
        </w:tc>
      </w:tr>
      <w:tr w:rsidR="00EB1BB7" w:rsidRPr="001134B0" w14:paraId="7254CDCF" w14:textId="77777777" w:rsidTr="00BB398B">
        <w:trPr>
          <w:trHeight w:val="512"/>
        </w:trPr>
        <w:tc>
          <w:tcPr>
            <w:tcW w:w="1888" w:type="dxa"/>
            <w:vMerge w:val="restart"/>
            <w:hideMark/>
          </w:tcPr>
          <w:p w14:paraId="02ACFC6F" w14:textId="77777777" w:rsidR="00EB1BB7" w:rsidRPr="001134B0" w:rsidRDefault="00EB1BB7" w:rsidP="00E332F1">
            <w:pPr>
              <w:pStyle w:val="TCTableBody"/>
              <w:rPr>
                <w:rFonts w:cs="Times"/>
                <w:sz w:val="20"/>
              </w:rPr>
            </w:pPr>
            <w:proofErr w:type="spellStart"/>
            <w:r w:rsidRPr="001134B0">
              <w:rPr>
                <w:rFonts w:cs="Times"/>
                <w:sz w:val="20"/>
              </w:rPr>
              <w:t>BSK_SAg</w:t>
            </w:r>
            <w:proofErr w:type="spellEnd"/>
            <w:r w:rsidRPr="001134B0">
              <w:rPr>
                <w:rFonts w:cs="Times"/>
                <w:sz w:val="20"/>
              </w:rPr>
              <w:t>_</w:t>
            </w:r>
            <w:r w:rsidRPr="001134B0">
              <w:rPr>
                <w:rFonts w:cs="Times"/>
                <w:sz w:val="20"/>
              </w:rPr>
              <w:br/>
              <w:t>Proliferation_</w:t>
            </w:r>
            <w:r w:rsidRPr="001134B0">
              <w:rPr>
                <w:rFonts w:cs="Times"/>
                <w:sz w:val="20"/>
              </w:rPr>
              <w:br/>
              <w:t>down</w:t>
            </w:r>
          </w:p>
        </w:tc>
        <w:tc>
          <w:tcPr>
            <w:tcW w:w="992" w:type="dxa"/>
            <w:hideMark/>
          </w:tcPr>
          <w:p w14:paraId="415CE087" w14:textId="77777777" w:rsidR="00EB1BB7" w:rsidRPr="001134B0" w:rsidRDefault="00EB1BB7" w:rsidP="00E332F1">
            <w:pPr>
              <w:pStyle w:val="TCTableBody"/>
              <w:rPr>
                <w:rFonts w:cs="Times"/>
                <w:sz w:val="20"/>
              </w:rPr>
            </w:pPr>
            <w:r w:rsidRPr="001134B0">
              <w:rPr>
                <w:rFonts w:cs="Times"/>
                <w:sz w:val="20"/>
              </w:rPr>
              <w:t>AUC-ROC</w:t>
            </w:r>
          </w:p>
        </w:tc>
        <w:tc>
          <w:tcPr>
            <w:tcW w:w="1276" w:type="dxa"/>
            <w:hideMark/>
          </w:tcPr>
          <w:p w14:paraId="231E6959" w14:textId="77777777" w:rsidR="00EB1BB7" w:rsidRPr="001134B0" w:rsidRDefault="00EB1BB7" w:rsidP="00E332F1">
            <w:pPr>
              <w:pStyle w:val="TCTableBody"/>
              <w:rPr>
                <w:rFonts w:cs="Times"/>
                <w:sz w:val="20"/>
              </w:rPr>
            </w:pPr>
            <w:proofErr w:type="spellStart"/>
            <w:r w:rsidRPr="001134B0">
              <w:rPr>
                <w:rFonts w:cs="Times"/>
                <w:sz w:val="20"/>
              </w:rPr>
              <w:t>ErG+CP</w:t>
            </w:r>
            <w:proofErr w:type="spellEnd"/>
          </w:p>
        </w:tc>
        <w:tc>
          <w:tcPr>
            <w:tcW w:w="1275" w:type="dxa"/>
            <w:hideMark/>
          </w:tcPr>
          <w:p w14:paraId="60BC3EB1" w14:textId="77777777" w:rsidR="00EB1BB7" w:rsidRPr="001134B0" w:rsidRDefault="00EB1BB7" w:rsidP="00E332F1">
            <w:pPr>
              <w:pStyle w:val="TCTableBody"/>
              <w:rPr>
                <w:rFonts w:cs="Times"/>
                <w:sz w:val="20"/>
              </w:rPr>
            </w:pPr>
            <w:r w:rsidRPr="001134B0">
              <w:rPr>
                <w:rFonts w:cs="Times"/>
                <w:sz w:val="20"/>
              </w:rPr>
              <w:t>0.71 ± 0.12</w:t>
            </w:r>
          </w:p>
        </w:tc>
        <w:tc>
          <w:tcPr>
            <w:tcW w:w="1276" w:type="dxa"/>
            <w:hideMark/>
          </w:tcPr>
          <w:p w14:paraId="30BDF175"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01E4D13A" w14:textId="77777777" w:rsidR="00EB1BB7" w:rsidRPr="001134B0" w:rsidRDefault="00EB1BB7" w:rsidP="00E332F1">
            <w:pPr>
              <w:pStyle w:val="TCTableBody"/>
              <w:rPr>
                <w:rFonts w:cs="Times"/>
                <w:sz w:val="20"/>
              </w:rPr>
            </w:pPr>
            <w:r w:rsidRPr="001134B0">
              <w:rPr>
                <w:rFonts w:cs="Times"/>
                <w:sz w:val="20"/>
              </w:rPr>
              <w:t>0.51 ± 0.15</w:t>
            </w:r>
          </w:p>
        </w:tc>
        <w:tc>
          <w:tcPr>
            <w:tcW w:w="1134" w:type="dxa"/>
            <w:hideMark/>
          </w:tcPr>
          <w:p w14:paraId="423B48A1" w14:textId="77777777" w:rsidR="00EB1BB7" w:rsidRPr="001134B0" w:rsidRDefault="00EB1BB7" w:rsidP="00E332F1">
            <w:pPr>
              <w:pStyle w:val="TCTableBody"/>
              <w:rPr>
                <w:rFonts w:cs="Times"/>
                <w:sz w:val="20"/>
              </w:rPr>
            </w:pPr>
            <w:r w:rsidRPr="001134B0">
              <w:rPr>
                <w:rFonts w:cs="Times"/>
                <w:sz w:val="20"/>
              </w:rPr>
              <w:t>3.67</w:t>
            </w:r>
          </w:p>
        </w:tc>
        <w:tc>
          <w:tcPr>
            <w:tcW w:w="851" w:type="dxa"/>
            <w:hideMark/>
          </w:tcPr>
          <w:p w14:paraId="775E28EC" w14:textId="77777777" w:rsidR="00EB1BB7" w:rsidRPr="001134B0" w:rsidRDefault="00EB1BB7" w:rsidP="00E332F1">
            <w:pPr>
              <w:pStyle w:val="TCTableBody"/>
              <w:rPr>
                <w:rFonts w:cs="Times"/>
                <w:sz w:val="20"/>
              </w:rPr>
            </w:pPr>
            <w:r w:rsidRPr="001134B0">
              <w:rPr>
                <w:rFonts w:cs="Times"/>
                <w:sz w:val="20"/>
              </w:rPr>
              <w:t>0.021</w:t>
            </w:r>
          </w:p>
        </w:tc>
      </w:tr>
      <w:tr w:rsidR="00EB1BB7" w:rsidRPr="001134B0" w14:paraId="024BA414" w14:textId="77777777" w:rsidTr="00E332F1">
        <w:trPr>
          <w:trHeight w:val="300"/>
        </w:trPr>
        <w:tc>
          <w:tcPr>
            <w:tcW w:w="1888" w:type="dxa"/>
            <w:vMerge/>
            <w:hideMark/>
          </w:tcPr>
          <w:p w14:paraId="3A686394" w14:textId="77777777" w:rsidR="00EB1BB7" w:rsidRPr="001134B0" w:rsidRDefault="00EB1BB7" w:rsidP="00E332F1">
            <w:pPr>
              <w:pStyle w:val="TCTableBody"/>
              <w:rPr>
                <w:rFonts w:cs="Times"/>
                <w:sz w:val="20"/>
              </w:rPr>
            </w:pPr>
          </w:p>
        </w:tc>
        <w:tc>
          <w:tcPr>
            <w:tcW w:w="992" w:type="dxa"/>
            <w:hideMark/>
          </w:tcPr>
          <w:p w14:paraId="51C0F576" w14:textId="77777777" w:rsidR="00EB1BB7" w:rsidRPr="001134B0" w:rsidRDefault="00EB1BB7" w:rsidP="00E332F1">
            <w:pPr>
              <w:pStyle w:val="TCTableBody"/>
              <w:rPr>
                <w:rFonts w:cs="Times"/>
                <w:sz w:val="20"/>
              </w:rPr>
            </w:pPr>
            <w:r w:rsidRPr="001134B0">
              <w:rPr>
                <w:rFonts w:cs="Times"/>
                <w:sz w:val="20"/>
              </w:rPr>
              <w:t>AUC-ROC</w:t>
            </w:r>
          </w:p>
        </w:tc>
        <w:tc>
          <w:tcPr>
            <w:tcW w:w="1276" w:type="dxa"/>
            <w:hideMark/>
          </w:tcPr>
          <w:p w14:paraId="7295A1C1" w14:textId="77777777" w:rsidR="00EB1BB7" w:rsidRPr="001134B0" w:rsidRDefault="00EB1BB7" w:rsidP="00E332F1">
            <w:pPr>
              <w:pStyle w:val="TCTableBody"/>
              <w:rPr>
                <w:rFonts w:cs="Times"/>
                <w:sz w:val="20"/>
              </w:rPr>
            </w:pPr>
            <w:proofErr w:type="spellStart"/>
            <w:r w:rsidRPr="001134B0">
              <w:rPr>
                <w:rFonts w:cs="Times"/>
                <w:sz w:val="20"/>
              </w:rPr>
              <w:t>Morgan+CP</w:t>
            </w:r>
            <w:proofErr w:type="spellEnd"/>
          </w:p>
        </w:tc>
        <w:tc>
          <w:tcPr>
            <w:tcW w:w="1275" w:type="dxa"/>
            <w:hideMark/>
          </w:tcPr>
          <w:p w14:paraId="716B6CE9" w14:textId="77777777" w:rsidR="00EB1BB7" w:rsidRPr="001134B0" w:rsidRDefault="00EB1BB7" w:rsidP="00E332F1">
            <w:pPr>
              <w:pStyle w:val="TCTableBody"/>
              <w:rPr>
                <w:rFonts w:cs="Times"/>
                <w:sz w:val="20"/>
              </w:rPr>
            </w:pPr>
            <w:r w:rsidRPr="001134B0">
              <w:rPr>
                <w:rFonts w:cs="Times"/>
                <w:sz w:val="20"/>
              </w:rPr>
              <w:t>0.70 ± 0.10</w:t>
            </w:r>
          </w:p>
        </w:tc>
        <w:tc>
          <w:tcPr>
            <w:tcW w:w="1276" w:type="dxa"/>
            <w:hideMark/>
          </w:tcPr>
          <w:p w14:paraId="413E13F7"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0590C52C" w14:textId="77777777" w:rsidR="00EB1BB7" w:rsidRPr="001134B0" w:rsidRDefault="00EB1BB7" w:rsidP="00E332F1">
            <w:pPr>
              <w:pStyle w:val="TCTableBody"/>
              <w:rPr>
                <w:rFonts w:cs="Times"/>
                <w:sz w:val="20"/>
              </w:rPr>
            </w:pPr>
            <w:r w:rsidRPr="001134B0">
              <w:rPr>
                <w:rFonts w:cs="Times"/>
                <w:sz w:val="20"/>
              </w:rPr>
              <w:t>0.51 ± 0.15</w:t>
            </w:r>
          </w:p>
        </w:tc>
        <w:tc>
          <w:tcPr>
            <w:tcW w:w="1134" w:type="dxa"/>
            <w:hideMark/>
          </w:tcPr>
          <w:p w14:paraId="1DE8E5AE" w14:textId="77777777" w:rsidR="00EB1BB7" w:rsidRPr="001134B0" w:rsidRDefault="00EB1BB7" w:rsidP="00E332F1">
            <w:pPr>
              <w:pStyle w:val="TCTableBody"/>
              <w:rPr>
                <w:rFonts w:cs="Times"/>
                <w:sz w:val="20"/>
              </w:rPr>
            </w:pPr>
            <w:r w:rsidRPr="001134B0">
              <w:rPr>
                <w:rFonts w:cs="Times"/>
                <w:sz w:val="20"/>
              </w:rPr>
              <w:t>3.68</w:t>
            </w:r>
          </w:p>
        </w:tc>
        <w:tc>
          <w:tcPr>
            <w:tcW w:w="851" w:type="dxa"/>
            <w:hideMark/>
          </w:tcPr>
          <w:p w14:paraId="0ABFFCA3" w14:textId="77777777" w:rsidR="00EB1BB7" w:rsidRPr="001134B0" w:rsidRDefault="00EB1BB7" w:rsidP="00E332F1">
            <w:pPr>
              <w:pStyle w:val="TCTableBody"/>
              <w:rPr>
                <w:rFonts w:cs="Times"/>
                <w:sz w:val="20"/>
              </w:rPr>
            </w:pPr>
            <w:r w:rsidRPr="001134B0">
              <w:rPr>
                <w:rFonts w:cs="Times"/>
                <w:sz w:val="20"/>
              </w:rPr>
              <w:t>0.021</w:t>
            </w:r>
          </w:p>
        </w:tc>
      </w:tr>
      <w:tr w:rsidR="00EB1BB7" w:rsidRPr="001134B0" w14:paraId="518C5048" w14:textId="77777777" w:rsidTr="00E332F1">
        <w:trPr>
          <w:trHeight w:val="300"/>
        </w:trPr>
        <w:tc>
          <w:tcPr>
            <w:tcW w:w="1888" w:type="dxa"/>
            <w:vMerge/>
            <w:hideMark/>
          </w:tcPr>
          <w:p w14:paraId="2AE242D9" w14:textId="77777777" w:rsidR="00EB1BB7" w:rsidRPr="001134B0" w:rsidRDefault="00EB1BB7" w:rsidP="00E332F1">
            <w:pPr>
              <w:pStyle w:val="TCTableBody"/>
              <w:rPr>
                <w:rFonts w:cs="Times"/>
                <w:sz w:val="20"/>
              </w:rPr>
            </w:pPr>
          </w:p>
        </w:tc>
        <w:tc>
          <w:tcPr>
            <w:tcW w:w="992" w:type="dxa"/>
            <w:hideMark/>
          </w:tcPr>
          <w:p w14:paraId="452B3F6C" w14:textId="77777777" w:rsidR="00EB1BB7" w:rsidRPr="001134B0" w:rsidRDefault="00EB1BB7" w:rsidP="00E332F1">
            <w:pPr>
              <w:pStyle w:val="TCTableBody"/>
              <w:rPr>
                <w:rFonts w:cs="Times"/>
                <w:sz w:val="20"/>
              </w:rPr>
            </w:pPr>
            <w:r w:rsidRPr="001134B0">
              <w:rPr>
                <w:rFonts w:cs="Times"/>
                <w:sz w:val="20"/>
              </w:rPr>
              <w:t>BA</w:t>
            </w:r>
          </w:p>
        </w:tc>
        <w:tc>
          <w:tcPr>
            <w:tcW w:w="1276" w:type="dxa"/>
            <w:hideMark/>
          </w:tcPr>
          <w:p w14:paraId="272CF2BE" w14:textId="77777777" w:rsidR="00EB1BB7" w:rsidRPr="001134B0" w:rsidRDefault="00EB1BB7" w:rsidP="00E332F1">
            <w:pPr>
              <w:pStyle w:val="TCTableBody"/>
              <w:rPr>
                <w:rFonts w:cs="Times"/>
                <w:sz w:val="20"/>
              </w:rPr>
            </w:pPr>
            <w:proofErr w:type="spellStart"/>
            <w:r w:rsidRPr="001134B0">
              <w:rPr>
                <w:rFonts w:cs="Times"/>
                <w:sz w:val="20"/>
              </w:rPr>
              <w:t>ErG+CP</w:t>
            </w:r>
            <w:proofErr w:type="spellEnd"/>
          </w:p>
        </w:tc>
        <w:tc>
          <w:tcPr>
            <w:tcW w:w="1275" w:type="dxa"/>
            <w:hideMark/>
          </w:tcPr>
          <w:p w14:paraId="02693B11" w14:textId="77777777" w:rsidR="00EB1BB7" w:rsidRPr="001134B0" w:rsidRDefault="00EB1BB7" w:rsidP="00E332F1">
            <w:pPr>
              <w:pStyle w:val="TCTableBody"/>
              <w:rPr>
                <w:rFonts w:cs="Times"/>
                <w:sz w:val="20"/>
              </w:rPr>
            </w:pPr>
            <w:r w:rsidRPr="001134B0">
              <w:rPr>
                <w:rFonts w:cs="Times"/>
                <w:sz w:val="20"/>
              </w:rPr>
              <w:t>0.61 ± 0.10</w:t>
            </w:r>
          </w:p>
        </w:tc>
        <w:tc>
          <w:tcPr>
            <w:tcW w:w="1276" w:type="dxa"/>
            <w:hideMark/>
          </w:tcPr>
          <w:p w14:paraId="1A0BBF10"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4FAD9205" w14:textId="77777777" w:rsidR="00EB1BB7" w:rsidRPr="001134B0" w:rsidRDefault="00EB1BB7" w:rsidP="00E332F1">
            <w:pPr>
              <w:pStyle w:val="TCTableBody"/>
              <w:rPr>
                <w:rFonts w:cs="Times"/>
                <w:sz w:val="20"/>
              </w:rPr>
            </w:pPr>
            <w:r w:rsidRPr="001134B0">
              <w:rPr>
                <w:rFonts w:cs="Times"/>
                <w:sz w:val="20"/>
              </w:rPr>
              <w:t>0.51 ± 0.08</w:t>
            </w:r>
          </w:p>
        </w:tc>
        <w:tc>
          <w:tcPr>
            <w:tcW w:w="1134" w:type="dxa"/>
            <w:hideMark/>
          </w:tcPr>
          <w:p w14:paraId="50C7A60D" w14:textId="77777777" w:rsidR="00EB1BB7" w:rsidRPr="001134B0" w:rsidRDefault="00EB1BB7" w:rsidP="00E332F1">
            <w:pPr>
              <w:pStyle w:val="TCTableBody"/>
              <w:rPr>
                <w:rFonts w:cs="Times"/>
                <w:sz w:val="20"/>
              </w:rPr>
            </w:pPr>
            <w:r w:rsidRPr="001134B0">
              <w:rPr>
                <w:rFonts w:cs="Times"/>
                <w:sz w:val="20"/>
              </w:rPr>
              <w:t>3.13</w:t>
            </w:r>
          </w:p>
        </w:tc>
        <w:tc>
          <w:tcPr>
            <w:tcW w:w="851" w:type="dxa"/>
            <w:hideMark/>
          </w:tcPr>
          <w:p w14:paraId="163A3191" w14:textId="77777777" w:rsidR="00EB1BB7" w:rsidRPr="001134B0" w:rsidRDefault="00EB1BB7" w:rsidP="00E332F1">
            <w:pPr>
              <w:pStyle w:val="TCTableBody"/>
              <w:rPr>
                <w:rFonts w:cs="Times"/>
                <w:sz w:val="20"/>
              </w:rPr>
            </w:pPr>
            <w:r w:rsidRPr="001134B0">
              <w:rPr>
                <w:rFonts w:cs="Times"/>
                <w:sz w:val="20"/>
              </w:rPr>
              <w:t>0.035</w:t>
            </w:r>
          </w:p>
        </w:tc>
      </w:tr>
      <w:tr w:rsidR="00EB1BB7" w:rsidRPr="001134B0" w14:paraId="59C85C86" w14:textId="77777777" w:rsidTr="00E332F1">
        <w:trPr>
          <w:trHeight w:val="300"/>
        </w:trPr>
        <w:tc>
          <w:tcPr>
            <w:tcW w:w="1888" w:type="dxa"/>
            <w:vMerge/>
            <w:hideMark/>
          </w:tcPr>
          <w:p w14:paraId="0EF0B460" w14:textId="77777777" w:rsidR="00EB1BB7" w:rsidRPr="001134B0" w:rsidRDefault="00EB1BB7" w:rsidP="00E332F1">
            <w:pPr>
              <w:pStyle w:val="TCTableBody"/>
              <w:rPr>
                <w:rFonts w:cs="Times"/>
                <w:sz w:val="20"/>
              </w:rPr>
            </w:pPr>
          </w:p>
        </w:tc>
        <w:tc>
          <w:tcPr>
            <w:tcW w:w="992" w:type="dxa"/>
            <w:hideMark/>
          </w:tcPr>
          <w:p w14:paraId="43446EA9" w14:textId="77777777" w:rsidR="00EB1BB7" w:rsidRPr="001134B0" w:rsidRDefault="00EB1BB7" w:rsidP="00E332F1">
            <w:pPr>
              <w:pStyle w:val="TCTableBody"/>
              <w:rPr>
                <w:rFonts w:cs="Times"/>
                <w:sz w:val="20"/>
              </w:rPr>
            </w:pPr>
            <w:r w:rsidRPr="001134B0">
              <w:rPr>
                <w:rFonts w:cs="Times"/>
                <w:sz w:val="20"/>
              </w:rPr>
              <w:t>BA</w:t>
            </w:r>
          </w:p>
        </w:tc>
        <w:tc>
          <w:tcPr>
            <w:tcW w:w="1276" w:type="dxa"/>
            <w:hideMark/>
          </w:tcPr>
          <w:p w14:paraId="3356348B" w14:textId="77777777" w:rsidR="00EB1BB7" w:rsidRPr="001134B0" w:rsidRDefault="00EB1BB7" w:rsidP="00E332F1">
            <w:pPr>
              <w:pStyle w:val="TCTableBody"/>
              <w:rPr>
                <w:rFonts w:cs="Times"/>
                <w:sz w:val="20"/>
              </w:rPr>
            </w:pPr>
            <w:proofErr w:type="spellStart"/>
            <w:r w:rsidRPr="001134B0">
              <w:rPr>
                <w:rFonts w:cs="Times"/>
                <w:sz w:val="20"/>
              </w:rPr>
              <w:t>Morgan+CP</w:t>
            </w:r>
            <w:proofErr w:type="spellEnd"/>
          </w:p>
        </w:tc>
        <w:tc>
          <w:tcPr>
            <w:tcW w:w="1275" w:type="dxa"/>
            <w:hideMark/>
          </w:tcPr>
          <w:p w14:paraId="0D2A8899" w14:textId="77777777" w:rsidR="00EB1BB7" w:rsidRPr="001134B0" w:rsidRDefault="00EB1BB7" w:rsidP="00E332F1">
            <w:pPr>
              <w:pStyle w:val="TCTableBody"/>
              <w:rPr>
                <w:rFonts w:cs="Times"/>
                <w:sz w:val="20"/>
              </w:rPr>
            </w:pPr>
            <w:r w:rsidRPr="001134B0">
              <w:rPr>
                <w:rFonts w:cs="Times"/>
                <w:sz w:val="20"/>
              </w:rPr>
              <w:t>0.62 ± 0.09</w:t>
            </w:r>
          </w:p>
        </w:tc>
        <w:tc>
          <w:tcPr>
            <w:tcW w:w="1276" w:type="dxa"/>
            <w:hideMark/>
          </w:tcPr>
          <w:p w14:paraId="33C70FBA"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76B32A9C" w14:textId="77777777" w:rsidR="00EB1BB7" w:rsidRPr="001134B0" w:rsidRDefault="00EB1BB7" w:rsidP="00E332F1">
            <w:pPr>
              <w:pStyle w:val="TCTableBody"/>
              <w:rPr>
                <w:rFonts w:cs="Times"/>
                <w:sz w:val="20"/>
              </w:rPr>
            </w:pPr>
            <w:r w:rsidRPr="001134B0">
              <w:rPr>
                <w:rFonts w:cs="Times"/>
                <w:sz w:val="20"/>
              </w:rPr>
              <w:t>0.51 ± 0.08</w:t>
            </w:r>
          </w:p>
        </w:tc>
        <w:tc>
          <w:tcPr>
            <w:tcW w:w="1134" w:type="dxa"/>
            <w:hideMark/>
          </w:tcPr>
          <w:p w14:paraId="52768CEB" w14:textId="77777777" w:rsidR="00EB1BB7" w:rsidRPr="001134B0" w:rsidRDefault="00EB1BB7" w:rsidP="00E332F1">
            <w:pPr>
              <w:pStyle w:val="TCTableBody"/>
              <w:rPr>
                <w:rFonts w:cs="Times"/>
                <w:sz w:val="20"/>
              </w:rPr>
            </w:pPr>
            <w:r w:rsidRPr="001134B0">
              <w:rPr>
                <w:rFonts w:cs="Times"/>
                <w:sz w:val="20"/>
              </w:rPr>
              <w:t>3.61</w:t>
            </w:r>
          </w:p>
        </w:tc>
        <w:tc>
          <w:tcPr>
            <w:tcW w:w="851" w:type="dxa"/>
            <w:hideMark/>
          </w:tcPr>
          <w:p w14:paraId="29090317" w14:textId="77777777" w:rsidR="00EB1BB7" w:rsidRPr="001134B0" w:rsidRDefault="00EB1BB7" w:rsidP="00E332F1">
            <w:pPr>
              <w:pStyle w:val="TCTableBody"/>
              <w:rPr>
                <w:rFonts w:cs="Times"/>
                <w:sz w:val="20"/>
              </w:rPr>
            </w:pPr>
            <w:r w:rsidRPr="001134B0">
              <w:rPr>
                <w:rFonts w:cs="Times"/>
                <w:sz w:val="20"/>
              </w:rPr>
              <w:t>0.023</w:t>
            </w:r>
          </w:p>
        </w:tc>
      </w:tr>
      <w:tr w:rsidR="00EB1BB7" w:rsidRPr="001134B0" w14:paraId="22174118" w14:textId="77777777" w:rsidTr="00E332F1">
        <w:trPr>
          <w:trHeight w:val="300"/>
        </w:trPr>
        <w:tc>
          <w:tcPr>
            <w:tcW w:w="1888" w:type="dxa"/>
            <w:vMerge/>
            <w:hideMark/>
          </w:tcPr>
          <w:p w14:paraId="76927258" w14:textId="77777777" w:rsidR="00EB1BB7" w:rsidRPr="001134B0" w:rsidRDefault="00EB1BB7" w:rsidP="00E332F1">
            <w:pPr>
              <w:pStyle w:val="TCTableBody"/>
              <w:rPr>
                <w:rFonts w:cs="Times"/>
                <w:sz w:val="20"/>
              </w:rPr>
            </w:pPr>
          </w:p>
        </w:tc>
        <w:tc>
          <w:tcPr>
            <w:tcW w:w="992" w:type="dxa"/>
            <w:hideMark/>
          </w:tcPr>
          <w:p w14:paraId="6B3988DC" w14:textId="77777777" w:rsidR="00EB1BB7" w:rsidRPr="001134B0" w:rsidRDefault="00EB1BB7" w:rsidP="00E332F1">
            <w:pPr>
              <w:pStyle w:val="TCTableBody"/>
              <w:rPr>
                <w:rFonts w:cs="Times"/>
                <w:sz w:val="20"/>
              </w:rPr>
            </w:pPr>
            <w:r w:rsidRPr="001134B0">
              <w:rPr>
                <w:rFonts w:cs="Times"/>
                <w:sz w:val="20"/>
              </w:rPr>
              <w:t>MCC</w:t>
            </w:r>
          </w:p>
        </w:tc>
        <w:tc>
          <w:tcPr>
            <w:tcW w:w="1276" w:type="dxa"/>
            <w:hideMark/>
          </w:tcPr>
          <w:p w14:paraId="19445988" w14:textId="77777777" w:rsidR="00EB1BB7" w:rsidRPr="001134B0" w:rsidRDefault="00EB1BB7" w:rsidP="00E332F1">
            <w:pPr>
              <w:pStyle w:val="TCTableBody"/>
              <w:rPr>
                <w:rFonts w:cs="Times"/>
                <w:sz w:val="20"/>
              </w:rPr>
            </w:pPr>
            <w:proofErr w:type="spellStart"/>
            <w:r w:rsidRPr="001134B0">
              <w:rPr>
                <w:rFonts w:cs="Times"/>
                <w:sz w:val="20"/>
              </w:rPr>
              <w:t>ErG+CP</w:t>
            </w:r>
            <w:proofErr w:type="spellEnd"/>
          </w:p>
        </w:tc>
        <w:tc>
          <w:tcPr>
            <w:tcW w:w="1275" w:type="dxa"/>
            <w:hideMark/>
          </w:tcPr>
          <w:p w14:paraId="6E2B88C0" w14:textId="77777777" w:rsidR="00EB1BB7" w:rsidRPr="001134B0" w:rsidRDefault="00EB1BB7" w:rsidP="00E332F1">
            <w:pPr>
              <w:pStyle w:val="TCTableBody"/>
              <w:rPr>
                <w:rFonts w:cs="Times"/>
                <w:sz w:val="20"/>
              </w:rPr>
            </w:pPr>
            <w:r w:rsidRPr="001134B0">
              <w:rPr>
                <w:rFonts w:cs="Times"/>
                <w:sz w:val="20"/>
              </w:rPr>
              <w:t>0.22 ± 0.19</w:t>
            </w:r>
          </w:p>
        </w:tc>
        <w:tc>
          <w:tcPr>
            <w:tcW w:w="1276" w:type="dxa"/>
            <w:hideMark/>
          </w:tcPr>
          <w:p w14:paraId="172A1F7E"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4606F46C" w14:textId="77777777" w:rsidR="00EB1BB7" w:rsidRPr="001134B0" w:rsidRDefault="00EB1BB7" w:rsidP="00E332F1">
            <w:pPr>
              <w:pStyle w:val="TCTableBody"/>
              <w:rPr>
                <w:rFonts w:cs="Times"/>
                <w:sz w:val="20"/>
              </w:rPr>
            </w:pPr>
            <w:r w:rsidRPr="001134B0">
              <w:rPr>
                <w:rFonts w:cs="Times"/>
                <w:sz w:val="20"/>
              </w:rPr>
              <w:t>0.01 ± 0.15</w:t>
            </w:r>
          </w:p>
        </w:tc>
        <w:tc>
          <w:tcPr>
            <w:tcW w:w="1134" w:type="dxa"/>
            <w:hideMark/>
          </w:tcPr>
          <w:p w14:paraId="13DBB04C" w14:textId="77777777" w:rsidR="00EB1BB7" w:rsidRPr="001134B0" w:rsidRDefault="00EB1BB7" w:rsidP="00E332F1">
            <w:pPr>
              <w:pStyle w:val="TCTableBody"/>
              <w:rPr>
                <w:rFonts w:cs="Times"/>
                <w:sz w:val="20"/>
              </w:rPr>
            </w:pPr>
            <w:r w:rsidRPr="001134B0">
              <w:rPr>
                <w:rFonts w:cs="Times"/>
                <w:sz w:val="20"/>
              </w:rPr>
              <w:t>3.60</w:t>
            </w:r>
          </w:p>
        </w:tc>
        <w:tc>
          <w:tcPr>
            <w:tcW w:w="851" w:type="dxa"/>
            <w:hideMark/>
          </w:tcPr>
          <w:p w14:paraId="6E071E03" w14:textId="77777777" w:rsidR="00EB1BB7" w:rsidRPr="001134B0" w:rsidRDefault="00EB1BB7" w:rsidP="00E332F1">
            <w:pPr>
              <w:pStyle w:val="TCTableBody"/>
              <w:rPr>
                <w:rFonts w:cs="Times"/>
                <w:sz w:val="20"/>
              </w:rPr>
            </w:pPr>
            <w:r w:rsidRPr="001134B0">
              <w:rPr>
                <w:rFonts w:cs="Times"/>
                <w:sz w:val="20"/>
              </w:rPr>
              <w:t>0.023</w:t>
            </w:r>
          </w:p>
        </w:tc>
      </w:tr>
      <w:tr w:rsidR="00EB1BB7" w:rsidRPr="001134B0" w14:paraId="69D8F90C" w14:textId="77777777" w:rsidTr="00E332F1">
        <w:trPr>
          <w:trHeight w:val="300"/>
        </w:trPr>
        <w:tc>
          <w:tcPr>
            <w:tcW w:w="1888" w:type="dxa"/>
            <w:vMerge/>
            <w:hideMark/>
          </w:tcPr>
          <w:p w14:paraId="7128EDB0" w14:textId="77777777" w:rsidR="00EB1BB7" w:rsidRPr="001134B0" w:rsidRDefault="00EB1BB7" w:rsidP="00E332F1">
            <w:pPr>
              <w:pStyle w:val="TCTableBody"/>
              <w:rPr>
                <w:rFonts w:cs="Times"/>
                <w:sz w:val="20"/>
              </w:rPr>
            </w:pPr>
          </w:p>
        </w:tc>
        <w:tc>
          <w:tcPr>
            <w:tcW w:w="992" w:type="dxa"/>
            <w:hideMark/>
          </w:tcPr>
          <w:p w14:paraId="4A336D13" w14:textId="77777777" w:rsidR="00EB1BB7" w:rsidRPr="001134B0" w:rsidRDefault="00EB1BB7" w:rsidP="00E332F1">
            <w:pPr>
              <w:pStyle w:val="TCTableBody"/>
              <w:rPr>
                <w:rFonts w:cs="Times"/>
                <w:sz w:val="20"/>
              </w:rPr>
            </w:pPr>
            <w:r w:rsidRPr="001134B0">
              <w:rPr>
                <w:rFonts w:cs="Times"/>
                <w:sz w:val="20"/>
              </w:rPr>
              <w:t>MCC</w:t>
            </w:r>
          </w:p>
        </w:tc>
        <w:tc>
          <w:tcPr>
            <w:tcW w:w="1276" w:type="dxa"/>
            <w:hideMark/>
          </w:tcPr>
          <w:p w14:paraId="31EC60B9" w14:textId="77777777" w:rsidR="00EB1BB7" w:rsidRPr="001134B0" w:rsidRDefault="00EB1BB7" w:rsidP="00E332F1">
            <w:pPr>
              <w:pStyle w:val="TCTableBody"/>
              <w:rPr>
                <w:rFonts w:cs="Times"/>
                <w:sz w:val="20"/>
              </w:rPr>
            </w:pPr>
            <w:proofErr w:type="spellStart"/>
            <w:r w:rsidRPr="001134B0">
              <w:rPr>
                <w:rFonts w:cs="Times"/>
                <w:sz w:val="20"/>
              </w:rPr>
              <w:t>Morgan+CP</w:t>
            </w:r>
            <w:proofErr w:type="spellEnd"/>
          </w:p>
        </w:tc>
        <w:tc>
          <w:tcPr>
            <w:tcW w:w="1275" w:type="dxa"/>
            <w:hideMark/>
          </w:tcPr>
          <w:p w14:paraId="5447657C" w14:textId="77777777" w:rsidR="00EB1BB7" w:rsidRPr="001134B0" w:rsidRDefault="00EB1BB7" w:rsidP="00E332F1">
            <w:pPr>
              <w:pStyle w:val="TCTableBody"/>
              <w:rPr>
                <w:rFonts w:cs="Times"/>
                <w:sz w:val="20"/>
              </w:rPr>
            </w:pPr>
            <w:r w:rsidRPr="001134B0">
              <w:rPr>
                <w:rFonts w:cs="Times"/>
                <w:sz w:val="20"/>
              </w:rPr>
              <w:t>0.23 ± 0.15</w:t>
            </w:r>
          </w:p>
        </w:tc>
        <w:tc>
          <w:tcPr>
            <w:tcW w:w="1276" w:type="dxa"/>
            <w:hideMark/>
          </w:tcPr>
          <w:p w14:paraId="520D1C70" w14:textId="77777777" w:rsidR="00EB1BB7" w:rsidRPr="001134B0" w:rsidRDefault="00EB1BB7" w:rsidP="00E332F1">
            <w:pPr>
              <w:pStyle w:val="TCTableBody"/>
              <w:rPr>
                <w:rFonts w:cs="Times"/>
                <w:sz w:val="20"/>
              </w:rPr>
            </w:pPr>
            <w:r w:rsidRPr="001134B0">
              <w:rPr>
                <w:rFonts w:cs="Times"/>
                <w:sz w:val="20"/>
              </w:rPr>
              <w:t>Morgan</w:t>
            </w:r>
          </w:p>
        </w:tc>
        <w:tc>
          <w:tcPr>
            <w:tcW w:w="1559" w:type="dxa"/>
            <w:hideMark/>
          </w:tcPr>
          <w:p w14:paraId="5C08DF16" w14:textId="77777777" w:rsidR="00EB1BB7" w:rsidRPr="001134B0" w:rsidRDefault="00EB1BB7" w:rsidP="00E332F1">
            <w:pPr>
              <w:pStyle w:val="TCTableBody"/>
              <w:rPr>
                <w:rFonts w:cs="Times"/>
                <w:sz w:val="20"/>
              </w:rPr>
            </w:pPr>
            <w:r w:rsidRPr="001134B0">
              <w:rPr>
                <w:rFonts w:cs="Times"/>
                <w:sz w:val="20"/>
              </w:rPr>
              <w:t>0.01 ± 0.15</w:t>
            </w:r>
          </w:p>
        </w:tc>
        <w:tc>
          <w:tcPr>
            <w:tcW w:w="1134" w:type="dxa"/>
            <w:hideMark/>
          </w:tcPr>
          <w:p w14:paraId="5B632622" w14:textId="77777777" w:rsidR="00EB1BB7" w:rsidRPr="001134B0" w:rsidRDefault="00EB1BB7" w:rsidP="00E332F1">
            <w:pPr>
              <w:pStyle w:val="TCTableBody"/>
              <w:rPr>
                <w:rFonts w:cs="Times"/>
                <w:sz w:val="20"/>
              </w:rPr>
            </w:pPr>
            <w:r w:rsidRPr="001134B0">
              <w:rPr>
                <w:rFonts w:cs="Times"/>
                <w:sz w:val="20"/>
              </w:rPr>
              <w:t>3.67</w:t>
            </w:r>
          </w:p>
        </w:tc>
        <w:tc>
          <w:tcPr>
            <w:tcW w:w="851" w:type="dxa"/>
            <w:hideMark/>
          </w:tcPr>
          <w:p w14:paraId="05BAC9B6" w14:textId="77777777" w:rsidR="00EB1BB7" w:rsidRPr="001134B0" w:rsidRDefault="00EB1BB7" w:rsidP="00E332F1">
            <w:pPr>
              <w:pStyle w:val="TCTableBody"/>
              <w:rPr>
                <w:rFonts w:cs="Times"/>
                <w:sz w:val="20"/>
              </w:rPr>
            </w:pPr>
            <w:r w:rsidRPr="001134B0">
              <w:rPr>
                <w:rFonts w:cs="Times"/>
                <w:sz w:val="20"/>
              </w:rPr>
              <w:t>0.021</w:t>
            </w:r>
          </w:p>
        </w:tc>
      </w:tr>
    </w:tbl>
    <w:p w14:paraId="10B0240D" w14:textId="77777777" w:rsidR="00EB1BB7" w:rsidRPr="001134B0" w:rsidRDefault="00EB1BB7" w:rsidP="00EB1BB7">
      <w:pPr>
        <w:rPr>
          <w:rFonts w:ascii="Times" w:hAnsi="Times" w:cs="Times"/>
        </w:rPr>
      </w:pPr>
    </w:p>
    <w:p w14:paraId="217FF8D8" w14:textId="77777777" w:rsidR="00D248B1" w:rsidRPr="001134B0" w:rsidRDefault="00D248B1" w:rsidP="00D248B1">
      <w:pPr>
        <w:pStyle w:val="FETableFootnote"/>
        <w:rPr>
          <w:rFonts w:cs="Times"/>
          <w:b/>
          <w:bCs/>
          <w:shd w:val="clear" w:color="auto" w:fill="FFFFFF"/>
        </w:rPr>
      </w:pPr>
      <w:r w:rsidRPr="001134B0">
        <w:rPr>
          <w:rFonts w:cs="Times"/>
        </w:rPr>
        <w:t>(For the ACEA_T47D_80hr_Negative assay, only 4 clusters were used based on PCA and hence a group 4-fold was used in the outer loop for this assay.)</w:t>
      </w:r>
    </w:p>
    <w:p w14:paraId="28D6E410" w14:textId="77777777" w:rsidR="00920297" w:rsidRPr="001134B0" w:rsidRDefault="00920297" w:rsidP="00920297">
      <w:pPr>
        <w:pStyle w:val="TAMainText"/>
        <w:rPr>
          <w:rFonts w:cs="Times"/>
        </w:rPr>
      </w:pPr>
    </w:p>
    <w:p w14:paraId="2511D85A" w14:textId="01C0D01C" w:rsidR="007D08F5" w:rsidRPr="001134B0" w:rsidRDefault="007D08F5" w:rsidP="00920297">
      <w:pPr>
        <w:rPr>
          <w:rFonts w:ascii="Times" w:hAnsi="Times" w:cs="Times"/>
          <w:b/>
          <w:bCs/>
        </w:rPr>
      </w:pPr>
      <w:r w:rsidRPr="001134B0">
        <w:rPr>
          <w:rFonts w:ascii="Times" w:hAnsi="Times" w:cs="Times"/>
          <w:b/>
          <w:bCs/>
        </w:rPr>
        <w:br w:type="page"/>
      </w:r>
    </w:p>
    <w:p w14:paraId="08ACF8EA" w14:textId="77777777" w:rsidR="007D08F5" w:rsidRPr="001134B0" w:rsidRDefault="007D08F5" w:rsidP="00920297">
      <w:pPr>
        <w:rPr>
          <w:rFonts w:ascii="Times" w:hAnsi="Times" w:cs="Times"/>
          <w:b/>
          <w:bCs/>
        </w:rPr>
        <w:sectPr w:rsidR="007D08F5" w:rsidRPr="001134B0">
          <w:headerReference w:type="default" r:id="rId11"/>
          <w:endnotePr>
            <w:numFmt w:val="decimal"/>
          </w:endnotePr>
          <w:pgSz w:w="11900" w:h="16840"/>
          <w:pgMar w:top="1440" w:right="1247" w:bottom="1440" w:left="1247" w:header="720" w:footer="864" w:gutter="0"/>
          <w:cols w:space="720"/>
        </w:sectPr>
      </w:pPr>
    </w:p>
    <w:p w14:paraId="1A9F431E" w14:textId="38FE7E8F" w:rsidR="0051095F" w:rsidRDefault="008C3855" w:rsidP="0051095F">
      <w:pPr>
        <w:pStyle w:val="VAFigureCaption"/>
      </w:pPr>
      <w:r w:rsidRPr="001134B0">
        <w:rPr>
          <w:rFonts w:cs="Times"/>
        </w:rPr>
        <w:lastRenderedPageBreak/>
        <w:t>FIGURES</w:t>
      </w:r>
      <w:r w:rsidR="00763307">
        <w:rPr>
          <w:rFonts w:cs="Times"/>
          <w:noProof/>
        </w:rPr>
        <w:drawing>
          <wp:inline distT="0" distB="0" distL="0" distR="0" wp14:anchorId="74AE9D88" wp14:editId="5FF72A42">
            <wp:extent cx="5472380" cy="2226366"/>
            <wp:effectExtent l="0" t="0" r="0" b="254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26555" cy="2248406"/>
                    </a:xfrm>
                    <a:prstGeom prst="rect">
                      <a:avLst/>
                    </a:prstGeom>
                    <a:noFill/>
                  </pic:spPr>
                </pic:pic>
              </a:graphicData>
            </a:graphic>
          </wp:inline>
        </w:drawing>
      </w:r>
      <w:bookmarkStart w:id="13" w:name="_GoBack"/>
      <w:bookmarkEnd w:id="13"/>
      <w:r w:rsidR="00C656F6">
        <w:rPr>
          <w:rFonts w:cs="Times"/>
          <w:noProof/>
        </w:rPr>
        <w:drawing>
          <wp:inline distT="0" distB="0" distL="0" distR="0" wp14:anchorId="3E387310" wp14:editId="4A1B80B8">
            <wp:extent cx="5356809" cy="22296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385810" cy="2241721"/>
                    </a:xfrm>
                    <a:prstGeom prst="rect">
                      <a:avLst/>
                    </a:prstGeom>
                    <a:noFill/>
                  </pic:spPr>
                </pic:pic>
              </a:graphicData>
            </a:graphic>
          </wp:inline>
        </w:drawing>
      </w:r>
      <w:r w:rsidR="00B030FD">
        <w:rPr>
          <w:rFonts w:cs="Times"/>
          <w:noProof/>
        </w:rPr>
        <w:drawing>
          <wp:inline distT="0" distB="0" distL="0" distR="0" wp14:anchorId="1A9A18AA" wp14:editId="10C636BB">
            <wp:extent cx="5484982" cy="2274073"/>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28772" cy="2292228"/>
                    </a:xfrm>
                    <a:prstGeom prst="rect">
                      <a:avLst/>
                    </a:prstGeom>
                    <a:noFill/>
                  </pic:spPr>
                </pic:pic>
              </a:graphicData>
            </a:graphic>
          </wp:inline>
        </w:drawing>
      </w:r>
      <w:r w:rsidR="00C656F6">
        <w:rPr>
          <w:rFonts w:cs="Times"/>
        </w:rPr>
        <w:br/>
      </w:r>
      <w:r w:rsidR="0051095F" w:rsidRPr="00F57EC2">
        <w:rPr>
          <w:rFonts w:cs="Times"/>
          <w:b/>
          <w:bCs/>
        </w:rPr>
        <w:t>Figure 1.</w:t>
      </w:r>
      <w:r w:rsidR="0051095F" w:rsidRPr="001134B0">
        <w:rPr>
          <w:rFonts w:cs="Times"/>
        </w:rPr>
        <w:t xml:space="preserve">  Schematic representation of nested cross validation workflow, for three different inputs domains:  molecular fingerprints, cell morphology </w:t>
      </w:r>
      <w:r w:rsidR="00B030FD">
        <w:rPr>
          <w:rFonts w:cs="Times"/>
        </w:rPr>
        <w:t xml:space="preserve">descriptors </w:t>
      </w:r>
      <w:r w:rsidR="0051095F" w:rsidRPr="001134B0">
        <w:rPr>
          <w:rFonts w:cs="Times"/>
        </w:rPr>
        <w:t xml:space="preserve">and combination </w:t>
      </w:r>
      <w:r w:rsidR="00B030FD">
        <w:rPr>
          <w:rFonts w:cs="Times"/>
        </w:rPr>
        <w:t>descriptors</w:t>
      </w:r>
      <w:r w:rsidR="0051095F" w:rsidRPr="001134B0">
        <w:rPr>
          <w:rFonts w:cs="Times"/>
        </w:rPr>
        <w:t>.</w:t>
      </w:r>
      <w:r w:rsidR="0051095F" w:rsidRPr="001134B0">
        <w:rPr>
          <w:rFonts w:cs="Times"/>
        </w:rPr>
        <w:tab/>
      </w:r>
      <w:r w:rsidR="0051095F" w:rsidRPr="001134B0">
        <w:rPr>
          <w:rFonts w:cs="Times"/>
          <w:noProof/>
        </w:rPr>
        <w:t xml:space="preserve"> </w:t>
      </w:r>
      <w:r w:rsidR="0051095F">
        <w:rPr>
          <w:rFonts w:cs="Times"/>
          <w:noProof/>
        </w:rPr>
        <w:br/>
      </w:r>
      <w:r w:rsidR="0051095F" w:rsidRPr="001520D9">
        <w:t>Sensitivity (SEN), Specificity (SPE), Balanced Accuracy (BA), Mathew’s Correlation constant (MCC) Area Under Curve- Receiver Operating Characteristic (AUC-ROC)</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98"/>
        <w:gridCol w:w="4698"/>
      </w:tblGrid>
      <w:tr w:rsidR="000605E0" w:rsidRPr="001134B0" w14:paraId="5F10EB0A" w14:textId="77777777" w:rsidTr="0038591E">
        <w:tc>
          <w:tcPr>
            <w:tcW w:w="4698" w:type="dxa"/>
          </w:tcPr>
          <w:p w14:paraId="43FD8C86" w14:textId="549A937E" w:rsidR="0038591E" w:rsidRPr="001134B0" w:rsidRDefault="000605E0" w:rsidP="0038591E">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cs="Times"/>
              </w:rPr>
            </w:pPr>
            <w:r w:rsidRPr="001134B0">
              <w:rPr>
                <w:rFonts w:ascii="Times" w:hAnsi="Times" w:cs="Times"/>
                <w:noProof/>
              </w:rPr>
              <w:lastRenderedPageBreak/>
              <w:drawing>
                <wp:inline distT="0" distB="0" distL="0" distR="0" wp14:anchorId="49193652" wp14:editId="156213B5">
                  <wp:extent cx="2765145" cy="1859806"/>
                  <wp:effectExtent l="0" t="0" r="0" b="76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806485" cy="1887611"/>
                          </a:xfrm>
                          <a:prstGeom prst="rect">
                            <a:avLst/>
                          </a:prstGeom>
                        </pic:spPr>
                      </pic:pic>
                    </a:graphicData>
                  </a:graphic>
                </wp:inline>
              </w:drawing>
            </w:r>
          </w:p>
        </w:tc>
        <w:tc>
          <w:tcPr>
            <w:tcW w:w="4698" w:type="dxa"/>
          </w:tcPr>
          <w:p w14:paraId="7104C545" w14:textId="4AB682A9" w:rsidR="0038591E" w:rsidRPr="001134B0" w:rsidRDefault="000605E0" w:rsidP="0038591E">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cs="Times"/>
              </w:rPr>
            </w:pPr>
            <w:r w:rsidRPr="001134B0">
              <w:rPr>
                <w:rFonts w:ascii="Times" w:hAnsi="Times" w:cs="Times"/>
                <w:noProof/>
              </w:rPr>
              <w:drawing>
                <wp:inline distT="0" distB="0" distL="0" distR="0" wp14:anchorId="56BF5F71" wp14:editId="067F11E7">
                  <wp:extent cx="2751675" cy="1850746"/>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821064" cy="1897416"/>
                          </a:xfrm>
                          <a:prstGeom prst="rect">
                            <a:avLst/>
                          </a:prstGeom>
                        </pic:spPr>
                      </pic:pic>
                    </a:graphicData>
                  </a:graphic>
                </wp:inline>
              </w:drawing>
            </w:r>
          </w:p>
        </w:tc>
      </w:tr>
      <w:tr w:rsidR="000605E0" w:rsidRPr="001134B0" w14:paraId="0DDE4474" w14:textId="77777777" w:rsidTr="0038591E">
        <w:tc>
          <w:tcPr>
            <w:tcW w:w="4698" w:type="dxa"/>
          </w:tcPr>
          <w:p w14:paraId="2715CBF4" w14:textId="68F1AD02" w:rsidR="0038591E" w:rsidRPr="001134B0" w:rsidRDefault="0038591E" w:rsidP="0038591E">
            <w:pPr>
              <w:pStyle w:val="VAFigureCaption"/>
              <w:pBdr>
                <w:top w:val="nil"/>
                <w:left w:val="nil"/>
                <w:bottom w:val="nil"/>
                <w:right w:val="nil"/>
                <w:between w:val="nil"/>
                <w:bar w:val="nil"/>
              </w:pBdr>
              <w:rPr>
                <w:rFonts w:cs="Times"/>
              </w:rPr>
            </w:pPr>
            <w:r w:rsidRPr="001134B0">
              <w:rPr>
                <w:rFonts w:cs="Times"/>
              </w:rPr>
              <w:t>(A) AUC-ROC</w:t>
            </w:r>
          </w:p>
        </w:tc>
        <w:tc>
          <w:tcPr>
            <w:tcW w:w="4698" w:type="dxa"/>
          </w:tcPr>
          <w:p w14:paraId="0A3E2A02" w14:textId="6960FA63" w:rsidR="0038591E" w:rsidRPr="001134B0" w:rsidRDefault="0038591E" w:rsidP="0038591E">
            <w:pPr>
              <w:pStyle w:val="VAFigureCaption"/>
              <w:pBdr>
                <w:top w:val="nil"/>
                <w:left w:val="nil"/>
                <w:bottom w:val="nil"/>
                <w:right w:val="nil"/>
                <w:between w:val="nil"/>
                <w:bar w:val="nil"/>
              </w:pBdr>
              <w:rPr>
                <w:rFonts w:cs="Times"/>
              </w:rPr>
            </w:pPr>
            <w:r w:rsidRPr="001134B0">
              <w:rPr>
                <w:rFonts w:cs="Times"/>
              </w:rPr>
              <w:t>(B) MCC</w:t>
            </w:r>
          </w:p>
        </w:tc>
      </w:tr>
      <w:tr w:rsidR="000605E0" w:rsidRPr="001134B0" w14:paraId="230A8CB3" w14:textId="77777777" w:rsidTr="0038591E">
        <w:tc>
          <w:tcPr>
            <w:tcW w:w="4698" w:type="dxa"/>
          </w:tcPr>
          <w:p w14:paraId="22F4D2AF" w14:textId="039313C1" w:rsidR="0038591E" w:rsidRPr="001134B0" w:rsidRDefault="002704D3" w:rsidP="0038591E">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cs="Times"/>
              </w:rPr>
            </w:pPr>
            <w:r w:rsidRPr="001134B0">
              <w:rPr>
                <w:rFonts w:ascii="Times" w:hAnsi="Times" w:cs="Times"/>
                <w:noProof/>
              </w:rPr>
              <w:drawing>
                <wp:inline distT="0" distB="0" distL="0" distR="0" wp14:anchorId="3C69823E" wp14:editId="6BBF383D">
                  <wp:extent cx="2772460" cy="1864726"/>
                  <wp:effectExtent l="0" t="0" r="8890"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791205" cy="1877333"/>
                          </a:xfrm>
                          <a:prstGeom prst="rect">
                            <a:avLst/>
                          </a:prstGeom>
                        </pic:spPr>
                      </pic:pic>
                    </a:graphicData>
                  </a:graphic>
                </wp:inline>
              </w:drawing>
            </w:r>
          </w:p>
        </w:tc>
        <w:tc>
          <w:tcPr>
            <w:tcW w:w="4698" w:type="dxa"/>
          </w:tcPr>
          <w:p w14:paraId="2543546C" w14:textId="77777777" w:rsidR="0038591E" w:rsidRPr="001134B0" w:rsidRDefault="0038591E" w:rsidP="0038591E">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cs="Times"/>
              </w:rPr>
            </w:pPr>
          </w:p>
        </w:tc>
      </w:tr>
      <w:tr w:rsidR="000605E0" w:rsidRPr="001134B0" w14:paraId="5DC443F5" w14:textId="77777777" w:rsidTr="0038591E">
        <w:tc>
          <w:tcPr>
            <w:tcW w:w="4698" w:type="dxa"/>
          </w:tcPr>
          <w:p w14:paraId="0E919DDC" w14:textId="77777777" w:rsidR="0038591E" w:rsidRPr="001134B0" w:rsidRDefault="0038591E" w:rsidP="0038591E">
            <w:pPr>
              <w:pStyle w:val="VAFigureCaption"/>
              <w:rPr>
                <w:rFonts w:cs="Times"/>
              </w:rPr>
            </w:pPr>
            <w:r w:rsidRPr="001134B0">
              <w:rPr>
                <w:rFonts w:cs="Times"/>
              </w:rPr>
              <w:t xml:space="preserve">(C) BA </w:t>
            </w:r>
          </w:p>
          <w:p w14:paraId="66C48438" w14:textId="77777777" w:rsidR="0038591E" w:rsidRPr="001134B0" w:rsidRDefault="0038591E" w:rsidP="0038591E">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cs="Times"/>
              </w:rPr>
            </w:pPr>
          </w:p>
        </w:tc>
        <w:tc>
          <w:tcPr>
            <w:tcW w:w="4698" w:type="dxa"/>
          </w:tcPr>
          <w:p w14:paraId="1C114657" w14:textId="77777777" w:rsidR="0038591E" w:rsidRPr="001134B0" w:rsidRDefault="0038591E" w:rsidP="0038591E">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cs="Times"/>
              </w:rPr>
            </w:pPr>
          </w:p>
        </w:tc>
      </w:tr>
    </w:tbl>
    <w:p w14:paraId="58C26117" w14:textId="77777777" w:rsidR="0038591E" w:rsidRPr="001134B0" w:rsidRDefault="0038591E" w:rsidP="0038591E">
      <w:pPr>
        <w:rPr>
          <w:rFonts w:ascii="Times" w:hAnsi="Times" w:cs="Times"/>
        </w:rPr>
      </w:pPr>
    </w:p>
    <w:p w14:paraId="4C526DD0" w14:textId="207E51B9" w:rsidR="002117BA" w:rsidRDefault="00C656F6" w:rsidP="00C656F6">
      <w:pPr>
        <w:pStyle w:val="VAFigureCaption"/>
      </w:pPr>
      <w:r w:rsidRPr="00F57EC2">
        <w:rPr>
          <w:b/>
          <w:bCs/>
        </w:rPr>
        <w:t>Figure 2.</w:t>
      </w:r>
      <w:r w:rsidRPr="00C656F6">
        <w:t xml:space="preserve">  Mean aggregated performance using different compound representations and combinations thereof across </w:t>
      </w:r>
      <w:r w:rsidR="00F75C08">
        <w:t>12 assays</w:t>
      </w:r>
      <w:r w:rsidRPr="00C656F6">
        <w:t xml:space="preserve">. (A) AUC-ROC (Area under the curve: Receiver operating characteristic), (B) MCC (Matthews correlation coefficient), and (C) BA (Balanced Accuracy). </w:t>
      </w:r>
    </w:p>
    <w:p w14:paraId="401144D0" w14:textId="7189BE32" w:rsidR="002117BA" w:rsidRDefault="00C656F6" w:rsidP="00C656F6">
      <w:pPr>
        <w:pStyle w:val="VAFigureCaption"/>
      </w:pPr>
      <w:r w:rsidRPr="00C656F6">
        <w:t xml:space="preserve">Combination </w:t>
      </w:r>
      <w:r w:rsidR="00633935">
        <w:t>descriptors</w:t>
      </w:r>
      <w:r w:rsidRPr="00C656F6">
        <w:t xml:space="preserve"> are seen to have better performances over use of Morgan or </w:t>
      </w:r>
      <w:proofErr w:type="spellStart"/>
      <w:r w:rsidRPr="00C656F6">
        <w:t>ErG</w:t>
      </w:r>
      <w:proofErr w:type="spellEnd"/>
      <w:r w:rsidRPr="00C656F6">
        <w:t xml:space="preserve"> fingerprints alone.</w:t>
      </w:r>
      <w:r w:rsidR="00F57EC2">
        <w:t xml:space="preserve"> </w:t>
      </w:r>
    </w:p>
    <w:p w14:paraId="6C93229E" w14:textId="40C426CC" w:rsidR="009B6889" w:rsidRPr="00C656F6" w:rsidRDefault="00F57EC2" w:rsidP="00C656F6">
      <w:pPr>
        <w:pStyle w:val="VAFigureCaption"/>
      </w:pPr>
      <w:proofErr w:type="spellStart"/>
      <w:r>
        <w:t>CP:Cell</w:t>
      </w:r>
      <w:proofErr w:type="spellEnd"/>
      <w:r>
        <w:t xml:space="preserve"> Painting</w:t>
      </w:r>
    </w:p>
    <w:p w14:paraId="24AAE8CE" w14:textId="240EF822" w:rsidR="009B6889" w:rsidRPr="001134B0" w:rsidRDefault="009B6889" w:rsidP="009B6889">
      <w:pPr>
        <w:rPr>
          <w:rFonts w:ascii="Times" w:hAnsi="Times" w:cs="Times"/>
        </w:rPr>
      </w:pPr>
    </w:p>
    <w:p w14:paraId="7F34F58C" w14:textId="3B8B1C5C" w:rsidR="002C4CD4" w:rsidRPr="001134B0" w:rsidRDefault="002C4CD4">
      <w:pPr>
        <w:rPr>
          <w:rFonts w:ascii="Times" w:hAnsi="Times" w:cs="Times"/>
        </w:rPr>
      </w:pPr>
      <w:r w:rsidRPr="001134B0">
        <w:rPr>
          <w:rFonts w:ascii="Times" w:hAnsi="Times" w:cs="Times"/>
        </w:rPr>
        <w:br w:type="page"/>
      </w:r>
    </w:p>
    <w:p w14:paraId="1A16115E" w14:textId="4635C4DB" w:rsidR="00402698" w:rsidRPr="001134B0" w:rsidRDefault="00402698" w:rsidP="002C4CD4">
      <w:pPr>
        <w:pStyle w:val="VAFigureCaption"/>
        <w:rPr>
          <w:rFonts w:cs="Time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16"/>
        <w:gridCol w:w="4690"/>
      </w:tblGrid>
      <w:tr w:rsidR="005C06C9" w:rsidRPr="001134B0" w14:paraId="3517AF1B" w14:textId="77777777" w:rsidTr="0038591E">
        <w:tc>
          <w:tcPr>
            <w:tcW w:w="4698" w:type="dxa"/>
          </w:tcPr>
          <w:p w14:paraId="293939D3" w14:textId="6C212A6E" w:rsidR="0038591E" w:rsidRPr="001134B0" w:rsidRDefault="00293EB0" w:rsidP="0038591E">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cs="Times"/>
              </w:rPr>
            </w:pPr>
            <w:r w:rsidRPr="001134B0">
              <w:rPr>
                <w:rFonts w:ascii="Times" w:hAnsi="Times" w:cs="Times"/>
                <w:noProof/>
              </w:rPr>
              <w:drawing>
                <wp:inline distT="0" distB="0" distL="0" distR="0" wp14:anchorId="00CC8479" wp14:editId="368D05E2">
                  <wp:extent cx="2947553" cy="2004695"/>
                  <wp:effectExtent l="0" t="0" r="571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970360" cy="2020207"/>
                          </a:xfrm>
                          <a:prstGeom prst="rect">
                            <a:avLst/>
                          </a:prstGeom>
                          <a:noFill/>
                          <a:ln>
                            <a:noFill/>
                          </a:ln>
                        </pic:spPr>
                      </pic:pic>
                    </a:graphicData>
                  </a:graphic>
                </wp:inline>
              </w:drawing>
            </w:r>
          </w:p>
        </w:tc>
        <w:tc>
          <w:tcPr>
            <w:tcW w:w="4698" w:type="dxa"/>
          </w:tcPr>
          <w:p w14:paraId="136C196A" w14:textId="48AAD43F" w:rsidR="0038591E" w:rsidRPr="001134B0" w:rsidRDefault="00293EB0" w:rsidP="0038591E">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cs="Times"/>
              </w:rPr>
            </w:pPr>
            <w:r w:rsidRPr="001134B0">
              <w:rPr>
                <w:rFonts w:ascii="Times" w:hAnsi="Times" w:cs="Times"/>
                <w:noProof/>
              </w:rPr>
              <w:drawing>
                <wp:inline distT="0" distB="0" distL="0" distR="0" wp14:anchorId="6A793A6C" wp14:editId="565147D9">
                  <wp:extent cx="2936631" cy="2004757"/>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979633" cy="2034113"/>
                          </a:xfrm>
                          <a:prstGeom prst="rect">
                            <a:avLst/>
                          </a:prstGeom>
                          <a:noFill/>
                          <a:ln>
                            <a:noFill/>
                          </a:ln>
                        </pic:spPr>
                      </pic:pic>
                    </a:graphicData>
                  </a:graphic>
                </wp:inline>
              </w:drawing>
            </w:r>
          </w:p>
        </w:tc>
      </w:tr>
      <w:tr w:rsidR="005C06C9" w:rsidRPr="001134B0" w14:paraId="5051ADAC" w14:textId="77777777" w:rsidTr="0038591E">
        <w:tc>
          <w:tcPr>
            <w:tcW w:w="4698" w:type="dxa"/>
          </w:tcPr>
          <w:p w14:paraId="68A5701B" w14:textId="11962E8A" w:rsidR="0038591E" w:rsidRPr="001134B0" w:rsidRDefault="0038591E" w:rsidP="0038591E">
            <w:pPr>
              <w:pStyle w:val="VDTableTitle"/>
              <w:numPr>
                <w:ilvl w:val="0"/>
                <w:numId w:val="28"/>
              </w:numPr>
              <w:rPr>
                <w:rFonts w:cs="Times"/>
              </w:rPr>
            </w:pPr>
            <w:r w:rsidRPr="001134B0">
              <w:rPr>
                <w:rFonts w:cs="Times"/>
              </w:rPr>
              <w:t>AUC-ROC</w:t>
            </w:r>
          </w:p>
        </w:tc>
        <w:tc>
          <w:tcPr>
            <w:tcW w:w="4698" w:type="dxa"/>
          </w:tcPr>
          <w:p w14:paraId="2DCA98B9" w14:textId="60BDC5E2" w:rsidR="0038591E" w:rsidRPr="001134B0" w:rsidRDefault="0038591E" w:rsidP="0038591E">
            <w:pPr>
              <w:pStyle w:val="VAFigureCaption"/>
              <w:numPr>
                <w:ilvl w:val="0"/>
                <w:numId w:val="28"/>
              </w:numPr>
              <w:rPr>
                <w:rFonts w:cs="Times"/>
              </w:rPr>
            </w:pPr>
            <w:r w:rsidRPr="001134B0">
              <w:rPr>
                <w:rFonts w:cs="Times"/>
              </w:rPr>
              <w:t xml:space="preserve"> MCC </w:t>
            </w:r>
          </w:p>
        </w:tc>
      </w:tr>
      <w:tr w:rsidR="005C06C9" w:rsidRPr="001134B0" w14:paraId="2C70C35A" w14:textId="77777777" w:rsidTr="0038591E">
        <w:tc>
          <w:tcPr>
            <w:tcW w:w="4698" w:type="dxa"/>
          </w:tcPr>
          <w:p w14:paraId="68808FBA" w14:textId="57421B08" w:rsidR="0038591E" w:rsidRPr="001134B0" w:rsidRDefault="005C06C9" w:rsidP="0038591E">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cs="Times"/>
              </w:rPr>
            </w:pPr>
            <w:r w:rsidRPr="001134B0">
              <w:rPr>
                <w:rFonts w:ascii="Times" w:hAnsi="Times" w:cs="Times"/>
                <w:noProof/>
              </w:rPr>
              <w:drawing>
                <wp:inline distT="0" distB="0" distL="0" distR="0" wp14:anchorId="1E13E530" wp14:editId="35763FCA">
                  <wp:extent cx="2857500" cy="1921923"/>
                  <wp:effectExtent l="0" t="0" r="0" b="254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869070" cy="1929705"/>
                          </a:xfrm>
                          <a:prstGeom prst="rect">
                            <a:avLst/>
                          </a:prstGeom>
                        </pic:spPr>
                      </pic:pic>
                    </a:graphicData>
                  </a:graphic>
                </wp:inline>
              </w:drawing>
            </w:r>
          </w:p>
        </w:tc>
        <w:tc>
          <w:tcPr>
            <w:tcW w:w="4698" w:type="dxa"/>
          </w:tcPr>
          <w:p w14:paraId="2716B028" w14:textId="77777777" w:rsidR="0038591E" w:rsidRPr="001134B0" w:rsidRDefault="0038591E" w:rsidP="0038591E">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cs="Times"/>
              </w:rPr>
            </w:pPr>
          </w:p>
        </w:tc>
      </w:tr>
      <w:tr w:rsidR="005C06C9" w:rsidRPr="001134B0" w14:paraId="0E3F6006" w14:textId="77777777" w:rsidTr="0038591E">
        <w:tc>
          <w:tcPr>
            <w:tcW w:w="4698" w:type="dxa"/>
          </w:tcPr>
          <w:p w14:paraId="73346BA2" w14:textId="664FC6BF" w:rsidR="0038591E" w:rsidRPr="001134B0" w:rsidRDefault="0038591E" w:rsidP="0038591E">
            <w:pPr>
              <w:pStyle w:val="VAFigureCaption"/>
              <w:ind w:firstLine="360"/>
              <w:rPr>
                <w:rFonts w:cs="Times"/>
              </w:rPr>
            </w:pPr>
            <w:r w:rsidRPr="001134B0">
              <w:rPr>
                <w:rFonts w:cs="Times"/>
              </w:rPr>
              <w:t xml:space="preserve">(C) BA </w:t>
            </w:r>
          </w:p>
          <w:p w14:paraId="7D031ED8" w14:textId="77777777" w:rsidR="0038591E" w:rsidRPr="001134B0" w:rsidRDefault="0038591E" w:rsidP="0038591E">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cs="Times"/>
              </w:rPr>
            </w:pPr>
          </w:p>
        </w:tc>
        <w:tc>
          <w:tcPr>
            <w:tcW w:w="4698" w:type="dxa"/>
          </w:tcPr>
          <w:p w14:paraId="7BC34BC9" w14:textId="77777777" w:rsidR="0038591E" w:rsidRPr="001134B0" w:rsidRDefault="0038591E" w:rsidP="0038591E">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cs="Times"/>
              </w:rPr>
            </w:pPr>
          </w:p>
        </w:tc>
      </w:tr>
    </w:tbl>
    <w:p w14:paraId="56CDC9B6" w14:textId="2D8ECA28" w:rsidR="00190FBF" w:rsidRPr="001134B0" w:rsidRDefault="00190FBF" w:rsidP="00190FBF">
      <w:pPr>
        <w:rPr>
          <w:rFonts w:ascii="Times" w:hAnsi="Times" w:cs="Times"/>
        </w:rPr>
      </w:pPr>
    </w:p>
    <w:p w14:paraId="4BCE3495" w14:textId="0491E603" w:rsidR="002117BA" w:rsidRDefault="00C656F6" w:rsidP="00402698">
      <w:pPr>
        <w:pStyle w:val="VDTableTitle"/>
        <w:rPr>
          <w:rFonts w:cs="Times"/>
        </w:rPr>
      </w:pPr>
      <w:r w:rsidRPr="00212BA5">
        <w:rPr>
          <w:rFonts w:cs="Times"/>
          <w:b/>
          <w:bCs/>
        </w:rPr>
        <w:t>Figure 3.</w:t>
      </w:r>
      <w:r w:rsidRPr="001134B0">
        <w:rPr>
          <w:rFonts w:cs="Times"/>
        </w:rPr>
        <w:t xml:space="preserve"> Mean cluster averaged performance using fingerprints and combinations across </w:t>
      </w:r>
      <w:r w:rsidR="00F75C08">
        <w:rPr>
          <w:rFonts w:cs="Times"/>
        </w:rPr>
        <w:t>12 assays</w:t>
      </w:r>
      <w:r w:rsidRPr="001134B0">
        <w:rPr>
          <w:rFonts w:cs="Times"/>
        </w:rPr>
        <w:t>. (A) AUC-ROC (Area under the curve: Receiver operating characteristic), (B) MCC (Matthews correlation coefficient), and (C) BA (Balanced Accuracy)</w:t>
      </w:r>
      <w:r w:rsidRPr="001134B0">
        <w:rPr>
          <w:rFonts w:cs="Times"/>
        </w:rPr>
        <w:tab/>
      </w:r>
      <w:r w:rsidRPr="001134B0">
        <w:rPr>
          <w:rFonts w:cs="Times"/>
        </w:rPr>
        <w:br/>
        <w:t xml:space="preserve">Combination </w:t>
      </w:r>
      <w:r w:rsidR="00633935">
        <w:rPr>
          <w:rFonts w:cs="Times"/>
        </w:rPr>
        <w:t>descriptors</w:t>
      </w:r>
      <w:r w:rsidRPr="001134B0">
        <w:rPr>
          <w:rFonts w:cs="Times"/>
        </w:rPr>
        <w:t xml:space="preserve"> have increased performance compared to Morgan or </w:t>
      </w:r>
      <w:proofErr w:type="spellStart"/>
      <w:r w:rsidRPr="001134B0">
        <w:rPr>
          <w:rFonts w:cs="Times"/>
        </w:rPr>
        <w:t>ErG</w:t>
      </w:r>
      <w:proofErr w:type="spellEnd"/>
      <w:r w:rsidRPr="001134B0">
        <w:rPr>
          <w:rFonts w:cs="Times"/>
        </w:rPr>
        <w:t xml:space="preserve"> fingerprints alone</w:t>
      </w:r>
      <w:r w:rsidR="002117BA">
        <w:rPr>
          <w:rFonts w:cs="Times"/>
        </w:rPr>
        <w:t>.</w:t>
      </w:r>
    </w:p>
    <w:p w14:paraId="739CCEBC" w14:textId="17C7171B" w:rsidR="00402698" w:rsidRPr="001134B0" w:rsidRDefault="00F57EC2" w:rsidP="00402698">
      <w:pPr>
        <w:pStyle w:val="VDTableTitle"/>
        <w:rPr>
          <w:rFonts w:cs="Times"/>
        </w:rPr>
      </w:pPr>
      <w:r w:rsidRPr="00F57EC2">
        <w:t xml:space="preserve"> </w:t>
      </w:r>
      <w:proofErr w:type="spellStart"/>
      <w:r>
        <w:t>CP:Cell</w:t>
      </w:r>
      <w:proofErr w:type="spellEnd"/>
      <w:r>
        <w:t xml:space="preserve"> Painting</w:t>
      </w:r>
    </w:p>
    <w:p w14:paraId="0666C4B4" w14:textId="39C259AC" w:rsidR="00402698" w:rsidRPr="001134B0" w:rsidRDefault="007F31FE" w:rsidP="007F31FE">
      <w:pPr>
        <w:rPr>
          <w:rFonts w:ascii="Times" w:eastAsia="Times New Roman" w:hAnsi="Times" w:cs="Times"/>
          <w:szCs w:val="20"/>
          <w:bdr w:val="none" w:sz="0" w:space="0" w:color="auto"/>
        </w:rPr>
      </w:pPr>
      <w:r w:rsidRPr="001134B0">
        <w:rPr>
          <w:rFonts w:ascii="Times" w:hAnsi="Times" w:cs="Times"/>
        </w:rPr>
        <w:br w:type="page"/>
      </w:r>
    </w:p>
    <w:p w14:paraId="31069607" w14:textId="3D9CF69E" w:rsidR="00E57482" w:rsidRPr="001134B0" w:rsidRDefault="00E57482" w:rsidP="008C3855">
      <w:pPr>
        <w:rPr>
          <w:rFonts w:ascii="Times" w:hAnsi="Times" w:cs="Times"/>
          <w:noProof/>
        </w:rPr>
      </w:pPr>
      <w:r w:rsidRPr="001134B0">
        <w:rPr>
          <w:rFonts w:ascii="Times" w:hAnsi="Times" w:cs="Times"/>
          <w:noProof/>
        </w:rPr>
        <w:lastRenderedPageBreak/>
        <w:t xml:space="preserve"> </w:t>
      </w:r>
      <w:r w:rsidR="003464EF" w:rsidRPr="001134B0">
        <w:rPr>
          <w:rFonts w:ascii="Times" w:hAnsi="Times" w:cs="Times"/>
          <w:noProof/>
        </w:rPr>
        <w:drawing>
          <wp:inline distT="0" distB="0" distL="0" distR="0" wp14:anchorId="49ADED68" wp14:editId="273082D3">
            <wp:extent cx="5972810" cy="2997641"/>
            <wp:effectExtent l="0" t="0" r="8890" b="0"/>
            <wp:docPr id="1" name="Chart 1">
              <a:extLst xmlns:a="http://schemas.openxmlformats.org/drawingml/2006/main">
                <a:ext uri="{FF2B5EF4-FFF2-40B4-BE49-F238E27FC236}">
                  <a16:creationId xmlns:a16="http://schemas.microsoft.com/office/drawing/2014/main" id="{1B72952D-C5D8-4EFE-AB3C-F3431B0D96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59E216A" w14:textId="77777777" w:rsidR="00355D38" w:rsidRPr="001134B0" w:rsidRDefault="00355D38" w:rsidP="008C3855">
      <w:pPr>
        <w:rPr>
          <w:rFonts w:ascii="Times" w:hAnsi="Times" w:cs="Times"/>
          <w:noProof/>
        </w:rPr>
      </w:pPr>
    </w:p>
    <w:p w14:paraId="1357072B" w14:textId="326530FC" w:rsidR="00402698" w:rsidRPr="001134B0" w:rsidRDefault="00402698" w:rsidP="000654E2">
      <w:pPr>
        <w:pStyle w:val="VAFigureCaption"/>
        <w:rPr>
          <w:rFonts w:cs="Times"/>
          <w:noProof/>
        </w:rPr>
      </w:pPr>
      <w:r w:rsidRPr="001134B0">
        <w:rPr>
          <w:rFonts w:cs="Times"/>
        </w:rPr>
        <w:t>(A) Aggregated Metrics</w:t>
      </w:r>
    </w:p>
    <w:p w14:paraId="26C746B9" w14:textId="52EEA511" w:rsidR="00402698" w:rsidRPr="001134B0" w:rsidRDefault="00802885" w:rsidP="008C3855">
      <w:pPr>
        <w:rPr>
          <w:rFonts w:ascii="Times" w:hAnsi="Times" w:cs="Times"/>
        </w:rPr>
      </w:pPr>
      <w:r w:rsidRPr="001134B0">
        <w:rPr>
          <w:rFonts w:ascii="Times" w:hAnsi="Times" w:cs="Times"/>
          <w:noProof/>
        </w:rPr>
        <w:drawing>
          <wp:inline distT="0" distB="0" distL="0" distR="0" wp14:anchorId="283F5BF6" wp14:editId="3FEADCF1">
            <wp:extent cx="6066790" cy="3108960"/>
            <wp:effectExtent l="0" t="0" r="0" b="0"/>
            <wp:docPr id="2" name="Chart 2">
              <a:extLst xmlns:a="http://schemas.openxmlformats.org/drawingml/2006/main">
                <a:ext uri="{FF2B5EF4-FFF2-40B4-BE49-F238E27FC236}">
                  <a16:creationId xmlns:a16="http://schemas.microsoft.com/office/drawing/2014/main" id="{4FEFE51A-7E8E-4EC0-B792-82BB954E2E6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CDAF552" w14:textId="77777777" w:rsidR="00355D38" w:rsidRPr="001134B0" w:rsidRDefault="00355D38" w:rsidP="008C3855">
      <w:pPr>
        <w:rPr>
          <w:rFonts w:ascii="Times" w:hAnsi="Times" w:cs="Times"/>
        </w:rPr>
      </w:pPr>
    </w:p>
    <w:p w14:paraId="69381F08" w14:textId="77777777" w:rsidR="001E4960" w:rsidRDefault="00402698" w:rsidP="00A326E3">
      <w:pPr>
        <w:pStyle w:val="VAFigureCaption"/>
        <w:numPr>
          <w:ilvl w:val="0"/>
          <w:numId w:val="28"/>
        </w:numPr>
        <w:rPr>
          <w:rFonts w:cs="Times"/>
        </w:rPr>
      </w:pPr>
      <w:r w:rsidRPr="001E4960">
        <w:rPr>
          <w:rFonts w:cs="Times"/>
        </w:rPr>
        <w:t>Cluster-averaged Metrics</w:t>
      </w:r>
    </w:p>
    <w:p w14:paraId="2D6196D4" w14:textId="0B82BA51" w:rsidR="00C656F6" w:rsidRPr="001E4960" w:rsidRDefault="00C656F6" w:rsidP="001E4960">
      <w:pPr>
        <w:pStyle w:val="VAFigureCaption"/>
        <w:rPr>
          <w:rFonts w:cs="Times"/>
        </w:rPr>
      </w:pPr>
      <w:r w:rsidRPr="00212BA5">
        <w:rPr>
          <w:rFonts w:cs="Times"/>
          <w:b/>
          <w:bCs/>
        </w:rPr>
        <w:t>Figure 4.</w:t>
      </w:r>
      <w:r w:rsidRPr="001E4960">
        <w:rPr>
          <w:rFonts w:cs="Times"/>
        </w:rPr>
        <w:t xml:space="preserve"> Balanced Accuracies on using different fingerprints and combinations across </w:t>
      </w:r>
      <w:r w:rsidR="00F75C08">
        <w:rPr>
          <w:rFonts w:cs="Times"/>
        </w:rPr>
        <w:t>12 assays</w:t>
      </w:r>
      <w:r w:rsidRPr="001E4960">
        <w:rPr>
          <w:rFonts w:cs="Times"/>
        </w:rPr>
        <w:t xml:space="preserve">. (A) Aggregated Metric. The combination of Cell Painting with </w:t>
      </w:r>
      <w:proofErr w:type="spellStart"/>
      <w:r w:rsidRPr="001E4960">
        <w:rPr>
          <w:rFonts w:cs="Times"/>
        </w:rPr>
        <w:t>ErG</w:t>
      </w:r>
      <w:proofErr w:type="spellEnd"/>
      <w:r w:rsidRPr="001E4960">
        <w:rPr>
          <w:rFonts w:cs="Times"/>
        </w:rPr>
        <w:t xml:space="preserve"> and Morgan fingerprints improved the balanced accuracies by 8.9% in 9 out of 12 assays and 23.4% in 8 out of 12 assays on </w:t>
      </w:r>
      <w:r w:rsidRPr="001E4960">
        <w:rPr>
          <w:rFonts w:cs="Times"/>
        </w:rPr>
        <w:lastRenderedPageBreak/>
        <w:t xml:space="preserve">average compared to using </w:t>
      </w:r>
      <w:proofErr w:type="spellStart"/>
      <w:r w:rsidRPr="001E4960">
        <w:rPr>
          <w:rFonts w:cs="Times"/>
        </w:rPr>
        <w:t>ErG</w:t>
      </w:r>
      <w:proofErr w:type="spellEnd"/>
      <w:r w:rsidRPr="001E4960">
        <w:rPr>
          <w:rFonts w:cs="Times"/>
        </w:rPr>
        <w:t xml:space="preserve"> and Morgan fingerprints respectively. (B) Cluster-averaged Metrics (mean performance over clusters and error bars show standard deviations). Cell Painting </w:t>
      </w:r>
      <w:r w:rsidR="00570AEB">
        <w:rPr>
          <w:rFonts w:cs="Times"/>
        </w:rPr>
        <w:t>descriptors</w:t>
      </w:r>
      <w:r w:rsidR="00570AEB" w:rsidRPr="001E4960">
        <w:rPr>
          <w:rFonts w:cs="Times"/>
        </w:rPr>
        <w:t xml:space="preserve"> </w:t>
      </w:r>
      <w:r w:rsidRPr="001E4960">
        <w:rPr>
          <w:rFonts w:cs="Times"/>
        </w:rPr>
        <w:t xml:space="preserve">improved balanced accuracy when compared to using </w:t>
      </w:r>
      <w:proofErr w:type="spellStart"/>
      <w:r w:rsidRPr="001E4960">
        <w:rPr>
          <w:rFonts w:cs="Times"/>
        </w:rPr>
        <w:t>ErG</w:t>
      </w:r>
      <w:proofErr w:type="spellEnd"/>
      <w:r w:rsidRPr="001E4960">
        <w:rPr>
          <w:rFonts w:cs="Times"/>
        </w:rPr>
        <w:t xml:space="preserve"> and Morgan fingerprints in 11 out 12 assays by 19.4% and 24.2% on average respectively.</w:t>
      </w:r>
    </w:p>
    <w:p w14:paraId="4C7E76B7" w14:textId="77777777" w:rsidR="00C656F6" w:rsidRPr="00C656F6" w:rsidRDefault="00C656F6" w:rsidP="00C656F6"/>
    <w:p w14:paraId="1B2FD1AB" w14:textId="77777777" w:rsidR="005B12E9" w:rsidRPr="001134B0" w:rsidRDefault="005B12E9">
      <w:pPr>
        <w:rPr>
          <w:rFonts w:ascii="Times" w:eastAsia="Times New Roman" w:hAnsi="Times" w:cs="Times"/>
          <w:szCs w:val="20"/>
          <w:bdr w:val="none" w:sz="0" w:space="0" w:color="auto"/>
        </w:rPr>
      </w:pPr>
      <w:r w:rsidRPr="001134B0">
        <w:rPr>
          <w:rFonts w:ascii="Times" w:hAnsi="Times" w:cs="Times"/>
        </w:rPr>
        <w:br w:type="page"/>
      </w:r>
    </w:p>
    <w:p w14:paraId="2157E6E3" w14:textId="5C55AD5D" w:rsidR="00517620" w:rsidRPr="005B0DFF" w:rsidRDefault="005B12E9" w:rsidP="0092102D">
      <w:pPr>
        <w:pStyle w:val="VDTableTitle"/>
        <w:rPr>
          <w:rFonts w:cs="Times"/>
        </w:rPr>
      </w:pPr>
      <w:r w:rsidRPr="00212BA5">
        <w:rPr>
          <w:rFonts w:cs="Times"/>
          <w:b/>
          <w:bCs/>
        </w:rPr>
        <w:lastRenderedPageBreak/>
        <w:t>Figure 5.</w:t>
      </w:r>
      <w:r w:rsidRPr="001134B0">
        <w:rPr>
          <w:rFonts w:cs="Times"/>
        </w:rPr>
        <w:t xml:space="preserve"> </w:t>
      </w:r>
      <w:r w:rsidR="00B10151" w:rsidRPr="00B10151">
        <w:rPr>
          <w:rFonts w:cs="Times"/>
        </w:rPr>
        <w:t xml:space="preserve">Clustered heatmap based on the number of </w:t>
      </w:r>
      <w:r w:rsidR="004B6671" w:rsidRPr="004B6671">
        <w:rPr>
          <w:rFonts w:cs="Times"/>
        </w:rPr>
        <w:t>held-out test set</w:t>
      </w:r>
      <w:r w:rsidR="004B6671">
        <w:rPr>
          <w:rFonts w:cs="Times"/>
        </w:rPr>
        <w:t xml:space="preserve">s </w:t>
      </w:r>
      <w:r w:rsidR="00B10151" w:rsidRPr="00B10151">
        <w:rPr>
          <w:rFonts w:cs="Times"/>
        </w:rPr>
        <w:t>(between zero and five)</w:t>
      </w:r>
      <w:r w:rsidR="00B25F32">
        <w:rPr>
          <w:rFonts w:cs="Times"/>
        </w:rPr>
        <w:t xml:space="preserve"> </w:t>
      </w:r>
      <w:r w:rsidR="00294B61">
        <w:rPr>
          <w:rFonts w:cs="Times"/>
        </w:rPr>
        <w:t>where</w:t>
      </w:r>
      <w:r w:rsidR="00534952">
        <w:rPr>
          <w:rFonts w:cs="Times"/>
        </w:rPr>
        <w:t xml:space="preserve"> </w:t>
      </w:r>
      <w:r w:rsidR="00C30A91">
        <w:rPr>
          <w:rFonts w:cs="Times"/>
        </w:rPr>
        <w:t>combinations of feature</w:t>
      </w:r>
      <w:r w:rsidR="00852AEC">
        <w:rPr>
          <w:rFonts w:cs="Times"/>
        </w:rPr>
        <w:t xml:space="preserve"> </w:t>
      </w:r>
      <w:r w:rsidR="00CD7D6D" w:rsidRPr="00CD7D6D">
        <w:rPr>
          <w:rFonts w:cs="Times"/>
        </w:rPr>
        <w:t>measurement type</w:t>
      </w:r>
      <w:r w:rsidR="00852AEC">
        <w:rPr>
          <w:rFonts w:cs="Times"/>
        </w:rPr>
        <w:t xml:space="preserve"> (compartment)</w:t>
      </w:r>
      <w:r w:rsidR="00CD7D6D" w:rsidRPr="00CD7D6D">
        <w:rPr>
          <w:rFonts w:cs="Times"/>
        </w:rPr>
        <w:t xml:space="preserve"> and category</w:t>
      </w:r>
      <w:r w:rsidR="00852AEC">
        <w:rPr>
          <w:rFonts w:cs="Times"/>
        </w:rPr>
        <w:t xml:space="preserve"> (feature group)</w:t>
      </w:r>
      <w:r w:rsidR="00CD7D6D" w:rsidRPr="00CD7D6D">
        <w:rPr>
          <w:rFonts w:cs="Times"/>
        </w:rPr>
        <w:t xml:space="preserve"> </w:t>
      </w:r>
      <w:r w:rsidR="005337AD">
        <w:rPr>
          <w:rFonts w:cs="Times"/>
        </w:rPr>
        <w:t>have been selected to be</w:t>
      </w:r>
      <w:r w:rsidR="00AC565C">
        <w:rPr>
          <w:rFonts w:cs="Times"/>
        </w:rPr>
        <w:t xml:space="preserve"> </w:t>
      </w:r>
      <w:r w:rsidR="00534952" w:rsidRPr="00B10151">
        <w:rPr>
          <w:rFonts w:cs="Times"/>
        </w:rPr>
        <w:t>important</w:t>
      </w:r>
      <w:r w:rsidR="005337AD">
        <w:rPr>
          <w:rFonts w:cs="Times"/>
        </w:rPr>
        <w:t xml:space="preserve">, </w:t>
      </w:r>
      <w:r w:rsidR="00AC565C" w:rsidRPr="00AC565C">
        <w:rPr>
          <w:rFonts w:cs="Times"/>
        </w:rPr>
        <w:t>annotated by assay endpoint (in rows) and compartment and feature groups</w:t>
      </w:r>
      <w:r w:rsidR="00112900">
        <w:rPr>
          <w:rFonts w:cs="Times"/>
        </w:rPr>
        <w:t xml:space="preserve"> </w:t>
      </w:r>
      <w:r w:rsidR="00AC565C" w:rsidRPr="00AC565C">
        <w:rPr>
          <w:rFonts w:cs="Times"/>
        </w:rPr>
        <w:t>(in columns)</w:t>
      </w:r>
      <w:r w:rsidR="0091117B">
        <w:rPr>
          <w:rFonts w:cs="Times"/>
        </w:rPr>
        <w:t xml:space="preserve">. The colour scale of the heatmap is </w:t>
      </w:r>
      <w:r w:rsidR="00B10151" w:rsidRPr="00B10151">
        <w:rPr>
          <w:rFonts w:cs="Times"/>
        </w:rPr>
        <w:t xml:space="preserve">the number of </w:t>
      </w:r>
      <w:r w:rsidR="00AC565C" w:rsidRPr="004B6671">
        <w:rPr>
          <w:rFonts w:cs="Times"/>
        </w:rPr>
        <w:t>held-out test set</w:t>
      </w:r>
      <w:r w:rsidR="00AC565C">
        <w:rPr>
          <w:rFonts w:cs="Times"/>
        </w:rPr>
        <w:t>s</w:t>
      </w:r>
      <w:r w:rsidR="0091117B">
        <w:rPr>
          <w:rFonts w:cs="Times"/>
        </w:rPr>
        <w:t xml:space="preserve"> where </w:t>
      </w:r>
      <w:r w:rsidR="00BE2AAF" w:rsidRPr="00BE2AAF">
        <w:rPr>
          <w:rFonts w:cs="Times"/>
        </w:rPr>
        <w:t xml:space="preserve">balanced accuracy </w:t>
      </w:r>
      <w:r w:rsidR="00BE2AAF">
        <w:rPr>
          <w:rFonts w:cs="Times"/>
        </w:rPr>
        <w:t xml:space="preserve">is </w:t>
      </w:r>
      <w:r w:rsidR="00BE2AAF" w:rsidRPr="00BE2AAF">
        <w:rPr>
          <w:rFonts w:cs="Times"/>
        </w:rPr>
        <w:t>greater than 0.50</w:t>
      </w:r>
      <w:r w:rsidR="00BE2AAF">
        <w:rPr>
          <w:rFonts w:cs="Times"/>
        </w:rPr>
        <w:t xml:space="preserve"> and </w:t>
      </w:r>
      <w:r w:rsidR="00BE2AAF" w:rsidRPr="00BE2AAF">
        <w:rPr>
          <w:rFonts w:cs="Times"/>
        </w:rPr>
        <w:t>features</w:t>
      </w:r>
      <w:r w:rsidR="004B5687">
        <w:rPr>
          <w:rFonts w:cs="Times"/>
        </w:rPr>
        <w:t xml:space="preserve"> </w:t>
      </w:r>
      <w:r w:rsidR="00BE2AAF">
        <w:rPr>
          <w:rFonts w:cs="Times"/>
        </w:rPr>
        <w:t>have</w:t>
      </w:r>
      <w:r w:rsidR="00BE2AAF" w:rsidRPr="00BE2AAF">
        <w:rPr>
          <w:rFonts w:cs="Times"/>
        </w:rPr>
        <w:t xml:space="preserve"> a positive permutation score </w:t>
      </w:r>
      <w:r w:rsidR="00BE2AAF">
        <w:rPr>
          <w:rFonts w:cs="Times"/>
        </w:rPr>
        <w:t>(</w:t>
      </w:r>
      <w:r w:rsidR="00BE2AAF" w:rsidRPr="00BE2AAF">
        <w:rPr>
          <w:rFonts w:cs="Times"/>
        </w:rPr>
        <w:t>selected using a 10-fold permutation importance on the respective held-out test set and model</w:t>
      </w:r>
      <w:r w:rsidR="00BE2AAF">
        <w:rPr>
          <w:rFonts w:cs="Times"/>
        </w:rPr>
        <w:t>)</w:t>
      </w:r>
      <w:r w:rsidR="00BE2AAF" w:rsidRPr="00BE2AAF">
        <w:rPr>
          <w:rFonts w:cs="Times"/>
        </w:rPr>
        <w:t>.</w:t>
      </w:r>
      <w:r w:rsidR="00BE2AAF">
        <w:rPr>
          <w:rFonts w:cs="Times"/>
        </w:rPr>
        <w:t xml:space="preserve"> </w:t>
      </w:r>
      <w:r w:rsidR="00B10151" w:rsidRPr="00B10151">
        <w:rPr>
          <w:rFonts w:cs="Times"/>
        </w:rPr>
        <w:t xml:space="preserve">Overall, the BSK_3C_Via_down and </w:t>
      </w:r>
      <w:proofErr w:type="spellStart"/>
      <w:r w:rsidR="00B10151" w:rsidRPr="00B10151">
        <w:rPr>
          <w:rFonts w:cs="Times"/>
        </w:rPr>
        <w:t>BSK_LPS_SRB_down</w:t>
      </w:r>
      <w:proofErr w:type="spellEnd"/>
      <w:r w:rsidR="00B10151" w:rsidRPr="00B10151">
        <w:rPr>
          <w:rFonts w:cs="Times"/>
        </w:rPr>
        <w:t xml:space="preserve"> identify variables from most mo</w:t>
      </w:r>
      <w:r w:rsidR="0092102D">
        <w:rPr>
          <w:rFonts w:cs="Times"/>
        </w:rPr>
        <w:t>r</w:t>
      </w:r>
      <w:r w:rsidR="00B10151" w:rsidRPr="00B10151">
        <w:rPr>
          <w:rFonts w:cs="Times"/>
        </w:rPr>
        <w:t xml:space="preserve">phological compartment and feature groups as important, which is only to a lesser extent true for the other endpoints. Features related </w:t>
      </w:r>
      <w:r w:rsidR="002418E2">
        <w:rPr>
          <w:rFonts w:cs="Times"/>
        </w:rPr>
        <w:t>t</w:t>
      </w:r>
      <w:r w:rsidR="00B10151" w:rsidRPr="00B10151">
        <w:rPr>
          <w:rFonts w:cs="Times"/>
        </w:rPr>
        <w:t>o nuclei texture, granularity of cells and cytoplasm, as well as cell neighbours and radial distributions are deemed contributing to most assays.</w:t>
      </w:r>
      <w:r w:rsidR="0092102D">
        <w:rPr>
          <w:rFonts w:cs="Times"/>
        </w:rPr>
        <w:tab/>
      </w:r>
      <w:r w:rsidR="00212BA5" w:rsidRPr="001134B0">
        <w:rPr>
          <w:rFonts w:cs="Times"/>
          <w:noProof/>
        </w:rPr>
        <w:drawing>
          <wp:inline distT="0" distB="0" distL="0" distR="0" wp14:anchorId="5523D635" wp14:editId="35DB3CB2">
            <wp:extent cx="5348501" cy="5353050"/>
            <wp:effectExtent l="0" t="0" r="508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04198" cy="5408794"/>
                    </a:xfrm>
                    <a:prstGeom prst="rect">
                      <a:avLst/>
                    </a:prstGeom>
                    <a:noFill/>
                    <a:ln>
                      <a:noFill/>
                    </a:ln>
                  </pic:spPr>
                </pic:pic>
              </a:graphicData>
            </a:graphic>
          </wp:inline>
        </w:drawing>
      </w:r>
    </w:p>
    <w:sectPr w:rsidR="00517620" w:rsidRPr="005B0DFF" w:rsidSect="003E6427">
      <w:endnotePr>
        <w:numFmt w:val="decimal"/>
      </w:endnotePr>
      <w:type w:val="continuous"/>
      <w:pgSz w:w="11900" w:h="16840"/>
      <w:pgMar w:top="1440" w:right="1247" w:bottom="1440" w:left="1247" w:header="720" w:footer="86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FAB91A" w14:textId="77777777" w:rsidR="00873A4D" w:rsidRDefault="00873A4D"/>
  </w:endnote>
  <w:endnote w:type="continuationSeparator" w:id="0">
    <w:p w14:paraId="037020C4" w14:textId="77777777" w:rsidR="00873A4D" w:rsidRDefault="00873A4D"/>
  </w:endnote>
  <w:endnote w:type="continuationNotice" w:id="1">
    <w:p w14:paraId="0FC2318C" w14:textId="77777777" w:rsidR="00873A4D" w:rsidRDefault="00873A4D"/>
  </w:endnote>
  <w:endnote w:id="2">
    <w:p w14:paraId="4115AF33" w14:textId="77777777" w:rsidR="003E71DE" w:rsidRDefault="003E71DE" w:rsidP="003E71DE">
      <w:pPr>
        <w:pStyle w:val="TFReferencesSection"/>
      </w:pPr>
      <w:r>
        <w:t>(</w:t>
      </w:r>
      <w:r w:rsidRPr="002B10CA">
        <w:endnoteRef/>
      </w:r>
      <w:r>
        <w:t xml:space="preserve">) </w:t>
      </w:r>
      <w:r w:rsidRPr="004A636C">
        <w:t xml:space="preserve">Subramanian, A.; Narayan, R.; Corsello, S. M.; Peck, D. D.; Natoli, T. E.; Lu, X.; Gould, J.; Da-vis, J. F.; Tubelli, A. A.; Asiedu, J. K.; Lahr, D. L.; Hirschman, J. E.; Liu, Z.; Donahue, M.; Julian, B.; Khan, M.; Wadden, D.; Smith, I. C.; Lam, D.; Liberzon, A.; Toder, C.; Bagul, M.; Orzechowski, M.; Enache, O. M.; Piccioni, F.; Johnson, S. A.; Lyons, N. J.; Berger, A. H.; Sham-ji, A. F.; Brooks, A. N.; Vrcic, A.; Flynn, C.; Rosains, J.; Takeda, D. Y.; Hu, R.; Davison, D.; Lamb, J.; Ardlie, K.; Hogstrom, L.; Greenside, P.; Gray, N. S.; Clemons, P. A.; Silver, S.; Wu, X.; Zhao, W. N.; Read-Button, W.; Wu, X.; Haggarty, S. J.; Ronco, L. v.; Boehm, J. S.; Schreiber, S. L.; Doench, J. G.; Bittker, J. A.; Root, D. E.; Wong, B.; Golub, T. R. A Next Generation Connectivity Map: L1000 Platform and the First 1,000,000 Profiles. </w:t>
      </w:r>
      <w:r w:rsidRPr="00A02783">
        <w:rPr>
          <w:i/>
          <w:iCs/>
        </w:rPr>
        <w:t>Cell</w:t>
      </w:r>
      <w:r w:rsidRPr="004A636C">
        <w:t xml:space="preserve"> </w:t>
      </w:r>
      <w:r w:rsidRPr="002B10CA">
        <w:rPr>
          <w:b/>
          <w:bCs/>
        </w:rPr>
        <w:t>2017</w:t>
      </w:r>
      <w:r w:rsidRPr="004A636C">
        <w:t xml:space="preserve">, </w:t>
      </w:r>
      <w:r w:rsidRPr="00A02783">
        <w:rPr>
          <w:i/>
          <w:iCs/>
        </w:rPr>
        <w:t>171</w:t>
      </w:r>
      <w:r w:rsidRPr="004A636C">
        <w:t xml:space="preserve"> (6), 1437-1452.e17.</w:t>
      </w:r>
    </w:p>
  </w:endnote>
  <w:endnote w:id="3">
    <w:p w14:paraId="17584562" w14:textId="21C01B06" w:rsidR="00B66C7E" w:rsidRDefault="00B66C7E" w:rsidP="00B66C7E">
      <w:pPr>
        <w:pStyle w:val="TFReferencesSection"/>
      </w:pPr>
      <w:r>
        <w:t>(</w:t>
      </w:r>
      <w:r w:rsidRPr="00B66C7E">
        <w:endnoteRef/>
      </w:r>
      <w:r w:rsidRPr="00B66C7E">
        <w:t xml:space="preserve">) </w:t>
      </w:r>
      <w:r w:rsidRPr="00B66C7E">
        <w:tab/>
        <w:t xml:space="preserve">Ye, C.; Ho, D. J.; Neri, M.; Yang, C.; Kulkarni, T.; Randhawa, R.; Henault, M.; Mostacci, N.; Farmer, P.; Renner, S.; Ihry, R.; Mansur, L.; Keller, C. G.; McAllister, G.; Hild, M.; Jenkins, J.; Kaykas, A. DRUG-Seq for Miniaturized High-Throughput Transcriptome Profiling in Drug Discovery. </w:t>
      </w:r>
      <w:r w:rsidRPr="00B66C7E">
        <w:rPr>
          <w:i/>
          <w:iCs/>
        </w:rPr>
        <w:t>Nat. Commun</w:t>
      </w:r>
      <w:r w:rsidRPr="00B66C7E">
        <w:t xml:space="preserve">. </w:t>
      </w:r>
      <w:r w:rsidRPr="00B66C7E">
        <w:rPr>
          <w:b/>
          <w:bCs/>
        </w:rPr>
        <w:t>2018</w:t>
      </w:r>
      <w:r w:rsidRPr="00B66C7E">
        <w:t xml:space="preserve">, </w:t>
      </w:r>
      <w:r w:rsidRPr="00B66C7E">
        <w:rPr>
          <w:i/>
          <w:iCs/>
        </w:rPr>
        <w:t>9</w:t>
      </w:r>
      <w:r w:rsidRPr="00B66C7E">
        <w:t xml:space="preserve"> (1), 4307.</w:t>
      </w:r>
    </w:p>
  </w:endnote>
  <w:endnote w:id="4">
    <w:p w14:paraId="416EEBDB" w14:textId="135E3451" w:rsidR="00F602F7" w:rsidRDefault="00F602F7" w:rsidP="001F3FF5">
      <w:pPr>
        <w:pStyle w:val="TFReferencesSection"/>
      </w:pPr>
      <w:r>
        <w:t>(</w:t>
      </w:r>
      <w:r w:rsidRPr="002B10CA">
        <w:endnoteRef/>
      </w:r>
      <w:r>
        <w:t xml:space="preserve">) </w:t>
      </w:r>
      <w:r w:rsidRPr="00B71989">
        <w:t xml:space="preserve">Bray, M. A.; Gustafsdottir, S. M.; Rohban, M. H.; Singh, S.; Ljosa, V.; Sokolnicki, K. L.; Bittker, J. A.; Bodycombe, N. E.; Dančík, V.; Hasaka, T. P.; Hon, C. S.; Kemp, M. M.; Li, K.; Walpita, D.; Wawer, M. J.; Golub, T. R.; Schreiber, S. L.; Clemons, P. A.; Shamji, A. F.; Carpen-ter, A. E. A Dataset of Images and Morphological Profiles of 30 000 Small-Molecule Treatments Using the Cell Painting Assay. </w:t>
      </w:r>
      <w:r w:rsidRPr="00C36E8A">
        <w:rPr>
          <w:i/>
          <w:iCs/>
        </w:rPr>
        <w:t>GigaScience</w:t>
      </w:r>
      <w:r w:rsidRPr="00B71989">
        <w:t xml:space="preserve">. Oxford University Press December 1, </w:t>
      </w:r>
      <w:r w:rsidRPr="002B10CA">
        <w:rPr>
          <w:b/>
          <w:bCs/>
        </w:rPr>
        <w:t>2017</w:t>
      </w:r>
      <w:r w:rsidRPr="00B71989">
        <w:t>, 1–5</w:t>
      </w:r>
    </w:p>
  </w:endnote>
  <w:endnote w:id="5">
    <w:p w14:paraId="743F0511" w14:textId="77777777" w:rsidR="007E126F" w:rsidRDefault="007E126F" w:rsidP="007E126F">
      <w:pPr>
        <w:pStyle w:val="TFReferencesSection"/>
      </w:pPr>
      <w:r>
        <w:t>(</w:t>
      </w:r>
      <w:r w:rsidRPr="002B10CA">
        <w:endnoteRef/>
      </w:r>
      <w:r>
        <w:t xml:space="preserve">) Bray, M. A.; Singh, S.; Han, H.; Davis, C. T.; Borgeson, B.; Hartland, C.; Kost-Alimova, M.; Gustafsdottir, S. M.; Gibson, C. C.; Carpenter, A. E. Cell Painting, a High-Content Image-Based Assay for Morphological Profiling Using Multiplexed Fluorescent Dyes. </w:t>
      </w:r>
      <w:r w:rsidRPr="006C07B5">
        <w:rPr>
          <w:rFonts w:eastAsia="Arial Unicode MS"/>
          <w:i/>
          <w:iCs/>
          <w:szCs w:val="24"/>
        </w:rPr>
        <w:t>Nat. Protoc</w:t>
      </w:r>
      <w:r w:rsidRPr="002B10CA">
        <w:rPr>
          <w:b/>
          <w:bCs/>
        </w:rPr>
        <w:t xml:space="preserve"> 2016</w:t>
      </w:r>
      <w:r>
        <w:t xml:space="preserve">, </w:t>
      </w:r>
      <w:r w:rsidRPr="006C07B5">
        <w:rPr>
          <w:i/>
          <w:iCs/>
        </w:rPr>
        <w:t>11</w:t>
      </w:r>
      <w:r>
        <w:t xml:space="preserve"> (9), 1757–1774.</w:t>
      </w:r>
    </w:p>
  </w:endnote>
  <w:endnote w:id="6">
    <w:p w14:paraId="5C230541" w14:textId="77777777" w:rsidR="002A6A17" w:rsidRDefault="002A6A17" w:rsidP="002A6A17">
      <w:pPr>
        <w:pStyle w:val="TFReferencesSection"/>
      </w:pPr>
      <w:r>
        <w:t>(</w:t>
      </w:r>
      <w:r w:rsidRPr="002B10CA">
        <w:endnoteRef/>
      </w:r>
      <w:r>
        <w:t xml:space="preserve">) </w:t>
      </w:r>
      <w:r w:rsidRPr="009F12C6">
        <w:t xml:space="preserve">Kamentsky, L.; Jones, T. R.; Fraser, A.; Bray, M. A.; Logan, D. J.; Madden, K. L.; Ljosa, V.; Rueden, C.; Eliceiri, K. W.; Carpenter, A. E. Improved Structure, Function and Compatibility for Cellprofiler: Modular High-Throughput Image Analysis Software. </w:t>
      </w:r>
      <w:r w:rsidRPr="001E64A8">
        <w:rPr>
          <w:i/>
          <w:iCs/>
        </w:rPr>
        <w:t>Bioinformatics</w:t>
      </w:r>
      <w:r w:rsidRPr="009F12C6">
        <w:t xml:space="preserve"> </w:t>
      </w:r>
      <w:r w:rsidRPr="002B10CA">
        <w:rPr>
          <w:b/>
          <w:bCs/>
        </w:rPr>
        <w:t>2011</w:t>
      </w:r>
      <w:r w:rsidRPr="009F12C6">
        <w:t xml:space="preserve">, </w:t>
      </w:r>
      <w:r w:rsidRPr="006C07B5">
        <w:rPr>
          <w:i/>
          <w:iCs/>
        </w:rPr>
        <w:t>27</w:t>
      </w:r>
      <w:r w:rsidRPr="009F12C6">
        <w:t xml:space="preserve"> (8), 1179–1180.</w:t>
      </w:r>
    </w:p>
  </w:endnote>
  <w:endnote w:id="7">
    <w:p w14:paraId="468D7125" w14:textId="77777777" w:rsidR="002A6A17" w:rsidRDefault="002A6A17" w:rsidP="002A6A17">
      <w:pPr>
        <w:pStyle w:val="TFReferencesSection"/>
      </w:pPr>
      <w:r>
        <w:t>(</w:t>
      </w:r>
      <w:r w:rsidRPr="002B10CA">
        <w:endnoteRef/>
      </w:r>
      <w:r>
        <w:t xml:space="preserve">) Carpenter, A. E.; Jones, T. R.; Lamprecht, M. R.; Clarke, C.; Kang, I. H.; Friman, O.; Guertin, D. A.; Chang, J. H.; Lindquist, R. A.; Moffat, J.; Golland, P.; Sabatini, D. M. CellProfiler: Image Analysis Software for Identifying and Quantifying Cell Phenotypes. </w:t>
      </w:r>
      <w:r w:rsidRPr="004E61B3">
        <w:rPr>
          <w:i/>
          <w:iCs/>
        </w:rPr>
        <w:t>Genome Biol.</w:t>
      </w:r>
      <w:r>
        <w:t xml:space="preserve"> </w:t>
      </w:r>
      <w:r w:rsidRPr="002B10CA">
        <w:rPr>
          <w:b/>
          <w:bCs/>
        </w:rPr>
        <w:t>2006</w:t>
      </w:r>
      <w:r>
        <w:t xml:space="preserve">, </w:t>
      </w:r>
      <w:r w:rsidRPr="006C07B5">
        <w:rPr>
          <w:i/>
          <w:iCs/>
        </w:rPr>
        <w:t>7</w:t>
      </w:r>
      <w:r>
        <w:t xml:space="preserve"> (10).</w:t>
      </w:r>
    </w:p>
  </w:endnote>
  <w:endnote w:id="8">
    <w:p w14:paraId="61A7E96A" w14:textId="5D8A98C8" w:rsidR="00F602F7" w:rsidRDefault="00F602F7" w:rsidP="002B10CA">
      <w:pPr>
        <w:pStyle w:val="TFReferencesSection"/>
      </w:pPr>
      <w:r>
        <w:t>(</w:t>
      </w:r>
      <w:r w:rsidRPr="00315BAC">
        <w:endnoteRef/>
      </w:r>
      <w:r>
        <w:t xml:space="preserve">) </w:t>
      </w:r>
      <w:r w:rsidRPr="001F3FF5">
        <w:t xml:space="preserve">Caicedo, J. C.; Singh, S.; Carpenter, A. E. Applications in Image-Based Profiling of Perturbations. </w:t>
      </w:r>
      <w:r w:rsidRPr="00401B2A">
        <w:rPr>
          <w:i/>
          <w:iCs/>
        </w:rPr>
        <w:t>Curr. Opin. Biotechnol.</w:t>
      </w:r>
      <w:r w:rsidRPr="001F3FF5">
        <w:t xml:space="preserve"> </w:t>
      </w:r>
      <w:r w:rsidRPr="002B10CA">
        <w:rPr>
          <w:b/>
          <w:bCs/>
        </w:rPr>
        <w:t>2016</w:t>
      </w:r>
      <w:r w:rsidRPr="001F3FF5">
        <w:t>, 134–142</w:t>
      </w:r>
    </w:p>
  </w:endnote>
  <w:endnote w:id="9">
    <w:p w14:paraId="09646247" w14:textId="77777777" w:rsidR="004A0F58" w:rsidRDefault="004A0F58" w:rsidP="004A0F58">
      <w:pPr>
        <w:pStyle w:val="TFReferencesSection"/>
      </w:pPr>
      <w:r>
        <w:t>(</w:t>
      </w:r>
      <w:r w:rsidRPr="00181093">
        <w:endnoteRef/>
      </w:r>
      <w:r>
        <w:t xml:space="preserve">) </w:t>
      </w:r>
      <w:r>
        <w:tab/>
        <w:t xml:space="preserve">Perlman, Z. E.; Slack, M. D.; Feng, Y.; Mitchison, T. J.; Wu, L. F.; Altschuler, S. J. Multidimensional Drug Profiling by Automated Microscopy. </w:t>
      </w:r>
      <w:r w:rsidRPr="00401B2A">
        <w:rPr>
          <w:i/>
          <w:iCs/>
        </w:rPr>
        <w:t>Science</w:t>
      </w:r>
      <w:r w:rsidRPr="00181093">
        <w:t xml:space="preserve"> (80-. ).</w:t>
      </w:r>
      <w:r>
        <w:t xml:space="preserve"> </w:t>
      </w:r>
      <w:r w:rsidRPr="00181093">
        <w:rPr>
          <w:b/>
          <w:bCs/>
        </w:rPr>
        <w:t>2004</w:t>
      </w:r>
      <w:r>
        <w:t xml:space="preserve">, </w:t>
      </w:r>
      <w:r w:rsidRPr="00401B2A">
        <w:rPr>
          <w:i/>
          <w:iCs/>
        </w:rPr>
        <w:t>306</w:t>
      </w:r>
      <w:r>
        <w:t xml:space="preserve"> (5699), 1194–1198. </w:t>
      </w:r>
    </w:p>
  </w:endnote>
  <w:endnote w:id="10">
    <w:p w14:paraId="2A14D1BA" w14:textId="77777777" w:rsidR="00F602F7" w:rsidRDefault="00F602F7" w:rsidP="00794C93">
      <w:pPr>
        <w:pStyle w:val="TFReferencesSection"/>
      </w:pPr>
      <w:r>
        <w:t>(</w:t>
      </w:r>
      <w:r w:rsidRPr="002B10CA">
        <w:endnoteRef/>
      </w:r>
      <w:r>
        <w:t xml:space="preserve">) Persson, M.; Løye, A. F.; Jacquet, M.; Mow, N. S.; Thougaard, A. V.; Mow, T.; Hornberg, J. J. High-Content Analysis/Screening for Predictive Toxicology: Application to Hepatotoxicity and Genotoxicity. </w:t>
      </w:r>
      <w:r w:rsidRPr="00401B2A">
        <w:rPr>
          <w:i/>
          <w:iCs/>
        </w:rPr>
        <w:t>Basic Clin. Pharmacol. Toxicol.</w:t>
      </w:r>
      <w:r>
        <w:t xml:space="preserve"> </w:t>
      </w:r>
      <w:r w:rsidRPr="002B10CA">
        <w:rPr>
          <w:b/>
          <w:bCs/>
        </w:rPr>
        <w:t>2014</w:t>
      </w:r>
      <w:r>
        <w:t xml:space="preserve">, </w:t>
      </w:r>
      <w:r w:rsidRPr="00401B2A">
        <w:rPr>
          <w:i/>
          <w:iCs/>
        </w:rPr>
        <w:t>115</w:t>
      </w:r>
      <w:r>
        <w:t xml:space="preserve"> (1), 18–23.</w:t>
      </w:r>
    </w:p>
  </w:endnote>
  <w:endnote w:id="11">
    <w:p w14:paraId="5C4F299B" w14:textId="77777777" w:rsidR="00AA301C" w:rsidRDefault="00AA301C" w:rsidP="00AA301C">
      <w:pPr>
        <w:pStyle w:val="TFReferencesSection"/>
      </w:pPr>
      <w:r>
        <w:t>(</w:t>
      </w:r>
      <w:r w:rsidRPr="002B10CA">
        <w:endnoteRef/>
      </w:r>
      <w:r>
        <w:t xml:space="preserve">) Gustafsdottir, S.; Ljosa, V.; Sokolnicki, K.; Walpita, D.; Kemp, M.; Petri Seiler, K.; Carrel, H.; Golub, T.; Schreiber, S.; Clemons, P.; Carpenter, A.; Shamji, A. Multiplex Cytological Profiling Assay to Measure Diverse Cellular States. </w:t>
      </w:r>
      <w:r w:rsidRPr="00401B2A">
        <w:rPr>
          <w:i/>
          <w:iCs/>
        </w:rPr>
        <w:t>PLoS ONE</w:t>
      </w:r>
      <w:r>
        <w:t xml:space="preserve"> </w:t>
      </w:r>
      <w:r w:rsidRPr="002B10CA">
        <w:rPr>
          <w:b/>
          <w:bCs/>
        </w:rPr>
        <w:t>2013</w:t>
      </w:r>
      <w:r>
        <w:t xml:space="preserve">, </w:t>
      </w:r>
      <w:r w:rsidRPr="00401B2A">
        <w:rPr>
          <w:i/>
          <w:iCs/>
        </w:rPr>
        <w:t>8</w:t>
      </w:r>
      <w:r>
        <w:t xml:space="preserve"> (12), e80999</w:t>
      </w:r>
    </w:p>
  </w:endnote>
  <w:endnote w:id="12">
    <w:p w14:paraId="1BE8F766" w14:textId="77777777" w:rsidR="009679DB" w:rsidRDefault="009679DB" w:rsidP="009679DB">
      <w:pPr>
        <w:pStyle w:val="TFReferencesSection"/>
      </w:pPr>
      <w:r>
        <w:t>(</w:t>
      </w:r>
      <w:r w:rsidRPr="002B10CA">
        <w:endnoteRef/>
      </w:r>
      <w:r>
        <w:t xml:space="preserve">) Scheeder, C.; Heigwer, F.; Boutros, M. Machine Learning and Image-Based Profiling in Drug Discovery. </w:t>
      </w:r>
      <w:r w:rsidRPr="00BD4428">
        <w:rPr>
          <w:i/>
          <w:iCs/>
        </w:rPr>
        <w:t xml:space="preserve">Curr. Opin. Syst. Biol. </w:t>
      </w:r>
      <w:r w:rsidRPr="002B10CA">
        <w:rPr>
          <w:b/>
          <w:bCs/>
        </w:rPr>
        <w:t>2018</w:t>
      </w:r>
      <w:r>
        <w:t xml:space="preserve">, </w:t>
      </w:r>
      <w:r w:rsidRPr="0030682F">
        <w:rPr>
          <w:i/>
          <w:iCs/>
        </w:rPr>
        <w:t>10</w:t>
      </w:r>
      <w:r>
        <w:t>, 43–52</w:t>
      </w:r>
    </w:p>
  </w:endnote>
  <w:endnote w:id="13">
    <w:p w14:paraId="2E4B0D54" w14:textId="0544C2BA" w:rsidR="00F602F7" w:rsidRDefault="00F602F7" w:rsidP="006D7F5C">
      <w:pPr>
        <w:pStyle w:val="TFReferencesSection"/>
      </w:pPr>
      <w:r>
        <w:t>(</w:t>
      </w:r>
      <w:r w:rsidRPr="002B10CA">
        <w:endnoteRef/>
      </w:r>
      <w:r>
        <w:t xml:space="preserve">) Hofmarcher, M.; Rumetshofer, E.; Clevert, D. A.; Hochreiter, S.; Klambauer, G. Accurate Prediction of Biological Assays with High-Throughput Microscopy Images and Convolutional Networks. </w:t>
      </w:r>
      <w:r w:rsidRPr="00387770">
        <w:rPr>
          <w:i/>
          <w:iCs/>
        </w:rPr>
        <w:t xml:space="preserve">J. Chem. Inf. Model.  </w:t>
      </w:r>
      <w:r w:rsidRPr="002B10CA">
        <w:rPr>
          <w:b/>
          <w:bCs/>
        </w:rPr>
        <w:t>2019</w:t>
      </w:r>
      <w:r>
        <w:t xml:space="preserve">, </w:t>
      </w:r>
      <w:r w:rsidRPr="0030682F">
        <w:rPr>
          <w:i/>
          <w:iCs/>
        </w:rPr>
        <w:t>59</w:t>
      </w:r>
      <w:r>
        <w:t xml:space="preserve"> (3), 1163–1171.</w:t>
      </w:r>
    </w:p>
  </w:endnote>
  <w:endnote w:id="14">
    <w:p w14:paraId="104B2144" w14:textId="0DFF37A3" w:rsidR="00F602F7" w:rsidRDefault="00F602F7" w:rsidP="006D7F5C">
      <w:pPr>
        <w:pStyle w:val="TFReferencesSection"/>
      </w:pPr>
      <w:r>
        <w:t>(</w:t>
      </w:r>
      <w:r w:rsidRPr="002B10CA">
        <w:endnoteRef/>
      </w:r>
      <w:r>
        <w:t xml:space="preserve">) Simm, J.; Klambauer, G.; Arany, A.; Steijaert, M.; Wegner, J. K.; Gustin, E.; Chupakhin, V.; Chong, Y. T.; Vialard, J.; Buijnsters, P.; Velter, I.; Vapirev, A.; Singh, S.; Carpenter, A. E.; Wuyts, R.; Hochreiter, S.; Moreau, Y.; Ceulemans, H. Repurposing High-Throughput Image Assays Enables Biological Activity Prediction for Drug Discovery. </w:t>
      </w:r>
      <w:r w:rsidRPr="00ED473D">
        <w:rPr>
          <w:i/>
          <w:iCs/>
        </w:rPr>
        <w:t>Cell Chem. Biol.</w:t>
      </w:r>
      <w:r>
        <w:t xml:space="preserve"> </w:t>
      </w:r>
      <w:r w:rsidRPr="002B10CA">
        <w:rPr>
          <w:b/>
          <w:bCs/>
        </w:rPr>
        <w:t>2018</w:t>
      </w:r>
      <w:r>
        <w:t xml:space="preserve">, </w:t>
      </w:r>
      <w:r w:rsidRPr="00ED473D">
        <w:rPr>
          <w:i/>
          <w:iCs/>
        </w:rPr>
        <w:t>25</w:t>
      </w:r>
      <w:r>
        <w:t xml:space="preserve"> (5), 611-618.e3</w:t>
      </w:r>
    </w:p>
  </w:endnote>
  <w:endnote w:id="15">
    <w:p w14:paraId="6CDBD35F" w14:textId="213CD35C" w:rsidR="00F602F7" w:rsidRDefault="00F602F7" w:rsidP="004458BA">
      <w:pPr>
        <w:pStyle w:val="TFReferencesSection"/>
      </w:pPr>
      <w:r>
        <w:t>(</w:t>
      </w:r>
      <w:r w:rsidRPr="002B10CA">
        <w:endnoteRef/>
      </w:r>
      <w:r>
        <w:t xml:space="preserve">) Aulner, N.; Danckaert, A.; Ihm, J. E.; Shum, D.; Shorte, S. L. Next-Generation Phenotypic Screening in Early Drug Discovery for Infectious Diseases. </w:t>
      </w:r>
      <w:r w:rsidRPr="00DF65D0">
        <w:rPr>
          <w:i/>
          <w:iCs/>
        </w:rPr>
        <w:t>Trends Parasitol</w:t>
      </w:r>
      <w:r>
        <w:t xml:space="preserve">. </w:t>
      </w:r>
      <w:r w:rsidRPr="002B10CA">
        <w:rPr>
          <w:b/>
          <w:bCs/>
        </w:rPr>
        <w:t>2019</w:t>
      </w:r>
      <w:r>
        <w:t>, 559–570</w:t>
      </w:r>
    </w:p>
  </w:endnote>
  <w:endnote w:id="16">
    <w:p w14:paraId="2458D61A" w14:textId="02997148" w:rsidR="00F602F7" w:rsidRDefault="00F602F7" w:rsidP="002B10CA">
      <w:pPr>
        <w:pStyle w:val="TFReferencesSection"/>
      </w:pPr>
      <w:r>
        <w:t>(</w:t>
      </w:r>
      <w:r w:rsidRPr="002B10CA">
        <w:endnoteRef/>
      </w:r>
      <w:r>
        <w:t xml:space="preserve">) </w:t>
      </w:r>
      <w:r w:rsidRPr="008F736A">
        <w:t>Trapotsi, -</w:t>
      </w:r>
      <w:r>
        <w:t>M. A.</w:t>
      </w:r>
      <w:r w:rsidRPr="008F736A">
        <w:t xml:space="preserve"> </w:t>
      </w:r>
      <w:r>
        <w:t>;</w:t>
      </w:r>
      <w:r w:rsidRPr="008F736A">
        <w:t xml:space="preserve"> Barrett, </w:t>
      </w:r>
      <w:r>
        <w:t>I.</w:t>
      </w:r>
      <w:r w:rsidRPr="008F736A">
        <w:t xml:space="preserve"> </w:t>
      </w:r>
      <w:r>
        <w:t>;</w:t>
      </w:r>
      <w:r w:rsidRPr="008F736A">
        <w:t xml:space="preserve"> Mervin, </w:t>
      </w:r>
      <w:r>
        <w:t>L.</w:t>
      </w:r>
      <w:r w:rsidRPr="008F736A">
        <w:t xml:space="preserve"> </w:t>
      </w:r>
      <w:r>
        <w:t>;</w:t>
      </w:r>
      <w:r w:rsidRPr="008F736A">
        <w:t xml:space="preserve"> Afzal, </w:t>
      </w:r>
      <w:r>
        <w:t>A.</w:t>
      </w:r>
      <w:r w:rsidRPr="008F736A">
        <w:t xml:space="preserve"> </w:t>
      </w:r>
      <w:r>
        <w:t>;</w:t>
      </w:r>
      <w:r w:rsidRPr="008F736A">
        <w:t xml:space="preserve"> Sturm, </w:t>
      </w:r>
      <w:r>
        <w:t>N.</w:t>
      </w:r>
      <w:r w:rsidRPr="008F736A">
        <w:t xml:space="preserve"> </w:t>
      </w:r>
      <w:r>
        <w:t>;</w:t>
      </w:r>
      <w:r w:rsidRPr="008F736A">
        <w:t xml:space="preserve"> Engkvist, </w:t>
      </w:r>
      <w:r>
        <w:t>O.</w:t>
      </w:r>
      <w:r w:rsidRPr="008F736A">
        <w:t xml:space="preserve"> </w:t>
      </w:r>
      <w:r>
        <w:t>;</w:t>
      </w:r>
      <w:r w:rsidRPr="008F736A">
        <w:t xml:space="preserve"> Bender, </w:t>
      </w:r>
      <w:r>
        <w:t>A</w:t>
      </w:r>
      <w:r w:rsidRPr="008F736A">
        <w:t>. Multitask Bioactivity Predictions Using Structural Chemical and Cell Morphology Information.</w:t>
      </w:r>
      <w:r w:rsidR="0078306F" w:rsidRPr="0078306F">
        <w:rPr>
          <w:i/>
          <w:iCs/>
        </w:rPr>
        <w:t xml:space="preserve"> </w:t>
      </w:r>
      <w:r w:rsidR="0078306F">
        <w:rPr>
          <w:i/>
          <w:iCs/>
        </w:rPr>
        <w:t>C</w:t>
      </w:r>
      <w:r w:rsidR="0078306F" w:rsidRPr="00FD6578">
        <w:rPr>
          <w:i/>
          <w:iCs/>
        </w:rPr>
        <w:t>hemrxiv</w:t>
      </w:r>
      <w:r>
        <w:t xml:space="preserve"> </w:t>
      </w:r>
      <w:r w:rsidRPr="002B10CA">
        <w:rPr>
          <w:b/>
          <w:bCs/>
        </w:rPr>
        <w:t>2020</w:t>
      </w:r>
      <w:r w:rsidR="0078306F">
        <w:t>,</w:t>
      </w:r>
      <w:r w:rsidRPr="008F736A">
        <w:t xml:space="preserve"> 10.26434/</w:t>
      </w:r>
      <w:r w:rsidRPr="00FD6578">
        <w:rPr>
          <w:i/>
          <w:iCs/>
        </w:rPr>
        <w:t>chemrxiv</w:t>
      </w:r>
      <w:r w:rsidRPr="008F736A">
        <w:t>.12571241.</w:t>
      </w:r>
      <w:r w:rsidR="0078306F">
        <w:t xml:space="preserve"> </w:t>
      </w:r>
    </w:p>
  </w:endnote>
  <w:endnote w:id="17">
    <w:p w14:paraId="34CC1BD5" w14:textId="42D9FB29" w:rsidR="00F602F7" w:rsidRDefault="00F602F7" w:rsidP="002B10CA">
      <w:pPr>
        <w:pStyle w:val="TFReferencesSection"/>
      </w:pPr>
      <w:r>
        <w:t>(</w:t>
      </w:r>
      <w:r w:rsidRPr="002B10CA">
        <w:endnoteRef/>
      </w:r>
      <w:r>
        <w:t xml:space="preserve">) Galluzzi, L.; Bravo-San Pedro, J. M.; Vitale, I.; Aaronson, S. A.; Abrams, J. M.; Adam, D.; Al-nemri, E. S.; Altucci, L.; Andrews, D.; Annicchiarico-Petruzzelli, M.; Baehrecke, E. H.; Bazan, N. G.; Bertrand, M. J.; Bianchi, K.; Blagosklonny, M. v.; Blomgren, K.; Borner, C.; Bredesen, D. E.; Brenner, C.; Campanella, M.; Candi, E.; Cecconi, F.; Chan, F. K.; Chandel, N. S.; Cheng, E. H.; Chipuk, J. E.; Cidlowski, J. A.; Ciechanover, A.; Dawson, T. M.; Dawson, V. L.; de Laurenzi, V.; de Maria, R.; Debatin, K. M.; di Daniele, N.; Dixit, V. M.; Dynlacht, B. D.; El-Deiry, W. S.; Fim-ia, G. M.; Flavell, R. A.; Fulda, S.; Garrido, C.; Gougeon, M. L.; Green, D. R.; Gronemeyer, H.; Hajnoczky, G.; Hardwick, J. M.; Hengartner, M. O.; Ichijo, H.; Joseph, B.; Jost, P. J.; Kaufmann, T.; Kepp, O.; Klionsky, D. J.; Knight, R. A.; Kumar, S.; Lemasters, J. J.; Levine, B.; Linkermann, A.; Lipton, S. A.; Lockshin, R. A.; López-Otín, C.; Lugli, E.; Madeo, F.; Malorni, W.; Marine, J. C.; Martin, S. J.; Martinou, J. C.; Medema, J. P.; Meier, P.; Melino, S.; Mizushima, N.; Moll, U.; Muñoz-Pinedo, C.; Nuñez, G.; Oberst, A.; Panaretakis, T.; Penninger, J. M.; Peter, M. E.; Piacen-tini, M.; Pinton, P.; Prehn, J. H.; Puthalakath, H.; Rabinovich, G. A.; Ravichandran, K. S.; Riz-zuto, R.; Rodrigues, C. M.; Rubinsztein, D. C.; Rudel, T.; Shi, Y.; Simon, H. U.; Stockwell, B. R.; Szabadkai, G.; Tait, S. W.; Tang, H. L.; Tavernarakis, N.; Tsujimoto, Y.; vanden Berghe, T.; Vandenabeele, P.; Villunger, A.; Wagner, E. F.; Walczak, H.; White, E.; Wood, W. G.; Yuan, J.; Zakeri, Z.; Zhivotovsky, B.; Melino, G.; Kroemer, G. Essential versus Accessory Aspects of Cell Death: Recommendations of the NCCD 2015. </w:t>
      </w:r>
      <w:r w:rsidRPr="0026770E">
        <w:rPr>
          <w:i/>
          <w:iCs/>
        </w:rPr>
        <w:t>Cell Death Differ</w:t>
      </w:r>
      <w:r>
        <w:t xml:space="preserve">. </w:t>
      </w:r>
      <w:r w:rsidRPr="002B10CA">
        <w:rPr>
          <w:b/>
          <w:bCs/>
        </w:rPr>
        <w:t>2015</w:t>
      </w:r>
      <w:r>
        <w:t>, 58–73.</w:t>
      </w:r>
    </w:p>
  </w:endnote>
  <w:endnote w:id="18">
    <w:p w14:paraId="23C5E4B0" w14:textId="74BC97A0" w:rsidR="00F602F7" w:rsidRDefault="00F602F7" w:rsidP="002B10CA">
      <w:pPr>
        <w:pStyle w:val="TFReferencesSection"/>
      </w:pPr>
      <w:r>
        <w:t>(</w:t>
      </w:r>
      <w:r w:rsidRPr="002B10CA">
        <w:endnoteRef/>
      </w:r>
      <w:r>
        <w:t xml:space="preserve">) Allen, C. H. G.; Koutsoukas, A.; Cortés-Ciriano, I.; Murrell, D. S.; Malliavin, T. E.; Glen, R. C.; Bender, A. Improving the Prediction of Organism-Level Toxicity through Integration of Chemi-cal, Protein Target and Cytotoxicity QHTS Data. </w:t>
      </w:r>
      <w:r w:rsidRPr="00AB45E2">
        <w:rPr>
          <w:i/>
          <w:iCs/>
        </w:rPr>
        <w:t>Toxicol. Res.</w:t>
      </w:r>
      <w:r>
        <w:t xml:space="preserve"> </w:t>
      </w:r>
      <w:r w:rsidRPr="002B10CA">
        <w:rPr>
          <w:b/>
          <w:bCs/>
        </w:rPr>
        <w:t>2016</w:t>
      </w:r>
      <w:r>
        <w:t xml:space="preserve">, </w:t>
      </w:r>
      <w:r w:rsidRPr="00AB45E2">
        <w:rPr>
          <w:i/>
          <w:iCs/>
        </w:rPr>
        <w:t>5</w:t>
      </w:r>
      <w:r>
        <w:t xml:space="preserve"> (3), 883–894</w:t>
      </w:r>
    </w:p>
  </w:endnote>
  <w:endnote w:id="19">
    <w:p w14:paraId="07461D57" w14:textId="767C7F32" w:rsidR="00F602F7" w:rsidRDefault="00F602F7" w:rsidP="002B10CA">
      <w:pPr>
        <w:pStyle w:val="TFReferencesSection"/>
      </w:pPr>
      <w:r>
        <w:t>(</w:t>
      </w:r>
      <w:r w:rsidRPr="002B10CA">
        <w:endnoteRef/>
      </w:r>
      <w:r>
        <w:t xml:space="preserve">) Liu, J.; Mansouri, K.; Judson, R. S.; Martin, M. T.; Hong, H.; Chen, M.; Xu, X.; Thomas, R. S.; Shah, I. Predicting Hepatotoxicity Using ToxCast in Vitro Bioactivity and Chemical Structure. </w:t>
      </w:r>
      <w:r w:rsidRPr="00AB45E2">
        <w:rPr>
          <w:i/>
          <w:iCs/>
        </w:rPr>
        <w:t xml:space="preserve">Chem. Res. Toxicol. </w:t>
      </w:r>
      <w:r w:rsidRPr="002B10CA">
        <w:rPr>
          <w:b/>
          <w:bCs/>
        </w:rPr>
        <w:t>2015</w:t>
      </w:r>
      <w:r>
        <w:t xml:space="preserve">, </w:t>
      </w:r>
      <w:r w:rsidRPr="00AB45E2">
        <w:rPr>
          <w:i/>
          <w:iCs/>
        </w:rPr>
        <w:t>28</w:t>
      </w:r>
      <w:r>
        <w:t xml:space="preserve"> (4), 738–751.</w:t>
      </w:r>
    </w:p>
  </w:endnote>
  <w:endnote w:id="20">
    <w:p w14:paraId="1F9A8458" w14:textId="67DEE46C" w:rsidR="00683397" w:rsidRDefault="00683397" w:rsidP="00683397">
      <w:pPr>
        <w:pStyle w:val="TFReferencesSection"/>
      </w:pPr>
      <w:r>
        <w:t>(</w:t>
      </w:r>
      <w:r w:rsidRPr="002B10CA">
        <w:endnoteRef/>
      </w:r>
      <w:r>
        <w:t xml:space="preserve">) Halle, W. The Registry of Cytotoxicity: Toxicity Testing in Cell Cultures to Predict Acute Tox-icity (LD50) and to Reduce Testing in Animals. </w:t>
      </w:r>
      <w:r w:rsidR="00281788" w:rsidRPr="00281788">
        <w:rPr>
          <w:i/>
          <w:iCs/>
        </w:rPr>
        <w:t>Altern</w:t>
      </w:r>
      <w:r w:rsidR="00281788">
        <w:rPr>
          <w:i/>
          <w:iCs/>
        </w:rPr>
        <w:t>.</w:t>
      </w:r>
      <w:r w:rsidR="00281788" w:rsidRPr="00281788">
        <w:rPr>
          <w:i/>
          <w:iCs/>
        </w:rPr>
        <w:t xml:space="preserve"> Lab</w:t>
      </w:r>
      <w:r w:rsidR="00281788">
        <w:rPr>
          <w:i/>
          <w:iCs/>
        </w:rPr>
        <w:t>.</w:t>
      </w:r>
      <w:r w:rsidR="00281788" w:rsidRPr="00281788">
        <w:rPr>
          <w:i/>
          <w:iCs/>
        </w:rPr>
        <w:t xml:space="preserve"> Anim</w:t>
      </w:r>
      <w:r>
        <w:t xml:space="preserve">. </w:t>
      </w:r>
      <w:r w:rsidRPr="002B10CA">
        <w:rPr>
          <w:b/>
          <w:bCs/>
        </w:rPr>
        <w:t>2003</w:t>
      </w:r>
      <w:r>
        <w:t>, 89–198.</w:t>
      </w:r>
    </w:p>
  </w:endnote>
  <w:endnote w:id="21">
    <w:p w14:paraId="455735FC" w14:textId="0ED9EBA5" w:rsidR="00F602F7" w:rsidRDefault="00F602F7" w:rsidP="002B10CA">
      <w:pPr>
        <w:pStyle w:val="TFReferencesSection"/>
      </w:pPr>
      <w:r>
        <w:t>(</w:t>
      </w:r>
      <w:r w:rsidRPr="002B10CA">
        <w:endnoteRef/>
      </w:r>
      <w:r>
        <w:t>) Yin, Z.; Ai, H.; Zhang, L.; Ren, G.; Wang, Y.; Zhao, Q.; Liu, H. Predicting the Cytotoxicity of Chemicals Using Ensemble Learning Methods and Molecular Fingerprints.</w:t>
      </w:r>
      <w:r w:rsidRPr="007F28B1">
        <w:t xml:space="preserve"> </w:t>
      </w:r>
      <w:r w:rsidRPr="007F28B1">
        <w:rPr>
          <w:i/>
          <w:iCs/>
        </w:rPr>
        <w:t>J. Appl. Toxicol.</w:t>
      </w:r>
      <w:r w:rsidRPr="007F28B1">
        <w:t xml:space="preserve"> </w:t>
      </w:r>
      <w:r w:rsidRPr="002B10CA">
        <w:rPr>
          <w:b/>
          <w:bCs/>
        </w:rPr>
        <w:t>2019</w:t>
      </w:r>
      <w:r>
        <w:t>, 1366–1377</w:t>
      </w:r>
    </w:p>
  </w:endnote>
  <w:endnote w:id="22">
    <w:p w14:paraId="166BE187" w14:textId="04FB9225" w:rsidR="00F602F7" w:rsidRDefault="00F602F7" w:rsidP="002B10CA">
      <w:pPr>
        <w:pStyle w:val="TFReferencesSection"/>
      </w:pPr>
      <w:r>
        <w:t>(</w:t>
      </w:r>
      <w:r w:rsidRPr="002B10CA">
        <w:endnoteRef/>
      </w:r>
      <w:r>
        <w:t xml:space="preserve">) Svensson, F.; Norinder, U.; Bender, A. Modelling Compound Cytotoxicity Using Conformal Prediction and PubChem HTS Data. </w:t>
      </w:r>
      <w:r w:rsidRPr="003A2039">
        <w:rPr>
          <w:i/>
          <w:iCs/>
        </w:rPr>
        <w:t>Toxicol. Res.</w:t>
      </w:r>
      <w:r w:rsidRPr="003A2039">
        <w:t xml:space="preserve"> </w:t>
      </w:r>
      <w:r w:rsidRPr="003A2039">
        <w:rPr>
          <w:b/>
          <w:bCs/>
        </w:rPr>
        <w:t>2017</w:t>
      </w:r>
      <w:r>
        <w:t xml:space="preserve">, </w:t>
      </w:r>
      <w:r w:rsidRPr="003A2039">
        <w:rPr>
          <w:i/>
          <w:iCs/>
        </w:rPr>
        <w:t>6</w:t>
      </w:r>
      <w:r>
        <w:t xml:space="preserve"> (1), 73–80.</w:t>
      </w:r>
    </w:p>
  </w:endnote>
  <w:endnote w:id="23">
    <w:p w14:paraId="7E864D80" w14:textId="2526A369" w:rsidR="00F602F7" w:rsidRDefault="00F602F7" w:rsidP="002B10CA">
      <w:pPr>
        <w:pStyle w:val="TFReferencesSection"/>
      </w:pPr>
      <w:r>
        <w:t>(</w:t>
      </w:r>
      <w:r w:rsidRPr="002B10CA">
        <w:endnoteRef/>
      </w:r>
      <w:r>
        <w:t>) Langdon, S. R.; Mulgrew, J.; Paolini, G. v.; van Hoorn, W. P. Predicting Cytotoxicity from Heterogeneous Data Sources with Bayesian Learning</w:t>
      </w:r>
      <w:r w:rsidRPr="005A0A23">
        <w:rPr>
          <w:i/>
          <w:iCs/>
        </w:rPr>
        <w:t>. J. Cheminf.</w:t>
      </w:r>
      <w:r w:rsidRPr="005A0A23">
        <w:t xml:space="preserve"> </w:t>
      </w:r>
      <w:r w:rsidRPr="002B10CA">
        <w:rPr>
          <w:b/>
          <w:bCs/>
        </w:rPr>
        <w:t>2010</w:t>
      </w:r>
      <w:r>
        <w:t xml:space="preserve">, </w:t>
      </w:r>
      <w:r w:rsidRPr="005A0A23">
        <w:rPr>
          <w:i/>
          <w:iCs/>
        </w:rPr>
        <w:t>2</w:t>
      </w:r>
      <w:r>
        <w:t xml:space="preserve"> (1).</w:t>
      </w:r>
    </w:p>
  </w:endnote>
  <w:endnote w:id="24">
    <w:p w14:paraId="427928BF" w14:textId="2F696C0A" w:rsidR="00F602F7" w:rsidRDefault="00F602F7" w:rsidP="002B10CA">
      <w:pPr>
        <w:pStyle w:val="TFReferencesSection"/>
      </w:pPr>
      <w:r>
        <w:t>(</w:t>
      </w:r>
      <w:r w:rsidRPr="002B10CA">
        <w:endnoteRef/>
      </w:r>
      <w:r>
        <w:t xml:space="preserve">) Webel, H. E.; Kimber, T. B.; Radetzki, S.; Neuenschwander, M.; Nazaré, M.; Volkamer, A. Re-vealing Cytotoxic Substructures in Molecules Using Deep Learning. </w:t>
      </w:r>
      <w:r w:rsidR="00457A94" w:rsidRPr="00457A94">
        <w:rPr>
          <w:i/>
          <w:iCs/>
        </w:rPr>
        <w:t xml:space="preserve">J. Comput. Aided Mol. Des. </w:t>
      </w:r>
      <w:r w:rsidRPr="002B10CA">
        <w:rPr>
          <w:b/>
          <w:bCs/>
        </w:rPr>
        <w:t>2020</w:t>
      </w:r>
      <w:r>
        <w:t xml:space="preserve">, </w:t>
      </w:r>
      <w:r w:rsidRPr="004A754E">
        <w:rPr>
          <w:i/>
          <w:iCs/>
        </w:rPr>
        <w:t>34</w:t>
      </w:r>
      <w:r>
        <w:t xml:space="preserve"> (7), 731–746.</w:t>
      </w:r>
    </w:p>
  </w:endnote>
  <w:endnote w:id="25">
    <w:p w14:paraId="51198178" w14:textId="4445237D" w:rsidR="00F602F7" w:rsidRDefault="00F602F7" w:rsidP="002B10CA">
      <w:pPr>
        <w:pStyle w:val="TFReferencesSection"/>
      </w:pPr>
      <w:r>
        <w:t>(</w:t>
      </w:r>
      <w:r w:rsidRPr="002B10CA">
        <w:endnoteRef/>
      </w:r>
      <w:r>
        <w:t xml:space="preserve">) Nakano, T.; Brown, J. B. Prediction of Compound Cytotoxicity Based on Compound Structures and Cell Line Molecular Characteristics. </w:t>
      </w:r>
      <w:r w:rsidR="003565B8" w:rsidRPr="003565B8">
        <w:rPr>
          <w:i/>
          <w:iCs/>
        </w:rPr>
        <w:t xml:space="preserve">J. Comput. Aided Chem. </w:t>
      </w:r>
      <w:r w:rsidRPr="002B10CA">
        <w:rPr>
          <w:b/>
          <w:bCs/>
        </w:rPr>
        <w:t>2020</w:t>
      </w:r>
      <w:r>
        <w:t xml:space="preserve">, </w:t>
      </w:r>
      <w:r w:rsidRPr="004A754E">
        <w:rPr>
          <w:i/>
          <w:iCs/>
        </w:rPr>
        <w:t>21</w:t>
      </w:r>
      <w:r>
        <w:t xml:space="preserve"> (0), 1–10.</w:t>
      </w:r>
    </w:p>
  </w:endnote>
  <w:endnote w:id="26">
    <w:p w14:paraId="4BF231A2" w14:textId="18BBB176" w:rsidR="00F602F7" w:rsidRDefault="00F602F7" w:rsidP="002B10CA">
      <w:pPr>
        <w:pStyle w:val="TFReferencesSection"/>
      </w:pPr>
      <w:r>
        <w:t>(</w:t>
      </w:r>
      <w:r w:rsidRPr="002B10CA">
        <w:endnoteRef/>
      </w:r>
      <w:r>
        <w:t xml:space="preserve">) Wu, Y.; Wang, G. Machine Learning Based Toxicity Prediction: From Chemical Structural De-scription to Transcriptome Analysis. </w:t>
      </w:r>
      <w:r w:rsidRPr="00A70933">
        <w:rPr>
          <w:i/>
          <w:iCs/>
          <w:szCs w:val="24"/>
        </w:rPr>
        <w:t>Int</w:t>
      </w:r>
      <w:r w:rsidRPr="00A70933">
        <w:rPr>
          <w:rFonts w:eastAsia="Arial Unicode MS"/>
          <w:i/>
          <w:iCs/>
          <w:szCs w:val="24"/>
        </w:rPr>
        <w:t xml:space="preserve">. J. Mol. Sci. </w:t>
      </w:r>
      <w:r w:rsidRPr="002B10CA">
        <w:rPr>
          <w:b/>
          <w:bCs/>
        </w:rPr>
        <w:t>2018</w:t>
      </w:r>
      <w:r>
        <w:t xml:space="preserve">, </w:t>
      </w:r>
      <w:r w:rsidRPr="00A70933">
        <w:rPr>
          <w:i/>
          <w:iCs/>
        </w:rPr>
        <w:t>19</w:t>
      </w:r>
      <w:r>
        <w:t xml:space="preserve"> (8), 2358</w:t>
      </w:r>
    </w:p>
  </w:endnote>
  <w:endnote w:id="27">
    <w:p w14:paraId="5FCF9595" w14:textId="59E0956D" w:rsidR="00F602F7" w:rsidRDefault="00F602F7" w:rsidP="002B10CA">
      <w:pPr>
        <w:pStyle w:val="TFReferencesSection"/>
      </w:pPr>
      <w:r>
        <w:t>(</w:t>
      </w:r>
      <w:r w:rsidRPr="002B10CA">
        <w:endnoteRef/>
      </w:r>
      <w:r>
        <w:t>) Martin, H. L.; Adams, M.; Higgins, J.; Bond, J.; Morrison, E. E.; Bell, S. M.; Warriner, S.; Nelson, A.; Tomlinson, D. C. High-Content, High-Throughput Screening for the Identification of Cytotoxic Co</w:t>
      </w:r>
      <w:r w:rsidR="00EF2772">
        <w:t>m</w:t>
      </w:r>
      <w:r>
        <w:t xml:space="preserve">pounds Based on Cell Morphology and Cell Proliferation Markers. </w:t>
      </w:r>
      <w:r w:rsidRPr="00A70933">
        <w:rPr>
          <w:i/>
          <w:iCs/>
        </w:rPr>
        <w:t>PLoS ONE</w:t>
      </w:r>
      <w:r>
        <w:t xml:space="preserve"> </w:t>
      </w:r>
      <w:r w:rsidRPr="002B10CA">
        <w:rPr>
          <w:b/>
          <w:bCs/>
        </w:rPr>
        <w:t>2014</w:t>
      </w:r>
      <w:r>
        <w:t xml:space="preserve">, </w:t>
      </w:r>
      <w:r w:rsidRPr="00A70933">
        <w:rPr>
          <w:i/>
          <w:iCs/>
        </w:rPr>
        <w:t>9</w:t>
      </w:r>
      <w:r>
        <w:t xml:space="preserve"> (2), e88338</w:t>
      </w:r>
    </w:p>
  </w:endnote>
  <w:endnote w:id="28">
    <w:p w14:paraId="0798E734" w14:textId="0263D9CE" w:rsidR="00F602F7" w:rsidRDefault="00F602F7" w:rsidP="002B10CA">
      <w:pPr>
        <w:pStyle w:val="TFReferencesSection"/>
      </w:pPr>
      <w:r>
        <w:t>(</w:t>
      </w:r>
      <w:r w:rsidRPr="002B10CA">
        <w:endnoteRef/>
      </w:r>
      <w:r>
        <w:t xml:space="preserve">) </w:t>
      </w:r>
      <w:r w:rsidRPr="00973502">
        <w:t xml:space="preserve">O’Brien, P. J.; Irwin, W.; Diaz, D.; Howard-Cofield, E.; Krejsa, C. M.; Slaughter, M. R.; Gao, B.; Kaludercic, N.; Angeline, A.; Bernardi, P.; Brain, P.; Hougham, C. High Concordance of Drug-Induced Human Hepatotoxicity with in Vitro Cytotoxicity Measured in a Novel Cell-Based Model Using High Content Screening. </w:t>
      </w:r>
      <w:r w:rsidRPr="00A70933">
        <w:rPr>
          <w:i/>
          <w:iCs/>
        </w:rPr>
        <w:t>Arch. Toxicol.</w:t>
      </w:r>
      <w:r w:rsidRPr="00973502">
        <w:t xml:space="preserve"> </w:t>
      </w:r>
      <w:r w:rsidRPr="002B10CA">
        <w:rPr>
          <w:b/>
          <w:bCs/>
        </w:rPr>
        <w:t>2006</w:t>
      </w:r>
      <w:r w:rsidRPr="00973502">
        <w:t xml:space="preserve">, </w:t>
      </w:r>
      <w:r w:rsidRPr="003776C3">
        <w:rPr>
          <w:i/>
          <w:iCs/>
        </w:rPr>
        <w:t>80</w:t>
      </w:r>
      <w:r w:rsidRPr="00973502">
        <w:t xml:space="preserve"> (9), 580–604.</w:t>
      </w:r>
    </w:p>
  </w:endnote>
  <w:endnote w:id="29">
    <w:p w14:paraId="5D5A835D" w14:textId="71771A00" w:rsidR="00F602F7" w:rsidRDefault="00F602F7" w:rsidP="002B10CA">
      <w:pPr>
        <w:pStyle w:val="TFReferencesSection"/>
      </w:pPr>
      <w:r>
        <w:t>(</w:t>
      </w:r>
      <w:r w:rsidRPr="002B10CA">
        <w:endnoteRef/>
      </w:r>
      <w:r>
        <w:t xml:space="preserve">) Mervin, L. H.; Cao, Q.; Barrett, I. P.; Firth, M. A.; Murray, D.; McWilliams, L.; Haddrick, M.; Wigglesworth, M.; Engkvist, O.; Bender, A. Understanding Cytotoxicity and Cytostaticity in a High-Throughput Screening Collection. </w:t>
      </w:r>
      <w:r w:rsidRPr="0080219B">
        <w:rPr>
          <w:i/>
          <w:iCs/>
        </w:rPr>
        <w:t>Chem. Biol.</w:t>
      </w:r>
      <w:r w:rsidRPr="0080219B">
        <w:t xml:space="preserve"> </w:t>
      </w:r>
      <w:r w:rsidRPr="002B10CA">
        <w:rPr>
          <w:b/>
          <w:bCs/>
        </w:rPr>
        <w:t>2016</w:t>
      </w:r>
      <w:r>
        <w:t xml:space="preserve">, </w:t>
      </w:r>
      <w:r w:rsidRPr="0080219B">
        <w:rPr>
          <w:i/>
          <w:iCs/>
        </w:rPr>
        <w:t>11</w:t>
      </w:r>
      <w:r>
        <w:t xml:space="preserve"> (11), 3007–3023</w:t>
      </w:r>
    </w:p>
  </w:endnote>
  <w:endnote w:id="30">
    <w:p w14:paraId="5562EB15" w14:textId="5154DD4D" w:rsidR="00F602F7" w:rsidRDefault="00F602F7" w:rsidP="002B10CA">
      <w:pPr>
        <w:pStyle w:val="TFReferencesSection"/>
      </w:pPr>
      <w:r>
        <w:t>(</w:t>
      </w:r>
      <w:r w:rsidRPr="002B10CA">
        <w:endnoteRef/>
      </w:r>
      <w:r>
        <w:t>) GigaDB Dataset - DOI 10.5524/100351 - Supporting data for "</w:t>
      </w:r>
      <w:r w:rsidRPr="00B71989">
        <w:t>A Dataset of Images and Morphological Profiles of 30 000 Small-Molecule Treatments Using the Cell Painting Assay</w:t>
      </w:r>
      <w:r>
        <w:t xml:space="preserve">” http://gigadb.org/dataset/100351 (accessed Jul 22, </w:t>
      </w:r>
      <w:r w:rsidRPr="002B10CA">
        <w:rPr>
          <w:b/>
          <w:bCs/>
        </w:rPr>
        <w:t>2020</w:t>
      </w:r>
      <w:r>
        <w:t>).</w:t>
      </w:r>
    </w:p>
  </w:endnote>
  <w:endnote w:id="31">
    <w:p w14:paraId="148F45D5" w14:textId="3F21C779" w:rsidR="00F602F7" w:rsidRDefault="00F602F7" w:rsidP="002B10CA">
      <w:pPr>
        <w:pStyle w:val="TFReferencesSection"/>
      </w:pPr>
      <w:r>
        <w:t>(</w:t>
      </w:r>
      <w:r w:rsidRPr="002B10CA">
        <w:endnoteRef/>
      </w:r>
      <w:r>
        <w:t xml:space="preserve">) Manuals | CellProfiler https://cellprofiler.org/manuals (accessed Jul 22, </w:t>
      </w:r>
      <w:r w:rsidRPr="002B10CA">
        <w:rPr>
          <w:b/>
          <w:bCs/>
        </w:rPr>
        <w:t>2020</w:t>
      </w:r>
      <w:r>
        <w:t>).</w:t>
      </w:r>
    </w:p>
  </w:endnote>
  <w:endnote w:id="32">
    <w:p w14:paraId="299E1A88" w14:textId="77777777" w:rsidR="007448BB" w:rsidRDefault="007448BB" w:rsidP="007448BB">
      <w:pPr>
        <w:pStyle w:val="TFReferencesSection"/>
      </w:pPr>
      <w:r>
        <w:t>(</w:t>
      </w:r>
      <w:r w:rsidRPr="0078751B">
        <w:endnoteRef/>
      </w:r>
      <w:r>
        <w:t xml:space="preserve">) </w:t>
      </w:r>
      <w:r w:rsidRPr="0078751B">
        <w:t xml:space="preserve">Lapins, M.; Spjuth, O. Evaluation of Gene Expression and Phenotypic Profiling Data as Quantitative Descriptors for Predicting Drug Targets and Mechanisms of Action. </w:t>
      </w:r>
      <w:r w:rsidRPr="0078751B">
        <w:rPr>
          <w:i/>
          <w:iCs/>
        </w:rPr>
        <w:t>bioRxiv</w:t>
      </w:r>
      <w:r w:rsidRPr="0078751B">
        <w:t xml:space="preserve"> </w:t>
      </w:r>
      <w:r w:rsidRPr="0078751B">
        <w:rPr>
          <w:b/>
          <w:bCs/>
        </w:rPr>
        <w:t>2019</w:t>
      </w:r>
      <w:r w:rsidRPr="0078751B">
        <w:t>, 580654.</w:t>
      </w:r>
    </w:p>
  </w:endnote>
  <w:endnote w:id="33">
    <w:p w14:paraId="4855671A" w14:textId="77777777" w:rsidR="007448BB" w:rsidRDefault="007448BB" w:rsidP="007448BB">
      <w:pPr>
        <w:pStyle w:val="TFReferencesSection"/>
      </w:pPr>
      <w:r>
        <w:t>(</w:t>
      </w:r>
      <w:r w:rsidRPr="002B10CA">
        <w:endnoteRef/>
      </w:r>
      <w:r>
        <w:t xml:space="preserve">) Caicedo, J. C.; Cooper, S.; Heigwer, F.; Warchal, S.; Qiu, P.; Molnar, C.; Vasilevich, A. S.; Bar-ry, J. D.; Bansal, H. S.; Kraus, O.; Wawer, M.; Paavolainen, L.; Herrmann, M. D.; Rohban, M.; Hung, J.; Hennig, H.; Concannon, J.; Smith, I.; Clemons, P. A.; Singh, S.; Rees, P.; Horvath, P.; Linington, R. G.; Carpenter, A. E. Data-Analysis Strategies for Image-Based Cell Profiling. </w:t>
      </w:r>
      <w:r w:rsidRPr="00D12B7D">
        <w:rPr>
          <w:rFonts w:eastAsia="Arial Unicode MS"/>
          <w:i/>
          <w:iCs/>
          <w:szCs w:val="24"/>
        </w:rPr>
        <w:t>Nat.</w:t>
      </w:r>
      <w:r w:rsidRPr="00D12B7D">
        <w:rPr>
          <w:rFonts w:eastAsia="Arial Unicode MS"/>
          <w:szCs w:val="24"/>
        </w:rPr>
        <w:t xml:space="preserve"> </w:t>
      </w:r>
      <w:r w:rsidRPr="00D12B7D">
        <w:rPr>
          <w:rFonts w:eastAsia="Arial Unicode MS"/>
          <w:i/>
          <w:iCs/>
          <w:szCs w:val="24"/>
        </w:rPr>
        <w:t>Methods</w:t>
      </w:r>
      <w:r w:rsidRPr="002B10CA">
        <w:rPr>
          <w:b/>
          <w:bCs/>
        </w:rPr>
        <w:t xml:space="preserve"> 2017</w:t>
      </w:r>
      <w:r>
        <w:t xml:space="preserve">, </w:t>
      </w:r>
      <w:r w:rsidRPr="00D12B7D">
        <w:rPr>
          <w:i/>
          <w:iCs/>
        </w:rPr>
        <w:t>14</w:t>
      </w:r>
      <w:r>
        <w:t xml:space="preserve"> (9), 849–863</w:t>
      </w:r>
    </w:p>
  </w:endnote>
  <w:endnote w:id="34">
    <w:p w14:paraId="3373F0BB" w14:textId="79D72933" w:rsidR="00F602F7" w:rsidRDefault="00F602F7" w:rsidP="002B10CA">
      <w:pPr>
        <w:pStyle w:val="TFReferencesSection"/>
      </w:pPr>
      <w:r>
        <w:t>(</w:t>
      </w:r>
      <w:r w:rsidRPr="002B10CA">
        <w:endnoteRef/>
      </w:r>
      <w:r>
        <w:t>) Wu, Z.; Ramsundar, B.; Feinberg, E. N.; Gomes, J.; Geniesse, C.; Pappu, A. S.; Leswing, K.; Pande, V. MoleculeNet: A Benchmark for Molecular Machine Learning</w:t>
      </w:r>
      <w:r w:rsidRPr="0010698E">
        <w:rPr>
          <w:szCs w:val="24"/>
        </w:rPr>
        <w:t xml:space="preserve">. </w:t>
      </w:r>
      <w:r w:rsidRPr="0010698E">
        <w:rPr>
          <w:rFonts w:eastAsia="Arial Unicode MS"/>
          <w:i/>
          <w:iCs/>
          <w:szCs w:val="24"/>
        </w:rPr>
        <w:t>Chem. Sci.</w:t>
      </w:r>
      <w:r w:rsidRPr="0010698E">
        <w:rPr>
          <w:rFonts w:eastAsia="Arial Unicode MS"/>
          <w:szCs w:val="24"/>
        </w:rPr>
        <w:t xml:space="preserve"> </w:t>
      </w:r>
      <w:r w:rsidRPr="0010698E">
        <w:rPr>
          <w:b/>
          <w:bCs/>
          <w:szCs w:val="24"/>
        </w:rPr>
        <w:t>2018</w:t>
      </w:r>
      <w:r>
        <w:t xml:space="preserve">, </w:t>
      </w:r>
      <w:r w:rsidRPr="00D12B7D">
        <w:rPr>
          <w:i/>
          <w:iCs/>
        </w:rPr>
        <w:t>9</w:t>
      </w:r>
      <w:r>
        <w:t xml:space="preserve"> (2), 513–530.</w:t>
      </w:r>
    </w:p>
  </w:endnote>
  <w:endnote w:id="35">
    <w:p w14:paraId="4AE0D562" w14:textId="37A9881C" w:rsidR="00F602F7" w:rsidRDefault="00F602F7" w:rsidP="002B10CA">
      <w:pPr>
        <w:pStyle w:val="TFReferencesSection"/>
      </w:pPr>
      <w:r>
        <w:t>(</w:t>
      </w:r>
      <w:r w:rsidRPr="002B10CA">
        <w:endnoteRef/>
      </w:r>
      <w:r>
        <w:t xml:space="preserve">) Datasets http://moleculenet.ai/datasets-1 (accessed Jul 22, </w:t>
      </w:r>
      <w:r w:rsidRPr="002B10CA">
        <w:rPr>
          <w:b/>
          <w:bCs/>
        </w:rPr>
        <w:t>2020</w:t>
      </w:r>
      <w:r>
        <w:t>).</w:t>
      </w:r>
    </w:p>
  </w:endnote>
  <w:endnote w:id="36">
    <w:p w14:paraId="1A36A302" w14:textId="77021C30" w:rsidR="00F602F7" w:rsidRPr="0017182B" w:rsidRDefault="00F602F7" w:rsidP="0017182B">
      <w:pPr>
        <w:pStyle w:val="TFReferencesSection"/>
        <w:rPr>
          <w:rFonts w:eastAsia="Arial Unicode MS"/>
          <w:sz w:val="18"/>
          <w:szCs w:val="18"/>
        </w:rPr>
      </w:pPr>
      <w:r>
        <w:t>(</w:t>
      </w:r>
      <w:r w:rsidRPr="002B10CA">
        <w:endnoteRef/>
      </w:r>
      <w:r>
        <w:t>) Richard, A. M.; Judson, R. S.; Houck, K. A.; Grulke, C. M.; Volarath, P.; Thillainadarajah, I.; Yang, C.; Rathman, J.; Martin, M. T.; Wambaugh, J. F.; Knudsen, T. B.; Kancherla, J.; Mansouri, K.; Patlewicz, G.; Williams, A. J.; Little, S. B.; Crofton, K. M.; Thomas, R. S. ToxCast Chemical Landscape: Paving the Road to 21st Century Toxicology</w:t>
      </w:r>
      <w:r w:rsidRPr="0017182B">
        <w:rPr>
          <w:szCs w:val="24"/>
        </w:rPr>
        <w:t>.</w:t>
      </w:r>
      <w:r>
        <w:rPr>
          <w:szCs w:val="24"/>
        </w:rPr>
        <w:t xml:space="preserve"> </w:t>
      </w:r>
      <w:r w:rsidRPr="0017182B">
        <w:rPr>
          <w:rFonts w:eastAsia="Arial Unicode MS"/>
          <w:i/>
          <w:iCs/>
          <w:szCs w:val="24"/>
        </w:rPr>
        <w:t>Chem. Res. Toxicol.</w:t>
      </w:r>
      <w:r w:rsidRPr="0017182B">
        <w:rPr>
          <w:rFonts w:eastAsia="Arial Unicode MS"/>
          <w:szCs w:val="24"/>
        </w:rPr>
        <w:t xml:space="preserve"> </w:t>
      </w:r>
      <w:r w:rsidRPr="0017182B">
        <w:rPr>
          <w:rFonts w:eastAsia="Arial Unicode MS"/>
          <w:b/>
          <w:bCs/>
          <w:szCs w:val="24"/>
        </w:rPr>
        <w:t>2016</w:t>
      </w:r>
      <w:r w:rsidRPr="0017182B">
        <w:rPr>
          <w:rFonts w:eastAsia="Arial Unicode MS"/>
          <w:szCs w:val="24"/>
        </w:rPr>
        <w:t xml:space="preserve">, </w:t>
      </w:r>
      <w:r w:rsidRPr="0017182B">
        <w:rPr>
          <w:rFonts w:eastAsia="Arial Unicode MS"/>
          <w:i/>
          <w:iCs/>
          <w:szCs w:val="24"/>
        </w:rPr>
        <w:t>29</w:t>
      </w:r>
      <w:r w:rsidRPr="0017182B">
        <w:rPr>
          <w:rFonts w:eastAsia="Arial Unicode MS"/>
          <w:szCs w:val="24"/>
        </w:rPr>
        <w:t xml:space="preserve"> (8), 1225–1251.</w:t>
      </w:r>
    </w:p>
  </w:endnote>
  <w:endnote w:id="37">
    <w:p w14:paraId="0C2E3DB7" w14:textId="2F4C4269" w:rsidR="00F602F7" w:rsidRDefault="00F602F7" w:rsidP="005A725D">
      <w:pPr>
        <w:pStyle w:val="TFReferencesSection"/>
      </w:pPr>
      <w:r>
        <w:t>(</w:t>
      </w:r>
      <w:r w:rsidRPr="002B10CA">
        <w:endnoteRef/>
      </w:r>
      <w:r>
        <w:t>) Phuong, J. Masters Dissertation,</w:t>
      </w:r>
      <w:r w:rsidRPr="008F34D5">
        <w:t xml:space="preserve"> Structured Application of Biological Ontologies to Annotate High-Throughput Screening Assays and Their Targets</w:t>
      </w:r>
      <w:r>
        <w:t xml:space="preserve"> of Activity, </w:t>
      </w:r>
      <w:r w:rsidRPr="008963F6">
        <w:t>University of North Carolina</w:t>
      </w:r>
      <w:r w:rsidRPr="008A4971">
        <w:t xml:space="preserve"> at Chapel Hill</w:t>
      </w:r>
      <w:r>
        <w:t xml:space="preserve">, </w:t>
      </w:r>
      <w:r w:rsidRPr="00E13C43">
        <w:t>Chapel Hill, NC</w:t>
      </w:r>
      <w:r>
        <w:t xml:space="preserve">, </w:t>
      </w:r>
      <w:r w:rsidRPr="008126E2">
        <w:rPr>
          <w:b/>
          <w:bCs/>
        </w:rPr>
        <w:t>2014</w:t>
      </w:r>
    </w:p>
  </w:endnote>
  <w:endnote w:id="38">
    <w:p w14:paraId="43A273C0" w14:textId="607230E6" w:rsidR="00F602F7" w:rsidRPr="00F065C8" w:rsidRDefault="00F602F7" w:rsidP="00F065C8">
      <w:pPr>
        <w:pStyle w:val="TFReferencesSection"/>
        <w:rPr>
          <w:rFonts w:eastAsia="Arial Unicode MS"/>
          <w:sz w:val="18"/>
          <w:szCs w:val="18"/>
        </w:rPr>
      </w:pPr>
      <w:r>
        <w:t>(</w:t>
      </w:r>
      <w:r w:rsidRPr="002B10CA">
        <w:endnoteRef/>
      </w:r>
      <w:r>
        <w:t xml:space="preserve">) </w:t>
      </w:r>
      <w:r w:rsidRPr="000E2F64">
        <w:t xml:space="preserve">Rotroff, D. M.; Dix, D. J.; Houck, K. A.; Kavlock, R. J.; Knudsen, T. B.; Martin, M. T.; Reif, D. M.; Richard, A. M.; Sipes, N. S.; Abassi, Y. A.; Jin, C.; Stampfl, M.; Judson, R. S. Real-Time Growth Kinetics Measuring Hormone Mimicry for ToxCast Chemicals in T-47D Human Ductal Carcinoma Cells. </w:t>
      </w:r>
      <w:r w:rsidRPr="00F065C8">
        <w:rPr>
          <w:rFonts w:eastAsia="Arial Unicode MS"/>
          <w:i/>
          <w:iCs/>
          <w:szCs w:val="24"/>
        </w:rPr>
        <w:t xml:space="preserve">Chem. Res. Toxicol. </w:t>
      </w:r>
      <w:r w:rsidRPr="00F065C8">
        <w:rPr>
          <w:rFonts w:eastAsia="Arial Unicode MS"/>
          <w:b/>
          <w:bCs/>
          <w:szCs w:val="24"/>
        </w:rPr>
        <w:t>2013</w:t>
      </w:r>
      <w:r w:rsidRPr="00F065C8">
        <w:rPr>
          <w:rFonts w:eastAsia="Arial Unicode MS"/>
          <w:szCs w:val="24"/>
        </w:rPr>
        <w:t xml:space="preserve">, </w:t>
      </w:r>
      <w:r w:rsidRPr="00F065C8">
        <w:rPr>
          <w:rFonts w:eastAsia="Arial Unicode MS"/>
          <w:i/>
          <w:iCs/>
          <w:szCs w:val="24"/>
        </w:rPr>
        <w:t>26</w:t>
      </w:r>
      <w:r w:rsidRPr="00F065C8">
        <w:rPr>
          <w:rFonts w:eastAsia="Arial Unicode MS"/>
          <w:szCs w:val="24"/>
        </w:rPr>
        <w:t xml:space="preserve"> (7), 1097–1107.</w:t>
      </w:r>
    </w:p>
  </w:endnote>
  <w:endnote w:id="39">
    <w:p w14:paraId="4EBD25EF" w14:textId="1CC65008" w:rsidR="00F602F7" w:rsidRDefault="00F602F7" w:rsidP="002B10CA">
      <w:pPr>
        <w:pStyle w:val="TFReferencesSection"/>
      </w:pPr>
      <w:r>
        <w:t>(</w:t>
      </w:r>
      <w:r w:rsidRPr="002B10CA">
        <w:endnoteRef/>
      </w:r>
      <w:r>
        <w:t xml:space="preserve">) Kunkel, E. J.; Dea, M.; Ebens, A.; Hytopoulos, E.; Melrose, J.; Nguyen, D.; Ota, K. S.; Plavec, I.; Wang, Y.; Watson, S. R.; Butcher, E. C.; Berg, E. L. An Integrative Biology Approach for Analysis of Drug Action in Models of Human Vascular Inflammation. </w:t>
      </w:r>
      <w:r w:rsidR="00475A09" w:rsidRPr="00475A09">
        <w:rPr>
          <w:rFonts w:eastAsia="Arial Unicode MS"/>
          <w:i/>
          <w:iCs/>
          <w:szCs w:val="24"/>
        </w:rPr>
        <w:t xml:space="preserve">FASEB J. </w:t>
      </w:r>
      <w:r w:rsidRPr="004C1D7E">
        <w:rPr>
          <w:rFonts w:eastAsia="Arial Unicode MS"/>
          <w:b/>
          <w:bCs/>
          <w:szCs w:val="24"/>
        </w:rPr>
        <w:t>2004</w:t>
      </w:r>
      <w:r w:rsidRPr="004C1D7E">
        <w:rPr>
          <w:rFonts w:eastAsia="Arial Unicode MS"/>
          <w:szCs w:val="24"/>
        </w:rPr>
        <w:t xml:space="preserve">, </w:t>
      </w:r>
      <w:r w:rsidRPr="004C1D7E">
        <w:rPr>
          <w:rFonts w:eastAsia="Arial Unicode MS"/>
          <w:i/>
          <w:iCs/>
          <w:szCs w:val="24"/>
        </w:rPr>
        <w:t>18</w:t>
      </w:r>
      <w:r w:rsidRPr="004C1D7E">
        <w:rPr>
          <w:rFonts w:eastAsia="Arial Unicode MS"/>
          <w:szCs w:val="24"/>
        </w:rPr>
        <w:t xml:space="preserve"> (11), 1279–1281.</w:t>
      </w:r>
    </w:p>
  </w:endnote>
  <w:endnote w:id="40">
    <w:p w14:paraId="65705E7C" w14:textId="7F5FDFF6" w:rsidR="00F602F7" w:rsidRPr="00096A4D" w:rsidRDefault="00F602F7" w:rsidP="00096A4D">
      <w:pPr>
        <w:pStyle w:val="TFReferencesSection"/>
        <w:rPr>
          <w:rFonts w:eastAsia="Arial Unicode MS"/>
          <w:szCs w:val="24"/>
        </w:rPr>
      </w:pPr>
      <w:r>
        <w:t>(</w:t>
      </w:r>
      <w:r w:rsidRPr="002B10CA">
        <w:endnoteRef/>
      </w:r>
      <w:r>
        <w:t xml:space="preserve">) </w:t>
      </w:r>
      <w:r w:rsidRPr="00BF053C">
        <w:t xml:space="preserve">Houck, K. A.; Dix, D. J.; Judson, R. S.; Kavlock, R. J.; Yang, J.; Berg, E. L. Profiling Bioactivity of the ToxCast Chemical Library Using BioMAP Primary Human Cell Systems. </w:t>
      </w:r>
      <w:r w:rsidRPr="00096A4D">
        <w:rPr>
          <w:rFonts w:eastAsia="Arial Unicode MS"/>
          <w:i/>
          <w:iCs/>
          <w:szCs w:val="24"/>
        </w:rPr>
        <w:t>J. Biomol. Screen.</w:t>
      </w:r>
      <w:r w:rsidRPr="00096A4D">
        <w:rPr>
          <w:rFonts w:eastAsia="Arial Unicode MS"/>
          <w:szCs w:val="24"/>
        </w:rPr>
        <w:t xml:space="preserve"> </w:t>
      </w:r>
      <w:r w:rsidRPr="00096A4D">
        <w:rPr>
          <w:rFonts w:eastAsia="Arial Unicode MS"/>
          <w:b/>
          <w:bCs/>
          <w:szCs w:val="24"/>
        </w:rPr>
        <w:t>2009</w:t>
      </w:r>
      <w:r w:rsidRPr="00096A4D">
        <w:rPr>
          <w:rFonts w:eastAsia="Arial Unicode MS"/>
          <w:szCs w:val="24"/>
        </w:rPr>
        <w:t xml:space="preserve">, </w:t>
      </w:r>
      <w:r w:rsidRPr="00096A4D">
        <w:rPr>
          <w:rFonts w:eastAsia="Arial Unicode MS"/>
          <w:i/>
          <w:iCs/>
          <w:szCs w:val="24"/>
        </w:rPr>
        <w:t>14</w:t>
      </w:r>
      <w:r w:rsidRPr="00096A4D">
        <w:rPr>
          <w:rFonts w:eastAsia="Arial Unicode MS"/>
          <w:szCs w:val="24"/>
        </w:rPr>
        <w:t xml:space="preserve"> (9), 1054–1066.</w:t>
      </w:r>
    </w:p>
  </w:endnote>
  <w:endnote w:id="41">
    <w:p w14:paraId="2EDCB04C" w14:textId="17C9B579" w:rsidR="00F602F7" w:rsidRDefault="00F602F7" w:rsidP="002B10CA">
      <w:pPr>
        <w:pStyle w:val="TFReferencesSection"/>
      </w:pPr>
      <w:r>
        <w:t>(</w:t>
      </w:r>
      <w:r w:rsidRPr="002B10CA">
        <w:endnoteRef/>
      </w:r>
      <w:r>
        <w:t xml:space="preserve">) Shah, F.; Greene, N. Analysis of Pfizer Compounds in EPA’s ToxCast Chemicals-Assay Space. </w:t>
      </w:r>
      <w:r w:rsidRPr="00FF777B">
        <w:rPr>
          <w:rFonts w:eastAsia="Arial Unicode MS"/>
          <w:i/>
          <w:iCs/>
          <w:szCs w:val="24"/>
        </w:rPr>
        <w:t xml:space="preserve">Chem. Res. Toxicol. </w:t>
      </w:r>
      <w:r w:rsidRPr="00FF777B">
        <w:rPr>
          <w:rFonts w:eastAsia="Arial Unicode MS"/>
          <w:b/>
          <w:bCs/>
          <w:szCs w:val="24"/>
        </w:rPr>
        <w:t>2014</w:t>
      </w:r>
      <w:r w:rsidRPr="00FF777B">
        <w:rPr>
          <w:rFonts w:eastAsia="Arial Unicode MS"/>
          <w:szCs w:val="24"/>
        </w:rPr>
        <w:t xml:space="preserve">, </w:t>
      </w:r>
      <w:r w:rsidRPr="00FF777B">
        <w:rPr>
          <w:rFonts w:eastAsia="Arial Unicode MS"/>
          <w:i/>
          <w:iCs/>
          <w:szCs w:val="24"/>
        </w:rPr>
        <w:t>27</w:t>
      </w:r>
      <w:r w:rsidRPr="00FF777B">
        <w:rPr>
          <w:rFonts w:eastAsia="Arial Unicode MS"/>
          <w:szCs w:val="24"/>
        </w:rPr>
        <w:t xml:space="preserve"> (1), 86–98</w:t>
      </w:r>
      <w:r w:rsidRPr="00FF777B">
        <w:rPr>
          <w:szCs w:val="24"/>
        </w:rPr>
        <w:t>.</w:t>
      </w:r>
    </w:p>
  </w:endnote>
  <w:endnote w:id="42">
    <w:p w14:paraId="7F0BAB90" w14:textId="1C878FE8" w:rsidR="00F602F7" w:rsidRDefault="00F602F7" w:rsidP="002B10CA">
      <w:pPr>
        <w:pStyle w:val="TFReferencesSection"/>
      </w:pPr>
      <w:r>
        <w:t>(</w:t>
      </w:r>
      <w:r w:rsidRPr="002B10CA">
        <w:endnoteRef/>
      </w:r>
      <w:r>
        <w:t xml:space="preserve">) </w:t>
      </w:r>
      <w:r w:rsidRPr="00E01FDA">
        <w:t>Kunkel, E. J.; Plavec, I.; Nguyen, D.; Melrose, J.; Rosler, E. S.; Kao, L. T.; Wang, Y.; Hytopou-los, E.; Bishop, A. C.; Bateman, R.; Shokat, K. M.; Butcher, E. C.; Berg, E. L. Rapid Structure-Activity and Selectivity Analysis of Kinase Inhibitors by BioMAP Analysis in Complex Human Primary Cell-Based Models</w:t>
      </w:r>
      <w:r w:rsidRPr="00E75F66">
        <w:rPr>
          <w:szCs w:val="24"/>
        </w:rPr>
        <w:t xml:space="preserve">. </w:t>
      </w:r>
      <w:r w:rsidRPr="00E75F66">
        <w:rPr>
          <w:rFonts w:eastAsia="Arial Unicode MS"/>
          <w:i/>
          <w:iCs/>
          <w:szCs w:val="24"/>
        </w:rPr>
        <w:t>Assay Drug Dev. Technol.</w:t>
      </w:r>
      <w:r w:rsidRPr="00E75F66">
        <w:rPr>
          <w:rFonts w:eastAsia="Arial Unicode MS"/>
          <w:szCs w:val="24"/>
        </w:rPr>
        <w:t xml:space="preserve"> </w:t>
      </w:r>
      <w:r w:rsidRPr="00E75F66">
        <w:rPr>
          <w:rFonts w:eastAsia="Arial Unicode MS"/>
          <w:b/>
          <w:bCs/>
          <w:szCs w:val="24"/>
        </w:rPr>
        <w:t>2004</w:t>
      </w:r>
      <w:r w:rsidRPr="00E75F66">
        <w:rPr>
          <w:rFonts w:eastAsia="Arial Unicode MS"/>
          <w:szCs w:val="24"/>
        </w:rPr>
        <w:t>, 431–441</w:t>
      </w:r>
      <w:r w:rsidRPr="00E75F66">
        <w:rPr>
          <w:szCs w:val="24"/>
        </w:rPr>
        <w:t>.</w:t>
      </w:r>
    </w:p>
  </w:endnote>
  <w:endnote w:id="43">
    <w:p w14:paraId="732825DE" w14:textId="5B4EDD1A" w:rsidR="00F602F7" w:rsidRDefault="00F602F7" w:rsidP="002B10CA">
      <w:pPr>
        <w:pStyle w:val="TFReferencesSection"/>
      </w:pPr>
      <w:r>
        <w:t>(</w:t>
      </w:r>
      <w:r w:rsidRPr="002B10CA">
        <w:endnoteRef/>
      </w:r>
      <w:r>
        <w:t xml:space="preserve">) Kavlock, R.; Chandler, K.; Houck, K.; Hunter, S.; Judson, R.; Kleinstreuer, N.; Knudsen, T.; Martin, M.; Padilla, S.; Reif, D.; Richard, A.; Rotroff, D.; Sipes, N.; Dix, D. Update on EPA’s ToxCast Program: Providing High Throughput Decision Support Tools for Chemical Risk Management. </w:t>
      </w:r>
      <w:r w:rsidRPr="000158B6">
        <w:rPr>
          <w:rFonts w:eastAsia="Arial Unicode MS"/>
          <w:i/>
          <w:iCs/>
          <w:szCs w:val="24"/>
        </w:rPr>
        <w:t>Chem. Res. Toxicol</w:t>
      </w:r>
      <w:r w:rsidRPr="000158B6">
        <w:rPr>
          <w:rFonts w:eastAsia="Arial Unicode MS"/>
          <w:szCs w:val="24"/>
        </w:rPr>
        <w:t xml:space="preserve">. </w:t>
      </w:r>
      <w:r w:rsidRPr="000158B6">
        <w:rPr>
          <w:rFonts w:eastAsia="Arial Unicode MS"/>
          <w:b/>
          <w:bCs/>
          <w:szCs w:val="24"/>
        </w:rPr>
        <w:t>2012</w:t>
      </w:r>
      <w:r w:rsidRPr="000158B6">
        <w:rPr>
          <w:rFonts w:eastAsia="Arial Unicode MS"/>
          <w:szCs w:val="24"/>
        </w:rPr>
        <w:t>, 1287–1302</w:t>
      </w:r>
      <w:r w:rsidRPr="000158B6">
        <w:rPr>
          <w:szCs w:val="24"/>
        </w:rPr>
        <w:t>.</w:t>
      </w:r>
    </w:p>
  </w:endnote>
  <w:endnote w:id="44">
    <w:p w14:paraId="7FEEA185" w14:textId="46A901E9" w:rsidR="00F602F7" w:rsidRPr="00D170CD" w:rsidRDefault="00F602F7" w:rsidP="002B10CA">
      <w:pPr>
        <w:pStyle w:val="TFReferencesSection"/>
        <w:rPr>
          <w:szCs w:val="24"/>
        </w:rPr>
      </w:pPr>
      <w:r>
        <w:t>(</w:t>
      </w:r>
      <w:r w:rsidRPr="002B10CA">
        <w:endnoteRef/>
      </w:r>
      <w:r>
        <w:t>) Judson, R.; Houck, K.; Martin, M.; Richard, A. M.; Knudsen, T. B.; Shah, I.; Little, S.; Wam-baugh, J.; Setzer, R. W.; Kothya, P.; Phuong, J.; Filer, D.; Smith, D.; Reif, D.; Rotroff, D.; Klein-streuer, N.; Sipes, N.; Xia, M.; Huang, R.; Crofton, K.; Thomas, R. S. Analysis of the Effects of Cell Stress and Cytotoxicity on in Vitro Assay Activity across a Diverse Chemical and Assay Space</w:t>
      </w:r>
      <w:r w:rsidRPr="00D170CD">
        <w:rPr>
          <w:szCs w:val="24"/>
        </w:rPr>
        <w:t xml:space="preserve">. </w:t>
      </w:r>
      <w:r w:rsidRPr="00D170CD">
        <w:rPr>
          <w:rFonts w:eastAsia="Arial Unicode MS"/>
          <w:i/>
          <w:iCs/>
          <w:szCs w:val="24"/>
        </w:rPr>
        <w:t xml:space="preserve">Toxicol. Sci. </w:t>
      </w:r>
      <w:r w:rsidRPr="00D170CD">
        <w:rPr>
          <w:rFonts w:eastAsia="Arial Unicode MS"/>
          <w:b/>
          <w:bCs/>
          <w:szCs w:val="24"/>
        </w:rPr>
        <w:t>2016</w:t>
      </w:r>
      <w:r w:rsidRPr="00D170CD">
        <w:rPr>
          <w:rFonts w:eastAsia="Arial Unicode MS"/>
          <w:szCs w:val="24"/>
        </w:rPr>
        <w:t xml:space="preserve">, </w:t>
      </w:r>
      <w:r w:rsidRPr="00D170CD">
        <w:rPr>
          <w:rFonts w:eastAsia="Arial Unicode MS"/>
          <w:i/>
          <w:iCs/>
          <w:szCs w:val="24"/>
        </w:rPr>
        <w:t>152</w:t>
      </w:r>
      <w:r w:rsidRPr="00D170CD">
        <w:rPr>
          <w:rFonts w:eastAsia="Arial Unicode MS"/>
          <w:szCs w:val="24"/>
        </w:rPr>
        <w:t xml:space="preserve"> (2), 323–339</w:t>
      </w:r>
      <w:r w:rsidRPr="00D170CD">
        <w:rPr>
          <w:szCs w:val="24"/>
        </w:rPr>
        <w:t>.</w:t>
      </w:r>
    </w:p>
  </w:endnote>
  <w:endnote w:id="45">
    <w:p w14:paraId="2D692722" w14:textId="326F6A24" w:rsidR="00F602F7" w:rsidRDefault="00F602F7" w:rsidP="002B10CA">
      <w:pPr>
        <w:pStyle w:val="TFReferencesSection"/>
      </w:pPr>
      <w:r>
        <w:t>(</w:t>
      </w:r>
      <w:r w:rsidRPr="002B10CA">
        <w:endnoteRef/>
      </w:r>
      <w:r>
        <w:t xml:space="preserve">) </w:t>
      </w:r>
      <w:r w:rsidRPr="001921D3">
        <w:t xml:space="preserve">MolVS · PyPI https://pypi.org/project/MolVS/ (accessed Jul 22, </w:t>
      </w:r>
      <w:r w:rsidRPr="002B10CA">
        <w:rPr>
          <w:b/>
          <w:bCs/>
        </w:rPr>
        <w:t>2020</w:t>
      </w:r>
      <w:r w:rsidRPr="001921D3">
        <w:t>).</w:t>
      </w:r>
    </w:p>
  </w:endnote>
  <w:endnote w:id="46">
    <w:p w14:paraId="4CA2B8D9" w14:textId="64226F66" w:rsidR="00F602F7" w:rsidRDefault="00F602F7" w:rsidP="002B10CA">
      <w:pPr>
        <w:pStyle w:val="TFReferencesSection"/>
      </w:pPr>
      <w:r>
        <w:t>(</w:t>
      </w:r>
      <w:r w:rsidRPr="002B10CA">
        <w:endnoteRef/>
      </w:r>
      <w:r>
        <w:t xml:space="preserve">) RDKit http://www.rdkit.org/ (accessed Jul 22, </w:t>
      </w:r>
      <w:r w:rsidRPr="002B10CA">
        <w:rPr>
          <w:b/>
          <w:bCs/>
        </w:rPr>
        <w:t>2020</w:t>
      </w:r>
      <w:r>
        <w:t>).</w:t>
      </w:r>
    </w:p>
  </w:endnote>
  <w:endnote w:id="47">
    <w:p w14:paraId="2BFE2422" w14:textId="4330791F" w:rsidR="00F602F7" w:rsidRDefault="00F602F7" w:rsidP="002B10CA">
      <w:pPr>
        <w:pStyle w:val="TFReferencesSection"/>
      </w:pPr>
      <w:r>
        <w:t>(</w:t>
      </w:r>
      <w:r w:rsidRPr="002B10CA">
        <w:endnoteRef/>
      </w:r>
      <w:r>
        <w:t xml:space="preserve">) </w:t>
      </w:r>
      <w:r w:rsidRPr="00327EE8">
        <w:t xml:space="preserve">Standardization — MolVS 0.1.1 documentation https://molvs.readthedocs.io/en/latest/guide/standardize.html (accessed Jul 22, </w:t>
      </w:r>
      <w:r w:rsidRPr="002B10CA">
        <w:rPr>
          <w:b/>
          <w:bCs/>
        </w:rPr>
        <w:t>2020</w:t>
      </w:r>
      <w:r w:rsidRPr="00327EE8">
        <w:t>).</w:t>
      </w:r>
    </w:p>
  </w:endnote>
  <w:endnote w:id="48">
    <w:p w14:paraId="0670F021" w14:textId="77777777" w:rsidR="005D1EEF" w:rsidRDefault="005D1EEF" w:rsidP="005D1EEF">
      <w:pPr>
        <w:pStyle w:val="TFReferencesSection"/>
      </w:pPr>
      <w:r>
        <w:t>(</w:t>
      </w:r>
      <w:r w:rsidRPr="00154CA9">
        <w:endnoteRef/>
      </w:r>
      <w:r w:rsidRPr="00154CA9">
        <w:t xml:space="preserve">) Wu, Y.; Zhang, A. Feature Selection for Classifying High-Dimensional Numerical Data. In </w:t>
      </w:r>
      <w:r w:rsidRPr="00154CA9">
        <w:rPr>
          <w:i/>
          <w:iCs/>
        </w:rPr>
        <w:t>Proceedings of the IEEE Computer Society Conference on Computer Vision and Pattern Recognition</w:t>
      </w:r>
      <w:r w:rsidRPr="00154CA9">
        <w:t xml:space="preserve">; 2004; Vol. 2. </w:t>
      </w:r>
    </w:p>
  </w:endnote>
  <w:endnote w:id="49">
    <w:p w14:paraId="4DF9A187" w14:textId="77777777" w:rsidR="00106811" w:rsidRDefault="00106811" w:rsidP="00106811">
      <w:pPr>
        <w:pStyle w:val="TFReferencesSection"/>
      </w:pPr>
      <w:r>
        <w:t>(</w:t>
      </w:r>
      <w:r w:rsidRPr="002B10CA">
        <w:endnoteRef/>
      </w:r>
      <w:r>
        <w:t>) Massey, F. J. The Kolmogorov-Smirnov Test for Goodness of Fit.</w:t>
      </w:r>
      <w:r w:rsidRPr="00772BEB">
        <w:rPr>
          <w:rFonts w:eastAsia="Arial Unicode MS"/>
          <w:i/>
          <w:iCs/>
          <w:sz w:val="18"/>
          <w:szCs w:val="18"/>
        </w:rPr>
        <w:t xml:space="preserve"> </w:t>
      </w:r>
      <w:r w:rsidRPr="00772BEB">
        <w:rPr>
          <w:rFonts w:eastAsia="Arial Unicode MS"/>
          <w:i/>
          <w:iCs/>
          <w:szCs w:val="24"/>
        </w:rPr>
        <w:t>J. Am. Stat. Assoc</w:t>
      </w:r>
      <w:r w:rsidRPr="00772BEB">
        <w:rPr>
          <w:rFonts w:eastAsia="Arial Unicode MS"/>
          <w:szCs w:val="24"/>
        </w:rPr>
        <w:t>.</w:t>
      </w:r>
      <w:r w:rsidRPr="00A85F3E">
        <w:rPr>
          <w:rFonts w:eastAsia="Arial Unicode MS"/>
          <w:sz w:val="18"/>
          <w:szCs w:val="18"/>
        </w:rPr>
        <w:t xml:space="preserve"> </w:t>
      </w:r>
      <w:r>
        <w:t xml:space="preserve"> </w:t>
      </w:r>
      <w:r w:rsidRPr="002B10CA">
        <w:rPr>
          <w:b/>
          <w:bCs/>
        </w:rPr>
        <w:t>1951</w:t>
      </w:r>
      <w:r>
        <w:t xml:space="preserve">, </w:t>
      </w:r>
      <w:r w:rsidRPr="00B36E59">
        <w:rPr>
          <w:i/>
          <w:iCs/>
        </w:rPr>
        <w:t>46</w:t>
      </w:r>
      <w:r>
        <w:t xml:space="preserve"> (253), 68–78.</w:t>
      </w:r>
    </w:p>
  </w:endnote>
  <w:endnote w:id="50">
    <w:p w14:paraId="7CB69D6B" w14:textId="77777777" w:rsidR="00106811" w:rsidRDefault="00106811" w:rsidP="00106811">
      <w:pPr>
        <w:pStyle w:val="TFReferencesSection"/>
      </w:pPr>
      <w:r>
        <w:t>(</w:t>
      </w:r>
      <w:r w:rsidRPr="002B10CA">
        <w:endnoteRef/>
      </w:r>
      <w:r>
        <w:t xml:space="preserve">) Virtanen, P.; Gommers, R.; Oliphant, T. E.; Haberland, M.; Reddy, T.; Cournapeau, D.; Burov-ski, E.; Peterson, P.; Weckesser, W.; Bright, J.; van der Walt, S. J.; Brett, M.; Wilson, J.; Millman, K. J.; Mayorov, N.; Nelson, A. R. J.; Jones, E.; Kern, R.; Larson, E.; Carey, C. J.; Polat, İ.; Feng, Y.; Moore, E. W.; VanderPlas, J.; Laxalde, D.; Perktold, J.; Cimrman, R.; Henriksen, I.; Quintero, E. A.; Harris, C. R.; Archibald, A. M.; Ribeiro, A. H.; Pedregosa, F.; van Mulbregt, P.; Vijayku-mar, A.; Bardelli, A. pietro; Rothberg, A.; Hilboll, A.; Kloeckner, A.; Scopatz, A.; Lee, A.; Rokem, A.; Woods, C. N.; Fulton, C.; Masson, C.; Häggström, C.; Fitzgerald, C.; Nicholson, D. A.; Hagen, D. R.; Pasechnik, D. v.; Olivetti, E.; Martin, E.; Wieser, E.; Silva, F.; Lenders, F.; Wilhelm, F.; Young, G.; Price, G. A.; Ingold, G. L.; Allen, G. E.; Lee, G. R.; Audren, H.; Probst, I.; Dietrich, J. P.; Silterra, J.; Webber, J. T.; Slavič, J.; Nothman, J.; Buchner, J.; Kulick, J.; Schön-berger, J. L.; de Miranda Cardoso, J. V.; Reimer, J.; Harrington, J.; Rodríguez, J. L. C.; Nunez-Iglesias, J.; Kuczynski, J.; Tritz, K.; Thoma, M.; Newville, M.; Kümmerer, M.; Bolingbroke, M.; Tartre, M.; Pak, M.; Smith, N. J.; Nowaczyk, N.; Shebanov, N.; Pavlyk, O.; Brodtkorb, P. A.; Lee, P.; McGibbon, R. T.; Feldbauer, R.; Lewis, S.; Tygier, S.; Sievert, S.; Vigna, S.; Peterson, S.; More, S.; Pudlik, T.; Oshima, T.; Pingel, T. J.; Robitaille, T. P.; Spura, T.; Jones, T. R.; Cera, T.; Leslie, T.; Zito, T.; Krauss, T.; Upadhyay, U.; Halchenko, Y. O.; Vázquez-Baeza, Y. SciPy 1.0: Fundamental Algorithms for Scientific Computing in Python. </w:t>
      </w:r>
      <w:r w:rsidRPr="00753777">
        <w:rPr>
          <w:rFonts w:eastAsia="Arial Unicode MS"/>
          <w:i/>
          <w:iCs/>
          <w:szCs w:val="24"/>
        </w:rPr>
        <w:t xml:space="preserve">Nat. Methods </w:t>
      </w:r>
      <w:r w:rsidRPr="00753777">
        <w:rPr>
          <w:rFonts w:eastAsia="Arial Unicode MS"/>
          <w:b/>
          <w:bCs/>
          <w:szCs w:val="24"/>
        </w:rPr>
        <w:t>2020</w:t>
      </w:r>
      <w:r w:rsidRPr="00753777">
        <w:rPr>
          <w:rFonts w:eastAsia="Arial Unicode MS"/>
          <w:szCs w:val="24"/>
        </w:rPr>
        <w:t xml:space="preserve">, </w:t>
      </w:r>
      <w:r w:rsidRPr="00753777">
        <w:rPr>
          <w:rFonts w:eastAsia="Arial Unicode MS"/>
          <w:i/>
          <w:iCs/>
          <w:szCs w:val="24"/>
        </w:rPr>
        <w:t>17</w:t>
      </w:r>
      <w:r w:rsidRPr="00753777">
        <w:rPr>
          <w:rFonts w:eastAsia="Arial Unicode MS"/>
          <w:szCs w:val="24"/>
        </w:rPr>
        <w:t xml:space="preserve"> (3), 261–272.</w:t>
      </w:r>
    </w:p>
  </w:endnote>
  <w:endnote w:id="51">
    <w:p w14:paraId="2B573E21" w14:textId="77777777" w:rsidR="004E5858" w:rsidRDefault="004E5858" w:rsidP="004E5858">
      <w:pPr>
        <w:pStyle w:val="TFReferencesSection"/>
      </w:pPr>
      <w:r>
        <w:t>(</w:t>
      </w:r>
      <w:r w:rsidRPr="004B225A">
        <w:endnoteRef/>
      </w:r>
      <w:r>
        <w:t>)</w:t>
      </w:r>
      <w:r w:rsidRPr="004B225A">
        <w:t xml:space="preserve"> Rogers, D.; Hahn, M. Extended-Connectivity Fingerprints. </w:t>
      </w:r>
      <w:r w:rsidRPr="004B225A">
        <w:rPr>
          <w:i/>
          <w:iCs/>
        </w:rPr>
        <w:t>J. Chem. Inf. Model</w:t>
      </w:r>
      <w:r w:rsidRPr="004B225A">
        <w:t xml:space="preserve">. </w:t>
      </w:r>
      <w:r w:rsidRPr="004B225A">
        <w:rPr>
          <w:b/>
          <w:bCs/>
        </w:rPr>
        <w:t>2010</w:t>
      </w:r>
      <w:r w:rsidRPr="004B225A">
        <w:t xml:space="preserve">, </w:t>
      </w:r>
      <w:r w:rsidRPr="004B225A">
        <w:rPr>
          <w:i/>
          <w:iCs/>
        </w:rPr>
        <w:t>50</w:t>
      </w:r>
      <w:r w:rsidRPr="004B225A">
        <w:t xml:space="preserve"> (5), 742–754. </w:t>
      </w:r>
    </w:p>
  </w:endnote>
  <w:endnote w:id="52">
    <w:p w14:paraId="29C2D781" w14:textId="1764ECDA" w:rsidR="00F602F7" w:rsidRDefault="00F602F7" w:rsidP="008126E2">
      <w:pPr>
        <w:pStyle w:val="TFReferencesSection"/>
      </w:pPr>
      <w:r>
        <w:t>(</w:t>
      </w:r>
      <w:r w:rsidRPr="002B10CA">
        <w:endnoteRef/>
      </w:r>
      <w:r>
        <w:t xml:space="preserve">) Stiefl, N.; Watson, I. A.; Baumann, K.; Zaliani, A. ErG: 2D Pharmacophore Descriptions for Scaffold Hopping. </w:t>
      </w:r>
      <w:r w:rsidRPr="00CE7839">
        <w:rPr>
          <w:rFonts w:eastAsia="Arial Unicode MS"/>
          <w:i/>
          <w:iCs/>
          <w:szCs w:val="24"/>
        </w:rPr>
        <w:t>J. Chem. Inf. Model</w:t>
      </w:r>
      <w:r w:rsidRPr="00CE7839">
        <w:rPr>
          <w:rFonts w:eastAsia="Arial Unicode MS"/>
          <w:szCs w:val="24"/>
        </w:rPr>
        <w:t xml:space="preserve">; </w:t>
      </w:r>
      <w:r w:rsidRPr="00CE7839">
        <w:rPr>
          <w:rFonts w:eastAsia="Arial Unicode MS"/>
          <w:b/>
          <w:bCs/>
          <w:szCs w:val="24"/>
        </w:rPr>
        <w:t>2006</w:t>
      </w:r>
      <w:r w:rsidRPr="00CE7839">
        <w:rPr>
          <w:rFonts w:eastAsia="Arial Unicode MS"/>
          <w:szCs w:val="24"/>
        </w:rPr>
        <w:t xml:space="preserve">; </w:t>
      </w:r>
      <w:r w:rsidRPr="00CE7839">
        <w:rPr>
          <w:rFonts w:eastAsia="Arial Unicode MS"/>
          <w:i/>
          <w:iCs/>
          <w:szCs w:val="24"/>
        </w:rPr>
        <w:t>46</w:t>
      </w:r>
      <w:r w:rsidRPr="00CE7839">
        <w:rPr>
          <w:rFonts w:eastAsia="Arial Unicode MS"/>
          <w:szCs w:val="24"/>
        </w:rPr>
        <w:t>,</w:t>
      </w:r>
      <w:r w:rsidRPr="00A85F3E">
        <w:rPr>
          <w:rFonts w:eastAsia="Arial Unicode MS"/>
          <w:sz w:val="18"/>
          <w:szCs w:val="18"/>
        </w:rPr>
        <w:t xml:space="preserve"> </w:t>
      </w:r>
      <w:r>
        <w:t>208–220.</w:t>
      </w:r>
    </w:p>
  </w:endnote>
  <w:endnote w:id="53">
    <w:p w14:paraId="029B562D" w14:textId="5F33D380" w:rsidR="00F602F7" w:rsidRDefault="00F602F7" w:rsidP="00B3286F">
      <w:pPr>
        <w:pStyle w:val="TFReferencesSection"/>
      </w:pPr>
      <w:r>
        <w:t>(</w:t>
      </w:r>
      <w:r w:rsidRPr="002B10CA">
        <w:endnoteRef/>
      </w:r>
      <w:r>
        <w:t>) Bender, A.; Jenkins, J. L.; Scheiber, J.; Sukuru, S. C. K.; Glick, M.; Davies, J. W. How Similar Are Similarity Searching Methods? A Principal Component Analysis of Molecular Descriptor Space</w:t>
      </w:r>
      <w:r w:rsidRPr="00D360E7">
        <w:rPr>
          <w:szCs w:val="24"/>
        </w:rPr>
        <w:t xml:space="preserve">. </w:t>
      </w:r>
      <w:r w:rsidRPr="00D360E7">
        <w:rPr>
          <w:rFonts w:eastAsia="Arial Unicode MS"/>
          <w:i/>
          <w:iCs/>
          <w:szCs w:val="24"/>
        </w:rPr>
        <w:t>J. Chem. Inf. Model</w:t>
      </w:r>
      <w:r w:rsidRPr="00D360E7">
        <w:rPr>
          <w:rFonts w:eastAsia="Arial Unicode MS"/>
          <w:szCs w:val="24"/>
        </w:rPr>
        <w:t xml:space="preserve">. </w:t>
      </w:r>
      <w:r w:rsidRPr="00D360E7">
        <w:rPr>
          <w:rFonts w:eastAsia="Arial Unicode MS"/>
          <w:b/>
          <w:bCs/>
          <w:szCs w:val="24"/>
        </w:rPr>
        <w:t>2009</w:t>
      </w:r>
      <w:r w:rsidRPr="00D360E7">
        <w:rPr>
          <w:rFonts w:eastAsia="Arial Unicode MS"/>
          <w:szCs w:val="24"/>
        </w:rPr>
        <w:t xml:space="preserve">, </w:t>
      </w:r>
      <w:r w:rsidRPr="00D360E7">
        <w:rPr>
          <w:rFonts w:eastAsia="Arial Unicode MS"/>
          <w:i/>
          <w:iCs/>
          <w:szCs w:val="24"/>
        </w:rPr>
        <w:t>49</w:t>
      </w:r>
      <w:r w:rsidRPr="00D360E7">
        <w:rPr>
          <w:rFonts w:eastAsia="Arial Unicode MS"/>
          <w:szCs w:val="24"/>
        </w:rPr>
        <w:t xml:space="preserve"> (1), 108–119</w:t>
      </w:r>
      <w:r w:rsidRPr="00D360E7">
        <w:rPr>
          <w:szCs w:val="24"/>
        </w:rPr>
        <w:t>.</w:t>
      </w:r>
    </w:p>
  </w:endnote>
  <w:endnote w:id="54">
    <w:p w14:paraId="3BCF4031" w14:textId="354CC5F7" w:rsidR="00F602F7" w:rsidRDefault="00F602F7" w:rsidP="002B10CA">
      <w:pPr>
        <w:pStyle w:val="TFReferencesSection"/>
      </w:pPr>
      <w:r>
        <w:t>(</w:t>
      </w:r>
      <w:r w:rsidRPr="002B10CA">
        <w:endnoteRef/>
      </w:r>
      <w:r>
        <w:t>) Pedregosa, F.; Varoquaux, G.; Gramfort, A.; Michel, V.; Thirion, B.; Grisel, O.; Blondel, M.; Prettenhofer, P.; Weiss, R.; Dubourg, V.; Vanderplas, J.; Passos, A.; Cournapeau, D.; Brucher, M.; Perrot, M.; Duchesnay, É. Scikit-Learn: Machine Learning in Python</w:t>
      </w:r>
      <w:r w:rsidR="004069C7">
        <w:t xml:space="preserve">. </w:t>
      </w:r>
      <w:r w:rsidR="004069C7" w:rsidRPr="004069C7">
        <w:rPr>
          <w:i/>
          <w:iCs/>
        </w:rPr>
        <w:t>J. Mach. Learn. Res.</w:t>
      </w:r>
      <w:r w:rsidR="004069C7" w:rsidRPr="004069C7">
        <w:rPr>
          <w:rFonts w:eastAsia="Arial Unicode MS"/>
        </w:rPr>
        <w:t xml:space="preserve"> </w:t>
      </w:r>
      <w:r w:rsidRPr="002E0F15">
        <w:rPr>
          <w:rFonts w:eastAsia="Arial Unicode MS"/>
          <w:b/>
          <w:bCs/>
          <w:szCs w:val="24"/>
        </w:rPr>
        <w:t>2011</w:t>
      </w:r>
      <w:r w:rsidRPr="002E0F15">
        <w:rPr>
          <w:rFonts w:eastAsia="Arial Unicode MS"/>
          <w:szCs w:val="24"/>
        </w:rPr>
        <w:t xml:space="preserve">, </w:t>
      </w:r>
      <w:r w:rsidRPr="002E0F15">
        <w:rPr>
          <w:rFonts w:eastAsia="Arial Unicode MS"/>
          <w:i/>
          <w:iCs/>
          <w:szCs w:val="24"/>
        </w:rPr>
        <w:t>12</w:t>
      </w:r>
      <w:r w:rsidRPr="002E0F15">
        <w:rPr>
          <w:rFonts w:eastAsia="Arial Unicode MS"/>
          <w:szCs w:val="24"/>
        </w:rPr>
        <w:t>, 2825–2830</w:t>
      </w:r>
      <w:r w:rsidRPr="002E0F15">
        <w:rPr>
          <w:szCs w:val="24"/>
        </w:rPr>
        <w:t>.</w:t>
      </w:r>
    </w:p>
  </w:endnote>
  <w:endnote w:id="55">
    <w:p w14:paraId="498AB940" w14:textId="77777777" w:rsidR="001C5271" w:rsidRDefault="001C5271" w:rsidP="001C5271">
      <w:pPr>
        <w:pStyle w:val="TFReferencesSection"/>
      </w:pPr>
      <w:r>
        <w:t>(</w:t>
      </w:r>
      <w:r w:rsidRPr="00763CCE">
        <w:endnoteRef/>
      </w:r>
      <w:r>
        <w:t xml:space="preserve">) </w:t>
      </w:r>
      <w:r>
        <w:tab/>
        <w:t xml:space="preserve">Sheridan, R. P. Time-Split Cross-Validation as a Method for Estimating the Goodness of Prospective Prediction. </w:t>
      </w:r>
      <w:r w:rsidRPr="004754FA">
        <w:rPr>
          <w:i/>
          <w:iCs/>
        </w:rPr>
        <w:t>J. Chem. Inf. Model.</w:t>
      </w:r>
      <w:r>
        <w:t xml:space="preserve"> </w:t>
      </w:r>
      <w:r w:rsidRPr="00763CCE">
        <w:rPr>
          <w:b/>
          <w:bCs/>
        </w:rPr>
        <w:t>2013</w:t>
      </w:r>
      <w:r>
        <w:t xml:space="preserve">, </w:t>
      </w:r>
      <w:r w:rsidRPr="004754FA">
        <w:rPr>
          <w:i/>
          <w:iCs/>
        </w:rPr>
        <w:t>53</w:t>
      </w:r>
      <w:r>
        <w:t xml:space="preserve"> (4), 783–790.</w:t>
      </w:r>
    </w:p>
  </w:endnote>
  <w:endnote w:id="56">
    <w:p w14:paraId="11081B78" w14:textId="4A9C1215" w:rsidR="00BF1651" w:rsidRDefault="00BF1651" w:rsidP="00BF1651">
      <w:pPr>
        <w:pStyle w:val="TFReferencesSection"/>
      </w:pPr>
      <w:r>
        <w:t>(</w:t>
      </w:r>
      <w:r w:rsidRPr="00BF1651">
        <w:endnoteRef/>
      </w:r>
      <w:r w:rsidRPr="00BF1651">
        <w:t xml:space="preserve">) </w:t>
      </w:r>
      <w:r w:rsidR="00581F0D" w:rsidRPr="00581F0D">
        <w:t xml:space="preserve">Liu, R.; Wang, H.; Glover, K. P.; Feasel, M. G.; Wallqvist, A. Dissecting Machine-Learning Prediction of Molecular Activity: Is an Applicability Domain Needed for Quantitative Structure-Activity Relationship Models Based on Deep Neural Networks? </w:t>
      </w:r>
      <w:r w:rsidR="00581F0D" w:rsidRPr="00581F0D">
        <w:rPr>
          <w:i/>
          <w:iCs/>
        </w:rPr>
        <w:t>J. Chem. Inf. Model.</w:t>
      </w:r>
      <w:r w:rsidR="00581F0D" w:rsidRPr="00581F0D">
        <w:t xml:space="preserve"> </w:t>
      </w:r>
      <w:r w:rsidR="00581F0D" w:rsidRPr="00581F0D">
        <w:rPr>
          <w:b/>
          <w:bCs/>
        </w:rPr>
        <w:t>2019</w:t>
      </w:r>
      <w:r w:rsidR="00581F0D" w:rsidRPr="00581F0D">
        <w:t xml:space="preserve">, </w:t>
      </w:r>
      <w:r w:rsidR="00581F0D" w:rsidRPr="00581F0D">
        <w:rPr>
          <w:i/>
          <w:iCs/>
        </w:rPr>
        <w:t>59</w:t>
      </w:r>
      <w:r w:rsidR="00581F0D" w:rsidRPr="00581F0D">
        <w:t xml:space="preserve"> (1), 117–126. </w:t>
      </w:r>
    </w:p>
  </w:endnote>
  <w:endnote w:id="57">
    <w:p w14:paraId="221C61FC" w14:textId="0FB8E62B" w:rsidR="00F602F7" w:rsidRPr="00E04298" w:rsidRDefault="00F602F7" w:rsidP="002B10CA">
      <w:pPr>
        <w:pStyle w:val="TFReferencesSection"/>
        <w:rPr>
          <w:szCs w:val="24"/>
        </w:rPr>
      </w:pPr>
      <w:r>
        <w:t>(</w:t>
      </w:r>
      <w:r w:rsidRPr="002B10CA">
        <w:endnoteRef/>
      </w:r>
      <w:r>
        <w:t xml:space="preserve">) </w:t>
      </w:r>
      <w:r w:rsidRPr="00363284">
        <w:t xml:space="preserve">Fawcett, T. An Introduction to ROC Analysis. </w:t>
      </w:r>
      <w:r w:rsidRPr="00E04298">
        <w:rPr>
          <w:rFonts w:eastAsia="Arial Unicode MS"/>
          <w:i/>
          <w:iCs/>
          <w:szCs w:val="24"/>
        </w:rPr>
        <w:t>Pattern Recognit. Lett.</w:t>
      </w:r>
      <w:r w:rsidRPr="00E04298">
        <w:rPr>
          <w:rFonts w:eastAsia="Arial Unicode MS"/>
          <w:szCs w:val="24"/>
        </w:rPr>
        <w:t xml:space="preserve"> </w:t>
      </w:r>
      <w:r w:rsidRPr="00E04298">
        <w:rPr>
          <w:rFonts w:eastAsia="Arial Unicode MS"/>
          <w:b/>
          <w:bCs/>
          <w:szCs w:val="24"/>
        </w:rPr>
        <w:t>2006</w:t>
      </w:r>
      <w:r w:rsidRPr="00E04298">
        <w:rPr>
          <w:rFonts w:eastAsia="Arial Unicode MS"/>
          <w:szCs w:val="24"/>
        </w:rPr>
        <w:t xml:space="preserve">, </w:t>
      </w:r>
      <w:r w:rsidRPr="00E04298">
        <w:rPr>
          <w:rFonts w:eastAsia="Arial Unicode MS"/>
          <w:i/>
          <w:iCs/>
          <w:szCs w:val="24"/>
        </w:rPr>
        <w:t>27</w:t>
      </w:r>
      <w:r w:rsidRPr="00E04298">
        <w:rPr>
          <w:rFonts w:eastAsia="Arial Unicode MS"/>
          <w:szCs w:val="24"/>
        </w:rPr>
        <w:t xml:space="preserve"> (8), 861–874</w:t>
      </w:r>
      <w:r w:rsidRPr="00E04298">
        <w:rPr>
          <w:szCs w:val="24"/>
        </w:rPr>
        <w:t>.</w:t>
      </w:r>
    </w:p>
  </w:endnote>
  <w:endnote w:id="58">
    <w:p w14:paraId="72C9A22A" w14:textId="77777777" w:rsidR="00140DFF" w:rsidRDefault="00140DFF" w:rsidP="00140DFF">
      <w:pPr>
        <w:pStyle w:val="TFReferencesSection"/>
      </w:pPr>
      <w:r>
        <w:t>(</w:t>
      </w:r>
      <w:r w:rsidRPr="002B10CA">
        <w:endnoteRef/>
      </w:r>
      <w:r>
        <w:t xml:space="preserve">) Pencina, M. J.; D’Agostino, R. B.; Massaro, J. M. Understanding Increments in Model Perfor-mance Metrics. </w:t>
      </w:r>
      <w:r w:rsidRPr="00E04298">
        <w:rPr>
          <w:i/>
          <w:iCs/>
        </w:rPr>
        <w:t>Lifetime Data Anal</w:t>
      </w:r>
      <w:r>
        <w:rPr>
          <w:i/>
          <w:iCs/>
        </w:rPr>
        <w:t>.</w:t>
      </w:r>
      <w:r w:rsidRPr="002B10CA">
        <w:rPr>
          <w:b/>
          <w:bCs/>
        </w:rPr>
        <w:t>2013</w:t>
      </w:r>
      <w:r>
        <w:t xml:space="preserve">, </w:t>
      </w:r>
      <w:r w:rsidRPr="00E04298">
        <w:rPr>
          <w:i/>
          <w:iCs/>
        </w:rPr>
        <w:t>19</w:t>
      </w:r>
      <w:r>
        <w:t xml:space="preserve"> (2), 202–218.</w:t>
      </w:r>
    </w:p>
  </w:endnote>
  <w:endnote w:id="59">
    <w:p w14:paraId="24340C23" w14:textId="6492205E" w:rsidR="00F602F7" w:rsidRDefault="00F602F7" w:rsidP="002B10CA">
      <w:pPr>
        <w:pStyle w:val="TFReferencesSection"/>
      </w:pPr>
      <w:r>
        <w:t>(</w:t>
      </w:r>
      <w:r w:rsidRPr="002B10CA">
        <w:endnoteRef/>
      </w:r>
      <w:r>
        <w:t xml:space="preserve">) Breiman, L. Random Forests. </w:t>
      </w:r>
      <w:r w:rsidR="004414C8" w:rsidRPr="004414C8">
        <w:rPr>
          <w:i/>
          <w:iCs/>
        </w:rPr>
        <w:t xml:space="preserve">Mach. Learn. </w:t>
      </w:r>
      <w:r w:rsidRPr="002B10CA">
        <w:rPr>
          <w:b/>
          <w:bCs/>
        </w:rPr>
        <w:t>2001</w:t>
      </w:r>
      <w:r>
        <w:t xml:space="preserve">, </w:t>
      </w:r>
      <w:r w:rsidRPr="000C591D">
        <w:rPr>
          <w:i/>
          <w:iCs/>
        </w:rPr>
        <w:t>45</w:t>
      </w:r>
      <w:r>
        <w:t xml:space="preserve"> (1), 5–32.</w:t>
      </w:r>
    </w:p>
  </w:endnote>
  <w:endnote w:id="60">
    <w:p w14:paraId="0E8A30F0" w14:textId="238C4271" w:rsidR="00F602F7" w:rsidRDefault="00F602F7" w:rsidP="002B10CA">
      <w:pPr>
        <w:pStyle w:val="TFReferencesSection"/>
      </w:pPr>
      <w:r>
        <w:t>(</w:t>
      </w:r>
      <w:r w:rsidRPr="002B10CA">
        <w:endnoteRef/>
      </w:r>
      <w:r>
        <w:t xml:space="preserve">) Breiman, L. Statistical Modeling: The Two Cultures. </w:t>
      </w:r>
      <w:r w:rsidR="004414C8" w:rsidRPr="004414C8">
        <w:rPr>
          <w:i/>
          <w:iCs/>
        </w:rPr>
        <w:t>Stat</w:t>
      </w:r>
      <w:r w:rsidR="004414C8">
        <w:rPr>
          <w:i/>
          <w:iCs/>
        </w:rPr>
        <w:t>.</w:t>
      </w:r>
      <w:r w:rsidR="004414C8" w:rsidRPr="004414C8">
        <w:rPr>
          <w:i/>
          <w:iCs/>
        </w:rPr>
        <w:t xml:space="preserve"> Sci</w:t>
      </w:r>
      <w:r w:rsidR="004414C8">
        <w:rPr>
          <w:i/>
          <w:iCs/>
        </w:rPr>
        <w:t>.</w:t>
      </w:r>
      <w:r w:rsidR="004414C8" w:rsidRPr="004414C8">
        <w:rPr>
          <w:i/>
          <w:iCs/>
        </w:rPr>
        <w:t xml:space="preserve"> </w:t>
      </w:r>
      <w:r w:rsidRPr="002B10CA">
        <w:rPr>
          <w:b/>
          <w:bCs/>
        </w:rPr>
        <w:t>2001</w:t>
      </w:r>
      <w:r>
        <w:t xml:space="preserve">, </w:t>
      </w:r>
      <w:r w:rsidRPr="000C591D">
        <w:rPr>
          <w:i/>
          <w:iCs/>
        </w:rPr>
        <w:t>16</w:t>
      </w:r>
      <w:r>
        <w:t xml:space="preserve"> (3), 199–215.</w:t>
      </w:r>
    </w:p>
  </w:endnote>
  <w:endnote w:id="61">
    <w:p w14:paraId="5B4A0B0E" w14:textId="534B315C" w:rsidR="00F602F7" w:rsidRDefault="00F602F7" w:rsidP="002B10CA">
      <w:pPr>
        <w:pStyle w:val="TFReferencesSection"/>
      </w:pPr>
      <w:r>
        <w:t>(</w:t>
      </w:r>
      <w:r w:rsidRPr="002B10CA">
        <w:endnoteRef/>
      </w:r>
      <w:r>
        <w:t xml:space="preserve">) Gomez-Raḿırez; Angel, M.; Jaime, G.; Avila-villanueva, M. Selecting the Most Important Self-Assessed Features for Predicting Conversion to Mild Cognitive Impairment with Random Forest and Permutation-Based Methods. </w:t>
      </w:r>
      <w:r w:rsidRPr="008F7F3E">
        <w:rPr>
          <w:i/>
          <w:iCs/>
        </w:rPr>
        <w:t>bioRxiv</w:t>
      </w:r>
      <w:r>
        <w:t xml:space="preserve"> </w:t>
      </w:r>
      <w:r w:rsidRPr="002B10CA">
        <w:rPr>
          <w:b/>
          <w:bCs/>
        </w:rPr>
        <w:t>2019</w:t>
      </w:r>
      <w:r>
        <w:t>, 785519.</w:t>
      </w:r>
    </w:p>
  </w:endnote>
  <w:endnote w:id="62">
    <w:p w14:paraId="05CF4B84" w14:textId="77777777" w:rsidR="009579D2" w:rsidRDefault="009579D2" w:rsidP="009579D2">
      <w:pPr>
        <w:pStyle w:val="TFReferencesSection"/>
      </w:pPr>
      <w:r>
        <w:t>(</w:t>
      </w:r>
      <w:r w:rsidRPr="003C4987">
        <w:endnoteRef/>
      </w:r>
      <w:r>
        <w:t xml:space="preserve">) </w:t>
      </w:r>
      <w:r>
        <w:tab/>
        <w:t xml:space="preserve">Schrey, A. K.; Nickel-Seeber, J.; Drwal, M. N.; Zwicker, P.; Schultze, N.; Haertel, B.; Preissner, R. Computational Prediction of Immune Cell Cytotoxicity. </w:t>
      </w:r>
      <w:r w:rsidRPr="001B4D1C">
        <w:rPr>
          <w:rFonts w:eastAsia="Arial Unicode MS"/>
          <w:i/>
          <w:iCs/>
          <w:szCs w:val="24"/>
        </w:rPr>
        <w:t xml:space="preserve">Food Chem. Toxicol. </w:t>
      </w:r>
      <w:r w:rsidRPr="001B4D1C">
        <w:rPr>
          <w:rFonts w:eastAsia="Arial Unicode MS"/>
          <w:b/>
          <w:bCs/>
          <w:szCs w:val="24"/>
        </w:rPr>
        <w:t>2017</w:t>
      </w:r>
      <w:r w:rsidRPr="001B4D1C">
        <w:rPr>
          <w:rFonts w:eastAsia="Arial Unicode MS"/>
          <w:szCs w:val="24"/>
        </w:rPr>
        <w:t xml:space="preserve">, </w:t>
      </w:r>
      <w:r w:rsidRPr="001B4D1C">
        <w:rPr>
          <w:rFonts w:eastAsia="Arial Unicode MS"/>
          <w:i/>
          <w:iCs/>
          <w:szCs w:val="24"/>
        </w:rPr>
        <w:t>107</w:t>
      </w:r>
      <w:r w:rsidRPr="001B4D1C">
        <w:rPr>
          <w:rFonts w:eastAsia="Arial Unicode MS"/>
          <w:szCs w:val="24"/>
        </w:rPr>
        <w:t>, 150–166</w:t>
      </w:r>
      <w:r w:rsidRPr="001B4D1C">
        <w:rPr>
          <w:szCs w:val="24"/>
        </w:rPr>
        <w:t>.</w:t>
      </w:r>
    </w:p>
  </w:endnote>
  <w:endnote w:id="63">
    <w:p w14:paraId="3BE45C47" w14:textId="3AA953F4" w:rsidR="00F602F7" w:rsidRDefault="00F602F7" w:rsidP="005C486A">
      <w:pPr>
        <w:pStyle w:val="TFReferencesSection"/>
      </w:pPr>
      <w:r>
        <w:t>(</w:t>
      </w:r>
      <w:r w:rsidRPr="002B10CA">
        <w:endnoteRef/>
      </w:r>
      <w:r>
        <w:t xml:space="preserve">) Chang, C. Y.; Hsu, M. T.; Esposito, E. X.; Tseng, Y. J. Oversampling to Overcome Overfitting: Exploring the Relationship between Data Set Composition, Molecular Descriptors, and Predictive Modeling Methods. </w:t>
      </w:r>
      <w:r w:rsidRPr="0010161A">
        <w:rPr>
          <w:rFonts w:eastAsia="Arial Unicode MS"/>
          <w:i/>
          <w:iCs/>
          <w:szCs w:val="24"/>
        </w:rPr>
        <w:t xml:space="preserve">J. Chem. Inf. Model </w:t>
      </w:r>
      <w:r w:rsidRPr="0010161A">
        <w:rPr>
          <w:rFonts w:eastAsia="Arial Unicode MS"/>
          <w:b/>
          <w:bCs/>
          <w:szCs w:val="24"/>
        </w:rPr>
        <w:t>2013</w:t>
      </w:r>
      <w:r w:rsidRPr="0010161A">
        <w:rPr>
          <w:rFonts w:eastAsia="Arial Unicode MS"/>
          <w:szCs w:val="24"/>
        </w:rPr>
        <w:t xml:space="preserve">, </w:t>
      </w:r>
      <w:r w:rsidRPr="0010161A">
        <w:rPr>
          <w:rFonts w:eastAsia="Arial Unicode MS"/>
          <w:i/>
          <w:iCs/>
          <w:szCs w:val="24"/>
        </w:rPr>
        <w:t>53</w:t>
      </w:r>
      <w:r w:rsidRPr="0010161A">
        <w:rPr>
          <w:rFonts w:eastAsia="Arial Unicode MS"/>
          <w:szCs w:val="24"/>
        </w:rPr>
        <w:t xml:space="preserve"> (4), 958–971</w:t>
      </w:r>
      <w:r w:rsidRPr="0010161A">
        <w:rPr>
          <w:szCs w:val="24"/>
        </w:rPr>
        <w:t>.</w:t>
      </w:r>
    </w:p>
  </w:endnote>
  <w:endnote w:id="64">
    <w:p w14:paraId="666A03DA" w14:textId="77777777" w:rsidR="00522694" w:rsidRDefault="00522694" w:rsidP="00522694">
      <w:pPr>
        <w:pStyle w:val="TFReferencesSection"/>
      </w:pPr>
      <w:r>
        <w:t>(</w:t>
      </w:r>
      <w:r w:rsidRPr="003625CC">
        <w:endnoteRef/>
      </w:r>
      <w:r w:rsidRPr="003625CC">
        <w:t xml:space="preserve">) Nyffeler, J.; Willis, C.; Lougee, R.; Richard, A.; Paul-Friedman, K.; Harrill, J. A. Bioactivity Screening of Environmental Chemicals Using Imaging-Based High-Throughput Phenotypic Profiling. </w:t>
      </w:r>
      <w:r w:rsidRPr="003625CC">
        <w:rPr>
          <w:i/>
          <w:iCs/>
        </w:rPr>
        <w:t>Toxicol. Appl. Pharmacol.</w:t>
      </w:r>
      <w:r w:rsidRPr="003625CC">
        <w:t xml:space="preserve"> </w:t>
      </w:r>
      <w:r w:rsidRPr="003625CC">
        <w:rPr>
          <w:b/>
          <w:bCs/>
        </w:rPr>
        <w:t>2020</w:t>
      </w:r>
      <w:r w:rsidRPr="003625CC">
        <w:t>, 389</w:t>
      </w:r>
    </w:p>
  </w:endnote>
  <w:endnote w:id="65">
    <w:p w14:paraId="5F3CCFB8" w14:textId="1800365F" w:rsidR="00A2519B" w:rsidRDefault="00A2519B" w:rsidP="00A2519B">
      <w:pPr>
        <w:pStyle w:val="TFReferencesSection"/>
      </w:pPr>
      <w:r>
        <w:t>(</w:t>
      </w:r>
      <w:r w:rsidRPr="00A2519B">
        <w:endnoteRef/>
      </w:r>
      <w:r w:rsidRPr="00A2519B">
        <w:t xml:space="preserve">) Way, G.; Kost-Alimova, M.; Shibue, T.; Harrington, W.; Gill, S.; Piccioni, F.; Becker, T.; Hahn, W.; Carpenter, A.; Vazquez, F.; Singh, S. Predicting Cell Health Phenotypes Using Image-Based Morphology Profiling. </w:t>
      </w:r>
      <w:r w:rsidRPr="00A2519B">
        <w:rPr>
          <w:i/>
          <w:iCs/>
        </w:rPr>
        <w:t>bioRxiv</w:t>
      </w:r>
      <w:r>
        <w:rPr>
          <w:i/>
          <w:iCs/>
        </w:rPr>
        <w:t>.</w:t>
      </w:r>
      <w:r w:rsidRPr="00A2519B">
        <w:t xml:space="preserve"> </w:t>
      </w:r>
      <w:r w:rsidRPr="00A2519B">
        <w:rPr>
          <w:b/>
          <w:bCs/>
        </w:rPr>
        <w:t>2020</w:t>
      </w:r>
      <w:r w:rsidRPr="00A2519B">
        <w:t>, 2020.07.08.193938</w:t>
      </w:r>
      <w:r>
        <w:t>.</w:t>
      </w:r>
    </w:p>
  </w:endnote>
  <w:endnote w:id="66">
    <w:p w14:paraId="63184DD7" w14:textId="618D0356" w:rsidR="009A540D" w:rsidRDefault="009A540D" w:rsidP="009A540D">
      <w:pPr>
        <w:pStyle w:val="TFReferencesSection"/>
      </w:pPr>
      <w:r>
        <w:t>(</w:t>
      </w:r>
      <w:r w:rsidRPr="008411B3">
        <w:endnoteRef/>
      </w:r>
      <w:r w:rsidRPr="008411B3">
        <w:t xml:space="preserve">) Cummings, B. S.; Schnellmann, R. G. Measurement of Cell Death in Mammalian Cells. </w:t>
      </w:r>
      <w:r w:rsidRPr="009A540D">
        <w:rPr>
          <w:i/>
          <w:iCs/>
        </w:rPr>
        <w:t>Curr. Protoc. Pharmacol.</w:t>
      </w:r>
      <w:r w:rsidRPr="008411B3">
        <w:t xml:space="preserve"> </w:t>
      </w:r>
      <w:r w:rsidRPr="009A540D">
        <w:rPr>
          <w:b/>
          <w:bCs/>
        </w:rPr>
        <w:t>2004</w:t>
      </w:r>
      <w:r w:rsidRPr="008411B3">
        <w:t xml:space="preserve">, </w:t>
      </w:r>
      <w:r w:rsidRPr="009A540D">
        <w:rPr>
          <w:i/>
          <w:iCs/>
        </w:rPr>
        <w:t>25</w:t>
      </w:r>
      <w:r w:rsidRPr="008411B3">
        <w:t xml:space="preserve"> (1).</w:t>
      </w:r>
    </w:p>
  </w:endnote>
  <w:endnote w:id="67">
    <w:p w14:paraId="77B570D7" w14:textId="02A9A978" w:rsidR="009E44C4" w:rsidRDefault="009E44C4" w:rsidP="009E44C4">
      <w:pPr>
        <w:pStyle w:val="TFReferencesSection"/>
      </w:pPr>
      <w:r>
        <w:t>(</w:t>
      </w:r>
      <w:r w:rsidRPr="009E44C4">
        <w:endnoteRef/>
      </w:r>
      <w:r w:rsidRPr="009E44C4">
        <w:t xml:space="preserve">) Elmore, S. Apoptosis: A Review of Programmed Cell Death. </w:t>
      </w:r>
      <w:r w:rsidRPr="009E44C4">
        <w:rPr>
          <w:i/>
          <w:iCs/>
        </w:rPr>
        <w:t>Toxicologic Pathology.</w:t>
      </w:r>
      <w:r w:rsidRPr="009E44C4">
        <w:t xml:space="preserve"> </w:t>
      </w:r>
      <w:r w:rsidRPr="009E44C4">
        <w:rPr>
          <w:b/>
          <w:bCs/>
        </w:rPr>
        <w:t>2007</w:t>
      </w:r>
      <w:r w:rsidRPr="009E44C4">
        <w:t>, 495–516.</w:t>
      </w:r>
    </w:p>
  </w:endnote>
  <w:endnote w:id="68">
    <w:p w14:paraId="56D83660" w14:textId="77777777" w:rsidR="009A540D" w:rsidRDefault="009A540D" w:rsidP="009A540D">
      <w:pPr>
        <w:pStyle w:val="TFReferencesSection"/>
      </w:pPr>
      <w:r>
        <w:t>(</w:t>
      </w:r>
      <w:r w:rsidRPr="00FA4898">
        <w:endnoteRef/>
      </w:r>
      <w:r w:rsidRPr="00FA4898">
        <w:t xml:space="preserve">) Taubenberger, A. V.; Baum, B.; Matthews, H. K. The Mechanics of Mitotic Cell Rounding. </w:t>
      </w:r>
      <w:r w:rsidRPr="008321EA">
        <w:rPr>
          <w:i/>
          <w:iCs/>
        </w:rPr>
        <w:t>Front Cell Dev Biol.</w:t>
      </w:r>
      <w:r w:rsidRPr="00FA4898">
        <w:t xml:space="preserve"> </w:t>
      </w:r>
      <w:r w:rsidRPr="008321EA">
        <w:rPr>
          <w:b/>
          <w:bCs/>
        </w:rPr>
        <w:t>2020</w:t>
      </w:r>
      <w:r>
        <w:t xml:space="preserve">, </w:t>
      </w:r>
      <w:r w:rsidRPr="008321EA">
        <w:rPr>
          <w:i/>
          <w:iCs/>
        </w:rPr>
        <w:t>8</w:t>
      </w:r>
      <w:r>
        <w:t>, 687</w:t>
      </w:r>
    </w:p>
  </w:endnote>
  <w:endnote w:id="69">
    <w:p w14:paraId="35F1877A" w14:textId="77777777" w:rsidR="00837770" w:rsidRDefault="00837770" w:rsidP="00837770">
      <w:pPr>
        <w:pStyle w:val="TFReferencesSection"/>
      </w:pPr>
      <w:r>
        <w:t>(</w:t>
      </w:r>
      <w:r w:rsidRPr="009E49C1">
        <w:endnoteRef/>
      </w:r>
      <w:r w:rsidRPr="009E49C1">
        <w:t xml:space="preserve">) Skinner, B. M.; Johnson, E. E. P. Nuclear Morphologies: Their Diversity and Functional Relevance. </w:t>
      </w:r>
      <w:r w:rsidRPr="009E49C1">
        <w:rPr>
          <w:i/>
          <w:iCs/>
        </w:rPr>
        <w:t>Chromosoma</w:t>
      </w:r>
      <w:r w:rsidRPr="009E49C1">
        <w:t xml:space="preserve">. </w:t>
      </w:r>
      <w:r w:rsidRPr="009E49C1">
        <w:rPr>
          <w:b/>
          <w:bCs/>
        </w:rPr>
        <w:t>2017</w:t>
      </w:r>
      <w:r w:rsidRPr="009E49C1">
        <w:t>, 195–212.</w:t>
      </w:r>
    </w:p>
  </w:endnote>
  <w:endnote w:id="70">
    <w:p w14:paraId="0B6308BA" w14:textId="77777777" w:rsidR="0079563A" w:rsidRDefault="0079563A" w:rsidP="0079563A">
      <w:pPr>
        <w:pStyle w:val="TFReferencesSection"/>
      </w:pPr>
      <w:r>
        <w:t>(</w:t>
      </w:r>
      <w:r w:rsidRPr="006D4875">
        <w:endnoteRef/>
      </w:r>
      <w:r w:rsidRPr="006D4875">
        <w:t xml:space="preserve">) Willis, C.; Nyffeler, J.; Harrill, J. Phenotypic Profiling of Reference Chemicals across Biologically Diverse Cell Types Using the Cell Painting Assay. </w:t>
      </w:r>
      <w:r w:rsidRPr="006D4875">
        <w:rPr>
          <w:i/>
          <w:iCs/>
        </w:rPr>
        <w:t>SLAS Discov.</w:t>
      </w:r>
      <w:r w:rsidRPr="006D4875">
        <w:t xml:space="preserve"> </w:t>
      </w:r>
      <w:r w:rsidRPr="006D4875">
        <w:rPr>
          <w:b/>
          <w:bCs/>
        </w:rPr>
        <w:t>2020</w:t>
      </w:r>
      <w:r w:rsidRPr="006D4875">
        <w:t>, 25 (7), 755–769.</w:t>
      </w:r>
    </w:p>
  </w:endnote>
  <w:endnote w:id="71">
    <w:p w14:paraId="6E2B4C24" w14:textId="561E7A91" w:rsidR="00F602F7" w:rsidRDefault="00F602F7" w:rsidP="002B10CA">
      <w:pPr>
        <w:pStyle w:val="TFReferencesSection"/>
      </w:pPr>
      <w:r>
        <w:t>(</w:t>
      </w:r>
      <w:r w:rsidRPr="002B10CA">
        <w:endnoteRef/>
      </w:r>
      <w:r>
        <w:t xml:space="preserve">) Altman, D. G.; Royston, P. The Cost of Dichotomising Continuous Variables. </w:t>
      </w:r>
      <w:r w:rsidRPr="00E33416">
        <w:rPr>
          <w:rFonts w:eastAsia="Arial Unicode MS"/>
          <w:i/>
          <w:iCs/>
          <w:szCs w:val="24"/>
        </w:rPr>
        <w:t>Br. Med. J</w:t>
      </w:r>
      <w:r w:rsidRPr="00E33416">
        <w:rPr>
          <w:rFonts w:eastAsia="Arial Unicode MS"/>
          <w:szCs w:val="24"/>
        </w:rPr>
        <w:t xml:space="preserve">. </w:t>
      </w:r>
      <w:r w:rsidRPr="00E33416">
        <w:rPr>
          <w:rFonts w:eastAsia="Arial Unicode MS"/>
          <w:b/>
          <w:bCs/>
          <w:szCs w:val="24"/>
        </w:rPr>
        <w:t>2006</w:t>
      </w:r>
      <w:r w:rsidRPr="00E33416">
        <w:rPr>
          <w:rFonts w:eastAsia="Arial Unicode MS"/>
          <w:szCs w:val="24"/>
        </w:rPr>
        <w:t>, 1080</w:t>
      </w:r>
      <w:r w:rsidRPr="00E33416">
        <w:rPr>
          <w:szCs w:val="24"/>
        </w:rPr>
        <w:t>.</w:t>
      </w:r>
    </w:p>
  </w:endnote>
  <w:endnote w:id="72">
    <w:p w14:paraId="19F12F8A" w14:textId="77777777" w:rsidR="00C744E7" w:rsidRDefault="00C744E7" w:rsidP="00C744E7">
      <w:pPr>
        <w:pStyle w:val="TFReferencesSection"/>
      </w:pPr>
      <w:r>
        <w:t>(</w:t>
      </w:r>
      <w:r w:rsidRPr="008F0CD7">
        <w:endnoteRef/>
      </w:r>
      <w:r>
        <w:t xml:space="preserve">) </w:t>
      </w:r>
      <w:r>
        <w:tab/>
      </w:r>
      <w:r w:rsidRPr="008F0CD7">
        <w:t xml:space="preserve">Watt, E. D.; Judson, R. S. Uncertainty Quantification in ToxCast High Throughput Screening. </w:t>
      </w:r>
      <w:r w:rsidRPr="00EF6CF7">
        <w:rPr>
          <w:i/>
          <w:iCs/>
        </w:rPr>
        <w:t>PLoS One</w:t>
      </w:r>
      <w:r>
        <w:t>.</w:t>
      </w:r>
      <w:r w:rsidRPr="008F0CD7">
        <w:t xml:space="preserve"> </w:t>
      </w:r>
      <w:r w:rsidRPr="008F0CD7">
        <w:rPr>
          <w:b/>
          <w:bCs/>
        </w:rPr>
        <w:t>2018</w:t>
      </w:r>
      <w:r w:rsidRPr="008F0CD7">
        <w:t xml:space="preserve">, </w:t>
      </w:r>
      <w:r w:rsidRPr="00EF6CF7">
        <w:rPr>
          <w:i/>
          <w:iCs/>
        </w:rPr>
        <w:t>13</w:t>
      </w:r>
      <w:r w:rsidRPr="008F0CD7">
        <w:t xml:space="preserve"> (7).</w:t>
      </w:r>
    </w:p>
  </w:endnote>
  <w:endnote w:id="73">
    <w:p w14:paraId="250E08A3" w14:textId="241AF6DC" w:rsidR="00F602F7" w:rsidRPr="00EF6CF7" w:rsidRDefault="00F602F7" w:rsidP="002B10CA">
      <w:pPr>
        <w:pStyle w:val="TFReferencesSection"/>
        <w:rPr>
          <w:szCs w:val="24"/>
        </w:rPr>
      </w:pPr>
      <w:r>
        <w:t>(</w:t>
      </w:r>
      <w:r w:rsidRPr="002B10CA">
        <w:endnoteRef/>
      </w:r>
      <w:r>
        <w:t xml:space="preserve">) </w:t>
      </w:r>
      <w:r w:rsidRPr="00EF6CF7">
        <w:rPr>
          <w:rFonts w:eastAsia="Arial Unicode MS"/>
          <w:szCs w:val="24"/>
        </w:rPr>
        <w:t xml:space="preserve">Bois, F. Y. How to Integrate in Vitro PK/PD Information for Toxicity Prediction; 7. </w:t>
      </w:r>
      <w:r w:rsidRPr="00EF6CF7">
        <w:rPr>
          <w:rFonts w:eastAsia="Arial Unicode MS"/>
          <w:i/>
          <w:iCs/>
          <w:szCs w:val="24"/>
        </w:rPr>
        <w:t>World Congress on alternatives and animal use in the life sciences</w:t>
      </w:r>
      <w:r w:rsidRPr="00EF6CF7">
        <w:rPr>
          <w:rFonts w:eastAsia="Arial Unicode MS"/>
          <w:szCs w:val="24"/>
        </w:rPr>
        <w:t>, Rome, Italy.</w:t>
      </w:r>
      <w:r w:rsidRPr="00EF6CF7">
        <w:rPr>
          <w:rFonts w:eastAsia="Arial Unicode MS"/>
          <w:b/>
          <w:bCs/>
          <w:szCs w:val="24"/>
        </w:rPr>
        <w:t xml:space="preserve"> 2009</w:t>
      </w:r>
      <w:r w:rsidRPr="00EF6CF7">
        <w:rPr>
          <w:rFonts w:eastAsia="Arial Unicode MS"/>
          <w:szCs w:val="24"/>
        </w:rPr>
        <w:t>.</w:t>
      </w:r>
    </w:p>
  </w:endnote>
  <w:endnote w:id="74">
    <w:p w14:paraId="350AE361" w14:textId="476790B7" w:rsidR="00F602F7" w:rsidRDefault="00F602F7" w:rsidP="002B10CA">
      <w:pPr>
        <w:pStyle w:val="TFReferencesSection"/>
      </w:pPr>
      <w:r>
        <w:t>(</w:t>
      </w:r>
      <w:r w:rsidRPr="002B10CA">
        <w:endnoteRef/>
      </w:r>
      <w:r>
        <w:t xml:space="preserve">) National Academies of Sciences, E. and M. Application of Modern Toxicology Approaches for Predicting Acute Toxicity for Chemical Defense; </w:t>
      </w:r>
      <w:r w:rsidRPr="00EF6CF7">
        <w:rPr>
          <w:i/>
          <w:iCs/>
        </w:rPr>
        <w:t>National Academies Press</w:t>
      </w:r>
      <w:r>
        <w:t xml:space="preserve">, </w:t>
      </w:r>
      <w:r w:rsidRPr="002B10CA">
        <w:rPr>
          <w:b/>
          <w:bCs/>
        </w:rPr>
        <w:t>2015</w:t>
      </w:r>
      <w:r>
        <w:t>.</w:t>
      </w:r>
    </w:p>
  </w:endnote>
  <w:endnote w:id="75">
    <w:p w14:paraId="7C438615" w14:textId="4039F782" w:rsidR="00F602F7" w:rsidRDefault="00F602F7" w:rsidP="002B10CA">
      <w:pPr>
        <w:pStyle w:val="TFReferencesSection"/>
      </w:pPr>
      <w:r>
        <w:t>(</w:t>
      </w:r>
      <w:r w:rsidRPr="002B10CA">
        <w:endnoteRef/>
      </w:r>
      <w:r>
        <w:t xml:space="preserve">) </w:t>
      </w:r>
      <w:r w:rsidRPr="00007090">
        <w:rPr>
          <w:rFonts w:eastAsia="Arial Unicode MS"/>
          <w:szCs w:val="24"/>
        </w:rPr>
        <w:t xml:space="preserve">Blaauboer, B. J.; Hermens, J.; van Eijkeren, J. Estimating Acute Toxicity Based on in Vitro Cytotoxicity: Role of Biokinetic Modelling. </w:t>
      </w:r>
      <w:r w:rsidRPr="00007090">
        <w:rPr>
          <w:rFonts w:eastAsia="Arial Unicode MS"/>
          <w:i/>
          <w:iCs/>
          <w:szCs w:val="24"/>
        </w:rPr>
        <w:t>Altex -Heidelberg</w:t>
      </w:r>
      <w:r w:rsidRPr="00007090">
        <w:rPr>
          <w:rFonts w:eastAsia="Arial Unicode MS"/>
          <w:szCs w:val="24"/>
        </w:rPr>
        <w:t xml:space="preserve">- </w:t>
      </w:r>
      <w:r w:rsidRPr="00007090">
        <w:rPr>
          <w:rFonts w:eastAsia="Arial Unicode MS"/>
          <w:b/>
          <w:bCs/>
          <w:szCs w:val="24"/>
        </w:rPr>
        <w:t>2006</w:t>
      </w:r>
      <w:r w:rsidRPr="00007090">
        <w:rPr>
          <w:rFonts w:eastAsia="Arial Unicode MS"/>
          <w:i/>
          <w:iCs/>
          <w:szCs w:val="24"/>
        </w:rPr>
        <w:t>, 1</w:t>
      </w:r>
      <w:r w:rsidRPr="00007090">
        <w:rPr>
          <w:rFonts w:eastAsia="Arial Unicode MS"/>
          <w:szCs w:val="24"/>
        </w:rPr>
        <w:t xml:space="preserve"> (23), 250–253</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Neue">
    <w:altName w:val="Sylfaen"/>
    <w:charset w:val="00"/>
    <w:family w:val="auto"/>
    <w:pitch w:val="variable"/>
    <w:sig w:usb0="E50002FF" w:usb1="500079DB" w:usb2="00000010" w:usb3="00000000" w:csb0="00000001" w:csb1="00000000"/>
  </w:font>
  <w:font w:name="Tahoma">
    <w:panose1 w:val="020B0604030504040204"/>
    <w:charset w:val="00"/>
    <w:family w:val="swiss"/>
    <w:pitch w:val="variable"/>
    <w:sig w:usb0="E1002EFF" w:usb1="C000605B" w:usb2="00000029" w:usb3="00000000" w:csb0="0001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Myriad Pro Light">
    <w:altName w:val="Times New Roman"/>
    <w:charset w:val="00"/>
    <w:family w:val="auto"/>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35262629"/>
      <w:docPartObj>
        <w:docPartGallery w:val="Page Numbers (Bottom of Page)"/>
        <w:docPartUnique/>
      </w:docPartObj>
    </w:sdtPr>
    <w:sdtEndPr>
      <w:rPr>
        <w:noProof/>
      </w:rPr>
    </w:sdtEndPr>
    <w:sdtContent>
      <w:p w14:paraId="2E80D1BF" w14:textId="77777777" w:rsidR="00F602F7" w:rsidRDefault="00F602F7" w:rsidP="00976001">
        <w:pPr>
          <w:pStyle w:val="Footer"/>
          <w:jc w:val="right"/>
        </w:pPr>
        <w:r>
          <w:fldChar w:fldCharType="begin"/>
        </w:r>
        <w:r>
          <w:instrText xml:space="preserve"> PAGE   \* MERGEFORMAT </w:instrText>
        </w:r>
        <w:r>
          <w:fldChar w:fldCharType="separate"/>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6CC802" w14:textId="77777777" w:rsidR="00873A4D" w:rsidRDefault="00873A4D">
      <w:r>
        <w:separator/>
      </w:r>
    </w:p>
  </w:footnote>
  <w:footnote w:type="continuationSeparator" w:id="0">
    <w:p w14:paraId="33ACED36" w14:textId="77777777" w:rsidR="00873A4D" w:rsidRDefault="00873A4D">
      <w:r>
        <w:continuationSeparator/>
      </w:r>
    </w:p>
  </w:footnote>
  <w:footnote w:type="continuationNotice" w:id="1">
    <w:p w14:paraId="1E503B67" w14:textId="77777777" w:rsidR="00873A4D" w:rsidRDefault="00873A4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742334" w14:textId="77777777" w:rsidR="00F602F7" w:rsidRDefault="00F602F7">
    <w:pPr>
      <w:pStyle w:val="HeaderFooter"/>
      <w:keepNext/>
      <w:tabs>
        <w:tab w:val="clear" w:pos="9020"/>
        <w:tab w:val="center" w:pos="4703"/>
        <w:tab w:val="right" w:pos="9406"/>
      </w:tabs>
      <w:outlineLvl w:val="0"/>
    </w:pPr>
    <w:r>
      <w:rPr>
        <w:sz w:val="16"/>
        <w:szCs w:val="16"/>
      </w:rPr>
      <w:tab/>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2608DD" w14:textId="6D3FA25B" w:rsidR="00F602F7" w:rsidRDefault="00F602F7">
    <w:pPr>
      <w:pStyle w:val="HeaderFooter"/>
      <w:keepNext/>
      <w:tabs>
        <w:tab w:val="clear" w:pos="9020"/>
        <w:tab w:val="center" w:pos="4703"/>
        <w:tab w:val="right" w:pos="9406"/>
      </w:tabs>
      <w:outlineLvl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D8F48B3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CF432E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2664536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E44E3F2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B9ADEF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09EDE0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FF388FD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E00AB7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4AC38D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0CD0E56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6B36AC"/>
    <w:multiLevelType w:val="hybridMultilevel"/>
    <w:tmpl w:val="C83AD792"/>
    <w:lvl w:ilvl="0" w:tplc="EB4ED3CC">
      <w:numFmt w:val="bullet"/>
      <w:lvlText w:val="-"/>
      <w:lvlJc w:val="left"/>
      <w:pPr>
        <w:ind w:left="720" w:hanging="360"/>
      </w:pPr>
      <w:rPr>
        <w:rFonts w:ascii="Times" w:eastAsia="Times New Roman" w:hAnsi="Times" w:cs="Time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26746BC"/>
    <w:multiLevelType w:val="hybridMultilevel"/>
    <w:tmpl w:val="750A928C"/>
    <w:lvl w:ilvl="0" w:tplc="7EC269EC">
      <w:start w:val="1"/>
      <w:numFmt w:val="upperLetter"/>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29A44A7"/>
    <w:multiLevelType w:val="hybridMultilevel"/>
    <w:tmpl w:val="4A68F790"/>
    <w:lvl w:ilvl="0" w:tplc="C87CC536">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4647C33"/>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D566D0A"/>
    <w:multiLevelType w:val="hybridMultilevel"/>
    <w:tmpl w:val="DD442A24"/>
    <w:styleLink w:val="Lettered"/>
    <w:lvl w:ilvl="0" w:tplc="15FCE568">
      <w:start w:val="1"/>
      <w:numFmt w:val="lowerRoman"/>
      <w:lvlText w:val="(%1)"/>
      <w:lvlJc w:val="left"/>
      <w:pPr>
        <w:ind w:left="393" w:hanging="393"/>
      </w:pPr>
      <w:rPr>
        <w:rFonts w:hAnsi="Arial Unicode MS"/>
        <w:caps w:val="0"/>
        <w:smallCaps w:val="0"/>
        <w:strike w:val="0"/>
        <w:dstrike w:val="0"/>
        <w:outline w:val="0"/>
        <w:emboss w:val="0"/>
        <w:imprint w:val="0"/>
        <w:spacing w:val="0"/>
        <w:w w:val="100"/>
        <w:kern w:val="0"/>
        <w:position w:val="0"/>
        <w:highlight w:val="none"/>
        <w:vertAlign w:val="baseline"/>
      </w:rPr>
    </w:lvl>
    <w:lvl w:ilvl="1" w:tplc="80C44CAE">
      <w:start w:val="1"/>
      <w:numFmt w:val="lowerRoman"/>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38F8E83A">
      <w:start w:val="1"/>
      <w:numFmt w:val="lowerRoman"/>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78026BC6">
      <w:start w:val="1"/>
      <w:numFmt w:val="lowerRoman"/>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E48ED9F2">
      <w:start w:val="1"/>
      <w:numFmt w:val="lowerRoman"/>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A13E6B40">
      <w:start w:val="1"/>
      <w:numFmt w:val="lowerRoman"/>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0FCC84D0">
      <w:start w:val="1"/>
      <w:numFmt w:val="lowerRoman"/>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ACF02004">
      <w:start w:val="1"/>
      <w:numFmt w:val="lowerRoman"/>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BA388AFC">
      <w:start w:val="1"/>
      <w:numFmt w:val="lowerRoman"/>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6" w15:restartNumberingAfterBreak="0">
    <w:nsid w:val="2E01202A"/>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19"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20"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21"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22"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23" w15:restartNumberingAfterBreak="0">
    <w:nsid w:val="3F07362D"/>
    <w:multiLevelType w:val="hybridMultilevel"/>
    <w:tmpl w:val="DD90726E"/>
    <w:lvl w:ilvl="0" w:tplc="936AACDA">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25" w15:restartNumberingAfterBreak="0">
    <w:nsid w:val="579F4589"/>
    <w:multiLevelType w:val="hybridMultilevel"/>
    <w:tmpl w:val="DD442A24"/>
    <w:numStyleLink w:val="Lettered"/>
  </w:abstractNum>
  <w:abstractNum w:abstractNumId="26" w15:restartNumberingAfterBreak="0">
    <w:nsid w:val="786D2FFC"/>
    <w:multiLevelType w:val="hybridMultilevel"/>
    <w:tmpl w:val="1CAC4BAE"/>
    <w:lvl w:ilvl="0" w:tplc="A142D4BE">
      <w:numFmt w:val="bullet"/>
      <w:lvlText w:val=""/>
      <w:lvlJc w:val="left"/>
      <w:pPr>
        <w:ind w:left="720" w:hanging="360"/>
      </w:pPr>
      <w:rPr>
        <w:rFonts w:ascii="Symbol" w:eastAsia="Times New Roman" w:hAnsi="Symbol" w:cs="Times" w:hint="default"/>
        <w:b w:val="0"/>
        <w:color w:val="000000"/>
        <w:sz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25"/>
  </w:num>
  <w:num w:numId="3">
    <w:abstractNumId w:val="25"/>
    <w:lvlOverride w:ilvl="0">
      <w:startOverride w:val="1"/>
    </w:lvlOverride>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 w:numId="14">
    <w:abstractNumId w:val="22"/>
  </w:num>
  <w:num w:numId="15">
    <w:abstractNumId w:val="20"/>
  </w:num>
  <w:num w:numId="16">
    <w:abstractNumId w:val="24"/>
  </w:num>
  <w:num w:numId="17">
    <w:abstractNumId w:val="21"/>
  </w:num>
  <w:num w:numId="18">
    <w:abstractNumId w:val="19"/>
  </w:num>
  <w:num w:numId="19">
    <w:abstractNumId w:val="18"/>
  </w:num>
  <w:num w:numId="20">
    <w:abstractNumId w:val="17"/>
  </w:num>
  <w:num w:numId="21">
    <w:abstractNumId w:val="14"/>
  </w:num>
  <w:num w:numId="22">
    <w:abstractNumId w:val="13"/>
  </w:num>
  <w:num w:numId="23">
    <w:abstractNumId w:val="16"/>
  </w:num>
  <w:num w:numId="24">
    <w:abstractNumId w:val="26"/>
  </w:num>
  <w:num w:numId="25">
    <w:abstractNumId w:val="10"/>
  </w:num>
  <w:num w:numId="26">
    <w:abstractNumId w:val="11"/>
  </w:num>
  <w:num w:numId="27">
    <w:abstractNumId w:val="12"/>
  </w:num>
  <w:num w:numId="2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displayBackgroundShape/>
  <w:hideSpellingErrors/>
  <w:hideGrammaticalErrors/>
  <w:proofState w:spelling="clean" w:grammar="clean"/>
  <w:defaultTabStop w:val="720"/>
  <w:autoHyphenation/>
  <w:characterSpacingControl w:val="doNotCompress"/>
  <w:hdrShapeDefaults>
    <o:shapedefaults v:ext="edit" spidmax="8193"/>
  </w:hdrShapeDefaults>
  <w:footnotePr>
    <w:footnote w:id="-1"/>
    <w:footnote w:id="0"/>
    <w:footnote w:id="1"/>
  </w:footnotePr>
  <w:endnotePr>
    <w:pos w:val="sectEnd"/>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jUwNDIxM7I0MjWzNDNQ0lEKTi0uzszPAykwNq0FAGGCfEQtAAAA"/>
  </w:docVars>
  <w:rsids>
    <w:rsidRoot w:val="0019313F"/>
    <w:rsid w:val="0000020F"/>
    <w:rsid w:val="00000D03"/>
    <w:rsid w:val="00002144"/>
    <w:rsid w:val="000028F7"/>
    <w:rsid w:val="00002C7F"/>
    <w:rsid w:val="000030F0"/>
    <w:rsid w:val="00003BF0"/>
    <w:rsid w:val="00004A38"/>
    <w:rsid w:val="00004C05"/>
    <w:rsid w:val="000052DE"/>
    <w:rsid w:val="00005E8E"/>
    <w:rsid w:val="000065D1"/>
    <w:rsid w:val="000069A8"/>
    <w:rsid w:val="00007090"/>
    <w:rsid w:val="000111E8"/>
    <w:rsid w:val="00011955"/>
    <w:rsid w:val="00012243"/>
    <w:rsid w:val="00012F3E"/>
    <w:rsid w:val="00013A34"/>
    <w:rsid w:val="0001421C"/>
    <w:rsid w:val="000147AE"/>
    <w:rsid w:val="000158B6"/>
    <w:rsid w:val="00015C91"/>
    <w:rsid w:val="00016956"/>
    <w:rsid w:val="0002034C"/>
    <w:rsid w:val="00020446"/>
    <w:rsid w:val="00020BE1"/>
    <w:rsid w:val="00021853"/>
    <w:rsid w:val="00021854"/>
    <w:rsid w:val="000220AA"/>
    <w:rsid w:val="000226E4"/>
    <w:rsid w:val="00022F59"/>
    <w:rsid w:val="0002358A"/>
    <w:rsid w:val="00024EC0"/>
    <w:rsid w:val="0002603C"/>
    <w:rsid w:val="00026FF1"/>
    <w:rsid w:val="00027A63"/>
    <w:rsid w:val="00027F3D"/>
    <w:rsid w:val="00031091"/>
    <w:rsid w:val="00031AFA"/>
    <w:rsid w:val="00031F66"/>
    <w:rsid w:val="000322CE"/>
    <w:rsid w:val="000326CD"/>
    <w:rsid w:val="000345C6"/>
    <w:rsid w:val="00035ABF"/>
    <w:rsid w:val="00037586"/>
    <w:rsid w:val="00037D07"/>
    <w:rsid w:val="00042D88"/>
    <w:rsid w:val="00045255"/>
    <w:rsid w:val="000500AA"/>
    <w:rsid w:val="00050428"/>
    <w:rsid w:val="000506AF"/>
    <w:rsid w:val="00050D39"/>
    <w:rsid w:val="00052C20"/>
    <w:rsid w:val="00053261"/>
    <w:rsid w:val="00053464"/>
    <w:rsid w:val="0005399C"/>
    <w:rsid w:val="000559C1"/>
    <w:rsid w:val="00055DB3"/>
    <w:rsid w:val="00057624"/>
    <w:rsid w:val="000579BA"/>
    <w:rsid w:val="00060511"/>
    <w:rsid w:val="000605E0"/>
    <w:rsid w:val="00062750"/>
    <w:rsid w:val="0006275C"/>
    <w:rsid w:val="00062E1E"/>
    <w:rsid w:val="00063AE4"/>
    <w:rsid w:val="000654E2"/>
    <w:rsid w:val="000656BD"/>
    <w:rsid w:val="000667D5"/>
    <w:rsid w:val="00067928"/>
    <w:rsid w:val="000709E0"/>
    <w:rsid w:val="000714EF"/>
    <w:rsid w:val="00071D94"/>
    <w:rsid w:val="0007312E"/>
    <w:rsid w:val="00073601"/>
    <w:rsid w:val="00073A36"/>
    <w:rsid w:val="000746C3"/>
    <w:rsid w:val="00074B43"/>
    <w:rsid w:val="00075214"/>
    <w:rsid w:val="000754BC"/>
    <w:rsid w:val="00076639"/>
    <w:rsid w:val="00076B08"/>
    <w:rsid w:val="0007766E"/>
    <w:rsid w:val="000777D5"/>
    <w:rsid w:val="000777FF"/>
    <w:rsid w:val="00081262"/>
    <w:rsid w:val="00081967"/>
    <w:rsid w:val="00081E59"/>
    <w:rsid w:val="000821EC"/>
    <w:rsid w:val="0008317A"/>
    <w:rsid w:val="0008678E"/>
    <w:rsid w:val="00086A74"/>
    <w:rsid w:val="0008782B"/>
    <w:rsid w:val="000879E9"/>
    <w:rsid w:val="00090EA9"/>
    <w:rsid w:val="00092B12"/>
    <w:rsid w:val="000943D8"/>
    <w:rsid w:val="00095327"/>
    <w:rsid w:val="00095767"/>
    <w:rsid w:val="00095EA2"/>
    <w:rsid w:val="0009619E"/>
    <w:rsid w:val="000964EB"/>
    <w:rsid w:val="00096952"/>
    <w:rsid w:val="00096A4D"/>
    <w:rsid w:val="00096D10"/>
    <w:rsid w:val="00097C11"/>
    <w:rsid w:val="000A1112"/>
    <w:rsid w:val="000A1CA4"/>
    <w:rsid w:val="000A3BAB"/>
    <w:rsid w:val="000A3DEF"/>
    <w:rsid w:val="000A522D"/>
    <w:rsid w:val="000A69B7"/>
    <w:rsid w:val="000A77DA"/>
    <w:rsid w:val="000A7F5E"/>
    <w:rsid w:val="000B0DCF"/>
    <w:rsid w:val="000B3512"/>
    <w:rsid w:val="000B3A79"/>
    <w:rsid w:val="000B3B2A"/>
    <w:rsid w:val="000B45CA"/>
    <w:rsid w:val="000B4F73"/>
    <w:rsid w:val="000B52BB"/>
    <w:rsid w:val="000B5641"/>
    <w:rsid w:val="000B6707"/>
    <w:rsid w:val="000B684E"/>
    <w:rsid w:val="000B74E1"/>
    <w:rsid w:val="000B79D8"/>
    <w:rsid w:val="000C0163"/>
    <w:rsid w:val="000C124A"/>
    <w:rsid w:val="000C1F10"/>
    <w:rsid w:val="000C2131"/>
    <w:rsid w:val="000C224F"/>
    <w:rsid w:val="000C3277"/>
    <w:rsid w:val="000C43DE"/>
    <w:rsid w:val="000C51CB"/>
    <w:rsid w:val="000C5233"/>
    <w:rsid w:val="000C591D"/>
    <w:rsid w:val="000C5AD2"/>
    <w:rsid w:val="000C5CA5"/>
    <w:rsid w:val="000C68D1"/>
    <w:rsid w:val="000C791D"/>
    <w:rsid w:val="000D1E45"/>
    <w:rsid w:val="000D2754"/>
    <w:rsid w:val="000D394A"/>
    <w:rsid w:val="000D52B3"/>
    <w:rsid w:val="000E02EF"/>
    <w:rsid w:val="000E0706"/>
    <w:rsid w:val="000E1516"/>
    <w:rsid w:val="000E22A9"/>
    <w:rsid w:val="000E2F64"/>
    <w:rsid w:val="000E314D"/>
    <w:rsid w:val="000E3D51"/>
    <w:rsid w:val="000E3DFC"/>
    <w:rsid w:val="000E441B"/>
    <w:rsid w:val="000E44F0"/>
    <w:rsid w:val="000E74EE"/>
    <w:rsid w:val="000F124C"/>
    <w:rsid w:val="000F3107"/>
    <w:rsid w:val="000F440B"/>
    <w:rsid w:val="000F52A9"/>
    <w:rsid w:val="000F5413"/>
    <w:rsid w:val="000F6959"/>
    <w:rsid w:val="000F754E"/>
    <w:rsid w:val="000F7CB7"/>
    <w:rsid w:val="001005AA"/>
    <w:rsid w:val="0010161A"/>
    <w:rsid w:val="001021D3"/>
    <w:rsid w:val="00102C7A"/>
    <w:rsid w:val="0010558E"/>
    <w:rsid w:val="00106811"/>
    <w:rsid w:val="0010698E"/>
    <w:rsid w:val="00107125"/>
    <w:rsid w:val="00107B4F"/>
    <w:rsid w:val="00111E51"/>
    <w:rsid w:val="00112051"/>
    <w:rsid w:val="00112900"/>
    <w:rsid w:val="00112A90"/>
    <w:rsid w:val="001130BC"/>
    <w:rsid w:val="00113216"/>
    <w:rsid w:val="001134B0"/>
    <w:rsid w:val="00113616"/>
    <w:rsid w:val="00113A66"/>
    <w:rsid w:val="00115203"/>
    <w:rsid w:val="001152D2"/>
    <w:rsid w:val="0011553B"/>
    <w:rsid w:val="001164AC"/>
    <w:rsid w:val="00120498"/>
    <w:rsid w:val="00121550"/>
    <w:rsid w:val="00122056"/>
    <w:rsid w:val="001226D7"/>
    <w:rsid w:val="0012433E"/>
    <w:rsid w:val="00125BA1"/>
    <w:rsid w:val="00127C48"/>
    <w:rsid w:val="00131F39"/>
    <w:rsid w:val="0013253B"/>
    <w:rsid w:val="00132ED5"/>
    <w:rsid w:val="00133007"/>
    <w:rsid w:val="00133668"/>
    <w:rsid w:val="0013393B"/>
    <w:rsid w:val="00133B71"/>
    <w:rsid w:val="00133C82"/>
    <w:rsid w:val="00136D55"/>
    <w:rsid w:val="001370D4"/>
    <w:rsid w:val="00137E0A"/>
    <w:rsid w:val="00137E21"/>
    <w:rsid w:val="00140358"/>
    <w:rsid w:val="001405EC"/>
    <w:rsid w:val="00140DFF"/>
    <w:rsid w:val="001415B1"/>
    <w:rsid w:val="00142F0C"/>
    <w:rsid w:val="0014371D"/>
    <w:rsid w:val="00143F68"/>
    <w:rsid w:val="001459AE"/>
    <w:rsid w:val="00147F22"/>
    <w:rsid w:val="00150612"/>
    <w:rsid w:val="00150C3E"/>
    <w:rsid w:val="001513C8"/>
    <w:rsid w:val="001532C0"/>
    <w:rsid w:val="001532E9"/>
    <w:rsid w:val="00153645"/>
    <w:rsid w:val="00153D80"/>
    <w:rsid w:val="0015447C"/>
    <w:rsid w:val="00154CA9"/>
    <w:rsid w:val="00155A99"/>
    <w:rsid w:val="00160199"/>
    <w:rsid w:val="00160778"/>
    <w:rsid w:val="00160D47"/>
    <w:rsid w:val="001662C5"/>
    <w:rsid w:val="001707C8"/>
    <w:rsid w:val="0017182B"/>
    <w:rsid w:val="001724D6"/>
    <w:rsid w:val="00172603"/>
    <w:rsid w:val="00172DB1"/>
    <w:rsid w:val="00172DBA"/>
    <w:rsid w:val="00172FDA"/>
    <w:rsid w:val="00173D5F"/>
    <w:rsid w:val="0017477C"/>
    <w:rsid w:val="00177871"/>
    <w:rsid w:val="00181093"/>
    <w:rsid w:val="0018170B"/>
    <w:rsid w:val="00182F63"/>
    <w:rsid w:val="00183715"/>
    <w:rsid w:val="001840CA"/>
    <w:rsid w:val="001850E0"/>
    <w:rsid w:val="001863B1"/>
    <w:rsid w:val="00186432"/>
    <w:rsid w:val="00186864"/>
    <w:rsid w:val="00186911"/>
    <w:rsid w:val="00187799"/>
    <w:rsid w:val="00190308"/>
    <w:rsid w:val="00190FBF"/>
    <w:rsid w:val="00191E0D"/>
    <w:rsid w:val="001921D3"/>
    <w:rsid w:val="0019313F"/>
    <w:rsid w:val="00193DBF"/>
    <w:rsid w:val="0019559A"/>
    <w:rsid w:val="00195CBC"/>
    <w:rsid w:val="001A08F9"/>
    <w:rsid w:val="001A3A88"/>
    <w:rsid w:val="001A3B7D"/>
    <w:rsid w:val="001A44EC"/>
    <w:rsid w:val="001A664C"/>
    <w:rsid w:val="001A6715"/>
    <w:rsid w:val="001A6C6E"/>
    <w:rsid w:val="001A6FBD"/>
    <w:rsid w:val="001A6FF5"/>
    <w:rsid w:val="001B04BE"/>
    <w:rsid w:val="001B12ED"/>
    <w:rsid w:val="001B348F"/>
    <w:rsid w:val="001B3B8C"/>
    <w:rsid w:val="001B3F0F"/>
    <w:rsid w:val="001B47F3"/>
    <w:rsid w:val="001B4D1C"/>
    <w:rsid w:val="001B52EC"/>
    <w:rsid w:val="001B5719"/>
    <w:rsid w:val="001B571C"/>
    <w:rsid w:val="001B626F"/>
    <w:rsid w:val="001B6775"/>
    <w:rsid w:val="001C01F9"/>
    <w:rsid w:val="001C25E8"/>
    <w:rsid w:val="001C4835"/>
    <w:rsid w:val="001C5271"/>
    <w:rsid w:val="001C6402"/>
    <w:rsid w:val="001C66C1"/>
    <w:rsid w:val="001C694E"/>
    <w:rsid w:val="001C7453"/>
    <w:rsid w:val="001C7476"/>
    <w:rsid w:val="001C75A9"/>
    <w:rsid w:val="001C7690"/>
    <w:rsid w:val="001D00AC"/>
    <w:rsid w:val="001D0DCA"/>
    <w:rsid w:val="001D237D"/>
    <w:rsid w:val="001D2B00"/>
    <w:rsid w:val="001D2BFE"/>
    <w:rsid w:val="001D454B"/>
    <w:rsid w:val="001D49F9"/>
    <w:rsid w:val="001D6457"/>
    <w:rsid w:val="001D67F7"/>
    <w:rsid w:val="001E15DA"/>
    <w:rsid w:val="001E1791"/>
    <w:rsid w:val="001E2C02"/>
    <w:rsid w:val="001E2C5F"/>
    <w:rsid w:val="001E4132"/>
    <w:rsid w:val="001E4960"/>
    <w:rsid w:val="001E4F7F"/>
    <w:rsid w:val="001E56BA"/>
    <w:rsid w:val="001E64A8"/>
    <w:rsid w:val="001E6845"/>
    <w:rsid w:val="001F0527"/>
    <w:rsid w:val="001F09DB"/>
    <w:rsid w:val="001F0FAE"/>
    <w:rsid w:val="001F113A"/>
    <w:rsid w:val="001F117C"/>
    <w:rsid w:val="001F1214"/>
    <w:rsid w:val="001F17B1"/>
    <w:rsid w:val="001F3FF5"/>
    <w:rsid w:val="001F6826"/>
    <w:rsid w:val="001F6A8F"/>
    <w:rsid w:val="001F6B91"/>
    <w:rsid w:val="001F7C73"/>
    <w:rsid w:val="00201690"/>
    <w:rsid w:val="00202812"/>
    <w:rsid w:val="00202BB9"/>
    <w:rsid w:val="00202DB2"/>
    <w:rsid w:val="002034C1"/>
    <w:rsid w:val="0020364A"/>
    <w:rsid w:val="00203BC7"/>
    <w:rsid w:val="0020555D"/>
    <w:rsid w:val="00206046"/>
    <w:rsid w:val="00206261"/>
    <w:rsid w:val="00206D6A"/>
    <w:rsid w:val="00207F84"/>
    <w:rsid w:val="00211237"/>
    <w:rsid w:val="00211553"/>
    <w:rsid w:val="002117BA"/>
    <w:rsid w:val="00212498"/>
    <w:rsid w:val="002128BF"/>
    <w:rsid w:val="00212BA5"/>
    <w:rsid w:val="0021342D"/>
    <w:rsid w:val="00213562"/>
    <w:rsid w:val="002136E7"/>
    <w:rsid w:val="00213800"/>
    <w:rsid w:val="00213DEA"/>
    <w:rsid w:val="00213E5C"/>
    <w:rsid w:val="002144EC"/>
    <w:rsid w:val="00214644"/>
    <w:rsid w:val="00214C36"/>
    <w:rsid w:val="00215AD4"/>
    <w:rsid w:val="00215FEA"/>
    <w:rsid w:val="002165A2"/>
    <w:rsid w:val="00217C7C"/>
    <w:rsid w:val="00220718"/>
    <w:rsid w:val="00221867"/>
    <w:rsid w:val="00221E21"/>
    <w:rsid w:val="00221EEB"/>
    <w:rsid w:val="00222501"/>
    <w:rsid w:val="00223774"/>
    <w:rsid w:val="00223A56"/>
    <w:rsid w:val="00224E75"/>
    <w:rsid w:val="0022530A"/>
    <w:rsid w:val="00226E89"/>
    <w:rsid w:val="00227135"/>
    <w:rsid w:val="00230068"/>
    <w:rsid w:val="00230812"/>
    <w:rsid w:val="002315DF"/>
    <w:rsid w:val="0023492E"/>
    <w:rsid w:val="00234AFB"/>
    <w:rsid w:val="00235907"/>
    <w:rsid w:val="00236329"/>
    <w:rsid w:val="00236BCB"/>
    <w:rsid w:val="002401CB"/>
    <w:rsid w:val="002402C1"/>
    <w:rsid w:val="00240B97"/>
    <w:rsid w:val="002418E2"/>
    <w:rsid w:val="00241CF4"/>
    <w:rsid w:val="00242316"/>
    <w:rsid w:val="002449EC"/>
    <w:rsid w:val="00246AE3"/>
    <w:rsid w:val="00247089"/>
    <w:rsid w:val="00252939"/>
    <w:rsid w:val="00252B83"/>
    <w:rsid w:val="00252F3D"/>
    <w:rsid w:val="002532BF"/>
    <w:rsid w:val="00254857"/>
    <w:rsid w:val="00254F6D"/>
    <w:rsid w:val="0025619B"/>
    <w:rsid w:val="00257A63"/>
    <w:rsid w:val="00261278"/>
    <w:rsid w:val="00261406"/>
    <w:rsid w:val="00261828"/>
    <w:rsid w:val="00261A46"/>
    <w:rsid w:val="00262315"/>
    <w:rsid w:val="0026376E"/>
    <w:rsid w:val="00264EB0"/>
    <w:rsid w:val="00265776"/>
    <w:rsid w:val="002657C0"/>
    <w:rsid w:val="0026581C"/>
    <w:rsid w:val="00265CBE"/>
    <w:rsid w:val="0026770E"/>
    <w:rsid w:val="00267A42"/>
    <w:rsid w:val="002704D3"/>
    <w:rsid w:val="00271009"/>
    <w:rsid w:val="0027130D"/>
    <w:rsid w:val="002715AF"/>
    <w:rsid w:val="002752C1"/>
    <w:rsid w:val="002753D1"/>
    <w:rsid w:val="00276FC8"/>
    <w:rsid w:val="00281788"/>
    <w:rsid w:val="00282AF4"/>
    <w:rsid w:val="00283289"/>
    <w:rsid w:val="0028429B"/>
    <w:rsid w:val="00284739"/>
    <w:rsid w:val="00284755"/>
    <w:rsid w:val="00284D41"/>
    <w:rsid w:val="0028570B"/>
    <w:rsid w:val="0029061A"/>
    <w:rsid w:val="00291358"/>
    <w:rsid w:val="002924F5"/>
    <w:rsid w:val="0029275B"/>
    <w:rsid w:val="00292BA4"/>
    <w:rsid w:val="00293EB0"/>
    <w:rsid w:val="00294B61"/>
    <w:rsid w:val="0029587D"/>
    <w:rsid w:val="00295A4F"/>
    <w:rsid w:val="00295EAF"/>
    <w:rsid w:val="00297872"/>
    <w:rsid w:val="002A115B"/>
    <w:rsid w:val="002A142B"/>
    <w:rsid w:val="002A16D0"/>
    <w:rsid w:val="002A1A07"/>
    <w:rsid w:val="002A2B42"/>
    <w:rsid w:val="002A38A4"/>
    <w:rsid w:val="002A4EF7"/>
    <w:rsid w:val="002A578B"/>
    <w:rsid w:val="002A6A17"/>
    <w:rsid w:val="002A73B4"/>
    <w:rsid w:val="002B0721"/>
    <w:rsid w:val="002B0728"/>
    <w:rsid w:val="002B0CE6"/>
    <w:rsid w:val="002B10CA"/>
    <w:rsid w:val="002B1AD9"/>
    <w:rsid w:val="002B2393"/>
    <w:rsid w:val="002B30B9"/>
    <w:rsid w:val="002B3879"/>
    <w:rsid w:val="002B3D91"/>
    <w:rsid w:val="002B443E"/>
    <w:rsid w:val="002B6FEE"/>
    <w:rsid w:val="002B6FFF"/>
    <w:rsid w:val="002C2D89"/>
    <w:rsid w:val="002C43E8"/>
    <w:rsid w:val="002C491E"/>
    <w:rsid w:val="002C4961"/>
    <w:rsid w:val="002C4CD4"/>
    <w:rsid w:val="002C5669"/>
    <w:rsid w:val="002D12A7"/>
    <w:rsid w:val="002D136B"/>
    <w:rsid w:val="002D1FBC"/>
    <w:rsid w:val="002D21EE"/>
    <w:rsid w:val="002D2FEE"/>
    <w:rsid w:val="002D3898"/>
    <w:rsid w:val="002E0F15"/>
    <w:rsid w:val="002E3732"/>
    <w:rsid w:val="002E415D"/>
    <w:rsid w:val="002E4699"/>
    <w:rsid w:val="002E4C8F"/>
    <w:rsid w:val="002E5F58"/>
    <w:rsid w:val="002E629D"/>
    <w:rsid w:val="002E7548"/>
    <w:rsid w:val="002F188A"/>
    <w:rsid w:val="002F4376"/>
    <w:rsid w:val="002F43FC"/>
    <w:rsid w:val="002F4403"/>
    <w:rsid w:val="002F4741"/>
    <w:rsid w:val="002F562C"/>
    <w:rsid w:val="002F582A"/>
    <w:rsid w:val="002F5F3B"/>
    <w:rsid w:val="002F6764"/>
    <w:rsid w:val="002F76C6"/>
    <w:rsid w:val="002F7828"/>
    <w:rsid w:val="002F7C0A"/>
    <w:rsid w:val="00300057"/>
    <w:rsid w:val="00300D40"/>
    <w:rsid w:val="00300F6B"/>
    <w:rsid w:val="00301DE8"/>
    <w:rsid w:val="00301F9A"/>
    <w:rsid w:val="0030261C"/>
    <w:rsid w:val="00303697"/>
    <w:rsid w:val="00304213"/>
    <w:rsid w:val="0030682F"/>
    <w:rsid w:val="003069BA"/>
    <w:rsid w:val="003074D7"/>
    <w:rsid w:val="0030764D"/>
    <w:rsid w:val="00307CE7"/>
    <w:rsid w:val="0031082D"/>
    <w:rsid w:val="00310B9A"/>
    <w:rsid w:val="003110E8"/>
    <w:rsid w:val="00312E41"/>
    <w:rsid w:val="00313E1B"/>
    <w:rsid w:val="00315635"/>
    <w:rsid w:val="00315BAC"/>
    <w:rsid w:val="003160DB"/>
    <w:rsid w:val="003160F3"/>
    <w:rsid w:val="00316C2B"/>
    <w:rsid w:val="003204B4"/>
    <w:rsid w:val="00320E0D"/>
    <w:rsid w:val="00320ED8"/>
    <w:rsid w:val="003210E5"/>
    <w:rsid w:val="003211FC"/>
    <w:rsid w:val="00321499"/>
    <w:rsid w:val="003227FE"/>
    <w:rsid w:val="00322996"/>
    <w:rsid w:val="00322B40"/>
    <w:rsid w:val="003234E8"/>
    <w:rsid w:val="00323558"/>
    <w:rsid w:val="00324F01"/>
    <w:rsid w:val="003274AE"/>
    <w:rsid w:val="00327EE8"/>
    <w:rsid w:val="00331A68"/>
    <w:rsid w:val="00332135"/>
    <w:rsid w:val="003338C9"/>
    <w:rsid w:val="003354C7"/>
    <w:rsid w:val="00336405"/>
    <w:rsid w:val="0033697F"/>
    <w:rsid w:val="00336A1A"/>
    <w:rsid w:val="00337012"/>
    <w:rsid w:val="003379EE"/>
    <w:rsid w:val="003401B0"/>
    <w:rsid w:val="0034107B"/>
    <w:rsid w:val="00341EE0"/>
    <w:rsid w:val="00344835"/>
    <w:rsid w:val="00345AC6"/>
    <w:rsid w:val="003464EF"/>
    <w:rsid w:val="00346C83"/>
    <w:rsid w:val="00347D3D"/>
    <w:rsid w:val="003502DC"/>
    <w:rsid w:val="0035131C"/>
    <w:rsid w:val="00352583"/>
    <w:rsid w:val="00354B2C"/>
    <w:rsid w:val="00354BD4"/>
    <w:rsid w:val="00355D38"/>
    <w:rsid w:val="003565B8"/>
    <w:rsid w:val="00357CFF"/>
    <w:rsid w:val="00357D2B"/>
    <w:rsid w:val="00360F94"/>
    <w:rsid w:val="00361A25"/>
    <w:rsid w:val="003625CC"/>
    <w:rsid w:val="00363284"/>
    <w:rsid w:val="003635FA"/>
    <w:rsid w:val="00364659"/>
    <w:rsid w:val="00365213"/>
    <w:rsid w:val="00365A00"/>
    <w:rsid w:val="00367080"/>
    <w:rsid w:val="00370727"/>
    <w:rsid w:val="00371885"/>
    <w:rsid w:val="0037313F"/>
    <w:rsid w:val="0037422E"/>
    <w:rsid w:val="003752CB"/>
    <w:rsid w:val="00375980"/>
    <w:rsid w:val="00375FA4"/>
    <w:rsid w:val="0037616B"/>
    <w:rsid w:val="00376C33"/>
    <w:rsid w:val="00376EED"/>
    <w:rsid w:val="0037765A"/>
    <w:rsid w:val="003776C3"/>
    <w:rsid w:val="00380084"/>
    <w:rsid w:val="003801F3"/>
    <w:rsid w:val="00382A32"/>
    <w:rsid w:val="00383114"/>
    <w:rsid w:val="00383415"/>
    <w:rsid w:val="00383DBE"/>
    <w:rsid w:val="0038425A"/>
    <w:rsid w:val="0038591E"/>
    <w:rsid w:val="00386177"/>
    <w:rsid w:val="00386192"/>
    <w:rsid w:val="003867B2"/>
    <w:rsid w:val="0038776B"/>
    <w:rsid w:val="00387770"/>
    <w:rsid w:val="003902B8"/>
    <w:rsid w:val="00391669"/>
    <w:rsid w:val="00393C80"/>
    <w:rsid w:val="00395AA9"/>
    <w:rsid w:val="00397256"/>
    <w:rsid w:val="003A10F8"/>
    <w:rsid w:val="003A1897"/>
    <w:rsid w:val="003A1959"/>
    <w:rsid w:val="003A1D43"/>
    <w:rsid w:val="003A2039"/>
    <w:rsid w:val="003A2277"/>
    <w:rsid w:val="003A250D"/>
    <w:rsid w:val="003A2A04"/>
    <w:rsid w:val="003A3F00"/>
    <w:rsid w:val="003A5579"/>
    <w:rsid w:val="003A5E45"/>
    <w:rsid w:val="003A7637"/>
    <w:rsid w:val="003B0D4B"/>
    <w:rsid w:val="003B0FA9"/>
    <w:rsid w:val="003B1147"/>
    <w:rsid w:val="003B23A1"/>
    <w:rsid w:val="003B31AD"/>
    <w:rsid w:val="003B43C4"/>
    <w:rsid w:val="003B4B3A"/>
    <w:rsid w:val="003B7CA7"/>
    <w:rsid w:val="003C0326"/>
    <w:rsid w:val="003C4987"/>
    <w:rsid w:val="003C629F"/>
    <w:rsid w:val="003C6CD3"/>
    <w:rsid w:val="003C6DAB"/>
    <w:rsid w:val="003C6FFE"/>
    <w:rsid w:val="003C768C"/>
    <w:rsid w:val="003D1631"/>
    <w:rsid w:val="003D2477"/>
    <w:rsid w:val="003D32F4"/>
    <w:rsid w:val="003D3D1A"/>
    <w:rsid w:val="003D3D87"/>
    <w:rsid w:val="003D3E04"/>
    <w:rsid w:val="003D50ED"/>
    <w:rsid w:val="003D7017"/>
    <w:rsid w:val="003D7AF4"/>
    <w:rsid w:val="003D7B76"/>
    <w:rsid w:val="003E13C1"/>
    <w:rsid w:val="003E46FE"/>
    <w:rsid w:val="003E5F15"/>
    <w:rsid w:val="003E6427"/>
    <w:rsid w:val="003E69DC"/>
    <w:rsid w:val="003E6BBD"/>
    <w:rsid w:val="003E71DE"/>
    <w:rsid w:val="003E7C73"/>
    <w:rsid w:val="003F1356"/>
    <w:rsid w:val="003F1AC4"/>
    <w:rsid w:val="003F3003"/>
    <w:rsid w:val="003F3010"/>
    <w:rsid w:val="003F4765"/>
    <w:rsid w:val="003F4913"/>
    <w:rsid w:val="003F4B10"/>
    <w:rsid w:val="003F5232"/>
    <w:rsid w:val="003F64A1"/>
    <w:rsid w:val="003F7D33"/>
    <w:rsid w:val="00400DB6"/>
    <w:rsid w:val="00401B2A"/>
    <w:rsid w:val="00402064"/>
    <w:rsid w:val="004024C0"/>
    <w:rsid w:val="00402698"/>
    <w:rsid w:val="00402C94"/>
    <w:rsid w:val="00403B08"/>
    <w:rsid w:val="00403E36"/>
    <w:rsid w:val="004045DB"/>
    <w:rsid w:val="00405B08"/>
    <w:rsid w:val="004068E6"/>
    <w:rsid w:val="004069C7"/>
    <w:rsid w:val="0040720E"/>
    <w:rsid w:val="00410507"/>
    <w:rsid w:val="00410837"/>
    <w:rsid w:val="0041092A"/>
    <w:rsid w:val="00410D41"/>
    <w:rsid w:val="00410E61"/>
    <w:rsid w:val="0041107E"/>
    <w:rsid w:val="00415748"/>
    <w:rsid w:val="00415CDC"/>
    <w:rsid w:val="004166B3"/>
    <w:rsid w:val="00416E0C"/>
    <w:rsid w:val="00416E38"/>
    <w:rsid w:val="004175A0"/>
    <w:rsid w:val="00417C56"/>
    <w:rsid w:val="004222E9"/>
    <w:rsid w:val="00422C47"/>
    <w:rsid w:val="00422F5D"/>
    <w:rsid w:val="004251F6"/>
    <w:rsid w:val="004274D1"/>
    <w:rsid w:val="00430FA1"/>
    <w:rsid w:val="004312B8"/>
    <w:rsid w:val="004315ED"/>
    <w:rsid w:val="00433995"/>
    <w:rsid w:val="00434166"/>
    <w:rsid w:val="004344F3"/>
    <w:rsid w:val="004414C8"/>
    <w:rsid w:val="00441504"/>
    <w:rsid w:val="004419B3"/>
    <w:rsid w:val="0044353D"/>
    <w:rsid w:val="00444225"/>
    <w:rsid w:val="004458BA"/>
    <w:rsid w:val="00445AC5"/>
    <w:rsid w:val="004460E3"/>
    <w:rsid w:val="00447059"/>
    <w:rsid w:val="00447652"/>
    <w:rsid w:val="00450FFA"/>
    <w:rsid w:val="00452D39"/>
    <w:rsid w:val="00453042"/>
    <w:rsid w:val="00454D35"/>
    <w:rsid w:val="00454D56"/>
    <w:rsid w:val="0045597E"/>
    <w:rsid w:val="004569F9"/>
    <w:rsid w:val="00457A94"/>
    <w:rsid w:val="004605AD"/>
    <w:rsid w:val="00460A9B"/>
    <w:rsid w:val="00462AA4"/>
    <w:rsid w:val="00462B85"/>
    <w:rsid w:val="00462E4A"/>
    <w:rsid w:val="004633F2"/>
    <w:rsid w:val="00465722"/>
    <w:rsid w:val="004662DD"/>
    <w:rsid w:val="004665E7"/>
    <w:rsid w:val="00466B2A"/>
    <w:rsid w:val="004678CF"/>
    <w:rsid w:val="004707DD"/>
    <w:rsid w:val="004708A3"/>
    <w:rsid w:val="00471C5B"/>
    <w:rsid w:val="00471EA2"/>
    <w:rsid w:val="00472158"/>
    <w:rsid w:val="004728B3"/>
    <w:rsid w:val="00474031"/>
    <w:rsid w:val="004754FA"/>
    <w:rsid w:val="004755D8"/>
    <w:rsid w:val="0047590F"/>
    <w:rsid w:val="004759FF"/>
    <w:rsid w:val="00475A09"/>
    <w:rsid w:val="00477036"/>
    <w:rsid w:val="00480334"/>
    <w:rsid w:val="00480EC5"/>
    <w:rsid w:val="0048190C"/>
    <w:rsid w:val="00481FEA"/>
    <w:rsid w:val="00482872"/>
    <w:rsid w:val="00483A71"/>
    <w:rsid w:val="00483D87"/>
    <w:rsid w:val="00484634"/>
    <w:rsid w:val="00485477"/>
    <w:rsid w:val="004871C7"/>
    <w:rsid w:val="004909E5"/>
    <w:rsid w:val="00491DC6"/>
    <w:rsid w:val="0049303B"/>
    <w:rsid w:val="00493219"/>
    <w:rsid w:val="00493362"/>
    <w:rsid w:val="00494913"/>
    <w:rsid w:val="00494F4F"/>
    <w:rsid w:val="004960B6"/>
    <w:rsid w:val="00497B90"/>
    <w:rsid w:val="004A0496"/>
    <w:rsid w:val="004A0F58"/>
    <w:rsid w:val="004A10EF"/>
    <w:rsid w:val="004A1887"/>
    <w:rsid w:val="004A1ACE"/>
    <w:rsid w:val="004A294A"/>
    <w:rsid w:val="004A3501"/>
    <w:rsid w:val="004A3A54"/>
    <w:rsid w:val="004A4105"/>
    <w:rsid w:val="004A5127"/>
    <w:rsid w:val="004A5200"/>
    <w:rsid w:val="004A636C"/>
    <w:rsid w:val="004A7172"/>
    <w:rsid w:val="004A7520"/>
    <w:rsid w:val="004A754E"/>
    <w:rsid w:val="004A773F"/>
    <w:rsid w:val="004B225A"/>
    <w:rsid w:val="004B2925"/>
    <w:rsid w:val="004B31B6"/>
    <w:rsid w:val="004B3406"/>
    <w:rsid w:val="004B372A"/>
    <w:rsid w:val="004B4BE7"/>
    <w:rsid w:val="004B5687"/>
    <w:rsid w:val="004B6671"/>
    <w:rsid w:val="004B682F"/>
    <w:rsid w:val="004C0177"/>
    <w:rsid w:val="004C12FF"/>
    <w:rsid w:val="004C1D7E"/>
    <w:rsid w:val="004D315C"/>
    <w:rsid w:val="004D35C2"/>
    <w:rsid w:val="004D3D1A"/>
    <w:rsid w:val="004D3FD6"/>
    <w:rsid w:val="004D4102"/>
    <w:rsid w:val="004D51F9"/>
    <w:rsid w:val="004D6244"/>
    <w:rsid w:val="004D6DF9"/>
    <w:rsid w:val="004E17E4"/>
    <w:rsid w:val="004E4465"/>
    <w:rsid w:val="004E49B9"/>
    <w:rsid w:val="004E5858"/>
    <w:rsid w:val="004E61B3"/>
    <w:rsid w:val="004E7E99"/>
    <w:rsid w:val="004F01C7"/>
    <w:rsid w:val="004F0B55"/>
    <w:rsid w:val="004F0F05"/>
    <w:rsid w:val="004F10E0"/>
    <w:rsid w:val="004F1139"/>
    <w:rsid w:val="004F1562"/>
    <w:rsid w:val="004F1F5C"/>
    <w:rsid w:val="004F26C7"/>
    <w:rsid w:val="004F3309"/>
    <w:rsid w:val="004F34E5"/>
    <w:rsid w:val="004F42F5"/>
    <w:rsid w:val="004F4EE6"/>
    <w:rsid w:val="004F51E6"/>
    <w:rsid w:val="004F5E63"/>
    <w:rsid w:val="004F6C01"/>
    <w:rsid w:val="00500482"/>
    <w:rsid w:val="00501C44"/>
    <w:rsid w:val="005037D9"/>
    <w:rsid w:val="00503B97"/>
    <w:rsid w:val="00504662"/>
    <w:rsid w:val="00505259"/>
    <w:rsid w:val="00505D9B"/>
    <w:rsid w:val="005076A5"/>
    <w:rsid w:val="00507DC9"/>
    <w:rsid w:val="0051095F"/>
    <w:rsid w:val="0051126E"/>
    <w:rsid w:val="005118AA"/>
    <w:rsid w:val="00511903"/>
    <w:rsid w:val="005128FC"/>
    <w:rsid w:val="00513937"/>
    <w:rsid w:val="00514767"/>
    <w:rsid w:val="0051485E"/>
    <w:rsid w:val="00514B0F"/>
    <w:rsid w:val="00516B6A"/>
    <w:rsid w:val="00517620"/>
    <w:rsid w:val="00517717"/>
    <w:rsid w:val="005200DE"/>
    <w:rsid w:val="00521666"/>
    <w:rsid w:val="00522694"/>
    <w:rsid w:val="005227B4"/>
    <w:rsid w:val="00522F3D"/>
    <w:rsid w:val="0052309F"/>
    <w:rsid w:val="005233AA"/>
    <w:rsid w:val="00525497"/>
    <w:rsid w:val="005254BD"/>
    <w:rsid w:val="0052563F"/>
    <w:rsid w:val="005258F7"/>
    <w:rsid w:val="00530CD8"/>
    <w:rsid w:val="0053152D"/>
    <w:rsid w:val="00532246"/>
    <w:rsid w:val="005330D7"/>
    <w:rsid w:val="0053350E"/>
    <w:rsid w:val="005337AD"/>
    <w:rsid w:val="00534952"/>
    <w:rsid w:val="00540663"/>
    <w:rsid w:val="00540DB9"/>
    <w:rsid w:val="00541495"/>
    <w:rsid w:val="005416AA"/>
    <w:rsid w:val="00541D9A"/>
    <w:rsid w:val="00542243"/>
    <w:rsid w:val="00543F8A"/>
    <w:rsid w:val="005440CA"/>
    <w:rsid w:val="00544BCF"/>
    <w:rsid w:val="00545953"/>
    <w:rsid w:val="00546648"/>
    <w:rsid w:val="00546917"/>
    <w:rsid w:val="00546A6C"/>
    <w:rsid w:val="005478D4"/>
    <w:rsid w:val="00550952"/>
    <w:rsid w:val="005526FB"/>
    <w:rsid w:val="00553647"/>
    <w:rsid w:val="00553B37"/>
    <w:rsid w:val="00554875"/>
    <w:rsid w:val="00554E5F"/>
    <w:rsid w:val="00555C87"/>
    <w:rsid w:val="00556023"/>
    <w:rsid w:val="0055603C"/>
    <w:rsid w:val="00557A8B"/>
    <w:rsid w:val="00557BB9"/>
    <w:rsid w:val="00560D2C"/>
    <w:rsid w:val="00561F0D"/>
    <w:rsid w:val="005634BF"/>
    <w:rsid w:val="00563627"/>
    <w:rsid w:val="00563D80"/>
    <w:rsid w:val="00564730"/>
    <w:rsid w:val="00565C5F"/>
    <w:rsid w:val="00565E75"/>
    <w:rsid w:val="00567460"/>
    <w:rsid w:val="00570748"/>
    <w:rsid w:val="00570AEB"/>
    <w:rsid w:val="00571C12"/>
    <w:rsid w:val="00572424"/>
    <w:rsid w:val="00572D8C"/>
    <w:rsid w:val="005731CA"/>
    <w:rsid w:val="005749E6"/>
    <w:rsid w:val="005762AE"/>
    <w:rsid w:val="00580DFE"/>
    <w:rsid w:val="00581F0D"/>
    <w:rsid w:val="0058279F"/>
    <w:rsid w:val="00582CCD"/>
    <w:rsid w:val="005839A1"/>
    <w:rsid w:val="00584543"/>
    <w:rsid w:val="00585886"/>
    <w:rsid w:val="00585E28"/>
    <w:rsid w:val="0058671A"/>
    <w:rsid w:val="00586F65"/>
    <w:rsid w:val="00591630"/>
    <w:rsid w:val="00592CB2"/>
    <w:rsid w:val="00593709"/>
    <w:rsid w:val="00596123"/>
    <w:rsid w:val="0059635F"/>
    <w:rsid w:val="00596634"/>
    <w:rsid w:val="00597181"/>
    <w:rsid w:val="00597684"/>
    <w:rsid w:val="00597B33"/>
    <w:rsid w:val="00597EA7"/>
    <w:rsid w:val="005A0A23"/>
    <w:rsid w:val="005A14D8"/>
    <w:rsid w:val="005A21F1"/>
    <w:rsid w:val="005A2813"/>
    <w:rsid w:val="005A3692"/>
    <w:rsid w:val="005A46C4"/>
    <w:rsid w:val="005A6C6D"/>
    <w:rsid w:val="005A6D32"/>
    <w:rsid w:val="005A725D"/>
    <w:rsid w:val="005A782E"/>
    <w:rsid w:val="005A7D15"/>
    <w:rsid w:val="005B0DFF"/>
    <w:rsid w:val="005B12E9"/>
    <w:rsid w:val="005B1AA9"/>
    <w:rsid w:val="005B258E"/>
    <w:rsid w:val="005B28CA"/>
    <w:rsid w:val="005B3265"/>
    <w:rsid w:val="005B3E01"/>
    <w:rsid w:val="005B42FF"/>
    <w:rsid w:val="005B5F3D"/>
    <w:rsid w:val="005B63E5"/>
    <w:rsid w:val="005B685C"/>
    <w:rsid w:val="005B7A20"/>
    <w:rsid w:val="005C06C9"/>
    <w:rsid w:val="005C17AE"/>
    <w:rsid w:val="005C44F9"/>
    <w:rsid w:val="005C486A"/>
    <w:rsid w:val="005C6882"/>
    <w:rsid w:val="005D0A00"/>
    <w:rsid w:val="005D0D98"/>
    <w:rsid w:val="005D117E"/>
    <w:rsid w:val="005D19C5"/>
    <w:rsid w:val="005D1EEF"/>
    <w:rsid w:val="005D2061"/>
    <w:rsid w:val="005D27C7"/>
    <w:rsid w:val="005D28A6"/>
    <w:rsid w:val="005D344E"/>
    <w:rsid w:val="005D4AEC"/>
    <w:rsid w:val="005D551F"/>
    <w:rsid w:val="005D56BD"/>
    <w:rsid w:val="005D6CC5"/>
    <w:rsid w:val="005E0132"/>
    <w:rsid w:val="005E0599"/>
    <w:rsid w:val="005E1013"/>
    <w:rsid w:val="005E1E30"/>
    <w:rsid w:val="005E2172"/>
    <w:rsid w:val="005E2916"/>
    <w:rsid w:val="005E29A5"/>
    <w:rsid w:val="005E3F8A"/>
    <w:rsid w:val="005E4F30"/>
    <w:rsid w:val="005E5626"/>
    <w:rsid w:val="005E5C52"/>
    <w:rsid w:val="005E71A5"/>
    <w:rsid w:val="005F2297"/>
    <w:rsid w:val="005F37E8"/>
    <w:rsid w:val="005F4602"/>
    <w:rsid w:val="005F5DE4"/>
    <w:rsid w:val="005F62D2"/>
    <w:rsid w:val="005F6FDF"/>
    <w:rsid w:val="006010BB"/>
    <w:rsid w:val="00601C5B"/>
    <w:rsid w:val="0060524B"/>
    <w:rsid w:val="00607012"/>
    <w:rsid w:val="00611369"/>
    <w:rsid w:val="006115F5"/>
    <w:rsid w:val="00611730"/>
    <w:rsid w:val="006118A9"/>
    <w:rsid w:val="00612505"/>
    <w:rsid w:val="00612927"/>
    <w:rsid w:val="006132A0"/>
    <w:rsid w:val="00613BFC"/>
    <w:rsid w:val="00615A1B"/>
    <w:rsid w:val="00616825"/>
    <w:rsid w:val="00616B2A"/>
    <w:rsid w:val="00616C29"/>
    <w:rsid w:val="006176B8"/>
    <w:rsid w:val="006215B4"/>
    <w:rsid w:val="006216D8"/>
    <w:rsid w:val="00622233"/>
    <w:rsid w:val="00622D46"/>
    <w:rsid w:val="00625A5D"/>
    <w:rsid w:val="0062624E"/>
    <w:rsid w:val="00626C35"/>
    <w:rsid w:val="00626F9E"/>
    <w:rsid w:val="00627217"/>
    <w:rsid w:val="006275CC"/>
    <w:rsid w:val="00627B74"/>
    <w:rsid w:val="00632423"/>
    <w:rsid w:val="00633355"/>
    <w:rsid w:val="00633935"/>
    <w:rsid w:val="00634C90"/>
    <w:rsid w:val="00636130"/>
    <w:rsid w:val="00640A45"/>
    <w:rsid w:val="00640BFC"/>
    <w:rsid w:val="00642E5D"/>
    <w:rsid w:val="006460A9"/>
    <w:rsid w:val="006466A4"/>
    <w:rsid w:val="00647390"/>
    <w:rsid w:val="00647BF6"/>
    <w:rsid w:val="00647C4A"/>
    <w:rsid w:val="006500A7"/>
    <w:rsid w:val="00650704"/>
    <w:rsid w:val="00653034"/>
    <w:rsid w:val="00653804"/>
    <w:rsid w:val="00653806"/>
    <w:rsid w:val="0065405C"/>
    <w:rsid w:val="00654229"/>
    <w:rsid w:val="006548F6"/>
    <w:rsid w:val="00654AC4"/>
    <w:rsid w:val="00654E42"/>
    <w:rsid w:val="00655E91"/>
    <w:rsid w:val="006568CA"/>
    <w:rsid w:val="00657373"/>
    <w:rsid w:val="0066027E"/>
    <w:rsid w:val="006603E8"/>
    <w:rsid w:val="00660555"/>
    <w:rsid w:val="00660F3D"/>
    <w:rsid w:val="006615A8"/>
    <w:rsid w:val="00662057"/>
    <w:rsid w:val="00662F13"/>
    <w:rsid w:val="00663CE3"/>
    <w:rsid w:val="00663E89"/>
    <w:rsid w:val="00667C6C"/>
    <w:rsid w:val="006704A4"/>
    <w:rsid w:val="00671B3E"/>
    <w:rsid w:val="006725BF"/>
    <w:rsid w:val="006727D2"/>
    <w:rsid w:val="0067312A"/>
    <w:rsid w:val="006733B2"/>
    <w:rsid w:val="00673DB5"/>
    <w:rsid w:val="006743DB"/>
    <w:rsid w:val="006754F0"/>
    <w:rsid w:val="006756CF"/>
    <w:rsid w:val="00675815"/>
    <w:rsid w:val="00675EED"/>
    <w:rsid w:val="00675F9C"/>
    <w:rsid w:val="00677473"/>
    <w:rsid w:val="0068023C"/>
    <w:rsid w:val="00680908"/>
    <w:rsid w:val="006809A4"/>
    <w:rsid w:val="00683397"/>
    <w:rsid w:val="00683603"/>
    <w:rsid w:val="006849D0"/>
    <w:rsid w:val="00684D6C"/>
    <w:rsid w:val="006901C3"/>
    <w:rsid w:val="0069139A"/>
    <w:rsid w:val="00691859"/>
    <w:rsid w:val="0069544B"/>
    <w:rsid w:val="00695D9B"/>
    <w:rsid w:val="0069766D"/>
    <w:rsid w:val="006976AC"/>
    <w:rsid w:val="006A09B3"/>
    <w:rsid w:val="006B1BE2"/>
    <w:rsid w:val="006B2D63"/>
    <w:rsid w:val="006B4A64"/>
    <w:rsid w:val="006B580A"/>
    <w:rsid w:val="006B6B7C"/>
    <w:rsid w:val="006B720E"/>
    <w:rsid w:val="006C07B5"/>
    <w:rsid w:val="006C1A40"/>
    <w:rsid w:val="006C1D2F"/>
    <w:rsid w:val="006C36A0"/>
    <w:rsid w:val="006C743A"/>
    <w:rsid w:val="006D0580"/>
    <w:rsid w:val="006D0BC2"/>
    <w:rsid w:val="006D237B"/>
    <w:rsid w:val="006D26BA"/>
    <w:rsid w:val="006D2F31"/>
    <w:rsid w:val="006D3928"/>
    <w:rsid w:val="006D43B7"/>
    <w:rsid w:val="006D45CD"/>
    <w:rsid w:val="006D4875"/>
    <w:rsid w:val="006D4A0A"/>
    <w:rsid w:val="006D5356"/>
    <w:rsid w:val="006D58B2"/>
    <w:rsid w:val="006D72A7"/>
    <w:rsid w:val="006D7F5C"/>
    <w:rsid w:val="006E0C75"/>
    <w:rsid w:val="006E2AD8"/>
    <w:rsid w:val="006E2BAA"/>
    <w:rsid w:val="006E2BD7"/>
    <w:rsid w:val="006E33E7"/>
    <w:rsid w:val="006E3C27"/>
    <w:rsid w:val="006E3DF3"/>
    <w:rsid w:val="006E4261"/>
    <w:rsid w:val="006E49CE"/>
    <w:rsid w:val="006E568B"/>
    <w:rsid w:val="006E583E"/>
    <w:rsid w:val="006E674D"/>
    <w:rsid w:val="006E6C3F"/>
    <w:rsid w:val="006E7336"/>
    <w:rsid w:val="006E7C2E"/>
    <w:rsid w:val="006F1BC5"/>
    <w:rsid w:val="006F1FF6"/>
    <w:rsid w:val="006F24B8"/>
    <w:rsid w:val="006F2E8B"/>
    <w:rsid w:val="006F37E0"/>
    <w:rsid w:val="006F3E6A"/>
    <w:rsid w:val="006F5D3E"/>
    <w:rsid w:val="006F5D57"/>
    <w:rsid w:val="0070038F"/>
    <w:rsid w:val="00701B28"/>
    <w:rsid w:val="007051BA"/>
    <w:rsid w:val="007060E4"/>
    <w:rsid w:val="007072A9"/>
    <w:rsid w:val="00707866"/>
    <w:rsid w:val="007106E1"/>
    <w:rsid w:val="00711136"/>
    <w:rsid w:val="00712406"/>
    <w:rsid w:val="007147FC"/>
    <w:rsid w:val="00715FAB"/>
    <w:rsid w:val="00716697"/>
    <w:rsid w:val="0072286B"/>
    <w:rsid w:val="00723855"/>
    <w:rsid w:val="00723BA5"/>
    <w:rsid w:val="00724705"/>
    <w:rsid w:val="00725C59"/>
    <w:rsid w:val="00726217"/>
    <w:rsid w:val="007262C4"/>
    <w:rsid w:val="00726CD5"/>
    <w:rsid w:val="00727DDE"/>
    <w:rsid w:val="00730676"/>
    <w:rsid w:val="0073152F"/>
    <w:rsid w:val="00731829"/>
    <w:rsid w:val="007328FF"/>
    <w:rsid w:val="007350A4"/>
    <w:rsid w:val="00736596"/>
    <w:rsid w:val="007377CE"/>
    <w:rsid w:val="00737972"/>
    <w:rsid w:val="00740180"/>
    <w:rsid w:val="00740C57"/>
    <w:rsid w:val="0074110B"/>
    <w:rsid w:val="0074136C"/>
    <w:rsid w:val="0074258E"/>
    <w:rsid w:val="00743769"/>
    <w:rsid w:val="00743837"/>
    <w:rsid w:val="007448BB"/>
    <w:rsid w:val="00747466"/>
    <w:rsid w:val="0074792D"/>
    <w:rsid w:val="007509D4"/>
    <w:rsid w:val="00752A4E"/>
    <w:rsid w:val="00753777"/>
    <w:rsid w:val="007545B3"/>
    <w:rsid w:val="00755618"/>
    <w:rsid w:val="007556E0"/>
    <w:rsid w:val="00756638"/>
    <w:rsid w:val="00756BAF"/>
    <w:rsid w:val="007575CE"/>
    <w:rsid w:val="007603E3"/>
    <w:rsid w:val="00761120"/>
    <w:rsid w:val="007613FD"/>
    <w:rsid w:val="00762564"/>
    <w:rsid w:val="00763307"/>
    <w:rsid w:val="00763592"/>
    <w:rsid w:val="00763B55"/>
    <w:rsid w:val="00763CCE"/>
    <w:rsid w:val="00763F48"/>
    <w:rsid w:val="00764296"/>
    <w:rsid w:val="00764500"/>
    <w:rsid w:val="00765431"/>
    <w:rsid w:val="00765959"/>
    <w:rsid w:val="00765975"/>
    <w:rsid w:val="00765FF7"/>
    <w:rsid w:val="0076685B"/>
    <w:rsid w:val="00770AB8"/>
    <w:rsid w:val="007710B5"/>
    <w:rsid w:val="00771978"/>
    <w:rsid w:val="00772BEB"/>
    <w:rsid w:val="007734B9"/>
    <w:rsid w:val="0077400D"/>
    <w:rsid w:val="00774207"/>
    <w:rsid w:val="00776B73"/>
    <w:rsid w:val="00777B0D"/>
    <w:rsid w:val="007817B7"/>
    <w:rsid w:val="0078306F"/>
    <w:rsid w:val="00783795"/>
    <w:rsid w:val="007848BB"/>
    <w:rsid w:val="00784B9F"/>
    <w:rsid w:val="00784C8A"/>
    <w:rsid w:val="00786002"/>
    <w:rsid w:val="0078658A"/>
    <w:rsid w:val="0078751B"/>
    <w:rsid w:val="0078777B"/>
    <w:rsid w:val="00790F47"/>
    <w:rsid w:val="0079116F"/>
    <w:rsid w:val="007916F8"/>
    <w:rsid w:val="007926E8"/>
    <w:rsid w:val="007928B6"/>
    <w:rsid w:val="00792A0B"/>
    <w:rsid w:val="00792A61"/>
    <w:rsid w:val="00793C31"/>
    <w:rsid w:val="0079482C"/>
    <w:rsid w:val="007949C9"/>
    <w:rsid w:val="00794C93"/>
    <w:rsid w:val="00794EFB"/>
    <w:rsid w:val="0079563A"/>
    <w:rsid w:val="00795710"/>
    <w:rsid w:val="007A1FC1"/>
    <w:rsid w:val="007A3140"/>
    <w:rsid w:val="007A3BEE"/>
    <w:rsid w:val="007A3C96"/>
    <w:rsid w:val="007A4C98"/>
    <w:rsid w:val="007A4D83"/>
    <w:rsid w:val="007A507D"/>
    <w:rsid w:val="007A50BD"/>
    <w:rsid w:val="007A52D2"/>
    <w:rsid w:val="007A6DE9"/>
    <w:rsid w:val="007A79D7"/>
    <w:rsid w:val="007B02B7"/>
    <w:rsid w:val="007B0ADC"/>
    <w:rsid w:val="007B2C24"/>
    <w:rsid w:val="007B4B95"/>
    <w:rsid w:val="007B4D14"/>
    <w:rsid w:val="007B7C6C"/>
    <w:rsid w:val="007C1579"/>
    <w:rsid w:val="007C1D09"/>
    <w:rsid w:val="007C4394"/>
    <w:rsid w:val="007C480D"/>
    <w:rsid w:val="007C4C02"/>
    <w:rsid w:val="007C4E21"/>
    <w:rsid w:val="007C5716"/>
    <w:rsid w:val="007C5A25"/>
    <w:rsid w:val="007C5B6B"/>
    <w:rsid w:val="007C5BF1"/>
    <w:rsid w:val="007D0648"/>
    <w:rsid w:val="007D08F5"/>
    <w:rsid w:val="007D143F"/>
    <w:rsid w:val="007D2D92"/>
    <w:rsid w:val="007D2EDF"/>
    <w:rsid w:val="007D34C0"/>
    <w:rsid w:val="007D36FB"/>
    <w:rsid w:val="007D4AF8"/>
    <w:rsid w:val="007D6477"/>
    <w:rsid w:val="007D68A5"/>
    <w:rsid w:val="007D6A40"/>
    <w:rsid w:val="007D6CBB"/>
    <w:rsid w:val="007E05FE"/>
    <w:rsid w:val="007E0B90"/>
    <w:rsid w:val="007E0F72"/>
    <w:rsid w:val="007E126F"/>
    <w:rsid w:val="007E15A9"/>
    <w:rsid w:val="007E2F61"/>
    <w:rsid w:val="007E6344"/>
    <w:rsid w:val="007E67BB"/>
    <w:rsid w:val="007E7F50"/>
    <w:rsid w:val="007F0A0F"/>
    <w:rsid w:val="007F28B1"/>
    <w:rsid w:val="007F31FE"/>
    <w:rsid w:val="007F3CF5"/>
    <w:rsid w:val="007F4115"/>
    <w:rsid w:val="007F545F"/>
    <w:rsid w:val="007F637E"/>
    <w:rsid w:val="007F669A"/>
    <w:rsid w:val="007F7730"/>
    <w:rsid w:val="008008AE"/>
    <w:rsid w:val="0080092C"/>
    <w:rsid w:val="00800C1A"/>
    <w:rsid w:val="0080206D"/>
    <w:rsid w:val="0080219B"/>
    <w:rsid w:val="00802355"/>
    <w:rsid w:val="00802885"/>
    <w:rsid w:val="008055EE"/>
    <w:rsid w:val="00805C30"/>
    <w:rsid w:val="00806453"/>
    <w:rsid w:val="00806BFE"/>
    <w:rsid w:val="00810224"/>
    <w:rsid w:val="00810573"/>
    <w:rsid w:val="00810F47"/>
    <w:rsid w:val="008119CA"/>
    <w:rsid w:val="008126E2"/>
    <w:rsid w:val="008134DA"/>
    <w:rsid w:val="008141CF"/>
    <w:rsid w:val="008143A3"/>
    <w:rsid w:val="008145D8"/>
    <w:rsid w:val="00814A2D"/>
    <w:rsid w:val="0081506A"/>
    <w:rsid w:val="008167CA"/>
    <w:rsid w:val="00817381"/>
    <w:rsid w:val="0081786D"/>
    <w:rsid w:val="0082190C"/>
    <w:rsid w:val="0082244B"/>
    <w:rsid w:val="00823036"/>
    <w:rsid w:val="00823ADA"/>
    <w:rsid w:val="00825AF0"/>
    <w:rsid w:val="00825D49"/>
    <w:rsid w:val="008265F5"/>
    <w:rsid w:val="008278E6"/>
    <w:rsid w:val="00827F7E"/>
    <w:rsid w:val="00831B0A"/>
    <w:rsid w:val="008321EA"/>
    <w:rsid w:val="00833295"/>
    <w:rsid w:val="00833B07"/>
    <w:rsid w:val="0083533C"/>
    <w:rsid w:val="00835A2C"/>
    <w:rsid w:val="00835EE4"/>
    <w:rsid w:val="008368CE"/>
    <w:rsid w:val="00837287"/>
    <w:rsid w:val="00837770"/>
    <w:rsid w:val="0084056A"/>
    <w:rsid w:val="008411B3"/>
    <w:rsid w:val="00841B98"/>
    <w:rsid w:val="00841F2E"/>
    <w:rsid w:val="00844B35"/>
    <w:rsid w:val="00847CD6"/>
    <w:rsid w:val="00850268"/>
    <w:rsid w:val="00850DD2"/>
    <w:rsid w:val="00851102"/>
    <w:rsid w:val="00851881"/>
    <w:rsid w:val="00851927"/>
    <w:rsid w:val="00851A77"/>
    <w:rsid w:val="00852AEC"/>
    <w:rsid w:val="00853382"/>
    <w:rsid w:val="008534AF"/>
    <w:rsid w:val="008559A6"/>
    <w:rsid w:val="00855CFE"/>
    <w:rsid w:val="008563C6"/>
    <w:rsid w:val="00856C80"/>
    <w:rsid w:val="00862EE5"/>
    <w:rsid w:val="00863360"/>
    <w:rsid w:val="00864636"/>
    <w:rsid w:val="00864BDD"/>
    <w:rsid w:val="00864C2F"/>
    <w:rsid w:val="00865E90"/>
    <w:rsid w:val="008666D2"/>
    <w:rsid w:val="00866FE5"/>
    <w:rsid w:val="00870864"/>
    <w:rsid w:val="00871E70"/>
    <w:rsid w:val="00873A4D"/>
    <w:rsid w:val="008743A9"/>
    <w:rsid w:val="0087523F"/>
    <w:rsid w:val="008753A6"/>
    <w:rsid w:val="00877DFF"/>
    <w:rsid w:val="00880095"/>
    <w:rsid w:val="008806DD"/>
    <w:rsid w:val="00881EAD"/>
    <w:rsid w:val="00882E42"/>
    <w:rsid w:val="00883499"/>
    <w:rsid w:val="008847CB"/>
    <w:rsid w:val="00884843"/>
    <w:rsid w:val="0088527D"/>
    <w:rsid w:val="00885438"/>
    <w:rsid w:val="008858CE"/>
    <w:rsid w:val="00886BBB"/>
    <w:rsid w:val="008876A7"/>
    <w:rsid w:val="0089040B"/>
    <w:rsid w:val="00892837"/>
    <w:rsid w:val="00893406"/>
    <w:rsid w:val="00893609"/>
    <w:rsid w:val="00893F27"/>
    <w:rsid w:val="00894457"/>
    <w:rsid w:val="008947A3"/>
    <w:rsid w:val="00895B62"/>
    <w:rsid w:val="008963F6"/>
    <w:rsid w:val="00897C42"/>
    <w:rsid w:val="008A0826"/>
    <w:rsid w:val="008A0DD1"/>
    <w:rsid w:val="008A121B"/>
    <w:rsid w:val="008A1788"/>
    <w:rsid w:val="008A1897"/>
    <w:rsid w:val="008A377D"/>
    <w:rsid w:val="008A3FBA"/>
    <w:rsid w:val="008A4971"/>
    <w:rsid w:val="008A63D1"/>
    <w:rsid w:val="008A6B58"/>
    <w:rsid w:val="008B18FC"/>
    <w:rsid w:val="008B71F9"/>
    <w:rsid w:val="008B7A15"/>
    <w:rsid w:val="008C023C"/>
    <w:rsid w:val="008C05CC"/>
    <w:rsid w:val="008C0D3B"/>
    <w:rsid w:val="008C2E2A"/>
    <w:rsid w:val="008C3546"/>
    <w:rsid w:val="008C36FB"/>
    <w:rsid w:val="008C3855"/>
    <w:rsid w:val="008C4E0B"/>
    <w:rsid w:val="008C647C"/>
    <w:rsid w:val="008C69CA"/>
    <w:rsid w:val="008C73FE"/>
    <w:rsid w:val="008C7C34"/>
    <w:rsid w:val="008C7F08"/>
    <w:rsid w:val="008D06C1"/>
    <w:rsid w:val="008D09C8"/>
    <w:rsid w:val="008D18DC"/>
    <w:rsid w:val="008D2573"/>
    <w:rsid w:val="008D2A41"/>
    <w:rsid w:val="008D4563"/>
    <w:rsid w:val="008D4F20"/>
    <w:rsid w:val="008D6C13"/>
    <w:rsid w:val="008D6D24"/>
    <w:rsid w:val="008E0235"/>
    <w:rsid w:val="008E067B"/>
    <w:rsid w:val="008E57A5"/>
    <w:rsid w:val="008F0CD7"/>
    <w:rsid w:val="008F18D8"/>
    <w:rsid w:val="008F1F75"/>
    <w:rsid w:val="008F217B"/>
    <w:rsid w:val="008F2F92"/>
    <w:rsid w:val="008F34D5"/>
    <w:rsid w:val="008F3F44"/>
    <w:rsid w:val="008F4F42"/>
    <w:rsid w:val="008F63A1"/>
    <w:rsid w:val="008F6A27"/>
    <w:rsid w:val="008F7125"/>
    <w:rsid w:val="008F736A"/>
    <w:rsid w:val="008F7501"/>
    <w:rsid w:val="008F7661"/>
    <w:rsid w:val="008F7DC6"/>
    <w:rsid w:val="008F7F3E"/>
    <w:rsid w:val="00901D07"/>
    <w:rsid w:val="0090227C"/>
    <w:rsid w:val="009026A3"/>
    <w:rsid w:val="00902F8C"/>
    <w:rsid w:val="00903041"/>
    <w:rsid w:val="0090389E"/>
    <w:rsid w:val="009039FE"/>
    <w:rsid w:val="00904388"/>
    <w:rsid w:val="00905C51"/>
    <w:rsid w:val="0090622C"/>
    <w:rsid w:val="00906584"/>
    <w:rsid w:val="0090672B"/>
    <w:rsid w:val="009075C9"/>
    <w:rsid w:val="00910E9A"/>
    <w:rsid w:val="0091117B"/>
    <w:rsid w:val="00911427"/>
    <w:rsid w:val="00912565"/>
    <w:rsid w:val="00915D5B"/>
    <w:rsid w:val="00915E64"/>
    <w:rsid w:val="00920297"/>
    <w:rsid w:val="0092102D"/>
    <w:rsid w:val="0092233D"/>
    <w:rsid w:val="009248E0"/>
    <w:rsid w:val="00925BA2"/>
    <w:rsid w:val="00925BE8"/>
    <w:rsid w:val="009262F9"/>
    <w:rsid w:val="00927437"/>
    <w:rsid w:val="00927CB7"/>
    <w:rsid w:val="00931CE3"/>
    <w:rsid w:val="00933BE4"/>
    <w:rsid w:val="00933E03"/>
    <w:rsid w:val="00936910"/>
    <w:rsid w:val="0093719C"/>
    <w:rsid w:val="00940FCB"/>
    <w:rsid w:val="009412C5"/>
    <w:rsid w:val="0094171D"/>
    <w:rsid w:val="009417F0"/>
    <w:rsid w:val="00943995"/>
    <w:rsid w:val="009439C5"/>
    <w:rsid w:val="00944C3C"/>
    <w:rsid w:val="00945513"/>
    <w:rsid w:val="00945E8B"/>
    <w:rsid w:val="00946F26"/>
    <w:rsid w:val="00947D08"/>
    <w:rsid w:val="00950049"/>
    <w:rsid w:val="00950769"/>
    <w:rsid w:val="00952345"/>
    <w:rsid w:val="00952793"/>
    <w:rsid w:val="0095403B"/>
    <w:rsid w:val="009542EC"/>
    <w:rsid w:val="00954C7B"/>
    <w:rsid w:val="0095612C"/>
    <w:rsid w:val="009579D2"/>
    <w:rsid w:val="00960E3F"/>
    <w:rsid w:val="009618FE"/>
    <w:rsid w:val="00961CF7"/>
    <w:rsid w:val="00961E2F"/>
    <w:rsid w:val="00961F5A"/>
    <w:rsid w:val="00962566"/>
    <w:rsid w:val="00962570"/>
    <w:rsid w:val="00963C53"/>
    <w:rsid w:val="00964356"/>
    <w:rsid w:val="00966EE6"/>
    <w:rsid w:val="00967095"/>
    <w:rsid w:val="009678EF"/>
    <w:rsid w:val="009679DB"/>
    <w:rsid w:val="0097067F"/>
    <w:rsid w:val="00972234"/>
    <w:rsid w:val="0097282D"/>
    <w:rsid w:val="009734E7"/>
    <w:rsid w:val="00973502"/>
    <w:rsid w:val="00973F73"/>
    <w:rsid w:val="00976001"/>
    <w:rsid w:val="00976543"/>
    <w:rsid w:val="00976584"/>
    <w:rsid w:val="00976FBB"/>
    <w:rsid w:val="0098249F"/>
    <w:rsid w:val="00982557"/>
    <w:rsid w:val="0098362E"/>
    <w:rsid w:val="00983E24"/>
    <w:rsid w:val="00984696"/>
    <w:rsid w:val="0098484E"/>
    <w:rsid w:val="00984A47"/>
    <w:rsid w:val="00984D07"/>
    <w:rsid w:val="00986163"/>
    <w:rsid w:val="0098682D"/>
    <w:rsid w:val="00986981"/>
    <w:rsid w:val="00990B02"/>
    <w:rsid w:val="009930D2"/>
    <w:rsid w:val="009935A9"/>
    <w:rsid w:val="009938E7"/>
    <w:rsid w:val="00993BBF"/>
    <w:rsid w:val="00995454"/>
    <w:rsid w:val="00996941"/>
    <w:rsid w:val="00996F20"/>
    <w:rsid w:val="009A050C"/>
    <w:rsid w:val="009A0ABE"/>
    <w:rsid w:val="009A0BF4"/>
    <w:rsid w:val="009A10EC"/>
    <w:rsid w:val="009A1655"/>
    <w:rsid w:val="009A3345"/>
    <w:rsid w:val="009A540D"/>
    <w:rsid w:val="009A587F"/>
    <w:rsid w:val="009A58CF"/>
    <w:rsid w:val="009B0A72"/>
    <w:rsid w:val="009B0C01"/>
    <w:rsid w:val="009B21ED"/>
    <w:rsid w:val="009B36A1"/>
    <w:rsid w:val="009B44CF"/>
    <w:rsid w:val="009B54EA"/>
    <w:rsid w:val="009B582A"/>
    <w:rsid w:val="009B6866"/>
    <w:rsid w:val="009B6889"/>
    <w:rsid w:val="009B694B"/>
    <w:rsid w:val="009B6D8E"/>
    <w:rsid w:val="009B72A7"/>
    <w:rsid w:val="009B7505"/>
    <w:rsid w:val="009C00AB"/>
    <w:rsid w:val="009C07E8"/>
    <w:rsid w:val="009C10B9"/>
    <w:rsid w:val="009C33C6"/>
    <w:rsid w:val="009C4941"/>
    <w:rsid w:val="009C5608"/>
    <w:rsid w:val="009C6898"/>
    <w:rsid w:val="009C6CFE"/>
    <w:rsid w:val="009D16E3"/>
    <w:rsid w:val="009D42CF"/>
    <w:rsid w:val="009D4CBE"/>
    <w:rsid w:val="009D4CE2"/>
    <w:rsid w:val="009D6841"/>
    <w:rsid w:val="009D6FC7"/>
    <w:rsid w:val="009D7326"/>
    <w:rsid w:val="009D7E65"/>
    <w:rsid w:val="009E03F9"/>
    <w:rsid w:val="009E061C"/>
    <w:rsid w:val="009E0CB3"/>
    <w:rsid w:val="009E3DF0"/>
    <w:rsid w:val="009E44C4"/>
    <w:rsid w:val="009E49C1"/>
    <w:rsid w:val="009E63FB"/>
    <w:rsid w:val="009E73BB"/>
    <w:rsid w:val="009E73EC"/>
    <w:rsid w:val="009F12C6"/>
    <w:rsid w:val="009F1475"/>
    <w:rsid w:val="009F248F"/>
    <w:rsid w:val="009F35E6"/>
    <w:rsid w:val="009F36F4"/>
    <w:rsid w:val="009F3BA5"/>
    <w:rsid w:val="009F5DF5"/>
    <w:rsid w:val="009F6ED2"/>
    <w:rsid w:val="009F73D6"/>
    <w:rsid w:val="009F77B4"/>
    <w:rsid w:val="009F7FC0"/>
    <w:rsid w:val="00A016CE"/>
    <w:rsid w:val="00A01ABC"/>
    <w:rsid w:val="00A020BB"/>
    <w:rsid w:val="00A024D4"/>
    <w:rsid w:val="00A02783"/>
    <w:rsid w:val="00A06E41"/>
    <w:rsid w:val="00A06F0E"/>
    <w:rsid w:val="00A101B3"/>
    <w:rsid w:val="00A1247F"/>
    <w:rsid w:val="00A1262D"/>
    <w:rsid w:val="00A12939"/>
    <w:rsid w:val="00A12B4B"/>
    <w:rsid w:val="00A1381E"/>
    <w:rsid w:val="00A14657"/>
    <w:rsid w:val="00A14F42"/>
    <w:rsid w:val="00A1503C"/>
    <w:rsid w:val="00A16B4C"/>
    <w:rsid w:val="00A17C90"/>
    <w:rsid w:val="00A17CA5"/>
    <w:rsid w:val="00A17E1C"/>
    <w:rsid w:val="00A213DD"/>
    <w:rsid w:val="00A217E9"/>
    <w:rsid w:val="00A2276A"/>
    <w:rsid w:val="00A23F1A"/>
    <w:rsid w:val="00A2519B"/>
    <w:rsid w:val="00A25ADD"/>
    <w:rsid w:val="00A25CA6"/>
    <w:rsid w:val="00A26041"/>
    <w:rsid w:val="00A30190"/>
    <w:rsid w:val="00A30DD4"/>
    <w:rsid w:val="00A31577"/>
    <w:rsid w:val="00A31952"/>
    <w:rsid w:val="00A31975"/>
    <w:rsid w:val="00A3239B"/>
    <w:rsid w:val="00A32556"/>
    <w:rsid w:val="00A3274E"/>
    <w:rsid w:val="00A32907"/>
    <w:rsid w:val="00A32B82"/>
    <w:rsid w:val="00A335D2"/>
    <w:rsid w:val="00A3455D"/>
    <w:rsid w:val="00A3491C"/>
    <w:rsid w:val="00A34D05"/>
    <w:rsid w:val="00A3516F"/>
    <w:rsid w:val="00A3619E"/>
    <w:rsid w:val="00A37497"/>
    <w:rsid w:val="00A37912"/>
    <w:rsid w:val="00A40AAF"/>
    <w:rsid w:val="00A41ACB"/>
    <w:rsid w:val="00A41C5A"/>
    <w:rsid w:val="00A44D7A"/>
    <w:rsid w:val="00A45925"/>
    <w:rsid w:val="00A475E9"/>
    <w:rsid w:val="00A47AFD"/>
    <w:rsid w:val="00A5107E"/>
    <w:rsid w:val="00A52800"/>
    <w:rsid w:val="00A52EC8"/>
    <w:rsid w:val="00A533AA"/>
    <w:rsid w:val="00A54215"/>
    <w:rsid w:val="00A558F4"/>
    <w:rsid w:val="00A5592B"/>
    <w:rsid w:val="00A5627E"/>
    <w:rsid w:val="00A57483"/>
    <w:rsid w:val="00A61304"/>
    <w:rsid w:val="00A6178F"/>
    <w:rsid w:val="00A62DA4"/>
    <w:rsid w:val="00A6311E"/>
    <w:rsid w:val="00A63C25"/>
    <w:rsid w:val="00A64734"/>
    <w:rsid w:val="00A64A34"/>
    <w:rsid w:val="00A6573C"/>
    <w:rsid w:val="00A65C88"/>
    <w:rsid w:val="00A66FF8"/>
    <w:rsid w:val="00A6793B"/>
    <w:rsid w:val="00A67A8A"/>
    <w:rsid w:val="00A70933"/>
    <w:rsid w:val="00A71534"/>
    <w:rsid w:val="00A71BBA"/>
    <w:rsid w:val="00A72DE9"/>
    <w:rsid w:val="00A758A5"/>
    <w:rsid w:val="00A771C8"/>
    <w:rsid w:val="00A80306"/>
    <w:rsid w:val="00A80E06"/>
    <w:rsid w:val="00A81A07"/>
    <w:rsid w:val="00A84460"/>
    <w:rsid w:val="00A8667A"/>
    <w:rsid w:val="00A86787"/>
    <w:rsid w:val="00A869BC"/>
    <w:rsid w:val="00A86C22"/>
    <w:rsid w:val="00A9143E"/>
    <w:rsid w:val="00A91FA9"/>
    <w:rsid w:val="00A92785"/>
    <w:rsid w:val="00A931B4"/>
    <w:rsid w:val="00A93259"/>
    <w:rsid w:val="00A945B1"/>
    <w:rsid w:val="00A9505C"/>
    <w:rsid w:val="00A95F6E"/>
    <w:rsid w:val="00A969AF"/>
    <w:rsid w:val="00AA0976"/>
    <w:rsid w:val="00AA10DB"/>
    <w:rsid w:val="00AA2F0C"/>
    <w:rsid w:val="00AA301C"/>
    <w:rsid w:val="00AA3C65"/>
    <w:rsid w:val="00AA464D"/>
    <w:rsid w:val="00AA4CE1"/>
    <w:rsid w:val="00AA4EA5"/>
    <w:rsid w:val="00AA58A9"/>
    <w:rsid w:val="00AA74F1"/>
    <w:rsid w:val="00AB060C"/>
    <w:rsid w:val="00AB18BE"/>
    <w:rsid w:val="00AB1E21"/>
    <w:rsid w:val="00AB1E74"/>
    <w:rsid w:val="00AB26D1"/>
    <w:rsid w:val="00AB3898"/>
    <w:rsid w:val="00AB3FD9"/>
    <w:rsid w:val="00AB4492"/>
    <w:rsid w:val="00AB45E2"/>
    <w:rsid w:val="00AB46F6"/>
    <w:rsid w:val="00AB4C07"/>
    <w:rsid w:val="00AB539A"/>
    <w:rsid w:val="00AB6BA4"/>
    <w:rsid w:val="00AB7A38"/>
    <w:rsid w:val="00AC05BD"/>
    <w:rsid w:val="00AC0E62"/>
    <w:rsid w:val="00AC12A0"/>
    <w:rsid w:val="00AC31EF"/>
    <w:rsid w:val="00AC3477"/>
    <w:rsid w:val="00AC565C"/>
    <w:rsid w:val="00AC716B"/>
    <w:rsid w:val="00AD0207"/>
    <w:rsid w:val="00AD1513"/>
    <w:rsid w:val="00AD169C"/>
    <w:rsid w:val="00AD1846"/>
    <w:rsid w:val="00AD18D1"/>
    <w:rsid w:val="00AD226F"/>
    <w:rsid w:val="00AD29A5"/>
    <w:rsid w:val="00AD41AA"/>
    <w:rsid w:val="00AD47F6"/>
    <w:rsid w:val="00AD5BBB"/>
    <w:rsid w:val="00AD6E01"/>
    <w:rsid w:val="00AD7A30"/>
    <w:rsid w:val="00AE362A"/>
    <w:rsid w:val="00AE3720"/>
    <w:rsid w:val="00AE4E2A"/>
    <w:rsid w:val="00AE7958"/>
    <w:rsid w:val="00AF10B0"/>
    <w:rsid w:val="00AF1AFD"/>
    <w:rsid w:val="00AF3555"/>
    <w:rsid w:val="00AF6E13"/>
    <w:rsid w:val="00B007D4"/>
    <w:rsid w:val="00B00D05"/>
    <w:rsid w:val="00B030FD"/>
    <w:rsid w:val="00B04D57"/>
    <w:rsid w:val="00B04DC7"/>
    <w:rsid w:val="00B04FF5"/>
    <w:rsid w:val="00B05408"/>
    <w:rsid w:val="00B0579D"/>
    <w:rsid w:val="00B057A7"/>
    <w:rsid w:val="00B05D61"/>
    <w:rsid w:val="00B06F52"/>
    <w:rsid w:val="00B07BA6"/>
    <w:rsid w:val="00B10151"/>
    <w:rsid w:val="00B1029A"/>
    <w:rsid w:val="00B10968"/>
    <w:rsid w:val="00B1149F"/>
    <w:rsid w:val="00B136D4"/>
    <w:rsid w:val="00B13953"/>
    <w:rsid w:val="00B14360"/>
    <w:rsid w:val="00B15A18"/>
    <w:rsid w:val="00B15C77"/>
    <w:rsid w:val="00B17F4C"/>
    <w:rsid w:val="00B2134D"/>
    <w:rsid w:val="00B22CC0"/>
    <w:rsid w:val="00B22DA6"/>
    <w:rsid w:val="00B25A49"/>
    <w:rsid w:val="00B25D99"/>
    <w:rsid w:val="00B25F32"/>
    <w:rsid w:val="00B26258"/>
    <w:rsid w:val="00B31B2F"/>
    <w:rsid w:val="00B3286F"/>
    <w:rsid w:val="00B33791"/>
    <w:rsid w:val="00B33B87"/>
    <w:rsid w:val="00B35421"/>
    <w:rsid w:val="00B36E59"/>
    <w:rsid w:val="00B37B1C"/>
    <w:rsid w:val="00B400C2"/>
    <w:rsid w:val="00B40519"/>
    <w:rsid w:val="00B407CD"/>
    <w:rsid w:val="00B40C00"/>
    <w:rsid w:val="00B41654"/>
    <w:rsid w:val="00B42ACA"/>
    <w:rsid w:val="00B43FD0"/>
    <w:rsid w:val="00B445A2"/>
    <w:rsid w:val="00B44E76"/>
    <w:rsid w:val="00B455BD"/>
    <w:rsid w:val="00B458FF"/>
    <w:rsid w:val="00B4681D"/>
    <w:rsid w:val="00B46B52"/>
    <w:rsid w:val="00B46E0C"/>
    <w:rsid w:val="00B503A9"/>
    <w:rsid w:val="00B5148F"/>
    <w:rsid w:val="00B517D1"/>
    <w:rsid w:val="00B543EA"/>
    <w:rsid w:val="00B548D8"/>
    <w:rsid w:val="00B55C58"/>
    <w:rsid w:val="00B57048"/>
    <w:rsid w:val="00B607C9"/>
    <w:rsid w:val="00B60E70"/>
    <w:rsid w:val="00B612C7"/>
    <w:rsid w:val="00B62C88"/>
    <w:rsid w:val="00B6340B"/>
    <w:rsid w:val="00B6404F"/>
    <w:rsid w:val="00B65933"/>
    <w:rsid w:val="00B66099"/>
    <w:rsid w:val="00B66C7E"/>
    <w:rsid w:val="00B67045"/>
    <w:rsid w:val="00B6719D"/>
    <w:rsid w:val="00B70750"/>
    <w:rsid w:val="00B71989"/>
    <w:rsid w:val="00B71D32"/>
    <w:rsid w:val="00B729A0"/>
    <w:rsid w:val="00B72B85"/>
    <w:rsid w:val="00B7412E"/>
    <w:rsid w:val="00B74572"/>
    <w:rsid w:val="00B74730"/>
    <w:rsid w:val="00B75967"/>
    <w:rsid w:val="00B75FE5"/>
    <w:rsid w:val="00B77D15"/>
    <w:rsid w:val="00B8014F"/>
    <w:rsid w:val="00B808E6"/>
    <w:rsid w:val="00B80978"/>
    <w:rsid w:val="00B81905"/>
    <w:rsid w:val="00B82981"/>
    <w:rsid w:val="00B8350A"/>
    <w:rsid w:val="00B839EF"/>
    <w:rsid w:val="00B85169"/>
    <w:rsid w:val="00B85754"/>
    <w:rsid w:val="00B858DC"/>
    <w:rsid w:val="00B90C92"/>
    <w:rsid w:val="00B91D58"/>
    <w:rsid w:val="00B92542"/>
    <w:rsid w:val="00B927A1"/>
    <w:rsid w:val="00B92C2E"/>
    <w:rsid w:val="00B92C9F"/>
    <w:rsid w:val="00B92D0F"/>
    <w:rsid w:val="00B93541"/>
    <w:rsid w:val="00B93A86"/>
    <w:rsid w:val="00B95B4A"/>
    <w:rsid w:val="00B962AA"/>
    <w:rsid w:val="00B966C3"/>
    <w:rsid w:val="00B96718"/>
    <w:rsid w:val="00B96823"/>
    <w:rsid w:val="00B97AF1"/>
    <w:rsid w:val="00BA06EE"/>
    <w:rsid w:val="00BA299B"/>
    <w:rsid w:val="00BA2BD8"/>
    <w:rsid w:val="00BA2CEA"/>
    <w:rsid w:val="00BA3176"/>
    <w:rsid w:val="00BA3910"/>
    <w:rsid w:val="00BA3A12"/>
    <w:rsid w:val="00BA4363"/>
    <w:rsid w:val="00BA46AE"/>
    <w:rsid w:val="00BA477B"/>
    <w:rsid w:val="00BA4831"/>
    <w:rsid w:val="00BA4E81"/>
    <w:rsid w:val="00BA6402"/>
    <w:rsid w:val="00BA6926"/>
    <w:rsid w:val="00BA6A00"/>
    <w:rsid w:val="00BA722B"/>
    <w:rsid w:val="00BA7B4B"/>
    <w:rsid w:val="00BB115E"/>
    <w:rsid w:val="00BB25B2"/>
    <w:rsid w:val="00BB2C02"/>
    <w:rsid w:val="00BB3267"/>
    <w:rsid w:val="00BB398B"/>
    <w:rsid w:val="00BB43DB"/>
    <w:rsid w:val="00BB5C84"/>
    <w:rsid w:val="00BB5CB7"/>
    <w:rsid w:val="00BB76BB"/>
    <w:rsid w:val="00BC1D7D"/>
    <w:rsid w:val="00BC2DD8"/>
    <w:rsid w:val="00BC4509"/>
    <w:rsid w:val="00BC496D"/>
    <w:rsid w:val="00BC5BE0"/>
    <w:rsid w:val="00BC5C17"/>
    <w:rsid w:val="00BC6319"/>
    <w:rsid w:val="00BC6D2A"/>
    <w:rsid w:val="00BC7DEB"/>
    <w:rsid w:val="00BD194D"/>
    <w:rsid w:val="00BD3BFD"/>
    <w:rsid w:val="00BD4428"/>
    <w:rsid w:val="00BD502F"/>
    <w:rsid w:val="00BD65E5"/>
    <w:rsid w:val="00BD66CD"/>
    <w:rsid w:val="00BD7D6C"/>
    <w:rsid w:val="00BD7F33"/>
    <w:rsid w:val="00BE1CF1"/>
    <w:rsid w:val="00BE2359"/>
    <w:rsid w:val="00BE2AAF"/>
    <w:rsid w:val="00BE2BA0"/>
    <w:rsid w:val="00BE3317"/>
    <w:rsid w:val="00BE3C53"/>
    <w:rsid w:val="00BE3CF3"/>
    <w:rsid w:val="00BE4028"/>
    <w:rsid w:val="00BE479A"/>
    <w:rsid w:val="00BE5327"/>
    <w:rsid w:val="00BE5957"/>
    <w:rsid w:val="00BE7EC5"/>
    <w:rsid w:val="00BF053C"/>
    <w:rsid w:val="00BF124C"/>
    <w:rsid w:val="00BF14B5"/>
    <w:rsid w:val="00BF1651"/>
    <w:rsid w:val="00BF2722"/>
    <w:rsid w:val="00BF4384"/>
    <w:rsid w:val="00BF46DA"/>
    <w:rsid w:val="00BF4C28"/>
    <w:rsid w:val="00BF4CD7"/>
    <w:rsid w:val="00BF6024"/>
    <w:rsid w:val="00BF69D5"/>
    <w:rsid w:val="00C00080"/>
    <w:rsid w:val="00C0065B"/>
    <w:rsid w:val="00C006BD"/>
    <w:rsid w:val="00C019BC"/>
    <w:rsid w:val="00C0340E"/>
    <w:rsid w:val="00C03A3A"/>
    <w:rsid w:val="00C04F96"/>
    <w:rsid w:val="00C0520F"/>
    <w:rsid w:val="00C05619"/>
    <w:rsid w:val="00C05C8C"/>
    <w:rsid w:val="00C05DE1"/>
    <w:rsid w:val="00C072C5"/>
    <w:rsid w:val="00C07F4F"/>
    <w:rsid w:val="00C10F40"/>
    <w:rsid w:val="00C11EE7"/>
    <w:rsid w:val="00C120E1"/>
    <w:rsid w:val="00C13E09"/>
    <w:rsid w:val="00C1672A"/>
    <w:rsid w:val="00C2199E"/>
    <w:rsid w:val="00C22308"/>
    <w:rsid w:val="00C2292D"/>
    <w:rsid w:val="00C229CA"/>
    <w:rsid w:val="00C23616"/>
    <w:rsid w:val="00C24D13"/>
    <w:rsid w:val="00C24E2E"/>
    <w:rsid w:val="00C24E70"/>
    <w:rsid w:val="00C3021B"/>
    <w:rsid w:val="00C302F9"/>
    <w:rsid w:val="00C305F0"/>
    <w:rsid w:val="00C30A91"/>
    <w:rsid w:val="00C3190B"/>
    <w:rsid w:val="00C33BE8"/>
    <w:rsid w:val="00C33D07"/>
    <w:rsid w:val="00C345EE"/>
    <w:rsid w:val="00C34D5E"/>
    <w:rsid w:val="00C365FE"/>
    <w:rsid w:val="00C36E8A"/>
    <w:rsid w:val="00C3726C"/>
    <w:rsid w:val="00C4026B"/>
    <w:rsid w:val="00C41071"/>
    <w:rsid w:val="00C41350"/>
    <w:rsid w:val="00C41C47"/>
    <w:rsid w:val="00C421CC"/>
    <w:rsid w:val="00C43886"/>
    <w:rsid w:val="00C449B0"/>
    <w:rsid w:val="00C46A0A"/>
    <w:rsid w:val="00C473B7"/>
    <w:rsid w:val="00C52686"/>
    <w:rsid w:val="00C52870"/>
    <w:rsid w:val="00C531F4"/>
    <w:rsid w:val="00C533AE"/>
    <w:rsid w:val="00C53EDA"/>
    <w:rsid w:val="00C55B64"/>
    <w:rsid w:val="00C56BEB"/>
    <w:rsid w:val="00C56CC7"/>
    <w:rsid w:val="00C57C7A"/>
    <w:rsid w:val="00C57F1A"/>
    <w:rsid w:val="00C6233E"/>
    <w:rsid w:val="00C6240E"/>
    <w:rsid w:val="00C62EC3"/>
    <w:rsid w:val="00C62EC6"/>
    <w:rsid w:val="00C62EE4"/>
    <w:rsid w:val="00C63278"/>
    <w:rsid w:val="00C64E76"/>
    <w:rsid w:val="00C656F6"/>
    <w:rsid w:val="00C65F74"/>
    <w:rsid w:val="00C6668A"/>
    <w:rsid w:val="00C6783B"/>
    <w:rsid w:val="00C708CC"/>
    <w:rsid w:val="00C73070"/>
    <w:rsid w:val="00C744E7"/>
    <w:rsid w:val="00C749DF"/>
    <w:rsid w:val="00C74F93"/>
    <w:rsid w:val="00C7539B"/>
    <w:rsid w:val="00C75DA4"/>
    <w:rsid w:val="00C76C7D"/>
    <w:rsid w:val="00C82437"/>
    <w:rsid w:val="00C842BA"/>
    <w:rsid w:val="00C85C79"/>
    <w:rsid w:val="00C86EC4"/>
    <w:rsid w:val="00C870F5"/>
    <w:rsid w:val="00C87339"/>
    <w:rsid w:val="00C87A7F"/>
    <w:rsid w:val="00C91680"/>
    <w:rsid w:val="00C9377C"/>
    <w:rsid w:val="00C96AB9"/>
    <w:rsid w:val="00C96D63"/>
    <w:rsid w:val="00CA1EFF"/>
    <w:rsid w:val="00CA1FAF"/>
    <w:rsid w:val="00CA1FCC"/>
    <w:rsid w:val="00CA6721"/>
    <w:rsid w:val="00CA767C"/>
    <w:rsid w:val="00CB1369"/>
    <w:rsid w:val="00CB18B4"/>
    <w:rsid w:val="00CB2D9B"/>
    <w:rsid w:val="00CB4E0C"/>
    <w:rsid w:val="00CB5C8E"/>
    <w:rsid w:val="00CB6AE8"/>
    <w:rsid w:val="00CB7CF3"/>
    <w:rsid w:val="00CB7E2B"/>
    <w:rsid w:val="00CC0182"/>
    <w:rsid w:val="00CC08A0"/>
    <w:rsid w:val="00CC0CE6"/>
    <w:rsid w:val="00CC2A00"/>
    <w:rsid w:val="00CC49DF"/>
    <w:rsid w:val="00CC4CA6"/>
    <w:rsid w:val="00CC5CE6"/>
    <w:rsid w:val="00CC6CE0"/>
    <w:rsid w:val="00CC6EF3"/>
    <w:rsid w:val="00CC704C"/>
    <w:rsid w:val="00CD0158"/>
    <w:rsid w:val="00CD01C9"/>
    <w:rsid w:val="00CD0C61"/>
    <w:rsid w:val="00CD0EAF"/>
    <w:rsid w:val="00CD1C3F"/>
    <w:rsid w:val="00CD29A5"/>
    <w:rsid w:val="00CD4AD9"/>
    <w:rsid w:val="00CD4BA7"/>
    <w:rsid w:val="00CD5895"/>
    <w:rsid w:val="00CD59B3"/>
    <w:rsid w:val="00CD67C8"/>
    <w:rsid w:val="00CD76EA"/>
    <w:rsid w:val="00CD7D6D"/>
    <w:rsid w:val="00CE1487"/>
    <w:rsid w:val="00CE18AF"/>
    <w:rsid w:val="00CE2322"/>
    <w:rsid w:val="00CE2A2D"/>
    <w:rsid w:val="00CE2A50"/>
    <w:rsid w:val="00CE48ED"/>
    <w:rsid w:val="00CE4974"/>
    <w:rsid w:val="00CE64D0"/>
    <w:rsid w:val="00CE6936"/>
    <w:rsid w:val="00CE6F2A"/>
    <w:rsid w:val="00CE782B"/>
    <w:rsid w:val="00CE7839"/>
    <w:rsid w:val="00CE7910"/>
    <w:rsid w:val="00CE7E90"/>
    <w:rsid w:val="00CF1D4F"/>
    <w:rsid w:val="00CF21F1"/>
    <w:rsid w:val="00CF3AF0"/>
    <w:rsid w:val="00CF5079"/>
    <w:rsid w:val="00CF5412"/>
    <w:rsid w:val="00CF575E"/>
    <w:rsid w:val="00CF77BE"/>
    <w:rsid w:val="00CF783E"/>
    <w:rsid w:val="00CF78BB"/>
    <w:rsid w:val="00CF7C58"/>
    <w:rsid w:val="00D000D2"/>
    <w:rsid w:val="00D00162"/>
    <w:rsid w:val="00D011F6"/>
    <w:rsid w:val="00D018E4"/>
    <w:rsid w:val="00D01B02"/>
    <w:rsid w:val="00D01CB8"/>
    <w:rsid w:val="00D01E84"/>
    <w:rsid w:val="00D02408"/>
    <w:rsid w:val="00D03003"/>
    <w:rsid w:val="00D03572"/>
    <w:rsid w:val="00D048AE"/>
    <w:rsid w:val="00D04935"/>
    <w:rsid w:val="00D05556"/>
    <w:rsid w:val="00D056C0"/>
    <w:rsid w:val="00D06D60"/>
    <w:rsid w:val="00D077D1"/>
    <w:rsid w:val="00D10C93"/>
    <w:rsid w:val="00D1147C"/>
    <w:rsid w:val="00D12B7D"/>
    <w:rsid w:val="00D146B1"/>
    <w:rsid w:val="00D170CD"/>
    <w:rsid w:val="00D17FB6"/>
    <w:rsid w:val="00D207C2"/>
    <w:rsid w:val="00D20886"/>
    <w:rsid w:val="00D2122A"/>
    <w:rsid w:val="00D21B26"/>
    <w:rsid w:val="00D23C52"/>
    <w:rsid w:val="00D24262"/>
    <w:rsid w:val="00D2447A"/>
    <w:rsid w:val="00D248B1"/>
    <w:rsid w:val="00D24C67"/>
    <w:rsid w:val="00D3174B"/>
    <w:rsid w:val="00D31D03"/>
    <w:rsid w:val="00D33D24"/>
    <w:rsid w:val="00D33E82"/>
    <w:rsid w:val="00D35F34"/>
    <w:rsid w:val="00D35F83"/>
    <w:rsid w:val="00D360E7"/>
    <w:rsid w:val="00D3620B"/>
    <w:rsid w:val="00D36405"/>
    <w:rsid w:val="00D405F7"/>
    <w:rsid w:val="00D41152"/>
    <w:rsid w:val="00D426FC"/>
    <w:rsid w:val="00D42A44"/>
    <w:rsid w:val="00D43C47"/>
    <w:rsid w:val="00D43E0A"/>
    <w:rsid w:val="00D43F0C"/>
    <w:rsid w:val="00D4577C"/>
    <w:rsid w:val="00D45CB1"/>
    <w:rsid w:val="00D45E15"/>
    <w:rsid w:val="00D47581"/>
    <w:rsid w:val="00D51F21"/>
    <w:rsid w:val="00D53573"/>
    <w:rsid w:val="00D56490"/>
    <w:rsid w:val="00D564EF"/>
    <w:rsid w:val="00D57693"/>
    <w:rsid w:val="00D57A08"/>
    <w:rsid w:val="00D57E73"/>
    <w:rsid w:val="00D62BD4"/>
    <w:rsid w:val="00D62C71"/>
    <w:rsid w:val="00D62DDC"/>
    <w:rsid w:val="00D63CCF"/>
    <w:rsid w:val="00D63ED3"/>
    <w:rsid w:val="00D64FD6"/>
    <w:rsid w:val="00D6589E"/>
    <w:rsid w:val="00D665FB"/>
    <w:rsid w:val="00D66672"/>
    <w:rsid w:val="00D675AC"/>
    <w:rsid w:val="00D7135B"/>
    <w:rsid w:val="00D7168D"/>
    <w:rsid w:val="00D71AE8"/>
    <w:rsid w:val="00D71D0D"/>
    <w:rsid w:val="00D71D82"/>
    <w:rsid w:val="00D71F49"/>
    <w:rsid w:val="00D726DB"/>
    <w:rsid w:val="00D72BFA"/>
    <w:rsid w:val="00D7387C"/>
    <w:rsid w:val="00D73948"/>
    <w:rsid w:val="00D74BB4"/>
    <w:rsid w:val="00D74C30"/>
    <w:rsid w:val="00D74E9D"/>
    <w:rsid w:val="00D77D4A"/>
    <w:rsid w:val="00D8071D"/>
    <w:rsid w:val="00D840A3"/>
    <w:rsid w:val="00D84276"/>
    <w:rsid w:val="00D85791"/>
    <w:rsid w:val="00D8615D"/>
    <w:rsid w:val="00D86D5E"/>
    <w:rsid w:val="00D875D1"/>
    <w:rsid w:val="00D87702"/>
    <w:rsid w:val="00D87938"/>
    <w:rsid w:val="00D87C44"/>
    <w:rsid w:val="00D92D3C"/>
    <w:rsid w:val="00D93AE9"/>
    <w:rsid w:val="00D93CAB"/>
    <w:rsid w:val="00D93FEF"/>
    <w:rsid w:val="00D95E3A"/>
    <w:rsid w:val="00DA0218"/>
    <w:rsid w:val="00DA317C"/>
    <w:rsid w:val="00DA322B"/>
    <w:rsid w:val="00DA3E7C"/>
    <w:rsid w:val="00DA415A"/>
    <w:rsid w:val="00DA4ABC"/>
    <w:rsid w:val="00DA4E74"/>
    <w:rsid w:val="00DA5C70"/>
    <w:rsid w:val="00DA71E4"/>
    <w:rsid w:val="00DA7959"/>
    <w:rsid w:val="00DB06B7"/>
    <w:rsid w:val="00DB0936"/>
    <w:rsid w:val="00DB31CF"/>
    <w:rsid w:val="00DB3B2C"/>
    <w:rsid w:val="00DB3CEA"/>
    <w:rsid w:val="00DB42DC"/>
    <w:rsid w:val="00DB46BA"/>
    <w:rsid w:val="00DB46FD"/>
    <w:rsid w:val="00DB4B08"/>
    <w:rsid w:val="00DB4CB0"/>
    <w:rsid w:val="00DB4CF8"/>
    <w:rsid w:val="00DC0B1A"/>
    <w:rsid w:val="00DC19A8"/>
    <w:rsid w:val="00DC2F22"/>
    <w:rsid w:val="00DC33B8"/>
    <w:rsid w:val="00DC3853"/>
    <w:rsid w:val="00DC3FF3"/>
    <w:rsid w:val="00DC5304"/>
    <w:rsid w:val="00DC603C"/>
    <w:rsid w:val="00DC6251"/>
    <w:rsid w:val="00DC70C1"/>
    <w:rsid w:val="00DC70F1"/>
    <w:rsid w:val="00DC7265"/>
    <w:rsid w:val="00DC7784"/>
    <w:rsid w:val="00DC7BA6"/>
    <w:rsid w:val="00DC7E2A"/>
    <w:rsid w:val="00DD11FB"/>
    <w:rsid w:val="00DD161E"/>
    <w:rsid w:val="00DD30F6"/>
    <w:rsid w:val="00DD39E0"/>
    <w:rsid w:val="00DD6B03"/>
    <w:rsid w:val="00DD715D"/>
    <w:rsid w:val="00DD73AD"/>
    <w:rsid w:val="00DD761F"/>
    <w:rsid w:val="00DD790E"/>
    <w:rsid w:val="00DD7CD5"/>
    <w:rsid w:val="00DD7F1A"/>
    <w:rsid w:val="00DE036B"/>
    <w:rsid w:val="00DE186D"/>
    <w:rsid w:val="00DE20BB"/>
    <w:rsid w:val="00DE375B"/>
    <w:rsid w:val="00DE468F"/>
    <w:rsid w:val="00DE713E"/>
    <w:rsid w:val="00DE7C13"/>
    <w:rsid w:val="00DF171F"/>
    <w:rsid w:val="00DF1E91"/>
    <w:rsid w:val="00DF4CBB"/>
    <w:rsid w:val="00DF4E00"/>
    <w:rsid w:val="00DF516F"/>
    <w:rsid w:val="00DF65D0"/>
    <w:rsid w:val="00DF68D4"/>
    <w:rsid w:val="00DF705D"/>
    <w:rsid w:val="00E013E7"/>
    <w:rsid w:val="00E01FDA"/>
    <w:rsid w:val="00E04298"/>
    <w:rsid w:val="00E0550A"/>
    <w:rsid w:val="00E06FD5"/>
    <w:rsid w:val="00E12BCC"/>
    <w:rsid w:val="00E130F9"/>
    <w:rsid w:val="00E13C43"/>
    <w:rsid w:val="00E1424E"/>
    <w:rsid w:val="00E14987"/>
    <w:rsid w:val="00E15C57"/>
    <w:rsid w:val="00E20AAA"/>
    <w:rsid w:val="00E212BD"/>
    <w:rsid w:val="00E21A2A"/>
    <w:rsid w:val="00E22AE4"/>
    <w:rsid w:val="00E23123"/>
    <w:rsid w:val="00E24335"/>
    <w:rsid w:val="00E2531D"/>
    <w:rsid w:val="00E2545E"/>
    <w:rsid w:val="00E25D43"/>
    <w:rsid w:val="00E2771E"/>
    <w:rsid w:val="00E3042A"/>
    <w:rsid w:val="00E3064B"/>
    <w:rsid w:val="00E31787"/>
    <w:rsid w:val="00E31F05"/>
    <w:rsid w:val="00E331D2"/>
    <w:rsid w:val="00E332F1"/>
    <w:rsid w:val="00E33416"/>
    <w:rsid w:val="00E33C44"/>
    <w:rsid w:val="00E344ED"/>
    <w:rsid w:val="00E35E13"/>
    <w:rsid w:val="00E376E8"/>
    <w:rsid w:val="00E378BD"/>
    <w:rsid w:val="00E40AC7"/>
    <w:rsid w:val="00E41E37"/>
    <w:rsid w:val="00E41EBF"/>
    <w:rsid w:val="00E41F15"/>
    <w:rsid w:val="00E43B0B"/>
    <w:rsid w:val="00E43EFB"/>
    <w:rsid w:val="00E44B9B"/>
    <w:rsid w:val="00E45F8B"/>
    <w:rsid w:val="00E46368"/>
    <w:rsid w:val="00E4660A"/>
    <w:rsid w:val="00E47AF3"/>
    <w:rsid w:val="00E52BF6"/>
    <w:rsid w:val="00E533EF"/>
    <w:rsid w:val="00E57482"/>
    <w:rsid w:val="00E60186"/>
    <w:rsid w:val="00E61470"/>
    <w:rsid w:val="00E62E27"/>
    <w:rsid w:val="00E63FFD"/>
    <w:rsid w:val="00E65DF2"/>
    <w:rsid w:val="00E664B5"/>
    <w:rsid w:val="00E67B95"/>
    <w:rsid w:val="00E732CC"/>
    <w:rsid w:val="00E73C8A"/>
    <w:rsid w:val="00E74520"/>
    <w:rsid w:val="00E75F66"/>
    <w:rsid w:val="00E76224"/>
    <w:rsid w:val="00E76C58"/>
    <w:rsid w:val="00E77FAC"/>
    <w:rsid w:val="00E80DF6"/>
    <w:rsid w:val="00E845EB"/>
    <w:rsid w:val="00E84951"/>
    <w:rsid w:val="00E92E96"/>
    <w:rsid w:val="00E93623"/>
    <w:rsid w:val="00E93C71"/>
    <w:rsid w:val="00E96BE2"/>
    <w:rsid w:val="00E97D5E"/>
    <w:rsid w:val="00EA093B"/>
    <w:rsid w:val="00EA1E1E"/>
    <w:rsid w:val="00EA2099"/>
    <w:rsid w:val="00EA2E4B"/>
    <w:rsid w:val="00EA3A42"/>
    <w:rsid w:val="00EA4EC7"/>
    <w:rsid w:val="00EA76FB"/>
    <w:rsid w:val="00EB05A2"/>
    <w:rsid w:val="00EB0915"/>
    <w:rsid w:val="00EB0B95"/>
    <w:rsid w:val="00EB185B"/>
    <w:rsid w:val="00EB1BB7"/>
    <w:rsid w:val="00EB2019"/>
    <w:rsid w:val="00EB20A1"/>
    <w:rsid w:val="00EB255D"/>
    <w:rsid w:val="00EB2DB2"/>
    <w:rsid w:val="00EB367E"/>
    <w:rsid w:val="00EB5A5B"/>
    <w:rsid w:val="00EB63D0"/>
    <w:rsid w:val="00EC0FBE"/>
    <w:rsid w:val="00EC2154"/>
    <w:rsid w:val="00EC3341"/>
    <w:rsid w:val="00EC3421"/>
    <w:rsid w:val="00EC460D"/>
    <w:rsid w:val="00EC5003"/>
    <w:rsid w:val="00EC64AC"/>
    <w:rsid w:val="00ED0503"/>
    <w:rsid w:val="00ED0CFB"/>
    <w:rsid w:val="00ED2069"/>
    <w:rsid w:val="00ED26C0"/>
    <w:rsid w:val="00ED29CA"/>
    <w:rsid w:val="00ED3BDB"/>
    <w:rsid w:val="00ED4686"/>
    <w:rsid w:val="00ED46C3"/>
    <w:rsid w:val="00ED473D"/>
    <w:rsid w:val="00ED54E4"/>
    <w:rsid w:val="00ED5950"/>
    <w:rsid w:val="00ED649A"/>
    <w:rsid w:val="00ED668A"/>
    <w:rsid w:val="00EE117F"/>
    <w:rsid w:val="00EE1595"/>
    <w:rsid w:val="00EE2E8B"/>
    <w:rsid w:val="00EE3227"/>
    <w:rsid w:val="00EE3B67"/>
    <w:rsid w:val="00EE3C43"/>
    <w:rsid w:val="00EE3C5F"/>
    <w:rsid w:val="00EE4640"/>
    <w:rsid w:val="00EE535C"/>
    <w:rsid w:val="00EE5FB1"/>
    <w:rsid w:val="00EE7CA4"/>
    <w:rsid w:val="00EF044A"/>
    <w:rsid w:val="00EF13C8"/>
    <w:rsid w:val="00EF14F1"/>
    <w:rsid w:val="00EF1962"/>
    <w:rsid w:val="00EF26B5"/>
    <w:rsid w:val="00EF2772"/>
    <w:rsid w:val="00EF49FC"/>
    <w:rsid w:val="00EF5186"/>
    <w:rsid w:val="00EF6420"/>
    <w:rsid w:val="00EF652B"/>
    <w:rsid w:val="00EF6B0B"/>
    <w:rsid w:val="00EF6CF7"/>
    <w:rsid w:val="00EF73AE"/>
    <w:rsid w:val="00EF7416"/>
    <w:rsid w:val="00EF75B7"/>
    <w:rsid w:val="00EF7D87"/>
    <w:rsid w:val="00F00B00"/>
    <w:rsid w:val="00F0172A"/>
    <w:rsid w:val="00F01ADF"/>
    <w:rsid w:val="00F01BD6"/>
    <w:rsid w:val="00F026CC"/>
    <w:rsid w:val="00F03B5A"/>
    <w:rsid w:val="00F03B6D"/>
    <w:rsid w:val="00F03F28"/>
    <w:rsid w:val="00F059EF"/>
    <w:rsid w:val="00F065C8"/>
    <w:rsid w:val="00F11B2D"/>
    <w:rsid w:val="00F122E7"/>
    <w:rsid w:val="00F127F4"/>
    <w:rsid w:val="00F1323D"/>
    <w:rsid w:val="00F137EF"/>
    <w:rsid w:val="00F15EAB"/>
    <w:rsid w:val="00F17068"/>
    <w:rsid w:val="00F20488"/>
    <w:rsid w:val="00F20A06"/>
    <w:rsid w:val="00F213D6"/>
    <w:rsid w:val="00F22C93"/>
    <w:rsid w:val="00F23084"/>
    <w:rsid w:val="00F23201"/>
    <w:rsid w:val="00F23E85"/>
    <w:rsid w:val="00F2666F"/>
    <w:rsid w:val="00F26946"/>
    <w:rsid w:val="00F27D93"/>
    <w:rsid w:val="00F27F30"/>
    <w:rsid w:val="00F3097E"/>
    <w:rsid w:val="00F30C17"/>
    <w:rsid w:val="00F31844"/>
    <w:rsid w:val="00F33B80"/>
    <w:rsid w:val="00F344E5"/>
    <w:rsid w:val="00F34AE6"/>
    <w:rsid w:val="00F356E4"/>
    <w:rsid w:val="00F35ADE"/>
    <w:rsid w:val="00F401B3"/>
    <w:rsid w:val="00F410F0"/>
    <w:rsid w:val="00F42D90"/>
    <w:rsid w:val="00F44720"/>
    <w:rsid w:val="00F458F2"/>
    <w:rsid w:val="00F46D17"/>
    <w:rsid w:val="00F52E53"/>
    <w:rsid w:val="00F52F9C"/>
    <w:rsid w:val="00F54293"/>
    <w:rsid w:val="00F56058"/>
    <w:rsid w:val="00F56C86"/>
    <w:rsid w:val="00F56D00"/>
    <w:rsid w:val="00F57016"/>
    <w:rsid w:val="00F57EC2"/>
    <w:rsid w:val="00F602F7"/>
    <w:rsid w:val="00F61396"/>
    <w:rsid w:val="00F61403"/>
    <w:rsid w:val="00F61F9B"/>
    <w:rsid w:val="00F62D80"/>
    <w:rsid w:val="00F633E6"/>
    <w:rsid w:val="00F66247"/>
    <w:rsid w:val="00F6632C"/>
    <w:rsid w:val="00F679E1"/>
    <w:rsid w:val="00F67D83"/>
    <w:rsid w:val="00F67E38"/>
    <w:rsid w:val="00F70295"/>
    <w:rsid w:val="00F70D44"/>
    <w:rsid w:val="00F712F9"/>
    <w:rsid w:val="00F71D08"/>
    <w:rsid w:val="00F72472"/>
    <w:rsid w:val="00F72746"/>
    <w:rsid w:val="00F72B76"/>
    <w:rsid w:val="00F73570"/>
    <w:rsid w:val="00F73DA7"/>
    <w:rsid w:val="00F75C08"/>
    <w:rsid w:val="00F778A7"/>
    <w:rsid w:val="00F815D3"/>
    <w:rsid w:val="00F8312F"/>
    <w:rsid w:val="00F83290"/>
    <w:rsid w:val="00F83AE7"/>
    <w:rsid w:val="00F85584"/>
    <w:rsid w:val="00F86666"/>
    <w:rsid w:val="00F870B4"/>
    <w:rsid w:val="00F9101E"/>
    <w:rsid w:val="00F91490"/>
    <w:rsid w:val="00F937DC"/>
    <w:rsid w:val="00F94218"/>
    <w:rsid w:val="00F94749"/>
    <w:rsid w:val="00F94EB4"/>
    <w:rsid w:val="00F954F1"/>
    <w:rsid w:val="00F95639"/>
    <w:rsid w:val="00F95F1D"/>
    <w:rsid w:val="00F9758F"/>
    <w:rsid w:val="00F97DBA"/>
    <w:rsid w:val="00FA082A"/>
    <w:rsid w:val="00FA0A30"/>
    <w:rsid w:val="00FA104F"/>
    <w:rsid w:val="00FA31E3"/>
    <w:rsid w:val="00FA36DA"/>
    <w:rsid w:val="00FA458A"/>
    <w:rsid w:val="00FA4711"/>
    <w:rsid w:val="00FA4898"/>
    <w:rsid w:val="00FA6F8C"/>
    <w:rsid w:val="00FA7647"/>
    <w:rsid w:val="00FB0034"/>
    <w:rsid w:val="00FB1C21"/>
    <w:rsid w:val="00FB21DF"/>
    <w:rsid w:val="00FB2812"/>
    <w:rsid w:val="00FB2DEB"/>
    <w:rsid w:val="00FB5C6C"/>
    <w:rsid w:val="00FC03F9"/>
    <w:rsid w:val="00FC0F62"/>
    <w:rsid w:val="00FC1401"/>
    <w:rsid w:val="00FC35DD"/>
    <w:rsid w:val="00FC3A02"/>
    <w:rsid w:val="00FC3C60"/>
    <w:rsid w:val="00FC45CE"/>
    <w:rsid w:val="00FC5024"/>
    <w:rsid w:val="00FC7015"/>
    <w:rsid w:val="00FC7B3F"/>
    <w:rsid w:val="00FD1738"/>
    <w:rsid w:val="00FD22CB"/>
    <w:rsid w:val="00FD3631"/>
    <w:rsid w:val="00FD46A9"/>
    <w:rsid w:val="00FD4C41"/>
    <w:rsid w:val="00FD5834"/>
    <w:rsid w:val="00FD61FD"/>
    <w:rsid w:val="00FD63BC"/>
    <w:rsid w:val="00FD6578"/>
    <w:rsid w:val="00FD70FA"/>
    <w:rsid w:val="00FD7621"/>
    <w:rsid w:val="00FD7A8B"/>
    <w:rsid w:val="00FE06F0"/>
    <w:rsid w:val="00FE22F4"/>
    <w:rsid w:val="00FE23B8"/>
    <w:rsid w:val="00FE6BC1"/>
    <w:rsid w:val="00FF0AAA"/>
    <w:rsid w:val="00FF2039"/>
    <w:rsid w:val="00FF454F"/>
    <w:rsid w:val="00FF4FCC"/>
    <w:rsid w:val="00FF65C0"/>
    <w:rsid w:val="00FF777B"/>
    <w:rsid w:val="00FF7B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DA46029"/>
  <w15:docId w15:val="{A5206DB6-687E-45A0-8D01-60AD46850F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lang w:val="en-US"/>
    </w:rPr>
  </w:style>
  <w:style w:type="paragraph" w:styleId="Title">
    <w:name w:val="Title"/>
    <w:next w:val="Body2"/>
    <w:uiPriority w:val="10"/>
    <w:qFormat/>
    <w:pPr>
      <w:keepNext/>
      <w:spacing w:line="480" w:lineRule="auto"/>
      <w:jc w:val="center"/>
      <w:outlineLvl w:val="0"/>
    </w:pPr>
    <w:rPr>
      <w:rFonts w:ascii="Helvetica Neue" w:eastAsia="Helvetica Neue" w:hAnsi="Helvetica Neue" w:cs="Helvetica Neue"/>
      <w:color w:val="000000"/>
      <w:sz w:val="24"/>
      <w:szCs w:val="24"/>
    </w:rPr>
  </w:style>
  <w:style w:type="paragraph" w:customStyle="1" w:styleId="Body2">
    <w:name w:val="Body 2"/>
    <w:pPr>
      <w:spacing w:line="480" w:lineRule="auto"/>
      <w:ind w:firstLine="720"/>
    </w:pPr>
    <w:rPr>
      <w:rFonts w:ascii="Helvetica Neue" w:eastAsia="Helvetica Neue" w:hAnsi="Helvetica Neue" w:cs="Helvetica Neue"/>
      <w:color w:val="000000"/>
      <w:sz w:val="24"/>
      <w:szCs w:val="24"/>
    </w:rPr>
  </w:style>
  <w:style w:type="paragraph" w:customStyle="1" w:styleId="Title2">
    <w:name w:val="Title 2"/>
    <w:next w:val="Body3"/>
    <w:pPr>
      <w:keepNext/>
    </w:pPr>
    <w:rPr>
      <w:rFonts w:ascii="Helvetica Neue" w:hAnsi="Helvetica Neue" w:cs="Arial Unicode MS"/>
      <w:b/>
      <w:bCs/>
      <w:color w:val="000000"/>
      <w:sz w:val="60"/>
      <w:szCs w:val="60"/>
      <w:lang w:val="en-US"/>
    </w:rPr>
  </w:style>
  <w:style w:type="paragraph" w:customStyle="1" w:styleId="Body3">
    <w:name w:val="Body 3"/>
    <w:rPr>
      <w:rFonts w:ascii="Helvetica Neue" w:hAnsi="Helvetica Neue" w:cs="Arial Unicode MS"/>
      <w:color w:val="000000"/>
      <w:sz w:val="22"/>
      <w:szCs w:val="22"/>
      <w:lang w:val="en-US"/>
    </w:rPr>
  </w:style>
  <w:style w:type="paragraph" w:customStyle="1" w:styleId="Default">
    <w:name w:val="Default"/>
    <w:rPr>
      <w:rFonts w:ascii="Helvetica Neue" w:eastAsia="Helvetica Neue" w:hAnsi="Helvetica Neue" w:cs="Helvetica Neue"/>
      <w:color w:val="000000"/>
      <w:sz w:val="22"/>
      <w:szCs w:val="22"/>
    </w:rPr>
  </w:style>
  <w:style w:type="paragraph" w:customStyle="1" w:styleId="Body">
    <w:name w:val="Body"/>
    <w:pPr>
      <w:spacing w:line="480" w:lineRule="auto"/>
    </w:pPr>
    <w:rPr>
      <w:rFonts w:ascii="Helvetica Neue" w:hAnsi="Helvetica Neue" w:cs="Arial Unicode MS"/>
      <w:color w:val="000000"/>
      <w:sz w:val="24"/>
      <w:szCs w:val="24"/>
      <w:lang w:val="en-US"/>
    </w:rPr>
  </w:style>
  <w:style w:type="paragraph" w:customStyle="1" w:styleId="Footnote">
    <w:name w:val="Footnote"/>
    <w:rPr>
      <w:rFonts w:ascii="Helvetica Neue" w:eastAsia="Helvetica Neue" w:hAnsi="Helvetica Neue" w:cs="Helvetica Neue"/>
      <w:color w:val="000000"/>
      <w:sz w:val="22"/>
      <w:szCs w:val="22"/>
    </w:rPr>
  </w:style>
  <w:style w:type="character" w:customStyle="1" w:styleId="Hyperlink0">
    <w:name w:val="Hyperlink.0"/>
    <w:basedOn w:val="Hyperlink"/>
    <w:rPr>
      <w:u w:val="single"/>
    </w:rPr>
  </w:style>
  <w:style w:type="paragraph" w:customStyle="1" w:styleId="TableStyle2">
    <w:name w:val="Table Style 2"/>
    <w:rPr>
      <w:rFonts w:ascii="Helvetica Neue" w:eastAsia="Helvetica Neue" w:hAnsi="Helvetica Neue" w:cs="Helvetica Neue"/>
      <w:color w:val="000000"/>
    </w:rPr>
  </w:style>
  <w:style w:type="numbering" w:customStyle="1" w:styleId="Lettered">
    <w:name w:val="Lettered"/>
    <w:pPr>
      <w:numPr>
        <w:numId w:val="1"/>
      </w:numPr>
    </w:pPr>
  </w:style>
  <w:style w:type="character" w:customStyle="1" w:styleId="Hyperlink1">
    <w:name w:val="Hyperlink.1"/>
    <w:basedOn w:val="Hyperlink0"/>
    <w:rPr>
      <w:u w:val="none"/>
    </w:rPr>
  </w:style>
  <w:style w:type="paragraph" w:styleId="Header">
    <w:name w:val="header"/>
    <w:basedOn w:val="Normal"/>
    <w:link w:val="HeaderChar"/>
    <w:uiPriority w:val="99"/>
    <w:unhideWhenUsed/>
    <w:rsid w:val="00597EA7"/>
    <w:pPr>
      <w:tabs>
        <w:tab w:val="center" w:pos="4513"/>
        <w:tab w:val="right" w:pos="9026"/>
      </w:tabs>
    </w:pPr>
  </w:style>
  <w:style w:type="character" w:customStyle="1" w:styleId="HeaderChar">
    <w:name w:val="Header Char"/>
    <w:basedOn w:val="DefaultParagraphFont"/>
    <w:link w:val="Header"/>
    <w:uiPriority w:val="99"/>
    <w:rsid w:val="00597EA7"/>
    <w:rPr>
      <w:sz w:val="24"/>
      <w:szCs w:val="24"/>
      <w:lang w:val="en-US" w:eastAsia="en-US"/>
    </w:rPr>
  </w:style>
  <w:style w:type="paragraph" w:styleId="Footer">
    <w:name w:val="footer"/>
    <w:basedOn w:val="Normal"/>
    <w:link w:val="FooterChar"/>
    <w:unhideWhenUsed/>
    <w:rsid w:val="00597EA7"/>
    <w:pPr>
      <w:tabs>
        <w:tab w:val="center" w:pos="4513"/>
        <w:tab w:val="right" w:pos="9026"/>
      </w:tabs>
    </w:pPr>
  </w:style>
  <w:style w:type="character" w:customStyle="1" w:styleId="FooterChar">
    <w:name w:val="Footer Char"/>
    <w:basedOn w:val="DefaultParagraphFont"/>
    <w:link w:val="Footer"/>
    <w:rsid w:val="00597EA7"/>
    <w:rPr>
      <w:sz w:val="24"/>
      <w:szCs w:val="24"/>
      <w:lang w:val="en-US" w:eastAsia="en-US"/>
    </w:rPr>
  </w:style>
  <w:style w:type="character" w:styleId="UnresolvedMention">
    <w:name w:val="Unresolved Mention"/>
    <w:basedOn w:val="DefaultParagraphFont"/>
    <w:uiPriority w:val="99"/>
    <w:semiHidden/>
    <w:unhideWhenUsed/>
    <w:rsid w:val="00CC704C"/>
    <w:rPr>
      <w:color w:val="605E5C"/>
      <w:shd w:val="clear" w:color="auto" w:fill="E1DFDD"/>
    </w:rPr>
  </w:style>
  <w:style w:type="paragraph" w:styleId="Caption">
    <w:name w:val="caption"/>
    <w:basedOn w:val="Normal"/>
    <w:next w:val="Normal"/>
    <w:uiPriority w:val="35"/>
    <w:unhideWhenUsed/>
    <w:qFormat/>
    <w:rsid w:val="00CC704C"/>
    <w:pPr>
      <w:spacing w:after="200"/>
    </w:pPr>
    <w:rPr>
      <w:i/>
      <w:iCs/>
      <w:color w:val="5E5E5E" w:themeColor="text2"/>
      <w:sz w:val="18"/>
      <w:szCs w:val="18"/>
    </w:rPr>
  </w:style>
  <w:style w:type="paragraph" w:customStyle="1" w:styleId="BATitle">
    <w:name w:val="BA_Title"/>
    <w:basedOn w:val="Normal"/>
    <w:next w:val="BBAuthorName"/>
    <w:rsid w:val="00120498"/>
    <w:pPr>
      <w:pBdr>
        <w:top w:val="none" w:sz="0" w:space="0" w:color="auto"/>
        <w:left w:val="none" w:sz="0" w:space="0" w:color="auto"/>
        <w:bottom w:val="none" w:sz="0" w:space="0" w:color="auto"/>
        <w:right w:val="none" w:sz="0" w:space="0" w:color="auto"/>
        <w:between w:val="none" w:sz="0" w:space="0" w:color="auto"/>
        <w:bar w:val="none" w:sz="0" w:color="auto"/>
      </w:pBdr>
      <w:spacing w:before="720" w:after="360" w:line="480" w:lineRule="auto"/>
      <w:jc w:val="center"/>
    </w:pPr>
    <w:rPr>
      <w:rFonts w:eastAsia="Times New Roman"/>
      <w:sz w:val="44"/>
      <w:szCs w:val="20"/>
      <w:bdr w:val="none" w:sz="0" w:space="0" w:color="auto"/>
    </w:rPr>
  </w:style>
  <w:style w:type="paragraph" w:customStyle="1" w:styleId="BBAuthorName">
    <w:name w:val="BB_Author_Name"/>
    <w:basedOn w:val="Normal"/>
    <w:next w:val="BCAuthorAddress"/>
    <w:rsid w:val="00120498"/>
    <w:pPr>
      <w:pBdr>
        <w:top w:val="none" w:sz="0" w:space="0" w:color="auto"/>
        <w:left w:val="none" w:sz="0" w:space="0" w:color="auto"/>
        <w:bottom w:val="none" w:sz="0" w:space="0" w:color="auto"/>
        <w:right w:val="none" w:sz="0" w:space="0" w:color="auto"/>
        <w:between w:val="none" w:sz="0" w:space="0" w:color="auto"/>
        <w:bar w:val="none" w:sz="0" w:color="auto"/>
      </w:pBdr>
      <w:spacing w:after="240" w:line="480" w:lineRule="auto"/>
      <w:jc w:val="center"/>
    </w:pPr>
    <w:rPr>
      <w:rFonts w:ascii="Times" w:eastAsia="Times New Roman" w:hAnsi="Times"/>
      <w:i/>
      <w:szCs w:val="20"/>
      <w:bdr w:val="none" w:sz="0" w:space="0" w:color="auto"/>
    </w:rPr>
  </w:style>
  <w:style w:type="paragraph" w:customStyle="1" w:styleId="BCAuthorAddress">
    <w:name w:val="BC_Author_Address"/>
    <w:basedOn w:val="Normal"/>
    <w:next w:val="Normal"/>
    <w:rsid w:val="00120498"/>
    <w:pPr>
      <w:pBdr>
        <w:top w:val="none" w:sz="0" w:space="0" w:color="auto"/>
        <w:left w:val="none" w:sz="0" w:space="0" w:color="auto"/>
        <w:bottom w:val="none" w:sz="0" w:space="0" w:color="auto"/>
        <w:right w:val="none" w:sz="0" w:space="0" w:color="auto"/>
        <w:between w:val="none" w:sz="0" w:space="0" w:color="auto"/>
        <w:bar w:val="none" w:sz="0" w:color="auto"/>
      </w:pBdr>
      <w:spacing w:after="240" w:line="480" w:lineRule="auto"/>
      <w:jc w:val="center"/>
    </w:pPr>
    <w:rPr>
      <w:rFonts w:ascii="Times" w:eastAsia="Times New Roman" w:hAnsi="Times"/>
      <w:szCs w:val="20"/>
      <w:bdr w:val="none" w:sz="0" w:space="0" w:color="auto"/>
    </w:rPr>
  </w:style>
  <w:style w:type="paragraph" w:styleId="CommentText">
    <w:name w:val="annotation text"/>
    <w:basedOn w:val="Normal"/>
    <w:link w:val="CommentTextChar"/>
    <w:uiPriority w:val="99"/>
    <w:semiHidden/>
    <w:unhideWhenUsed/>
    <w:rsid w:val="00920297"/>
    <w:pPr>
      <w:pBdr>
        <w:top w:val="none" w:sz="0" w:space="0" w:color="auto"/>
        <w:left w:val="none" w:sz="0" w:space="0" w:color="auto"/>
        <w:bottom w:val="none" w:sz="0" w:space="0" w:color="auto"/>
        <w:right w:val="none" w:sz="0" w:space="0" w:color="auto"/>
        <w:between w:val="none" w:sz="0" w:space="0" w:color="auto"/>
        <w:bar w:val="none" w:sz="0" w:color="auto"/>
      </w:pBdr>
      <w:spacing w:after="200"/>
      <w:jc w:val="both"/>
    </w:pPr>
    <w:rPr>
      <w:rFonts w:ascii="Times" w:eastAsia="Times New Roman" w:hAnsi="Times"/>
      <w:sz w:val="20"/>
      <w:szCs w:val="20"/>
      <w:bdr w:val="none" w:sz="0" w:space="0" w:color="auto"/>
    </w:rPr>
  </w:style>
  <w:style w:type="character" w:customStyle="1" w:styleId="CommentTextChar">
    <w:name w:val="Comment Text Char"/>
    <w:basedOn w:val="DefaultParagraphFont"/>
    <w:link w:val="CommentText"/>
    <w:uiPriority w:val="99"/>
    <w:semiHidden/>
    <w:rsid w:val="00920297"/>
    <w:rPr>
      <w:rFonts w:ascii="Times" w:eastAsia="Times New Roman" w:hAnsi="Times"/>
      <w:bdr w:val="none" w:sz="0" w:space="0" w:color="auto"/>
      <w:lang w:eastAsia="en-US"/>
    </w:rPr>
  </w:style>
  <w:style w:type="character" w:styleId="CommentReference">
    <w:name w:val="annotation reference"/>
    <w:basedOn w:val="DefaultParagraphFont"/>
    <w:uiPriority w:val="99"/>
    <w:semiHidden/>
    <w:unhideWhenUsed/>
    <w:rsid w:val="00920297"/>
    <w:rPr>
      <w:sz w:val="16"/>
      <w:szCs w:val="16"/>
    </w:rPr>
  </w:style>
  <w:style w:type="paragraph" w:styleId="BalloonText">
    <w:name w:val="Balloon Text"/>
    <w:basedOn w:val="Normal"/>
    <w:link w:val="BalloonTextChar"/>
    <w:semiHidden/>
    <w:rsid w:val="00920297"/>
    <w:pPr>
      <w:pBdr>
        <w:top w:val="none" w:sz="0" w:space="0" w:color="auto"/>
        <w:left w:val="none" w:sz="0" w:space="0" w:color="auto"/>
        <w:bottom w:val="none" w:sz="0" w:space="0" w:color="auto"/>
        <w:right w:val="none" w:sz="0" w:space="0" w:color="auto"/>
        <w:between w:val="none" w:sz="0" w:space="0" w:color="auto"/>
        <w:bar w:val="none" w:sz="0" w:color="auto"/>
      </w:pBdr>
      <w:spacing w:after="200"/>
      <w:jc w:val="both"/>
    </w:pPr>
    <w:rPr>
      <w:rFonts w:ascii="Tahoma" w:eastAsia="Times New Roman" w:hAnsi="Tahoma" w:cs="Tahoma"/>
      <w:sz w:val="16"/>
      <w:szCs w:val="16"/>
      <w:bdr w:val="none" w:sz="0" w:space="0" w:color="auto"/>
    </w:rPr>
  </w:style>
  <w:style w:type="character" w:customStyle="1" w:styleId="BalloonTextChar">
    <w:name w:val="Balloon Text Char"/>
    <w:basedOn w:val="DefaultParagraphFont"/>
    <w:link w:val="BalloonText"/>
    <w:semiHidden/>
    <w:rsid w:val="00920297"/>
    <w:rPr>
      <w:rFonts w:ascii="Tahoma" w:eastAsia="Times New Roman" w:hAnsi="Tahoma" w:cs="Tahoma"/>
      <w:sz w:val="16"/>
      <w:szCs w:val="16"/>
      <w:bdr w:val="none" w:sz="0" w:space="0" w:color="auto"/>
      <w:lang w:eastAsia="en-US"/>
    </w:rPr>
  </w:style>
  <w:style w:type="character" w:styleId="FollowedHyperlink">
    <w:name w:val="FollowedHyperlink"/>
    <w:rsid w:val="00920297"/>
    <w:rPr>
      <w:color w:val="800080"/>
      <w:u w:val="single"/>
    </w:rPr>
  </w:style>
  <w:style w:type="paragraph" w:styleId="BodyText">
    <w:name w:val="Body Text"/>
    <w:basedOn w:val="Normal"/>
    <w:link w:val="BodyTextChar"/>
    <w:rsid w:val="00920297"/>
    <w:pPr>
      <w:pBdr>
        <w:top w:val="none" w:sz="0" w:space="0" w:color="auto"/>
        <w:left w:val="none" w:sz="0" w:space="0" w:color="auto"/>
        <w:bottom w:val="none" w:sz="0" w:space="0" w:color="auto"/>
        <w:right w:val="none" w:sz="0" w:space="0" w:color="auto"/>
        <w:between w:val="none" w:sz="0" w:space="0" w:color="auto"/>
        <w:bar w:val="none" w:sz="0" w:color="auto"/>
      </w:pBdr>
      <w:spacing w:after="200"/>
      <w:jc w:val="center"/>
    </w:pPr>
    <w:rPr>
      <w:rFonts w:ascii="Times" w:eastAsia="Times New Roman" w:hAnsi="Times"/>
      <w:b/>
      <w:sz w:val="40"/>
      <w:szCs w:val="20"/>
      <w:bdr w:val="none" w:sz="0" w:space="0" w:color="auto"/>
    </w:rPr>
  </w:style>
  <w:style w:type="character" w:customStyle="1" w:styleId="BodyTextChar">
    <w:name w:val="Body Text Char"/>
    <w:basedOn w:val="DefaultParagraphFont"/>
    <w:link w:val="BodyText"/>
    <w:rsid w:val="00920297"/>
    <w:rPr>
      <w:rFonts w:ascii="Times" w:eastAsia="Times New Roman" w:hAnsi="Times"/>
      <w:b/>
      <w:sz w:val="40"/>
      <w:bdr w:val="none" w:sz="0" w:space="0" w:color="auto"/>
      <w:lang w:eastAsia="en-US"/>
    </w:rPr>
  </w:style>
  <w:style w:type="paragraph" w:styleId="FootnoteText">
    <w:name w:val="footnote text"/>
    <w:basedOn w:val="Normal"/>
    <w:next w:val="TFReferencesSection"/>
    <w:link w:val="FootnoteTextChar"/>
    <w:semiHidden/>
    <w:rsid w:val="00920297"/>
    <w:pPr>
      <w:pBdr>
        <w:top w:val="none" w:sz="0" w:space="0" w:color="auto"/>
        <w:left w:val="none" w:sz="0" w:space="0" w:color="auto"/>
        <w:bottom w:val="none" w:sz="0" w:space="0" w:color="auto"/>
        <w:right w:val="none" w:sz="0" w:space="0" w:color="auto"/>
        <w:between w:val="none" w:sz="0" w:space="0" w:color="auto"/>
        <w:bar w:val="none" w:sz="0" w:color="auto"/>
      </w:pBdr>
      <w:spacing w:after="200"/>
      <w:jc w:val="both"/>
    </w:pPr>
    <w:rPr>
      <w:rFonts w:ascii="Times" w:eastAsia="Times New Roman" w:hAnsi="Times"/>
      <w:szCs w:val="20"/>
      <w:bdr w:val="none" w:sz="0" w:space="0" w:color="auto"/>
    </w:rPr>
  </w:style>
  <w:style w:type="character" w:customStyle="1" w:styleId="FootnoteTextChar">
    <w:name w:val="Footnote Text Char"/>
    <w:basedOn w:val="DefaultParagraphFont"/>
    <w:link w:val="FootnoteText"/>
    <w:semiHidden/>
    <w:rsid w:val="00920297"/>
    <w:rPr>
      <w:rFonts w:ascii="Times" w:eastAsia="Times New Roman" w:hAnsi="Times"/>
      <w:sz w:val="24"/>
      <w:bdr w:val="none" w:sz="0" w:space="0" w:color="auto"/>
      <w:lang w:eastAsia="en-US"/>
    </w:rPr>
  </w:style>
  <w:style w:type="paragraph" w:customStyle="1" w:styleId="TFReferencesSection">
    <w:name w:val="TF_References_Section"/>
    <w:basedOn w:val="Normal"/>
    <w:rsid w:val="00920297"/>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ind w:firstLine="187"/>
      <w:jc w:val="both"/>
    </w:pPr>
    <w:rPr>
      <w:rFonts w:ascii="Times" w:eastAsia="Times New Roman" w:hAnsi="Times"/>
      <w:szCs w:val="20"/>
      <w:bdr w:val="none" w:sz="0" w:space="0" w:color="auto"/>
    </w:rPr>
  </w:style>
  <w:style w:type="paragraph" w:customStyle="1" w:styleId="TAMainText">
    <w:name w:val="TA_Main_Text"/>
    <w:basedOn w:val="Normal"/>
    <w:rsid w:val="00920297"/>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ind w:firstLine="202"/>
      <w:jc w:val="both"/>
    </w:pPr>
    <w:rPr>
      <w:rFonts w:ascii="Times" w:eastAsia="Times New Roman" w:hAnsi="Times"/>
      <w:szCs w:val="20"/>
      <w:bdr w:val="none" w:sz="0" w:space="0" w:color="auto"/>
    </w:rPr>
  </w:style>
  <w:style w:type="paragraph" w:customStyle="1" w:styleId="BIEmailAddress">
    <w:name w:val="BI_Email_Address"/>
    <w:basedOn w:val="Normal"/>
    <w:next w:val="AIReceivedDate"/>
    <w:rsid w:val="00920297"/>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jc w:val="both"/>
    </w:pPr>
    <w:rPr>
      <w:rFonts w:ascii="Times" w:eastAsia="Times New Roman" w:hAnsi="Times"/>
      <w:szCs w:val="20"/>
      <w:bdr w:val="none" w:sz="0" w:space="0" w:color="auto"/>
    </w:rPr>
  </w:style>
  <w:style w:type="paragraph" w:customStyle="1" w:styleId="AIReceivedDate">
    <w:name w:val="AI_Received_Date"/>
    <w:basedOn w:val="Normal"/>
    <w:next w:val="BDAbstract"/>
    <w:rsid w:val="00920297"/>
    <w:pPr>
      <w:pBdr>
        <w:top w:val="none" w:sz="0" w:space="0" w:color="auto"/>
        <w:left w:val="none" w:sz="0" w:space="0" w:color="auto"/>
        <w:bottom w:val="none" w:sz="0" w:space="0" w:color="auto"/>
        <w:right w:val="none" w:sz="0" w:space="0" w:color="auto"/>
        <w:between w:val="none" w:sz="0" w:space="0" w:color="auto"/>
        <w:bar w:val="none" w:sz="0" w:color="auto"/>
      </w:pBdr>
      <w:spacing w:after="240" w:line="480" w:lineRule="auto"/>
      <w:jc w:val="both"/>
    </w:pPr>
    <w:rPr>
      <w:rFonts w:ascii="Times" w:eastAsia="Times New Roman" w:hAnsi="Times"/>
      <w:b/>
      <w:szCs w:val="20"/>
      <w:bdr w:val="none" w:sz="0" w:space="0" w:color="auto"/>
    </w:rPr>
  </w:style>
  <w:style w:type="paragraph" w:customStyle="1" w:styleId="BDAbstract">
    <w:name w:val="BD_Abstract"/>
    <w:basedOn w:val="Normal"/>
    <w:next w:val="TAMainText"/>
    <w:rsid w:val="00920297"/>
    <w:pPr>
      <w:pBdr>
        <w:top w:val="none" w:sz="0" w:space="0" w:color="auto"/>
        <w:left w:val="none" w:sz="0" w:space="0" w:color="auto"/>
        <w:bottom w:val="none" w:sz="0" w:space="0" w:color="auto"/>
        <w:right w:val="none" w:sz="0" w:space="0" w:color="auto"/>
        <w:between w:val="none" w:sz="0" w:space="0" w:color="auto"/>
        <w:bar w:val="none" w:sz="0" w:color="auto"/>
      </w:pBdr>
      <w:spacing w:before="360" w:after="360" w:line="480" w:lineRule="auto"/>
      <w:jc w:val="both"/>
    </w:pPr>
    <w:rPr>
      <w:rFonts w:ascii="Times" w:eastAsia="Times New Roman" w:hAnsi="Times"/>
      <w:szCs w:val="20"/>
      <w:bdr w:val="none" w:sz="0" w:space="0" w:color="auto"/>
    </w:rPr>
  </w:style>
  <w:style w:type="paragraph" w:customStyle="1" w:styleId="TDAcknowledgments">
    <w:name w:val="TD_Acknowledgments"/>
    <w:basedOn w:val="Normal"/>
    <w:next w:val="Normal"/>
    <w:rsid w:val="00920297"/>
    <w:pPr>
      <w:pBdr>
        <w:top w:val="none" w:sz="0" w:space="0" w:color="auto"/>
        <w:left w:val="none" w:sz="0" w:space="0" w:color="auto"/>
        <w:bottom w:val="none" w:sz="0" w:space="0" w:color="auto"/>
        <w:right w:val="none" w:sz="0" w:space="0" w:color="auto"/>
        <w:between w:val="none" w:sz="0" w:space="0" w:color="auto"/>
        <w:bar w:val="none" w:sz="0" w:color="auto"/>
      </w:pBdr>
      <w:spacing w:before="200" w:after="200" w:line="480" w:lineRule="auto"/>
      <w:ind w:firstLine="202"/>
      <w:jc w:val="both"/>
    </w:pPr>
    <w:rPr>
      <w:rFonts w:ascii="Times" w:eastAsia="Times New Roman" w:hAnsi="Times"/>
      <w:szCs w:val="20"/>
      <w:bdr w:val="none" w:sz="0" w:space="0" w:color="auto"/>
    </w:rPr>
  </w:style>
  <w:style w:type="paragraph" w:customStyle="1" w:styleId="TESupportingInformation">
    <w:name w:val="TE_Supporting_Information"/>
    <w:basedOn w:val="Normal"/>
    <w:next w:val="Normal"/>
    <w:rsid w:val="00920297"/>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ind w:firstLine="187"/>
      <w:jc w:val="both"/>
    </w:pPr>
    <w:rPr>
      <w:rFonts w:ascii="Times" w:eastAsia="Times New Roman" w:hAnsi="Times"/>
      <w:szCs w:val="20"/>
      <w:bdr w:val="none" w:sz="0" w:space="0" w:color="auto"/>
    </w:rPr>
  </w:style>
  <w:style w:type="paragraph" w:customStyle="1" w:styleId="VCSchemeTitle">
    <w:name w:val="VC_Scheme_Title"/>
    <w:basedOn w:val="Normal"/>
    <w:next w:val="Normal"/>
    <w:rsid w:val="00920297"/>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jc w:val="both"/>
    </w:pPr>
    <w:rPr>
      <w:rFonts w:ascii="Times" w:eastAsia="Times New Roman" w:hAnsi="Times"/>
      <w:szCs w:val="20"/>
      <w:bdr w:val="none" w:sz="0" w:space="0" w:color="auto"/>
    </w:rPr>
  </w:style>
  <w:style w:type="paragraph" w:customStyle="1" w:styleId="VDTableTitle">
    <w:name w:val="VD_Table_Title"/>
    <w:basedOn w:val="Normal"/>
    <w:next w:val="Normal"/>
    <w:rsid w:val="00920297"/>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jc w:val="both"/>
    </w:pPr>
    <w:rPr>
      <w:rFonts w:ascii="Times" w:eastAsia="Times New Roman" w:hAnsi="Times"/>
      <w:szCs w:val="20"/>
      <w:bdr w:val="none" w:sz="0" w:space="0" w:color="auto"/>
    </w:rPr>
  </w:style>
  <w:style w:type="paragraph" w:customStyle="1" w:styleId="VAFigureCaption">
    <w:name w:val="VA_Figure_Caption"/>
    <w:basedOn w:val="Normal"/>
    <w:next w:val="Normal"/>
    <w:rsid w:val="00920297"/>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jc w:val="both"/>
    </w:pPr>
    <w:rPr>
      <w:rFonts w:ascii="Times" w:eastAsia="Times New Roman" w:hAnsi="Times"/>
      <w:szCs w:val="20"/>
      <w:bdr w:val="none" w:sz="0" w:space="0" w:color="auto"/>
    </w:rPr>
  </w:style>
  <w:style w:type="paragraph" w:customStyle="1" w:styleId="VBChartTitle">
    <w:name w:val="VB_Chart_Title"/>
    <w:basedOn w:val="Normal"/>
    <w:next w:val="Normal"/>
    <w:rsid w:val="00920297"/>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jc w:val="both"/>
    </w:pPr>
    <w:rPr>
      <w:rFonts w:ascii="Times" w:eastAsia="Times New Roman" w:hAnsi="Times"/>
      <w:szCs w:val="20"/>
      <w:bdr w:val="none" w:sz="0" w:space="0" w:color="auto"/>
    </w:rPr>
  </w:style>
  <w:style w:type="paragraph" w:customStyle="1" w:styleId="FETableFootnote">
    <w:name w:val="FE_Table_Footnote"/>
    <w:basedOn w:val="Normal"/>
    <w:next w:val="Normal"/>
    <w:rsid w:val="00920297"/>
    <w:pPr>
      <w:pBdr>
        <w:top w:val="none" w:sz="0" w:space="0" w:color="auto"/>
        <w:left w:val="none" w:sz="0" w:space="0" w:color="auto"/>
        <w:bottom w:val="none" w:sz="0" w:space="0" w:color="auto"/>
        <w:right w:val="none" w:sz="0" w:space="0" w:color="auto"/>
        <w:between w:val="none" w:sz="0" w:space="0" w:color="auto"/>
        <w:bar w:val="none" w:sz="0" w:color="auto"/>
      </w:pBdr>
      <w:spacing w:after="200"/>
      <w:ind w:firstLine="187"/>
      <w:jc w:val="both"/>
    </w:pPr>
    <w:rPr>
      <w:rFonts w:ascii="Times" w:eastAsia="Times New Roman" w:hAnsi="Times"/>
      <w:szCs w:val="20"/>
      <w:bdr w:val="none" w:sz="0" w:space="0" w:color="auto"/>
    </w:rPr>
  </w:style>
  <w:style w:type="paragraph" w:customStyle="1" w:styleId="FCChartFootnote">
    <w:name w:val="FC_Chart_Footnote"/>
    <w:basedOn w:val="Normal"/>
    <w:next w:val="Normal"/>
    <w:rsid w:val="00920297"/>
    <w:pPr>
      <w:pBdr>
        <w:top w:val="none" w:sz="0" w:space="0" w:color="auto"/>
        <w:left w:val="none" w:sz="0" w:space="0" w:color="auto"/>
        <w:bottom w:val="none" w:sz="0" w:space="0" w:color="auto"/>
        <w:right w:val="none" w:sz="0" w:space="0" w:color="auto"/>
        <w:between w:val="none" w:sz="0" w:space="0" w:color="auto"/>
        <w:bar w:val="none" w:sz="0" w:color="auto"/>
      </w:pBdr>
      <w:spacing w:after="200"/>
      <w:ind w:firstLine="187"/>
      <w:jc w:val="both"/>
    </w:pPr>
    <w:rPr>
      <w:rFonts w:ascii="Times" w:eastAsia="Times New Roman" w:hAnsi="Times"/>
      <w:szCs w:val="20"/>
      <w:bdr w:val="none" w:sz="0" w:space="0" w:color="auto"/>
    </w:rPr>
  </w:style>
  <w:style w:type="paragraph" w:customStyle="1" w:styleId="FDSchemeFootnote">
    <w:name w:val="FD_Scheme_Footnote"/>
    <w:basedOn w:val="Normal"/>
    <w:next w:val="Normal"/>
    <w:rsid w:val="00920297"/>
    <w:pPr>
      <w:pBdr>
        <w:top w:val="none" w:sz="0" w:space="0" w:color="auto"/>
        <w:left w:val="none" w:sz="0" w:space="0" w:color="auto"/>
        <w:bottom w:val="none" w:sz="0" w:space="0" w:color="auto"/>
        <w:right w:val="none" w:sz="0" w:space="0" w:color="auto"/>
        <w:between w:val="none" w:sz="0" w:space="0" w:color="auto"/>
        <w:bar w:val="none" w:sz="0" w:color="auto"/>
      </w:pBdr>
      <w:spacing w:after="200"/>
      <w:ind w:firstLine="187"/>
      <w:jc w:val="both"/>
    </w:pPr>
    <w:rPr>
      <w:rFonts w:ascii="Times" w:eastAsia="Times New Roman" w:hAnsi="Times"/>
      <w:szCs w:val="20"/>
      <w:bdr w:val="none" w:sz="0" w:space="0" w:color="auto"/>
    </w:rPr>
  </w:style>
  <w:style w:type="paragraph" w:customStyle="1" w:styleId="TCTableBody">
    <w:name w:val="TC_Table_Body"/>
    <w:basedOn w:val="Normal"/>
    <w:rsid w:val="00920297"/>
    <w:pPr>
      <w:pBdr>
        <w:top w:val="none" w:sz="0" w:space="0" w:color="auto"/>
        <w:left w:val="none" w:sz="0" w:space="0" w:color="auto"/>
        <w:bottom w:val="none" w:sz="0" w:space="0" w:color="auto"/>
        <w:right w:val="none" w:sz="0" w:space="0" w:color="auto"/>
        <w:between w:val="none" w:sz="0" w:space="0" w:color="auto"/>
        <w:bar w:val="none" w:sz="0" w:color="auto"/>
      </w:pBdr>
      <w:spacing w:after="200"/>
      <w:jc w:val="both"/>
    </w:pPr>
    <w:rPr>
      <w:rFonts w:ascii="Times" w:eastAsia="Times New Roman" w:hAnsi="Times"/>
      <w:szCs w:val="20"/>
      <w:bdr w:val="none" w:sz="0" w:space="0" w:color="auto"/>
    </w:rPr>
  </w:style>
  <w:style w:type="paragraph" w:customStyle="1" w:styleId="AFTitleRunningHead">
    <w:name w:val="AF_Title_Running_Head"/>
    <w:basedOn w:val="Normal"/>
    <w:next w:val="TAMainText"/>
    <w:rsid w:val="00920297"/>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jc w:val="both"/>
    </w:pPr>
    <w:rPr>
      <w:rFonts w:ascii="Times" w:eastAsia="Times New Roman" w:hAnsi="Times"/>
      <w:szCs w:val="20"/>
      <w:bdr w:val="none" w:sz="0" w:space="0" w:color="auto"/>
    </w:rPr>
  </w:style>
  <w:style w:type="paragraph" w:customStyle="1" w:styleId="BEAuthorBiography">
    <w:name w:val="BE_Author_Biography"/>
    <w:basedOn w:val="Normal"/>
    <w:rsid w:val="00920297"/>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jc w:val="both"/>
    </w:pPr>
    <w:rPr>
      <w:rFonts w:ascii="Times" w:eastAsia="Times New Roman" w:hAnsi="Times"/>
      <w:szCs w:val="20"/>
      <w:bdr w:val="none" w:sz="0" w:space="0" w:color="auto"/>
    </w:rPr>
  </w:style>
  <w:style w:type="paragraph" w:customStyle="1" w:styleId="FACorrespondingAuthorFootnote">
    <w:name w:val="FA_Corresponding_Author_Footnote"/>
    <w:basedOn w:val="Normal"/>
    <w:next w:val="TAMainText"/>
    <w:rsid w:val="00920297"/>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jc w:val="both"/>
    </w:pPr>
    <w:rPr>
      <w:rFonts w:ascii="Times" w:eastAsia="Times New Roman" w:hAnsi="Times"/>
      <w:szCs w:val="20"/>
      <w:bdr w:val="none" w:sz="0" w:space="0" w:color="auto"/>
    </w:rPr>
  </w:style>
  <w:style w:type="paragraph" w:customStyle="1" w:styleId="SNSynopsisTOC">
    <w:name w:val="SN_Synopsis_TOC"/>
    <w:basedOn w:val="Normal"/>
    <w:rsid w:val="00920297"/>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jc w:val="both"/>
    </w:pPr>
    <w:rPr>
      <w:rFonts w:ascii="Times" w:eastAsia="Times New Roman" w:hAnsi="Times"/>
      <w:szCs w:val="20"/>
      <w:bdr w:val="none" w:sz="0" w:space="0" w:color="auto"/>
    </w:rPr>
  </w:style>
  <w:style w:type="paragraph" w:customStyle="1" w:styleId="BGKeywords">
    <w:name w:val="BG_Keywords"/>
    <w:basedOn w:val="Normal"/>
    <w:rsid w:val="00920297"/>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jc w:val="both"/>
    </w:pPr>
    <w:rPr>
      <w:rFonts w:ascii="Times" w:eastAsia="Times New Roman" w:hAnsi="Times"/>
      <w:szCs w:val="20"/>
      <w:bdr w:val="none" w:sz="0" w:space="0" w:color="auto"/>
    </w:rPr>
  </w:style>
  <w:style w:type="paragraph" w:customStyle="1" w:styleId="BHBriefs">
    <w:name w:val="BH_Briefs"/>
    <w:basedOn w:val="Normal"/>
    <w:rsid w:val="00920297"/>
    <w:pPr>
      <w:pBdr>
        <w:top w:val="none" w:sz="0" w:space="0" w:color="auto"/>
        <w:left w:val="none" w:sz="0" w:space="0" w:color="auto"/>
        <w:bottom w:val="none" w:sz="0" w:space="0" w:color="auto"/>
        <w:right w:val="none" w:sz="0" w:space="0" w:color="auto"/>
        <w:between w:val="none" w:sz="0" w:space="0" w:color="auto"/>
        <w:bar w:val="none" w:sz="0" w:color="auto"/>
      </w:pBdr>
      <w:spacing w:after="200" w:line="480" w:lineRule="auto"/>
      <w:jc w:val="both"/>
    </w:pPr>
    <w:rPr>
      <w:rFonts w:ascii="Times" w:eastAsia="Times New Roman" w:hAnsi="Times"/>
      <w:szCs w:val="20"/>
      <w:bdr w:val="none" w:sz="0" w:space="0" w:color="auto"/>
    </w:rPr>
  </w:style>
  <w:style w:type="character" w:styleId="PageNumber">
    <w:name w:val="page number"/>
    <w:basedOn w:val="DefaultParagraphFont"/>
    <w:rsid w:val="00920297"/>
  </w:style>
  <w:style w:type="paragraph" w:customStyle="1" w:styleId="StyleFACorrespondingAuthorFootnote7pt">
    <w:name w:val="Style FA_Corresponding_Author_Footnote + 7 pt"/>
    <w:basedOn w:val="Normal"/>
    <w:next w:val="BGKeywords"/>
    <w:link w:val="StyleFACorrespondingAuthorFootnote7ptChar"/>
    <w:autoRedefine/>
    <w:rsid w:val="000E22A9"/>
    <w:pPr>
      <w:pBdr>
        <w:top w:val="none" w:sz="0" w:space="0" w:color="auto"/>
        <w:left w:val="none" w:sz="0" w:space="0" w:color="auto"/>
        <w:bottom w:val="none" w:sz="0" w:space="0" w:color="auto"/>
        <w:right w:val="none" w:sz="0" w:space="0" w:color="auto"/>
        <w:between w:val="none" w:sz="0" w:space="0" w:color="auto"/>
        <w:bar w:val="none" w:sz="0" w:color="auto"/>
      </w:pBdr>
    </w:pPr>
    <w:rPr>
      <w:rFonts w:ascii="Arno Pro" w:eastAsia="Times New Roman" w:hAnsi="Arno Pro"/>
      <w:kern w:val="20"/>
      <w:sz w:val="18"/>
      <w:szCs w:val="20"/>
      <w:bdr w:val="none" w:sz="0" w:space="0" w:color="auto"/>
    </w:rPr>
  </w:style>
  <w:style w:type="character" w:customStyle="1" w:styleId="StyleFACorrespondingAuthorFootnote7ptChar">
    <w:name w:val="Style FA_Corresponding_Author_Footnote + 7 pt Char"/>
    <w:link w:val="StyleFACorrespondingAuthorFootnote7pt"/>
    <w:rsid w:val="000E22A9"/>
    <w:rPr>
      <w:rFonts w:ascii="Arno Pro" w:eastAsia="Times New Roman" w:hAnsi="Arno Pro"/>
      <w:kern w:val="20"/>
      <w:sz w:val="18"/>
      <w:bdr w:val="none" w:sz="0" w:space="0" w:color="auto"/>
      <w:lang w:eastAsia="en-US"/>
    </w:rPr>
  </w:style>
  <w:style w:type="paragraph" w:customStyle="1" w:styleId="FAAuthorInfoSubtitle">
    <w:name w:val="FA_Author_Info_Subtitle"/>
    <w:basedOn w:val="Normal"/>
    <w:link w:val="FAAuthorInfoSubtitleChar"/>
    <w:autoRedefine/>
    <w:rsid w:val="00920297"/>
    <w:pPr>
      <w:pBdr>
        <w:top w:val="none" w:sz="0" w:space="0" w:color="auto"/>
        <w:left w:val="none" w:sz="0" w:space="0" w:color="auto"/>
        <w:bottom w:val="none" w:sz="0" w:space="0" w:color="auto"/>
        <w:right w:val="none" w:sz="0" w:space="0" w:color="auto"/>
        <w:between w:val="none" w:sz="0" w:space="0" w:color="auto"/>
        <w:bar w:val="none" w:sz="0" w:color="auto"/>
      </w:pBdr>
      <w:spacing w:before="120" w:after="60" w:line="480" w:lineRule="auto"/>
    </w:pPr>
    <w:rPr>
      <w:rFonts w:ascii="Times" w:eastAsia="Times New Roman" w:hAnsi="Times"/>
      <w:b/>
      <w:szCs w:val="20"/>
      <w:bdr w:val="none" w:sz="0" w:space="0" w:color="auto"/>
    </w:rPr>
  </w:style>
  <w:style w:type="character" w:customStyle="1" w:styleId="FAAuthorInfoSubtitleChar">
    <w:name w:val="FA_Author_Info_Subtitle Char"/>
    <w:link w:val="FAAuthorInfoSubtitle"/>
    <w:rsid w:val="00920297"/>
    <w:rPr>
      <w:rFonts w:ascii="Times" w:eastAsia="Times New Roman" w:hAnsi="Times"/>
      <w:b/>
      <w:sz w:val="24"/>
      <w:bdr w:val="none" w:sz="0" w:space="0" w:color="auto"/>
      <w:lang w:eastAsia="en-US"/>
    </w:rPr>
  </w:style>
  <w:style w:type="paragraph" w:styleId="CommentSubject">
    <w:name w:val="annotation subject"/>
    <w:basedOn w:val="CommentText"/>
    <w:next w:val="CommentText"/>
    <w:link w:val="CommentSubjectChar"/>
    <w:uiPriority w:val="99"/>
    <w:semiHidden/>
    <w:unhideWhenUsed/>
    <w:rsid w:val="00920297"/>
    <w:rPr>
      <w:b/>
      <w:bCs/>
    </w:rPr>
  </w:style>
  <w:style w:type="character" w:customStyle="1" w:styleId="CommentSubjectChar">
    <w:name w:val="Comment Subject Char"/>
    <w:basedOn w:val="CommentTextChar"/>
    <w:link w:val="CommentSubject"/>
    <w:uiPriority w:val="99"/>
    <w:semiHidden/>
    <w:rsid w:val="00920297"/>
    <w:rPr>
      <w:rFonts w:ascii="Times" w:eastAsia="Times New Roman" w:hAnsi="Times"/>
      <w:b/>
      <w:bCs/>
      <w:bdr w:val="none" w:sz="0" w:space="0" w:color="auto"/>
      <w:lang w:eastAsia="en-US"/>
    </w:rPr>
  </w:style>
  <w:style w:type="paragraph" w:styleId="EndnoteText">
    <w:name w:val="endnote text"/>
    <w:basedOn w:val="Normal"/>
    <w:link w:val="EndnoteTextChar"/>
    <w:uiPriority w:val="99"/>
    <w:unhideWhenUsed/>
    <w:rsid w:val="00920297"/>
    <w:pPr>
      <w:pBdr>
        <w:top w:val="none" w:sz="0" w:space="0" w:color="auto"/>
        <w:left w:val="none" w:sz="0" w:space="0" w:color="auto"/>
        <w:bottom w:val="none" w:sz="0" w:space="0" w:color="auto"/>
        <w:right w:val="none" w:sz="0" w:space="0" w:color="auto"/>
        <w:between w:val="none" w:sz="0" w:space="0" w:color="auto"/>
        <w:bar w:val="none" w:sz="0" w:color="auto"/>
      </w:pBdr>
      <w:jc w:val="both"/>
    </w:pPr>
    <w:rPr>
      <w:rFonts w:ascii="Times" w:eastAsia="Times New Roman" w:hAnsi="Times"/>
      <w:sz w:val="20"/>
      <w:szCs w:val="20"/>
      <w:bdr w:val="none" w:sz="0" w:space="0" w:color="auto"/>
    </w:rPr>
  </w:style>
  <w:style w:type="character" w:customStyle="1" w:styleId="EndnoteTextChar">
    <w:name w:val="Endnote Text Char"/>
    <w:basedOn w:val="DefaultParagraphFont"/>
    <w:link w:val="EndnoteText"/>
    <w:uiPriority w:val="99"/>
    <w:rsid w:val="00920297"/>
    <w:rPr>
      <w:rFonts w:ascii="Times" w:eastAsia="Times New Roman" w:hAnsi="Times"/>
      <w:bdr w:val="none" w:sz="0" w:space="0" w:color="auto"/>
      <w:lang w:eastAsia="en-US"/>
    </w:rPr>
  </w:style>
  <w:style w:type="character" w:styleId="EndnoteReference">
    <w:name w:val="endnote reference"/>
    <w:basedOn w:val="DefaultParagraphFont"/>
    <w:uiPriority w:val="99"/>
    <w:unhideWhenUsed/>
    <w:rsid w:val="00920297"/>
    <w:rPr>
      <w:vertAlign w:val="superscript"/>
    </w:rPr>
  </w:style>
  <w:style w:type="paragraph" w:styleId="NormalWeb">
    <w:name w:val="Normal (Web)"/>
    <w:basedOn w:val="Normal"/>
    <w:uiPriority w:val="99"/>
    <w:semiHidden/>
    <w:unhideWhenUsed/>
    <w:rsid w:val="0092029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table" w:styleId="PlainTable5">
    <w:name w:val="Plain Table 5"/>
    <w:basedOn w:val="TableNormal"/>
    <w:uiPriority w:val="45"/>
    <w:rsid w:val="00AD29A5"/>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3">
    <w:name w:val="Plain Table 3"/>
    <w:basedOn w:val="TableNormal"/>
    <w:uiPriority w:val="43"/>
    <w:rsid w:val="00202DB2"/>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0A7F5E"/>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stParagraph">
    <w:name w:val="List Paragraph"/>
    <w:basedOn w:val="Normal"/>
    <w:uiPriority w:val="34"/>
    <w:qFormat/>
    <w:rsid w:val="0006275C"/>
    <w:pPr>
      <w:ind w:left="720"/>
      <w:contextualSpacing/>
    </w:pPr>
  </w:style>
  <w:style w:type="paragraph" w:styleId="Revision">
    <w:name w:val="Revision"/>
    <w:hidden/>
    <w:uiPriority w:val="99"/>
    <w:semiHidden/>
    <w:rsid w:val="000069A8"/>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eastAsia="en-US"/>
    </w:rPr>
  </w:style>
  <w:style w:type="paragraph" w:customStyle="1" w:styleId="TESupportingInfoTitle">
    <w:name w:val="TE_Supporting_Info_Title"/>
    <w:basedOn w:val="Normal"/>
    <w:autoRedefine/>
    <w:rsid w:val="006603E8"/>
    <w:pPr>
      <w:pBdr>
        <w:top w:val="none" w:sz="0" w:space="0" w:color="auto"/>
        <w:left w:val="none" w:sz="0" w:space="0" w:color="auto"/>
        <w:bottom w:val="none" w:sz="0" w:space="0" w:color="auto"/>
        <w:right w:val="none" w:sz="0" w:space="0" w:color="auto"/>
        <w:between w:val="none" w:sz="0" w:space="0" w:color="auto"/>
        <w:bar w:val="none" w:sz="0" w:color="auto"/>
      </w:pBdr>
      <w:spacing w:before="180" w:after="60"/>
      <w:jc w:val="both"/>
    </w:pPr>
    <w:rPr>
      <w:rFonts w:ascii="Myriad Pro Light" w:eastAsia="Times New Roman" w:hAnsi="Myriad Pro Light"/>
      <w:b/>
      <w:caps/>
      <w:kern w:val="20"/>
      <w:sz w:val="21"/>
      <w:szCs w:val="18"/>
      <w:bdr w:val="none" w:sz="0" w:space="0" w:color="auto"/>
      <w:lang w:val="en-US"/>
    </w:rPr>
  </w:style>
  <w:style w:type="table" w:styleId="TableGridLight">
    <w:name w:val="Grid Table Light"/>
    <w:basedOn w:val="TableNormal"/>
    <w:uiPriority w:val="40"/>
    <w:rsid w:val="00F01BD6"/>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FootnoteReference">
    <w:name w:val="footnote reference"/>
    <w:basedOn w:val="DefaultParagraphFont"/>
    <w:uiPriority w:val="99"/>
    <w:semiHidden/>
    <w:unhideWhenUsed/>
    <w:rsid w:val="00212498"/>
    <w:rPr>
      <w:vertAlign w:val="superscript"/>
    </w:rPr>
  </w:style>
  <w:style w:type="character" w:styleId="Strong">
    <w:name w:val="Strong"/>
    <w:basedOn w:val="DefaultParagraphFont"/>
    <w:uiPriority w:val="22"/>
    <w:qFormat/>
    <w:rsid w:val="004708A3"/>
    <w:rPr>
      <w:b/>
      <w:bCs/>
    </w:rPr>
  </w:style>
  <w:style w:type="table" w:styleId="TableGrid">
    <w:name w:val="Table Grid"/>
    <w:basedOn w:val="TableNormal"/>
    <w:uiPriority w:val="39"/>
    <w:rsid w:val="005E013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61292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923292">
      <w:bodyDiv w:val="1"/>
      <w:marLeft w:val="0"/>
      <w:marRight w:val="0"/>
      <w:marTop w:val="0"/>
      <w:marBottom w:val="0"/>
      <w:divBdr>
        <w:top w:val="none" w:sz="0" w:space="0" w:color="auto"/>
        <w:left w:val="none" w:sz="0" w:space="0" w:color="auto"/>
        <w:bottom w:val="none" w:sz="0" w:space="0" w:color="auto"/>
        <w:right w:val="none" w:sz="0" w:space="0" w:color="auto"/>
      </w:divBdr>
    </w:div>
    <w:div w:id="68580902">
      <w:bodyDiv w:val="1"/>
      <w:marLeft w:val="0"/>
      <w:marRight w:val="0"/>
      <w:marTop w:val="0"/>
      <w:marBottom w:val="0"/>
      <w:divBdr>
        <w:top w:val="none" w:sz="0" w:space="0" w:color="auto"/>
        <w:left w:val="none" w:sz="0" w:space="0" w:color="auto"/>
        <w:bottom w:val="none" w:sz="0" w:space="0" w:color="auto"/>
        <w:right w:val="none" w:sz="0" w:space="0" w:color="auto"/>
      </w:divBdr>
    </w:div>
    <w:div w:id="69696695">
      <w:bodyDiv w:val="1"/>
      <w:marLeft w:val="0"/>
      <w:marRight w:val="0"/>
      <w:marTop w:val="0"/>
      <w:marBottom w:val="0"/>
      <w:divBdr>
        <w:top w:val="none" w:sz="0" w:space="0" w:color="auto"/>
        <w:left w:val="none" w:sz="0" w:space="0" w:color="auto"/>
        <w:bottom w:val="none" w:sz="0" w:space="0" w:color="auto"/>
        <w:right w:val="none" w:sz="0" w:space="0" w:color="auto"/>
      </w:divBdr>
    </w:div>
    <w:div w:id="108284527">
      <w:bodyDiv w:val="1"/>
      <w:marLeft w:val="0"/>
      <w:marRight w:val="0"/>
      <w:marTop w:val="0"/>
      <w:marBottom w:val="0"/>
      <w:divBdr>
        <w:top w:val="none" w:sz="0" w:space="0" w:color="auto"/>
        <w:left w:val="none" w:sz="0" w:space="0" w:color="auto"/>
        <w:bottom w:val="none" w:sz="0" w:space="0" w:color="auto"/>
        <w:right w:val="none" w:sz="0" w:space="0" w:color="auto"/>
      </w:divBdr>
    </w:div>
    <w:div w:id="128716969">
      <w:bodyDiv w:val="1"/>
      <w:marLeft w:val="0"/>
      <w:marRight w:val="0"/>
      <w:marTop w:val="0"/>
      <w:marBottom w:val="0"/>
      <w:divBdr>
        <w:top w:val="none" w:sz="0" w:space="0" w:color="auto"/>
        <w:left w:val="none" w:sz="0" w:space="0" w:color="auto"/>
        <w:bottom w:val="none" w:sz="0" w:space="0" w:color="auto"/>
        <w:right w:val="none" w:sz="0" w:space="0" w:color="auto"/>
      </w:divBdr>
    </w:div>
    <w:div w:id="133107504">
      <w:bodyDiv w:val="1"/>
      <w:marLeft w:val="0"/>
      <w:marRight w:val="0"/>
      <w:marTop w:val="0"/>
      <w:marBottom w:val="0"/>
      <w:divBdr>
        <w:top w:val="none" w:sz="0" w:space="0" w:color="auto"/>
        <w:left w:val="none" w:sz="0" w:space="0" w:color="auto"/>
        <w:bottom w:val="none" w:sz="0" w:space="0" w:color="auto"/>
        <w:right w:val="none" w:sz="0" w:space="0" w:color="auto"/>
      </w:divBdr>
    </w:div>
    <w:div w:id="137185961">
      <w:bodyDiv w:val="1"/>
      <w:marLeft w:val="0"/>
      <w:marRight w:val="0"/>
      <w:marTop w:val="0"/>
      <w:marBottom w:val="0"/>
      <w:divBdr>
        <w:top w:val="none" w:sz="0" w:space="0" w:color="auto"/>
        <w:left w:val="none" w:sz="0" w:space="0" w:color="auto"/>
        <w:bottom w:val="none" w:sz="0" w:space="0" w:color="auto"/>
        <w:right w:val="none" w:sz="0" w:space="0" w:color="auto"/>
      </w:divBdr>
    </w:div>
    <w:div w:id="198052360">
      <w:bodyDiv w:val="1"/>
      <w:marLeft w:val="0"/>
      <w:marRight w:val="0"/>
      <w:marTop w:val="0"/>
      <w:marBottom w:val="0"/>
      <w:divBdr>
        <w:top w:val="none" w:sz="0" w:space="0" w:color="auto"/>
        <w:left w:val="none" w:sz="0" w:space="0" w:color="auto"/>
        <w:bottom w:val="none" w:sz="0" w:space="0" w:color="auto"/>
        <w:right w:val="none" w:sz="0" w:space="0" w:color="auto"/>
      </w:divBdr>
    </w:div>
    <w:div w:id="210966722">
      <w:bodyDiv w:val="1"/>
      <w:marLeft w:val="0"/>
      <w:marRight w:val="0"/>
      <w:marTop w:val="0"/>
      <w:marBottom w:val="0"/>
      <w:divBdr>
        <w:top w:val="none" w:sz="0" w:space="0" w:color="auto"/>
        <w:left w:val="none" w:sz="0" w:space="0" w:color="auto"/>
        <w:bottom w:val="none" w:sz="0" w:space="0" w:color="auto"/>
        <w:right w:val="none" w:sz="0" w:space="0" w:color="auto"/>
      </w:divBdr>
    </w:div>
    <w:div w:id="241916066">
      <w:bodyDiv w:val="1"/>
      <w:marLeft w:val="0"/>
      <w:marRight w:val="0"/>
      <w:marTop w:val="0"/>
      <w:marBottom w:val="0"/>
      <w:divBdr>
        <w:top w:val="none" w:sz="0" w:space="0" w:color="auto"/>
        <w:left w:val="none" w:sz="0" w:space="0" w:color="auto"/>
        <w:bottom w:val="none" w:sz="0" w:space="0" w:color="auto"/>
        <w:right w:val="none" w:sz="0" w:space="0" w:color="auto"/>
      </w:divBdr>
      <w:divsChild>
        <w:div w:id="1724867143">
          <w:marLeft w:val="640"/>
          <w:marRight w:val="0"/>
          <w:marTop w:val="0"/>
          <w:marBottom w:val="0"/>
          <w:divBdr>
            <w:top w:val="none" w:sz="0" w:space="0" w:color="auto"/>
            <w:left w:val="none" w:sz="0" w:space="0" w:color="auto"/>
            <w:bottom w:val="none" w:sz="0" w:space="0" w:color="auto"/>
            <w:right w:val="none" w:sz="0" w:space="0" w:color="auto"/>
          </w:divBdr>
        </w:div>
        <w:div w:id="1424299762">
          <w:marLeft w:val="640"/>
          <w:marRight w:val="0"/>
          <w:marTop w:val="0"/>
          <w:marBottom w:val="0"/>
          <w:divBdr>
            <w:top w:val="none" w:sz="0" w:space="0" w:color="auto"/>
            <w:left w:val="none" w:sz="0" w:space="0" w:color="auto"/>
            <w:bottom w:val="none" w:sz="0" w:space="0" w:color="auto"/>
            <w:right w:val="none" w:sz="0" w:space="0" w:color="auto"/>
          </w:divBdr>
        </w:div>
        <w:div w:id="1062756165">
          <w:marLeft w:val="640"/>
          <w:marRight w:val="0"/>
          <w:marTop w:val="0"/>
          <w:marBottom w:val="0"/>
          <w:divBdr>
            <w:top w:val="none" w:sz="0" w:space="0" w:color="auto"/>
            <w:left w:val="none" w:sz="0" w:space="0" w:color="auto"/>
            <w:bottom w:val="none" w:sz="0" w:space="0" w:color="auto"/>
            <w:right w:val="none" w:sz="0" w:space="0" w:color="auto"/>
          </w:divBdr>
        </w:div>
        <w:div w:id="1800487450">
          <w:marLeft w:val="640"/>
          <w:marRight w:val="0"/>
          <w:marTop w:val="0"/>
          <w:marBottom w:val="0"/>
          <w:divBdr>
            <w:top w:val="none" w:sz="0" w:space="0" w:color="auto"/>
            <w:left w:val="none" w:sz="0" w:space="0" w:color="auto"/>
            <w:bottom w:val="none" w:sz="0" w:space="0" w:color="auto"/>
            <w:right w:val="none" w:sz="0" w:space="0" w:color="auto"/>
          </w:divBdr>
        </w:div>
        <w:div w:id="140781538">
          <w:marLeft w:val="640"/>
          <w:marRight w:val="0"/>
          <w:marTop w:val="0"/>
          <w:marBottom w:val="0"/>
          <w:divBdr>
            <w:top w:val="none" w:sz="0" w:space="0" w:color="auto"/>
            <w:left w:val="none" w:sz="0" w:space="0" w:color="auto"/>
            <w:bottom w:val="none" w:sz="0" w:space="0" w:color="auto"/>
            <w:right w:val="none" w:sz="0" w:space="0" w:color="auto"/>
          </w:divBdr>
        </w:div>
        <w:div w:id="558369125">
          <w:marLeft w:val="640"/>
          <w:marRight w:val="0"/>
          <w:marTop w:val="0"/>
          <w:marBottom w:val="0"/>
          <w:divBdr>
            <w:top w:val="none" w:sz="0" w:space="0" w:color="auto"/>
            <w:left w:val="none" w:sz="0" w:space="0" w:color="auto"/>
            <w:bottom w:val="none" w:sz="0" w:space="0" w:color="auto"/>
            <w:right w:val="none" w:sz="0" w:space="0" w:color="auto"/>
          </w:divBdr>
        </w:div>
        <w:div w:id="2004434286">
          <w:marLeft w:val="640"/>
          <w:marRight w:val="0"/>
          <w:marTop w:val="0"/>
          <w:marBottom w:val="0"/>
          <w:divBdr>
            <w:top w:val="none" w:sz="0" w:space="0" w:color="auto"/>
            <w:left w:val="none" w:sz="0" w:space="0" w:color="auto"/>
            <w:bottom w:val="none" w:sz="0" w:space="0" w:color="auto"/>
            <w:right w:val="none" w:sz="0" w:space="0" w:color="auto"/>
          </w:divBdr>
        </w:div>
        <w:div w:id="1064911240">
          <w:marLeft w:val="640"/>
          <w:marRight w:val="0"/>
          <w:marTop w:val="0"/>
          <w:marBottom w:val="0"/>
          <w:divBdr>
            <w:top w:val="none" w:sz="0" w:space="0" w:color="auto"/>
            <w:left w:val="none" w:sz="0" w:space="0" w:color="auto"/>
            <w:bottom w:val="none" w:sz="0" w:space="0" w:color="auto"/>
            <w:right w:val="none" w:sz="0" w:space="0" w:color="auto"/>
          </w:divBdr>
        </w:div>
        <w:div w:id="293218197">
          <w:marLeft w:val="640"/>
          <w:marRight w:val="0"/>
          <w:marTop w:val="0"/>
          <w:marBottom w:val="0"/>
          <w:divBdr>
            <w:top w:val="none" w:sz="0" w:space="0" w:color="auto"/>
            <w:left w:val="none" w:sz="0" w:space="0" w:color="auto"/>
            <w:bottom w:val="none" w:sz="0" w:space="0" w:color="auto"/>
            <w:right w:val="none" w:sz="0" w:space="0" w:color="auto"/>
          </w:divBdr>
        </w:div>
        <w:div w:id="456605227">
          <w:marLeft w:val="640"/>
          <w:marRight w:val="0"/>
          <w:marTop w:val="0"/>
          <w:marBottom w:val="0"/>
          <w:divBdr>
            <w:top w:val="none" w:sz="0" w:space="0" w:color="auto"/>
            <w:left w:val="none" w:sz="0" w:space="0" w:color="auto"/>
            <w:bottom w:val="none" w:sz="0" w:space="0" w:color="auto"/>
            <w:right w:val="none" w:sz="0" w:space="0" w:color="auto"/>
          </w:divBdr>
        </w:div>
        <w:div w:id="460075367">
          <w:marLeft w:val="640"/>
          <w:marRight w:val="0"/>
          <w:marTop w:val="0"/>
          <w:marBottom w:val="0"/>
          <w:divBdr>
            <w:top w:val="none" w:sz="0" w:space="0" w:color="auto"/>
            <w:left w:val="none" w:sz="0" w:space="0" w:color="auto"/>
            <w:bottom w:val="none" w:sz="0" w:space="0" w:color="auto"/>
            <w:right w:val="none" w:sz="0" w:space="0" w:color="auto"/>
          </w:divBdr>
        </w:div>
        <w:div w:id="1498501432">
          <w:marLeft w:val="640"/>
          <w:marRight w:val="0"/>
          <w:marTop w:val="0"/>
          <w:marBottom w:val="0"/>
          <w:divBdr>
            <w:top w:val="none" w:sz="0" w:space="0" w:color="auto"/>
            <w:left w:val="none" w:sz="0" w:space="0" w:color="auto"/>
            <w:bottom w:val="none" w:sz="0" w:space="0" w:color="auto"/>
            <w:right w:val="none" w:sz="0" w:space="0" w:color="auto"/>
          </w:divBdr>
        </w:div>
        <w:div w:id="1779376140">
          <w:marLeft w:val="640"/>
          <w:marRight w:val="0"/>
          <w:marTop w:val="0"/>
          <w:marBottom w:val="0"/>
          <w:divBdr>
            <w:top w:val="none" w:sz="0" w:space="0" w:color="auto"/>
            <w:left w:val="none" w:sz="0" w:space="0" w:color="auto"/>
            <w:bottom w:val="none" w:sz="0" w:space="0" w:color="auto"/>
            <w:right w:val="none" w:sz="0" w:space="0" w:color="auto"/>
          </w:divBdr>
        </w:div>
        <w:div w:id="104426479">
          <w:marLeft w:val="640"/>
          <w:marRight w:val="0"/>
          <w:marTop w:val="0"/>
          <w:marBottom w:val="0"/>
          <w:divBdr>
            <w:top w:val="none" w:sz="0" w:space="0" w:color="auto"/>
            <w:left w:val="none" w:sz="0" w:space="0" w:color="auto"/>
            <w:bottom w:val="none" w:sz="0" w:space="0" w:color="auto"/>
            <w:right w:val="none" w:sz="0" w:space="0" w:color="auto"/>
          </w:divBdr>
        </w:div>
        <w:div w:id="1402747913">
          <w:marLeft w:val="640"/>
          <w:marRight w:val="0"/>
          <w:marTop w:val="0"/>
          <w:marBottom w:val="0"/>
          <w:divBdr>
            <w:top w:val="none" w:sz="0" w:space="0" w:color="auto"/>
            <w:left w:val="none" w:sz="0" w:space="0" w:color="auto"/>
            <w:bottom w:val="none" w:sz="0" w:space="0" w:color="auto"/>
            <w:right w:val="none" w:sz="0" w:space="0" w:color="auto"/>
          </w:divBdr>
        </w:div>
        <w:div w:id="1013990986">
          <w:marLeft w:val="640"/>
          <w:marRight w:val="0"/>
          <w:marTop w:val="0"/>
          <w:marBottom w:val="0"/>
          <w:divBdr>
            <w:top w:val="none" w:sz="0" w:space="0" w:color="auto"/>
            <w:left w:val="none" w:sz="0" w:space="0" w:color="auto"/>
            <w:bottom w:val="none" w:sz="0" w:space="0" w:color="auto"/>
            <w:right w:val="none" w:sz="0" w:space="0" w:color="auto"/>
          </w:divBdr>
        </w:div>
        <w:div w:id="608204328">
          <w:marLeft w:val="640"/>
          <w:marRight w:val="0"/>
          <w:marTop w:val="0"/>
          <w:marBottom w:val="0"/>
          <w:divBdr>
            <w:top w:val="none" w:sz="0" w:space="0" w:color="auto"/>
            <w:left w:val="none" w:sz="0" w:space="0" w:color="auto"/>
            <w:bottom w:val="none" w:sz="0" w:space="0" w:color="auto"/>
            <w:right w:val="none" w:sz="0" w:space="0" w:color="auto"/>
          </w:divBdr>
        </w:div>
        <w:div w:id="412166393">
          <w:marLeft w:val="640"/>
          <w:marRight w:val="0"/>
          <w:marTop w:val="0"/>
          <w:marBottom w:val="0"/>
          <w:divBdr>
            <w:top w:val="none" w:sz="0" w:space="0" w:color="auto"/>
            <w:left w:val="none" w:sz="0" w:space="0" w:color="auto"/>
            <w:bottom w:val="none" w:sz="0" w:space="0" w:color="auto"/>
            <w:right w:val="none" w:sz="0" w:space="0" w:color="auto"/>
          </w:divBdr>
        </w:div>
        <w:div w:id="1588806483">
          <w:marLeft w:val="640"/>
          <w:marRight w:val="0"/>
          <w:marTop w:val="0"/>
          <w:marBottom w:val="0"/>
          <w:divBdr>
            <w:top w:val="none" w:sz="0" w:space="0" w:color="auto"/>
            <w:left w:val="none" w:sz="0" w:space="0" w:color="auto"/>
            <w:bottom w:val="none" w:sz="0" w:space="0" w:color="auto"/>
            <w:right w:val="none" w:sz="0" w:space="0" w:color="auto"/>
          </w:divBdr>
        </w:div>
        <w:div w:id="1640645266">
          <w:marLeft w:val="640"/>
          <w:marRight w:val="0"/>
          <w:marTop w:val="0"/>
          <w:marBottom w:val="0"/>
          <w:divBdr>
            <w:top w:val="none" w:sz="0" w:space="0" w:color="auto"/>
            <w:left w:val="none" w:sz="0" w:space="0" w:color="auto"/>
            <w:bottom w:val="none" w:sz="0" w:space="0" w:color="auto"/>
            <w:right w:val="none" w:sz="0" w:space="0" w:color="auto"/>
          </w:divBdr>
        </w:div>
        <w:div w:id="1834830071">
          <w:marLeft w:val="640"/>
          <w:marRight w:val="0"/>
          <w:marTop w:val="0"/>
          <w:marBottom w:val="0"/>
          <w:divBdr>
            <w:top w:val="none" w:sz="0" w:space="0" w:color="auto"/>
            <w:left w:val="none" w:sz="0" w:space="0" w:color="auto"/>
            <w:bottom w:val="none" w:sz="0" w:space="0" w:color="auto"/>
            <w:right w:val="none" w:sz="0" w:space="0" w:color="auto"/>
          </w:divBdr>
        </w:div>
        <w:div w:id="1471243099">
          <w:marLeft w:val="640"/>
          <w:marRight w:val="0"/>
          <w:marTop w:val="0"/>
          <w:marBottom w:val="0"/>
          <w:divBdr>
            <w:top w:val="none" w:sz="0" w:space="0" w:color="auto"/>
            <w:left w:val="none" w:sz="0" w:space="0" w:color="auto"/>
            <w:bottom w:val="none" w:sz="0" w:space="0" w:color="auto"/>
            <w:right w:val="none" w:sz="0" w:space="0" w:color="auto"/>
          </w:divBdr>
        </w:div>
        <w:div w:id="1067533064">
          <w:marLeft w:val="640"/>
          <w:marRight w:val="0"/>
          <w:marTop w:val="0"/>
          <w:marBottom w:val="0"/>
          <w:divBdr>
            <w:top w:val="none" w:sz="0" w:space="0" w:color="auto"/>
            <w:left w:val="none" w:sz="0" w:space="0" w:color="auto"/>
            <w:bottom w:val="none" w:sz="0" w:space="0" w:color="auto"/>
            <w:right w:val="none" w:sz="0" w:space="0" w:color="auto"/>
          </w:divBdr>
        </w:div>
        <w:div w:id="533546338">
          <w:marLeft w:val="640"/>
          <w:marRight w:val="0"/>
          <w:marTop w:val="0"/>
          <w:marBottom w:val="0"/>
          <w:divBdr>
            <w:top w:val="none" w:sz="0" w:space="0" w:color="auto"/>
            <w:left w:val="none" w:sz="0" w:space="0" w:color="auto"/>
            <w:bottom w:val="none" w:sz="0" w:space="0" w:color="auto"/>
            <w:right w:val="none" w:sz="0" w:space="0" w:color="auto"/>
          </w:divBdr>
        </w:div>
        <w:div w:id="1259942838">
          <w:marLeft w:val="640"/>
          <w:marRight w:val="0"/>
          <w:marTop w:val="0"/>
          <w:marBottom w:val="0"/>
          <w:divBdr>
            <w:top w:val="none" w:sz="0" w:space="0" w:color="auto"/>
            <w:left w:val="none" w:sz="0" w:space="0" w:color="auto"/>
            <w:bottom w:val="none" w:sz="0" w:space="0" w:color="auto"/>
            <w:right w:val="none" w:sz="0" w:space="0" w:color="auto"/>
          </w:divBdr>
        </w:div>
        <w:div w:id="1545025313">
          <w:marLeft w:val="640"/>
          <w:marRight w:val="0"/>
          <w:marTop w:val="0"/>
          <w:marBottom w:val="0"/>
          <w:divBdr>
            <w:top w:val="none" w:sz="0" w:space="0" w:color="auto"/>
            <w:left w:val="none" w:sz="0" w:space="0" w:color="auto"/>
            <w:bottom w:val="none" w:sz="0" w:space="0" w:color="auto"/>
            <w:right w:val="none" w:sz="0" w:space="0" w:color="auto"/>
          </w:divBdr>
        </w:div>
        <w:div w:id="46995441">
          <w:marLeft w:val="640"/>
          <w:marRight w:val="0"/>
          <w:marTop w:val="0"/>
          <w:marBottom w:val="0"/>
          <w:divBdr>
            <w:top w:val="none" w:sz="0" w:space="0" w:color="auto"/>
            <w:left w:val="none" w:sz="0" w:space="0" w:color="auto"/>
            <w:bottom w:val="none" w:sz="0" w:space="0" w:color="auto"/>
            <w:right w:val="none" w:sz="0" w:space="0" w:color="auto"/>
          </w:divBdr>
        </w:div>
        <w:div w:id="138305919">
          <w:marLeft w:val="640"/>
          <w:marRight w:val="0"/>
          <w:marTop w:val="0"/>
          <w:marBottom w:val="0"/>
          <w:divBdr>
            <w:top w:val="none" w:sz="0" w:space="0" w:color="auto"/>
            <w:left w:val="none" w:sz="0" w:space="0" w:color="auto"/>
            <w:bottom w:val="none" w:sz="0" w:space="0" w:color="auto"/>
            <w:right w:val="none" w:sz="0" w:space="0" w:color="auto"/>
          </w:divBdr>
        </w:div>
        <w:div w:id="2096826119">
          <w:marLeft w:val="640"/>
          <w:marRight w:val="0"/>
          <w:marTop w:val="0"/>
          <w:marBottom w:val="0"/>
          <w:divBdr>
            <w:top w:val="none" w:sz="0" w:space="0" w:color="auto"/>
            <w:left w:val="none" w:sz="0" w:space="0" w:color="auto"/>
            <w:bottom w:val="none" w:sz="0" w:space="0" w:color="auto"/>
            <w:right w:val="none" w:sz="0" w:space="0" w:color="auto"/>
          </w:divBdr>
        </w:div>
        <w:div w:id="798183552">
          <w:marLeft w:val="640"/>
          <w:marRight w:val="0"/>
          <w:marTop w:val="0"/>
          <w:marBottom w:val="0"/>
          <w:divBdr>
            <w:top w:val="none" w:sz="0" w:space="0" w:color="auto"/>
            <w:left w:val="none" w:sz="0" w:space="0" w:color="auto"/>
            <w:bottom w:val="none" w:sz="0" w:space="0" w:color="auto"/>
            <w:right w:val="none" w:sz="0" w:space="0" w:color="auto"/>
          </w:divBdr>
        </w:div>
        <w:div w:id="1399667949">
          <w:marLeft w:val="640"/>
          <w:marRight w:val="0"/>
          <w:marTop w:val="0"/>
          <w:marBottom w:val="0"/>
          <w:divBdr>
            <w:top w:val="none" w:sz="0" w:space="0" w:color="auto"/>
            <w:left w:val="none" w:sz="0" w:space="0" w:color="auto"/>
            <w:bottom w:val="none" w:sz="0" w:space="0" w:color="auto"/>
            <w:right w:val="none" w:sz="0" w:space="0" w:color="auto"/>
          </w:divBdr>
        </w:div>
        <w:div w:id="1988318777">
          <w:marLeft w:val="640"/>
          <w:marRight w:val="0"/>
          <w:marTop w:val="0"/>
          <w:marBottom w:val="0"/>
          <w:divBdr>
            <w:top w:val="none" w:sz="0" w:space="0" w:color="auto"/>
            <w:left w:val="none" w:sz="0" w:space="0" w:color="auto"/>
            <w:bottom w:val="none" w:sz="0" w:space="0" w:color="auto"/>
            <w:right w:val="none" w:sz="0" w:space="0" w:color="auto"/>
          </w:divBdr>
        </w:div>
        <w:div w:id="1520385845">
          <w:marLeft w:val="640"/>
          <w:marRight w:val="0"/>
          <w:marTop w:val="0"/>
          <w:marBottom w:val="0"/>
          <w:divBdr>
            <w:top w:val="none" w:sz="0" w:space="0" w:color="auto"/>
            <w:left w:val="none" w:sz="0" w:space="0" w:color="auto"/>
            <w:bottom w:val="none" w:sz="0" w:space="0" w:color="auto"/>
            <w:right w:val="none" w:sz="0" w:space="0" w:color="auto"/>
          </w:divBdr>
        </w:div>
        <w:div w:id="1769808632">
          <w:marLeft w:val="640"/>
          <w:marRight w:val="0"/>
          <w:marTop w:val="0"/>
          <w:marBottom w:val="0"/>
          <w:divBdr>
            <w:top w:val="none" w:sz="0" w:space="0" w:color="auto"/>
            <w:left w:val="none" w:sz="0" w:space="0" w:color="auto"/>
            <w:bottom w:val="none" w:sz="0" w:space="0" w:color="auto"/>
            <w:right w:val="none" w:sz="0" w:space="0" w:color="auto"/>
          </w:divBdr>
        </w:div>
        <w:div w:id="581987445">
          <w:marLeft w:val="640"/>
          <w:marRight w:val="0"/>
          <w:marTop w:val="0"/>
          <w:marBottom w:val="0"/>
          <w:divBdr>
            <w:top w:val="none" w:sz="0" w:space="0" w:color="auto"/>
            <w:left w:val="none" w:sz="0" w:space="0" w:color="auto"/>
            <w:bottom w:val="none" w:sz="0" w:space="0" w:color="auto"/>
            <w:right w:val="none" w:sz="0" w:space="0" w:color="auto"/>
          </w:divBdr>
        </w:div>
        <w:div w:id="1654065304">
          <w:marLeft w:val="640"/>
          <w:marRight w:val="0"/>
          <w:marTop w:val="0"/>
          <w:marBottom w:val="0"/>
          <w:divBdr>
            <w:top w:val="none" w:sz="0" w:space="0" w:color="auto"/>
            <w:left w:val="none" w:sz="0" w:space="0" w:color="auto"/>
            <w:bottom w:val="none" w:sz="0" w:space="0" w:color="auto"/>
            <w:right w:val="none" w:sz="0" w:space="0" w:color="auto"/>
          </w:divBdr>
        </w:div>
        <w:div w:id="1235897996">
          <w:marLeft w:val="640"/>
          <w:marRight w:val="0"/>
          <w:marTop w:val="0"/>
          <w:marBottom w:val="0"/>
          <w:divBdr>
            <w:top w:val="none" w:sz="0" w:space="0" w:color="auto"/>
            <w:left w:val="none" w:sz="0" w:space="0" w:color="auto"/>
            <w:bottom w:val="none" w:sz="0" w:space="0" w:color="auto"/>
            <w:right w:val="none" w:sz="0" w:space="0" w:color="auto"/>
          </w:divBdr>
        </w:div>
        <w:div w:id="1581526463">
          <w:marLeft w:val="640"/>
          <w:marRight w:val="0"/>
          <w:marTop w:val="0"/>
          <w:marBottom w:val="0"/>
          <w:divBdr>
            <w:top w:val="none" w:sz="0" w:space="0" w:color="auto"/>
            <w:left w:val="none" w:sz="0" w:space="0" w:color="auto"/>
            <w:bottom w:val="none" w:sz="0" w:space="0" w:color="auto"/>
            <w:right w:val="none" w:sz="0" w:space="0" w:color="auto"/>
          </w:divBdr>
        </w:div>
        <w:div w:id="2113431398">
          <w:marLeft w:val="640"/>
          <w:marRight w:val="0"/>
          <w:marTop w:val="0"/>
          <w:marBottom w:val="0"/>
          <w:divBdr>
            <w:top w:val="none" w:sz="0" w:space="0" w:color="auto"/>
            <w:left w:val="none" w:sz="0" w:space="0" w:color="auto"/>
            <w:bottom w:val="none" w:sz="0" w:space="0" w:color="auto"/>
            <w:right w:val="none" w:sz="0" w:space="0" w:color="auto"/>
          </w:divBdr>
        </w:div>
        <w:div w:id="1637448217">
          <w:marLeft w:val="640"/>
          <w:marRight w:val="0"/>
          <w:marTop w:val="0"/>
          <w:marBottom w:val="0"/>
          <w:divBdr>
            <w:top w:val="none" w:sz="0" w:space="0" w:color="auto"/>
            <w:left w:val="none" w:sz="0" w:space="0" w:color="auto"/>
            <w:bottom w:val="none" w:sz="0" w:space="0" w:color="auto"/>
            <w:right w:val="none" w:sz="0" w:space="0" w:color="auto"/>
          </w:divBdr>
        </w:div>
        <w:div w:id="991788603">
          <w:marLeft w:val="640"/>
          <w:marRight w:val="0"/>
          <w:marTop w:val="0"/>
          <w:marBottom w:val="0"/>
          <w:divBdr>
            <w:top w:val="none" w:sz="0" w:space="0" w:color="auto"/>
            <w:left w:val="none" w:sz="0" w:space="0" w:color="auto"/>
            <w:bottom w:val="none" w:sz="0" w:space="0" w:color="auto"/>
            <w:right w:val="none" w:sz="0" w:space="0" w:color="auto"/>
          </w:divBdr>
        </w:div>
        <w:div w:id="1544367933">
          <w:marLeft w:val="640"/>
          <w:marRight w:val="0"/>
          <w:marTop w:val="0"/>
          <w:marBottom w:val="0"/>
          <w:divBdr>
            <w:top w:val="none" w:sz="0" w:space="0" w:color="auto"/>
            <w:left w:val="none" w:sz="0" w:space="0" w:color="auto"/>
            <w:bottom w:val="none" w:sz="0" w:space="0" w:color="auto"/>
            <w:right w:val="none" w:sz="0" w:space="0" w:color="auto"/>
          </w:divBdr>
        </w:div>
        <w:div w:id="1311712812">
          <w:marLeft w:val="640"/>
          <w:marRight w:val="0"/>
          <w:marTop w:val="0"/>
          <w:marBottom w:val="0"/>
          <w:divBdr>
            <w:top w:val="none" w:sz="0" w:space="0" w:color="auto"/>
            <w:left w:val="none" w:sz="0" w:space="0" w:color="auto"/>
            <w:bottom w:val="none" w:sz="0" w:space="0" w:color="auto"/>
            <w:right w:val="none" w:sz="0" w:space="0" w:color="auto"/>
          </w:divBdr>
        </w:div>
        <w:div w:id="2066558784">
          <w:marLeft w:val="640"/>
          <w:marRight w:val="0"/>
          <w:marTop w:val="0"/>
          <w:marBottom w:val="0"/>
          <w:divBdr>
            <w:top w:val="none" w:sz="0" w:space="0" w:color="auto"/>
            <w:left w:val="none" w:sz="0" w:space="0" w:color="auto"/>
            <w:bottom w:val="none" w:sz="0" w:space="0" w:color="auto"/>
            <w:right w:val="none" w:sz="0" w:space="0" w:color="auto"/>
          </w:divBdr>
        </w:div>
        <w:div w:id="1312517474">
          <w:marLeft w:val="640"/>
          <w:marRight w:val="0"/>
          <w:marTop w:val="0"/>
          <w:marBottom w:val="0"/>
          <w:divBdr>
            <w:top w:val="none" w:sz="0" w:space="0" w:color="auto"/>
            <w:left w:val="none" w:sz="0" w:space="0" w:color="auto"/>
            <w:bottom w:val="none" w:sz="0" w:space="0" w:color="auto"/>
            <w:right w:val="none" w:sz="0" w:space="0" w:color="auto"/>
          </w:divBdr>
        </w:div>
        <w:div w:id="1882588672">
          <w:marLeft w:val="640"/>
          <w:marRight w:val="0"/>
          <w:marTop w:val="0"/>
          <w:marBottom w:val="0"/>
          <w:divBdr>
            <w:top w:val="none" w:sz="0" w:space="0" w:color="auto"/>
            <w:left w:val="none" w:sz="0" w:space="0" w:color="auto"/>
            <w:bottom w:val="none" w:sz="0" w:space="0" w:color="auto"/>
            <w:right w:val="none" w:sz="0" w:space="0" w:color="auto"/>
          </w:divBdr>
        </w:div>
        <w:div w:id="1031609459">
          <w:marLeft w:val="640"/>
          <w:marRight w:val="0"/>
          <w:marTop w:val="0"/>
          <w:marBottom w:val="0"/>
          <w:divBdr>
            <w:top w:val="none" w:sz="0" w:space="0" w:color="auto"/>
            <w:left w:val="none" w:sz="0" w:space="0" w:color="auto"/>
            <w:bottom w:val="none" w:sz="0" w:space="0" w:color="auto"/>
            <w:right w:val="none" w:sz="0" w:space="0" w:color="auto"/>
          </w:divBdr>
        </w:div>
        <w:div w:id="50541381">
          <w:marLeft w:val="640"/>
          <w:marRight w:val="0"/>
          <w:marTop w:val="0"/>
          <w:marBottom w:val="0"/>
          <w:divBdr>
            <w:top w:val="none" w:sz="0" w:space="0" w:color="auto"/>
            <w:left w:val="none" w:sz="0" w:space="0" w:color="auto"/>
            <w:bottom w:val="none" w:sz="0" w:space="0" w:color="auto"/>
            <w:right w:val="none" w:sz="0" w:space="0" w:color="auto"/>
          </w:divBdr>
        </w:div>
        <w:div w:id="113251956">
          <w:marLeft w:val="640"/>
          <w:marRight w:val="0"/>
          <w:marTop w:val="0"/>
          <w:marBottom w:val="0"/>
          <w:divBdr>
            <w:top w:val="none" w:sz="0" w:space="0" w:color="auto"/>
            <w:left w:val="none" w:sz="0" w:space="0" w:color="auto"/>
            <w:bottom w:val="none" w:sz="0" w:space="0" w:color="auto"/>
            <w:right w:val="none" w:sz="0" w:space="0" w:color="auto"/>
          </w:divBdr>
        </w:div>
        <w:div w:id="1992632400">
          <w:marLeft w:val="640"/>
          <w:marRight w:val="0"/>
          <w:marTop w:val="0"/>
          <w:marBottom w:val="0"/>
          <w:divBdr>
            <w:top w:val="none" w:sz="0" w:space="0" w:color="auto"/>
            <w:left w:val="none" w:sz="0" w:space="0" w:color="auto"/>
            <w:bottom w:val="none" w:sz="0" w:space="0" w:color="auto"/>
            <w:right w:val="none" w:sz="0" w:space="0" w:color="auto"/>
          </w:divBdr>
        </w:div>
        <w:div w:id="338394082">
          <w:marLeft w:val="640"/>
          <w:marRight w:val="0"/>
          <w:marTop w:val="0"/>
          <w:marBottom w:val="0"/>
          <w:divBdr>
            <w:top w:val="none" w:sz="0" w:space="0" w:color="auto"/>
            <w:left w:val="none" w:sz="0" w:space="0" w:color="auto"/>
            <w:bottom w:val="none" w:sz="0" w:space="0" w:color="auto"/>
            <w:right w:val="none" w:sz="0" w:space="0" w:color="auto"/>
          </w:divBdr>
        </w:div>
        <w:div w:id="1003361472">
          <w:marLeft w:val="640"/>
          <w:marRight w:val="0"/>
          <w:marTop w:val="0"/>
          <w:marBottom w:val="0"/>
          <w:divBdr>
            <w:top w:val="none" w:sz="0" w:space="0" w:color="auto"/>
            <w:left w:val="none" w:sz="0" w:space="0" w:color="auto"/>
            <w:bottom w:val="none" w:sz="0" w:space="0" w:color="auto"/>
            <w:right w:val="none" w:sz="0" w:space="0" w:color="auto"/>
          </w:divBdr>
        </w:div>
        <w:div w:id="396829489">
          <w:marLeft w:val="640"/>
          <w:marRight w:val="0"/>
          <w:marTop w:val="0"/>
          <w:marBottom w:val="0"/>
          <w:divBdr>
            <w:top w:val="none" w:sz="0" w:space="0" w:color="auto"/>
            <w:left w:val="none" w:sz="0" w:space="0" w:color="auto"/>
            <w:bottom w:val="none" w:sz="0" w:space="0" w:color="auto"/>
            <w:right w:val="none" w:sz="0" w:space="0" w:color="auto"/>
          </w:divBdr>
        </w:div>
        <w:div w:id="835458086">
          <w:marLeft w:val="640"/>
          <w:marRight w:val="0"/>
          <w:marTop w:val="0"/>
          <w:marBottom w:val="0"/>
          <w:divBdr>
            <w:top w:val="none" w:sz="0" w:space="0" w:color="auto"/>
            <w:left w:val="none" w:sz="0" w:space="0" w:color="auto"/>
            <w:bottom w:val="none" w:sz="0" w:space="0" w:color="auto"/>
            <w:right w:val="none" w:sz="0" w:space="0" w:color="auto"/>
          </w:divBdr>
        </w:div>
        <w:div w:id="375547905">
          <w:marLeft w:val="640"/>
          <w:marRight w:val="0"/>
          <w:marTop w:val="0"/>
          <w:marBottom w:val="0"/>
          <w:divBdr>
            <w:top w:val="none" w:sz="0" w:space="0" w:color="auto"/>
            <w:left w:val="none" w:sz="0" w:space="0" w:color="auto"/>
            <w:bottom w:val="none" w:sz="0" w:space="0" w:color="auto"/>
            <w:right w:val="none" w:sz="0" w:space="0" w:color="auto"/>
          </w:divBdr>
        </w:div>
        <w:div w:id="186219909">
          <w:marLeft w:val="640"/>
          <w:marRight w:val="0"/>
          <w:marTop w:val="0"/>
          <w:marBottom w:val="0"/>
          <w:divBdr>
            <w:top w:val="none" w:sz="0" w:space="0" w:color="auto"/>
            <w:left w:val="none" w:sz="0" w:space="0" w:color="auto"/>
            <w:bottom w:val="none" w:sz="0" w:space="0" w:color="auto"/>
            <w:right w:val="none" w:sz="0" w:space="0" w:color="auto"/>
          </w:divBdr>
        </w:div>
        <w:div w:id="380591970">
          <w:marLeft w:val="640"/>
          <w:marRight w:val="0"/>
          <w:marTop w:val="0"/>
          <w:marBottom w:val="0"/>
          <w:divBdr>
            <w:top w:val="none" w:sz="0" w:space="0" w:color="auto"/>
            <w:left w:val="none" w:sz="0" w:space="0" w:color="auto"/>
            <w:bottom w:val="none" w:sz="0" w:space="0" w:color="auto"/>
            <w:right w:val="none" w:sz="0" w:space="0" w:color="auto"/>
          </w:divBdr>
        </w:div>
        <w:div w:id="1358116471">
          <w:marLeft w:val="640"/>
          <w:marRight w:val="0"/>
          <w:marTop w:val="0"/>
          <w:marBottom w:val="0"/>
          <w:divBdr>
            <w:top w:val="none" w:sz="0" w:space="0" w:color="auto"/>
            <w:left w:val="none" w:sz="0" w:space="0" w:color="auto"/>
            <w:bottom w:val="none" w:sz="0" w:space="0" w:color="auto"/>
            <w:right w:val="none" w:sz="0" w:space="0" w:color="auto"/>
          </w:divBdr>
        </w:div>
        <w:div w:id="2069760569">
          <w:marLeft w:val="640"/>
          <w:marRight w:val="0"/>
          <w:marTop w:val="0"/>
          <w:marBottom w:val="0"/>
          <w:divBdr>
            <w:top w:val="none" w:sz="0" w:space="0" w:color="auto"/>
            <w:left w:val="none" w:sz="0" w:space="0" w:color="auto"/>
            <w:bottom w:val="none" w:sz="0" w:space="0" w:color="auto"/>
            <w:right w:val="none" w:sz="0" w:space="0" w:color="auto"/>
          </w:divBdr>
        </w:div>
        <w:div w:id="1117984958">
          <w:marLeft w:val="640"/>
          <w:marRight w:val="0"/>
          <w:marTop w:val="0"/>
          <w:marBottom w:val="0"/>
          <w:divBdr>
            <w:top w:val="none" w:sz="0" w:space="0" w:color="auto"/>
            <w:left w:val="none" w:sz="0" w:space="0" w:color="auto"/>
            <w:bottom w:val="none" w:sz="0" w:space="0" w:color="auto"/>
            <w:right w:val="none" w:sz="0" w:space="0" w:color="auto"/>
          </w:divBdr>
        </w:div>
        <w:div w:id="1200043720">
          <w:marLeft w:val="640"/>
          <w:marRight w:val="0"/>
          <w:marTop w:val="0"/>
          <w:marBottom w:val="0"/>
          <w:divBdr>
            <w:top w:val="none" w:sz="0" w:space="0" w:color="auto"/>
            <w:left w:val="none" w:sz="0" w:space="0" w:color="auto"/>
            <w:bottom w:val="none" w:sz="0" w:space="0" w:color="auto"/>
            <w:right w:val="none" w:sz="0" w:space="0" w:color="auto"/>
          </w:divBdr>
        </w:div>
        <w:div w:id="798958243">
          <w:marLeft w:val="640"/>
          <w:marRight w:val="0"/>
          <w:marTop w:val="0"/>
          <w:marBottom w:val="0"/>
          <w:divBdr>
            <w:top w:val="none" w:sz="0" w:space="0" w:color="auto"/>
            <w:left w:val="none" w:sz="0" w:space="0" w:color="auto"/>
            <w:bottom w:val="none" w:sz="0" w:space="0" w:color="auto"/>
            <w:right w:val="none" w:sz="0" w:space="0" w:color="auto"/>
          </w:divBdr>
        </w:div>
        <w:div w:id="1531183528">
          <w:marLeft w:val="640"/>
          <w:marRight w:val="0"/>
          <w:marTop w:val="0"/>
          <w:marBottom w:val="0"/>
          <w:divBdr>
            <w:top w:val="none" w:sz="0" w:space="0" w:color="auto"/>
            <w:left w:val="none" w:sz="0" w:space="0" w:color="auto"/>
            <w:bottom w:val="none" w:sz="0" w:space="0" w:color="auto"/>
            <w:right w:val="none" w:sz="0" w:space="0" w:color="auto"/>
          </w:divBdr>
        </w:div>
        <w:div w:id="362288729">
          <w:marLeft w:val="640"/>
          <w:marRight w:val="0"/>
          <w:marTop w:val="0"/>
          <w:marBottom w:val="0"/>
          <w:divBdr>
            <w:top w:val="none" w:sz="0" w:space="0" w:color="auto"/>
            <w:left w:val="none" w:sz="0" w:space="0" w:color="auto"/>
            <w:bottom w:val="none" w:sz="0" w:space="0" w:color="auto"/>
            <w:right w:val="none" w:sz="0" w:space="0" w:color="auto"/>
          </w:divBdr>
        </w:div>
        <w:div w:id="1756630825">
          <w:marLeft w:val="640"/>
          <w:marRight w:val="0"/>
          <w:marTop w:val="0"/>
          <w:marBottom w:val="0"/>
          <w:divBdr>
            <w:top w:val="none" w:sz="0" w:space="0" w:color="auto"/>
            <w:left w:val="none" w:sz="0" w:space="0" w:color="auto"/>
            <w:bottom w:val="none" w:sz="0" w:space="0" w:color="auto"/>
            <w:right w:val="none" w:sz="0" w:space="0" w:color="auto"/>
          </w:divBdr>
        </w:div>
        <w:div w:id="433550805">
          <w:marLeft w:val="640"/>
          <w:marRight w:val="0"/>
          <w:marTop w:val="0"/>
          <w:marBottom w:val="0"/>
          <w:divBdr>
            <w:top w:val="none" w:sz="0" w:space="0" w:color="auto"/>
            <w:left w:val="none" w:sz="0" w:space="0" w:color="auto"/>
            <w:bottom w:val="none" w:sz="0" w:space="0" w:color="auto"/>
            <w:right w:val="none" w:sz="0" w:space="0" w:color="auto"/>
          </w:divBdr>
        </w:div>
        <w:div w:id="346296744">
          <w:marLeft w:val="640"/>
          <w:marRight w:val="0"/>
          <w:marTop w:val="0"/>
          <w:marBottom w:val="0"/>
          <w:divBdr>
            <w:top w:val="none" w:sz="0" w:space="0" w:color="auto"/>
            <w:left w:val="none" w:sz="0" w:space="0" w:color="auto"/>
            <w:bottom w:val="none" w:sz="0" w:space="0" w:color="auto"/>
            <w:right w:val="none" w:sz="0" w:space="0" w:color="auto"/>
          </w:divBdr>
        </w:div>
        <w:div w:id="1981223234">
          <w:marLeft w:val="640"/>
          <w:marRight w:val="0"/>
          <w:marTop w:val="0"/>
          <w:marBottom w:val="0"/>
          <w:divBdr>
            <w:top w:val="none" w:sz="0" w:space="0" w:color="auto"/>
            <w:left w:val="none" w:sz="0" w:space="0" w:color="auto"/>
            <w:bottom w:val="none" w:sz="0" w:space="0" w:color="auto"/>
            <w:right w:val="none" w:sz="0" w:space="0" w:color="auto"/>
          </w:divBdr>
        </w:div>
      </w:divsChild>
    </w:div>
    <w:div w:id="279999727">
      <w:bodyDiv w:val="1"/>
      <w:marLeft w:val="0"/>
      <w:marRight w:val="0"/>
      <w:marTop w:val="0"/>
      <w:marBottom w:val="0"/>
      <w:divBdr>
        <w:top w:val="none" w:sz="0" w:space="0" w:color="auto"/>
        <w:left w:val="none" w:sz="0" w:space="0" w:color="auto"/>
        <w:bottom w:val="none" w:sz="0" w:space="0" w:color="auto"/>
        <w:right w:val="none" w:sz="0" w:space="0" w:color="auto"/>
      </w:divBdr>
    </w:div>
    <w:div w:id="299192812">
      <w:bodyDiv w:val="1"/>
      <w:marLeft w:val="0"/>
      <w:marRight w:val="0"/>
      <w:marTop w:val="0"/>
      <w:marBottom w:val="0"/>
      <w:divBdr>
        <w:top w:val="none" w:sz="0" w:space="0" w:color="auto"/>
        <w:left w:val="none" w:sz="0" w:space="0" w:color="auto"/>
        <w:bottom w:val="none" w:sz="0" w:space="0" w:color="auto"/>
        <w:right w:val="none" w:sz="0" w:space="0" w:color="auto"/>
      </w:divBdr>
    </w:div>
    <w:div w:id="355891396">
      <w:bodyDiv w:val="1"/>
      <w:marLeft w:val="0"/>
      <w:marRight w:val="0"/>
      <w:marTop w:val="0"/>
      <w:marBottom w:val="0"/>
      <w:divBdr>
        <w:top w:val="none" w:sz="0" w:space="0" w:color="auto"/>
        <w:left w:val="none" w:sz="0" w:space="0" w:color="auto"/>
        <w:bottom w:val="none" w:sz="0" w:space="0" w:color="auto"/>
        <w:right w:val="none" w:sz="0" w:space="0" w:color="auto"/>
      </w:divBdr>
      <w:divsChild>
        <w:div w:id="1629775315">
          <w:marLeft w:val="640"/>
          <w:marRight w:val="0"/>
          <w:marTop w:val="0"/>
          <w:marBottom w:val="0"/>
          <w:divBdr>
            <w:top w:val="none" w:sz="0" w:space="0" w:color="auto"/>
            <w:left w:val="none" w:sz="0" w:space="0" w:color="auto"/>
            <w:bottom w:val="none" w:sz="0" w:space="0" w:color="auto"/>
            <w:right w:val="none" w:sz="0" w:space="0" w:color="auto"/>
          </w:divBdr>
        </w:div>
        <w:div w:id="17590375">
          <w:marLeft w:val="640"/>
          <w:marRight w:val="0"/>
          <w:marTop w:val="0"/>
          <w:marBottom w:val="0"/>
          <w:divBdr>
            <w:top w:val="none" w:sz="0" w:space="0" w:color="auto"/>
            <w:left w:val="none" w:sz="0" w:space="0" w:color="auto"/>
            <w:bottom w:val="none" w:sz="0" w:space="0" w:color="auto"/>
            <w:right w:val="none" w:sz="0" w:space="0" w:color="auto"/>
          </w:divBdr>
        </w:div>
        <w:div w:id="1818110874">
          <w:marLeft w:val="640"/>
          <w:marRight w:val="0"/>
          <w:marTop w:val="0"/>
          <w:marBottom w:val="0"/>
          <w:divBdr>
            <w:top w:val="none" w:sz="0" w:space="0" w:color="auto"/>
            <w:left w:val="none" w:sz="0" w:space="0" w:color="auto"/>
            <w:bottom w:val="none" w:sz="0" w:space="0" w:color="auto"/>
            <w:right w:val="none" w:sz="0" w:space="0" w:color="auto"/>
          </w:divBdr>
        </w:div>
        <w:div w:id="1067991660">
          <w:marLeft w:val="640"/>
          <w:marRight w:val="0"/>
          <w:marTop w:val="0"/>
          <w:marBottom w:val="0"/>
          <w:divBdr>
            <w:top w:val="none" w:sz="0" w:space="0" w:color="auto"/>
            <w:left w:val="none" w:sz="0" w:space="0" w:color="auto"/>
            <w:bottom w:val="none" w:sz="0" w:space="0" w:color="auto"/>
            <w:right w:val="none" w:sz="0" w:space="0" w:color="auto"/>
          </w:divBdr>
        </w:div>
        <w:div w:id="947157391">
          <w:marLeft w:val="640"/>
          <w:marRight w:val="0"/>
          <w:marTop w:val="0"/>
          <w:marBottom w:val="0"/>
          <w:divBdr>
            <w:top w:val="none" w:sz="0" w:space="0" w:color="auto"/>
            <w:left w:val="none" w:sz="0" w:space="0" w:color="auto"/>
            <w:bottom w:val="none" w:sz="0" w:space="0" w:color="auto"/>
            <w:right w:val="none" w:sz="0" w:space="0" w:color="auto"/>
          </w:divBdr>
        </w:div>
        <w:div w:id="459688958">
          <w:marLeft w:val="640"/>
          <w:marRight w:val="0"/>
          <w:marTop w:val="0"/>
          <w:marBottom w:val="0"/>
          <w:divBdr>
            <w:top w:val="none" w:sz="0" w:space="0" w:color="auto"/>
            <w:left w:val="none" w:sz="0" w:space="0" w:color="auto"/>
            <w:bottom w:val="none" w:sz="0" w:space="0" w:color="auto"/>
            <w:right w:val="none" w:sz="0" w:space="0" w:color="auto"/>
          </w:divBdr>
        </w:div>
        <w:div w:id="1882085221">
          <w:marLeft w:val="640"/>
          <w:marRight w:val="0"/>
          <w:marTop w:val="0"/>
          <w:marBottom w:val="0"/>
          <w:divBdr>
            <w:top w:val="none" w:sz="0" w:space="0" w:color="auto"/>
            <w:left w:val="none" w:sz="0" w:space="0" w:color="auto"/>
            <w:bottom w:val="none" w:sz="0" w:space="0" w:color="auto"/>
            <w:right w:val="none" w:sz="0" w:space="0" w:color="auto"/>
          </w:divBdr>
        </w:div>
        <w:div w:id="1609655665">
          <w:marLeft w:val="640"/>
          <w:marRight w:val="0"/>
          <w:marTop w:val="0"/>
          <w:marBottom w:val="0"/>
          <w:divBdr>
            <w:top w:val="none" w:sz="0" w:space="0" w:color="auto"/>
            <w:left w:val="none" w:sz="0" w:space="0" w:color="auto"/>
            <w:bottom w:val="none" w:sz="0" w:space="0" w:color="auto"/>
            <w:right w:val="none" w:sz="0" w:space="0" w:color="auto"/>
          </w:divBdr>
        </w:div>
        <w:div w:id="972910526">
          <w:marLeft w:val="640"/>
          <w:marRight w:val="0"/>
          <w:marTop w:val="0"/>
          <w:marBottom w:val="0"/>
          <w:divBdr>
            <w:top w:val="none" w:sz="0" w:space="0" w:color="auto"/>
            <w:left w:val="none" w:sz="0" w:space="0" w:color="auto"/>
            <w:bottom w:val="none" w:sz="0" w:space="0" w:color="auto"/>
            <w:right w:val="none" w:sz="0" w:space="0" w:color="auto"/>
          </w:divBdr>
        </w:div>
        <w:div w:id="1794789289">
          <w:marLeft w:val="640"/>
          <w:marRight w:val="0"/>
          <w:marTop w:val="0"/>
          <w:marBottom w:val="0"/>
          <w:divBdr>
            <w:top w:val="none" w:sz="0" w:space="0" w:color="auto"/>
            <w:left w:val="none" w:sz="0" w:space="0" w:color="auto"/>
            <w:bottom w:val="none" w:sz="0" w:space="0" w:color="auto"/>
            <w:right w:val="none" w:sz="0" w:space="0" w:color="auto"/>
          </w:divBdr>
        </w:div>
        <w:div w:id="820970849">
          <w:marLeft w:val="640"/>
          <w:marRight w:val="0"/>
          <w:marTop w:val="0"/>
          <w:marBottom w:val="0"/>
          <w:divBdr>
            <w:top w:val="none" w:sz="0" w:space="0" w:color="auto"/>
            <w:left w:val="none" w:sz="0" w:space="0" w:color="auto"/>
            <w:bottom w:val="none" w:sz="0" w:space="0" w:color="auto"/>
            <w:right w:val="none" w:sz="0" w:space="0" w:color="auto"/>
          </w:divBdr>
        </w:div>
        <w:div w:id="1918901849">
          <w:marLeft w:val="640"/>
          <w:marRight w:val="0"/>
          <w:marTop w:val="0"/>
          <w:marBottom w:val="0"/>
          <w:divBdr>
            <w:top w:val="none" w:sz="0" w:space="0" w:color="auto"/>
            <w:left w:val="none" w:sz="0" w:space="0" w:color="auto"/>
            <w:bottom w:val="none" w:sz="0" w:space="0" w:color="auto"/>
            <w:right w:val="none" w:sz="0" w:space="0" w:color="auto"/>
          </w:divBdr>
        </w:div>
        <w:div w:id="987788853">
          <w:marLeft w:val="640"/>
          <w:marRight w:val="0"/>
          <w:marTop w:val="0"/>
          <w:marBottom w:val="0"/>
          <w:divBdr>
            <w:top w:val="none" w:sz="0" w:space="0" w:color="auto"/>
            <w:left w:val="none" w:sz="0" w:space="0" w:color="auto"/>
            <w:bottom w:val="none" w:sz="0" w:space="0" w:color="auto"/>
            <w:right w:val="none" w:sz="0" w:space="0" w:color="auto"/>
          </w:divBdr>
        </w:div>
        <w:div w:id="2051801786">
          <w:marLeft w:val="640"/>
          <w:marRight w:val="0"/>
          <w:marTop w:val="0"/>
          <w:marBottom w:val="0"/>
          <w:divBdr>
            <w:top w:val="none" w:sz="0" w:space="0" w:color="auto"/>
            <w:left w:val="none" w:sz="0" w:space="0" w:color="auto"/>
            <w:bottom w:val="none" w:sz="0" w:space="0" w:color="auto"/>
            <w:right w:val="none" w:sz="0" w:space="0" w:color="auto"/>
          </w:divBdr>
        </w:div>
        <w:div w:id="809325757">
          <w:marLeft w:val="640"/>
          <w:marRight w:val="0"/>
          <w:marTop w:val="0"/>
          <w:marBottom w:val="0"/>
          <w:divBdr>
            <w:top w:val="none" w:sz="0" w:space="0" w:color="auto"/>
            <w:left w:val="none" w:sz="0" w:space="0" w:color="auto"/>
            <w:bottom w:val="none" w:sz="0" w:space="0" w:color="auto"/>
            <w:right w:val="none" w:sz="0" w:space="0" w:color="auto"/>
          </w:divBdr>
        </w:div>
        <w:div w:id="2062971319">
          <w:marLeft w:val="640"/>
          <w:marRight w:val="0"/>
          <w:marTop w:val="0"/>
          <w:marBottom w:val="0"/>
          <w:divBdr>
            <w:top w:val="none" w:sz="0" w:space="0" w:color="auto"/>
            <w:left w:val="none" w:sz="0" w:space="0" w:color="auto"/>
            <w:bottom w:val="none" w:sz="0" w:space="0" w:color="auto"/>
            <w:right w:val="none" w:sz="0" w:space="0" w:color="auto"/>
          </w:divBdr>
        </w:div>
        <w:div w:id="867568771">
          <w:marLeft w:val="640"/>
          <w:marRight w:val="0"/>
          <w:marTop w:val="0"/>
          <w:marBottom w:val="0"/>
          <w:divBdr>
            <w:top w:val="none" w:sz="0" w:space="0" w:color="auto"/>
            <w:left w:val="none" w:sz="0" w:space="0" w:color="auto"/>
            <w:bottom w:val="none" w:sz="0" w:space="0" w:color="auto"/>
            <w:right w:val="none" w:sz="0" w:space="0" w:color="auto"/>
          </w:divBdr>
        </w:div>
        <w:div w:id="306204440">
          <w:marLeft w:val="640"/>
          <w:marRight w:val="0"/>
          <w:marTop w:val="0"/>
          <w:marBottom w:val="0"/>
          <w:divBdr>
            <w:top w:val="none" w:sz="0" w:space="0" w:color="auto"/>
            <w:left w:val="none" w:sz="0" w:space="0" w:color="auto"/>
            <w:bottom w:val="none" w:sz="0" w:space="0" w:color="auto"/>
            <w:right w:val="none" w:sz="0" w:space="0" w:color="auto"/>
          </w:divBdr>
        </w:div>
        <w:div w:id="1962684673">
          <w:marLeft w:val="640"/>
          <w:marRight w:val="0"/>
          <w:marTop w:val="0"/>
          <w:marBottom w:val="0"/>
          <w:divBdr>
            <w:top w:val="none" w:sz="0" w:space="0" w:color="auto"/>
            <w:left w:val="none" w:sz="0" w:space="0" w:color="auto"/>
            <w:bottom w:val="none" w:sz="0" w:space="0" w:color="auto"/>
            <w:right w:val="none" w:sz="0" w:space="0" w:color="auto"/>
          </w:divBdr>
        </w:div>
        <w:div w:id="404651066">
          <w:marLeft w:val="640"/>
          <w:marRight w:val="0"/>
          <w:marTop w:val="0"/>
          <w:marBottom w:val="0"/>
          <w:divBdr>
            <w:top w:val="none" w:sz="0" w:space="0" w:color="auto"/>
            <w:left w:val="none" w:sz="0" w:space="0" w:color="auto"/>
            <w:bottom w:val="none" w:sz="0" w:space="0" w:color="auto"/>
            <w:right w:val="none" w:sz="0" w:space="0" w:color="auto"/>
          </w:divBdr>
        </w:div>
        <w:div w:id="1857034321">
          <w:marLeft w:val="640"/>
          <w:marRight w:val="0"/>
          <w:marTop w:val="0"/>
          <w:marBottom w:val="0"/>
          <w:divBdr>
            <w:top w:val="none" w:sz="0" w:space="0" w:color="auto"/>
            <w:left w:val="none" w:sz="0" w:space="0" w:color="auto"/>
            <w:bottom w:val="none" w:sz="0" w:space="0" w:color="auto"/>
            <w:right w:val="none" w:sz="0" w:space="0" w:color="auto"/>
          </w:divBdr>
        </w:div>
        <w:div w:id="1838881808">
          <w:marLeft w:val="640"/>
          <w:marRight w:val="0"/>
          <w:marTop w:val="0"/>
          <w:marBottom w:val="0"/>
          <w:divBdr>
            <w:top w:val="none" w:sz="0" w:space="0" w:color="auto"/>
            <w:left w:val="none" w:sz="0" w:space="0" w:color="auto"/>
            <w:bottom w:val="none" w:sz="0" w:space="0" w:color="auto"/>
            <w:right w:val="none" w:sz="0" w:space="0" w:color="auto"/>
          </w:divBdr>
        </w:div>
        <w:div w:id="297104355">
          <w:marLeft w:val="640"/>
          <w:marRight w:val="0"/>
          <w:marTop w:val="0"/>
          <w:marBottom w:val="0"/>
          <w:divBdr>
            <w:top w:val="none" w:sz="0" w:space="0" w:color="auto"/>
            <w:left w:val="none" w:sz="0" w:space="0" w:color="auto"/>
            <w:bottom w:val="none" w:sz="0" w:space="0" w:color="auto"/>
            <w:right w:val="none" w:sz="0" w:space="0" w:color="auto"/>
          </w:divBdr>
        </w:div>
        <w:div w:id="15691170">
          <w:marLeft w:val="640"/>
          <w:marRight w:val="0"/>
          <w:marTop w:val="0"/>
          <w:marBottom w:val="0"/>
          <w:divBdr>
            <w:top w:val="none" w:sz="0" w:space="0" w:color="auto"/>
            <w:left w:val="none" w:sz="0" w:space="0" w:color="auto"/>
            <w:bottom w:val="none" w:sz="0" w:space="0" w:color="auto"/>
            <w:right w:val="none" w:sz="0" w:space="0" w:color="auto"/>
          </w:divBdr>
        </w:div>
        <w:div w:id="1983197766">
          <w:marLeft w:val="640"/>
          <w:marRight w:val="0"/>
          <w:marTop w:val="0"/>
          <w:marBottom w:val="0"/>
          <w:divBdr>
            <w:top w:val="none" w:sz="0" w:space="0" w:color="auto"/>
            <w:left w:val="none" w:sz="0" w:space="0" w:color="auto"/>
            <w:bottom w:val="none" w:sz="0" w:space="0" w:color="auto"/>
            <w:right w:val="none" w:sz="0" w:space="0" w:color="auto"/>
          </w:divBdr>
        </w:div>
        <w:div w:id="755830930">
          <w:marLeft w:val="640"/>
          <w:marRight w:val="0"/>
          <w:marTop w:val="0"/>
          <w:marBottom w:val="0"/>
          <w:divBdr>
            <w:top w:val="none" w:sz="0" w:space="0" w:color="auto"/>
            <w:left w:val="none" w:sz="0" w:space="0" w:color="auto"/>
            <w:bottom w:val="none" w:sz="0" w:space="0" w:color="auto"/>
            <w:right w:val="none" w:sz="0" w:space="0" w:color="auto"/>
          </w:divBdr>
        </w:div>
        <w:div w:id="821389994">
          <w:marLeft w:val="640"/>
          <w:marRight w:val="0"/>
          <w:marTop w:val="0"/>
          <w:marBottom w:val="0"/>
          <w:divBdr>
            <w:top w:val="none" w:sz="0" w:space="0" w:color="auto"/>
            <w:left w:val="none" w:sz="0" w:space="0" w:color="auto"/>
            <w:bottom w:val="none" w:sz="0" w:space="0" w:color="auto"/>
            <w:right w:val="none" w:sz="0" w:space="0" w:color="auto"/>
          </w:divBdr>
        </w:div>
        <w:div w:id="414395894">
          <w:marLeft w:val="640"/>
          <w:marRight w:val="0"/>
          <w:marTop w:val="0"/>
          <w:marBottom w:val="0"/>
          <w:divBdr>
            <w:top w:val="none" w:sz="0" w:space="0" w:color="auto"/>
            <w:left w:val="none" w:sz="0" w:space="0" w:color="auto"/>
            <w:bottom w:val="none" w:sz="0" w:space="0" w:color="auto"/>
            <w:right w:val="none" w:sz="0" w:space="0" w:color="auto"/>
          </w:divBdr>
        </w:div>
        <w:div w:id="1447311415">
          <w:marLeft w:val="640"/>
          <w:marRight w:val="0"/>
          <w:marTop w:val="0"/>
          <w:marBottom w:val="0"/>
          <w:divBdr>
            <w:top w:val="none" w:sz="0" w:space="0" w:color="auto"/>
            <w:left w:val="none" w:sz="0" w:space="0" w:color="auto"/>
            <w:bottom w:val="none" w:sz="0" w:space="0" w:color="auto"/>
            <w:right w:val="none" w:sz="0" w:space="0" w:color="auto"/>
          </w:divBdr>
        </w:div>
        <w:div w:id="540945439">
          <w:marLeft w:val="640"/>
          <w:marRight w:val="0"/>
          <w:marTop w:val="0"/>
          <w:marBottom w:val="0"/>
          <w:divBdr>
            <w:top w:val="none" w:sz="0" w:space="0" w:color="auto"/>
            <w:left w:val="none" w:sz="0" w:space="0" w:color="auto"/>
            <w:bottom w:val="none" w:sz="0" w:space="0" w:color="auto"/>
            <w:right w:val="none" w:sz="0" w:space="0" w:color="auto"/>
          </w:divBdr>
        </w:div>
        <w:div w:id="983852220">
          <w:marLeft w:val="640"/>
          <w:marRight w:val="0"/>
          <w:marTop w:val="0"/>
          <w:marBottom w:val="0"/>
          <w:divBdr>
            <w:top w:val="none" w:sz="0" w:space="0" w:color="auto"/>
            <w:left w:val="none" w:sz="0" w:space="0" w:color="auto"/>
            <w:bottom w:val="none" w:sz="0" w:space="0" w:color="auto"/>
            <w:right w:val="none" w:sz="0" w:space="0" w:color="auto"/>
          </w:divBdr>
        </w:div>
        <w:div w:id="596793648">
          <w:marLeft w:val="640"/>
          <w:marRight w:val="0"/>
          <w:marTop w:val="0"/>
          <w:marBottom w:val="0"/>
          <w:divBdr>
            <w:top w:val="none" w:sz="0" w:space="0" w:color="auto"/>
            <w:left w:val="none" w:sz="0" w:space="0" w:color="auto"/>
            <w:bottom w:val="none" w:sz="0" w:space="0" w:color="auto"/>
            <w:right w:val="none" w:sz="0" w:space="0" w:color="auto"/>
          </w:divBdr>
        </w:div>
        <w:div w:id="515927128">
          <w:marLeft w:val="640"/>
          <w:marRight w:val="0"/>
          <w:marTop w:val="0"/>
          <w:marBottom w:val="0"/>
          <w:divBdr>
            <w:top w:val="none" w:sz="0" w:space="0" w:color="auto"/>
            <w:left w:val="none" w:sz="0" w:space="0" w:color="auto"/>
            <w:bottom w:val="none" w:sz="0" w:space="0" w:color="auto"/>
            <w:right w:val="none" w:sz="0" w:space="0" w:color="auto"/>
          </w:divBdr>
        </w:div>
        <w:div w:id="18943728">
          <w:marLeft w:val="640"/>
          <w:marRight w:val="0"/>
          <w:marTop w:val="0"/>
          <w:marBottom w:val="0"/>
          <w:divBdr>
            <w:top w:val="none" w:sz="0" w:space="0" w:color="auto"/>
            <w:left w:val="none" w:sz="0" w:space="0" w:color="auto"/>
            <w:bottom w:val="none" w:sz="0" w:space="0" w:color="auto"/>
            <w:right w:val="none" w:sz="0" w:space="0" w:color="auto"/>
          </w:divBdr>
        </w:div>
      </w:divsChild>
    </w:div>
    <w:div w:id="402604085">
      <w:bodyDiv w:val="1"/>
      <w:marLeft w:val="0"/>
      <w:marRight w:val="0"/>
      <w:marTop w:val="0"/>
      <w:marBottom w:val="0"/>
      <w:divBdr>
        <w:top w:val="none" w:sz="0" w:space="0" w:color="auto"/>
        <w:left w:val="none" w:sz="0" w:space="0" w:color="auto"/>
        <w:bottom w:val="none" w:sz="0" w:space="0" w:color="auto"/>
        <w:right w:val="none" w:sz="0" w:space="0" w:color="auto"/>
      </w:divBdr>
      <w:divsChild>
        <w:div w:id="972758521">
          <w:marLeft w:val="640"/>
          <w:marRight w:val="0"/>
          <w:marTop w:val="0"/>
          <w:marBottom w:val="0"/>
          <w:divBdr>
            <w:top w:val="none" w:sz="0" w:space="0" w:color="auto"/>
            <w:left w:val="none" w:sz="0" w:space="0" w:color="auto"/>
            <w:bottom w:val="none" w:sz="0" w:space="0" w:color="auto"/>
            <w:right w:val="none" w:sz="0" w:space="0" w:color="auto"/>
          </w:divBdr>
        </w:div>
        <w:div w:id="1497069142">
          <w:marLeft w:val="640"/>
          <w:marRight w:val="0"/>
          <w:marTop w:val="0"/>
          <w:marBottom w:val="0"/>
          <w:divBdr>
            <w:top w:val="none" w:sz="0" w:space="0" w:color="auto"/>
            <w:left w:val="none" w:sz="0" w:space="0" w:color="auto"/>
            <w:bottom w:val="none" w:sz="0" w:space="0" w:color="auto"/>
            <w:right w:val="none" w:sz="0" w:space="0" w:color="auto"/>
          </w:divBdr>
        </w:div>
        <w:div w:id="2114788335">
          <w:marLeft w:val="640"/>
          <w:marRight w:val="0"/>
          <w:marTop w:val="0"/>
          <w:marBottom w:val="0"/>
          <w:divBdr>
            <w:top w:val="none" w:sz="0" w:space="0" w:color="auto"/>
            <w:left w:val="none" w:sz="0" w:space="0" w:color="auto"/>
            <w:bottom w:val="none" w:sz="0" w:space="0" w:color="auto"/>
            <w:right w:val="none" w:sz="0" w:space="0" w:color="auto"/>
          </w:divBdr>
        </w:div>
        <w:div w:id="868758150">
          <w:marLeft w:val="640"/>
          <w:marRight w:val="0"/>
          <w:marTop w:val="0"/>
          <w:marBottom w:val="0"/>
          <w:divBdr>
            <w:top w:val="none" w:sz="0" w:space="0" w:color="auto"/>
            <w:left w:val="none" w:sz="0" w:space="0" w:color="auto"/>
            <w:bottom w:val="none" w:sz="0" w:space="0" w:color="auto"/>
            <w:right w:val="none" w:sz="0" w:space="0" w:color="auto"/>
          </w:divBdr>
        </w:div>
        <w:div w:id="1150712638">
          <w:marLeft w:val="640"/>
          <w:marRight w:val="0"/>
          <w:marTop w:val="0"/>
          <w:marBottom w:val="0"/>
          <w:divBdr>
            <w:top w:val="none" w:sz="0" w:space="0" w:color="auto"/>
            <w:left w:val="none" w:sz="0" w:space="0" w:color="auto"/>
            <w:bottom w:val="none" w:sz="0" w:space="0" w:color="auto"/>
            <w:right w:val="none" w:sz="0" w:space="0" w:color="auto"/>
          </w:divBdr>
        </w:div>
        <w:div w:id="627976754">
          <w:marLeft w:val="640"/>
          <w:marRight w:val="0"/>
          <w:marTop w:val="0"/>
          <w:marBottom w:val="0"/>
          <w:divBdr>
            <w:top w:val="none" w:sz="0" w:space="0" w:color="auto"/>
            <w:left w:val="none" w:sz="0" w:space="0" w:color="auto"/>
            <w:bottom w:val="none" w:sz="0" w:space="0" w:color="auto"/>
            <w:right w:val="none" w:sz="0" w:space="0" w:color="auto"/>
          </w:divBdr>
        </w:div>
        <w:div w:id="1147668846">
          <w:marLeft w:val="640"/>
          <w:marRight w:val="0"/>
          <w:marTop w:val="0"/>
          <w:marBottom w:val="0"/>
          <w:divBdr>
            <w:top w:val="none" w:sz="0" w:space="0" w:color="auto"/>
            <w:left w:val="none" w:sz="0" w:space="0" w:color="auto"/>
            <w:bottom w:val="none" w:sz="0" w:space="0" w:color="auto"/>
            <w:right w:val="none" w:sz="0" w:space="0" w:color="auto"/>
          </w:divBdr>
        </w:div>
        <w:div w:id="1014654536">
          <w:marLeft w:val="640"/>
          <w:marRight w:val="0"/>
          <w:marTop w:val="0"/>
          <w:marBottom w:val="0"/>
          <w:divBdr>
            <w:top w:val="none" w:sz="0" w:space="0" w:color="auto"/>
            <w:left w:val="none" w:sz="0" w:space="0" w:color="auto"/>
            <w:bottom w:val="none" w:sz="0" w:space="0" w:color="auto"/>
            <w:right w:val="none" w:sz="0" w:space="0" w:color="auto"/>
          </w:divBdr>
        </w:div>
        <w:div w:id="1918396479">
          <w:marLeft w:val="640"/>
          <w:marRight w:val="0"/>
          <w:marTop w:val="0"/>
          <w:marBottom w:val="0"/>
          <w:divBdr>
            <w:top w:val="none" w:sz="0" w:space="0" w:color="auto"/>
            <w:left w:val="none" w:sz="0" w:space="0" w:color="auto"/>
            <w:bottom w:val="none" w:sz="0" w:space="0" w:color="auto"/>
            <w:right w:val="none" w:sz="0" w:space="0" w:color="auto"/>
          </w:divBdr>
        </w:div>
        <w:div w:id="1651516521">
          <w:marLeft w:val="640"/>
          <w:marRight w:val="0"/>
          <w:marTop w:val="0"/>
          <w:marBottom w:val="0"/>
          <w:divBdr>
            <w:top w:val="none" w:sz="0" w:space="0" w:color="auto"/>
            <w:left w:val="none" w:sz="0" w:space="0" w:color="auto"/>
            <w:bottom w:val="none" w:sz="0" w:space="0" w:color="auto"/>
            <w:right w:val="none" w:sz="0" w:space="0" w:color="auto"/>
          </w:divBdr>
        </w:div>
        <w:div w:id="1945308950">
          <w:marLeft w:val="640"/>
          <w:marRight w:val="0"/>
          <w:marTop w:val="0"/>
          <w:marBottom w:val="0"/>
          <w:divBdr>
            <w:top w:val="none" w:sz="0" w:space="0" w:color="auto"/>
            <w:left w:val="none" w:sz="0" w:space="0" w:color="auto"/>
            <w:bottom w:val="none" w:sz="0" w:space="0" w:color="auto"/>
            <w:right w:val="none" w:sz="0" w:space="0" w:color="auto"/>
          </w:divBdr>
        </w:div>
        <w:div w:id="1287859288">
          <w:marLeft w:val="640"/>
          <w:marRight w:val="0"/>
          <w:marTop w:val="0"/>
          <w:marBottom w:val="0"/>
          <w:divBdr>
            <w:top w:val="none" w:sz="0" w:space="0" w:color="auto"/>
            <w:left w:val="none" w:sz="0" w:space="0" w:color="auto"/>
            <w:bottom w:val="none" w:sz="0" w:space="0" w:color="auto"/>
            <w:right w:val="none" w:sz="0" w:space="0" w:color="auto"/>
          </w:divBdr>
        </w:div>
        <w:div w:id="1048065124">
          <w:marLeft w:val="640"/>
          <w:marRight w:val="0"/>
          <w:marTop w:val="0"/>
          <w:marBottom w:val="0"/>
          <w:divBdr>
            <w:top w:val="none" w:sz="0" w:space="0" w:color="auto"/>
            <w:left w:val="none" w:sz="0" w:space="0" w:color="auto"/>
            <w:bottom w:val="none" w:sz="0" w:space="0" w:color="auto"/>
            <w:right w:val="none" w:sz="0" w:space="0" w:color="auto"/>
          </w:divBdr>
        </w:div>
        <w:div w:id="2068794741">
          <w:marLeft w:val="640"/>
          <w:marRight w:val="0"/>
          <w:marTop w:val="0"/>
          <w:marBottom w:val="0"/>
          <w:divBdr>
            <w:top w:val="none" w:sz="0" w:space="0" w:color="auto"/>
            <w:left w:val="none" w:sz="0" w:space="0" w:color="auto"/>
            <w:bottom w:val="none" w:sz="0" w:space="0" w:color="auto"/>
            <w:right w:val="none" w:sz="0" w:space="0" w:color="auto"/>
          </w:divBdr>
        </w:div>
        <w:div w:id="266278776">
          <w:marLeft w:val="640"/>
          <w:marRight w:val="0"/>
          <w:marTop w:val="0"/>
          <w:marBottom w:val="0"/>
          <w:divBdr>
            <w:top w:val="none" w:sz="0" w:space="0" w:color="auto"/>
            <w:left w:val="none" w:sz="0" w:space="0" w:color="auto"/>
            <w:bottom w:val="none" w:sz="0" w:space="0" w:color="auto"/>
            <w:right w:val="none" w:sz="0" w:space="0" w:color="auto"/>
          </w:divBdr>
        </w:div>
        <w:div w:id="1939828583">
          <w:marLeft w:val="640"/>
          <w:marRight w:val="0"/>
          <w:marTop w:val="0"/>
          <w:marBottom w:val="0"/>
          <w:divBdr>
            <w:top w:val="none" w:sz="0" w:space="0" w:color="auto"/>
            <w:left w:val="none" w:sz="0" w:space="0" w:color="auto"/>
            <w:bottom w:val="none" w:sz="0" w:space="0" w:color="auto"/>
            <w:right w:val="none" w:sz="0" w:space="0" w:color="auto"/>
          </w:divBdr>
        </w:div>
        <w:div w:id="1515459756">
          <w:marLeft w:val="640"/>
          <w:marRight w:val="0"/>
          <w:marTop w:val="0"/>
          <w:marBottom w:val="0"/>
          <w:divBdr>
            <w:top w:val="none" w:sz="0" w:space="0" w:color="auto"/>
            <w:left w:val="none" w:sz="0" w:space="0" w:color="auto"/>
            <w:bottom w:val="none" w:sz="0" w:space="0" w:color="auto"/>
            <w:right w:val="none" w:sz="0" w:space="0" w:color="auto"/>
          </w:divBdr>
        </w:div>
        <w:div w:id="696732725">
          <w:marLeft w:val="640"/>
          <w:marRight w:val="0"/>
          <w:marTop w:val="0"/>
          <w:marBottom w:val="0"/>
          <w:divBdr>
            <w:top w:val="none" w:sz="0" w:space="0" w:color="auto"/>
            <w:left w:val="none" w:sz="0" w:space="0" w:color="auto"/>
            <w:bottom w:val="none" w:sz="0" w:space="0" w:color="auto"/>
            <w:right w:val="none" w:sz="0" w:space="0" w:color="auto"/>
          </w:divBdr>
        </w:div>
        <w:div w:id="676620934">
          <w:marLeft w:val="640"/>
          <w:marRight w:val="0"/>
          <w:marTop w:val="0"/>
          <w:marBottom w:val="0"/>
          <w:divBdr>
            <w:top w:val="none" w:sz="0" w:space="0" w:color="auto"/>
            <w:left w:val="none" w:sz="0" w:space="0" w:color="auto"/>
            <w:bottom w:val="none" w:sz="0" w:space="0" w:color="auto"/>
            <w:right w:val="none" w:sz="0" w:space="0" w:color="auto"/>
          </w:divBdr>
        </w:div>
        <w:div w:id="788817807">
          <w:marLeft w:val="640"/>
          <w:marRight w:val="0"/>
          <w:marTop w:val="0"/>
          <w:marBottom w:val="0"/>
          <w:divBdr>
            <w:top w:val="none" w:sz="0" w:space="0" w:color="auto"/>
            <w:left w:val="none" w:sz="0" w:space="0" w:color="auto"/>
            <w:bottom w:val="none" w:sz="0" w:space="0" w:color="auto"/>
            <w:right w:val="none" w:sz="0" w:space="0" w:color="auto"/>
          </w:divBdr>
        </w:div>
        <w:div w:id="31923815">
          <w:marLeft w:val="640"/>
          <w:marRight w:val="0"/>
          <w:marTop w:val="0"/>
          <w:marBottom w:val="0"/>
          <w:divBdr>
            <w:top w:val="none" w:sz="0" w:space="0" w:color="auto"/>
            <w:left w:val="none" w:sz="0" w:space="0" w:color="auto"/>
            <w:bottom w:val="none" w:sz="0" w:space="0" w:color="auto"/>
            <w:right w:val="none" w:sz="0" w:space="0" w:color="auto"/>
          </w:divBdr>
        </w:div>
        <w:div w:id="1752460659">
          <w:marLeft w:val="640"/>
          <w:marRight w:val="0"/>
          <w:marTop w:val="0"/>
          <w:marBottom w:val="0"/>
          <w:divBdr>
            <w:top w:val="none" w:sz="0" w:space="0" w:color="auto"/>
            <w:left w:val="none" w:sz="0" w:space="0" w:color="auto"/>
            <w:bottom w:val="none" w:sz="0" w:space="0" w:color="auto"/>
            <w:right w:val="none" w:sz="0" w:space="0" w:color="auto"/>
          </w:divBdr>
        </w:div>
        <w:div w:id="217018609">
          <w:marLeft w:val="640"/>
          <w:marRight w:val="0"/>
          <w:marTop w:val="0"/>
          <w:marBottom w:val="0"/>
          <w:divBdr>
            <w:top w:val="none" w:sz="0" w:space="0" w:color="auto"/>
            <w:left w:val="none" w:sz="0" w:space="0" w:color="auto"/>
            <w:bottom w:val="none" w:sz="0" w:space="0" w:color="auto"/>
            <w:right w:val="none" w:sz="0" w:space="0" w:color="auto"/>
          </w:divBdr>
        </w:div>
        <w:div w:id="1995866053">
          <w:marLeft w:val="640"/>
          <w:marRight w:val="0"/>
          <w:marTop w:val="0"/>
          <w:marBottom w:val="0"/>
          <w:divBdr>
            <w:top w:val="none" w:sz="0" w:space="0" w:color="auto"/>
            <w:left w:val="none" w:sz="0" w:space="0" w:color="auto"/>
            <w:bottom w:val="none" w:sz="0" w:space="0" w:color="auto"/>
            <w:right w:val="none" w:sz="0" w:space="0" w:color="auto"/>
          </w:divBdr>
        </w:div>
        <w:div w:id="1211112360">
          <w:marLeft w:val="640"/>
          <w:marRight w:val="0"/>
          <w:marTop w:val="0"/>
          <w:marBottom w:val="0"/>
          <w:divBdr>
            <w:top w:val="none" w:sz="0" w:space="0" w:color="auto"/>
            <w:left w:val="none" w:sz="0" w:space="0" w:color="auto"/>
            <w:bottom w:val="none" w:sz="0" w:space="0" w:color="auto"/>
            <w:right w:val="none" w:sz="0" w:space="0" w:color="auto"/>
          </w:divBdr>
        </w:div>
        <w:div w:id="346365803">
          <w:marLeft w:val="640"/>
          <w:marRight w:val="0"/>
          <w:marTop w:val="0"/>
          <w:marBottom w:val="0"/>
          <w:divBdr>
            <w:top w:val="none" w:sz="0" w:space="0" w:color="auto"/>
            <w:left w:val="none" w:sz="0" w:space="0" w:color="auto"/>
            <w:bottom w:val="none" w:sz="0" w:space="0" w:color="auto"/>
            <w:right w:val="none" w:sz="0" w:space="0" w:color="auto"/>
          </w:divBdr>
        </w:div>
        <w:div w:id="1707290908">
          <w:marLeft w:val="640"/>
          <w:marRight w:val="0"/>
          <w:marTop w:val="0"/>
          <w:marBottom w:val="0"/>
          <w:divBdr>
            <w:top w:val="none" w:sz="0" w:space="0" w:color="auto"/>
            <w:left w:val="none" w:sz="0" w:space="0" w:color="auto"/>
            <w:bottom w:val="none" w:sz="0" w:space="0" w:color="auto"/>
            <w:right w:val="none" w:sz="0" w:space="0" w:color="auto"/>
          </w:divBdr>
        </w:div>
        <w:div w:id="194776584">
          <w:marLeft w:val="640"/>
          <w:marRight w:val="0"/>
          <w:marTop w:val="0"/>
          <w:marBottom w:val="0"/>
          <w:divBdr>
            <w:top w:val="none" w:sz="0" w:space="0" w:color="auto"/>
            <w:left w:val="none" w:sz="0" w:space="0" w:color="auto"/>
            <w:bottom w:val="none" w:sz="0" w:space="0" w:color="auto"/>
            <w:right w:val="none" w:sz="0" w:space="0" w:color="auto"/>
          </w:divBdr>
        </w:div>
        <w:div w:id="1559591621">
          <w:marLeft w:val="640"/>
          <w:marRight w:val="0"/>
          <w:marTop w:val="0"/>
          <w:marBottom w:val="0"/>
          <w:divBdr>
            <w:top w:val="none" w:sz="0" w:space="0" w:color="auto"/>
            <w:left w:val="none" w:sz="0" w:space="0" w:color="auto"/>
            <w:bottom w:val="none" w:sz="0" w:space="0" w:color="auto"/>
            <w:right w:val="none" w:sz="0" w:space="0" w:color="auto"/>
          </w:divBdr>
        </w:div>
        <w:div w:id="251621122">
          <w:marLeft w:val="640"/>
          <w:marRight w:val="0"/>
          <w:marTop w:val="0"/>
          <w:marBottom w:val="0"/>
          <w:divBdr>
            <w:top w:val="none" w:sz="0" w:space="0" w:color="auto"/>
            <w:left w:val="none" w:sz="0" w:space="0" w:color="auto"/>
            <w:bottom w:val="none" w:sz="0" w:space="0" w:color="auto"/>
            <w:right w:val="none" w:sz="0" w:space="0" w:color="auto"/>
          </w:divBdr>
        </w:div>
        <w:div w:id="1342076670">
          <w:marLeft w:val="640"/>
          <w:marRight w:val="0"/>
          <w:marTop w:val="0"/>
          <w:marBottom w:val="0"/>
          <w:divBdr>
            <w:top w:val="none" w:sz="0" w:space="0" w:color="auto"/>
            <w:left w:val="none" w:sz="0" w:space="0" w:color="auto"/>
            <w:bottom w:val="none" w:sz="0" w:space="0" w:color="auto"/>
            <w:right w:val="none" w:sz="0" w:space="0" w:color="auto"/>
          </w:divBdr>
        </w:div>
        <w:div w:id="637803490">
          <w:marLeft w:val="640"/>
          <w:marRight w:val="0"/>
          <w:marTop w:val="0"/>
          <w:marBottom w:val="0"/>
          <w:divBdr>
            <w:top w:val="none" w:sz="0" w:space="0" w:color="auto"/>
            <w:left w:val="none" w:sz="0" w:space="0" w:color="auto"/>
            <w:bottom w:val="none" w:sz="0" w:space="0" w:color="auto"/>
            <w:right w:val="none" w:sz="0" w:space="0" w:color="auto"/>
          </w:divBdr>
        </w:div>
        <w:div w:id="992370335">
          <w:marLeft w:val="640"/>
          <w:marRight w:val="0"/>
          <w:marTop w:val="0"/>
          <w:marBottom w:val="0"/>
          <w:divBdr>
            <w:top w:val="none" w:sz="0" w:space="0" w:color="auto"/>
            <w:left w:val="none" w:sz="0" w:space="0" w:color="auto"/>
            <w:bottom w:val="none" w:sz="0" w:space="0" w:color="auto"/>
            <w:right w:val="none" w:sz="0" w:space="0" w:color="auto"/>
          </w:divBdr>
        </w:div>
        <w:div w:id="357003877">
          <w:marLeft w:val="640"/>
          <w:marRight w:val="0"/>
          <w:marTop w:val="0"/>
          <w:marBottom w:val="0"/>
          <w:divBdr>
            <w:top w:val="none" w:sz="0" w:space="0" w:color="auto"/>
            <w:left w:val="none" w:sz="0" w:space="0" w:color="auto"/>
            <w:bottom w:val="none" w:sz="0" w:space="0" w:color="auto"/>
            <w:right w:val="none" w:sz="0" w:space="0" w:color="auto"/>
          </w:divBdr>
        </w:div>
        <w:div w:id="833951652">
          <w:marLeft w:val="640"/>
          <w:marRight w:val="0"/>
          <w:marTop w:val="0"/>
          <w:marBottom w:val="0"/>
          <w:divBdr>
            <w:top w:val="none" w:sz="0" w:space="0" w:color="auto"/>
            <w:left w:val="none" w:sz="0" w:space="0" w:color="auto"/>
            <w:bottom w:val="none" w:sz="0" w:space="0" w:color="auto"/>
            <w:right w:val="none" w:sz="0" w:space="0" w:color="auto"/>
          </w:divBdr>
        </w:div>
        <w:div w:id="1994873568">
          <w:marLeft w:val="640"/>
          <w:marRight w:val="0"/>
          <w:marTop w:val="0"/>
          <w:marBottom w:val="0"/>
          <w:divBdr>
            <w:top w:val="none" w:sz="0" w:space="0" w:color="auto"/>
            <w:left w:val="none" w:sz="0" w:space="0" w:color="auto"/>
            <w:bottom w:val="none" w:sz="0" w:space="0" w:color="auto"/>
            <w:right w:val="none" w:sz="0" w:space="0" w:color="auto"/>
          </w:divBdr>
        </w:div>
        <w:div w:id="1651247592">
          <w:marLeft w:val="640"/>
          <w:marRight w:val="0"/>
          <w:marTop w:val="0"/>
          <w:marBottom w:val="0"/>
          <w:divBdr>
            <w:top w:val="none" w:sz="0" w:space="0" w:color="auto"/>
            <w:left w:val="none" w:sz="0" w:space="0" w:color="auto"/>
            <w:bottom w:val="none" w:sz="0" w:space="0" w:color="auto"/>
            <w:right w:val="none" w:sz="0" w:space="0" w:color="auto"/>
          </w:divBdr>
        </w:div>
        <w:div w:id="594752233">
          <w:marLeft w:val="640"/>
          <w:marRight w:val="0"/>
          <w:marTop w:val="0"/>
          <w:marBottom w:val="0"/>
          <w:divBdr>
            <w:top w:val="none" w:sz="0" w:space="0" w:color="auto"/>
            <w:left w:val="none" w:sz="0" w:space="0" w:color="auto"/>
            <w:bottom w:val="none" w:sz="0" w:space="0" w:color="auto"/>
            <w:right w:val="none" w:sz="0" w:space="0" w:color="auto"/>
          </w:divBdr>
        </w:div>
        <w:div w:id="490948864">
          <w:marLeft w:val="640"/>
          <w:marRight w:val="0"/>
          <w:marTop w:val="0"/>
          <w:marBottom w:val="0"/>
          <w:divBdr>
            <w:top w:val="none" w:sz="0" w:space="0" w:color="auto"/>
            <w:left w:val="none" w:sz="0" w:space="0" w:color="auto"/>
            <w:bottom w:val="none" w:sz="0" w:space="0" w:color="auto"/>
            <w:right w:val="none" w:sz="0" w:space="0" w:color="auto"/>
          </w:divBdr>
        </w:div>
        <w:div w:id="304508709">
          <w:marLeft w:val="640"/>
          <w:marRight w:val="0"/>
          <w:marTop w:val="0"/>
          <w:marBottom w:val="0"/>
          <w:divBdr>
            <w:top w:val="none" w:sz="0" w:space="0" w:color="auto"/>
            <w:left w:val="none" w:sz="0" w:space="0" w:color="auto"/>
            <w:bottom w:val="none" w:sz="0" w:space="0" w:color="auto"/>
            <w:right w:val="none" w:sz="0" w:space="0" w:color="auto"/>
          </w:divBdr>
        </w:div>
        <w:div w:id="107969372">
          <w:marLeft w:val="640"/>
          <w:marRight w:val="0"/>
          <w:marTop w:val="0"/>
          <w:marBottom w:val="0"/>
          <w:divBdr>
            <w:top w:val="none" w:sz="0" w:space="0" w:color="auto"/>
            <w:left w:val="none" w:sz="0" w:space="0" w:color="auto"/>
            <w:bottom w:val="none" w:sz="0" w:space="0" w:color="auto"/>
            <w:right w:val="none" w:sz="0" w:space="0" w:color="auto"/>
          </w:divBdr>
        </w:div>
        <w:div w:id="597980042">
          <w:marLeft w:val="640"/>
          <w:marRight w:val="0"/>
          <w:marTop w:val="0"/>
          <w:marBottom w:val="0"/>
          <w:divBdr>
            <w:top w:val="none" w:sz="0" w:space="0" w:color="auto"/>
            <w:left w:val="none" w:sz="0" w:space="0" w:color="auto"/>
            <w:bottom w:val="none" w:sz="0" w:space="0" w:color="auto"/>
            <w:right w:val="none" w:sz="0" w:space="0" w:color="auto"/>
          </w:divBdr>
        </w:div>
        <w:div w:id="250548534">
          <w:marLeft w:val="640"/>
          <w:marRight w:val="0"/>
          <w:marTop w:val="0"/>
          <w:marBottom w:val="0"/>
          <w:divBdr>
            <w:top w:val="none" w:sz="0" w:space="0" w:color="auto"/>
            <w:left w:val="none" w:sz="0" w:space="0" w:color="auto"/>
            <w:bottom w:val="none" w:sz="0" w:space="0" w:color="auto"/>
            <w:right w:val="none" w:sz="0" w:space="0" w:color="auto"/>
          </w:divBdr>
        </w:div>
        <w:div w:id="1519389435">
          <w:marLeft w:val="640"/>
          <w:marRight w:val="0"/>
          <w:marTop w:val="0"/>
          <w:marBottom w:val="0"/>
          <w:divBdr>
            <w:top w:val="none" w:sz="0" w:space="0" w:color="auto"/>
            <w:left w:val="none" w:sz="0" w:space="0" w:color="auto"/>
            <w:bottom w:val="none" w:sz="0" w:space="0" w:color="auto"/>
            <w:right w:val="none" w:sz="0" w:space="0" w:color="auto"/>
          </w:divBdr>
        </w:div>
        <w:div w:id="1347370345">
          <w:marLeft w:val="640"/>
          <w:marRight w:val="0"/>
          <w:marTop w:val="0"/>
          <w:marBottom w:val="0"/>
          <w:divBdr>
            <w:top w:val="none" w:sz="0" w:space="0" w:color="auto"/>
            <w:left w:val="none" w:sz="0" w:space="0" w:color="auto"/>
            <w:bottom w:val="none" w:sz="0" w:space="0" w:color="auto"/>
            <w:right w:val="none" w:sz="0" w:space="0" w:color="auto"/>
          </w:divBdr>
        </w:div>
        <w:div w:id="1866167659">
          <w:marLeft w:val="640"/>
          <w:marRight w:val="0"/>
          <w:marTop w:val="0"/>
          <w:marBottom w:val="0"/>
          <w:divBdr>
            <w:top w:val="none" w:sz="0" w:space="0" w:color="auto"/>
            <w:left w:val="none" w:sz="0" w:space="0" w:color="auto"/>
            <w:bottom w:val="none" w:sz="0" w:space="0" w:color="auto"/>
            <w:right w:val="none" w:sz="0" w:space="0" w:color="auto"/>
          </w:divBdr>
        </w:div>
        <w:div w:id="670254331">
          <w:marLeft w:val="640"/>
          <w:marRight w:val="0"/>
          <w:marTop w:val="0"/>
          <w:marBottom w:val="0"/>
          <w:divBdr>
            <w:top w:val="none" w:sz="0" w:space="0" w:color="auto"/>
            <w:left w:val="none" w:sz="0" w:space="0" w:color="auto"/>
            <w:bottom w:val="none" w:sz="0" w:space="0" w:color="auto"/>
            <w:right w:val="none" w:sz="0" w:space="0" w:color="auto"/>
          </w:divBdr>
        </w:div>
        <w:div w:id="2000886543">
          <w:marLeft w:val="640"/>
          <w:marRight w:val="0"/>
          <w:marTop w:val="0"/>
          <w:marBottom w:val="0"/>
          <w:divBdr>
            <w:top w:val="none" w:sz="0" w:space="0" w:color="auto"/>
            <w:left w:val="none" w:sz="0" w:space="0" w:color="auto"/>
            <w:bottom w:val="none" w:sz="0" w:space="0" w:color="auto"/>
            <w:right w:val="none" w:sz="0" w:space="0" w:color="auto"/>
          </w:divBdr>
        </w:div>
        <w:div w:id="608466874">
          <w:marLeft w:val="640"/>
          <w:marRight w:val="0"/>
          <w:marTop w:val="0"/>
          <w:marBottom w:val="0"/>
          <w:divBdr>
            <w:top w:val="none" w:sz="0" w:space="0" w:color="auto"/>
            <w:left w:val="none" w:sz="0" w:space="0" w:color="auto"/>
            <w:bottom w:val="none" w:sz="0" w:space="0" w:color="auto"/>
            <w:right w:val="none" w:sz="0" w:space="0" w:color="auto"/>
          </w:divBdr>
        </w:div>
        <w:div w:id="1136413494">
          <w:marLeft w:val="640"/>
          <w:marRight w:val="0"/>
          <w:marTop w:val="0"/>
          <w:marBottom w:val="0"/>
          <w:divBdr>
            <w:top w:val="none" w:sz="0" w:space="0" w:color="auto"/>
            <w:left w:val="none" w:sz="0" w:space="0" w:color="auto"/>
            <w:bottom w:val="none" w:sz="0" w:space="0" w:color="auto"/>
            <w:right w:val="none" w:sz="0" w:space="0" w:color="auto"/>
          </w:divBdr>
        </w:div>
        <w:div w:id="2115244083">
          <w:marLeft w:val="640"/>
          <w:marRight w:val="0"/>
          <w:marTop w:val="0"/>
          <w:marBottom w:val="0"/>
          <w:divBdr>
            <w:top w:val="none" w:sz="0" w:space="0" w:color="auto"/>
            <w:left w:val="none" w:sz="0" w:space="0" w:color="auto"/>
            <w:bottom w:val="none" w:sz="0" w:space="0" w:color="auto"/>
            <w:right w:val="none" w:sz="0" w:space="0" w:color="auto"/>
          </w:divBdr>
        </w:div>
        <w:div w:id="162551824">
          <w:marLeft w:val="640"/>
          <w:marRight w:val="0"/>
          <w:marTop w:val="0"/>
          <w:marBottom w:val="0"/>
          <w:divBdr>
            <w:top w:val="none" w:sz="0" w:space="0" w:color="auto"/>
            <w:left w:val="none" w:sz="0" w:space="0" w:color="auto"/>
            <w:bottom w:val="none" w:sz="0" w:space="0" w:color="auto"/>
            <w:right w:val="none" w:sz="0" w:space="0" w:color="auto"/>
          </w:divBdr>
        </w:div>
        <w:div w:id="1918711515">
          <w:marLeft w:val="640"/>
          <w:marRight w:val="0"/>
          <w:marTop w:val="0"/>
          <w:marBottom w:val="0"/>
          <w:divBdr>
            <w:top w:val="none" w:sz="0" w:space="0" w:color="auto"/>
            <w:left w:val="none" w:sz="0" w:space="0" w:color="auto"/>
            <w:bottom w:val="none" w:sz="0" w:space="0" w:color="auto"/>
            <w:right w:val="none" w:sz="0" w:space="0" w:color="auto"/>
          </w:divBdr>
        </w:div>
        <w:div w:id="145051981">
          <w:marLeft w:val="640"/>
          <w:marRight w:val="0"/>
          <w:marTop w:val="0"/>
          <w:marBottom w:val="0"/>
          <w:divBdr>
            <w:top w:val="none" w:sz="0" w:space="0" w:color="auto"/>
            <w:left w:val="none" w:sz="0" w:space="0" w:color="auto"/>
            <w:bottom w:val="none" w:sz="0" w:space="0" w:color="auto"/>
            <w:right w:val="none" w:sz="0" w:space="0" w:color="auto"/>
          </w:divBdr>
        </w:div>
        <w:div w:id="221798123">
          <w:marLeft w:val="640"/>
          <w:marRight w:val="0"/>
          <w:marTop w:val="0"/>
          <w:marBottom w:val="0"/>
          <w:divBdr>
            <w:top w:val="none" w:sz="0" w:space="0" w:color="auto"/>
            <w:left w:val="none" w:sz="0" w:space="0" w:color="auto"/>
            <w:bottom w:val="none" w:sz="0" w:space="0" w:color="auto"/>
            <w:right w:val="none" w:sz="0" w:space="0" w:color="auto"/>
          </w:divBdr>
        </w:div>
        <w:div w:id="261492594">
          <w:marLeft w:val="640"/>
          <w:marRight w:val="0"/>
          <w:marTop w:val="0"/>
          <w:marBottom w:val="0"/>
          <w:divBdr>
            <w:top w:val="none" w:sz="0" w:space="0" w:color="auto"/>
            <w:left w:val="none" w:sz="0" w:space="0" w:color="auto"/>
            <w:bottom w:val="none" w:sz="0" w:space="0" w:color="auto"/>
            <w:right w:val="none" w:sz="0" w:space="0" w:color="auto"/>
          </w:divBdr>
        </w:div>
        <w:div w:id="369840776">
          <w:marLeft w:val="640"/>
          <w:marRight w:val="0"/>
          <w:marTop w:val="0"/>
          <w:marBottom w:val="0"/>
          <w:divBdr>
            <w:top w:val="none" w:sz="0" w:space="0" w:color="auto"/>
            <w:left w:val="none" w:sz="0" w:space="0" w:color="auto"/>
            <w:bottom w:val="none" w:sz="0" w:space="0" w:color="auto"/>
            <w:right w:val="none" w:sz="0" w:space="0" w:color="auto"/>
          </w:divBdr>
        </w:div>
        <w:div w:id="1507747962">
          <w:marLeft w:val="640"/>
          <w:marRight w:val="0"/>
          <w:marTop w:val="0"/>
          <w:marBottom w:val="0"/>
          <w:divBdr>
            <w:top w:val="none" w:sz="0" w:space="0" w:color="auto"/>
            <w:left w:val="none" w:sz="0" w:space="0" w:color="auto"/>
            <w:bottom w:val="none" w:sz="0" w:space="0" w:color="auto"/>
            <w:right w:val="none" w:sz="0" w:space="0" w:color="auto"/>
          </w:divBdr>
        </w:div>
        <w:div w:id="1250576545">
          <w:marLeft w:val="640"/>
          <w:marRight w:val="0"/>
          <w:marTop w:val="0"/>
          <w:marBottom w:val="0"/>
          <w:divBdr>
            <w:top w:val="none" w:sz="0" w:space="0" w:color="auto"/>
            <w:left w:val="none" w:sz="0" w:space="0" w:color="auto"/>
            <w:bottom w:val="none" w:sz="0" w:space="0" w:color="auto"/>
            <w:right w:val="none" w:sz="0" w:space="0" w:color="auto"/>
          </w:divBdr>
        </w:div>
        <w:div w:id="1876841593">
          <w:marLeft w:val="640"/>
          <w:marRight w:val="0"/>
          <w:marTop w:val="0"/>
          <w:marBottom w:val="0"/>
          <w:divBdr>
            <w:top w:val="none" w:sz="0" w:space="0" w:color="auto"/>
            <w:left w:val="none" w:sz="0" w:space="0" w:color="auto"/>
            <w:bottom w:val="none" w:sz="0" w:space="0" w:color="auto"/>
            <w:right w:val="none" w:sz="0" w:space="0" w:color="auto"/>
          </w:divBdr>
        </w:div>
        <w:div w:id="1317224378">
          <w:marLeft w:val="640"/>
          <w:marRight w:val="0"/>
          <w:marTop w:val="0"/>
          <w:marBottom w:val="0"/>
          <w:divBdr>
            <w:top w:val="none" w:sz="0" w:space="0" w:color="auto"/>
            <w:left w:val="none" w:sz="0" w:space="0" w:color="auto"/>
            <w:bottom w:val="none" w:sz="0" w:space="0" w:color="auto"/>
            <w:right w:val="none" w:sz="0" w:space="0" w:color="auto"/>
          </w:divBdr>
        </w:div>
        <w:div w:id="1453938468">
          <w:marLeft w:val="640"/>
          <w:marRight w:val="0"/>
          <w:marTop w:val="0"/>
          <w:marBottom w:val="0"/>
          <w:divBdr>
            <w:top w:val="none" w:sz="0" w:space="0" w:color="auto"/>
            <w:left w:val="none" w:sz="0" w:space="0" w:color="auto"/>
            <w:bottom w:val="none" w:sz="0" w:space="0" w:color="auto"/>
            <w:right w:val="none" w:sz="0" w:space="0" w:color="auto"/>
          </w:divBdr>
        </w:div>
        <w:div w:id="561716410">
          <w:marLeft w:val="640"/>
          <w:marRight w:val="0"/>
          <w:marTop w:val="0"/>
          <w:marBottom w:val="0"/>
          <w:divBdr>
            <w:top w:val="none" w:sz="0" w:space="0" w:color="auto"/>
            <w:left w:val="none" w:sz="0" w:space="0" w:color="auto"/>
            <w:bottom w:val="none" w:sz="0" w:space="0" w:color="auto"/>
            <w:right w:val="none" w:sz="0" w:space="0" w:color="auto"/>
          </w:divBdr>
        </w:div>
        <w:div w:id="425929624">
          <w:marLeft w:val="640"/>
          <w:marRight w:val="0"/>
          <w:marTop w:val="0"/>
          <w:marBottom w:val="0"/>
          <w:divBdr>
            <w:top w:val="none" w:sz="0" w:space="0" w:color="auto"/>
            <w:left w:val="none" w:sz="0" w:space="0" w:color="auto"/>
            <w:bottom w:val="none" w:sz="0" w:space="0" w:color="auto"/>
            <w:right w:val="none" w:sz="0" w:space="0" w:color="auto"/>
          </w:divBdr>
        </w:div>
        <w:div w:id="2068531150">
          <w:marLeft w:val="640"/>
          <w:marRight w:val="0"/>
          <w:marTop w:val="0"/>
          <w:marBottom w:val="0"/>
          <w:divBdr>
            <w:top w:val="none" w:sz="0" w:space="0" w:color="auto"/>
            <w:left w:val="none" w:sz="0" w:space="0" w:color="auto"/>
            <w:bottom w:val="none" w:sz="0" w:space="0" w:color="auto"/>
            <w:right w:val="none" w:sz="0" w:space="0" w:color="auto"/>
          </w:divBdr>
        </w:div>
        <w:div w:id="1466777137">
          <w:marLeft w:val="640"/>
          <w:marRight w:val="0"/>
          <w:marTop w:val="0"/>
          <w:marBottom w:val="0"/>
          <w:divBdr>
            <w:top w:val="none" w:sz="0" w:space="0" w:color="auto"/>
            <w:left w:val="none" w:sz="0" w:space="0" w:color="auto"/>
            <w:bottom w:val="none" w:sz="0" w:space="0" w:color="auto"/>
            <w:right w:val="none" w:sz="0" w:space="0" w:color="auto"/>
          </w:divBdr>
        </w:div>
        <w:div w:id="50661867">
          <w:marLeft w:val="640"/>
          <w:marRight w:val="0"/>
          <w:marTop w:val="0"/>
          <w:marBottom w:val="0"/>
          <w:divBdr>
            <w:top w:val="none" w:sz="0" w:space="0" w:color="auto"/>
            <w:left w:val="none" w:sz="0" w:space="0" w:color="auto"/>
            <w:bottom w:val="none" w:sz="0" w:space="0" w:color="auto"/>
            <w:right w:val="none" w:sz="0" w:space="0" w:color="auto"/>
          </w:divBdr>
        </w:div>
      </w:divsChild>
    </w:div>
    <w:div w:id="429087357">
      <w:bodyDiv w:val="1"/>
      <w:marLeft w:val="0"/>
      <w:marRight w:val="0"/>
      <w:marTop w:val="0"/>
      <w:marBottom w:val="0"/>
      <w:divBdr>
        <w:top w:val="none" w:sz="0" w:space="0" w:color="auto"/>
        <w:left w:val="none" w:sz="0" w:space="0" w:color="auto"/>
        <w:bottom w:val="none" w:sz="0" w:space="0" w:color="auto"/>
        <w:right w:val="none" w:sz="0" w:space="0" w:color="auto"/>
      </w:divBdr>
      <w:divsChild>
        <w:div w:id="382826767">
          <w:marLeft w:val="640"/>
          <w:marRight w:val="0"/>
          <w:marTop w:val="0"/>
          <w:marBottom w:val="0"/>
          <w:divBdr>
            <w:top w:val="none" w:sz="0" w:space="0" w:color="auto"/>
            <w:left w:val="none" w:sz="0" w:space="0" w:color="auto"/>
            <w:bottom w:val="none" w:sz="0" w:space="0" w:color="auto"/>
            <w:right w:val="none" w:sz="0" w:space="0" w:color="auto"/>
          </w:divBdr>
        </w:div>
        <w:div w:id="1666666668">
          <w:marLeft w:val="640"/>
          <w:marRight w:val="0"/>
          <w:marTop w:val="0"/>
          <w:marBottom w:val="0"/>
          <w:divBdr>
            <w:top w:val="none" w:sz="0" w:space="0" w:color="auto"/>
            <w:left w:val="none" w:sz="0" w:space="0" w:color="auto"/>
            <w:bottom w:val="none" w:sz="0" w:space="0" w:color="auto"/>
            <w:right w:val="none" w:sz="0" w:space="0" w:color="auto"/>
          </w:divBdr>
        </w:div>
        <w:div w:id="1838956081">
          <w:marLeft w:val="640"/>
          <w:marRight w:val="0"/>
          <w:marTop w:val="0"/>
          <w:marBottom w:val="0"/>
          <w:divBdr>
            <w:top w:val="none" w:sz="0" w:space="0" w:color="auto"/>
            <w:left w:val="none" w:sz="0" w:space="0" w:color="auto"/>
            <w:bottom w:val="none" w:sz="0" w:space="0" w:color="auto"/>
            <w:right w:val="none" w:sz="0" w:space="0" w:color="auto"/>
          </w:divBdr>
        </w:div>
        <w:div w:id="1704093976">
          <w:marLeft w:val="640"/>
          <w:marRight w:val="0"/>
          <w:marTop w:val="0"/>
          <w:marBottom w:val="0"/>
          <w:divBdr>
            <w:top w:val="none" w:sz="0" w:space="0" w:color="auto"/>
            <w:left w:val="none" w:sz="0" w:space="0" w:color="auto"/>
            <w:bottom w:val="none" w:sz="0" w:space="0" w:color="auto"/>
            <w:right w:val="none" w:sz="0" w:space="0" w:color="auto"/>
          </w:divBdr>
        </w:div>
        <w:div w:id="1602571374">
          <w:marLeft w:val="640"/>
          <w:marRight w:val="0"/>
          <w:marTop w:val="0"/>
          <w:marBottom w:val="0"/>
          <w:divBdr>
            <w:top w:val="none" w:sz="0" w:space="0" w:color="auto"/>
            <w:left w:val="none" w:sz="0" w:space="0" w:color="auto"/>
            <w:bottom w:val="none" w:sz="0" w:space="0" w:color="auto"/>
            <w:right w:val="none" w:sz="0" w:space="0" w:color="auto"/>
          </w:divBdr>
        </w:div>
        <w:div w:id="669678109">
          <w:marLeft w:val="640"/>
          <w:marRight w:val="0"/>
          <w:marTop w:val="0"/>
          <w:marBottom w:val="0"/>
          <w:divBdr>
            <w:top w:val="none" w:sz="0" w:space="0" w:color="auto"/>
            <w:left w:val="none" w:sz="0" w:space="0" w:color="auto"/>
            <w:bottom w:val="none" w:sz="0" w:space="0" w:color="auto"/>
            <w:right w:val="none" w:sz="0" w:space="0" w:color="auto"/>
          </w:divBdr>
        </w:div>
        <w:div w:id="1706977757">
          <w:marLeft w:val="640"/>
          <w:marRight w:val="0"/>
          <w:marTop w:val="0"/>
          <w:marBottom w:val="0"/>
          <w:divBdr>
            <w:top w:val="none" w:sz="0" w:space="0" w:color="auto"/>
            <w:left w:val="none" w:sz="0" w:space="0" w:color="auto"/>
            <w:bottom w:val="none" w:sz="0" w:space="0" w:color="auto"/>
            <w:right w:val="none" w:sz="0" w:space="0" w:color="auto"/>
          </w:divBdr>
        </w:div>
        <w:div w:id="1945921377">
          <w:marLeft w:val="640"/>
          <w:marRight w:val="0"/>
          <w:marTop w:val="0"/>
          <w:marBottom w:val="0"/>
          <w:divBdr>
            <w:top w:val="none" w:sz="0" w:space="0" w:color="auto"/>
            <w:left w:val="none" w:sz="0" w:space="0" w:color="auto"/>
            <w:bottom w:val="none" w:sz="0" w:space="0" w:color="auto"/>
            <w:right w:val="none" w:sz="0" w:space="0" w:color="auto"/>
          </w:divBdr>
        </w:div>
        <w:div w:id="457453660">
          <w:marLeft w:val="640"/>
          <w:marRight w:val="0"/>
          <w:marTop w:val="0"/>
          <w:marBottom w:val="0"/>
          <w:divBdr>
            <w:top w:val="none" w:sz="0" w:space="0" w:color="auto"/>
            <w:left w:val="none" w:sz="0" w:space="0" w:color="auto"/>
            <w:bottom w:val="none" w:sz="0" w:space="0" w:color="auto"/>
            <w:right w:val="none" w:sz="0" w:space="0" w:color="auto"/>
          </w:divBdr>
        </w:div>
        <w:div w:id="1088430521">
          <w:marLeft w:val="640"/>
          <w:marRight w:val="0"/>
          <w:marTop w:val="0"/>
          <w:marBottom w:val="0"/>
          <w:divBdr>
            <w:top w:val="none" w:sz="0" w:space="0" w:color="auto"/>
            <w:left w:val="none" w:sz="0" w:space="0" w:color="auto"/>
            <w:bottom w:val="none" w:sz="0" w:space="0" w:color="auto"/>
            <w:right w:val="none" w:sz="0" w:space="0" w:color="auto"/>
          </w:divBdr>
        </w:div>
        <w:div w:id="1384792376">
          <w:marLeft w:val="640"/>
          <w:marRight w:val="0"/>
          <w:marTop w:val="0"/>
          <w:marBottom w:val="0"/>
          <w:divBdr>
            <w:top w:val="none" w:sz="0" w:space="0" w:color="auto"/>
            <w:left w:val="none" w:sz="0" w:space="0" w:color="auto"/>
            <w:bottom w:val="none" w:sz="0" w:space="0" w:color="auto"/>
            <w:right w:val="none" w:sz="0" w:space="0" w:color="auto"/>
          </w:divBdr>
        </w:div>
        <w:div w:id="260988344">
          <w:marLeft w:val="640"/>
          <w:marRight w:val="0"/>
          <w:marTop w:val="0"/>
          <w:marBottom w:val="0"/>
          <w:divBdr>
            <w:top w:val="none" w:sz="0" w:space="0" w:color="auto"/>
            <w:left w:val="none" w:sz="0" w:space="0" w:color="auto"/>
            <w:bottom w:val="none" w:sz="0" w:space="0" w:color="auto"/>
            <w:right w:val="none" w:sz="0" w:space="0" w:color="auto"/>
          </w:divBdr>
        </w:div>
        <w:div w:id="230694556">
          <w:marLeft w:val="640"/>
          <w:marRight w:val="0"/>
          <w:marTop w:val="0"/>
          <w:marBottom w:val="0"/>
          <w:divBdr>
            <w:top w:val="none" w:sz="0" w:space="0" w:color="auto"/>
            <w:left w:val="none" w:sz="0" w:space="0" w:color="auto"/>
            <w:bottom w:val="none" w:sz="0" w:space="0" w:color="auto"/>
            <w:right w:val="none" w:sz="0" w:space="0" w:color="auto"/>
          </w:divBdr>
        </w:div>
        <w:div w:id="1219827970">
          <w:marLeft w:val="640"/>
          <w:marRight w:val="0"/>
          <w:marTop w:val="0"/>
          <w:marBottom w:val="0"/>
          <w:divBdr>
            <w:top w:val="none" w:sz="0" w:space="0" w:color="auto"/>
            <w:left w:val="none" w:sz="0" w:space="0" w:color="auto"/>
            <w:bottom w:val="none" w:sz="0" w:space="0" w:color="auto"/>
            <w:right w:val="none" w:sz="0" w:space="0" w:color="auto"/>
          </w:divBdr>
        </w:div>
        <w:div w:id="2060014997">
          <w:marLeft w:val="640"/>
          <w:marRight w:val="0"/>
          <w:marTop w:val="0"/>
          <w:marBottom w:val="0"/>
          <w:divBdr>
            <w:top w:val="none" w:sz="0" w:space="0" w:color="auto"/>
            <w:left w:val="none" w:sz="0" w:space="0" w:color="auto"/>
            <w:bottom w:val="none" w:sz="0" w:space="0" w:color="auto"/>
            <w:right w:val="none" w:sz="0" w:space="0" w:color="auto"/>
          </w:divBdr>
        </w:div>
        <w:div w:id="1224875731">
          <w:marLeft w:val="640"/>
          <w:marRight w:val="0"/>
          <w:marTop w:val="0"/>
          <w:marBottom w:val="0"/>
          <w:divBdr>
            <w:top w:val="none" w:sz="0" w:space="0" w:color="auto"/>
            <w:left w:val="none" w:sz="0" w:space="0" w:color="auto"/>
            <w:bottom w:val="none" w:sz="0" w:space="0" w:color="auto"/>
            <w:right w:val="none" w:sz="0" w:space="0" w:color="auto"/>
          </w:divBdr>
        </w:div>
        <w:div w:id="74061937">
          <w:marLeft w:val="640"/>
          <w:marRight w:val="0"/>
          <w:marTop w:val="0"/>
          <w:marBottom w:val="0"/>
          <w:divBdr>
            <w:top w:val="none" w:sz="0" w:space="0" w:color="auto"/>
            <w:left w:val="none" w:sz="0" w:space="0" w:color="auto"/>
            <w:bottom w:val="none" w:sz="0" w:space="0" w:color="auto"/>
            <w:right w:val="none" w:sz="0" w:space="0" w:color="auto"/>
          </w:divBdr>
        </w:div>
        <w:div w:id="733696191">
          <w:marLeft w:val="640"/>
          <w:marRight w:val="0"/>
          <w:marTop w:val="0"/>
          <w:marBottom w:val="0"/>
          <w:divBdr>
            <w:top w:val="none" w:sz="0" w:space="0" w:color="auto"/>
            <w:left w:val="none" w:sz="0" w:space="0" w:color="auto"/>
            <w:bottom w:val="none" w:sz="0" w:space="0" w:color="auto"/>
            <w:right w:val="none" w:sz="0" w:space="0" w:color="auto"/>
          </w:divBdr>
        </w:div>
        <w:div w:id="1334992757">
          <w:marLeft w:val="640"/>
          <w:marRight w:val="0"/>
          <w:marTop w:val="0"/>
          <w:marBottom w:val="0"/>
          <w:divBdr>
            <w:top w:val="none" w:sz="0" w:space="0" w:color="auto"/>
            <w:left w:val="none" w:sz="0" w:space="0" w:color="auto"/>
            <w:bottom w:val="none" w:sz="0" w:space="0" w:color="auto"/>
            <w:right w:val="none" w:sz="0" w:space="0" w:color="auto"/>
          </w:divBdr>
        </w:div>
        <w:div w:id="1115904848">
          <w:marLeft w:val="640"/>
          <w:marRight w:val="0"/>
          <w:marTop w:val="0"/>
          <w:marBottom w:val="0"/>
          <w:divBdr>
            <w:top w:val="none" w:sz="0" w:space="0" w:color="auto"/>
            <w:left w:val="none" w:sz="0" w:space="0" w:color="auto"/>
            <w:bottom w:val="none" w:sz="0" w:space="0" w:color="auto"/>
            <w:right w:val="none" w:sz="0" w:space="0" w:color="auto"/>
          </w:divBdr>
        </w:div>
        <w:div w:id="665549822">
          <w:marLeft w:val="640"/>
          <w:marRight w:val="0"/>
          <w:marTop w:val="0"/>
          <w:marBottom w:val="0"/>
          <w:divBdr>
            <w:top w:val="none" w:sz="0" w:space="0" w:color="auto"/>
            <w:left w:val="none" w:sz="0" w:space="0" w:color="auto"/>
            <w:bottom w:val="none" w:sz="0" w:space="0" w:color="auto"/>
            <w:right w:val="none" w:sz="0" w:space="0" w:color="auto"/>
          </w:divBdr>
        </w:div>
        <w:div w:id="1701854743">
          <w:marLeft w:val="640"/>
          <w:marRight w:val="0"/>
          <w:marTop w:val="0"/>
          <w:marBottom w:val="0"/>
          <w:divBdr>
            <w:top w:val="none" w:sz="0" w:space="0" w:color="auto"/>
            <w:left w:val="none" w:sz="0" w:space="0" w:color="auto"/>
            <w:bottom w:val="none" w:sz="0" w:space="0" w:color="auto"/>
            <w:right w:val="none" w:sz="0" w:space="0" w:color="auto"/>
          </w:divBdr>
        </w:div>
        <w:div w:id="194315359">
          <w:marLeft w:val="640"/>
          <w:marRight w:val="0"/>
          <w:marTop w:val="0"/>
          <w:marBottom w:val="0"/>
          <w:divBdr>
            <w:top w:val="none" w:sz="0" w:space="0" w:color="auto"/>
            <w:left w:val="none" w:sz="0" w:space="0" w:color="auto"/>
            <w:bottom w:val="none" w:sz="0" w:space="0" w:color="auto"/>
            <w:right w:val="none" w:sz="0" w:space="0" w:color="auto"/>
          </w:divBdr>
        </w:div>
        <w:div w:id="886798121">
          <w:marLeft w:val="640"/>
          <w:marRight w:val="0"/>
          <w:marTop w:val="0"/>
          <w:marBottom w:val="0"/>
          <w:divBdr>
            <w:top w:val="none" w:sz="0" w:space="0" w:color="auto"/>
            <w:left w:val="none" w:sz="0" w:space="0" w:color="auto"/>
            <w:bottom w:val="none" w:sz="0" w:space="0" w:color="auto"/>
            <w:right w:val="none" w:sz="0" w:space="0" w:color="auto"/>
          </w:divBdr>
        </w:div>
        <w:div w:id="213929626">
          <w:marLeft w:val="640"/>
          <w:marRight w:val="0"/>
          <w:marTop w:val="0"/>
          <w:marBottom w:val="0"/>
          <w:divBdr>
            <w:top w:val="none" w:sz="0" w:space="0" w:color="auto"/>
            <w:left w:val="none" w:sz="0" w:space="0" w:color="auto"/>
            <w:bottom w:val="none" w:sz="0" w:space="0" w:color="auto"/>
            <w:right w:val="none" w:sz="0" w:space="0" w:color="auto"/>
          </w:divBdr>
        </w:div>
        <w:div w:id="2135324003">
          <w:marLeft w:val="640"/>
          <w:marRight w:val="0"/>
          <w:marTop w:val="0"/>
          <w:marBottom w:val="0"/>
          <w:divBdr>
            <w:top w:val="none" w:sz="0" w:space="0" w:color="auto"/>
            <w:left w:val="none" w:sz="0" w:space="0" w:color="auto"/>
            <w:bottom w:val="none" w:sz="0" w:space="0" w:color="auto"/>
            <w:right w:val="none" w:sz="0" w:space="0" w:color="auto"/>
          </w:divBdr>
        </w:div>
        <w:div w:id="2051613700">
          <w:marLeft w:val="640"/>
          <w:marRight w:val="0"/>
          <w:marTop w:val="0"/>
          <w:marBottom w:val="0"/>
          <w:divBdr>
            <w:top w:val="none" w:sz="0" w:space="0" w:color="auto"/>
            <w:left w:val="none" w:sz="0" w:space="0" w:color="auto"/>
            <w:bottom w:val="none" w:sz="0" w:space="0" w:color="auto"/>
            <w:right w:val="none" w:sz="0" w:space="0" w:color="auto"/>
          </w:divBdr>
        </w:div>
        <w:div w:id="1063023755">
          <w:marLeft w:val="640"/>
          <w:marRight w:val="0"/>
          <w:marTop w:val="0"/>
          <w:marBottom w:val="0"/>
          <w:divBdr>
            <w:top w:val="none" w:sz="0" w:space="0" w:color="auto"/>
            <w:left w:val="none" w:sz="0" w:space="0" w:color="auto"/>
            <w:bottom w:val="none" w:sz="0" w:space="0" w:color="auto"/>
            <w:right w:val="none" w:sz="0" w:space="0" w:color="auto"/>
          </w:divBdr>
        </w:div>
        <w:div w:id="579019112">
          <w:marLeft w:val="640"/>
          <w:marRight w:val="0"/>
          <w:marTop w:val="0"/>
          <w:marBottom w:val="0"/>
          <w:divBdr>
            <w:top w:val="none" w:sz="0" w:space="0" w:color="auto"/>
            <w:left w:val="none" w:sz="0" w:space="0" w:color="auto"/>
            <w:bottom w:val="none" w:sz="0" w:space="0" w:color="auto"/>
            <w:right w:val="none" w:sz="0" w:space="0" w:color="auto"/>
          </w:divBdr>
        </w:div>
        <w:div w:id="666440743">
          <w:marLeft w:val="640"/>
          <w:marRight w:val="0"/>
          <w:marTop w:val="0"/>
          <w:marBottom w:val="0"/>
          <w:divBdr>
            <w:top w:val="none" w:sz="0" w:space="0" w:color="auto"/>
            <w:left w:val="none" w:sz="0" w:space="0" w:color="auto"/>
            <w:bottom w:val="none" w:sz="0" w:space="0" w:color="auto"/>
            <w:right w:val="none" w:sz="0" w:space="0" w:color="auto"/>
          </w:divBdr>
        </w:div>
        <w:div w:id="446660485">
          <w:marLeft w:val="640"/>
          <w:marRight w:val="0"/>
          <w:marTop w:val="0"/>
          <w:marBottom w:val="0"/>
          <w:divBdr>
            <w:top w:val="none" w:sz="0" w:space="0" w:color="auto"/>
            <w:left w:val="none" w:sz="0" w:space="0" w:color="auto"/>
            <w:bottom w:val="none" w:sz="0" w:space="0" w:color="auto"/>
            <w:right w:val="none" w:sz="0" w:space="0" w:color="auto"/>
          </w:divBdr>
        </w:div>
        <w:div w:id="820275725">
          <w:marLeft w:val="640"/>
          <w:marRight w:val="0"/>
          <w:marTop w:val="0"/>
          <w:marBottom w:val="0"/>
          <w:divBdr>
            <w:top w:val="none" w:sz="0" w:space="0" w:color="auto"/>
            <w:left w:val="none" w:sz="0" w:space="0" w:color="auto"/>
            <w:bottom w:val="none" w:sz="0" w:space="0" w:color="auto"/>
            <w:right w:val="none" w:sz="0" w:space="0" w:color="auto"/>
          </w:divBdr>
        </w:div>
        <w:div w:id="386028003">
          <w:marLeft w:val="640"/>
          <w:marRight w:val="0"/>
          <w:marTop w:val="0"/>
          <w:marBottom w:val="0"/>
          <w:divBdr>
            <w:top w:val="none" w:sz="0" w:space="0" w:color="auto"/>
            <w:left w:val="none" w:sz="0" w:space="0" w:color="auto"/>
            <w:bottom w:val="none" w:sz="0" w:space="0" w:color="auto"/>
            <w:right w:val="none" w:sz="0" w:space="0" w:color="auto"/>
          </w:divBdr>
        </w:div>
        <w:div w:id="541212330">
          <w:marLeft w:val="640"/>
          <w:marRight w:val="0"/>
          <w:marTop w:val="0"/>
          <w:marBottom w:val="0"/>
          <w:divBdr>
            <w:top w:val="none" w:sz="0" w:space="0" w:color="auto"/>
            <w:left w:val="none" w:sz="0" w:space="0" w:color="auto"/>
            <w:bottom w:val="none" w:sz="0" w:space="0" w:color="auto"/>
            <w:right w:val="none" w:sz="0" w:space="0" w:color="auto"/>
          </w:divBdr>
        </w:div>
        <w:div w:id="375205454">
          <w:marLeft w:val="640"/>
          <w:marRight w:val="0"/>
          <w:marTop w:val="0"/>
          <w:marBottom w:val="0"/>
          <w:divBdr>
            <w:top w:val="none" w:sz="0" w:space="0" w:color="auto"/>
            <w:left w:val="none" w:sz="0" w:space="0" w:color="auto"/>
            <w:bottom w:val="none" w:sz="0" w:space="0" w:color="auto"/>
            <w:right w:val="none" w:sz="0" w:space="0" w:color="auto"/>
          </w:divBdr>
        </w:div>
        <w:div w:id="2000033498">
          <w:marLeft w:val="640"/>
          <w:marRight w:val="0"/>
          <w:marTop w:val="0"/>
          <w:marBottom w:val="0"/>
          <w:divBdr>
            <w:top w:val="none" w:sz="0" w:space="0" w:color="auto"/>
            <w:left w:val="none" w:sz="0" w:space="0" w:color="auto"/>
            <w:bottom w:val="none" w:sz="0" w:space="0" w:color="auto"/>
            <w:right w:val="none" w:sz="0" w:space="0" w:color="auto"/>
          </w:divBdr>
        </w:div>
        <w:div w:id="728460196">
          <w:marLeft w:val="640"/>
          <w:marRight w:val="0"/>
          <w:marTop w:val="0"/>
          <w:marBottom w:val="0"/>
          <w:divBdr>
            <w:top w:val="none" w:sz="0" w:space="0" w:color="auto"/>
            <w:left w:val="none" w:sz="0" w:space="0" w:color="auto"/>
            <w:bottom w:val="none" w:sz="0" w:space="0" w:color="auto"/>
            <w:right w:val="none" w:sz="0" w:space="0" w:color="auto"/>
          </w:divBdr>
        </w:div>
        <w:div w:id="361908093">
          <w:marLeft w:val="640"/>
          <w:marRight w:val="0"/>
          <w:marTop w:val="0"/>
          <w:marBottom w:val="0"/>
          <w:divBdr>
            <w:top w:val="none" w:sz="0" w:space="0" w:color="auto"/>
            <w:left w:val="none" w:sz="0" w:space="0" w:color="auto"/>
            <w:bottom w:val="none" w:sz="0" w:space="0" w:color="auto"/>
            <w:right w:val="none" w:sz="0" w:space="0" w:color="auto"/>
          </w:divBdr>
        </w:div>
        <w:div w:id="887689570">
          <w:marLeft w:val="640"/>
          <w:marRight w:val="0"/>
          <w:marTop w:val="0"/>
          <w:marBottom w:val="0"/>
          <w:divBdr>
            <w:top w:val="none" w:sz="0" w:space="0" w:color="auto"/>
            <w:left w:val="none" w:sz="0" w:space="0" w:color="auto"/>
            <w:bottom w:val="none" w:sz="0" w:space="0" w:color="auto"/>
            <w:right w:val="none" w:sz="0" w:space="0" w:color="auto"/>
          </w:divBdr>
        </w:div>
        <w:div w:id="1989091953">
          <w:marLeft w:val="640"/>
          <w:marRight w:val="0"/>
          <w:marTop w:val="0"/>
          <w:marBottom w:val="0"/>
          <w:divBdr>
            <w:top w:val="none" w:sz="0" w:space="0" w:color="auto"/>
            <w:left w:val="none" w:sz="0" w:space="0" w:color="auto"/>
            <w:bottom w:val="none" w:sz="0" w:space="0" w:color="auto"/>
            <w:right w:val="none" w:sz="0" w:space="0" w:color="auto"/>
          </w:divBdr>
        </w:div>
        <w:div w:id="1577859607">
          <w:marLeft w:val="640"/>
          <w:marRight w:val="0"/>
          <w:marTop w:val="0"/>
          <w:marBottom w:val="0"/>
          <w:divBdr>
            <w:top w:val="none" w:sz="0" w:space="0" w:color="auto"/>
            <w:left w:val="none" w:sz="0" w:space="0" w:color="auto"/>
            <w:bottom w:val="none" w:sz="0" w:space="0" w:color="auto"/>
            <w:right w:val="none" w:sz="0" w:space="0" w:color="auto"/>
          </w:divBdr>
        </w:div>
        <w:div w:id="620527155">
          <w:marLeft w:val="640"/>
          <w:marRight w:val="0"/>
          <w:marTop w:val="0"/>
          <w:marBottom w:val="0"/>
          <w:divBdr>
            <w:top w:val="none" w:sz="0" w:space="0" w:color="auto"/>
            <w:left w:val="none" w:sz="0" w:space="0" w:color="auto"/>
            <w:bottom w:val="none" w:sz="0" w:space="0" w:color="auto"/>
            <w:right w:val="none" w:sz="0" w:space="0" w:color="auto"/>
          </w:divBdr>
        </w:div>
        <w:div w:id="331447623">
          <w:marLeft w:val="640"/>
          <w:marRight w:val="0"/>
          <w:marTop w:val="0"/>
          <w:marBottom w:val="0"/>
          <w:divBdr>
            <w:top w:val="none" w:sz="0" w:space="0" w:color="auto"/>
            <w:left w:val="none" w:sz="0" w:space="0" w:color="auto"/>
            <w:bottom w:val="none" w:sz="0" w:space="0" w:color="auto"/>
            <w:right w:val="none" w:sz="0" w:space="0" w:color="auto"/>
          </w:divBdr>
        </w:div>
        <w:div w:id="698165732">
          <w:marLeft w:val="640"/>
          <w:marRight w:val="0"/>
          <w:marTop w:val="0"/>
          <w:marBottom w:val="0"/>
          <w:divBdr>
            <w:top w:val="none" w:sz="0" w:space="0" w:color="auto"/>
            <w:left w:val="none" w:sz="0" w:space="0" w:color="auto"/>
            <w:bottom w:val="none" w:sz="0" w:space="0" w:color="auto"/>
            <w:right w:val="none" w:sz="0" w:space="0" w:color="auto"/>
          </w:divBdr>
        </w:div>
        <w:div w:id="749040664">
          <w:marLeft w:val="640"/>
          <w:marRight w:val="0"/>
          <w:marTop w:val="0"/>
          <w:marBottom w:val="0"/>
          <w:divBdr>
            <w:top w:val="none" w:sz="0" w:space="0" w:color="auto"/>
            <w:left w:val="none" w:sz="0" w:space="0" w:color="auto"/>
            <w:bottom w:val="none" w:sz="0" w:space="0" w:color="auto"/>
            <w:right w:val="none" w:sz="0" w:space="0" w:color="auto"/>
          </w:divBdr>
        </w:div>
        <w:div w:id="1799839415">
          <w:marLeft w:val="640"/>
          <w:marRight w:val="0"/>
          <w:marTop w:val="0"/>
          <w:marBottom w:val="0"/>
          <w:divBdr>
            <w:top w:val="none" w:sz="0" w:space="0" w:color="auto"/>
            <w:left w:val="none" w:sz="0" w:space="0" w:color="auto"/>
            <w:bottom w:val="none" w:sz="0" w:space="0" w:color="auto"/>
            <w:right w:val="none" w:sz="0" w:space="0" w:color="auto"/>
          </w:divBdr>
        </w:div>
        <w:div w:id="1052577766">
          <w:marLeft w:val="640"/>
          <w:marRight w:val="0"/>
          <w:marTop w:val="0"/>
          <w:marBottom w:val="0"/>
          <w:divBdr>
            <w:top w:val="none" w:sz="0" w:space="0" w:color="auto"/>
            <w:left w:val="none" w:sz="0" w:space="0" w:color="auto"/>
            <w:bottom w:val="none" w:sz="0" w:space="0" w:color="auto"/>
            <w:right w:val="none" w:sz="0" w:space="0" w:color="auto"/>
          </w:divBdr>
        </w:div>
        <w:div w:id="1813717080">
          <w:marLeft w:val="640"/>
          <w:marRight w:val="0"/>
          <w:marTop w:val="0"/>
          <w:marBottom w:val="0"/>
          <w:divBdr>
            <w:top w:val="none" w:sz="0" w:space="0" w:color="auto"/>
            <w:left w:val="none" w:sz="0" w:space="0" w:color="auto"/>
            <w:bottom w:val="none" w:sz="0" w:space="0" w:color="auto"/>
            <w:right w:val="none" w:sz="0" w:space="0" w:color="auto"/>
          </w:divBdr>
        </w:div>
        <w:div w:id="1727291449">
          <w:marLeft w:val="640"/>
          <w:marRight w:val="0"/>
          <w:marTop w:val="0"/>
          <w:marBottom w:val="0"/>
          <w:divBdr>
            <w:top w:val="none" w:sz="0" w:space="0" w:color="auto"/>
            <w:left w:val="none" w:sz="0" w:space="0" w:color="auto"/>
            <w:bottom w:val="none" w:sz="0" w:space="0" w:color="auto"/>
            <w:right w:val="none" w:sz="0" w:space="0" w:color="auto"/>
          </w:divBdr>
        </w:div>
        <w:div w:id="186986533">
          <w:marLeft w:val="640"/>
          <w:marRight w:val="0"/>
          <w:marTop w:val="0"/>
          <w:marBottom w:val="0"/>
          <w:divBdr>
            <w:top w:val="none" w:sz="0" w:space="0" w:color="auto"/>
            <w:left w:val="none" w:sz="0" w:space="0" w:color="auto"/>
            <w:bottom w:val="none" w:sz="0" w:space="0" w:color="auto"/>
            <w:right w:val="none" w:sz="0" w:space="0" w:color="auto"/>
          </w:divBdr>
        </w:div>
        <w:div w:id="529294357">
          <w:marLeft w:val="640"/>
          <w:marRight w:val="0"/>
          <w:marTop w:val="0"/>
          <w:marBottom w:val="0"/>
          <w:divBdr>
            <w:top w:val="none" w:sz="0" w:space="0" w:color="auto"/>
            <w:left w:val="none" w:sz="0" w:space="0" w:color="auto"/>
            <w:bottom w:val="none" w:sz="0" w:space="0" w:color="auto"/>
            <w:right w:val="none" w:sz="0" w:space="0" w:color="auto"/>
          </w:divBdr>
        </w:div>
        <w:div w:id="509831283">
          <w:marLeft w:val="640"/>
          <w:marRight w:val="0"/>
          <w:marTop w:val="0"/>
          <w:marBottom w:val="0"/>
          <w:divBdr>
            <w:top w:val="none" w:sz="0" w:space="0" w:color="auto"/>
            <w:left w:val="none" w:sz="0" w:space="0" w:color="auto"/>
            <w:bottom w:val="none" w:sz="0" w:space="0" w:color="auto"/>
            <w:right w:val="none" w:sz="0" w:space="0" w:color="auto"/>
          </w:divBdr>
        </w:div>
        <w:div w:id="826169998">
          <w:marLeft w:val="640"/>
          <w:marRight w:val="0"/>
          <w:marTop w:val="0"/>
          <w:marBottom w:val="0"/>
          <w:divBdr>
            <w:top w:val="none" w:sz="0" w:space="0" w:color="auto"/>
            <w:left w:val="none" w:sz="0" w:space="0" w:color="auto"/>
            <w:bottom w:val="none" w:sz="0" w:space="0" w:color="auto"/>
            <w:right w:val="none" w:sz="0" w:space="0" w:color="auto"/>
          </w:divBdr>
        </w:div>
        <w:div w:id="328362924">
          <w:marLeft w:val="640"/>
          <w:marRight w:val="0"/>
          <w:marTop w:val="0"/>
          <w:marBottom w:val="0"/>
          <w:divBdr>
            <w:top w:val="none" w:sz="0" w:space="0" w:color="auto"/>
            <w:left w:val="none" w:sz="0" w:space="0" w:color="auto"/>
            <w:bottom w:val="none" w:sz="0" w:space="0" w:color="auto"/>
            <w:right w:val="none" w:sz="0" w:space="0" w:color="auto"/>
          </w:divBdr>
        </w:div>
        <w:div w:id="1516072766">
          <w:marLeft w:val="640"/>
          <w:marRight w:val="0"/>
          <w:marTop w:val="0"/>
          <w:marBottom w:val="0"/>
          <w:divBdr>
            <w:top w:val="none" w:sz="0" w:space="0" w:color="auto"/>
            <w:left w:val="none" w:sz="0" w:space="0" w:color="auto"/>
            <w:bottom w:val="none" w:sz="0" w:space="0" w:color="auto"/>
            <w:right w:val="none" w:sz="0" w:space="0" w:color="auto"/>
          </w:divBdr>
        </w:div>
        <w:div w:id="990521031">
          <w:marLeft w:val="640"/>
          <w:marRight w:val="0"/>
          <w:marTop w:val="0"/>
          <w:marBottom w:val="0"/>
          <w:divBdr>
            <w:top w:val="none" w:sz="0" w:space="0" w:color="auto"/>
            <w:left w:val="none" w:sz="0" w:space="0" w:color="auto"/>
            <w:bottom w:val="none" w:sz="0" w:space="0" w:color="auto"/>
            <w:right w:val="none" w:sz="0" w:space="0" w:color="auto"/>
          </w:divBdr>
        </w:div>
        <w:div w:id="562178263">
          <w:marLeft w:val="640"/>
          <w:marRight w:val="0"/>
          <w:marTop w:val="0"/>
          <w:marBottom w:val="0"/>
          <w:divBdr>
            <w:top w:val="none" w:sz="0" w:space="0" w:color="auto"/>
            <w:left w:val="none" w:sz="0" w:space="0" w:color="auto"/>
            <w:bottom w:val="none" w:sz="0" w:space="0" w:color="auto"/>
            <w:right w:val="none" w:sz="0" w:space="0" w:color="auto"/>
          </w:divBdr>
        </w:div>
        <w:div w:id="1529828966">
          <w:marLeft w:val="640"/>
          <w:marRight w:val="0"/>
          <w:marTop w:val="0"/>
          <w:marBottom w:val="0"/>
          <w:divBdr>
            <w:top w:val="none" w:sz="0" w:space="0" w:color="auto"/>
            <w:left w:val="none" w:sz="0" w:space="0" w:color="auto"/>
            <w:bottom w:val="none" w:sz="0" w:space="0" w:color="auto"/>
            <w:right w:val="none" w:sz="0" w:space="0" w:color="auto"/>
          </w:divBdr>
        </w:div>
        <w:div w:id="835271674">
          <w:marLeft w:val="640"/>
          <w:marRight w:val="0"/>
          <w:marTop w:val="0"/>
          <w:marBottom w:val="0"/>
          <w:divBdr>
            <w:top w:val="none" w:sz="0" w:space="0" w:color="auto"/>
            <w:left w:val="none" w:sz="0" w:space="0" w:color="auto"/>
            <w:bottom w:val="none" w:sz="0" w:space="0" w:color="auto"/>
            <w:right w:val="none" w:sz="0" w:space="0" w:color="auto"/>
          </w:divBdr>
        </w:div>
        <w:div w:id="151261473">
          <w:marLeft w:val="640"/>
          <w:marRight w:val="0"/>
          <w:marTop w:val="0"/>
          <w:marBottom w:val="0"/>
          <w:divBdr>
            <w:top w:val="none" w:sz="0" w:space="0" w:color="auto"/>
            <w:left w:val="none" w:sz="0" w:space="0" w:color="auto"/>
            <w:bottom w:val="none" w:sz="0" w:space="0" w:color="auto"/>
            <w:right w:val="none" w:sz="0" w:space="0" w:color="auto"/>
          </w:divBdr>
        </w:div>
        <w:div w:id="796534534">
          <w:marLeft w:val="640"/>
          <w:marRight w:val="0"/>
          <w:marTop w:val="0"/>
          <w:marBottom w:val="0"/>
          <w:divBdr>
            <w:top w:val="none" w:sz="0" w:space="0" w:color="auto"/>
            <w:left w:val="none" w:sz="0" w:space="0" w:color="auto"/>
            <w:bottom w:val="none" w:sz="0" w:space="0" w:color="auto"/>
            <w:right w:val="none" w:sz="0" w:space="0" w:color="auto"/>
          </w:divBdr>
        </w:div>
        <w:div w:id="832334156">
          <w:marLeft w:val="640"/>
          <w:marRight w:val="0"/>
          <w:marTop w:val="0"/>
          <w:marBottom w:val="0"/>
          <w:divBdr>
            <w:top w:val="none" w:sz="0" w:space="0" w:color="auto"/>
            <w:left w:val="none" w:sz="0" w:space="0" w:color="auto"/>
            <w:bottom w:val="none" w:sz="0" w:space="0" w:color="auto"/>
            <w:right w:val="none" w:sz="0" w:space="0" w:color="auto"/>
          </w:divBdr>
        </w:div>
        <w:div w:id="486820461">
          <w:marLeft w:val="640"/>
          <w:marRight w:val="0"/>
          <w:marTop w:val="0"/>
          <w:marBottom w:val="0"/>
          <w:divBdr>
            <w:top w:val="none" w:sz="0" w:space="0" w:color="auto"/>
            <w:left w:val="none" w:sz="0" w:space="0" w:color="auto"/>
            <w:bottom w:val="none" w:sz="0" w:space="0" w:color="auto"/>
            <w:right w:val="none" w:sz="0" w:space="0" w:color="auto"/>
          </w:divBdr>
        </w:div>
        <w:div w:id="1434549430">
          <w:marLeft w:val="640"/>
          <w:marRight w:val="0"/>
          <w:marTop w:val="0"/>
          <w:marBottom w:val="0"/>
          <w:divBdr>
            <w:top w:val="none" w:sz="0" w:space="0" w:color="auto"/>
            <w:left w:val="none" w:sz="0" w:space="0" w:color="auto"/>
            <w:bottom w:val="none" w:sz="0" w:space="0" w:color="auto"/>
            <w:right w:val="none" w:sz="0" w:space="0" w:color="auto"/>
          </w:divBdr>
        </w:div>
        <w:div w:id="208417691">
          <w:marLeft w:val="640"/>
          <w:marRight w:val="0"/>
          <w:marTop w:val="0"/>
          <w:marBottom w:val="0"/>
          <w:divBdr>
            <w:top w:val="none" w:sz="0" w:space="0" w:color="auto"/>
            <w:left w:val="none" w:sz="0" w:space="0" w:color="auto"/>
            <w:bottom w:val="none" w:sz="0" w:space="0" w:color="auto"/>
            <w:right w:val="none" w:sz="0" w:space="0" w:color="auto"/>
          </w:divBdr>
        </w:div>
        <w:div w:id="1517696905">
          <w:marLeft w:val="640"/>
          <w:marRight w:val="0"/>
          <w:marTop w:val="0"/>
          <w:marBottom w:val="0"/>
          <w:divBdr>
            <w:top w:val="none" w:sz="0" w:space="0" w:color="auto"/>
            <w:left w:val="none" w:sz="0" w:space="0" w:color="auto"/>
            <w:bottom w:val="none" w:sz="0" w:space="0" w:color="auto"/>
            <w:right w:val="none" w:sz="0" w:space="0" w:color="auto"/>
          </w:divBdr>
        </w:div>
      </w:divsChild>
    </w:div>
    <w:div w:id="456070887">
      <w:bodyDiv w:val="1"/>
      <w:marLeft w:val="0"/>
      <w:marRight w:val="0"/>
      <w:marTop w:val="0"/>
      <w:marBottom w:val="0"/>
      <w:divBdr>
        <w:top w:val="none" w:sz="0" w:space="0" w:color="auto"/>
        <w:left w:val="none" w:sz="0" w:space="0" w:color="auto"/>
        <w:bottom w:val="none" w:sz="0" w:space="0" w:color="auto"/>
        <w:right w:val="none" w:sz="0" w:space="0" w:color="auto"/>
      </w:divBdr>
    </w:div>
    <w:div w:id="460854320">
      <w:bodyDiv w:val="1"/>
      <w:marLeft w:val="0"/>
      <w:marRight w:val="0"/>
      <w:marTop w:val="0"/>
      <w:marBottom w:val="0"/>
      <w:divBdr>
        <w:top w:val="none" w:sz="0" w:space="0" w:color="auto"/>
        <w:left w:val="none" w:sz="0" w:space="0" w:color="auto"/>
        <w:bottom w:val="none" w:sz="0" w:space="0" w:color="auto"/>
        <w:right w:val="none" w:sz="0" w:space="0" w:color="auto"/>
      </w:divBdr>
    </w:div>
    <w:div w:id="559562415">
      <w:bodyDiv w:val="1"/>
      <w:marLeft w:val="0"/>
      <w:marRight w:val="0"/>
      <w:marTop w:val="0"/>
      <w:marBottom w:val="0"/>
      <w:divBdr>
        <w:top w:val="none" w:sz="0" w:space="0" w:color="auto"/>
        <w:left w:val="none" w:sz="0" w:space="0" w:color="auto"/>
        <w:bottom w:val="none" w:sz="0" w:space="0" w:color="auto"/>
        <w:right w:val="none" w:sz="0" w:space="0" w:color="auto"/>
      </w:divBdr>
    </w:div>
    <w:div w:id="567615019">
      <w:bodyDiv w:val="1"/>
      <w:marLeft w:val="0"/>
      <w:marRight w:val="0"/>
      <w:marTop w:val="0"/>
      <w:marBottom w:val="0"/>
      <w:divBdr>
        <w:top w:val="none" w:sz="0" w:space="0" w:color="auto"/>
        <w:left w:val="none" w:sz="0" w:space="0" w:color="auto"/>
        <w:bottom w:val="none" w:sz="0" w:space="0" w:color="auto"/>
        <w:right w:val="none" w:sz="0" w:space="0" w:color="auto"/>
      </w:divBdr>
    </w:div>
    <w:div w:id="592208591">
      <w:bodyDiv w:val="1"/>
      <w:marLeft w:val="0"/>
      <w:marRight w:val="0"/>
      <w:marTop w:val="0"/>
      <w:marBottom w:val="0"/>
      <w:divBdr>
        <w:top w:val="none" w:sz="0" w:space="0" w:color="auto"/>
        <w:left w:val="none" w:sz="0" w:space="0" w:color="auto"/>
        <w:bottom w:val="none" w:sz="0" w:space="0" w:color="auto"/>
        <w:right w:val="none" w:sz="0" w:space="0" w:color="auto"/>
      </w:divBdr>
    </w:div>
    <w:div w:id="600917883">
      <w:bodyDiv w:val="1"/>
      <w:marLeft w:val="0"/>
      <w:marRight w:val="0"/>
      <w:marTop w:val="0"/>
      <w:marBottom w:val="0"/>
      <w:divBdr>
        <w:top w:val="none" w:sz="0" w:space="0" w:color="auto"/>
        <w:left w:val="none" w:sz="0" w:space="0" w:color="auto"/>
        <w:bottom w:val="none" w:sz="0" w:space="0" w:color="auto"/>
        <w:right w:val="none" w:sz="0" w:space="0" w:color="auto"/>
      </w:divBdr>
    </w:div>
    <w:div w:id="633483156">
      <w:bodyDiv w:val="1"/>
      <w:marLeft w:val="0"/>
      <w:marRight w:val="0"/>
      <w:marTop w:val="0"/>
      <w:marBottom w:val="0"/>
      <w:divBdr>
        <w:top w:val="none" w:sz="0" w:space="0" w:color="auto"/>
        <w:left w:val="none" w:sz="0" w:space="0" w:color="auto"/>
        <w:bottom w:val="none" w:sz="0" w:space="0" w:color="auto"/>
        <w:right w:val="none" w:sz="0" w:space="0" w:color="auto"/>
      </w:divBdr>
    </w:div>
    <w:div w:id="656344956">
      <w:bodyDiv w:val="1"/>
      <w:marLeft w:val="0"/>
      <w:marRight w:val="0"/>
      <w:marTop w:val="0"/>
      <w:marBottom w:val="0"/>
      <w:divBdr>
        <w:top w:val="none" w:sz="0" w:space="0" w:color="auto"/>
        <w:left w:val="none" w:sz="0" w:space="0" w:color="auto"/>
        <w:bottom w:val="none" w:sz="0" w:space="0" w:color="auto"/>
        <w:right w:val="none" w:sz="0" w:space="0" w:color="auto"/>
      </w:divBdr>
      <w:divsChild>
        <w:div w:id="1679963848">
          <w:marLeft w:val="640"/>
          <w:marRight w:val="0"/>
          <w:marTop w:val="0"/>
          <w:marBottom w:val="0"/>
          <w:divBdr>
            <w:top w:val="none" w:sz="0" w:space="0" w:color="auto"/>
            <w:left w:val="none" w:sz="0" w:space="0" w:color="auto"/>
            <w:bottom w:val="none" w:sz="0" w:space="0" w:color="auto"/>
            <w:right w:val="none" w:sz="0" w:space="0" w:color="auto"/>
          </w:divBdr>
        </w:div>
        <w:div w:id="1036394211">
          <w:marLeft w:val="640"/>
          <w:marRight w:val="0"/>
          <w:marTop w:val="0"/>
          <w:marBottom w:val="0"/>
          <w:divBdr>
            <w:top w:val="none" w:sz="0" w:space="0" w:color="auto"/>
            <w:left w:val="none" w:sz="0" w:space="0" w:color="auto"/>
            <w:bottom w:val="none" w:sz="0" w:space="0" w:color="auto"/>
            <w:right w:val="none" w:sz="0" w:space="0" w:color="auto"/>
          </w:divBdr>
        </w:div>
        <w:div w:id="1775325089">
          <w:marLeft w:val="640"/>
          <w:marRight w:val="0"/>
          <w:marTop w:val="0"/>
          <w:marBottom w:val="0"/>
          <w:divBdr>
            <w:top w:val="none" w:sz="0" w:space="0" w:color="auto"/>
            <w:left w:val="none" w:sz="0" w:space="0" w:color="auto"/>
            <w:bottom w:val="none" w:sz="0" w:space="0" w:color="auto"/>
            <w:right w:val="none" w:sz="0" w:space="0" w:color="auto"/>
          </w:divBdr>
        </w:div>
        <w:div w:id="1852451967">
          <w:marLeft w:val="640"/>
          <w:marRight w:val="0"/>
          <w:marTop w:val="0"/>
          <w:marBottom w:val="0"/>
          <w:divBdr>
            <w:top w:val="none" w:sz="0" w:space="0" w:color="auto"/>
            <w:left w:val="none" w:sz="0" w:space="0" w:color="auto"/>
            <w:bottom w:val="none" w:sz="0" w:space="0" w:color="auto"/>
            <w:right w:val="none" w:sz="0" w:space="0" w:color="auto"/>
          </w:divBdr>
        </w:div>
        <w:div w:id="624897082">
          <w:marLeft w:val="640"/>
          <w:marRight w:val="0"/>
          <w:marTop w:val="0"/>
          <w:marBottom w:val="0"/>
          <w:divBdr>
            <w:top w:val="none" w:sz="0" w:space="0" w:color="auto"/>
            <w:left w:val="none" w:sz="0" w:space="0" w:color="auto"/>
            <w:bottom w:val="none" w:sz="0" w:space="0" w:color="auto"/>
            <w:right w:val="none" w:sz="0" w:space="0" w:color="auto"/>
          </w:divBdr>
        </w:div>
        <w:div w:id="1188445485">
          <w:marLeft w:val="640"/>
          <w:marRight w:val="0"/>
          <w:marTop w:val="0"/>
          <w:marBottom w:val="0"/>
          <w:divBdr>
            <w:top w:val="none" w:sz="0" w:space="0" w:color="auto"/>
            <w:left w:val="none" w:sz="0" w:space="0" w:color="auto"/>
            <w:bottom w:val="none" w:sz="0" w:space="0" w:color="auto"/>
            <w:right w:val="none" w:sz="0" w:space="0" w:color="auto"/>
          </w:divBdr>
        </w:div>
        <w:div w:id="148601459">
          <w:marLeft w:val="640"/>
          <w:marRight w:val="0"/>
          <w:marTop w:val="0"/>
          <w:marBottom w:val="0"/>
          <w:divBdr>
            <w:top w:val="none" w:sz="0" w:space="0" w:color="auto"/>
            <w:left w:val="none" w:sz="0" w:space="0" w:color="auto"/>
            <w:bottom w:val="none" w:sz="0" w:space="0" w:color="auto"/>
            <w:right w:val="none" w:sz="0" w:space="0" w:color="auto"/>
          </w:divBdr>
        </w:div>
        <w:div w:id="1225604064">
          <w:marLeft w:val="640"/>
          <w:marRight w:val="0"/>
          <w:marTop w:val="0"/>
          <w:marBottom w:val="0"/>
          <w:divBdr>
            <w:top w:val="none" w:sz="0" w:space="0" w:color="auto"/>
            <w:left w:val="none" w:sz="0" w:space="0" w:color="auto"/>
            <w:bottom w:val="none" w:sz="0" w:space="0" w:color="auto"/>
            <w:right w:val="none" w:sz="0" w:space="0" w:color="auto"/>
          </w:divBdr>
        </w:div>
        <w:div w:id="317653565">
          <w:marLeft w:val="640"/>
          <w:marRight w:val="0"/>
          <w:marTop w:val="0"/>
          <w:marBottom w:val="0"/>
          <w:divBdr>
            <w:top w:val="none" w:sz="0" w:space="0" w:color="auto"/>
            <w:left w:val="none" w:sz="0" w:space="0" w:color="auto"/>
            <w:bottom w:val="none" w:sz="0" w:space="0" w:color="auto"/>
            <w:right w:val="none" w:sz="0" w:space="0" w:color="auto"/>
          </w:divBdr>
        </w:div>
        <w:div w:id="1547985787">
          <w:marLeft w:val="640"/>
          <w:marRight w:val="0"/>
          <w:marTop w:val="0"/>
          <w:marBottom w:val="0"/>
          <w:divBdr>
            <w:top w:val="none" w:sz="0" w:space="0" w:color="auto"/>
            <w:left w:val="none" w:sz="0" w:space="0" w:color="auto"/>
            <w:bottom w:val="none" w:sz="0" w:space="0" w:color="auto"/>
            <w:right w:val="none" w:sz="0" w:space="0" w:color="auto"/>
          </w:divBdr>
        </w:div>
        <w:div w:id="2092702200">
          <w:marLeft w:val="640"/>
          <w:marRight w:val="0"/>
          <w:marTop w:val="0"/>
          <w:marBottom w:val="0"/>
          <w:divBdr>
            <w:top w:val="none" w:sz="0" w:space="0" w:color="auto"/>
            <w:left w:val="none" w:sz="0" w:space="0" w:color="auto"/>
            <w:bottom w:val="none" w:sz="0" w:space="0" w:color="auto"/>
            <w:right w:val="none" w:sz="0" w:space="0" w:color="auto"/>
          </w:divBdr>
        </w:div>
        <w:div w:id="1418866402">
          <w:marLeft w:val="640"/>
          <w:marRight w:val="0"/>
          <w:marTop w:val="0"/>
          <w:marBottom w:val="0"/>
          <w:divBdr>
            <w:top w:val="none" w:sz="0" w:space="0" w:color="auto"/>
            <w:left w:val="none" w:sz="0" w:space="0" w:color="auto"/>
            <w:bottom w:val="none" w:sz="0" w:space="0" w:color="auto"/>
            <w:right w:val="none" w:sz="0" w:space="0" w:color="auto"/>
          </w:divBdr>
        </w:div>
        <w:div w:id="792944663">
          <w:marLeft w:val="640"/>
          <w:marRight w:val="0"/>
          <w:marTop w:val="0"/>
          <w:marBottom w:val="0"/>
          <w:divBdr>
            <w:top w:val="none" w:sz="0" w:space="0" w:color="auto"/>
            <w:left w:val="none" w:sz="0" w:space="0" w:color="auto"/>
            <w:bottom w:val="none" w:sz="0" w:space="0" w:color="auto"/>
            <w:right w:val="none" w:sz="0" w:space="0" w:color="auto"/>
          </w:divBdr>
        </w:div>
        <w:div w:id="169955779">
          <w:marLeft w:val="640"/>
          <w:marRight w:val="0"/>
          <w:marTop w:val="0"/>
          <w:marBottom w:val="0"/>
          <w:divBdr>
            <w:top w:val="none" w:sz="0" w:space="0" w:color="auto"/>
            <w:left w:val="none" w:sz="0" w:space="0" w:color="auto"/>
            <w:bottom w:val="none" w:sz="0" w:space="0" w:color="auto"/>
            <w:right w:val="none" w:sz="0" w:space="0" w:color="auto"/>
          </w:divBdr>
        </w:div>
        <w:div w:id="964508015">
          <w:marLeft w:val="640"/>
          <w:marRight w:val="0"/>
          <w:marTop w:val="0"/>
          <w:marBottom w:val="0"/>
          <w:divBdr>
            <w:top w:val="none" w:sz="0" w:space="0" w:color="auto"/>
            <w:left w:val="none" w:sz="0" w:space="0" w:color="auto"/>
            <w:bottom w:val="none" w:sz="0" w:space="0" w:color="auto"/>
            <w:right w:val="none" w:sz="0" w:space="0" w:color="auto"/>
          </w:divBdr>
        </w:div>
        <w:div w:id="1954632531">
          <w:marLeft w:val="640"/>
          <w:marRight w:val="0"/>
          <w:marTop w:val="0"/>
          <w:marBottom w:val="0"/>
          <w:divBdr>
            <w:top w:val="none" w:sz="0" w:space="0" w:color="auto"/>
            <w:left w:val="none" w:sz="0" w:space="0" w:color="auto"/>
            <w:bottom w:val="none" w:sz="0" w:space="0" w:color="auto"/>
            <w:right w:val="none" w:sz="0" w:space="0" w:color="auto"/>
          </w:divBdr>
        </w:div>
        <w:div w:id="1223558613">
          <w:marLeft w:val="640"/>
          <w:marRight w:val="0"/>
          <w:marTop w:val="0"/>
          <w:marBottom w:val="0"/>
          <w:divBdr>
            <w:top w:val="none" w:sz="0" w:space="0" w:color="auto"/>
            <w:left w:val="none" w:sz="0" w:space="0" w:color="auto"/>
            <w:bottom w:val="none" w:sz="0" w:space="0" w:color="auto"/>
            <w:right w:val="none" w:sz="0" w:space="0" w:color="auto"/>
          </w:divBdr>
        </w:div>
        <w:div w:id="1259556762">
          <w:marLeft w:val="640"/>
          <w:marRight w:val="0"/>
          <w:marTop w:val="0"/>
          <w:marBottom w:val="0"/>
          <w:divBdr>
            <w:top w:val="none" w:sz="0" w:space="0" w:color="auto"/>
            <w:left w:val="none" w:sz="0" w:space="0" w:color="auto"/>
            <w:bottom w:val="none" w:sz="0" w:space="0" w:color="auto"/>
            <w:right w:val="none" w:sz="0" w:space="0" w:color="auto"/>
          </w:divBdr>
        </w:div>
        <w:div w:id="1899592151">
          <w:marLeft w:val="640"/>
          <w:marRight w:val="0"/>
          <w:marTop w:val="0"/>
          <w:marBottom w:val="0"/>
          <w:divBdr>
            <w:top w:val="none" w:sz="0" w:space="0" w:color="auto"/>
            <w:left w:val="none" w:sz="0" w:space="0" w:color="auto"/>
            <w:bottom w:val="none" w:sz="0" w:space="0" w:color="auto"/>
            <w:right w:val="none" w:sz="0" w:space="0" w:color="auto"/>
          </w:divBdr>
        </w:div>
        <w:div w:id="1200970220">
          <w:marLeft w:val="640"/>
          <w:marRight w:val="0"/>
          <w:marTop w:val="0"/>
          <w:marBottom w:val="0"/>
          <w:divBdr>
            <w:top w:val="none" w:sz="0" w:space="0" w:color="auto"/>
            <w:left w:val="none" w:sz="0" w:space="0" w:color="auto"/>
            <w:bottom w:val="none" w:sz="0" w:space="0" w:color="auto"/>
            <w:right w:val="none" w:sz="0" w:space="0" w:color="auto"/>
          </w:divBdr>
        </w:div>
        <w:div w:id="1244755185">
          <w:marLeft w:val="640"/>
          <w:marRight w:val="0"/>
          <w:marTop w:val="0"/>
          <w:marBottom w:val="0"/>
          <w:divBdr>
            <w:top w:val="none" w:sz="0" w:space="0" w:color="auto"/>
            <w:left w:val="none" w:sz="0" w:space="0" w:color="auto"/>
            <w:bottom w:val="none" w:sz="0" w:space="0" w:color="auto"/>
            <w:right w:val="none" w:sz="0" w:space="0" w:color="auto"/>
          </w:divBdr>
        </w:div>
        <w:div w:id="1688559767">
          <w:marLeft w:val="640"/>
          <w:marRight w:val="0"/>
          <w:marTop w:val="0"/>
          <w:marBottom w:val="0"/>
          <w:divBdr>
            <w:top w:val="none" w:sz="0" w:space="0" w:color="auto"/>
            <w:left w:val="none" w:sz="0" w:space="0" w:color="auto"/>
            <w:bottom w:val="none" w:sz="0" w:space="0" w:color="auto"/>
            <w:right w:val="none" w:sz="0" w:space="0" w:color="auto"/>
          </w:divBdr>
        </w:div>
        <w:div w:id="572475891">
          <w:marLeft w:val="640"/>
          <w:marRight w:val="0"/>
          <w:marTop w:val="0"/>
          <w:marBottom w:val="0"/>
          <w:divBdr>
            <w:top w:val="none" w:sz="0" w:space="0" w:color="auto"/>
            <w:left w:val="none" w:sz="0" w:space="0" w:color="auto"/>
            <w:bottom w:val="none" w:sz="0" w:space="0" w:color="auto"/>
            <w:right w:val="none" w:sz="0" w:space="0" w:color="auto"/>
          </w:divBdr>
        </w:div>
        <w:div w:id="196509282">
          <w:marLeft w:val="640"/>
          <w:marRight w:val="0"/>
          <w:marTop w:val="0"/>
          <w:marBottom w:val="0"/>
          <w:divBdr>
            <w:top w:val="none" w:sz="0" w:space="0" w:color="auto"/>
            <w:left w:val="none" w:sz="0" w:space="0" w:color="auto"/>
            <w:bottom w:val="none" w:sz="0" w:space="0" w:color="auto"/>
            <w:right w:val="none" w:sz="0" w:space="0" w:color="auto"/>
          </w:divBdr>
        </w:div>
        <w:div w:id="682316995">
          <w:marLeft w:val="640"/>
          <w:marRight w:val="0"/>
          <w:marTop w:val="0"/>
          <w:marBottom w:val="0"/>
          <w:divBdr>
            <w:top w:val="none" w:sz="0" w:space="0" w:color="auto"/>
            <w:left w:val="none" w:sz="0" w:space="0" w:color="auto"/>
            <w:bottom w:val="none" w:sz="0" w:space="0" w:color="auto"/>
            <w:right w:val="none" w:sz="0" w:space="0" w:color="auto"/>
          </w:divBdr>
        </w:div>
        <w:div w:id="1814178477">
          <w:marLeft w:val="640"/>
          <w:marRight w:val="0"/>
          <w:marTop w:val="0"/>
          <w:marBottom w:val="0"/>
          <w:divBdr>
            <w:top w:val="none" w:sz="0" w:space="0" w:color="auto"/>
            <w:left w:val="none" w:sz="0" w:space="0" w:color="auto"/>
            <w:bottom w:val="none" w:sz="0" w:space="0" w:color="auto"/>
            <w:right w:val="none" w:sz="0" w:space="0" w:color="auto"/>
          </w:divBdr>
        </w:div>
        <w:div w:id="894435551">
          <w:marLeft w:val="640"/>
          <w:marRight w:val="0"/>
          <w:marTop w:val="0"/>
          <w:marBottom w:val="0"/>
          <w:divBdr>
            <w:top w:val="none" w:sz="0" w:space="0" w:color="auto"/>
            <w:left w:val="none" w:sz="0" w:space="0" w:color="auto"/>
            <w:bottom w:val="none" w:sz="0" w:space="0" w:color="auto"/>
            <w:right w:val="none" w:sz="0" w:space="0" w:color="auto"/>
          </w:divBdr>
        </w:div>
        <w:div w:id="1650355773">
          <w:marLeft w:val="640"/>
          <w:marRight w:val="0"/>
          <w:marTop w:val="0"/>
          <w:marBottom w:val="0"/>
          <w:divBdr>
            <w:top w:val="none" w:sz="0" w:space="0" w:color="auto"/>
            <w:left w:val="none" w:sz="0" w:space="0" w:color="auto"/>
            <w:bottom w:val="none" w:sz="0" w:space="0" w:color="auto"/>
            <w:right w:val="none" w:sz="0" w:space="0" w:color="auto"/>
          </w:divBdr>
        </w:div>
        <w:div w:id="1009599424">
          <w:marLeft w:val="640"/>
          <w:marRight w:val="0"/>
          <w:marTop w:val="0"/>
          <w:marBottom w:val="0"/>
          <w:divBdr>
            <w:top w:val="none" w:sz="0" w:space="0" w:color="auto"/>
            <w:left w:val="none" w:sz="0" w:space="0" w:color="auto"/>
            <w:bottom w:val="none" w:sz="0" w:space="0" w:color="auto"/>
            <w:right w:val="none" w:sz="0" w:space="0" w:color="auto"/>
          </w:divBdr>
        </w:div>
        <w:div w:id="1208495007">
          <w:marLeft w:val="640"/>
          <w:marRight w:val="0"/>
          <w:marTop w:val="0"/>
          <w:marBottom w:val="0"/>
          <w:divBdr>
            <w:top w:val="none" w:sz="0" w:space="0" w:color="auto"/>
            <w:left w:val="none" w:sz="0" w:space="0" w:color="auto"/>
            <w:bottom w:val="none" w:sz="0" w:space="0" w:color="auto"/>
            <w:right w:val="none" w:sz="0" w:space="0" w:color="auto"/>
          </w:divBdr>
        </w:div>
        <w:div w:id="111364093">
          <w:marLeft w:val="640"/>
          <w:marRight w:val="0"/>
          <w:marTop w:val="0"/>
          <w:marBottom w:val="0"/>
          <w:divBdr>
            <w:top w:val="none" w:sz="0" w:space="0" w:color="auto"/>
            <w:left w:val="none" w:sz="0" w:space="0" w:color="auto"/>
            <w:bottom w:val="none" w:sz="0" w:space="0" w:color="auto"/>
            <w:right w:val="none" w:sz="0" w:space="0" w:color="auto"/>
          </w:divBdr>
        </w:div>
        <w:div w:id="1562788626">
          <w:marLeft w:val="640"/>
          <w:marRight w:val="0"/>
          <w:marTop w:val="0"/>
          <w:marBottom w:val="0"/>
          <w:divBdr>
            <w:top w:val="none" w:sz="0" w:space="0" w:color="auto"/>
            <w:left w:val="none" w:sz="0" w:space="0" w:color="auto"/>
            <w:bottom w:val="none" w:sz="0" w:space="0" w:color="auto"/>
            <w:right w:val="none" w:sz="0" w:space="0" w:color="auto"/>
          </w:divBdr>
        </w:div>
        <w:div w:id="770510114">
          <w:marLeft w:val="640"/>
          <w:marRight w:val="0"/>
          <w:marTop w:val="0"/>
          <w:marBottom w:val="0"/>
          <w:divBdr>
            <w:top w:val="none" w:sz="0" w:space="0" w:color="auto"/>
            <w:left w:val="none" w:sz="0" w:space="0" w:color="auto"/>
            <w:bottom w:val="none" w:sz="0" w:space="0" w:color="auto"/>
            <w:right w:val="none" w:sz="0" w:space="0" w:color="auto"/>
          </w:divBdr>
        </w:div>
        <w:div w:id="1763913035">
          <w:marLeft w:val="640"/>
          <w:marRight w:val="0"/>
          <w:marTop w:val="0"/>
          <w:marBottom w:val="0"/>
          <w:divBdr>
            <w:top w:val="none" w:sz="0" w:space="0" w:color="auto"/>
            <w:left w:val="none" w:sz="0" w:space="0" w:color="auto"/>
            <w:bottom w:val="none" w:sz="0" w:space="0" w:color="auto"/>
            <w:right w:val="none" w:sz="0" w:space="0" w:color="auto"/>
          </w:divBdr>
        </w:div>
        <w:div w:id="554656153">
          <w:marLeft w:val="640"/>
          <w:marRight w:val="0"/>
          <w:marTop w:val="0"/>
          <w:marBottom w:val="0"/>
          <w:divBdr>
            <w:top w:val="none" w:sz="0" w:space="0" w:color="auto"/>
            <w:left w:val="none" w:sz="0" w:space="0" w:color="auto"/>
            <w:bottom w:val="none" w:sz="0" w:space="0" w:color="auto"/>
            <w:right w:val="none" w:sz="0" w:space="0" w:color="auto"/>
          </w:divBdr>
        </w:div>
        <w:div w:id="1165704728">
          <w:marLeft w:val="640"/>
          <w:marRight w:val="0"/>
          <w:marTop w:val="0"/>
          <w:marBottom w:val="0"/>
          <w:divBdr>
            <w:top w:val="none" w:sz="0" w:space="0" w:color="auto"/>
            <w:left w:val="none" w:sz="0" w:space="0" w:color="auto"/>
            <w:bottom w:val="none" w:sz="0" w:space="0" w:color="auto"/>
            <w:right w:val="none" w:sz="0" w:space="0" w:color="auto"/>
          </w:divBdr>
        </w:div>
        <w:div w:id="943996776">
          <w:marLeft w:val="640"/>
          <w:marRight w:val="0"/>
          <w:marTop w:val="0"/>
          <w:marBottom w:val="0"/>
          <w:divBdr>
            <w:top w:val="none" w:sz="0" w:space="0" w:color="auto"/>
            <w:left w:val="none" w:sz="0" w:space="0" w:color="auto"/>
            <w:bottom w:val="none" w:sz="0" w:space="0" w:color="auto"/>
            <w:right w:val="none" w:sz="0" w:space="0" w:color="auto"/>
          </w:divBdr>
        </w:div>
        <w:div w:id="494877156">
          <w:marLeft w:val="640"/>
          <w:marRight w:val="0"/>
          <w:marTop w:val="0"/>
          <w:marBottom w:val="0"/>
          <w:divBdr>
            <w:top w:val="none" w:sz="0" w:space="0" w:color="auto"/>
            <w:left w:val="none" w:sz="0" w:space="0" w:color="auto"/>
            <w:bottom w:val="none" w:sz="0" w:space="0" w:color="auto"/>
            <w:right w:val="none" w:sz="0" w:space="0" w:color="auto"/>
          </w:divBdr>
        </w:div>
        <w:div w:id="2067289830">
          <w:marLeft w:val="640"/>
          <w:marRight w:val="0"/>
          <w:marTop w:val="0"/>
          <w:marBottom w:val="0"/>
          <w:divBdr>
            <w:top w:val="none" w:sz="0" w:space="0" w:color="auto"/>
            <w:left w:val="none" w:sz="0" w:space="0" w:color="auto"/>
            <w:bottom w:val="none" w:sz="0" w:space="0" w:color="auto"/>
            <w:right w:val="none" w:sz="0" w:space="0" w:color="auto"/>
          </w:divBdr>
        </w:div>
        <w:div w:id="1676608852">
          <w:marLeft w:val="640"/>
          <w:marRight w:val="0"/>
          <w:marTop w:val="0"/>
          <w:marBottom w:val="0"/>
          <w:divBdr>
            <w:top w:val="none" w:sz="0" w:space="0" w:color="auto"/>
            <w:left w:val="none" w:sz="0" w:space="0" w:color="auto"/>
            <w:bottom w:val="none" w:sz="0" w:space="0" w:color="auto"/>
            <w:right w:val="none" w:sz="0" w:space="0" w:color="auto"/>
          </w:divBdr>
        </w:div>
        <w:div w:id="1764454173">
          <w:marLeft w:val="640"/>
          <w:marRight w:val="0"/>
          <w:marTop w:val="0"/>
          <w:marBottom w:val="0"/>
          <w:divBdr>
            <w:top w:val="none" w:sz="0" w:space="0" w:color="auto"/>
            <w:left w:val="none" w:sz="0" w:space="0" w:color="auto"/>
            <w:bottom w:val="none" w:sz="0" w:space="0" w:color="auto"/>
            <w:right w:val="none" w:sz="0" w:space="0" w:color="auto"/>
          </w:divBdr>
        </w:div>
        <w:div w:id="1518888076">
          <w:marLeft w:val="640"/>
          <w:marRight w:val="0"/>
          <w:marTop w:val="0"/>
          <w:marBottom w:val="0"/>
          <w:divBdr>
            <w:top w:val="none" w:sz="0" w:space="0" w:color="auto"/>
            <w:left w:val="none" w:sz="0" w:space="0" w:color="auto"/>
            <w:bottom w:val="none" w:sz="0" w:space="0" w:color="auto"/>
            <w:right w:val="none" w:sz="0" w:space="0" w:color="auto"/>
          </w:divBdr>
        </w:div>
        <w:div w:id="1936093505">
          <w:marLeft w:val="640"/>
          <w:marRight w:val="0"/>
          <w:marTop w:val="0"/>
          <w:marBottom w:val="0"/>
          <w:divBdr>
            <w:top w:val="none" w:sz="0" w:space="0" w:color="auto"/>
            <w:left w:val="none" w:sz="0" w:space="0" w:color="auto"/>
            <w:bottom w:val="none" w:sz="0" w:space="0" w:color="auto"/>
            <w:right w:val="none" w:sz="0" w:space="0" w:color="auto"/>
          </w:divBdr>
        </w:div>
        <w:div w:id="1795172365">
          <w:marLeft w:val="640"/>
          <w:marRight w:val="0"/>
          <w:marTop w:val="0"/>
          <w:marBottom w:val="0"/>
          <w:divBdr>
            <w:top w:val="none" w:sz="0" w:space="0" w:color="auto"/>
            <w:left w:val="none" w:sz="0" w:space="0" w:color="auto"/>
            <w:bottom w:val="none" w:sz="0" w:space="0" w:color="auto"/>
            <w:right w:val="none" w:sz="0" w:space="0" w:color="auto"/>
          </w:divBdr>
        </w:div>
        <w:div w:id="97601526">
          <w:marLeft w:val="640"/>
          <w:marRight w:val="0"/>
          <w:marTop w:val="0"/>
          <w:marBottom w:val="0"/>
          <w:divBdr>
            <w:top w:val="none" w:sz="0" w:space="0" w:color="auto"/>
            <w:left w:val="none" w:sz="0" w:space="0" w:color="auto"/>
            <w:bottom w:val="none" w:sz="0" w:space="0" w:color="auto"/>
            <w:right w:val="none" w:sz="0" w:space="0" w:color="auto"/>
          </w:divBdr>
        </w:div>
        <w:div w:id="876549967">
          <w:marLeft w:val="640"/>
          <w:marRight w:val="0"/>
          <w:marTop w:val="0"/>
          <w:marBottom w:val="0"/>
          <w:divBdr>
            <w:top w:val="none" w:sz="0" w:space="0" w:color="auto"/>
            <w:left w:val="none" w:sz="0" w:space="0" w:color="auto"/>
            <w:bottom w:val="none" w:sz="0" w:space="0" w:color="auto"/>
            <w:right w:val="none" w:sz="0" w:space="0" w:color="auto"/>
          </w:divBdr>
        </w:div>
        <w:div w:id="1356691745">
          <w:marLeft w:val="640"/>
          <w:marRight w:val="0"/>
          <w:marTop w:val="0"/>
          <w:marBottom w:val="0"/>
          <w:divBdr>
            <w:top w:val="none" w:sz="0" w:space="0" w:color="auto"/>
            <w:left w:val="none" w:sz="0" w:space="0" w:color="auto"/>
            <w:bottom w:val="none" w:sz="0" w:space="0" w:color="auto"/>
            <w:right w:val="none" w:sz="0" w:space="0" w:color="auto"/>
          </w:divBdr>
        </w:div>
        <w:div w:id="188374819">
          <w:marLeft w:val="640"/>
          <w:marRight w:val="0"/>
          <w:marTop w:val="0"/>
          <w:marBottom w:val="0"/>
          <w:divBdr>
            <w:top w:val="none" w:sz="0" w:space="0" w:color="auto"/>
            <w:left w:val="none" w:sz="0" w:space="0" w:color="auto"/>
            <w:bottom w:val="none" w:sz="0" w:space="0" w:color="auto"/>
            <w:right w:val="none" w:sz="0" w:space="0" w:color="auto"/>
          </w:divBdr>
        </w:div>
        <w:div w:id="1666779062">
          <w:marLeft w:val="640"/>
          <w:marRight w:val="0"/>
          <w:marTop w:val="0"/>
          <w:marBottom w:val="0"/>
          <w:divBdr>
            <w:top w:val="none" w:sz="0" w:space="0" w:color="auto"/>
            <w:left w:val="none" w:sz="0" w:space="0" w:color="auto"/>
            <w:bottom w:val="none" w:sz="0" w:space="0" w:color="auto"/>
            <w:right w:val="none" w:sz="0" w:space="0" w:color="auto"/>
          </w:divBdr>
        </w:div>
        <w:div w:id="1831632704">
          <w:marLeft w:val="640"/>
          <w:marRight w:val="0"/>
          <w:marTop w:val="0"/>
          <w:marBottom w:val="0"/>
          <w:divBdr>
            <w:top w:val="none" w:sz="0" w:space="0" w:color="auto"/>
            <w:left w:val="none" w:sz="0" w:space="0" w:color="auto"/>
            <w:bottom w:val="none" w:sz="0" w:space="0" w:color="auto"/>
            <w:right w:val="none" w:sz="0" w:space="0" w:color="auto"/>
          </w:divBdr>
        </w:div>
        <w:div w:id="1819029119">
          <w:marLeft w:val="640"/>
          <w:marRight w:val="0"/>
          <w:marTop w:val="0"/>
          <w:marBottom w:val="0"/>
          <w:divBdr>
            <w:top w:val="none" w:sz="0" w:space="0" w:color="auto"/>
            <w:left w:val="none" w:sz="0" w:space="0" w:color="auto"/>
            <w:bottom w:val="none" w:sz="0" w:space="0" w:color="auto"/>
            <w:right w:val="none" w:sz="0" w:space="0" w:color="auto"/>
          </w:divBdr>
        </w:div>
        <w:div w:id="1584947770">
          <w:marLeft w:val="640"/>
          <w:marRight w:val="0"/>
          <w:marTop w:val="0"/>
          <w:marBottom w:val="0"/>
          <w:divBdr>
            <w:top w:val="none" w:sz="0" w:space="0" w:color="auto"/>
            <w:left w:val="none" w:sz="0" w:space="0" w:color="auto"/>
            <w:bottom w:val="none" w:sz="0" w:space="0" w:color="auto"/>
            <w:right w:val="none" w:sz="0" w:space="0" w:color="auto"/>
          </w:divBdr>
        </w:div>
        <w:div w:id="1633707790">
          <w:marLeft w:val="640"/>
          <w:marRight w:val="0"/>
          <w:marTop w:val="0"/>
          <w:marBottom w:val="0"/>
          <w:divBdr>
            <w:top w:val="none" w:sz="0" w:space="0" w:color="auto"/>
            <w:left w:val="none" w:sz="0" w:space="0" w:color="auto"/>
            <w:bottom w:val="none" w:sz="0" w:space="0" w:color="auto"/>
            <w:right w:val="none" w:sz="0" w:space="0" w:color="auto"/>
          </w:divBdr>
        </w:div>
        <w:div w:id="497773043">
          <w:marLeft w:val="640"/>
          <w:marRight w:val="0"/>
          <w:marTop w:val="0"/>
          <w:marBottom w:val="0"/>
          <w:divBdr>
            <w:top w:val="none" w:sz="0" w:space="0" w:color="auto"/>
            <w:left w:val="none" w:sz="0" w:space="0" w:color="auto"/>
            <w:bottom w:val="none" w:sz="0" w:space="0" w:color="auto"/>
            <w:right w:val="none" w:sz="0" w:space="0" w:color="auto"/>
          </w:divBdr>
        </w:div>
        <w:div w:id="637757658">
          <w:marLeft w:val="640"/>
          <w:marRight w:val="0"/>
          <w:marTop w:val="0"/>
          <w:marBottom w:val="0"/>
          <w:divBdr>
            <w:top w:val="none" w:sz="0" w:space="0" w:color="auto"/>
            <w:left w:val="none" w:sz="0" w:space="0" w:color="auto"/>
            <w:bottom w:val="none" w:sz="0" w:space="0" w:color="auto"/>
            <w:right w:val="none" w:sz="0" w:space="0" w:color="auto"/>
          </w:divBdr>
        </w:div>
        <w:div w:id="249197102">
          <w:marLeft w:val="640"/>
          <w:marRight w:val="0"/>
          <w:marTop w:val="0"/>
          <w:marBottom w:val="0"/>
          <w:divBdr>
            <w:top w:val="none" w:sz="0" w:space="0" w:color="auto"/>
            <w:left w:val="none" w:sz="0" w:space="0" w:color="auto"/>
            <w:bottom w:val="none" w:sz="0" w:space="0" w:color="auto"/>
            <w:right w:val="none" w:sz="0" w:space="0" w:color="auto"/>
          </w:divBdr>
        </w:div>
        <w:div w:id="10955543">
          <w:marLeft w:val="640"/>
          <w:marRight w:val="0"/>
          <w:marTop w:val="0"/>
          <w:marBottom w:val="0"/>
          <w:divBdr>
            <w:top w:val="none" w:sz="0" w:space="0" w:color="auto"/>
            <w:left w:val="none" w:sz="0" w:space="0" w:color="auto"/>
            <w:bottom w:val="none" w:sz="0" w:space="0" w:color="auto"/>
            <w:right w:val="none" w:sz="0" w:space="0" w:color="auto"/>
          </w:divBdr>
        </w:div>
        <w:div w:id="815143216">
          <w:marLeft w:val="640"/>
          <w:marRight w:val="0"/>
          <w:marTop w:val="0"/>
          <w:marBottom w:val="0"/>
          <w:divBdr>
            <w:top w:val="none" w:sz="0" w:space="0" w:color="auto"/>
            <w:left w:val="none" w:sz="0" w:space="0" w:color="auto"/>
            <w:bottom w:val="none" w:sz="0" w:space="0" w:color="auto"/>
            <w:right w:val="none" w:sz="0" w:space="0" w:color="auto"/>
          </w:divBdr>
        </w:div>
        <w:div w:id="1206917243">
          <w:marLeft w:val="640"/>
          <w:marRight w:val="0"/>
          <w:marTop w:val="0"/>
          <w:marBottom w:val="0"/>
          <w:divBdr>
            <w:top w:val="none" w:sz="0" w:space="0" w:color="auto"/>
            <w:left w:val="none" w:sz="0" w:space="0" w:color="auto"/>
            <w:bottom w:val="none" w:sz="0" w:space="0" w:color="auto"/>
            <w:right w:val="none" w:sz="0" w:space="0" w:color="auto"/>
          </w:divBdr>
        </w:div>
        <w:div w:id="1019359569">
          <w:marLeft w:val="640"/>
          <w:marRight w:val="0"/>
          <w:marTop w:val="0"/>
          <w:marBottom w:val="0"/>
          <w:divBdr>
            <w:top w:val="none" w:sz="0" w:space="0" w:color="auto"/>
            <w:left w:val="none" w:sz="0" w:space="0" w:color="auto"/>
            <w:bottom w:val="none" w:sz="0" w:space="0" w:color="auto"/>
            <w:right w:val="none" w:sz="0" w:space="0" w:color="auto"/>
          </w:divBdr>
        </w:div>
        <w:div w:id="125583356">
          <w:marLeft w:val="640"/>
          <w:marRight w:val="0"/>
          <w:marTop w:val="0"/>
          <w:marBottom w:val="0"/>
          <w:divBdr>
            <w:top w:val="none" w:sz="0" w:space="0" w:color="auto"/>
            <w:left w:val="none" w:sz="0" w:space="0" w:color="auto"/>
            <w:bottom w:val="none" w:sz="0" w:space="0" w:color="auto"/>
            <w:right w:val="none" w:sz="0" w:space="0" w:color="auto"/>
          </w:divBdr>
        </w:div>
        <w:div w:id="1091006825">
          <w:marLeft w:val="640"/>
          <w:marRight w:val="0"/>
          <w:marTop w:val="0"/>
          <w:marBottom w:val="0"/>
          <w:divBdr>
            <w:top w:val="none" w:sz="0" w:space="0" w:color="auto"/>
            <w:left w:val="none" w:sz="0" w:space="0" w:color="auto"/>
            <w:bottom w:val="none" w:sz="0" w:space="0" w:color="auto"/>
            <w:right w:val="none" w:sz="0" w:space="0" w:color="auto"/>
          </w:divBdr>
        </w:div>
        <w:div w:id="1659646583">
          <w:marLeft w:val="640"/>
          <w:marRight w:val="0"/>
          <w:marTop w:val="0"/>
          <w:marBottom w:val="0"/>
          <w:divBdr>
            <w:top w:val="none" w:sz="0" w:space="0" w:color="auto"/>
            <w:left w:val="none" w:sz="0" w:space="0" w:color="auto"/>
            <w:bottom w:val="none" w:sz="0" w:space="0" w:color="auto"/>
            <w:right w:val="none" w:sz="0" w:space="0" w:color="auto"/>
          </w:divBdr>
        </w:div>
        <w:div w:id="432942604">
          <w:marLeft w:val="640"/>
          <w:marRight w:val="0"/>
          <w:marTop w:val="0"/>
          <w:marBottom w:val="0"/>
          <w:divBdr>
            <w:top w:val="none" w:sz="0" w:space="0" w:color="auto"/>
            <w:left w:val="none" w:sz="0" w:space="0" w:color="auto"/>
            <w:bottom w:val="none" w:sz="0" w:space="0" w:color="auto"/>
            <w:right w:val="none" w:sz="0" w:space="0" w:color="auto"/>
          </w:divBdr>
        </w:div>
        <w:div w:id="112091366">
          <w:marLeft w:val="640"/>
          <w:marRight w:val="0"/>
          <w:marTop w:val="0"/>
          <w:marBottom w:val="0"/>
          <w:divBdr>
            <w:top w:val="none" w:sz="0" w:space="0" w:color="auto"/>
            <w:left w:val="none" w:sz="0" w:space="0" w:color="auto"/>
            <w:bottom w:val="none" w:sz="0" w:space="0" w:color="auto"/>
            <w:right w:val="none" w:sz="0" w:space="0" w:color="auto"/>
          </w:divBdr>
        </w:div>
        <w:div w:id="2145348750">
          <w:marLeft w:val="640"/>
          <w:marRight w:val="0"/>
          <w:marTop w:val="0"/>
          <w:marBottom w:val="0"/>
          <w:divBdr>
            <w:top w:val="none" w:sz="0" w:space="0" w:color="auto"/>
            <w:left w:val="none" w:sz="0" w:space="0" w:color="auto"/>
            <w:bottom w:val="none" w:sz="0" w:space="0" w:color="auto"/>
            <w:right w:val="none" w:sz="0" w:space="0" w:color="auto"/>
          </w:divBdr>
        </w:div>
      </w:divsChild>
    </w:div>
    <w:div w:id="694692621">
      <w:bodyDiv w:val="1"/>
      <w:marLeft w:val="0"/>
      <w:marRight w:val="0"/>
      <w:marTop w:val="0"/>
      <w:marBottom w:val="0"/>
      <w:divBdr>
        <w:top w:val="none" w:sz="0" w:space="0" w:color="auto"/>
        <w:left w:val="none" w:sz="0" w:space="0" w:color="auto"/>
        <w:bottom w:val="none" w:sz="0" w:space="0" w:color="auto"/>
        <w:right w:val="none" w:sz="0" w:space="0" w:color="auto"/>
      </w:divBdr>
    </w:div>
    <w:div w:id="905797722">
      <w:bodyDiv w:val="1"/>
      <w:marLeft w:val="0"/>
      <w:marRight w:val="0"/>
      <w:marTop w:val="0"/>
      <w:marBottom w:val="0"/>
      <w:divBdr>
        <w:top w:val="none" w:sz="0" w:space="0" w:color="auto"/>
        <w:left w:val="none" w:sz="0" w:space="0" w:color="auto"/>
        <w:bottom w:val="none" w:sz="0" w:space="0" w:color="auto"/>
        <w:right w:val="none" w:sz="0" w:space="0" w:color="auto"/>
      </w:divBdr>
      <w:divsChild>
        <w:div w:id="1262763785">
          <w:marLeft w:val="640"/>
          <w:marRight w:val="0"/>
          <w:marTop w:val="0"/>
          <w:marBottom w:val="0"/>
          <w:divBdr>
            <w:top w:val="none" w:sz="0" w:space="0" w:color="auto"/>
            <w:left w:val="none" w:sz="0" w:space="0" w:color="auto"/>
            <w:bottom w:val="none" w:sz="0" w:space="0" w:color="auto"/>
            <w:right w:val="none" w:sz="0" w:space="0" w:color="auto"/>
          </w:divBdr>
        </w:div>
        <w:div w:id="1571815823">
          <w:marLeft w:val="640"/>
          <w:marRight w:val="0"/>
          <w:marTop w:val="0"/>
          <w:marBottom w:val="0"/>
          <w:divBdr>
            <w:top w:val="none" w:sz="0" w:space="0" w:color="auto"/>
            <w:left w:val="none" w:sz="0" w:space="0" w:color="auto"/>
            <w:bottom w:val="none" w:sz="0" w:space="0" w:color="auto"/>
            <w:right w:val="none" w:sz="0" w:space="0" w:color="auto"/>
          </w:divBdr>
        </w:div>
        <w:div w:id="1129126443">
          <w:marLeft w:val="640"/>
          <w:marRight w:val="0"/>
          <w:marTop w:val="0"/>
          <w:marBottom w:val="0"/>
          <w:divBdr>
            <w:top w:val="none" w:sz="0" w:space="0" w:color="auto"/>
            <w:left w:val="none" w:sz="0" w:space="0" w:color="auto"/>
            <w:bottom w:val="none" w:sz="0" w:space="0" w:color="auto"/>
            <w:right w:val="none" w:sz="0" w:space="0" w:color="auto"/>
          </w:divBdr>
        </w:div>
        <w:div w:id="1898662394">
          <w:marLeft w:val="640"/>
          <w:marRight w:val="0"/>
          <w:marTop w:val="0"/>
          <w:marBottom w:val="0"/>
          <w:divBdr>
            <w:top w:val="none" w:sz="0" w:space="0" w:color="auto"/>
            <w:left w:val="none" w:sz="0" w:space="0" w:color="auto"/>
            <w:bottom w:val="none" w:sz="0" w:space="0" w:color="auto"/>
            <w:right w:val="none" w:sz="0" w:space="0" w:color="auto"/>
          </w:divBdr>
        </w:div>
        <w:div w:id="515854199">
          <w:marLeft w:val="640"/>
          <w:marRight w:val="0"/>
          <w:marTop w:val="0"/>
          <w:marBottom w:val="0"/>
          <w:divBdr>
            <w:top w:val="none" w:sz="0" w:space="0" w:color="auto"/>
            <w:left w:val="none" w:sz="0" w:space="0" w:color="auto"/>
            <w:bottom w:val="none" w:sz="0" w:space="0" w:color="auto"/>
            <w:right w:val="none" w:sz="0" w:space="0" w:color="auto"/>
          </w:divBdr>
        </w:div>
        <w:div w:id="843204598">
          <w:marLeft w:val="640"/>
          <w:marRight w:val="0"/>
          <w:marTop w:val="0"/>
          <w:marBottom w:val="0"/>
          <w:divBdr>
            <w:top w:val="none" w:sz="0" w:space="0" w:color="auto"/>
            <w:left w:val="none" w:sz="0" w:space="0" w:color="auto"/>
            <w:bottom w:val="none" w:sz="0" w:space="0" w:color="auto"/>
            <w:right w:val="none" w:sz="0" w:space="0" w:color="auto"/>
          </w:divBdr>
        </w:div>
        <w:div w:id="1134298482">
          <w:marLeft w:val="640"/>
          <w:marRight w:val="0"/>
          <w:marTop w:val="0"/>
          <w:marBottom w:val="0"/>
          <w:divBdr>
            <w:top w:val="none" w:sz="0" w:space="0" w:color="auto"/>
            <w:left w:val="none" w:sz="0" w:space="0" w:color="auto"/>
            <w:bottom w:val="none" w:sz="0" w:space="0" w:color="auto"/>
            <w:right w:val="none" w:sz="0" w:space="0" w:color="auto"/>
          </w:divBdr>
        </w:div>
        <w:div w:id="2015647184">
          <w:marLeft w:val="640"/>
          <w:marRight w:val="0"/>
          <w:marTop w:val="0"/>
          <w:marBottom w:val="0"/>
          <w:divBdr>
            <w:top w:val="none" w:sz="0" w:space="0" w:color="auto"/>
            <w:left w:val="none" w:sz="0" w:space="0" w:color="auto"/>
            <w:bottom w:val="none" w:sz="0" w:space="0" w:color="auto"/>
            <w:right w:val="none" w:sz="0" w:space="0" w:color="auto"/>
          </w:divBdr>
        </w:div>
        <w:div w:id="1011103999">
          <w:marLeft w:val="640"/>
          <w:marRight w:val="0"/>
          <w:marTop w:val="0"/>
          <w:marBottom w:val="0"/>
          <w:divBdr>
            <w:top w:val="none" w:sz="0" w:space="0" w:color="auto"/>
            <w:left w:val="none" w:sz="0" w:space="0" w:color="auto"/>
            <w:bottom w:val="none" w:sz="0" w:space="0" w:color="auto"/>
            <w:right w:val="none" w:sz="0" w:space="0" w:color="auto"/>
          </w:divBdr>
        </w:div>
        <w:div w:id="879590485">
          <w:marLeft w:val="640"/>
          <w:marRight w:val="0"/>
          <w:marTop w:val="0"/>
          <w:marBottom w:val="0"/>
          <w:divBdr>
            <w:top w:val="none" w:sz="0" w:space="0" w:color="auto"/>
            <w:left w:val="none" w:sz="0" w:space="0" w:color="auto"/>
            <w:bottom w:val="none" w:sz="0" w:space="0" w:color="auto"/>
            <w:right w:val="none" w:sz="0" w:space="0" w:color="auto"/>
          </w:divBdr>
        </w:div>
        <w:div w:id="1880049197">
          <w:marLeft w:val="640"/>
          <w:marRight w:val="0"/>
          <w:marTop w:val="0"/>
          <w:marBottom w:val="0"/>
          <w:divBdr>
            <w:top w:val="none" w:sz="0" w:space="0" w:color="auto"/>
            <w:left w:val="none" w:sz="0" w:space="0" w:color="auto"/>
            <w:bottom w:val="none" w:sz="0" w:space="0" w:color="auto"/>
            <w:right w:val="none" w:sz="0" w:space="0" w:color="auto"/>
          </w:divBdr>
        </w:div>
        <w:div w:id="1013066966">
          <w:marLeft w:val="640"/>
          <w:marRight w:val="0"/>
          <w:marTop w:val="0"/>
          <w:marBottom w:val="0"/>
          <w:divBdr>
            <w:top w:val="none" w:sz="0" w:space="0" w:color="auto"/>
            <w:left w:val="none" w:sz="0" w:space="0" w:color="auto"/>
            <w:bottom w:val="none" w:sz="0" w:space="0" w:color="auto"/>
            <w:right w:val="none" w:sz="0" w:space="0" w:color="auto"/>
          </w:divBdr>
        </w:div>
        <w:div w:id="633945132">
          <w:marLeft w:val="640"/>
          <w:marRight w:val="0"/>
          <w:marTop w:val="0"/>
          <w:marBottom w:val="0"/>
          <w:divBdr>
            <w:top w:val="none" w:sz="0" w:space="0" w:color="auto"/>
            <w:left w:val="none" w:sz="0" w:space="0" w:color="auto"/>
            <w:bottom w:val="none" w:sz="0" w:space="0" w:color="auto"/>
            <w:right w:val="none" w:sz="0" w:space="0" w:color="auto"/>
          </w:divBdr>
        </w:div>
        <w:div w:id="1880164178">
          <w:marLeft w:val="640"/>
          <w:marRight w:val="0"/>
          <w:marTop w:val="0"/>
          <w:marBottom w:val="0"/>
          <w:divBdr>
            <w:top w:val="none" w:sz="0" w:space="0" w:color="auto"/>
            <w:left w:val="none" w:sz="0" w:space="0" w:color="auto"/>
            <w:bottom w:val="none" w:sz="0" w:space="0" w:color="auto"/>
            <w:right w:val="none" w:sz="0" w:space="0" w:color="auto"/>
          </w:divBdr>
        </w:div>
        <w:div w:id="1852601340">
          <w:marLeft w:val="640"/>
          <w:marRight w:val="0"/>
          <w:marTop w:val="0"/>
          <w:marBottom w:val="0"/>
          <w:divBdr>
            <w:top w:val="none" w:sz="0" w:space="0" w:color="auto"/>
            <w:left w:val="none" w:sz="0" w:space="0" w:color="auto"/>
            <w:bottom w:val="none" w:sz="0" w:space="0" w:color="auto"/>
            <w:right w:val="none" w:sz="0" w:space="0" w:color="auto"/>
          </w:divBdr>
        </w:div>
        <w:div w:id="1160466019">
          <w:marLeft w:val="640"/>
          <w:marRight w:val="0"/>
          <w:marTop w:val="0"/>
          <w:marBottom w:val="0"/>
          <w:divBdr>
            <w:top w:val="none" w:sz="0" w:space="0" w:color="auto"/>
            <w:left w:val="none" w:sz="0" w:space="0" w:color="auto"/>
            <w:bottom w:val="none" w:sz="0" w:space="0" w:color="auto"/>
            <w:right w:val="none" w:sz="0" w:space="0" w:color="auto"/>
          </w:divBdr>
        </w:div>
        <w:div w:id="1466387294">
          <w:marLeft w:val="640"/>
          <w:marRight w:val="0"/>
          <w:marTop w:val="0"/>
          <w:marBottom w:val="0"/>
          <w:divBdr>
            <w:top w:val="none" w:sz="0" w:space="0" w:color="auto"/>
            <w:left w:val="none" w:sz="0" w:space="0" w:color="auto"/>
            <w:bottom w:val="none" w:sz="0" w:space="0" w:color="auto"/>
            <w:right w:val="none" w:sz="0" w:space="0" w:color="auto"/>
          </w:divBdr>
        </w:div>
        <w:div w:id="1870995688">
          <w:marLeft w:val="640"/>
          <w:marRight w:val="0"/>
          <w:marTop w:val="0"/>
          <w:marBottom w:val="0"/>
          <w:divBdr>
            <w:top w:val="none" w:sz="0" w:space="0" w:color="auto"/>
            <w:left w:val="none" w:sz="0" w:space="0" w:color="auto"/>
            <w:bottom w:val="none" w:sz="0" w:space="0" w:color="auto"/>
            <w:right w:val="none" w:sz="0" w:space="0" w:color="auto"/>
          </w:divBdr>
        </w:div>
        <w:div w:id="135146431">
          <w:marLeft w:val="640"/>
          <w:marRight w:val="0"/>
          <w:marTop w:val="0"/>
          <w:marBottom w:val="0"/>
          <w:divBdr>
            <w:top w:val="none" w:sz="0" w:space="0" w:color="auto"/>
            <w:left w:val="none" w:sz="0" w:space="0" w:color="auto"/>
            <w:bottom w:val="none" w:sz="0" w:space="0" w:color="auto"/>
            <w:right w:val="none" w:sz="0" w:space="0" w:color="auto"/>
          </w:divBdr>
        </w:div>
        <w:div w:id="1347950395">
          <w:marLeft w:val="640"/>
          <w:marRight w:val="0"/>
          <w:marTop w:val="0"/>
          <w:marBottom w:val="0"/>
          <w:divBdr>
            <w:top w:val="none" w:sz="0" w:space="0" w:color="auto"/>
            <w:left w:val="none" w:sz="0" w:space="0" w:color="auto"/>
            <w:bottom w:val="none" w:sz="0" w:space="0" w:color="auto"/>
            <w:right w:val="none" w:sz="0" w:space="0" w:color="auto"/>
          </w:divBdr>
        </w:div>
        <w:div w:id="1152599108">
          <w:marLeft w:val="640"/>
          <w:marRight w:val="0"/>
          <w:marTop w:val="0"/>
          <w:marBottom w:val="0"/>
          <w:divBdr>
            <w:top w:val="none" w:sz="0" w:space="0" w:color="auto"/>
            <w:left w:val="none" w:sz="0" w:space="0" w:color="auto"/>
            <w:bottom w:val="none" w:sz="0" w:space="0" w:color="auto"/>
            <w:right w:val="none" w:sz="0" w:space="0" w:color="auto"/>
          </w:divBdr>
        </w:div>
        <w:div w:id="213540851">
          <w:marLeft w:val="640"/>
          <w:marRight w:val="0"/>
          <w:marTop w:val="0"/>
          <w:marBottom w:val="0"/>
          <w:divBdr>
            <w:top w:val="none" w:sz="0" w:space="0" w:color="auto"/>
            <w:left w:val="none" w:sz="0" w:space="0" w:color="auto"/>
            <w:bottom w:val="none" w:sz="0" w:space="0" w:color="auto"/>
            <w:right w:val="none" w:sz="0" w:space="0" w:color="auto"/>
          </w:divBdr>
        </w:div>
        <w:div w:id="405306300">
          <w:marLeft w:val="640"/>
          <w:marRight w:val="0"/>
          <w:marTop w:val="0"/>
          <w:marBottom w:val="0"/>
          <w:divBdr>
            <w:top w:val="none" w:sz="0" w:space="0" w:color="auto"/>
            <w:left w:val="none" w:sz="0" w:space="0" w:color="auto"/>
            <w:bottom w:val="none" w:sz="0" w:space="0" w:color="auto"/>
            <w:right w:val="none" w:sz="0" w:space="0" w:color="auto"/>
          </w:divBdr>
        </w:div>
        <w:div w:id="1974821920">
          <w:marLeft w:val="640"/>
          <w:marRight w:val="0"/>
          <w:marTop w:val="0"/>
          <w:marBottom w:val="0"/>
          <w:divBdr>
            <w:top w:val="none" w:sz="0" w:space="0" w:color="auto"/>
            <w:left w:val="none" w:sz="0" w:space="0" w:color="auto"/>
            <w:bottom w:val="none" w:sz="0" w:space="0" w:color="auto"/>
            <w:right w:val="none" w:sz="0" w:space="0" w:color="auto"/>
          </w:divBdr>
        </w:div>
        <w:div w:id="1378431868">
          <w:marLeft w:val="640"/>
          <w:marRight w:val="0"/>
          <w:marTop w:val="0"/>
          <w:marBottom w:val="0"/>
          <w:divBdr>
            <w:top w:val="none" w:sz="0" w:space="0" w:color="auto"/>
            <w:left w:val="none" w:sz="0" w:space="0" w:color="auto"/>
            <w:bottom w:val="none" w:sz="0" w:space="0" w:color="auto"/>
            <w:right w:val="none" w:sz="0" w:space="0" w:color="auto"/>
          </w:divBdr>
        </w:div>
        <w:div w:id="802161433">
          <w:marLeft w:val="640"/>
          <w:marRight w:val="0"/>
          <w:marTop w:val="0"/>
          <w:marBottom w:val="0"/>
          <w:divBdr>
            <w:top w:val="none" w:sz="0" w:space="0" w:color="auto"/>
            <w:left w:val="none" w:sz="0" w:space="0" w:color="auto"/>
            <w:bottom w:val="none" w:sz="0" w:space="0" w:color="auto"/>
            <w:right w:val="none" w:sz="0" w:space="0" w:color="auto"/>
          </w:divBdr>
        </w:div>
        <w:div w:id="1401054119">
          <w:marLeft w:val="640"/>
          <w:marRight w:val="0"/>
          <w:marTop w:val="0"/>
          <w:marBottom w:val="0"/>
          <w:divBdr>
            <w:top w:val="none" w:sz="0" w:space="0" w:color="auto"/>
            <w:left w:val="none" w:sz="0" w:space="0" w:color="auto"/>
            <w:bottom w:val="none" w:sz="0" w:space="0" w:color="auto"/>
            <w:right w:val="none" w:sz="0" w:space="0" w:color="auto"/>
          </w:divBdr>
        </w:div>
        <w:div w:id="469320762">
          <w:marLeft w:val="640"/>
          <w:marRight w:val="0"/>
          <w:marTop w:val="0"/>
          <w:marBottom w:val="0"/>
          <w:divBdr>
            <w:top w:val="none" w:sz="0" w:space="0" w:color="auto"/>
            <w:left w:val="none" w:sz="0" w:space="0" w:color="auto"/>
            <w:bottom w:val="none" w:sz="0" w:space="0" w:color="auto"/>
            <w:right w:val="none" w:sz="0" w:space="0" w:color="auto"/>
          </w:divBdr>
        </w:div>
        <w:div w:id="31931538">
          <w:marLeft w:val="640"/>
          <w:marRight w:val="0"/>
          <w:marTop w:val="0"/>
          <w:marBottom w:val="0"/>
          <w:divBdr>
            <w:top w:val="none" w:sz="0" w:space="0" w:color="auto"/>
            <w:left w:val="none" w:sz="0" w:space="0" w:color="auto"/>
            <w:bottom w:val="none" w:sz="0" w:space="0" w:color="auto"/>
            <w:right w:val="none" w:sz="0" w:space="0" w:color="auto"/>
          </w:divBdr>
        </w:div>
        <w:div w:id="1336348097">
          <w:marLeft w:val="640"/>
          <w:marRight w:val="0"/>
          <w:marTop w:val="0"/>
          <w:marBottom w:val="0"/>
          <w:divBdr>
            <w:top w:val="none" w:sz="0" w:space="0" w:color="auto"/>
            <w:left w:val="none" w:sz="0" w:space="0" w:color="auto"/>
            <w:bottom w:val="none" w:sz="0" w:space="0" w:color="auto"/>
            <w:right w:val="none" w:sz="0" w:space="0" w:color="auto"/>
          </w:divBdr>
        </w:div>
      </w:divsChild>
    </w:div>
    <w:div w:id="914822518">
      <w:bodyDiv w:val="1"/>
      <w:marLeft w:val="0"/>
      <w:marRight w:val="0"/>
      <w:marTop w:val="0"/>
      <w:marBottom w:val="0"/>
      <w:divBdr>
        <w:top w:val="none" w:sz="0" w:space="0" w:color="auto"/>
        <w:left w:val="none" w:sz="0" w:space="0" w:color="auto"/>
        <w:bottom w:val="none" w:sz="0" w:space="0" w:color="auto"/>
        <w:right w:val="none" w:sz="0" w:space="0" w:color="auto"/>
      </w:divBdr>
    </w:div>
    <w:div w:id="943807793">
      <w:bodyDiv w:val="1"/>
      <w:marLeft w:val="0"/>
      <w:marRight w:val="0"/>
      <w:marTop w:val="0"/>
      <w:marBottom w:val="0"/>
      <w:divBdr>
        <w:top w:val="none" w:sz="0" w:space="0" w:color="auto"/>
        <w:left w:val="none" w:sz="0" w:space="0" w:color="auto"/>
        <w:bottom w:val="none" w:sz="0" w:space="0" w:color="auto"/>
        <w:right w:val="none" w:sz="0" w:space="0" w:color="auto"/>
      </w:divBdr>
    </w:div>
    <w:div w:id="983581552">
      <w:bodyDiv w:val="1"/>
      <w:marLeft w:val="0"/>
      <w:marRight w:val="0"/>
      <w:marTop w:val="0"/>
      <w:marBottom w:val="0"/>
      <w:divBdr>
        <w:top w:val="none" w:sz="0" w:space="0" w:color="auto"/>
        <w:left w:val="none" w:sz="0" w:space="0" w:color="auto"/>
        <w:bottom w:val="none" w:sz="0" w:space="0" w:color="auto"/>
        <w:right w:val="none" w:sz="0" w:space="0" w:color="auto"/>
      </w:divBdr>
    </w:div>
    <w:div w:id="989405570">
      <w:bodyDiv w:val="1"/>
      <w:marLeft w:val="0"/>
      <w:marRight w:val="0"/>
      <w:marTop w:val="0"/>
      <w:marBottom w:val="0"/>
      <w:divBdr>
        <w:top w:val="none" w:sz="0" w:space="0" w:color="auto"/>
        <w:left w:val="none" w:sz="0" w:space="0" w:color="auto"/>
        <w:bottom w:val="none" w:sz="0" w:space="0" w:color="auto"/>
        <w:right w:val="none" w:sz="0" w:space="0" w:color="auto"/>
      </w:divBdr>
    </w:div>
    <w:div w:id="1080105502">
      <w:bodyDiv w:val="1"/>
      <w:marLeft w:val="0"/>
      <w:marRight w:val="0"/>
      <w:marTop w:val="0"/>
      <w:marBottom w:val="0"/>
      <w:divBdr>
        <w:top w:val="none" w:sz="0" w:space="0" w:color="auto"/>
        <w:left w:val="none" w:sz="0" w:space="0" w:color="auto"/>
        <w:bottom w:val="none" w:sz="0" w:space="0" w:color="auto"/>
        <w:right w:val="none" w:sz="0" w:space="0" w:color="auto"/>
      </w:divBdr>
    </w:div>
    <w:div w:id="1082065354">
      <w:bodyDiv w:val="1"/>
      <w:marLeft w:val="0"/>
      <w:marRight w:val="0"/>
      <w:marTop w:val="0"/>
      <w:marBottom w:val="0"/>
      <w:divBdr>
        <w:top w:val="none" w:sz="0" w:space="0" w:color="auto"/>
        <w:left w:val="none" w:sz="0" w:space="0" w:color="auto"/>
        <w:bottom w:val="none" w:sz="0" w:space="0" w:color="auto"/>
        <w:right w:val="none" w:sz="0" w:space="0" w:color="auto"/>
      </w:divBdr>
    </w:div>
    <w:div w:id="1145274160">
      <w:bodyDiv w:val="1"/>
      <w:marLeft w:val="0"/>
      <w:marRight w:val="0"/>
      <w:marTop w:val="0"/>
      <w:marBottom w:val="0"/>
      <w:divBdr>
        <w:top w:val="none" w:sz="0" w:space="0" w:color="auto"/>
        <w:left w:val="none" w:sz="0" w:space="0" w:color="auto"/>
        <w:bottom w:val="none" w:sz="0" w:space="0" w:color="auto"/>
        <w:right w:val="none" w:sz="0" w:space="0" w:color="auto"/>
      </w:divBdr>
    </w:div>
    <w:div w:id="1218323738">
      <w:bodyDiv w:val="1"/>
      <w:marLeft w:val="0"/>
      <w:marRight w:val="0"/>
      <w:marTop w:val="0"/>
      <w:marBottom w:val="0"/>
      <w:divBdr>
        <w:top w:val="none" w:sz="0" w:space="0" w:color="auto"/>
        <w:left w:val="none" w:sz="0" w:space="0" w:color="auto"/>
        <w:bottom w:val="none" w:sz="0" w:space="0" w:color="auto"/>
        <w:right w:val="none" w:sz="0" w:space="0" w:color="auto"/>
      </w:divBdr>
    </w:div>
    <w:div w:id="1298728737">
      <w:bodyDiv w:val="1"/>
      <w:marLeft w:val="0"/>
      <w:marRight w:val="0"/>
      <w:marTop w:val="0"/>
      <w:marBottom w:val="0"/>
      <w:divBdr>
        <w:top w:val="none" w:sz="0" w:space="0" w:color="auto"/>
        <w:left w:val="none" w:sz="0" w:space="0" w:color="auto"/>
        <w:bottom w:val="none" w:sz="0" w:space="0" w:color="auto"/>
        <w:right w:val="none" w:sz="0" w:space="0" w:color="auto"/>
      </w:divBdr>
    </w:div>
    <w:div w:id="1337421648">
      <w:bodyDiv w:val="1"/>
      <w:marLeft w:val="0"/>
      <w:marRight w:val="0"/>
      <w:marTop w:val="0"/>
      <w:marBottom w:val="0"/>
      <w:divBdr>
        <w:top w:val="none" w:sz="0" w:space="0" w:color="auto"/>
        <w:left w:val="none" w:sz="0" w:space="0" w:color="auto"/>
        <w:bottom w:val="none" w:sz="0" w:space="0" w:color="auto"/>
        <w:right w:val="none" w:sz="0" w:space="0" w:color="auto"/>
      </w:divBdr>
      <w:divsChild>
        <w:div w:id="1358195359">
          <w:marLeft w:val="640"/>
          <w:marRight w:val="0"/>
          <w:marTop w:val="0"/>
          <w:marBottom w:val="0"/>
          <w:divBdr>
            <w:top w:val="none" w:sz="0" w:space="0" w:color="auto"/>
            <w:left w:val="none" w:sz="0" w:space="0" w:color="auto"/>
            <w:bottom w:val="none" w:sz="0" w:space="0" w:color="auto"/>
            <w:right w:val="none" w:sz="0" w:space="0" w:color="auto"/>
          </w:divBdr>
        </w:div>
        <w:div w:id="1959680594">
          <w:marLeft w:val="640"/>
          <w:marRight w:val="0"/>
          <w:marTop w:val="0"/>
          <w:marBottom w:val="0"/>
          <w:divBdr>
            <w:top w:val="none" w:sz="0" w:space="0" w:color="auto"/>
            <w:left w:val="none" w:sz="0" w:space="0" w:color="auto"/>
            <w:bottom w:val="none" w:sz="0" w:space="0" w:color="auto"/>
            <w:right w:val="none" w:sz="0" w:space="0" w:color="auto"/>
          </w:divBdr>
        </w:div>
        <w:div w:id="255528701">
          <w:marLeft w:val="640"/>
          <w:marRight w:val="0"/>
          <w:marTop w:val="0"/>
          <w:marBottom w:val="0"/>
          <w:divBdr>
            <w:top w:val="none" w:sz="0" w:space="0" w:color="auto"/>
            <w:left w:val="none" w:sz="0" w:space="0" w:color="auto"/>
            <w:bottom w:val="none" w:sz="0" w:space="0" w:color="auto"/>
            <w:right w:val="none" w:sz="0" w:space="0" w:color="auto"/>
          </w:divBdr>
        </w:div>
        <w:div w:id="120542387">
          <w:marLeft w:val="640"/>
          <w:marRight w:val="0"/>
          <w:marTop w:val="0"/>
          <w:marBottom w:val="0"/>
          <w:divBdr>
            <w:top w:val="none" w:sz="0" w:space="0" w:color="auto"/>
            <w:left w:val="none" w:sz="0" w:space="0" w:color="auto"/>
            <w:bottom w:val="none" w:sz="0" w:space="0" w:color="auto"/>
            <w:right w:val="none" w:sz="0" w:space="0" w:color="auto"/>
          </w:divBdr>
        </w:div>
        <w:div w:id="1898852060">
          <w:marLeft w:val="640"/>
          <w:marRight w:val="0"/>
          <w:marTop w:val="0"/>
          <w:marBottom w:val="0"/>
          <w:divBdr>
            <w:top w:val="none" w:sz="0" w:space="0" w:color="auto"/>
            <w:left w:val="none" w:sz="0" w:space="0" w:color="auto"/>
            <w:bottom w:val="none" w:sz="0" w:space="0" w:color="auto"/>
            <w:right w:val="none" w:sz="0" w:space="0" w:color="auto"/>
          </w:divBdr>
        </w:div>
        <w:div w:id="1261373604">
          <w:marLeft w:val="640"/>
          <w:marRight w:val="0"/>
          <w:marTop w:val="0"/>
          <w:marBottom w:val="0"/>
          <w:divBdr>
            <w:top w:val="none" w:sz="0" w:space="0" w:color="auto"/>
            <w:left w:val="none" w:sz="0" w:space="0" w:color="auto"/>
            <w:bottom w:val="none" w:sz="0" w:space="0" w:color="auto"/>
            <w:right w:val="none" w:sz="0" w:space="0" w:color="auto"/>
          </w:divBdr>
        </w:div>
        <w:div w:id="123278928">
          <w:marLeft w:val="640"/>
          <w:marRight w:val="0"/>
          <w:marTop w:val="0"/>
          <w:marBottom w:val="0"/>
          <w:divBdr>
            <w:top w:val="none" w:sz="0" w:space="0" w:color="auto"/>
            <w:left w:val="none" w:sz="0" w:space="0" w:color="auto"/>
            <w:bottom w:val="none" w:sz="0" w:space="0" w:color="auto"/>
            <w:right w:val="none" w:sz="0" w:space="0" w:color="auto"/>
          </w:divBdr>
        </w:div>
        <w:div w:id="235824317">
          <w:marLeft w:val="640"/>
          <w:marRight w:val="0"/>
          <w:marTop w:val="0"/>
          <w:marBottom w:val="0"/>
          <w:divBdr>
            <w:top w:val="none" w:sz="0" w:space="0" w:color="auto"/>
            <w:left w:val="none" w:sz="0" w:space="0" w:color="auto"/>
            <w:bottom w:val="none" w:sz="0" w:space="0" w:color="auto"/>
            <w:right w:val="none" w:sz="0" w:space="0" w:color="auto"/>
          </w:divBdr>
        </w:div>
        <w:div w:id="1195342794">
          <w:marLeft w:val="640"/>
          <w:marRight w:val="0"/>
          <w:marTop w:val="0"/>
          <w:marBottom w:val="0"/>
          <w:divBdr>
            <w:top w:val="none" w:sz="0" w:space="0" w:color="auto"/>
            <w:left w:val="none" w:sz="0" w:space="0" w:color="auto"/>
            <w:bottom w:val="none" w:sz="0" w:space="0" w:color="auto"/>
            <w:right w:val="none" w:sz="0" w:space="0" w:color="auto"/>
          </w:divBdr>
        </w:div>
        <w:div w:id="239296967">
          <w:marLeft w:val="640"/>
          <w:marRight w:val="0"/>
          <w:marTop w:val="0"/>
          <w:marBottom w:val="0"/>
          <w:divBdr>
            <w:top w:val="none" w:sz="0" w:space="0" w:color="auto"/>
            <w:left w:val="none" w:sz="0" w:space="0" w:color="auto"/>
            <w:bottom w:val="none" w:sz="0" w:space="0" w:color="auto"/>
            <w:right w:val="none" w:sz="0" w:space="0" w:color="auto"/>
          </w:divBdr>
        </w:div>
        <w:div w:id="829252003">
          <w:marLeft w:val="640"/>
          <w:marRight w:val="0"/>
          <w:marTop w:val="0"/>
          <w:marBottom w:val="0"/>
          <w:divBdr>
            <w:top w:val="none" w:sz="0" w:space="0" w:color="auto"/>
            <w:left w:val="none" w:sz="0" w:space="0" w:color="auto"/>
            <w:bottom w:val="none" w:sz="0" w:space="0" w:color="auto"/>
            <w:right w:val="none" w:sz="0" w:space="0" w:color="auto"/>
          </w:divBdr>
        </w:div>
        <w:div w:id="1412505833">
          <w:marLeft w:val="640"/>
          <w:marRight w:val="0"/>
          <w:marTop w:val="0"/>
          <w:marBottom w:val="0"/>
          <w:divBdr>
            <w:top w:val="none" w:sz="0" w:space="0" w:color="auto"/>
            <w:left w:val="none" w:sz="0" w:space="0" w:color="auto"/>
            <w:bottom w:val="none" w:sz="0" w:space="0" w:color="auto"/>
            <w:right w:val="none" w:sz="0" w:space="0" w:color="auto"/>
          </w:divBdr>
        </w:div>
        <w:div w:id="675814253">
          <w:marLeft w:val="640"/>
          <w:marRight w:val="0"/>
          <w:marTop w:val="0"/>
          <w:marBottom w:val="0"/>
          <w:divBdr>
            <w:top w:val="none" w:sz="0" w:space="0" w:color="auto"/>
            <w:left w:val="none" w:sz="0" w:space="0" w:color="auto"/>
            <w:bottom w:val="none" w:sz="0" w:space="0" w:color="auto"/>
            <w:right w:val="none" w:sz="0" w:space="0" w:color="auto"/>
          </w:divBdr>
        </w:div>
        <w:div w:id="1099714977">
          <w:marLeft w:val="640"/>
          <w:marRight w:val="0"/>
          <w:marTop w:val="0"/>
          <w:marBottom w:val="0"/>
          <w:divBdr>
            <w:top w:val="none" w:sz="0" w:space="0" w:color="auto"/>
            <w:left w:val="none" w:sz="0" w:space="0" w:color="auto"/>
            <w:bottom w:val="none" w:sz="0" w:space="0" w:color="auto"/>
            <w:right w:val="none" w:sz="0" w:space="0" w:color="auto"/>
          </w:divBdr>
        </w:div>
        <w:div w:id="855193768">
          <w:marLeft w:val="640"/>
          <w:marRight w:val="0"/>
          <w:marTop w:val="0"/>
          <w:marBottom w:val="0"/>
          <w:divBdr>
            <w:top w:val="none" w:sz="0" w:space="0" w:color="auto"/>
            <w:left w:val="none" w:sz="0" w:space="0" w:color="auto"/>
            <w:bottom w:val="none" w:sz="0" w:space="0" w:color="auto"/>
            <w:right w:val="none" w:sz="0" w:space="0" w:color="auto"/>
          </w:divBdr>
        </w:div>
        <w:div w:id="231279914">
          <w:marLeft w:val="640"/>
          <w:marRight w:val="0"/>
          <w:marTop w:val="0"/>
          <w:marBottom w:val="0"/>
          <w:divBdr>
            <w:top w:val="none" w:sz="0" w:space="0" w:color="auto"/>
            <w:left w:val="none" w:sz="0" w:space="0" w:color="auto"/>
            <w:bottom w:val="none" w:sz="0" w:space="0" w:color="auto"/>
            <w:right w:val="none" w:sz="0" w:space="0" w:color="auto"/>
          </w:divBdr>
        </w:div>
        <w:div w:id="123696977">
          <w:marLeft w:val="640"/>
          <w:marRight w:val="0"/>
          <w:marTop w:val="0"/>
          <w:marBottom w:val="0"/>
          <w:divBdr>
            <w:top w:val="none" w:sz="0" w:space="0" w:color="auto"/>
            <w:left w:val="none" w:sz="0" w:space="0" w:color="auto"/>
            <w:bottom w:val="none" w:sz="0" w:space="0" w:color="auto"/>
            <w:right w:val="none" w:sz="0" w:space="0" w:color="auto"/>
          </w:divBdr>
        </w:div>
        <w:div w:id="343242822">
          <w:marLeft w:val="640"/>
          <w:marRight w:val="0"/>
          <w:marTop w:val="0"/>
          <w:marBottom w:val="0"/>
          <w:divBdr>
            <w:top w:val="none" w:sz="0" w:space="0" w:color="auto"/>
            <w:left w:val="none" w:sz="0" w:space="0" w:color="auto"/>
            <w:bottom w:val="none" w:sz="0" w:space="0" w:color="auto"/>
            <w:right w:val="none" w:sz="0" w:space="0" w:color="auto"/>
          </w:divBdr>
        </w:div>
        <w:div w:id="997418699">
          <w:marLeft w:val="640"/>
          <w:marRight w:val="0"/>
          <w:marTop w:val="0"/>
          <w:marBottom w:val="0"/>
          <w:divBdr>
            <w:top w:val="none" w:sz="0" w:space="0" w:color="auto"/>
            <w:left w:val="none" w:sz="0" w:space="0" w:color="auto"/>
            <w:bottom w:val="none" w:sz="0" w:space="0" w:color="auto"/>
            <w:right w:val="none" w:sz="0" w:space="0" w:color="auto"/>
          </w:divBdr>
        </w:div>
        <w:div w:id="452142051">
          <w:marLeft w:val="640"/>
          <w:marRight w:val="0"/>
          <w:marTop w:val="0"/>
          <w:marBottom w:val="0"/>
          <w:divBdr>
            <w:top w:val="none" w:sz="0" w:space="0" w:color="auto"/>
            <w:left w:val="none" w:sz="0" w:space="0" w:color="auto"/>
            <w:bottom w:val="none" w:sz="0" w:space="0" w:color="auto"/>
            <w:right w:val="none" w:sz="0" w:space="0" w:color="auto"/>
          </w:divBdr>
        </w:div>
        <w:div w:id="994913611">
          <w:marLeft w:val="640"/>
          <w:marRight w:val="0"/>
          <w:marTop w:val="0"/>
          <w:marBottom w:val="0"/>
          <w:divBdr>
            <w:top w:val="none" w:sz="0" w:space="0" w:color="auto"/>
            <w:left w:val="none" w:sz="0" w:space="0" w:color="auto"/>
            <w:bottom w:val="none" w:sz="0" w:space="0" w:color="auto"/>
            <w:right w:val="none" w:sz="0" w:space="0" w:color="auto"/>
          </w:divBdr>
        </w:div>
        <w:div w:id="415438233">
          <w:marLeft w:val="640"/>
          <w:marRight w:val="0"/>
          <w:marTop w:val="0"/>
          <w:marBottom w:val="0"/>
          <w:divBdr>
            <w:top w:val="none" w:sz="0" w:space="0" w:color="auto"/>
            <w:left w:val="none" w:sz="0" w:space="0" w:color="auto"/>
            <w:bottom w:val="none" w:sz="0" w:space="0" w:color="auto"/>
            <w:right w:val="none" w:sz="0" w:space="0" w:color="auto"/>
          </w:divBdr>
        </w:div>
        <w:div w:id="555433145">
          <w:marLeft w:val="640"/>
          <w:marRight w:val="0"/>
          <w:marTop w:val="0"/>
          <w:marBottom w:val="0"/>
          <w:divBdr>
            <w:top w:val="none" w:sz="0" w:space="0" w:color="auto"/>
            <w:left w:val="none" w:sz="0" w:space="0" w:color="auto"/>
            <w:bottom w:val="none" w:sz="0" w:space="0" w:color="auto"/>
            <w:right w:val="none" w:sz="0" w:space="0" w:color="auto"/>
          </w:divBdr>
        </w:div>
        <w:div w:id="359089167">
          <w:marLeft w:val="640"/>
          <w:marRight w:val="0"/>
          <w:marTop w:val="0"/>
          <w:marBottom w:val="0"/>
          <w:divBdr>
            <w:top w:val="none" w:sz="0" w:space="0" w:color="auto"/>
            <w:left w:val="none" w:sz="0" w:space="0" w:color="auto"/>
            <w:bottom w:val="none" w:sz="0" w:space="0" w:color="auto"/>
            <w:right w:val="none" w:sz="0" w:space="0" w:color="auto"/>
          </w:divBdr>
        </w:div>
        <w:div w:id="354306877">
          <w:marLeft w:val="640"/>
          <w:marRight w:val="0"/>
          <w:marTop w:val="0"/>
          <w:marBottom w:val="0"/>
          <w:divBdr>
            <w:top w:val="none" w:sz="0" w:space="0" w:color="auto"/>
            <w:left w:val="none" w:sz="0" w:space="0" w:color="auto"/>
            <w:bottom w:val="none" w:sz="0" w:space="0" w:color="auto"/>
            <w:right w:val="none" w:sz="0" w:space="0" w:color="auto"/>
          </w:divBdr>
        </w:div>
        <w:div w:id="2065251587">
          <w:marLeft w:val="640"/>
          <w:marRight w:val="0"/>
          <w:marTop w:val="0"/>
          <w:marBottom w:val="0"/>
          <w:divBdr>
            <w:top w:val="none" w:sz="0" w:space="0" w:color="auto"/>
            <w:left w:val="none" w:sz="0" w:space="0" w:color="auto"/>
            <w:bottom w:val="none" w:sz="0" w:space="0" w:color="auto"/>
            <w:right w:val="none" w:sz="0" w:space="0" w:color="auto"/>
          </w:divBdr>
        </w:div>
        <w:div w:id="617495966">
          <w:marLeft w:val="640"/>
          <w:marRight w:val="0"/>
          <w:marTop w:val="0"/>
          <w:marBottom w:val="0"/>
          <w:divBdr>
            <w:top w:val="none" w:sz="0" w:space="0" w:color="auto"/>
            <w:left w:val="none" w:sz="0" w:space="0" w:color="auto"/>
            <w:bottom w:val="none" w:sz="0" w:space="0" w:color="auto"/>
            <w:right w:val="none" w:sz="0" w:space="0" w:color="auto"/>
          </w:divBdr>
        </w:div>
        <w:div w:id="1605651252">
          <w:marLeft w:val="640"/>
          <w:marRight w:val="0"/>
          <w:marTop w:val="0"/>
          <w:marBottom w:val="0"/>
          <w:divBdr>
            <w:top w:val="none" w:sz="0" w:space="0" w:color="auto"/>
            <w:left w:val="none" w:sz="0" w:space="0" w:color="auto"/>
            <w:bottom w:val="none" w:sz="0" w:space="0" w:color="auto"/>
            <w:right w:val="none" w:sz="0" w:space="0" w:color="auto"/>
          </w:divBdr>
        </w:div>
        <w:div w:id="929124101">
          <w:marLeft w:val="640"/>
          <w:marRight w:val="0"/>
          <w:marTop w:val="0"/>
          <w:marBottom w:val="0"/>
          <w:divBdr>
            <w:top w:val="none" w:sz="0" w:space="0" w:color="auto"/>
            <w:left w:val="none" w:sz="0" w:space="0" w:color="auto"/>
            <w:bottom w:val="none" w:sz="0" w:space="0" w:color="auto"/>
            <w:right w:val="none" w:sz="0" w:space="0" w:color="auto"/>
          </w:divBdr>
        </w:div>
        <w:div w:id="565653748">
          <w:marLeft w:val="640"/>
          <w:marRight w:val="0"/>
          <w:marTop w:val="0"/>
          <w:marBottom w:val="0"/>
          <w:divBdr>
            <w:top w:val="none" w:sz="0" w:space="0" w:color="auto"/>
            <w:left w:val="none" w:sz="0" w:space="0" w:color="auto"/>
            <w:bottom w:val="none" w:sz="0" w:space="0" w:color="auto"/>
            <w:right w:val="none" w:sz="0" w:space="0" w:color="auto"/>
          </w:divBdr>
        </w:div>
        <w:div w:id="678241437">
          <w:marLeft w:val="640"/>
          <w:marRight w:val="0"/>
          <w:marTop w:val="0"/>
          <w:marBottom w:val="0"/>
          <w:divBdr>
            <w:top w:val="none" w:sz="0" w:space="0" w:color="auto"/>
            <w:left w:val="none" w:sz="0" w:space="0" w:color="auto"/>
            <w:bottom w:val="none" w:sz="0" w:space="0" w:color="auto"/>
            <w:right w:val="none" w:sz="0" w:space="0" w:color="auto"/>
          </w:divBdr>
        </w:div>
        <w:div w:id="997539684">
          <w:marLeft w:val="640"/>
          <w:marRight w:val="0"/>
          <w:marTop w:val="0"/>
          <w:marBottom w:val="0"/>
          <w:divBdr>
            <w:top w:val="none" w:sz="0" w:space="0" w:color="auto"/>
            <w:left w:val="none" w:sz="0" w:space="0" w:color="auto"/>
            <w:bottom w:val="none" w:sz="0" w:space="0" w:color="auto"/>
            <w:right w:val="none" w:sz="0" w:space="0" w:color="auto"/>
          </w:divBdr>
        </w:div>
        <w:div w:id="132259154">
          <w:marLeft w:val="640"/>
          <w:marRight w:val="0"/>
          <w:marTop w:val="0"/>
          <w:marBottom w:val="0"/>
          <w:divBdr>
            <w:top w:val="none" w:sz="0" w:space="0" w:color="auto"/>
            <w:left w:val="none" w:sz="0" w:space="0" w:color="auto"/>
            <w:bottom w:val="none" w:sz="0" w:space="0" w:color="auto"/>
            <w:right w:val="none" w:sz="0" w:space="0" w:color="auto"/>
          </w:divBdr>
        </w:div>
        <w:div w:id="1498305323">
          <w:marLeft w:val="640"/>
          <w:marRight w:val="0"/>
          <w:marTop w:val="0"/>
          <w:marBottom w:val="0"/>
          <w:divBdr>
            <w:top w:val="none" w:sz="0" w:space="0" w:color="auto"/>
            <w:left w:val="none" w:sz="0" w:space="0" w:color="auto"/>
            <w:bottom w:val="none" w:sz="0" w:space="0" w:color="auto"/>
            <w:right w:val="none" w:sz="0" w:space="0" w:color="auto"/>
          </w:divBdr>
        </w:div>
        <w:div w:id="1114982665">
          <w:marLeft w:val="640"/>
          <w:marRight w:val="0"/>
          <w:marTop w:val="0"/>
          <w:marBottom w:val="0"/>
          <w:divBdr>
            <w:top w:val="none" w:sz="0" w:space="0" w:color="auto"/>
            <w:left w:val="none" w:sz="0" w:space="0" w:color="auto"/>
            <w:bottom w:val="none" w:sz="0" w:space="0" w:color="auto"/>
            <w:right w:val="none" w:sz="0" w:space="0" w:color="auto"/>
          </w:divBdr>
        </w:div>
        <w:div w:id="2044594883">
          <w:marLeft w:val="640"/>
          <w:marRight w:val="0"/>
          <w:marTop w:val="0"/>
          <w:marBottom w:val="0"/>
          <w:divBdr>
            <w:top w:val="none" w:sz="0" w:space="0" w:color="auto"/>
            <w:left w:val="none" w:sz="0" w:space="0" w:color="auto"/>
            <w:bottom w:val="none" w:sz="0" w:space="0" w:color="auto"/>
            <w:right w:val="none" w:sz="0" w:space="0" w:color="auto"/>
          </w:divBdr>
        </w:div>
        <w:div w:id="1682585108">
          <w:marLeft w:val="640"/>
          <w:marRight w:val="0"/>
          <w:marTop w:val="0"/>
          <w:marBottom w:val="0"/>
          <w:divBdr>
            <w:top w:val="none" w:sz="0" w:space="0" w:color="auto"/>
            <w:left w:val="none" w:sz="0" w:space="0" w:color="auto"/>
            <w:bottom w:val="none" w:sz="0" w:space="0" w:color="auto"/>
            <w:right w:val="none" w:sz="0" w:space="0" w:color="auto"/>
          </w:divBdr>
        </w:div>
        <w:div w:id="1126049050">
          <w:marLeft w:val="640"/>
          <w:marRight w:val="0"/>
          <w:marTop w:val="0"/>
          <w:marBottom w:val="0"/>
          <w:divBdr>
            <w:top w:val="none" w:sz="0" w:space="0" w:color="auto"/>
            <w:left w:val="none" w:sz="0" w:space="0" w:color="auto"/>
            <w:bottom w:val="none" w:sz="0" w:space="0" w:color="auto"/>
            <w:right w:val="none" w:sz="0" w:space="0" w:color="auto"/>
          </w:divBdr>
        </w:div>
        <w:div w:id="1993828884">
          <w:marLeft w:val="640"/>
          <w:marRight w:val="0"/>
          <w:marTop w:val="0"/>
          <w:marBottom w:val="0"/>
          <w:divBdr>
            <w:top w:val="none" w:sz="0" w:space="0" w:color="auto"/>
            <w:left w:val="none" w:sz="0" w:space="0" w:color="auto"/>
            <w:bottom w:val="none" w:sz="0" w:space="0" w:color="auto"/>
            <w:right w:val="none" w:sz="0" w:space="0" w:color="auto"/>
          </w:divBdr>
        </w:div>
        <w:div w:id="404491729">
          <w:marLeft w:val="640"/>
          <w:marRight w:val="0"/>
          <w:marTop w:val="0"/>
          <w:marBottom w:val="0"/>
          <w:divBdr>
            <w:top w:val="none" w:sz="0" w:space="0" w:color="auto"/>
            <w:left w:val="none" w:sz="0" w:space="0" w:color="auto"/>
            <w:bottom w:val="none" w:sz="0" w:space="0" w:color="auto"/>
            <w:right w:val="none" w:sz="0" w:space="0" w:color="auto"/>
          </w:divBdr>
        </w:div>
        <w:div w:id="394662488">
          <w:marLeft w:val="640"/>
          <w:marRight w:val="0"/>
          <w:marTop w:val="0"/>
          <w:marBottom w:val="0"/>
          <w:divBdr>
            <w:top w:val="none" w:sz="0" w:space="0" w:color="auto"/>
            <w:left w:val="none" w:sz="0" w:space="0" w:color="auto"/>
            <w:bottom w:val="none" w:sz="0" w:space="0" w:color="auto"/>
            <w:right w:val="none" w:sz="0" w:space="0" w:color="auto"/>
          </w:divBdr>
        </w:div>
        <w:div w:id="1235239399">
          <w:marLeft w:val="640"/>
          <w:marRight w:val="0"/>
          <w:marTop w:val="0"/>
          <w:marBottom w:val="0"/>
          <w:divBdr>
            <w:top w:val="none" w:sz="0" w:space="0" w:color="auto"/>
            <w:left w:val="none" w:sz="0" w:space="0" w:color="auto"/>
            <w:bottom w:val="none" w:sz="0" w:space="0" w:color="auto"/>
            <w:right w:val="none" w:sz="0" w:space="0" w:color="auto"/>
          </w:divBdr>
        </w:div>
        <w:div w:id="1155217660">
          <w:marLeft w:val="640"/>
          <w:marRight w:val="0"/>
          <w:marTop w:val="0"/>
          <w:marBottom w:val="0"/>
          <w:divBdr>
            <w:top w:val="none" w:sz="0" w:space="0" w:color="auto"/>
            <w:left w:val="none" w:sz="0" w:space="0" w:color="auto"/>
            <w:bottom w:val="none" w:sz="0" w:space="0" w:color="auto"/>
            <w:right w:val="none" w:sz="0" w:space="0" w:color="auto"/>
          </w:divBdr>
        </w:div>
        <w:div w:id="820541174">
          <w:marLeft w:val="640"/>
          <w:marRight w:val="0"/>
          <w:marTop w:val="0"/>
          <w:marBottom w:val="0"/>
          <w:divBdr>
            <w:top w:val="none" w:sz="0" w:space="0" w:color="auto"/>
            <w:left w:val="none" w:sz="0" w:space="0" w:color="auto"/>
            <w:bottom w:val="none" w:sz="0" w:space="0" w:color="auto"/>
            <w:right w:val="none" w:sz="0" w:space="0" w:color="auto"/>
          </w:divBdr>
        </w:div>
        <w:div w:id="1517426084">
          <w:marLeft w:val="640"/>
          <w:marRight w:val="0"/>
          <w:marTop w:val="0"/>
          <w:marBottom w:val="0"/>
          <w:divBdr>
            <w:top w:val="none" w:sz="0" w:space="0" w:color="auto"/>
            <w:left w:val="none" w:sz="0" w:space="0" w:color="auto"/>
            <w:bottom w:val="none" w:sz="0" w:space="0" w:color="auto"/>
            <w:right w:val="none" w:sz="0" w:space="0" w:color="auto"/>
          </w:divBdr>
        </w:div>
        <w:div w:id="1374230755">
          <w:marLeft w:val="640"/>
          <w:marRight w:val="0"/>
          <w:marTop w:val="0"/>
          <w:marBottom w:val="0"/>
          <w:divBdr>
            <w:top w:val="none" w:sz="0" w:space="0" w:color="auto"/>
            <w:left w:val="none" w:sz="0" w:space="0" w:color="auto"/>
            <w:bottom w:val="none" w:sz="0" w:space="0" w:color="auto"/>
            <w:right w:val="none" w:sz="0" w:space="0" w:color="auto"/>
          </w:divBdr>
        </w:div>
        <w:div w:id="1010259537">
          <w:marLeft w:val="640"/>
          <w:marRight w:val="0"/>
          <w:marTop w:val="0"/>
          <w:marBottom w:val="0"/>
          <w:divBdr>
            <w:top w:val="none" w:sz="0" w:space="0" w:color="auto"/>
            <w:left w:val="none" w:sz="0" w:space="0" w:color="auto"/>
            <w:bottom w:val="none" w:sz="0" w:space="0" w:color="auto"/>
            <w:right w:val="none" w:sz="0" w:space="0" w:color="auto"/>
          </w:divBdr>
        </w:div>
        <w:div w:id="263736226">
          <w:marLeft w:val="640"/>
          <w:marRight w:val="0"/>
          <w:marTop w:val="0"/>
          <w:marBottom w:val="0"/>
          <w:divBdr>
            <w:top w:val="none" w:sz="0" w:space="0" w:color="auto"/>
            <w:left w:val="none" w:sz="0" w:space="0" w:color="auto"/>
            <w:bottom w:val="none" w:sz="0" w:space="0" w:color="auto"/>
            <w:right w:val="none" w:sz="0" w:space="0" w:color="auto"/>
          </w:divBdr>
        </w:div>
        <w:div w:id="752821983">
          <w:marLeft w:val="640"/>
          <w:marRight w:val="0"/>
          <w:marTop w:val="0"/>
          <w:marBottom w:val="0"/>
          <w:divBdr>
            <w:top w:val="none" w:sz="0" w:space="0" w:color="auto"/>
            <w:left w:val="none" w:sz="0" w:space="0" w:color="auto"/>
            <w:bottom w:val="none" w:sz="0" w:space="0" w:color="auto"/>
            <w:right w:val="none" w:sz="0" w:space="0" w:color="auto"/>
          </w:divBdr>
        </w:div>
        <w:div w:id="1495337858">
          <w:marLeft w:val="640"/>
          <w:marRight w:val="0"/>
          <w:marTop w:val="0"/>
          <w:marBottom w:val="0"/>
          <w:divBdr>
            <w:top w:val="none" w:sz="0" w:space="0" w:color="auto"/>
            <w:left w:val="none" w:sz="0" w:space="0" w:color="auto"/>
            <w:bottom w:val="none" w:sz="0" w:space="0" w:color="auto"/>
            <w:right w:val="none" w:sz="0" w:space="0" w:color="auto"/>
          </w:divBdr>
        </w:div>
        <w:div w:id="39212783">
          <w:marLeft w:val="640"/>
          <w:marRight w:val="0"/>
          <w:marTop w:val="0"/>
          <w:marBottom w:val="0"/>
          <w:divBdr>
            <w:top w:val="none" w:sz="0" w:space="0" w:color="auto"/>
            <w:left w:val="none" w:sz="0" w:space="0" w:color="auto"/>
            <w:bottom w:val="none" w:sz="0" w:space="0" w:color="auto"/>
            <w:right w:val="none" w:sz="0" w:space="0" w:color="auto"/>
          </w:divBdr>
        </w:div>
        <w:div w:id="516310556">
          <w:marLeft w:val="640"/>
          <w:marRight w:val="0"/>
          <w:marTop w:val="0"/>
          <w:marBottom w:val="0"/>
          <w:divBdr>
            <w:top w:val="none" w:sz="0" w:space="0" w:color="auto"/>
            <w:left w:val="none" w:sz="0" w:space="0" w:color="auto"/>
            <w:bottom w:val="none" w:sz="0" w:space="0" w:color="auto"/>
            <w:right w:val="none" w:sz="0" w:space="0" w:color="auto"/>
          </w:divBdr>
        </w:div>
        <w:div w:id="817183104">
          <w:marLeft w:val="640"/>
          <w:marRight w:val="0"/>
          <w:marTop w:val="0"/>
          <w:marBottom w:val="0"/>
          <w:divBdr>
            <w:top w:val="none" w:sz="0" w:space="0" w:color="auto"/>
            <w:left w:val="none" w:sz="0" w:space="0" w:color="auto"/>
            <w:bottom w:val="none" w:sz="0" w:space="0" w:color="auto"/>
            <w:right w:val="none" w:sz="0" w:space="0" w:color="auto"/>
          </w:divBdr>
        </w:div>
        <w:div w:id="27878532">
          <w:marLeft w:val="640"/>
          <w:marRight w:val="0"/>
          <w:marTop w:val="0"/>
          <w:marBottom w:val="0"/>
          <w:divBdr>
            <w:top w:val="none" w:sz="0" w:space="0" w:color="auto"/>
            <w:left w:val="none" w:sz="0" w:space="0" w:color="auto"/>
            <w:bottom w:val="none" w:sz="0" w:space="0" w:color="auto"/>
            <w:right w:val="none" w:sz="0" w:space="0" w:color="auto"/>
          </w:divBdr>
        </w:div>
        <w:div w:id="982392927">
          <w:marLeft w:val="640"/>
          <w:marRight w:val="0"/>
          <w:marTop w:val="0"/>
          <w:marBottom w:val="0"/>
          <w:divBdr>
            <w:top w:val="none" w:sz="0" w:space="0" w:color="auto"/>
            <w:left w:val="none" w:sz="0" w:space="0" w:color="auto"/>
            <w:bottom w:val="none" w:sz="0" w:space="0" w:color="auto"/>
            <w:right w:val="none" w:sz="0" w:space="0" w:color="auto"/>
          </w:divBdr>
        </w:div>
        <w:div w:id="2012483828">
          <w:marLeft w:val="640"/>
          <w:marRight w:val="0"/>
          <w:marTop w:val="0"/>
          <w:marBottom w:val="0"/>
          <w:divBdr>
            <w:top w:val="none" w:sz="0" w:space="0" w:color="auto"/>
            <w:left w:val="none" w:sz="0" w:space="0" w:color="auto"/>
            <w:bottom w:val="none" w:sz="0" w:space="0" w:color="auto"/>
            <w:right w:val="none" w:sz="0" w:space="0" w:color="auto"/>
          </w:divBdr>
        </w:div>
        <w:div w:id="1744988058">
          <w:marLeft w:val="640"/>
          <w:marRight w:val="0"/>
          <w:marTop w:val="0"/>
          <w:marBottom w:val="0"/>
          <w:divBdr>
            <w:top w:val="none" w:sz="0" w:space="0" w:color="auto"/>
            <w:left w:val="none" w:sz="0" w:space="0" w:color="auto"/>
            <w:bottom w:val="none" w:sz="0" w:space="0" w:color="auto"/>
            <w:right w:val="none" w:sz="0" w:space="0" w:color="auto"/>
          </w:divBdr>
        </w:div>
        <w:div w:id="688213449">
          <w:marLeft w:val="640"/>
          <w:marRight w:val="0"/>
          <w:marTop w:val="0"/>
          <w:marBottom w:val="0"/>
          <w:divBdr>
            <w:top w:val="none" w:sz="0" w:space="0" w:color="auto"/>
            <w:left w:val="none" w:sz="0" w:space="0" w:color="auto"/>
            <w:bottom w:val="none" w:sz="0" w:space="0" w:color="auto"/>
            <w:right w:val="none" w:sz="0" w:space="0" w:color="auto"/>
          </w:divBdr>
        </w:div>
        <w:div w:id="1216314662">
          <w:marLeft w:val="640"/>
          <w:marRight w:val="0"/>
          <w:marTop w:val="0"/>
          <w:marBottom w:val="0"/>
          <w:divBdr>
            <w:top w:val="none" w:sz="0" w:space="0" w:color="auto"/>
            <w:left w:val="none" w:sz="0" w:space="0" w:color="auto"/>
            <w:bottom w:val="none" w:sz="0" w:space="0" w:color="auto"/>
            <w:right w:val="none" w:sz="0" w:space="0" w:color="auto"/>
          </w:divBdr>
        </w:div>
        <w:div w:id="1405951347">
          <w:marLeft w:val="640"/>
          <w:marRight w:val="0"/>
          <w:marTop w:val="0"/>
          <w:marBottom w:val="0"/>
          <w:divBdr>
            <w:top w:val="none" w:sz="0" w:space="0" w:color="auto"/>
            <w:left w:val="none" w:sz="0" w:space="0" w:color="auto"/>
            <w:bottom w:val="none" w:sz="0" w:space="0" w:color="auto"/>
            <w:right w:val="none" w:sz="0" w:space="0" w:color="auto"/>
          </w:divBdr>
        </w:div>
        <w:div w:id="1486512891">
          <w:marLeft w:val="640"/>
          <w:marRight w:val="0"/>
          <w:marTop w:val="0"/>
          <w:marBottom w:val="0"/>
          <w:divBdr>
            <w:top w:val="none" w:sz="0" w:space="0" w:color="auto"/>
            <w:left w:val="none" w:sz="0" w:space="0" w:color="auto"/>
            <w:bottom w:val="none" w:sz="0" w:space="0" w:color="auto"/>
            <w:right w:val="none" w:sz="0" w:space="0" w:color="auto"/>
          </w:divBdr>
        </w:div>
        <w:div w:id="1624457942">
          <w:marLeft w:val="640"/>
          <w:marRight w:val="0"/>
          <w:marTop w:val="0"/>
          <w:marBottom w:val="0"/>
          <w:divBdr>
            <w:top w:val="none" w:sz="0" w:space="0" w:color="auto"/>
            <w:left w:val="none" w:sz="0" w:space="0" w:color="auto"/>
            <w:bottom w:val="none" w:sz="0" w:space="0" w:color="auto"/>
            <w:right w:val="none" w:sz="0" w:space="0" w:color="auto"/>
          </w:divBdr>
        </w:div>
        <w:div w:id="840506382">
          <w:marLeft w:val="640"/>
          <w:marRight w:val="0"/>
          <w:marTop w:val="0"/>
          <w:marBottom w:val="0"/>
          <w:divBdr>
            <w:top w:val="none" w:sz="0" w:space="0" w:color="auto"/>
            <w:left w:val="none" w:sz="0" w:space="0" w:color="auto"/>
            <w:bottom w:val="none" w:sz="0" w:space="0" w:color="auto"/>
            <w:right w:val="none" w:sz="0" w:space="0" w:color="auto"/>
          </w:divBdr>
        </w:div>
        <w:div w:id="1214654055">
          <w:marLeft w:val="640"/>
          <w:marRight w:val="0"/>
          <w:marTop w:val="0"/>
          <w:marBottom w:val="0"/>
          <w:divBdr>
            <w:top w:val="none" w:sz="0" w:space="0" w:color="auto"/>
            <w:left w:val="none" w:sz="0" w:space="0" w:color="auto"/>
            <w:bottom w:val="none" w:sz="0" w:space="0" w:color="auto"/>
            <w:right w:val="none" w:sz="0" w:space="0" w:color="auto"/>
          </w:divBdr>
        </w:div>
        <w:div w:id="1438061107">
          <w:marLeft w:val="640"/>
          <w:marRight w:val="0"/>
          <w:marTop w:val="0"/>
          <w:marBottom w:val="0"/>
          <w:divBdr>
            <w:top w:val="none" w:sz="0" w:space="0" w:color="auto"/>
            <w:left w:val="none" w:sz="0" w:space="0" w:color="auto"/>
            <w:bottom w:val="none" w:sz="0" w:space="0" w:color="auto"/>
            <w:right w:val="none" w:sz="0" w:space="0" w:color="auto"/>
          </w:divBdr>
        </w:div>
        <w:div w:id="1195730028">
          <w:marLeft w:val="640"/>
          <w:marRight w:val="0"/>
          <w:marTop w:val="0"/>
          <w:marBottom w:val="0"/>
          <w:divBdr>
            <w:top w:val="none" w:sz="0" w:space="0" w:color="auto"/>
            <w:left w:val="none" w:sz="0" w:space="0" w:color="auto"/>
            <w:bottom w:val="none" w:sz="0" w:space="0" w:color="auto"/>
            <w:right w:val="none" w:sz="0" w:space="0" w:color="auto"/>
          </w:divBdr>
        </w:div>
        <w:div w:id="529149047">
          <w:marLeft w:val="640"/>
          <w:marRight w:val="0"/>
          <w:marTop w:val="0"/>
          <w:marBottom w:val="0"/>
          <w:divBdr>
            <w:top w:val="none" w:sz="0" w:space="0" w:color="auto"/>
            <w:left w:val="none" w:sz="0" w:space="0" w:color="auto"/>
            <w:bottom w:val="none" w:sz="0" w:space="0" w:color="auto"/>
            <w:right w:val="none" w:sz="0" w:space="0" w:color="auto"/>
          </w:divBdr>
        </w:div>
        <w:div w:id="1810854235">
          <w:marLeft w:val="640"/>
          <w:marRight w:val="0"/>
          <w:marTop w:val="0"/>
          <w:marBottom w:val="0"/>
          <w:divBdr>
            <w:top w:val="none" w:sz="0" w:space="0" w:color="auto"/>
            <w:left w:val="none" w:sz="0" w:space="0" w:color="auto"/>
            <w:bottom w:val="none" w:sz="0" w:space="0" w:color="auto"/>
            <w:right w:val="none" w:sz="0" w:space="0" w:color="auto"/>
          </w:divBdr>
        </w:div>
      </w:divsChild>
    </w:div>
    <w:div w:id="1374185272">
      <w:bodyDiv w:val="1"/>
      <w:marLeft w:val="0"/>
      <w:marRight w:val="0"/>
      <w:marTop w:val="0"/>
      <w:marBottom w:val="0"/>
      <w:divBdr>
        <w:top w:val="none" w:sz="0" w:space="0" w:color="auto"/>
        <w:left w:val="none" w:sz="0" w:space="0" w:color="auto"/>
        <w:bottom w:val="none" w:sz="0" w:space="0" w:color="auto"/>
        <w:right w:val="none" w:sz="0" w:space="0" w:color="auto"/>
      </w:divBdr>
    </w:div>
    <w:div w:id="1386446250">
      <w:bodyDiv w:val="1"/>
      <w:marLeft w:val="0"/>
      <w:marRight w:val="0"/>
      <w:marTop w:val="0"/>
      <w:marBottom w:val="0"/>
      <w:divBdr>
        <w:top w:val="none" w:sz="0" w:space="0" w:color="auto"/>
        <w:left w:val="none" w:sz="0" w:space="0" w:color="auto"/>
        <w:bottom w:val="none" w:sz="0" w:space="0" w:color="auto"/>
        <w:right w:val="none" w:sz="0" w:space="0" w:color="auto"/>
      </w:divBdr>
    </w:div>
    <w:div w:id="1417940855">
      <w:bodyDiv w:val="1"/>
      <w:marLeft w:val="0"/>
      <w:marRight w:val="0"/>
      <w:marTop w:val="0"/>
      <w:marBottom w:val="0"/>
      <w:divBdr>
        <w:top w:val="none" w:sz="0" w:space="0" w:color="auto"/>
        <w:left w:val="none" w:sz="0" w:space="0" w:color="auto"/>
        <w:bottom w:val="none" w:sz="0" w:space="0" w:color="auto"/>
        <w:right w:val="none" w:sz="0" w:space="0" w:color="auto"/>
      </w:divBdr>
    </w:div>
    <w:div w:id="1434403740">
      <w:bodyDiv w:val="1"/>
      <w:marLeft w:val="0"/>
      <w:marRight w:val="0"/>
      <w:marTop w:val="0"/>
      <w:marBottom w:val="0"/>
      <w:divBdr>
        <w:top w:val="none" w:sz="0" w:space="0" w:color="auto"/>
        <w:left w:val="none" w:sz="0" w:space="0" w:color="auto"/>
        <w:bottom w:val="none" w:sz="0" w:space="0" w:color="auto"/>
        <w:right w:val="none" w:sz="0" w:space="0" w:color="auto"/>
      </w:divBdr>
    </w:div>
    <w:div w:id="1473870464">
      <w:bodyDiv w:val="1"/>
      <w:marLeft w:val="0"/>
      <w:marRight w:val="0"/>
      <w:marTop w:val="0"/>
      <w:marBottom w:val="0"/>
      <w:divBdr>
        <w:top w:val="none" w:sz="0" w:space="0" w:color="auto"/>
        <w:left w:val="none" w:sz="0" w:space="0" w:color="auto"/>
        <w:bottom w:val="none" w:sz="0" w:space="0" w:color="auto"/>
        <w:right w:val="none" w:sz="0" w:space="0" w:color="auto"/>
      </w:divBdr>
    </w:div>
    <w:div w:id="1548302015">
      <w:bodyDiv w:val="1"/>
      <w:marLeft w:val="0"/>
      <w:marRight w:val="0"/>
      <w:marTop w:val="0"/>
      <w:marBottom w:val="0"/>
      <w:divBdr>
        <w:top w:val="none" w:sz="0" w:space="0" w:color="auto"/>
        <w:left w:val="none" w:sz="0" w:space="0" w:color="auto"/>
        <w:bottom w:val="none" w:sz="0" w:space="0" w:color="auto"/>
        <w:right w:val="none" w:sz="0" w:space="0" w:color="auto"/>
      </w:divBdr>
      <w:divsChild>
        <w:div w:id="1081757309">
          <w:marLeft w:val="640"/>
          <w:marRight w:val="0"/>
          <w:marTop w:val="0"/>
          <w:marBottom w:val="0"/>
          <w:divBdr>
            <w:top w:val="none" w:sz="0" w:space="0" w:color="auto"/>
            <w:left w:val="none" w:sz="0" w:space="0" w:color="auto"/>
            <w:bottom w:val="none" w:sz="0" w:space="0" w:color="auto"/>
            <w:right w:val="none" w:sz="0" w:space="0" w:color="auto"/>
          </w:divBdr>
        </w:div>
        <w:div w:id="619527756">
          <w:marLeft w:val="640"/>
          <w:marRight w:val="0"/>
          <w:marTop w:val="0"/>
          <w:marBottom w:val="0"/>
          <w:divBdr>
            <w:top w:val="none" w:sz="0" w:space="0" w:color="auto"/>
            <w:left w:val="none" w:sz="0" w:space="0" w:color="auto"/>
            <w:bottom w:val="none" w:sz="0" w:space="0" w:color="auto"/>
            <w:right w:val="none" w:sz="0" w:space="0" w:color="auto"/>
          </w:divBdr>
        </w:div>
        <w:div w:id="1940092448">
          <w:marLeft w:val="640"/>
          <w:marRight w:val="0"/>
          <w:marTop w:val="0"/>
          <w:marBottom w:val="0"/>
          <w:divBdr>
            <w:top w:val="none" w:sz="0" w:space="0" w:color="auto"/>
            <w:left w:val="none" w:sz="0" w:space="0" w:color="auto"/>
            <w:bottom w:val="none" w:sz="0" w:space="0" w:color="auto"/>
            <w:right w:val="none" w:sz="0" w:space="0" w:color="auto"/>
          </w:divBdr>
        </w:div>
        <w:div w:id="1475291691">
          <w:marLeft w:val="640"/>
          <w:marRight w:val="0"/>
          <w:marTop w:val="0"/>
          <w:marBottom w:val="0"/>
          <w:divBdr>
            <w:top w:val="none" w:sz="0" w:space="0" w:color="auto"/>
            <w:left w:val="none" w:sz="0" w:space="0" w:color="auto"/>
            <w:bottom w:val="none" w:sz="0" w:space="0" w:color="auto"/>
            <w:right w:val="none" w:sz="0" w:space="0" w:color="auto"/>
          </w:divBdr>
        </w:div>
        <w:div w:id="913398610">
          <w:marLeft w:val="640"/>
          <w:marRight w:val="0"/>
          <w:marTop w:val="0"/>
          <w:marBottom w:val="0"/>
          <w:divBdr>
            <w:top w:val="none" w:sz="0" w:space="0" w:color="auto"/>
            <w:left w:val="none" w:sz="0" w:space="0" w:color="auto"/>
            <w:bottom w:val="none" w:sz="0" w:space="0" w:color="auto"/>
            <w:right w:val="none" w:sz="0" w:space="0" w:color="auto"/>
          </w:divBdr>
        </w:div>
        <w:div w:id="2125152130">
          <w:marLeft w:val="640"/>
          <w:marRight w:val="0"/>
          <w:marTop w:val="0"/>
          <w:marBottom w:val="0"/>
          <w:divBdr>
            <w:top w:val="none" w:sz="0" w:space="0" w:color="auto"/>
            <w:left w:val="none" w:sz="0" w:space="0" w:color="auto"/>
            <w:bottom w:val="none" w:sz="0" w:space="0" w:color="auto"/>
            <w:right w:val="none" w:sz="0" w:space="0" w:color="auto"/>
          </w:divBdr>
        </w:div>
        <w:div w:id="1857228906">
          <w:marLeft w:val="640"/>
          <w:marRight w:val="0"/>
          <w:marTop w:val="0"/>
          <w:marBottom w:val="0"/>
          <w:divBdr>
            <w:top w:val="none" w:sz="0" w:space="0" w:color="auto"/>
            <w:left w:val="none" w:sz="0" w:space="0" w:color="auto"/>
            <w:bottom w:val="none" w:sz="0" w:space="0" w:color="auto"/>
            <w:right w:val="none" w:sz="0" w:space="0" w:color="auto"/>
          </w:divBdr>
        </w:div>
        <w:div w:id="1052461036">
          <w:marLeft w:val="640"/>
          <w:marRight w:val="0"/>
          <w:marTop w:val="0"/>
          <w:marBottom w:val="0"/>
          <w:divBdr>
            <w:top w:val="none" w:sz="0" w:space="0" w:color="auto"/>
            <w:left w:val="none" w:sz="0" w:space="0" w:color="auto"/>
            <w:bottom w:val="none" w:sz="0" w:space="0" w:color="auto"/>
            <w:right w:val="none" w:sz="0" w:space="0" w:color="auto"/>
          </w:divBdr>
        </w:div>
        <w:div w:id="1464886196">
          <w:marLeft w:val="640"/>
          <w:marRight w:val="0"/>
          <w:marTop w:val="0"/>
          <w:marBottom w:val="0"/>
          <w:divBdr>
            <w:top w:val="none" w:sz="0" w:space="0" w:color="auto"/>
            <w:left w:val="none" w:sz="0" w:space="0" w:color="auto"/>
            <w:bottom w:val="none" w:sz="0" w:space="0" w:color="auto"/>
            <w:right w:val="none" w:sz="0" w:space="0" w:color="auto"/>
          </w:divBdr>
        </w:div>
        <w:div w:id="466170660">
          <w:marLeft w:val="640"/>
          <w:marRight w:val="0"/>
          <w:marTop w:val="0"/>
          <w:marBottom w:val="0"/>
          <w:divBdr>
            <w:top w:val="none" w:sz="0" w:space="0" w:color="auto"/>
            <w:left w:val="none" w:sz="0" w:space="0" w:color="auto"/>
            <w:bottom w:val="none" w:sz="0" w:space="0" w:color="auto"/>
            <w:right w:val="none" w:sz="0" w:space="0" w:color="auto"/>
          </w:divBdr>
        </w:div>
        <w:div w:id="219756923">
          <w:marLeft w:val="640"/>
          <w:marRight w:val="0"/>
          <w:marTop w:val="0"/>
          <w:marBottom w:val="0"/>
          <w:divBdr>
            <w:top w:val="none" w:sz="0" w:space="0" w:color="auto"/>
            <w:left w:val="none" w:sz="0" w:space="0" w:color="auto"/>
            <w:bottom w:val="none" w:sz="0" w:space="0" w:color="auto"/>
            <w:right w:val="none" w:sz="0" w:space="0" w:color="auto"/>
          </w:divBdr>
        </w:div>
        <w:div w:id="1256286309">
          <w:marLeft w:val="640"/>
          <w:marRight w:val="0"/>
          <w:marTop w:val="0"/>
          <w:marBottom w:val="0"/>
          <w:divBdr>
            <w:top w:val="none" w:sz="0" w:space="0" w:color="auto"/>
            <w:left w:val="none" w:sz="0" w:space="0" w:color="auto"/>
            <w:bottom w:val="none" w:sz="0" w:space="0" w:color="auto"/>
            <w:right w:val="none" w:sz="0" w:space="0" w:color="auto"/>
          </w:divBdr>
        </w:div>
        <w:div w:id="528565339">
          <w:marLeft w:val="640"/>
          <w:marRight w:val="0"/>
          <w:marTop w:val="0"/>
          <w:marBottom w:val="0"/>
          <w:divBdr>
            <w:top w:val="none" w:sz="0" w:space="0" w:color="auto"/>
            <w:left w:val="none" w:sz="0" w:space="0" w:color="auto"/>
            <w:bottom w:val="none" w:sz="0" w:space="0" w:color="auto"/>
            <w:right w:val="none" w:sz="0" w:space="0" w:color="auto"/>
          </w:divBdr>
        </w:div>
        <w:div w:id="2003853092">
          <w:marLeft w:val="640"/>
          <w:marRight w:val="0"/>
          <w:marTop w:val="0"/>
          <w:marBottom w:val="0"/>
          <w:divBdr>
            <w:top w:val="none" w:sz="0" w:space="0" w:color="auto"/>
            <w:left w:val="none" w:sz="0" w:space="0" w:color="auto"/>
            <w:bottom w:val="none" w:sz="0" w:space="0" w:color="auto"/>
            <w:right w:val="none" w:sz="0" w:space="0" w:color="auto"/>
          </w:divBdr>
        </w:div>
        <w:div w:id="347028889">
          <w:marLeft w:val="640"/>
          <w:marRight w:val="0"/>
          <w:marTop w:val="0"/>
          <w:marBottom w:val="0"/>
          <w:divBdr>
            <w:top w:val="none" w:sz="0" w:space="0" w:color="auto"/>
            <w:left w:val="none" w:sz="0" w:space="0" w:color="auto"/>
            <w:bottom w:val="none" w:sz="0" w:space="0" w:color="auto"/>
            <w:right w:val="none" w:sz="0" w:space="0" w:color="auto"/>
          </w:divBdr>
        </w:div>
        <w:div w:id="721053371">
          <w:marLeft w:val="640"/>
          <w:marRight w:val="0"/>
          <w:marTop w:val="0"/>
          <w:marBottom w:val="0"/>
          <w:divBdr>
            <w:top w:val="none" w:sz="0" w:space="0" w:color="auto"/>
            <w:left w:val="none" w:sz="0" w:space="0" w:color="auto"/>
            <w:bottom w:val="none" w:sz="0" w:space="0" w:color="auto"/>
            <w:right w:val="none" w:sz="0" w:space="0" w:color="auto"/>
          </w:divBdr>
        </w:div>
        <w:div w:id="859246019">
          <w:marLeft w:val="640"/>
          <w:marRight w:val="0"/>
          <w:marTop w:val="0"/>
          <w:marBottom w:val="0"/>
          <w:divBdr>
            <w:top w:val="none" w:sz="0" w:space="0" w:color="auto"/>
            <w:left w:val="none" w:sz="0" w:space="0" w:color="auto"/>
            <w:bottom w:val="none" w:sz="0" w:space="0" w:color="auto"/>
            <w:right w:val="none" w:sz="0" w:space="0" w:color="auto"/>
          </w:divBdr>
        </w:div>
        <w:div w:id="1914850301">
          <w:marLeft w:val="640"/>
          <w:marRight w:val="0"/>
          <w:marTop w:val="0"/>
          <w:marBottom w:val="0"/>
          <w:divBdr>
            <w:top w:val="none" w:sz="0" w:space="0" w:color="auto"/>
            <w:left w:val="none" w:sz="0" w:space="0" w:color="auto"/>
            <w:bottom w:val="none" w:sz="0" w:space="0" w:color="auto"/>
            <w:right w:val="none" w:sz="0" w:space="0" w:color="auto"/>
          </w:divBdr>
        </w:div>
        <w:div w:id="1355616556">
          <w:marLeft w:val="640"/>
          <w:marRight w:val="0"/>
          <w:marTop w:val="0"/>
          <w:marBottom w:val="0"/>
          <w:divBdr>
            <w:top w:val="none" w:sz="0" w:space="0" w:color="auto"/>
            <w:left w:val="none" w:sz="0" w:space="0" w:color="auto"/>
            <w:bottom w:val="none" w:sz="0" w:space="0" w:color="auto"/>
            <w:right w:val="none" w:sz="0" w:space="0" w:color="auto"/>
          </w:divBdr>
        </w:div>
        <w:div w:id="1426150009">
          <w:marLeft w:val="640"/>
          <w:marRight w:val="0"/>
          <w:marTop w:val="0"/>
          <w:marBottom w:val="0"/>
          <w:divBdr>
            <w:top w:val="none" w:sz="0" w:space="0" w:color="auto"/>
            <w:left w:val="none" w:sz="0" w:space="0" w:color="auto"/>
            <w:bottom w:val="none" w:sz="0" w:space="0" w:color="auto"/>
            <w:right w:val="none" w:sz="0" w:space="0" w:color="auto"/>
          </w:divBdr>
        </w:div>
        <w:div w:id="60567131">
          <w:marLeft w:val="640"/>
          <w:marRight w:val="0"/>
          <w:marTop w:val="0"/>
          <w:marBottom w:val="0"/>
          <w:divBdr>
            <w:top w:val="none" w:sz="0" w:space="0" w:color="auto"/>
            <w:left w:val="none" w:sz="0" w:space="0" w:color="auto"/>
            <w:bottom w:val="none" w:sz="0" w:space="0" w:color="auto"/>
            <w:right w:val="none" w:sz="0" w:space="0" w:color="auto"/>
          </w:divBdr>
        </w:div>
        <w:div w:id="1938636691">
          <w:marLeft w:val="640"/>
          <w:marRight w:val="0"/>
          <w:marTop w:val="0"/>
          <w:marBottom w:val="0"/>
          <w:divBdr>
            <w:top w:val="none" w:sz="0" w:space="0" w:color="auto"/>
            <w:left w:val="none" w:sz="0" w:space="0" w:color="auto"/>
            <w:bottom w:val="none" w:sz="0" w:space="0" w:color="auto"/>
            <w:right w:val="none" w:sz="0" w:space="0" w:color="auto"/>
          </w:divBdr>
        </w:div>
        <w:div w:id="392124573">
          <w:marLeft w:val="640"/>
          <w:marRight w:val="0"/>
          <w:marTop w:val="0"/>
          <w:marBottom w:val="0"/>
          <w:divBdr>
            <w:top w:val="none" w:sz="0" w:space="0" w:color="auto"/>
            <w:left w:val="none" w:sz="0" w:space="0" w:color="auto"/>
            <w:bottom w:val="none" w:sz="0" w:space="0" w:color="auto"/>
            <w:right w:val="none" w:sz="0" w:space="0" w:color="auto"/>
          </w:divBdr>
        </w:div>
        <w:div w:id="605230611">
          <w:marLeft w:val="640"/>
          <w:marRight w:val="0"/>
          <w:marTop w:val="0"/>
          <w:marBottom w:val="0"/>
          <w:divBdr>
            <w:top w:val="none" w:sz="0" w:space="0" w:color="auto"/>
            <w:left w:val="none" w:sz="0" w:space="0" w:color="auto"/>
            <w:bottom w:val="none" w:sz="0" w:space="0" w:color="auto"/>
            <w:right w:val="none" w:sz="0" w:space="0" w:color="auto"/>
          </w:divBdr>
        </w:div>
        <w:div w:id="1820073078">
          <w:marLeft w:val="640"/>
          <w:marRight w:val="0"/>
          <w:marTop w:val="0"/>
          <w:marBottom w:val="0"/>
          <w:divBdr>
            <w:top w:val="none" w:sz="0" w:space="0" w:color="auto"/>
            <w:left w:val="none" w:sz="0" w:space="0" w:color="auto"/>
            <w:bottom w:val="none" w:sz="0" w:space="0" w:color="auto"/>
            <w:right w:val="none" w:sz="0" w:space="0" w:color="auto"/>
          </w:divBdr>
        </w:div>
        <w:div w:id="1869172713">
          <w:marLeft w:val="640"/>
          <w:marRight w:val="0"/>
          <w:marTop w:val="0"/>
          <w:marBottom w:val="0"/>
          <w:divBdr>
            <w:top w:val="none" w:sz="0" w:space="0" w:color="auto"/>
            <w:left w:val="none" w:sz="0" w:space="0" w:color="auto"/>
            <w:bottom w:val="none" w:sz="0" w:space="0" w:color="auto"/>
            <w:right w:val="none" w:sz="0" w:space="0" w:color="auto"/>
          </w:divBdr>
        </w:div>
        <w:div w:id="902377518">
          <w:marLeft w:val="640"/>
          <w:marRight w:val="0"/>
          <w:marTop w:val="0"/>
          <w:marBottom w:val="0"/>
          <w:divBdr>
            <w:top w:val="none" w:sz="0" w:space="0" w:color="auto"/>
            <w:left w:val="none" w:sz="0" w:space="0" w:color="auto"/>
            <w:bottom w:val="none" w:sz="0" w:space="0" w:color="auto"/>
            <w:right w:val="none" w:sz="0" w:space="0" w:color="auto"/>
          </w:divBdr>
        </w:div>
        <w:div w:id="1932856050">
          <w:marLeft w:val="640"/>
          <w:marRight w:val="0"/>
          <w:marTop w:val="0"/>
          <w:marBottom w:val="0"/>
          <w:divBdr>
            <w:top w:val="none" w:sz="0" w:space="0" w:color="auto"/>
            <w:left w:val="none" w:sz="0" w:space="0" w:color="auto"/>
            <w:bottom w:val="none" w:sz="0" w:space="0" w:color="auto"/>
            <w:right w:val="none" w:sz="0" w:space="0" w:color="auto"/>
          </w:divBdr>
        </w:div>
        <w:div w:id="1862207904">
          <w:marLeft w:val="640"/>
          <w:marRight w:val="0"/>
          <w:marTop w:val="0"/>
          <w:marBottom w:val="0"/>
          <w:divBdr>
            <w:top w:val="none" w:sz="0" w:space="0" w:color="auto"/>
            <w:left w:val="none" w:sz="0" w:space="0" w:color="auto"/>
            <w:bottom w:val="none" w:sz="0" w:space="0" w:color="auto"/>
            <w:right w:val="none" w:sz="0" w:space="0" w:color="auto"/>
          </w:divBdr>
        </w:div>
        <w:div w:id="1335692103">
          <w:marLeft w:val="640"/>
          <w:marRight w:val="0"/>
          <w:marTop w:val="0"/>
          <w:marBottom w:val="0"/>
          <w:divBdr>
            <w:top w:val="none" w:sz="0" w:space="0" w:color="auto"/>
            <w:left w:val="none" w:sz="0" w:space="0" w:color="auto"/>
            <w:bottom w:val="none" w:sz="0" w:space="0" w:color="auto"/>
            <w:right w:val="none" w:sz="0" w:space="0" w:color="auto"/>
          </w:divBdr>
        </w:div>
        <w:div w:id="565263345">
          <w:marLeft w:val="640"/>
          <w:marRight w:val="0"/>
          <w:marTop w:val="0"/>
          <w:marBottom w:val="0"/>
          <w:divBdr>
            <w:top w:val="none" w:sz="0" w:space="0" w:color="auto"/>
            <w:left w:val="none" w:sz="0" w:space="0" w:color="auto"/>
            <w:bottom w:val="none" w:sz="0" w:space="0" w:color="auto"/>
            <w:right w:val="none" w:sz="0" w:space="0" w:color="auto"/>
          </w:divBdr>
        </w:div>
        <w:div w:id="844442563">
          <w:marLeft w:val="640"/>
          <w:marRight w:val="0"/>
          <w:marTop w:val="0"/>
          <w:marBottom w:val="0"/>
          <w:divBdr>
            <w:top w:val="none" w:sz="0" w:space="0" w:color="auto"/>
            <w:left w:val="none" w:sz="0" w:space="0" w:color="auto"/>
            <w:bottom w:val="none" w:sz="0" w:space="0" w:color="auto"/>
            <w:right w:val="none" w:sz="0" w:space="0" w:color="auto"/>
          </w:divBdr>
        </w:div>
        <w:div w:id="1877113285">
          <w:marLeft w:val="640"/>
          <w:marRight w:val="0"/>
          <w:marTop w:val="0"/>
          <w:marBottom w:val="0"/>
          <w:divBdr>
            <w:top w:val="none" w:sz="0" w:space="0" w:color="auto"/>
            <w:left w:val="none" w:sz="0" w:space="0" w:color="auto"/>
            <w:bottom w:val="none" w:sz="0" w:space="0" w:color="auto"/>
            <w:right w:val="none" w:sz="0" w:space="0" w:color="auto"/>
          </w:divBdr>
        </w:div>
        <w:div w:id="894778107">
          <w:marLeft w:val="640"/>
          <w:marRight w:val="0"/>
          <w:marTop w:val="0"/>
          <w:marBottom w:val="0"/>
          <w:divBdr>
            <w:top w:val="none" w:sz="0" w:space="0" w:color="auto"/>
            <w:left w:val="none" w:sz="0" w:space="0" w:color="auto"/>
            <w:bottom w:val="none" w:sz="0" w:space="0" w:color="auto"/>
            <w:right w:val="none" w:sz="0" w:space="0" w:color="auto"/>
          </w:divBdr>
        </w:div>
        <w:div w:id="1068576258">
          <w:marLeft w:val="640"/>
          <w:marRight w:val="0"/>
          <w:marTop w:val="0"/>
          <w:marBottom w:val="0"/>
          <w:divBdr>
            <w:top w:val="none" w:sz="0" w:space="0" w:color="auto"/>
            <w:left w:val="none" w:sz="0" w:space="0" w:color="auto"/>
            <w:bottom w:val="none" w:sz="0" w:space="0" w:color="auto"/>
            <w:right w:val="none" w:sz="0" w:space="0" w:color="auto"/>
          </w:divBdr>
        </w:div>
        <w:div w:id="708729082">
          <w:marLeft w:val="640"/>
          <w:marRight w:val="0"/>
          <w:marTop w:val="0"/>
          <w:marBottom w:val="0"/>
          <w:divBdr>
            <w:top w:val="none" w:sz="0" w:space="0" w:color="auto"/>
            <w:left w:val="none" w:sz="0" w:space="0" w:color="auto"/>
            <w:bottom w:val="none" w:sz="0" w:space="0" w:color="auto"/>
            <w:right w:val="none" w:sz="0" w:space="0" w:color="auto"/>
          </w:divBdr>
        </w:div>
        <w:div w:id="560795597">
          <w:marLeft w:val="640"/>
          <w:marRight w:val="0"/>
          <w:marTop w:val="0"/>
          <w:marBottom w:val="0"/>
          <w:divBdr>
            <w:top w:val="none" w:sz="0" w:space="0" w:color="auto"/>
            <w:left w:val="none" w:sz="0" w:space="0" w:color="auto"/>
            <w:bottom w:val="none" w:sz="0" w:space="0" w:color="auto"/>
            <w:right w:val="none" w:sz="0" w:space="0" w:color="auto"/>
          </w:divBdr>
        </w:div>
        <w:div w:id="1150710451">
          <w:marLeft w:val="640"/>
          <w:marRight w:val="0"/>
          <w:marTop w:val="0"/>
          <w:marBottom w:val="0"/>
          <w:divBdr>
            <w:top w:val="none" w:sz="0" w:space="0" w:color="auto"/>
            <w:left w:val="none" w:sz="0" w:space="0" w:color="auto"/>
            <w:bottom w:val="none" w:sz="0" w:space="0" w:color="auto"/>
            <w:right w:val="none" w:sz="0" w:space="0" w:color="auto"/>
          </w:divBdr>
        </w:div>
        <w:div w:id="1625580644">
          <w:marLeft w:val="640"/>
          <w:marRight w:val="0"/>
          <w:marTop w:val="0"/>
          <w:marBottom w:val="0"/>
          <w:divBdr>
            <w:top w:val="none" w:sz="0" w:space="0" w:color="auto"/>
            <w:left w:val="none" w:sz="0" w:space="0" w:color="auto"/>
            <w:bottom w:val="none" w:sz="0" w:space="0" w:color="auto"/>
            <w:right w:val="none" w:sz="0" w:space="0" w:color="auto"/>
          </w:divBdr>
        </w:div>
        <w:div w:id="1853299423">
          <w:marLeft w:val="640"/>
          <w:marRight w:val="0"/>
          <w:marTop w:val="0"/>
          <w:marBottom w:val="0"/>
          <w:divBdr>
            <w:top w:val="none" w:sz="0" w:space="0" w:color="auto"/>
            <w:left w:val="none" w:sz="0" w:space="0" w:color="auto"/>
            <w:bottom w:val="none" w:sz="0" w:space="0" w:color="auto"/>
            <w:right w:val="none" w:sz="0" w:space="0" w:color="auto"/>
          </w:divBdr>
        </w:div>
        <w:div w:id="1586649379">
          <w:marLeft w:val="640"/>
          <w:marRight w:val="0"/>
          <w:marTop w:val="0"/>
          <w:marBottom w:val="0"/>
          <w:divBdr>
            <w:top w:val="none" w:sz="0" w:space="0" w:color="auto"/>
            <w:left w:val="none" w:sz="0" w:space="0" w:color="auto"/>
            <w:bottom w:val="none" w:sz="0" w:space="0" w:color="auto"/>
            <w:right w:val="none" w:sz="0" w:space="0" w:color="auto"/>
          </w:divBdr>
        </w:div>
        <w:div w:id="933636764">
          <w:marLeft w:val="640"/>
          <w:marRight w:val="0"/>
          <w:marTop w:val="0"/>
          <w:marBottom w:val="0"/>
          <w:divBdr>
            <w:top w:val="none" w:sz="0" w:space="0" w:color="auto"/>
            <w:left w:val="none" w:sz="0" w:space="0" w:color="auto"/>
            <w:bottom w:val="none" w:sz="0" w:space="0" w:color="auto"/>
            <w:right w:val="none" w:sz="0" w:space="0" w:color="auto"/>
          </w:divBdr>
        </w:div>
        <w:div w:id="616331026">
          <w:marLeft w:val="640"/>
          <w:marRight w:val="0"/>
          <w:marTop w:val="0"/>
          <w:marBottom w:val="0"/>
          <w:divBdr>
            <w:top w:val="none" w:sz="0" w:space="0" w:color="auto"/>
            <w:left w:val="none" w:sz="0" w:space="0" w:color="auto"/>
            <w:bottom w:val="none" w:sz="0" w:space="0" w:color="auto"/>
            <w:right w:val="none" w:sz="0" w:space="0" w:color="auto"/>
          </w:divBdr>
        </w:div>
        <w:div w:id="342056447">
          <w:marLeft w:val="640"/>
          <w:marRight w:val="0"/>
          <w:marTop w:val="0"/>
          <w:marBottom w:val="0"/>
          <w:divBdr>
            <w:top w:val="none" w:sz="0" w:space="0" w:color="auto"/>
            <w:left w:val="none" w:sz="0" w:space="0" w:color="auto"/>
            <w:bottom w:val="none" w:sz="0" w:space="0" w:color="auto"/>
            <w:right w:val="none" w:sz="0" w:space="0" w:color="auto"/>
          </w:divBdr>
        </w:div>
        <w:div w:id="295570591">
          <w:marLeft w:val="640"/>
          <w:marRight w:val="0"/>
          <w:marTop w:val="0"/>
          <w:marBottom w:val="0"/>
          <w:divBdr>
            <w:top w:val="none" w:sz="0" w:space="0" w:color="auto"/>
            <w:left w:val="none" w:sz="0" w:space="0" w:color="auto"/>
            <w:bottom w:val="none" w:sz="0" w:space="0" w:color="auto"/>
            <w:right w:val="none" w:sz="0" w:space="0" w:color="auto"/>
          </w:divBdr>
        </w:div>
        <w:div w:id="1227105565">
          <w:marLeft w:val="640"/>
          <w:marRight w:val="0"/>
          <w:marTop w:val="0"/>
          <w:marBottom w:val="0"/>
          <w:divBdr>
            <w:top w:val="none" w:sz="0" w:space="0" w:color="auto"/>
            <w:left w:val="none" w:sz="0" w:space="0" w:color="auto"/>
            <w:bottom w:val="none" w:sz="0" w:space="0" w:color="auto"/>
            <w:right w:val="none" w:sz="0" w:space="0" w:color="auto"/>
          </w:divBdr>
        </w:div>
        <w:div w:id="1864394569">
          <w:marLeft w:val="640"/>
          <w:marRight w:val="0"/>
          <w:marTop w:val="0"/>
          <w:marBottom w:val="0"/>
          <w:divBdr>
            <w:top w:val="none" w:sz="0" w:space="0" w:color="auto"/>
            <w:left w:val="none" w:sz="0" w:space="0" w:color="auto"/>
            <w:bottom w:val="none" w:sz="0" w:space="0" w:color="auto"/>
            <w:right w:val="none" w:sz="0" w:space="0" w:color="auto"/>
          </w:divBdr>
        </w:div>
        <w:div w:id="1957367361">
          <w:marLeft w:val="640"/>
          <w:marRight w:val="0"/>
          <w:marTop w:val="0"/>
          <w:marBottom w:val="0"/>
          <w:divBdr>
            <w:top w:val="none" w:sz="0" w:space="0" w:color="auto"/>
            <w:left w:val="none" w:sz="0" w:space="0" w:color="auto"/>
            <w:bottom w:val="none" w:sz="0" w:space="0" w:color="auto"/>
            <w:right w:val="none" w:sz="0" w:space="0" w:color="auto"/>
          </w:divBdr>
        </w:div>
        <w:div w:id="1730684739">
          <w:marLeft w:val="640"/>
          <w:marRight w:val="0"/>
          <w:marTop w:val="0"/>
          <w:marBottom w:val="0"/>
          <w:divBdr>
            <w:top w:val="none" w:sz="0" w:space="0" w:color="auto"/>
            <w:left w:val="none" w:sz="0" w:space="0" w:color="auto"/>
            <w:bottom w:val="none" w:sz="0" w:space="0" w:color="auto"/>
            <w:right w:val="none" w:sz="0" w:space="0" w:color="auto"/>
          </w:divBdr>
        </w:div>
        <w:div w:id="1294368585">
          <w:marLeft w:val="640"/>
          <w:marRight w:val="0"/>
          <w:marTop w:val="0"/>
          <w:marBottom w:val="0"/>
          <w:divBdr>
            <w:top w:val="none" w:sz="0" w:space="0" w:color="auto"/>
            <w:left w:val="none" w:sz="0" w:space="0" w:color="auto"/>
            <w:bottom w:val="none" w:sz="0" w:space="0" w:color="auto"/>
            <w:right w:val="none" w:sz="0" w:space="0" w:color="auto"/>
          </w:divBdr>
        </w:div>
        <w:div w:id="1331567365">
          <w:marLeft w:val="640"/>
          <w:marRight w:val="0"/>
          <w:marTop w:val="0"/>
          <w:marBottom w:val="0"/>
          <w:divBdr>
            <w:top w:val="none" w:sz="0" w:space="0" w:color="auto"/>
            <w:left w:val="none" w:sz="0" w:space="0" w:color="auto"/>
            <w:bottom w:val="none" w:sz="0" w:space="0" w:color="auto"/>
            <w:right w:val="none" w:sz="0" w:space="0" w:color="auto"/>
          </w:divBdr>
        </w:div>
        <w:div w:id="502940253">
          <w:marLeft w:val="640"/>
          <w:marRight w:val="0"/>
          <w:marTop w:val="0"/>
          <w:marBottom w:val="0"/>
          <w:divBdr>
            <w:top w:val="none" w:sz="0" w:space="0" w:color="auto"/>
            <w:left w:val="none" w:sz="0" w:space="0" w:color="auto"/>
            <w:bottom w:val="none" w:sz="0" w:space="0" w:color="auto"/>
            <w:right w:val="none" w:sz="0" w:space="0" w:color="auto"/>
          </w:divBdr>
        </w:div>
        <w:div w:id="10880131">
          <w:marLeft w:val="640"/>
          <w:marRight w:val="0"/>
          <w:marTop w:val="0"/>
          <w:marBottom w:val="0"/>
          <w:divBdr>
            <w:top w:val="none" w:sz="0" w:space="0" w:color="auto"/>
            <w:left w:val="none" w:sz="0" w:space="0" w:color="auto"/>
            <w:bottom w:val="none" w:sz="0" w:space="0" w:color="auto"/>
            <w:right w:val="none" w:sz="0" w:space="0" w:color="auto"/>
          </w:divBdr>
        </w:div>
        <w:div w:id="393166660">
          <w:marLeft w:val="640"/>
          <w:marRight w:val="0"/>
          <w:marTop w:val="0"/>
          <w:marBottom w:val="0"/>
          <w:divBdr>
            <w:top w:val="none" w:sz="0" w:space="0" w:color="auto"/>
            <w:left w:val="none" w:sz="0" w:space="0" w:color="auto"/>
            <w:bottom w:val="none" w:sz="0" w:space="0" w:color="auto"/>
            <w:right w:val="none" w:sz="0" w:space="0" w:color="auto"/>
          </w:divBdr>
        </w:div>
        <w:div w:id="1029451080">
          <w:marLeft w:val="640"/>
          <w:marRight w:val="0"/>
          <w:marTop w:val="0"/>
          <w:marBottom w:val="0"/>
          <w:divBdr>
            <w:top w:val="none" w:sz="0" w:space="0" w:color="auto"/>
            <w:left w:val="none" w:sz="0" w:space="0" w:color="auto"/>
            <w:bottom w:val="none" w:sz="0" w:space="0" w:color="auto"/>
            <w:right w:val="none" w:sz="0" w:space="0" w:color="auto"/>
          </w:divBdr>
        </w:div>
        <w:div w:id="780807114">
          <w:marLeft w:val="640"/>
          <w:marRight w:val="0"/>
          <w:marTop w:val="0"/>
          <w:marBottom w:val="0"/>
          <w:divBdr>
            <w:top w:val="none" w:sz="0" w:space="0" w:color="auto"/>
            <w:left w:val="none" w:sz="0" w:space="0" w:color="auto"/>
            <w:bottom w:val="none" w:sz="0" w:space="0" w:color="auto"/>
            <w:right w:val="none" w:sz="0" w:space="0" w:color="auto"/>
          </w:divBdr>
        </w:div>
        <w:div w:id="198512778">
          <w:marLeft w:val="640"/>
          <w:marRight w:val="0"/>
          <w:marTop w:val="0"/>
          <w:marBottom w:val="0"/>
          <w:divBdr>
            <w:top w:val="none" w:sz="0" w:space="0" w:color="auto"/>
            <w:left w:val="none" w:sz="0" w:space="0" w:color="auto"/>
            <w:bottom w:val="none" w:sz="0" w:space="0" w:color="auto"/>
            <w:right w:val="none" w:sz="0" w:space="0" w:color="auto"/>
          </w:divBdr>
        </w:div>
        <w:div w:id="2122022423">
          <w:marLeft w:val="640"/>
          <w:marRight w:val="0"/>
          <w:marTop w:val="0"/>
          <w:marBottom w:val="0"/>
          <w:divBdr>
            <w:top w:val="none" w:sz="0" w:space="0" w:color="auto"/>
            <w:left w:val="none" w:sz="0" w:space="0" w:color="auto"/>
            <w:bottom w:val="none" w:sz="0" w:space="0" w:color="auto"/>
            <w:right w:val="none" w:sz="0" w:space="0" w:color="auto"/>
          </w:divBdr>
        </w:div>
        <w:div w:id="1837719382">
          <w:marLeft w:val="640"/>
          <w:marRight w:val="0"/>
          <w:marTop w:val="0"/>
          <w:marBottom w:val="0"/>
          <w:divBdr>
            <w:top w:val="none" w:sz="0" w:space="0" w:color="auto"/>
            <w:left w:val="none" w:sz="0" w:space="0" w:color="auto"/>
            <w:bottom w:val="none" w:sz="0" w:space="0" w:color="auto"/>
            <w:right w:val="none" w:sz="0" w:space="0" w:color="auto"/>
          </w:divBdr>
        </w:div>
        <w:div w:id="2061398297">
          <w:marLeft w:val="640"/>
          <w:marRight w:val="0"/>
          <w:marTop w:val="0"/>
          <w:marBottom w:val="0"/>
          <w:divBdr>
            <w:top w:val="none" w:sz="0" w:space="0" w:color="auto"/>
            <w:left w:val="none" w:sz="0" w:space="0" w:color="auto"/>
            <w:bottom w:val="none" w:sz="0" w:space="0" w:color="auto"/>
            <w:right w:val="none" w:sz="0" w:space="0" w:color="auto"/>
          </w:divBdr>
        </w:div>
        <w:div w:id="1744911129">
          <w:marLeft w:val="640"/>
          <w:marRight w:val="0"/>
          <w:marTop w:val="0"/>
          <w:marBottom w:val="0"/>
          <w:divBdr>
            <w:top w:val="none" w:sz="0" w:space="0" w:color="auto"/>
            <w:left w:val="none" w:sz="0" w:space="0" w:color="auto"/>
            <w:bottom w:val="none" w:sz="0" w:space="0" w:color="auto"/>
            <w:right w:val="none" w:sz="0" w:space="0" w:color="auto"/>
          </w:divBdr>
        </w:div>
        <w:div w:id="1214654310">
          <w:marLeft w:val="640"/>
          <w:marRight w:val="0"/>
          <w:marTop w:val="0"/>
          <w:marBottom w:val="0"/>
          <w:divBdr>
            <w:top w:val="none" w:sz="0" w:space="0" w:color="auto"/>
            <w:left w:val="none" w:sz="0" w:space="0" w:color="auto"/>
            <w:bottom w:val="none" w:sz="0" w:space="0" w:color="auto"/>
            <w:right w:val="none" w:sz="0" w:space="0" w:color="auto"/>
          </w:divBdr>
        </w:div>
        <w:div w:id="2077167751">
          <w:marLeft w:val="640"/>
          <w:marRight w:val="0"/>
          <w:marTop w:val="0"/>
          <w:marBottom w:val="0"/>
          <w:divBdr>
            <w:top w:val="none" w:sz="0" w:space="0" w:color="auto"/>
            <w:left w:val="none" w:sz="0" w:space="0" w:color="auto"/>
            <w:bottom w:val="none" w:sz="0" w:space="0" w:color="auto"/>
            <w:right w:val="none" w:sz="0" w:space="0" w:color="auto"/>
          </w:divBdr>
        </w:div>
        <w:div w:id="296648371">
          <w:marLeft w:val="640"/>
          <w:marRight w:val="0"/>
          <w:marTop w:val="0"/>
          <w:marBottom w:val="0"/>
          <w:divBdr>
            <w:top w:val="none" w:sz="0" w:space="0" w:color="auto"/>
            <w:left w:val="none" w:sz="0" w:space="0" w:color="auto"/>
            <w:bottom w:val="none" w:sz="0" w:space="0" w:color="auto"/>
            <w:right w:val="none" w:sz="0" w:space="0" w:color="auto"/>
          </w:divBdr>
        </w:div>
        <w:div w:id="918754288">
          <w:marLeft w:val="640"/>
          <w:marRight w:val="0"/>
          <w:marTop w:val="0"/>
          <w:marBottom w:val="0"/>
          <w:divBdr>
            <w:top w:val="none" w:sz="0" w:space="0" w:color="auto"/>
            <w:left w:val="none" w:sz="0" w:space="0" w:color="auto"/>
            <w:bottom w:val="none" w:sz="0" w:space="0" w:color="auto"/>
            <w:right w:val="none" w:sz="0" w:space="0" w:color="auto"/>
          </w:divBdr>
        </w:div>
        <w:div w:id="2080639946">
          <w:marLeft w:val="640"/>
          <w:marRight w:val="0"/>
          <w:marTop w:val="0"/>
          <w:marBottom w:val="0"/>
          <w:divBdr>
            <w:top w:val="none" w:sz="0" w:space="0" w:color="auto"/>
            <w:left w:val="none" w:sz="0" w:space="0" w:color="auto"/>
            <w:bottom w:val="none" w:sz="0" w:space="0" w:color="auto"/>
            <w:right w:val="none" w:sz="0" w:space="0" w:color="auto"/>
          </w:divBdr>
        </w:div>
      </w:divsChild>
    </w:div>
    <w:div w:id="1580753101">
      <w:bodyDiv w:val="1"/>
      <w:marLeft w:val="0"/>
      <w:marRight w:val="0"/>
      <w:marTop w:val="0"/>
      <w:marBottom w:val="0"/>
      <w:divBdr>
        <w:top w:val="none" w:sz="0" w:space="0" w:color="auto"/>
        <w:left w:val="none" w:sz="0" w:space="0" w:color="auto"/>
        <w:bottom w:val="none" w:sz="0" w:space="0" w:color="auto"/>
        <w:right w:val="none" w:sz="0" w:space="0" w:color="auto"/>
      </w:divBdr>
    </w:div>
    <w:div w:id="1663387958">
      <w:bodyDiv w:val="1"/>
      <w:marLeft w:val="0"/>
      <w:marRight w:val="0"/>
      <w:marTop w:val="0"/>
      <w:marBottom w:val="0"/>
      <w:divBdr>
        <w:top w:val="none" w:sz="0" w:space="0" w:color="auto"/>
        <w:left w:val="none" w:sz="0" w:space="0" w:color="auto"/>
        <w:bottom w:val="none" w:sz="0" w:space="0" w:color="auto"/>
        <w:right w:val="none" w:sz="0" w:space="0" w:color="auto"/>
      </w:divBdr>
      <w:divsChild>
        <w:div w:id="1664164368">
          <w:marLeft w:val="640"/>
          <w:marRight w:val="0"/>
          <w:marTop w:val="0"/>
          <w:marBottom w:val="0"/>
          <w:divBdr>
            <w:top w:val="none" w:sz="0" w:space="0" w:color="auto"/>
            <w:left w:val="none" w:sz="0" w:space="0" w:color="auto"/>
            <w:bottom w:val="none" w:sz="0" w:space="0" w:color="auto"/>
            <w:right w:val="none" w:sz="0" w:space="0" w:color="auto"/>
          </w:divBdr>
        </w:div>
        <w:div w:id="1693456774">
          <w:marLeft w:val="640"/>
          <w:marRight w:val="0"/>
          <w:marTop w:val="0"/>
          <w:marBottom w:val="0"/>
          <w:divBdr>
            <w:top w:val="none" w:sz="0" w:space="0" w:color="auto"/>
            <w:left w:val="none" w:sz="0" w:space="0" w:color="auto"/>
            <w:bottom w:val="none" w:sz="0" w:space="0" w:color="auto"/>
            <w:right w:val="none" w:sz="0" w:space="0" w:color="auto"/>
          </w:divBdr>
        </w:div>
        <w:div w:id="1049189030">
          <w:marLeft w:val="640"/>
          <w:marRight w:val="0"/>
          <w:marTop w:val="0"/>
          <w:marBottom w:val="0"/>
          <w:divBdr>
            <w:top w:val="none" w:sz="0" w:space="0" w:color="auto"/>
            <w:left w:val="none" w:sz="0" w:space="0" w:color="auto"/>
            <w:bottom w:val="none" w:sz="0" w:space="0" w:color="auto"/>
            <w:right w:val="none" w:sz="0" w:space="0" w:color="auto"/>
          </w:divBdr>
        </w:div>
        <w:div w:id="1034188701">
          <w:marLeft w:val="640"/>
          <w:marRight w:val="0"/>
          <w:marTop w:val="0"/>
          <w:marBottom w:val="0"/>
          <w:divBdr>
            <w:top w:val="none" w:sz="0" w:space="0" w:color="auto"/>
            <w:left w:val="none" w:sz="0" w:space="0" w:color="auto"/>
            <w:bottom w:val="none" w:sz="0" w:space="0" w:color="auto"/>
            <w:right w:val="none" w:sz="0" w:space="0" w:color="auto"/>
          </w:divBdr>
        </w:div>
        <w:div w:id="2124374296">
          <w:marLeft w:val="640"/>
          <w:marRight w:val="0"/>
          <w:marTop w:val="0"/>
          <w:marBottom w:val="0"/>
          <w:divBdr>
            <w:top w:val="none" w:sz="0" w:space="0" w:color="auto"/>
            <w:left w:val="none" w:sz="0" w:space="0" w:color="auto"/>
            <w:bottom w:val="none" w:sz="0" w:space="0" w:color="auto"/>
            <w:right w:val="none" w:sz="0" w:space="0" w:color="auto"/>
          </w:divBdr>
        </w:div>
        <w:div w:id="1941064712">
          <w:marLeft w:val="640"/>
          <w:marRight w:val="0"/>
          <w:marTop w:val="0"/>
          <w:marBottom w:val="0"/>
          <w:divBdr>
            <w:top w:val="none" w:sz="0" w:space="0" w:color="auto"/>
            <w:left w:val="none" w:sz="0" w:space="0" w:color="auto"/>
            <w:bottom w:val="none" w:sz="0" w:space="0" w:color="auto"/>
            <w:right w:val="none" w:sz="0" w:space="0" w:color="auto"/>
          </w:divBdr>
        </w:div>
        <w:div w:id="5794059">
          <w:marLeft w:val="640"/>
          <w:marRight w:val="0"/>
          <w:marTop w:val="0"/>
          <w:marBottom w:val="0"/>
          <w:divBdr>
            <w:top w:val="none" w:sz="0" w:space="0" w:color="auto"/>
            <w:left w:val="none" w:sz="0" w:space="0" w:color="auto"/>
            <w:bottom w:val="none" w:sz="0" w:space="0" w:color="auto"/>
            <w:right w:val="none" w:sz="0" w:space="0" w:color="auto"/>
          </w:divBdr>
        </w:div>
        <w:div w:id="2087142842">
          <w:marLeft w:val="640"/>
          <w:marRight w:val="0"/>
          <w:marTop w:val="0"/>
          <w:marBottom w:val="0"/>
          <w:divBdr>
            <w:top w:val="none" w:sz="0" w:space="0" w:color="auto"/>
            <w:left w:val="none" w:sz="0" w:space="0" w:color="auto"/>
            <w:bottom w:val="none" w:sz="0" w:space="0" w:color="auto"/>
            <w:right w:val="none" w:sz="0" w:space="0" w:color="auto"/>
          </w:divBdr>
        </w:div>
        <w:div w:id="466289315">
          <w:marLeft w:val="640"/>
          <w:marRight w:val="0"/>
          <w:marTop w:val="0"/>
          <w:marBottom w:val="0"/>
          <w:divBdr>
            <w:top w:val="none" w:sz="0" w:space="0" w:color="auto"/>
            <w:left w:val="none" w:sz="0" w:space="0" w:color="auto"/>
            <w:bottom w:val="none" w:sz="0" w:space="0" w:color="auto"/>
            <w:right w:val="none" w:sz="0" w:space="0" w:color="auto"/>
          </w:divBdr>
        </w:div>
        <w:div w:id="773790341">
          <w:marLeft w:val="640"/>
          <w:marRight w:val="0"/>
          <w:marTop w:val="0"/>
          <w:marBottom w:val="0"/>
          <w:divBdr>
            <w:top w:val="none" w:sz="0" w:space="0" w:color="auto"/>
            <w:left w:val="none" w:sz="0" w:space="0" w:color="auto"/>
            <w:bottom w:val="none" w:sz="0" w:space="0" w:color="auto"/>
            <w:right w:val="none" w:sz="0" w:space="0" w:color="auto"/>
          </w:divBdr>
        </w:div>
        <w:div w:id="45616670">
          <w:marLeft w:val="640"/>
          <w:marRight w:val="0"/>
          <w:marTop w:val="0"/>
          <w:marBottom w:val="0"/>
          <w:divBdr>
            <w:top w:val="none" w:sz="0" w:space="0" w:color="auto"/>
            <w:left w:val="none" w:sz="0" w:space="0" w:color="auto"/>
            <w:bottom w:val="none" w:sz="0" w:space="0" w:color="auto"/>
            <w:right w:val="none" w:sz="0" w:space="0" w:color="auto"/>
          </w:divBdr>
        </w:div>
        <w:div w:id="286399655">
          <w:marLeft w:val="640"/>
          <w:marRight w:val="0"/>
          <w:marTop w:val="0"/>
          <w:marBottom w:val="0"/>
          <w:divBdr>
            <w:top w:val="none" w:sz="0" w:space="0" w:color="auto"/>
            <w:left w:val="none" w:sz="0" w:space="0" w:color="auto"/>
            <w:bottom w:val="none" w:sz="0" w:space="0" w:color="auto"/>
            <w:right w:val="none" w:sz="0" w:space="0" w:color="auto"/>
          </w:divBdr>
        </w:div>
        <w:div w:id="1006710333">
          <w:marLeft w:val="640"/>
          <w:marRight w:val="0"/>
          <w:marTop w:val="0"/>
          <w:marBottom w:val="0"/>
          <w:divBdr>
            <w:top w:val="none" w:sz="0" w:space="0" w:color="auto"/>
            <w:left w:val="none" w:sz="0" w:space="0" w:color="auto"/>
            <w:bottom w:val="none" w:sz="0" w:space="0" w:color="auto"/>
            <w:right w:val="none" w:sz="0" w:space="0" w:color="auto"/>
          </w:divBdr>
        </w:div>
        <w:div w:id="1821535081">
          <w:marLeft w:val="640"/>
          <w:marRight w:val="0"/>
          <w:marTop w:val="0"/>
          <w:marBottom w:val="0"/>
          <w:divBdr>
            <w:top w:val="none" w:sz="0" w:space="0" w:color="auto"/>
            <w:left w:val="none" w:sz="0" w:space="0" w:color="auto"/>
            <w:bottom w:val="none" w:sz="0" w:space="0" w:color="auto"/>
            <w:right w:val="none" w:sz="0" w:space="0" w:color="auto"/>
          </w:divBdr>
        </w:div>
        <w:div w:id="1041513822">
          <w:marLeft w:val="640"/>
          <w:marRight w:val="0"/>
          <w:marTop w:val="0"/>
          <w:marBottom w:val="0"/>
          <w:divBdr>
            <w:top w:val="none" w:sz="0" w:space="0" w:color="auto"/>
            <w:left w:val="none" w:sz="0" w:space="0" w:color="auto"/>
            <w:bottom w:val="none" w:sz="0" w:space="0" w:color="auto"/>
            <w:right w:val="none" w:sz="0" w:space="0" w:color="auto"/>
          </w:divBdr>
        </w:div>
        <w:div w:id="1350832771">
          <w:marLeft w:val="640"/>
          <w:marRight w:val="0"/>
          <w:marTop w:val="0"/>
          <w:marBottom w:val="0"/>
          <w:divBdr>
            <w:top w:val="none" w:sz="0" w:space="0" w:color="auto"/>
            <w:left w:val="none" w:sz="0" w:space="0" w:color="auto"/>
            <w:bottom w:val="none" w:sz="0" w:space="0" w:color="auto"/>
            <w:right w:val="none" w:sz="0" w:space="0" w:color="auto"/>
          </w:divBdr>
        </w:div>
        <w:div w:id="903686625">
          <w:marLeft w:val="640"/>
          <w:marRight w:val="0"/>
          <w:marTop w:val="0"/>
          <w:marBottom w:val="0"/>
          <w:divBdr>
            <w:top w:val="none" w:sz="0" w:space="0" w:color="auto"/>
            <w:left w:val="none" w:sz="0" w:space="0" w:color="auto"/>
            <w:bottom w:val="none" w:sz="0" w:space="0" w:color="auto"/>
            <w:right w:val="none" w:sz="0" w:space="0" w:color="auto"/>
          </w:divBdr>
        </w:div>
        <w:div w:id="935137299">
          <w:marLeft w:val="640"/>
          <w:marRight w:val="0"/>
          <w:marTop w:val="0"/>
          <w:marBottom w:val="0"/>
          <w:divBdr>
            <w:top w:val="none" w:sz="0" w:space="0" w:color="auto"/>
            <w:left w:val="none" w:sz="0" w:space="0" w:color="auto"/>
            <w:bottom w:val="none" w:sz="0" w:space="0" w:color="auto"/>
            <w:right w:val="none" w:sz="0" w:space="0" w:color="auto"/>
          </w:divBdr>
        </w:div>
        <w:div w:id="757022982">
          <w:marLeft w:val="640"/>
          <w:marRight w:val="0"/>
          <w:marTop w:val="0"/>
          <w:marBottom w:val="0"/>
          <w:divBdr>
            <w:top w:val="none" w:sz="0" w:space="0" w:color="auto"/>
            <w:left w:val="none" w:sz="0" w:space="0" w:color="auto"/>
            <w:bottom w:val="none" w:sz="0" w:space="0" w:color="auto"/>
            <w:right w:val="none" w:sz="0" w:space="0" w:color="auto"/>
          </w:divBdr>
        </w:div>
        <w:div w:id="599725010">
          <w:marLeft w:val="640"/>
          <w:marRight w:val="0"/>
          <w:marTop w:val="0"/>
          <w:marBottom w:val="0"/>
          <w:divBdr>
            <w:top w:val="none" w:sz="0" w:space="0" w:color="auto"/>
            <w:left w:val="none" w:sz="0" w:space="0" w:color="auto"/>
            <w:bottom w:val="none" w:sz="0" w:space="0" w:color="auto"/>
            <w:right w:val="none" w:sz="0" w:space="0" w:color="auto"/>
          </w:divBdr>
        </w:div>
        <w:div w:id="1785802079">
          <w:marLeft w:val="640"/>
          <w:marRight w:val="0"/>
          <w:marTop w:val="0"/>
          <w:marBottom w:val="0"/>
          <w:divBdr>
            <w:top w:val="none" w:sz="0" w:space="0" w:color="auto"/>
            <w:left w:val="none" w:sz="0" w:space="0" w:color="auto"/>
            <w:bottom w:val="none" w:sz="0" w:space="0" w:color="auto"/>
            <w:right w:val="none" w:sz="0" w:space="0" w:color="auto"/>
          </w:divBdr>
        </w:div>
        <w:div w:id="1002589866">
          <w:marLeft w:val="640"/>
          <w:marRight w:val="0"/>
          <w:marTop w:val="0"/>
          <w:marBottom w:val="0"/>
          <w:divBdr>
            <w:top w:val="none" w:sz="0" w:space="0" w:color="auto"/>
            <w:left w:val="none" w:sz="0" w:space="0" w:color="auto"/>
            <w:bottom w:val="none" w:sz="0" w:space="0" w:color="auto"/>
            <w:right w:val="none" w:sz="0" w:space="0" w:color="auto"/>
          </w:divBdr>
        </w:div>
        <w:div w:id="1650088880">
          <w:marLeft w:val="640"/>
          <w:marRight w:val="0"/>
          <w:marTop w:val="0"/>
          <w:marBottom w:val="0"/>
          <w:divBdr>
            <w:top w:val="none" w:sz="0" w:space="0" w:color="auto"/>
            <w:left w:val="none" w:sz="0" w:space="0" w:color="auto"/>
            <w:bottom w:val="none" w:sz="0" w:space="0" w:color="auto"/>
            <w:right w:val="none" w:sz="0" w:space="0" w:color="auto"/>
          </w:divBdr>
        </w:div>
        <w:div w:id="412555296">
          <w:marLeft w:val="640"/>
          <w:marRight w:val="0"/>
          <w:marTop w:val="0"/>
          <w:marBottom w:val="0"/>
          <w:divBdr>
            <w:top w:val="none" w:sz="0" w:space="0" w:color="auto"/>
            <w:left w:val="none" w:sz="0" w:space="0" w:color="auto"/>
            <w:bottom w:val="none" w:sz="0" w:space="0" w:color="auto"/>
            <w:right w:val="none" w:sz="0" w:space="0" w:color="auto"/>
          </w:divBdr>
        </w:div>
        <w:div w:id="410346436">
          <w:marLeft w:val="640"/>
          <w:marRight w:val="0"/>
          <w:marTop w:val="0"/>
          <w:marBottom w:val="0"/>
          <w:divBdr>
            <w:top w:val="none" w:sz="0" w:space="0" w:color="auto"/>
            <w:left w:val="none" w:sz="0" w:space="0" w:color="auto"/>
            <w:bottom w:val="none" w:sz="0" w:space="0" w:color="auto"/>
            <w:right w:val="none" w:sz="0" w:space="0" w:color="auto"/>
          </w:divBdr>
        </w:div>
        <w:div w:id="11956112">
          <w:marLeft w:val="640"/>
          <w:marRight w:val="0"/>
          <w:marTop w:val="0"/>
          <w:marBottom w:val="0"/>
          <w:divBdr>
            <w:top w:val="none" w:sz="0" w:space="0" w:color="auto"/>
            <w:left w:val="none" w:sz="0" w:space="0" w:color="auto"/>
            <w:bottom w:val="none" w:sz="0" w:space="0" w:color="auto"/>
            <w:right w:val="none" w:sz="0" w:space="0" w:color="auto"/>
          </w:divBdr>
        </w:div>
        <w:div w:id="249899224">
          <w:marLeft w:val="640"/>
          <w:marRight w:val="0"/>
          <w:marTop w:val="0"/>
          <w:marBottom w:val="0"/>
          <w:divBdr>
            <w:top w:val="none" w:sz="0" w:space="0" w:color="auto"/>
            <w:left w:val="none" w:sz="0" w:space="0" w:color="auto"/>
            <w:bottom w:val="none" w:sz="0" w:space="0" w:color="auto"/>
            <w:right w:val="none" w:sz="0" w:space="0" w:color="auto"/>
          </w:divBdr>
        </w:div>
        <w:div w:id="2046324862">
          <w:marLeft w:val="640"/>
          <w:marRight w:val="0"/>
          <w:marTop w:val="0"/>
          <w:marBottom w:val="0"/>
          <w:divBdr>
            <w:top w:val="none" w:sz="0" w:space="0" w:color="auto"/>
            <w:left w:val="none" w:sz="0" w:space="0" w:color="auto"/>
            <w:bottom w:val="none" w:sz="0" w:space="0" w:color="auto"/>
            <w:right w:val="none" w:sz="0" w:space="0" w:color="auto"/>
          </w:divBdr>
        </w:div>
        <w:div w:id="682317670">
          <w:marLeft w:val="640"/>
          <w:marRight w:val="0"/>
          <w:marTop w:val="0"/>
          <w:marBottom w:val="0"/>
          <w:divBdr>
            <w:top w:val="none" w:sz="0" w:space="0" w:color="auto"/>
            <w:left w:val="none" w:sz="0" w:space="0" w:color="auto"/>
            <w:bottom w:val="none" w:sz="0" w:space="0" w:color="auto"/>
            <w:right w:val="none" w:sz="0" w:space="0" w:color="auto"/>
          </w:divBdr>
        </w:div>
        <w:div w:id="89355351">
          <w:marLeft w:val="640"/>
          <w:marRight w:val="0"/>
          <w:marTop w:val="0"/>
          <w:marBottom w:val="0"/>
          <w:divBdr>
            <w:top w:val="none" w:sz="0" w:space="0" w:color="auto"/>
            <w:left w:val="none" w:sz="0" w:space="0" w:color="auto"/>
            <w:bottom w:val="none" w:sz="0" w:space="0" w:color="auto"/>
            <w:right w:val="none" w:sz="0" w:space="0" w:color="auto"/>
          </w:divBdr>
        </w:div>
        <w:div w:id="1777095952">
          <w:marLeft w:val="640"/>
          <w:marRight w:val="0"/>
          <w:marTop w:val="0"/>
          <w:marBottom w:val="0"/>
          <w:divBdr>
            <w:top w:val="none" w:sz="0" w:space="0" w:color="auto"/>
            <w:left w:val="none" w:sz="0" w:space="0" w:color="auto"/>
            <w:bottom w:val="none" w:sz="0" w:space="0" w:color="auto"/>
            <w:right w:val="none" w:sz="0" w:space="0" w:color="auto"/>
          </w:divBdr>
        </w:div>
        <w:div w:id="1915162589">
          <w:marLeft w:val="640"/>
          <w:marRight w:val="0"/>
          <w:marTop w:val="0"/>
          <w:marBottom w:val="0"/>
          <w:divBdr>
            <w:top w:val="none" w:sz="0" w:space="0" w:color="auto"/>
            <w:left w:val="none" w:sz="0" w:space="0" w:color="auto"/>
            <w:bottom w:val="none" w:sz="0" w:space="0" w:color="auto"/>
            <w:right w:val="none" w:sz="0" w:space="0" w:color="auto"/>
          </w:divBdr>
        </w:div>
        <w:div w:id="459957092">
          <w:marLeft w:val="640"/>
          <w:marRight w:val="0"/>
          <w:marTop w:val="0"/>
          <w:marBottom w:val="0"/>
          <w:divBdr>
            <w:top w:val="none" w:sz="0" w:space="0" w:color="auto"/>
            <w:left w:val="none" w:sz="0" w:space="0" w:color="auto"/>
            <w:bottom w:val="none" w:sz="0" w:space="0" w:color="auto"/>
            <w:right w:val="none" w:sz="0" w:space="0" w:color="auto"/>
          </w:divBdr>
        </w:div>
        <w:div w:id="143008659">
          <w:marLeft w:val="640"/>
          <w:marRight w:val="0"/>
          <w:marTop w:val="0"/>
          <w:marBottom w:val="0"/>
          <w:divBdr>
            <w:top w:val="none" w:sz="0" w:space="0" w:color="auto"/>
            <w:left w:val="none" w:sz="0" w:space="0" w:color="auto"/>
            <w:bottom w:val="none" w:sz="0" w:space="0" w:color="auto"/>
            <w:right w:val="none" w:sz="0" w:space="0" w:color="auto"/>
          </w:divBdr>
        </w:div>
        <w:div w:id="1080522360">
          <w:marLeft w:val="640"/>
          <w:marRight w:val="0"/>
          <w:marTop w:val="0"/>
          <w:marBottom w:val="0"/>
          <w:divBdr>
            <w:top w:val="none" w:sz="0" w:space="0" w:color="auto"/>
            <w:left w:val="none" w:sz="0" w:space="0" w:color="auto"/>
            <w:bottom w:val="none" w:sz="0" w:space="0" w:color="auto"/>
            <w:right w:val="none" w:sz="0" w:space="0" w:color="auto"/>
          </w:divBdr>
        </w:div>
        <w:div w:id="2080008453">
          <w:marLeft w:val="640"/>
          <w:marRight w:val="0"/>
          <w:marTop w:val="0"/>
          <w:marBottom w:val="0"/>
          <w:divBdr>
            <w:top w:val="none" w:sz="0" w:space="0" w:color="auto"/>
            <w:left w:val="none" w:sz="0" w:space="0" w:color="auto"/>
            <w:bottom w:val="none" w:sz="0" w:space="0" w:color="auto"/>
            <w:right w:val="none" w:sz="0" w:space="0" w:color="auto"/>
          </w:divBdr>
        </w:div>
        <w:div w:id="392626989">
          <w:marLeft w:val="640"/>
          <w:marRight w:val="0"/>
          <w:marTop w:val="0"/>
          <w:marBottom w:val="0"/>
          <w:divBdr>
            <w:top w:val="none" w:sz="0" w:space="0" w:color="auto"/>
            <w:left w:val="none" w:sz="0" w:space="0" w:color="auto"/>
            <w:bottom w:val="none" w:sz="0" w:space="0" w:color="auto"/>
            <w:right w:val="none" w:sz="0" w:space="0" w:color="auto"/>
          </w:divBdr>
        </w:div>
      </w:divsChild>
    </w:div>
    <w:div w:id="1697583024">
      <w:bodyDiv w:val="1"/>
      <w:marLeft w:val="0"/>
      <w:marRight w:val="0"/>
      <w:marTop w:val="0"/>
      <w:marBottom w:val="0"/>
      <w:divBdr>
        <w:top w:val="none" w:sz="0" w:space="0" w:color="auto"/>
        <w:left w:val="none" w:sz="0" w:space="0" w:color="auto"/>
        <w:bottom w:val="none" w:sz="0" w:space="0" w:color="auto"/>
        <w:right w:val="none" w:sz="0" w:space="0" w:color="auto"/>
      </w:divBdr>
      <w:divsChild>
        <w:div w:id="1850100260">
          <w:marLeft w:val="0"/>
          <w:marRight w:val="0"/>
          <w:marTop w:val="0"/>
          <w:marBottom w:val="0"/>
          <w:divBdr>
            <w:top w:val="none" w:sz="0" w:space="0" w:color="auto"/>
            <w:left w:val="none" w:sz="0" w:space="0" w:color="auto"/>
            <w:bottom w:val="none" w:sz="0" w:space="0" w:color="auto"/>
            <w:right w:val="none" w:sz="0" w:space="0" w:color="auto"/>
          </w:divBdr>
        </w:div>
      </w:divsChild>
    </w:div>
    <w:div w:id="1787196915">
      <w:bodyDiv w:val="1"/>
      <w:marLeft w:val="0"/>
      <w:marRight w:val="0"/>
      <w:marTop w:val="0"/>
      <w:marBottom w:val="0"/>
      <w:divBdr>
        <w:top w:val="none" w:sz="0" w:space="0" w:color="auto"/>
        <w:left w:val="none" w:sz="0" w:space="0" w:color="auto"/>
        <w:bottom w:val="none" w:sz="0" w:space="0" w:color="auto"/>
        <w:right w:val="none" w:sz="0" w:space="0" w:color="auto"/>
      </w:divBdr>
      <w:divsChild>
        <w:div w:id="1807090136">
          <w:marLeft w:val="640"/>
          <w:marRight w:val="0"/>
          <w:marTop w:val="0"/>
          <w:marBottom w:val="0"/>
          <w:divBdr>
            <w:top w:val="none" w:sz="0" w:space="0" w:color="auto"/>
            <w:left w:val="none" w:sz="0" w:space="0" w:color="auto"/>
            <w:bottom w:val="none" w:sz="0" w:space="0" w:color="auto"/>
            <w:right w:val="none" w:sz="0" w:space="0" w:color="auto"/>
          </w:divBdr>
        </w:div>
        <w:div w:id="1082294093">
          <w:marLeft w:val="640"/>
          <w:marRight w:val="0"/>
          <w:marTop w:val="0"/>
          <w:marBottom w:val="0"/>
          <w:divBdr>
            <w:top w:val="none" w:sz="0" w:space="0" w:color="auto"/>
            <w:left w:val="none" w:sz="0" w:space="0" w:color="auto"/>
            <w:bottom w:val="none" w:sz="0" w:space="0" w:color="auto"/>
            <w:right w:val="none" w:sz="0" w:space="0" w:color="auto"/>
          </w:divBdr>
        </w:div>
        <w:div w:id="1369719216">
          <w:marLeft w:val="640"/>
          <w:marRight w:val="0"/>
          <w:marTop w:val="0"/>
          <w:marBottom w:val="0"/>
          <w:divBdr>
            <w:top w:val="none" w:sz="0" w:space="0" w:color="auto"/>
            <w:left w:val="none" w:sz="0" w:space="0" w:color="auto"/>
            <w:bottom w:val="none" w:sz="0" w:space="0" w:color="auto"/>
            <w:right w:val="none" w:sz="0" w:space="0" w:color="auto"/>
          </w:divBdr>
        </w:div>
        <w:div w:id="643850926">
          <w:marLeft w:val="640"/>
          <w:marRight w:val="0"/>
          <w:marTop w:val="0"/>
          <w:marBottom w:val="0"/>
          <w:divBdr>
            <w:top w:val="none" w:sz="0" w:space="0" w:color="auto"/>
            <w:left w:val="none" w:sz="0" w:space="0" w:color="auto"/>
            <w:bottom w:val="none" w:sz="0" w:space="0" w:color="auto"/>
            <w:right w:val="none" w:sz="0" w:space="0" w:color="auto"/>
          </w:divBdr>
        </w:div>
        <w:div w:id="1452624821">
          <w:marLeft w:val="640"/>
          <w:marRight w:val="0"/>
          <w:marTop w:val="0"/>
          <w:marBottom w:val="0"/>
          <w:divBdr>
            <w:top w:val="none" w:sz="0" w:space="0" w:color="auto"/>
            <w:left w:val="none" w:sz="0" w:space="0" w:color="auto"/>
            <w:bottom w:val="none" w:sz="0" w:space="0" w:color="auto"/>
            <w:right w:val="none" w:sz="0" w:space="0" w:color="auto"/>
          </w:divBdr>
        </w:div>
        <w:div w:id="2117865264">
          <w:marLeft w:val="640"/>
          <w:marRight w:val="0"/>
          <w:marTop w:val="0"/>
          <w:marBottom w:val="0"/>
          <w:divBdr>
            <w:top w:val="none" w:sz="0" w:space="0" w:color="auto"/>
            <w:left w:val="none" w:sz="0" w:space="0" w:color="auto"/>
            <w:bottom w:val="none" w:sz="0" w:space="0" w:color="auto"/>
            <w:right w:val="none" w:sz="0" w:space="0" w:color="auto"/>
          </w:divBdr>
        </w:div>
        <w:div w:id="604580629">
          <w:marLeft w:val="640"/>
          <w:marRight w:val="0"/>
          <w:marTop w:val="0"/>
          <w:marBottom w:val="0"/>
          <w:divBdr>
            <w:top w:val="none" w:sz="0" w:space="0" w:color="auto"/>
            <w:left w:val="none" w:sz="0" w:space="0" w:color="auto"/>
            <w:bottom w:val="none" w:sz="0" w:space="0" w:color="auto"/>
            <w:right w:val="none" w:sz="0" w:space="0" w:color="auto"/>
          </w:divBdr>
        </w:div>
        <w:div w:id="1665665533">
          <w:marLeft w:val="640"/>
          <w:marRight w:val="0"/>
          <w:marTop w:val="0"/>
          <w:marBottom w:val="0"/>
          <w:divBdr>
            <w:top w:val="none" w:sz="0" w:space="0" w:color="auto"/>
            <w:left w:val="none" w:sz="0" w:space="0" w:color="auto"/>
            <w:bottom w:val="none" w:sz="0" w:space="0" w:color="auto"/>
            <w:right w:val="none" w:sz="0" w:space="0" w:color="auto"/>
          </w:divBdr>
        </w:div>
        <w:div w:id="1038429404">
          <w:marLeft w:val="640"/>
          <w:marRight w:val="0"/>
          <w:marTop w:val="0"/>
          <w:marBottom w:val="0"/>
          <w:divBdr>
            <w:top w:val="none" w:sz="0" w:space="0" w:color="auto"/>
            <w:left w:val="none" w:sz="0" w:space="0" w:color="auto"/>
            <w:bottom w:val="none" w:sz="0" w:space="0" w:color="auto"/>
            <w:right w:val="none" w:sz="0" w:space="0" w:color="auto"/>
          </w:divBdr>
        </w:div>
        <w:div w:id="2012441771">
          <w:marLeft w:val="640"/>
          <w:marRight w:val="0"/>
          <w:marTop w:val="0"/>
          <w:marBottom w:val="0"/>
          <w:divBdr>
            <w:top w:val="none" w:sz="0" w:space="0" w:color="auto"/>
            <w:left w:val="none" w:sz="0" w:space="0" w:color="auto"/>
            <w:bottom w:val="none" w:sz="0" w:space="0" w:color="auto"/>
            <w:right w:val="none" w:sz="0" w:space="0" w:color="auto"/>
          </w:divBdr>
        </w:div>
        <w:div w:id="260141348">
          <w:marLeft w:val="640"/>
          <w:marRight w:val="0"/>
          <w:marTop w:val="0"/>
          <w:marBottom w:val="0"/>
          <w:divBdr>
            <w:top w:val="none" w:sz="0" w:space="0" w:color="auto"/>
            <w:left w:val="none" w:sz="0" w:space="0" w:color="auto"/>
            <w:bottom w:val="none" w:sz="0" w:space="0" w:color="auto"/>
            <w:right w:val="none" w:sz="0" w:space="0" w:color="auto"/>
          </w:divBdr>
        </w:div>
        <w:div w:id="379986923">
          <w:marLeft w:val="640"/>
          <w:marRight w:val="0"/>
          <w:marTop w:val="0"/>
          <w:marBottom w:val="0"/>
          <w:divBdr>
            <w:top w:val="none" w:sz="0" w:space="0" w:color="auto"/>
            <w:left w:val="none" w:sz="0" w:space="0" w:color="auto"/>
            <w:bottom w:val="none" w:sz="0" w:space="0" w:color="auto"/>
            <w:right w:val="none" w:sz="0" w:space="0" w:color="auto"/>
          </w:divBdr>
        </w:div>
        <w:div w:id="205025328">
          <w:marLeft w:val="640"/>
          <w:marRight w:val="0"/>
          <w:marTop w:val="0"/>
          <w:marBottom w:val="0"/>
          <w:divBdr>
            <w:top w:val="none" w:sz="0" w:space="0" w:color="auto"/>
            <w:left w:val="none" w:sz="0" w:space="0" w:color="auto"/>
            <w:bottom w:val="none" w:sz="0" w:space="0" w:color="auto"/>
            <w:right w:val="none" w:sz="0" w:space="0" w:color="auto"/>
          </w:divBdr>
        </w:div>
        <w:div w:id="2081902439">
          <w:marLeft w:val="640"/>
          <w:marRight w:val="0"/>
          <w:marTop w:val="0"/>
          <w:marBottom w:val="0"/>
          <w:divBdr>
            <w:top w:val="none" w:sz="0" w:space="0" w:color="auto"/>
            <w:left w:val="none" w:sz="0" w:space="0" w:color="auto"/>
            <w:bottom w:val="none" w:sz="0" w:space="0" w:color="auto"/>
            <w:right w:val="none" w:sz="0" w:space="0" w:color="auto"/>
          </w:divBdr>
        </w:div>
        <w:div w:id="1102069239">
          <w:marLeft w:val="640"/>
          <w:marRight w:val="0"/>
          <w:marTop w:val="0"/>
          <w:marBottom w:val="0"/>
          <w:divBdr>
            <w:top w:val="none" w:sz="0" w:space="0" w:color="auto"/>
            <w:left w:val="none" w:sz="0" w:space="0" w:color="auto"/>
            <w:bottom w:val="none" w:sz="0" w:space="0" w:color="auto"/>
            <w:right w:val="none" w:sz="0" w:space="0" w:color="auto"/>
          </w:divBdr>
        </w:div>
        <w:div w:id="1416168246">
          <w:marLeft w:val="640"/>
          <w:marRight w:val="0"/>
          <w:marTop w:val="0"/>
          <w:marBottom w:val="0"/>
          <w:divBdr>
            <w:top w:val="none" w:sz="0" w:space="0" w:color="auto"/>
            <w:left w:val="none" w:sz="0" w:space="0" w:color="auto"/>
            <w:bottom w:val="none" w:sz="0" w:space="0" w:color="auto"/>
            <w:right w:val="none" w:sz="0" w:space="0" w:color="auto"/>
          </w:divBdr>
        </w:div>
        <w:div w:id="1184176101">
          <w:marLeft w:val="640"/>
          <w:marRight w:val="0"/>
          <w:marTop w:val="0"/>
          <w:marBottom w:val="0"/>
          <w:divBdr>
            <w:top w:val="none" w:sz="0" w:space="0" w:color="auto"/>
            <w:left w:val="none" w:sz="0" w:space="0" w:color="auto"/>
            <w:bottom w:val="none" w:sz="0" w:space="0" w:color="auto"/>
            <w:right w:val="none" w:sz="0" w:space="0" w:color="auto"/>
          </w:divBdr>
        </w:div>
        <w:div w:id="878319670">
          <w:marLeft w:val="640"/>
          <w:marRight w:val="0"/>
          <w:marTop w:val="0"/>
          <w:marBottom w:val="0"/>
          <w:divBdr>
            <w:top w:val="none" w:sz="0" w:space="0" w:color="auto"/>
            <w:left w:val="none" w:sz="0" w:space="0" w:color="auto"/>
            <w:bottom w:val="none" w:sz="0" w:space="0" w:color="auto"/>
            <w:right w:val="none" w:sz="0" w:space="0" w:color="auto"/>
          </w:divBdr>
        </w:div>
        <w:div w:id="1545367669">
          <w:marLeft w:val="640"/>
          <w:marRight w:val="0"/>
          <w:marTop w:val="0"/>
          <w:marBottom w:val="0"/>
          <w:divBdr>
            <w:top w:val="none" w:sz="0" w:space="0" w:color="auto"/>
            <w:left w:val="none" w:sz="0" w:space="0" w:color="auto"/>
            <w:bottom w:val="none" w:sz="0" w:space="0" w:color="auto"/>
            <w:right w:val="none" w:sz="0" w:space="0" w:color="auto"/>
          </w:divBdr>
        </w:div>
        <w:div w:id="1425805716">
          <w:marLeft w:val="640"/>
          <w:marRight w:val="0"/>
          <w:marTop w:val="0"/>
          <w:marBottom w:val="0"/>
          <w:divBdr>
            <w:top w:val="none" w:sz="0" w:space="0" w:color="auto"/>
            <w:left w:val="none" w:sz="0" w:space="0" w:color="auto"/>
            <w:bottom w:val="none" w:sz="0" w:space="0" w:color="auto"/>
            <w:right w:val="none" w:sz="0" w:space="0" w:color="auto"/>
          </w:divBdr>
        </w:div>
        <w:div w:id="1757675958">
          <w:marLeft w:val="640"/>
          <w:marRight w:val="0"/>
          <w:marTop w:val="0"/>
          <w:marBottom w:val="0"/>
          <w:divBdr>
            <w:top w:val="none" w:sz="0" w:space="0" w:color="auto"/>
            <w:left w:val="none" w:sz="0" w:space="0" w:color="auto"/>
            <w:bottom w:val="none" w:sz="0" w:space="0" w:color="auto"/>
            <w:right w:val="none" w:sz="0" w:space="0" w:color="auto"/>
          </w:divBdr>
        </w:div>
        <w:div w:id="1000038043">
          <w:marLeft w:val="640"/>
          <w:marRight w:val="0"/>
          <w:marTop w:val="0"/>
          <w:marBottom w:val="0"/>
          <w:divBdr>
            <w:top w:val="none" w:sz="0" w:space="0" w:color="auto"/>
            <w:left w:val="none" w:sz="0" w:space="0" w:color="auto"/>
            <w:bottom w:val="none" w:sz="0" w:space="0" w:color="auto"/>
            <w:right w:val="none" w:sz="0" w:space="0" w:color="auto"/>
          </w:divBdr>
        </w:div>
        <w:div w:id="2108185776">
          <w:marLeft w:val="640"/>
          <w:marRight w:val="0"/>
          <w:marTop w:val="0"/>
          <w:marBottom w:val="0"/>
          <w:divBdr>
            <w:top w:val="none" w:sz="0" w:space="0" w:color="auto"/>
            <w:left w:val="none" w:sz="0" w:space="0" w:color="auto"/>
            <w:bottom w:val="none" w:sz="0" w:space="0" w:color="auto"/>
            <w:right w:val="none" w:sz="0" w:space="0" w:color="auto"/>
          </w:divBdr>
        </w:div>
        <w:div w:id="2059669958">
          <w:marLeft w:val="640"/>
          <w:marRight w:val="0"/>
          <w:marTop w:val="0"/>
          <w:marBottom w:val="0"/>
          <w:divBdr>
            <w:top w:val="none" w:sz="0" w:space="0" w:color="auto"/>
            <w:left w:val="none" w:sz="0" w:space="0" w:color="auto"/>
            <w:bottom w:val="none" w:sz="0" w:space="0" w:color="auto"/>
            <w:right w:val="none" w:sz="0" w:space="0" w:color="auto"/>
          </w:divBdr>
        </w:div>
        <w:div w:id="1476532151">
          <w:marLeft w:val="640"/>
          <w:marRight w:val="0"/>
          <w:marTop w:val="0"/>
          <w:marBottom w:val="0"/>
          <w:divBdr>
            <w:top w:val="none" w:sz="0" w:space="0" w:color="auto"/>
            <w:left w:val="none" w:sz="0" w:space="0" w:color="auto"/>
            <w:bottom w:val="none" w:sz="0" w:space="0" w:color="auto"/>
            <w:right w:val="none" w:sz="0" w:space="0" w:color="auto"/>
          </w:divBdr>
        </w:div>
        <w:div w:id="1619989039">
          <w:marLeft w:val="640"/>
          <w:marRight w:val="0"/>
          <w:marTop w:val="0"/>
          <w:marBottom w:val="0"/>
          <w:divBdr>
            <w:top w:val="none" w:sz="0" w:space="0" w:color="auto"/>
            <w:left w:val="none" w:sz="0" w:space="0" w:color="auto"/>
            <w:bottom w:val="none" w:sz="0" w:space="0" w:color="auto"/>
            <w:right w:val="none" w:sz="0" w:space="0" w:color="auto"/>
          </w:divBdr>
        </w:div>
        <w:div w:id="895967689">
          <w:marLeft w:val="640"/>
          <w:marRight w:val="0"/>
          <w:marTop w:val="0"/>
          <w:marBottom w:val="0"/>
          <w:divBdr>
            <w:top w:val="none" w:sz="0" w:space="0" w:color="auto"/>
            <w:left w:val="none" w:sz="0" w:space="0" w:color="auto"/>
            <w:bottom w:val="none" w:sz="0" w:space="0" w:color="auto"/>
            <w:right w:val="none" w:sz="0" w:space="0" w:color="auto"/>
          </w:divBdr>
        </w:div>
        <w:div w:id="36246022">
          <w:marLeft w:val="640"/>
          <w:marRight w:val="0"/>
          <w:marTop w:val="0"/>
          <w:marBottom w:val="0"/>
          <w:divBdr>
            <w:top w:val="none" w:sz="0" w:space="0" w:color="auto"/>
            <w:left w:val="none" w:sz="0" w:space="0" w:color="auto"/>
            <w:bottom w:val="none" w:sz="0" w:space="0" w:color="auto"/>
            <w:right w:val="none" w:sz="0" w:space="0" w:color="auto"/>
          </w:divBdr>
        </w:div>
        <w:div w:id="2129228370">
          <w:marLeft w:val="640"/>
          <w:marRight w:val="0"/>
          <w:marTop w:val="0"/>
          <w:marBottom w:val="0"/>
          <w:divBdr>
            <w:top w:val="none" w:sz="0" w:space="0" w:color="auto"/>
            <w:left w:val="none" w:sz="0" w:space="0" w:color="auto"/>
            <w:bottom w:val="none" w:sz="0" w:space="0" w:color="auto"/>
            <w:right w:val="none" w:sz="0" w:space="0" w:color="auto"/>
          </w:divBdr>
        </w:div>
        <w:div w:id="1808039051">
          <w:marLeft w:val="640"/>
          <w:marRight w:val="0"/>
          <w:marTop w:val="0"/>
          <w:marBottom w:val="0"/>
          <w:divBdr>
            <w:top w:val="none" w:sz="0" w:space="0" w:color="auto"/>
            <w:left w:val="none" w:sz="0" w:space="0" w:color="auto"/>
            <w:bottom w:val="none" w:sz="0" w:space="0" w:color="auto"/>
            <w:right w:val="none" w:sz="0" w:space="0" w:color="auto"/>
          </w:divBdr>
        </w:div>
        <w:div w:id="427314488">
          <w:marLeft w:val="640"/>
          <w:marRight w:val="0"/>
          <w:marTop w:val="0"/>
          <w:marBottom w:val="0"/>
          <w:divBdr>
            <w:top w:val="none" w:sz="0" w:space="0" w:color="auto"/>
            <w:left w:val="none" w:sz="0" w:space="0" w:color="auto"/>
            <w:bottom w:val="none" w:sz="0" w:space="0" w:color="auto"/>
            <w:right w:val="none" w:sz="0" w:space="0" w:color="auto"/>
          </w:divBdr>
        </w:div>
        <w:div w:id="1845125284">
          <w:marLeft w:val="640"/>
          <w:marRight w:val="0"/>
          <w:marTop w:val="0"/>
          <w:marBottom w:val="0"/>
          <w:divBdr>
            <w:top w:val="none" w:sz="0" w:space="0" w:color="auto"/>
            <w:left w:val="none" w:sz="0" w:space="0" w:color="auto"/>
            <w:bottom w:val="none" w:sz="0" w:space="0" w:color="auto"/>
            <w:right w:val="none" w:sz="0" w:space="0" w:color="auto"/>
          </w:divBdr>
        </w:div>
        <w:div w:id="437335777">
          <w:marLeft w:val="640"/>
          <w:marRight w:val="0"/>
          <w:marTop w:val="0"/>
          <w:marBottom w:val="0"/>
          <w:divBdr>
            <w:top w:val="none" w:sz="0" w:space="0" w:color="auto"/>
            <w:left w:val="none" w:sz="0" w:space="0" w:color="auto"/>
            <w:bottom w:val="none" w:sz="0" w:space="0" w:color="auto"/>
            <w:right w:val="none" w:sz="0" w:space="0" w:color="auto"/>
          </w:divBdr>
        </w:div>
        <w:div w:id="1933706051">
          <w:marLeft w:val="640"/>
          <w:marRight w:val="0"/>
          <w:marTop w:val="0"/>
          <w:marBottom w:val="0"/>
          <w:divBdr>
            <w:top w:val="none" w:sz="0" w:space="0" w:color="auto"/>
            <w:left w:val="none" w:sz="0" w:space="0" w:color="auto"/>
            <w:bottom w:val="none" w:sz="0" w:space="0" w:color="auto"/>
            <w:right w:val="none" w:sz="0" w:space="0" w:color="auto"/>
          </w:divBdr>
        </w:div>
        <w:div w:id="549077536">
          <w:marLeft w:val="640"/>
          <w:marRight w:val="0"/>
          <w:marTop w:val="0"/>
          <w:marBottom w:val="0"/>
          <w:divBdr>
            <w:top w:val="none" w:sz="0" w:space="0" w:color="auto"/>
            <w:left w:val="none" w:sz="0" w:space="0" w:color="auto"/>
            <w:bottom w:val="none" w:sz="0" w:space="0" w:color="auto"/>
            <w:right w:val="none" w:sz="0" w:space="0" w:color="auto"/>
          </w:divBdr>
        </w:div>
        <w:div w:id="1837072309">
          <w:marLeft w:val="640"/>
          <w:marRight w:val="0"/>
          <w:marTop w:val="0"/>
          <w:marBottom w:val="0"/>
          <w:divBdr>
            <w:top w:val="none" w:sz="0" w:space="0" w:color="auto"/>
            <w:left w:val="none" w:sz="0" w:space="0" w:color="auto"/>
            <w:bottom w:val="none" w:sz="0" w:space="0" w:color="auto"/>
            <w:right w:val="none" w:sz="0" w:space="0" w:color="auto"/>
          </w:divBdr>
        </w:div>
        <w:div w:id="1724013909">
          <w:marLeft w:val="640"/>
          <w:marRight w:val="0"/>
          <w:marTop w:val="0"/>
          <w:marBottom w:val="0"/>
          <w:divBdr>
            <w:top w:val="none" w:sz="0" w:space="0" w:color="auto"/>
            <w:left w:val="none" w:sz="0" w:space="0" w:color="auto"/>
            <w:bottom w:val="none" w:sz="0" w:space="0" w:color="auto"/>
            <w:right w:val="none" w:sz="0" w:space="0" w:color="auto"/>
          </w:divBdr>
        </w:div>
        <w:div w:id="623854475">
          <w:marLeft w:val="640"/>
          <w:marRight w:val="0"/>
          <w:marTop w:val="0"/>
          <w:marBottom w:val="0"/>
          <w:divBdr>
            <w:top w:val="none" w:sz="0" w:space="0" w:color="auto"/>
            <w:left w:val="none" w:sz="0" w:space="0" w:color="auto"/>
            <w:bottom w:val="none" w:sz="0" w:space="0" w:color="auto"/>
            <w:right w:val="none" w:sz="0" w:space="0" w:color="auto"/>
          </w:divBdr>
        </w:div>
        <w:div w:id="1267543773">
          <w:marLeft w:val="640"/>
          <w:marRight w:val="0"/>
          <w:marTop w:val="0"/>
          <w:marBottom w:val="0"/>
          <w:divBdr>
            <w:top w:val="none" w:sz="0" w:space="0" w:color="auto"/>
            <w:left w:val="none" w:sz="0" w:space="0" w:color="auto"/>
            <w:bottom w:val="none" w:sz="0" w:space="0" w:color="auto"/>
            <w:right w:val="none" w:sz="0" w:space="0" w:color="auto"/>
          </w:divBdr>
        </w:div>
        <w:div w:id="1975209055">
          <w:marLeft w:val="640"/>
          <w:marRight w:val="0"/>
          <w:marTop w:val="0"/>
          <w:marBottom w:val="0"/>
          <w:divBdr>
            <w:top w:val="none" w:sz="0" w:space="0" w:color="auto"/>
            <w:left w:val="none" w:sz="0" w:space="0" w:color="auto"/>
            <w:bottom w:val="none" w:sz="0" w:space="0" w:color="auto"/>
            <w:right w:val="none" w:sz="0" w:space="0" w:color="auto"/>
          </w:divBdr>
        </w:div>
        <w:div w:id="1859276399">
          <w:marLeft w:val="640"/>
          <w:marRight w:val="0"/>
          <w:marTop w:val="0"/>
          <w:marBottom w:val="0"/>
          <w:divBdr>
            <w:top w:val="none" w:sz="0" w:space="0" w:color="auto"/>
            <w:left w:val="none" w:sz="0" w:space="0" w:color="auto"/>
            <w:bottom w:val="none" w:sz="0" w:space="0" w:color="auto"/>
            <w:right w:val="none" w:sz="0" w:space="0" w:color="auto"/>
          </w:divBdr>
        </w:div>
        <w:div w:id="397483631">
          <w:marLeft w:val="640"/>
          <w:marRight w:val="0"/>
          <w:marTop w:val="0"/>
          <w:marBottom w:val="0"/>
          <w:divBdr>
            <w:top w:val="none" w:sz="0" w:space="0" w:color="auto"/>
            <w:left w:val="none" w:sz="0" w:space="0" w:color="auto"/>
            <w:bottom w:val="none" w:sz="0" w:space="0" w:color="auto"/>
            <w:right w:val="none" w:sz="0" w:space="0" w:color="auto"/>
          </w:divBdr>
        </w:div>
        <w:div w:id="499934057">
          <w:marLeft w:val="640"/>
          <w:marRight w:val="0"/>
          <w:marTop w:val="0"/>
          <w:marBottom w:val="0"/>
          <w:divBdr>
            <w:top w:val="none" w:sz="0" w:space="0" w:color="auto"/>
            <w:left w:val="none" w:sz="0" w:space="0" w:color="auto"/>
            <w:bottom w:val="none" w:sz="0" w:space="0" w:color="auto"/>
            <w:right w:val="none" w:sz="0" w:space="0" w:color="auto"/>
          </w:divBdr>
        </w:div>
        <w:div w:id="1342971086">
          <w:marLeft w:val="640"/>
          <w:marRight w:val="0"/>
          <w:marTop w:val="0"/>
          <w:marBottom w:val="0"/>
          <w:divBdr>
            <w:top w:val="none" w:sz="0" w:space="0" w:color="auto"/>
            <w:left w:val="none" w:sz="0" w:space="0" w:color="auto"/>
            <w:bottom w:val="none" w:sz="0" w:space="0" w:color="auto"/>
            <w:right w:val="none" w:sz="0" w:space="0" w:color="auto"/>
          </w:divBdr>
        </w:div>
        <w:div w:id="190731701">
          <w:marLeft w:val="640"/>
          <w:marRight w:val="0"/>
          <w:marTop w:val="0"/>
          <w:marBottom w:val="0"/>
          <w:divBdr>
            <w:top w:val="none" w:sz="0" w:space="0" w:color="auto"/>
            <w:left w:val="none" w:sz="0" w:space="0" w:color="auto"/>
            <w:bottom w:val="none" w:sz="0" w:space="0" w:color="auto"/>
            <w:right w:val="none" w:sz="0" w:space="0" w:color="auto"/>
          </w:divBdr>
        </w:div>
        <w:div w:id="439181479">
          <w:marLeft w:val="640"/>
          <w:marRight w:val="0"/>
          <w:marTop w:val="0"/>
          <w:marBottom w:val="0"/>
          <w:divBdr>
            <w:top w:val="none" w:sz="0" w:space="0" w:color="auto"/>
            <w:left w:val="none" w:sz="0" w:space="0" w:color="auto"/>
            <w:bottom w:val="none" w:sz="0" w:space="0" w:color="auto"/>
            <w:right w:val="none" w:sz="0" w:space="0" w:color="auto"/>
          </w:divBdr>
        </w:div>
        <w:div w:id="284117942">
          <w:marLeft w:val="640"/>
          <w:marRight w:val="0"/>
          <w:marTop w:val="0"/>
          <w:marBottom w:val="0"/>
          <w:divBdr>
            <w:top w:val="none" w:sz="0" w:space="0" w:color="auto"/>
            <w:left w:val="none" w:sz="0" w:space="0" w:color="auto"/>
            <w:bottom w:val="none" w:sz="0" w:space="0" w:color="auto"/>
            <w:right w:val="none" w:sz="0" w:space="0" w:color="auto"/>
          </w:divBdr>
        </w:div>
        <w:div w:id="474419291">
          <w:marLeft w:val="640"/>
          <w:marRight w:val="0"/>
          <w:marTop w:val="0"/>
          <w:marBottom w:val="0"/>
          <w:divBdr>
            <w:top w:val="none" w:sz="0" w:space="0" w:color="auto"/>
            <w:left w:val="none" w:sz="0" w:space="0" w:color="auto"/>
            <w:bottom w:val="none" w:sz="0" w:space="0" w:color="auto"/>
            <w:right w:val="none" w:sz="0" w:space="0" w:color="auto"/>
          </w:divBdr>
        </w:div>
        <w:div w:id="2073001614">
          <w:marLeft w:val="640"/>
          <w:marRight w:val="0"/>
          <w:marTop w:val="0"/>
          <w:marBottom w:val="0"/>
          <w:divBdr>
            <w:top w:val="none" w:sz="0" w:space="0" w:color="auto"/>
            <w:left w:val="none" w:sz="0" w:space="0" w:color="auto"/>
            <w:bottom w:val="none" w:sz="0" w:space="0" w:color="auto"/>
            <w:right w:val="none" w:sz="0" w:space="0" w:color="auto"/>
          </w:divBdr>
        </w:div>
        <w:div w:id="965084018">
          <w:marLeft w:val="640"/>
          <w:marRight w:val="0"/>
          <w:marTop w:val="0"/>
          <w:marBottom w:val="0"/>
          <w:divBdr>
            <w:top w:val="none" w:sz="0" w:space="0" w:color="auto"/>
            <w:left w:val="none" w:sz="0" w:space="0" w:color="auto"/>
            <w:bottom w:val="none" w:sz="0" w:space="0" w:color="auto"/>
            <w:right w:val="none" w:sz="0" w:space="0" w:color="auto"/>
          </w:divBdr>
        </w:div>
        <w:div w:id="1040323984">
          <w:marLeft w:val="640"/>
          <w:marRight w:val="0"/>
          <w:marTop w:val="0"/>
          <w:marBottom w:val="0"/>
          <w:divBdr>
            <w:top w:val="none" w:sz="0" w:space="0" w:color="auto"/>
            <w:left w:val="none" w:sz="0" w:space="0" w:color="auto"/>
            <w:bottom w:val="none" w:sz="0" w:space="0" w:color="auto"/>
            <w:right w:val="none" w:sz="0" w:space="0" w:color="auto"/>
          </w:divBdr>
        </w:div>
        <w:div w:id="1079600143">
          <w:marLeft w:val="640"/>
          <w:marRight w:val="0"/>
          <w:marTop w:val="0"/>
          <w:marBottom w:val="0"/>
          <w:divBdr>
            <w:top w:val="none" w:sz="0" w:space="0" w:color="auto"/>
            <w:left w:val="none" w:sz="0" w:space="0" w:color="auto"/>
            <w:bottom w:val="none" w:sz="0" w:space="0" w:color="auto"/>
            <w:right w:val="none" w:sz="0" w:space="0" w:color="auto"/>
          </w:divBdr>
        </w:div>
        <w:div w:id="644162638">
          <w:marLeft w:val="640"/>
          <w:marRight w:val="0"/>
          <w:marTop w:val="0"/>
          <w:marBottom w:val="0"/>
          <w:divBdr>
            <w:top w:val="none" w:sz="0" w:space="0" w:color="auto"/>
            <w:left w:val="none" w:sz="0" w:space="0" w:color="auto"/>
            <w:bottom w:val="none" w:sz="0" w:space="0" w:color="auto"/>
            <w:right w:val="none" w:sz="0" w:space="0" w:color="auto"/>
          </w:divBdr>
        </w:div>
        <w:div w:id="1325548215">
          <w:marLeft w:val="640"/>
          <w:marRight w:val="0"/>
          <w:marTop w:val="0"/>
          <w:marBottom w:val="0"/>
          <w:divBdr>
            <w:top w:val="none" w:sz="0" w:space="0" w:color="auto"/>
            <w:left w:val="none" w:sz="0" w:space="0" w:color="auto"/>
            <w:bottom w:val="none" w:sz="0" w:space="0" w:color="auto"/>
            <w:right w:val="none" w:sz="0" w:space="0" w:color="auto"/>
          </w:divBdr>
        </w:div>
        <w:div w:id="211894101">
          <w:marLeft w:val="640"/>
          <w:marRight w:val="0"/>
          <w:marTop w:val="0"/>
          <w:marBottom w:val="0"/>
          <w:divBdr>
            <w:top w:val="none" w:sz="0" w:space="0" w:color="auto"/>
            <w:left w:val="none" w:sz="0" w:space="0" w:color="auto"/>
            <w:bottom w:val="none" w:sz="0" w:space="0" w:color="auto"/>
            <w:right w:val="none" w:sz="0" w:space="0" w:color="auto"/>
          </w:divBdr>
        </w:div>
        <w:div w:id="1242720224">
          <w:marLeft w:val="640"/>
          <w:marRight w:val="0"/>
          <w:marTop w:val="0"/>
          <w:marBottom w:val="0"/>
          <w:divBdr>
            <w:top w:val="none" w:sz="0" w:space="0" w:color="auto"/>
            <w:left w:val="none" w:sz="0" w:space="0" w:color="auto"/>
            <w:bottom w:val="none" w:sz="0" w:space="0" w:color="auto"/>
            <w:right w:val="none" w:sz="0" w:space="0" w:color="auto"/>
          </w:divBdr>
        </w:div>
        <w:div w:id="391542291">
          <w:marLeft w:val="640"/>
          <w:marRight w:val="0"/>
          <w:marTop w:val="0"/>
          <w:marBottom w:val="0"/>
          <w:divBdr>
            <w:top w:val="none" w:sz="0" w:space="0" w:color="auto"/>
            <w:left w:val="none" w:sz="0" w:space="0" w:color="auto"/>
            <w:bottom w:val="none" w:sz="0" w:space="0" w:color="auto"/>
            <w:right w:val="none" w:sz="0" w:space="0" w:color="auto"/>
          </w:divBdr>
        </w:div>
        <w:div w:id="1787308430">
          <w:marLeft w:val="640"/>
          <w:marRight w:val="0"/>
          <w:marTop w:val="0"/>
          <w:marBottom w:val="0"/>
          <w:divBdr>
            <w:top w:val="none" w:sz="0" w:space="0" w:color="auto"/>
            <w:left w:val="none" w:sz="0" w:space="0" w:color="auto"/>
            <w:bottom w:val="none" w:sz="0" w:space="0" w:color="auto"/>
            <w:right w:val="none" w:sz="0" w:space="0" w:color="auto"/>
          </w:divBdr>
        </w:div>
        <w:div w:id="1257400713">
          <w:marLeft w:val="640"/>
          <w:marRight w:val="0"/>
          <w:marTop w:val="0"/>
          <w:marBottom w:val="0"/>
          <w:divBdr>
            <w:top w:val="none" w:sz="0" w:space="0" w:color="auto"/>
            <w:left w:val="none" w:sz="0" w:space="0" w:color="auto"/>
            <w:bottom w:val="none" w:sz="0" w:space="0" w:color="auto"/>
            <w:right w:val="none" w:sz="0" w:space="0" w:color="auto"/>
          </w:divBdr>
        </w:div>
        <w:div w:id="1201430783">
          <w:marLeft w:val="640"/>
          <w:marRight w:val="0"/>
          <w:marTop w:val="0"/>
          <w:marBottom w:val="0"/>
          <w:divBdr>
            <w:top w:val="none" w:sz="0" w:space="0" w:color="auto"/>
            <w:left w:val="none" w:sz="0" w:space="0" w:color="auto"/>
            <w:bottom w:val="none" w:sz="0" w:space="0" w:color="auto"/>
            <w:right w:val="none" w:sz="0" w:space="0" w:color="auto"/>
          </w:divBdr>
        </w:div>
        <w:div w:id="1161502187">
          <w:marLeft w:val="640"/>
          <w:marRight w:val="0"/>
          <w:marTop w:val="0"/>
          <w:marBottom w:val="0"/>
          <w:divBdr>
            <w:top w:val="none" w:sz="0" w:space="0" w:color="auto"/>
            <w:left w:val="none" w:sz="0" w:space="0" w:color="auto"/>
            <w:bottom w:val="none" w:sz="0" w:space="0" w:color="auto"/>
            <w:right w:val="none" w:sz="0" w:space="0" w:color="auto"/>
          </w:divBdr>
        </w:div>
        <w:div w:id="1465611602">
          <w:marLeft w:val="640"/>
          <w:marRight w:val="0"/>
          <w:marTop w:val="0"/>
          <w:marBottom w:val="0"/>
          <w:divBdr>
            <w:top w:val="none" w:sz="0" w:space="0" w:color="auto"/>
            <w:left w:val="none" w:sz="0" w:space="0" w:color="auto"/>
            <w:bottom w:val="none" w:sz="0" w:space="0" w:color="auto"/>
            <w:right w:val="none" w:sz="0" w:space="0" w:color="auto"/>
          </w:divBdr>
        </w:div>
        <w:div w:id="2017264437">
          <w:marLeft w:val="640"/>
          <w:marRight w:val="0"/>
          <w:marTop w:val="0"/>
          <w:marBottom w:val="0"/>
          <w:divBdr>
            <w:top w:val="none" w:sz="0" w:space="0" w:color="auto"/>
            <w:left w:val="none" w:sz="0" w:space="0" w:color="auto"/>
            <w:bottom w:val="none" w:sz="0" w:space="0" w:color="auto"/>
            <w:right w:val="none" w:sz="0" w:space="0" w:color="auto"/>
          </w:divBdr>
        </w:div>
        <w:div w:id="155389158">
          <w:marLeft w:val="640"/>
          <w:marRight w:val="0"/>
          <w:marTop w:val="0"/>
          <w:marBottom w:val="0"/>
          <w:divBdr>
            <w:top w:val="none" w:sz="0" w:space="0" w:color="auto"/>
            <w:left w:val="none" w:sz="0" w:space="0" w:color="auto"/>
            <w:bottom w:val="none" w:sz="0" w:space="0" w:color="auto"/>
            <w:right w:val="none" w:sz="0" w:space="0" w:color="auto"/>
          </w:divBdr>
        </w:div>
        <w:div w:id="1708263585">
          <w:marLeft w:val="640"/>
          <w:marRight w:val="0"/>
          <w:marTop w:val="0"/>
          <w:marBottom w:val="0"/>
          <w:divBdr>
            <w:top w:val="none" w:sz="0" w:space="0" w:color="auto"/>
            <w:left w:val="none" w:sz="0" w:space="0" w:color="auto"/>
            <w:bottom w:val="none" w:sz="0" w:space="0" w:color="auto"/>
            <w:right w:val="none" w:sz="0" w:space="0" w:color="auto"/>
          </w:divBdr>
        </w:div>
        <w:div w:id="480120185">
          <w:marLeft w:val="640"/>
          <w:marRight w:val="0"/>
          <w:marTop w:val="0"/>
          <w:marBottom w:val="0"/>
          <w:divBdr>
            <w:top w:val="none" w:sz="0" w:space="0" w:color="auto"/>
            <w:left w:val="none" w:sz="0" w:space="0" w:color="auto"/>
            <w:bottom w:val="none" w:sz="0" w:space="0" w:color="auto"/>
            <w:right w:val="none" w:sz="0" w:space="0" w:color="auto"/>
          </w:divBdr>
        </w:div>
      </w:divsChild>
    </w:div>
    <w:div w:id="1808813040">
      <w:bodyDiv w:val="1"/>
      <w:marLeft w:val="0"/>
      <w:marRight w:val="0"/>
      <w:marTop w:val="0"/>
      <w:marBottom w:val="0"/>
      <w:divBdr>
        <w:top w:val="none" w:sz="0" w:space="0" w:color="auto"/>
        <w:left w:val="none" w:sz="0" w:space="0" w:color="auto"/>
        <w:bottom w:val="none" w:sz="0" w:space="0" w:color="auto"/>
        <w:right w:val="none" w:sz="0" w:space="0" w:color="auto"/>
      </w:divBdr>
    </w:div>
    <w:div w:id="1818646586">
      <w:bodyDiv w:val="1"/>
      <w:marLeft w:val="0"/>
      <w:marRight w:val="0"/>
      <w:marTop w:val="0"/>
      <w:marBottom w:val="0"/>
      <w:divBdr>
        <w:top w:val="none" w:sz="0" w:space="0" w:color="auto"/>
        <w:left w:val="none" w:sz="0" w:space="0" w:color="auto"/>
        <w:bottom w:val="none" w:sz="0" w:space="0" w:color="auto"/>
        <w:right w:val="none" w:sz="0" w:space="0" w:color="auto"/>
      </w:divBdr>
      <w:divsChild>
        <w:div w:id="81805520">
          <w:marLeft w:val="640"/>
          <w:marRight w:val="0"/>
          <w:marTop w:val="0"/>
          <w:marBottom w:val="0"/>
          <w:divBdr>
            <w:top w:val="none" w:sz="0" w:space="0" w:color="auto"/>
            <w:left w:val="none" w:sz="0" w:space="0" w:color="auto"/>
            <w:bottom w:val="none" w:sz="0" w:space="0" w:color="auto"/>
            <w:right w:val="none" w:sz="0" w:space="0" w:color="auto"/>
          </w:divBdr>
        </w:div>
        <w:div w:id="190266745">
          <w:marLeft w:val="640"/>
          <w:marRight w:val="0"/>
          <w:marTop w:val="0"/>
          <w:marBottom w:val="0"/>
          <w:divBdr>
            <w:top w:val="none" w:sz="0" w:space="0" w:color="auto"/>
            <w:left w:val="none" w:sz="0" w:space="0" w:color="auto"/>
            <w:bottom w:val="none" w:sz="0" w:space="0" w:color="auto"/>
            <w:right w:val="none" w:sz="0" w:space="0" w:color="auto"/>
          </w:divBdr>
        </w:div>
        <w:div w:id="1789858319">
          <w:marLeft w:val="640"/>
          <w:marRight w:val="0"/>
          <w:marTop w:val="0"/>
          <w:marBottom w:val="0"/>
          <w:divBdr>
            <w:top w:val="none" w:sz="0" w:space="0" w:color="auto"/>
            <w:left w:val="none" w:sz="0" w:space="0" w:color="auto"/>
            <w:bottom w:val="none" w:sz="0" w:space="0" w:color="auto"/>
            <w:right w:val="none" w:sz="0" w:space="0" w:color="auto"/>
          </w:divBdr>
        </w:div>
        <w:div w:id="1555771695">
          <w:marLeft w:val="640"/>
          <w:marRight w:val="0"/>
          <w:marTop w:val="0"/>
          <w:marBottom w:val="0"/>
          <w:divBdr>
            <w:top w:val="none" w:sz="0" w:space="0" w:color="auto"/>
            <w:left w:val="none" w:sz="0" w:space="0" w:color="auto"/>
            <w:bottom w:val="none" w:sz="0" w:space="0" w:color="auto"/>
            <w:right w:val="none" w:sz="0" w:space="0" w:color="auto"/>
          </w:divBdr>
        </w:div>
        <w:div w:id="1682971474">
          <w:marLeft w:val="640"/>
          <w:marRight w:val="0"/>
          <w:marTop w:val="0"/>
          <w:marBottom w:val="0"/>
          <w:divBdr>
            <w:top w:val="none" w:sz="0" w:space="0" w:color="auto"/>
            <w:left w:val="none" w:sz="0" w:space="0" w:color="auto"/>
            <w:bottom w:val="none" w:sz="0" w:space="0" w:color="auto"/>
            <w:right w:val="none" w:sz="0" w:space="0" w:color="auto"/>
          </w:divBdr>
        </w:div>
        <w:div w:id="765613885">
          <w:marLeft w:val="640"/>
          <w:marRight w:val="0"/>
          <w:marTop w:val="0"/>
          <w:marBottom w:val="0"/>
          <w:divBdr>
            <w:top w:val="none" w:sz="0" w:space="0" w:color="auto"/>
            <w:left w:val="none" w:sz="0" w:space="0" w:color="auto"/>
            <w:bottom w:val="none" w:sz="0" w:space="0" w:color="auto"/>
            <w:right w:val="none" w:sz="0" w:space="0" w:color="auto"/>
          </w:divBdr>
        </w:div>
        <w:div w:id="1558203671">
          <w:marLeft w:val="640"/>
          <w:marRight w:val="0"/>
          <w:marTop w:val="0"/>
          <w:marBottom w:val="0"/>
          <w:divBdr>
            <w:top w:val="none" w:sz="0" w:space="0" w:color="auto"/>
            <w:left w:val="none" w:sz="0" w:space="0" w:color="auto"/>
            <w:bottom w:val="none" w:sz="0" w:space="0" w:color="auto"/>
            <w:right w:val="none" w:sz="0" w:space="0" w:color="auto"/>
          </w:divBdr>
        </w:div>
        <w:div w:id="100807425">
          <w:marLeft w:val="640"/>
          <w:marRight w:val="0"/>
          <w:marTop w:val="0"/>
          <w:marBottom w:val="0"/>
          <w:divBdr>
            <w:top w:val="none" w:sz="0" w:space="0" w:color="auto"/>
            <w:left w:val="none" w:sz="0" w:space="0" w:color="auto"/>
            <w:bottom w:val="none" w:sz="0" w:space="0" w:color="auto"/>
            <w:right w:val="none" w:sz="0" w:space="0" w:color="auto"/>
          </w:divBdr>
        </w:div>
        <w:div w:id="1198398449">
          <w:marLeft w:val="640"/>
          <w:marRight w:val="0"/>
          <w:marTop w:val="0"/>
          <w:marBottom w:val="0"/>
          <w:divBdr>
            <w:top w:val="none" w:sz="0" w:space="0" w:color="auto"/>
            <w:left w:val="none" w:sz="0" w:space="0" w:color="auto"/>
            <w:bottom w:val="none" w:sz="0" w:space="0" w:color="auto"/>
            <w:right w:val="none" w:sz="0" w:space="0" w:color="auto"/>
          </w:divBdr>
        </w:div>
        <w:div w:id="1845322052">
          <w:marLeft w:val="640"/>
          <w:marRight w:val="0"/>
          <w:marTop w:val="0"/>
          <w:marBottom w:val="0"/>
          <w:divBdr>
            <w:top w:val="none" w:sz="0" w:space="0" w:color="auto"/>
            <w:left w:val="none" w:sz="0" w:space="0" w:color="auto"/>
            <w:bottom w:val="none" w:sz="0" w:space="0" w:color="auto"/>
            <w:right w:val="none" w:sz="0" w:space="0" w:color="auto"/>
          </w:divBdr>
        </w:div>
        <w:div w:id="186143668">
          <w:marLeft w:val="640"/>
          <w:marRight w:val="0"/>
          <w:marTop w:val="0"/>
          <w:marBottom w:val="0"/>
          <w:divBdr>
            <w:top w:val="none" w:sz="0" w:space="0" w:color="auto"/>
            <w:left w:val="none" w:sz="0" w:space="0" w:color="auto"/>
            <w:bottom w:val="none" w:sz="0" w:space="0" w:color="auto"/>
            <w:right w:val="none" w:sz="0" w:space="0" w:color="auto"/>
          </w:divBdr>
        </w:div>
        <w:div w:id="1003629747">
          <w:marLeft w:val="640"/>
          <w:marRight w:val="0"/>
          <w:marTop w:val="0"/>
          <w:marBottom w:val="0"/>
          <w:divBdr>
            <w:top w:val="none" w:sz="0" w:space="0" w:color="auto"/>
            <w:left w:val="none" w:sz="0" w:space="0" w:color="auto"/>
            <w:bottom w:val="none" w:sz="0" w:space="0" w:color="auto"/>
            <w:right w:val="none" w:sz="0" w:space="0" w:color="auto"/>
          </w:divBdr>
        </w:div>
        <w:div w:id="1641616168">
          <w:marLeft w:val="640"/>
          <w:marRight w:val="0"/>
          <w:marTop w:val="0"/>
          <w:marBottom w:val="0"/>
          <w:divBdr>
            <w:top w:val="none" w:sz="0" w:space="0" w:color="auto"/>
            <w:left w:val="none" w:sz="0" w:space="0" w:color="auto"/>
            <w:bottom w:val="none" w:sz="0" w:space="0" w:color="auto"/>
            <w:right w:val="none" w:sz="0" w:space="0" w:color="auto"/>
          </w:divBdr>
        </w:div>
        <w:div w:id="69737200">
          <w:marLeft w:val="640"/>
          <w:marRight w:val="0"/>
          <w:marTop w:val="0"/>
          <w:marBottom w:val="0"/>
          <w:divBdr>
            <w:top w:val="none" w:sz="0" w:space="0" w:color="auto"/>
            <w:left w:val="none" w:sz="0" w:space="0" w:color="auto"/>
            <w:bottom w:val="none" w:sz="0" w:space="0" w:color="auto"/>
            <w:right w:val="none" w:sz="0" w:space="0" w:color="auto"/>
          </w:divBdr>
        </w:div>
        <w:div w:id="2042394400">
          <w:marLeft w:val="640"/>
          <w:marRight w:val="0"/>
          <w:marTop w:val="0"/>
          <w:marBottom w:val="0"/>
          <w:divBdr>
            <w:top w:val="none" w:sz="0" w:space="0" w:color="auto"/>
            <w:left w:val="none" w:sz="0" w:space="0" w:color="auto"/>
            <w:bottom w:val="none" w:sz="0" w:space="0" w:color="auto"/>
            <w:right w:val="none" w:sz="0" w:space="0" w:color="auto"/>
          </w:divBdr>
        </w:div>
        <w:div w:id="1156846450">
          <w:marLeft w:val="640"/>
          <w:marRight w:val="0"/>
          <w:marTop w:val="0"/>
          <w:marBottom w:val="0"/>
          <w:divBdr>
            <w:top w:val="none" w:sz="0" w:space="0" w:color="auto"/>
            <w:left w:val="none" w:sz="0" w:space="0" w:color="auto"/>
            <w:bottom w:val="none" w:sz="0" w:space="0" w:color="auto"/>
            <w:right w:val="none" w:sz="0" w:space="0" w:color="auto"/>
          </w:divBdr>
        </w:div>
        <w:div w:id="2104178194">
          <w:marLeft w:val="640"/>
          <w:marRight w:val="0"/>
          <w:marTop w:val="0"/>
          <w:marBottom w:val="0"/>
          <w:divBdr>
            <w:top w:val="none" w:sz="0" w:space="0" w:color="auto"/>
            <w:left w:val="none" w:sz="0" w:space="0" w:color="auto"/>
            <w:bottom w:val="none" w:sz="0" w:space="0" w:color="auto"/>
            <w:right w:val="none" w:sz="0" w:space="0" w:color="auto"/>
          </w:divBdr>
        </w:div>
        <w:div w:id="2013097181">
          <w:marLeft w:val="640"/>
          <w:marRight w:val="0"/>
          <w:marTop w:val="0"/>
          <w:marBottom w:val="0"/>
          <w:divBdr>
            <w:top w:val="none" w:sz="0" w:space="0" w:color="auto"/>
            <w:left w:val="none" w:sz="0" w:space="0" w:color="auto"/>
            <w:bottom w:val="none" w:sz="0" w:space="0" w:color="auto"/>
            <w:right w:val="none" w:sz="0" w:space="0" w:color="auto"/>
          </w:divBdr>
        </w:div>
        <w:div w:id="164438567">
          <w:marLeft w:val="640"/>
          <w:marRight w:val="0"/>
          <w:marTop w:val="0"/>
          <w:marBottom w:val="0"/>
          <w:divBdr>
            <w:top w:val="none" w:sz="0" w:space="0" w:color="auto"/>
            <w:left w:val="none" w:sz="0" w:space="0" w:color="auto"/>
            <w:bottom w:val="none" w:sz="0" w:space="0" w:color="auto"/>
            <w:right w:val="none" w:sz="0" w:space="0" w:color="auto"/>
          </w:divBdr>
        </w:div>
        <w:div w:id="1096290563">
          <w:marLeft w:val="640"/>
          <w:marRight w:val="0"/>
          <w:marTop w:val="0"/>
          <w:marBottom w:val="0"/>
          <w:divBdr>
            <w:top w:val="none" w:sz="0" w:space="0" w:color="auto"/>
            <w:left w:val="none" w:sz="0" w:space="0" w:color="auto"/>
            <w:bottom w:val="none" w:sz="0" w:space="0" w:color="auto"/>
            <w:right w:val="none" w:sz="0" w:space="0" w:color="auto"/>
          </w:divBdr>
        </w:div>
        <w:div w:id="940265224">
          <w:marLeft w:val="640"/>
          <w:marRight w:val="0"/>
          <w:marTop w:val="0"/>
          <w:marBottom w:val="0"/>
          <w:divBdr>
            <w:top w:val="none" w:sz="0" w:space="0" w:color="auto"/>
            <w:left w:val="none" w:sz="0" w:space="0" w:color="auto"/>
            <w:bottom w:val="none" w:sz="0" w:space="0" w:color="auto"/>
            <w:right w:val="none" w:sz="0" w:space="0" w:color="auto"/>
          </w:divBdr>
        </w:div>
        <w:div w:id="2017614365">
          <w:marLeft w:val="640"/>
          <w:marRight w:val="0"/>
          <w:marTop w:val="0"/>
          <w:marBottom w:val="0"/>
          <w:divBdr>
            <w:top w:val="none" w:sz="0" w:space="0" w:color="auto"/>
            <w:left w:val="none" w:sz="0" w:space="0" w:color="auto"/>
            <w:bottom w:val="none" w:sz="0" w:space="0" w:color="auto"/>
            <w:right w:val="none" w:sz="0" w:space="0" w:color="auto"/>
          </w:divBdr>
        </w:div>
        <w:div w:id="637732442">
          <w:marLeft w:val="640"/>
          <w:marRight w:val="0"/>
          <w:marTop w:val="0"/>
          <w:marBottom w:val="0"/>
          <w:divBdr>
            <w:top w:val="none" w:sz="0" w:space="0" w:color="auto"/>
            <w:left w:val="none" w:sz="0" w:space="0" w:color="auto"/>
            <w:bottom w:val="none" w:sz="0" w:space="0" w:color="auto"/>
            <w:right w:val="none" w:sz="0" w:space="0" w:color="auto"/>
          </w:divBdr>
        </w:div>
        <w:div w:id="1060902338">
          <w:marLeft w:val="640"/>
          <w:marRight w:val="0"/>
          <w:marTop w:val="0"/>
          <w:marBottom w:val="0"/>
          <w:divBdr>
            <w:top w:val="none" w:sz="0" w:space="0" w:color="auto"/>
            <w:left w:val="none" w:sz="0" w:space="0" w:color="auto"/>
            <w:bottom w:val="none" w:sz="0" w:space="0" w:color="auto"/>
            <w:right w:val="none" w:sz="0" w:space="0" w:color="auto"/>
          </w:divBdr>
        </w:div>
        <w:div w:id="1112362852">
          <w:marLeft w:val="640"/>
          <w:marRight w:val="0"/>
          <w:marTop w:val="0"/>
          <w:marBottom w:val="0"/>
          <w:divBdr>
            <w:top w:val="none" w:sz="0" w:space="0" w:color="auto"/>
            <w:left w:val="none" w:sz="0" w:space="0" w:color="auto"/>
            <w:bottom w:val="none" w:sz="0" w:space="0" w:color="auto"/>
            <w:right w:val="none" w:sz="0" w:space="0" w:color="auto"/>
          </w:divBdr>
        </w:div>
        <w:div w:id="1603142358">
          <w:marLeft w:val="640"/>
          <w:marRight w:val="0"/>
          <w:marTop w:val="0"/>
          <w:marBottom w:val="0"/>
          <w:divBdr>
            <w:top w:val="none" w:sz="0" w:space="0" w:color="auto"/>
            <w:left w:val="none" w:sz="0" w:space="0" w:color="auto"/>
            <w:bottom w:val="none" w:sz="0" w:space="0" w:color="auto"/>
            <w:right w:val="none" w:sz="0" w:space="0" w:color="auto"/>
          </w:divBdr>
        </w:div>
        <w:div w:id="1195926433">
          <w:marLeft w:val="640"/>
          <w:marRight w:val="0"/>
          <w:marTop w:val="0"/>
          <w:marBottom w:val="0"/>
          <w:divBdr>
            <w:top w:val="none" w:sz="0" w:space="0" w:color="auto"/>
            <w:left w:val="none" w:sz="0" w:space="0" w:color="auto"/>
            <w:bottom w:val="none" w:sz="0" w:space="0" w:color="auto"/>
            <w:right w:val="none" w:sz="0" w:space="0" w:color="auto"/>
          </w:divBdr>
        </w:div>
        <w:div w:id="946698986">
          <w:marLeft w:val="640"/>
          <w:marRight w:val="0"/>
          <w:marTop w:val="0"/>
          <w:marBottom w:val="0"/>
          <w:divBdr>
            <w:top w:val="none" w:sz="0" w:space="0" w:color="auto"/>
            <w:left w:val="none" w:sz="0" w:space="0" w:color="auto"/>
            <w:bottom w:val="none" w:sz="0" w:space="0" w:color="auto"/>
            <w:right w:val="none" w:sz="0" w:space="0" w:color="auto"/>
          </w:divBdr>
        </w:div>
        <w:div w:id="547495101">
          <w:marLeft w:val="640"/>
          <w:marRight w:val="0"/>
          <w:marTop w:val="0"/>
          <w:marBottom w:val="0"/>
          <w:divBdr>
            <w:top w:val="none" w:sz="0" w:space="0" w:color="auto"/>
            <w:left w:val="none" w:sz="0" w:space="0" w:color="auto"/>
            <w:bottom w:val="none" w:sz="0" w:space="0" w:color="auto"/>
            <w:right w:val="none" w:sz="0" w:space="0" w:color="auto"/>
          </w:divBdr>
        </w:div>
        <w:div w:id="428739596">
          <w:marLeft w:val="640"/>
          <w:marRight w:val="0"/>
          <w:marTop w:val="0"/>
          <w:marBottom w:val="0"/>
          <w:divBdr>
            <w:top w:val="none" w:sz="0" w:space="0" w:color="auto"/>
            <w:left w:val="none" w:sz="0" w:space="0" w:color="auto"/>
            <w:bottom w:val="none" w:sz="0" w:space="0" w:color="auto"/>
            <w:right w:val="none" w:sz="0" w:space="0" w:color="auto"/>
          </w:divBdr>
        </w:div>
        <w:div w:id="1040472173">
          <w:marLeft w:val="640"/>
          <w:marRight w:val="0"/>
          <w:marTop w:val="0"/>
          <w:marBottom w:val="0"/>
          <w:divBdr>
            <w:top w:val="none" w:sz="0" w:space="0" w:color="auto"/>
            <w:left w:val="none" w:sz="0" w:space="0" w:color="auto"/>
            <w:bottom w:val="none" w:sz="0" w:space="0" w:color="auto"/>
            <w:right w:val="none" w:sz="0" w:space="0" w:color="auto"/>
          </w:divBdr>
        </w:div>
        <w:div w:id="1589147591">
          <w:marLeft w:val="640"/>
          <w:marRight w:val="0"/>
          <w:marTop w:val="0"/>
          <w:marBottom w:val="0"/>
          <w:divBdr>
            <w:top w:val="none" w:sz="0" w:space="0" w:color="auto"/>
            <w:left w:val="none" w:sz="0" w:space="0" w:color="auto"/>
            <w:bottom w:val="none" w:sz="0" w:space="0" w:color="auto"/>
            <w:right w:val="none" w:sz="0" w:space="0" w:color="auto"/>
          </w:divBdr>
        </w:div>
        <w:div w:id="743457231">
          <w:marLeft w:val="640"/>
          <w:marRight w:val="0"/>
          <w:marTop w:val="0"/>
          <w:marBottom w:val="0"/>
          <w:divBdr>
            <w:top w:val="none" w:sz="0" w:space="0" w:color="auto"/>
            <w:left w:val="none" w:sz="0" w:space="0" w:color="auto"/>
            <w:bottom w:val="none" w:sz="0" w:space="0" w:color="auto"/>
            <w:right w:val="none" w:sz="0" w:space="0" w:color="auto"/>
          </w:divBdr>
        </w:div>
        <w:div w:id="1234002560">
          <w:marLeft w:val="640"/>
          <w:marRight w:val="0"/>
          <w:marTop w:val="0"/>
          <w:marBottom w:val="0"/>
          <w:divBdr>
            <w:top w:val="none" w:sz="0" w:space="0" w:color="auto"/>
            <w:left w:val="none" w:sz="0" w:space="0" w:color="auto"/>
            <w:bottom w:val="none" w:sz="0" w:space="0" w:color="auto"/>
            <w:right w:val="none" w:sz="0" w:space="0" w:color="auto"/>
          </w:divBdr>
        </w:div>
        <w:div w:id="1724019026">
          <w:marLeft w:val="640"/>
          <w:marRight w:val="0"/>
          <w:marTop w:val="0"/>
          <w:marBottom w:val="0"/>
          <w:divBdr>
            <w:top w:val="none" w:sz="0" w:space="0" w:color="auto"/>
            <w:left w:val="none" w:sz="0" w:space="0" w:color="auto"/>
            <w:bottom w:val="none" w:sz="0" w:space="0" w:color="auto"/>
            <w:right w:val="none" w:sz="0" w:space="0" w:color="auto"/>
          </w:divBdr>
        </w:div>
        <w:div w:id="1926265092">
          <w:marLeft w:val="640"/>
          <w:marRight w:val="0"/>
          <w:marTop w:val="0"/>
          <w:marBottom w:val="0"/>
          <w:divBdr>
            <w:top w:val="none" w:sz="0" w:space="0" w:color="auto"/>
            <w:left w:val="none" w:sz="0" w:space="0" w:color="auto"/>
            <w:bottom w:val="none" w:sz="0" w:space="0" w:color="auto"/>
            <w:right w:val="none" w:sz="0" w:space="0" w:color="auto"/>
          </w:divBdr>
        </w:div>
        <w:div w:id="830288892">
          <w:marLeft w:val="640"/>
          <w:marRight w:val="0"/>
          <w:marTop w:val="0"/>
          <w:marBottom w:val="0"/>
          <w:divBdr>
            <w:top w:val="none" w:sz="0" w:space="0" w:color="auto"/>
            <w:left w:val="none" w:sz="0" w:space="0" w:color="auto"/>
            <w:bottom w:val="none" w:sz="0" w:space="0" w:color="auto"/>
            <w:right w:val="none" w:sz="0" w:space="0" w:color="auto"/>
          </w:divBdr>
        </w:div>
        <w:div w:id="1662851863">
          <w:marLeft w:val="640"/>
          <w:marRight w:val="0"/>
          <w:marTop w:val="0"/>
          <w:marBottom w:val="0"/>
          <w:divBdr>
            <w:top w:val="none" w:sz="0" w:space="0" w:color="auto"/>
            <w:left w:val="none" w:sz="0" w:space="0" w:color="auto"/>
            <w:bottom w:val="none" w:sz="0" w:space="0" w:color="auto"/>
            <w:right w:val="none" w:sz="0" w:space="0" w:color="auto"/>
          </w:divBdr>
        </w:div>
        <w:div w:id="1092513001">
          <w:marLeft w:val="640"/>
          <w:marRight w:val="0"/>
          <w:marTop w:val="0"/>
          <w:marBottom w:val="0"/>
          <w:divBdr>
            <w:top w:val="none" w:sz="0" w:space="0" w:color="auto"/>
            <w:left w:val="none" w:sz="0" w:space="0" w:color="auto"/>
            <w:bottom w:val="none" w:sz="0" w:space="0" w:color="auto"/>
            <w:right w:val="none" w:sz="0" w:space="0" w:color="auto"/>
          </w:divBdr>
        </w:div>
        <w:div w:id="1014263196">
          <w:marLeft w:val="640"/>
          <w:marRight w:val="0"/>
          <w:marTop w:val="0"/>
          <w:marBottom w:val="0"/>
          <w:divBdr>
            <w:top w:val="none" w:sz="0" w:space="0" w:color="auto"/>
            <w:left w:val="none" w:sz="0" w:space="0" w:color="auto"/>
            <w:bottom w:val="none" w:sz="0" w:space="0" w:color="auto"/>
            <w:right w:val="none" w:sz="0" w:space="0" w:color="auto"/>
          </w:divBdr>
        </w:div>
        <w:div w:id="274099999">
          <w:marLeft w:val="640"/>
          <w:marRight w:val="0"/>
          <w:marTop w:val="0"/>
          <w:marBottom w:val="0"/>
          <w:divBdr>
            <w:top w:val="none" w:sz="0" w:space="0" w:color="auto"/>
            <w:left w:val="none" w:sz="0" w:space="0" w:color="auto"/>
            <w:bottom w:val="none" w:sz="0" w:space="0" w:color="auto"/>
            <w:right w:val="none" w:sz="0" w:space="0" w:color="auto"/>
          </w:divBdr>
        </w:div>
        <w:div w:id="680661791">
          <w:marLeft w:val="640"/>
          <w:marRight w:val="0"/>
          <w:marTop w:val="0"/>
          <w:marBottom w:val="0"/>
          <w:divBdr>
            <w:top w:val="none" w:sz="0" w:space="0" w:color="auto"/>
            <w:left w:val="none" w:sz="0" w:space="0" w:color="auto"/>
            <w:bottom w:val="none" w:sz="0" w:space="0" w:color="auto"/>
            <w:right w:val="none" w:sz="0" w:space="0" w:color="auto"/>
          </w:divBdr>
        </w:div>
        <w:div w:id="463699440">
          <w:marLeft w:val="640"/>
          <w:marRight w:val="0"/>
          <w:marTop w:val="0"/>
          <w:marBottom w:val="0"/>
          <w:divBdr>
            <w:top w:val="none" w:sz="0" w:space="0" w:color="auto"/>
            <w:left w:val="none" w:sz="0" w:space="0" w:color="auto"/>
            <w:bottom w:val="none" w:sz="0" w:space="0" w:color="auto"/>
            <w:right w:val="none" w:sz="0" w:space="0" w:color="auto"/>
          </w:divBdr>
        </w:div>
        <w:div w:id="2066219678">
          <w:marLeft w:val="640"/>
          <w:marRight w:val="0"/>
          <w:marTop w:val="0"/>
          <w:marBottom w:val="0"/>
          <w:divBdr>
            <w:top w:val="none" w:sz="0" w:space="0" w:color="auto"/>
            <w:left w:val="none" w:sz="0" w:space="0" w:color="auto"/>
            <w:bottom w:val="none" w:sz="0" w:space="0" w:color="auto"/>
            <w:right w:val="none" w:sz="0" w:space="0" w:color="auto"/>
          </w:divBdr>
        </w:div>
        <w:div w:id="1623995414">
          <w:marLeft w:val="640"/>
          <w:marRight w:val="0"/>
          <w:marTop w:val="0"/>
          <w:marBottom w:val="0"/>
          <w:divBdr>
            <w:top w:val="none" w:sz="0" w:space="0" w:color="auto"/>
            <w:left w:val="none" w:sz="0" w:space="0" w:color="auto"/>
            <w:bottom w:val="none" w:sz="0" w:space="0" w:color="auto"/>
            <w:right w:val="none" w:sz="0" w:space="0" w:color="auto"/>
          </w:divBdr>
        </w:div>
        <w:div w:id="1137525230">
          <w:marLeft w:val="640"/>
          <w:marRight w:val="0"/>
          <w:marTop w:val="0"/>
          <w:marBottom w:val="0"/>
          <w:divBdr>
            <w:top w:val="none" w:sz="0" w:space="0" w:color="auto"/>
            <w:left w:val="none" w:sz="0" w:space="0" w:color="auto"/>
            <w:bottom w:val="none" w:sz="0" w:space="0" w:color="auto"/>
            <w:right w:val="none" w:sz="0" w:space="0" w:color="auto"/>
          </w:divBdr>
        </w:div>
        <w:div w:id="1929464291">
          <w:marLeft w:val="640"/>
          <w:marRight w:val="0"/>
          <w:marTop w:val="0"/>
          <w:marBottom w:val="0"/>
          <w:divBdr>
            <w:top w:val="none" w:sz="0" w:space="0" w:color="auto"/>
            <w:left w:val="none" w:sz="0" w:space="0" w:color="auto"/>
            <w:bottom w:val="none" w:sz="0" w:space="0" w:color="auto"/>
            <w:right w:val="none" w:sz="0" w:space="0" w:color="auto"/>
          </w:divBdr>
        </w:div>
        <w:div w:id="702708108">
          <w:marLeft w:val="640"/>
          <w:marRight w:val="0"/>
          <w:marTop w:val="0"/>
          <w:marBottom w:val="0"/>
          <w:divBdr>
            <w:top w:val="none" w:sz="0" w:space="0" w:color="auto"/>
            <w:left w:val="none" w:sz="0" w:space="0" w:color="auto"/>
            <w:bottom w:val="none" w:sz="0" w:space="0" w:color="auto"/>
            <w:right w:val="none" w:sz="0" w:space="0" w:color="auto"/>
          </w:divBdr>
        </w:div>
        <w:div w:id="255602155">
          <w:marLeft w:val="640"/>
          <w:marRight w:val="0"/>
          <w:marTop w:val="0"/>
          <w:marBottom w:val="0"/>
          <w:divBdr>
            <w:top w:val="none" w:sz="0" w:space="0" w:color="auto"/>
            <w:left w:val="none" w:sz="0" w:space="0" w:color="auto"/>
            <w:bottom w:val="none" w:sz="0" w:space="0" w:color="auto"/>
            <w:right w:val="none" w:sz="0" w:space="0" w:color="auto"/>
          </w:divBdr>
        </w:div>
        <w:div w:id="344601593">
          <w:marLeft w:val="640"/>
          <w:marRight w:val="0"/>
          <w:marTop w:val="0"/>
          <w:marBottom w:val="0"/>
          <w:divBdr>
            <w:top w:val="none" w:sz="0" w:space="0" w:color="auto"/>
            <w:left w:val="none" w:sz="0" w:space="0" w:color="auto"/>
            <w:bottom w:val="none" w:sz="0" w:space="0" w:color="auto"/>
            <w:right w:val="none" w:sz="0" w:space="0" w:color="auto"/>
          </w:divBdr>
        </w:div>
        <w:div w:id="1839534685">
          <w:marLeft w:val="640"/>
          <w:marRight w:val="0"/>
          <w:marTop w:val="0"/>
          <w:marBottom w:val="0"/>
          <w:divBdr>
            <w:top w:val="none" w:sz="0" w:space="0" w:color="auto"/>
            <w:left w:val="none" w:sz="0" w:space="0" w:color="auto"/>
            <w:bottom w:val="none" w:sz="0" w:space="0" w:color="auto"/>
            <w:right w:val="none" w:sz="0" w:space="0" w:color="auto"/>
          </w:divBdr>
        </w:div>
        <w:div w:id="166598753">
          <w:marLeft w:val="640"/>
          <w:marRight w:val="0"/>
          <w:marTop w:val="0"/>
          <w:marBottom w:val="0"/>
          <w:divBdr>
            <w:top w:val="none" w:sz="0" w:space="0" w:color="auto"/>
            <w:left w:val="none" w:sz="0" w:space="0" w:color="auto"/>
            <w:bottom w:val="none" w:sz="0" w:space="0" w:color="auto"/>
            <w:right w:val="none" w:sz="0" w:space="0" w:color="auto"/>
          </w:divBdr>
        </w:div>
        <w:div w:id="1205873687">
          <w:marLeft w:val="640"/>
          <w:marRight w:val="0"/>
          <w:marTop w:val="0"/>
          <w:marBottom w:val="0"/>
          <w:divBdr>
            <w:top w:val="none" w:sz="0" w:space="0" w:color="auto"/>
            <w:left w:val="none" w:sz="0" w:space="0" w:color="auto"/>
            <w:bottom w:val="none" w:sz="0" w:space="0" w:color="auto"/>
            <w:right w:val="none" w:sz="0" w:space="0" w:color="auto"/>
          </w:divBdr>
        </w:div>
        <w:div w:id="2012444210">
          <w:marLeft w:val="640"/>
          <w:marRight w:val="0"/>
          <w:marTop w:val="0"/>
          <w:marBottom w:val="0"/>
          <w:divBdr>
            <w:top w:val="none" w:sz="0" w:space="0" w:color="auto"/>
            <w:left w:val="none" w:sz="0" w:space="0" w:color="auto"/>
            <w:bottom w:val="none" w:sz="0" w:space="0" w:color="auto"/>
            <w:right w:val="none" w:sz="0" w:space="0" w:color="auto"/>
          </w:divBdr>
        </w:div>
        <w:div w:id="278877848">
          <w:marLeft w:val="640"/>
          <w:marRight w:val="0"/>
          <w:marTop w:val="0"/>
          <w:marBottom w:val="0"/>
          <w:divBdr>
            <w:top w:val="none" w:sz="0" w:space="0" w:color="auto"/>
            <w:left w:val="none" w:sz="0" w:space="0" w:color="auto"/>
            <w:bottom w:val="none" w:sz="0" w:space="0" w:color="auto"/>
            <w:right w:val="none" w:sz="0" w:space="0" w:color="auto"/>
          </w:divBdr>
        </w:div>
        <w:div w:id="650595587">
          <w:marLeft w:val="640"/>
          <w:marRight w:val="0"/>
          <w:marTop w:val="0"/>
          <w:marBottom w:val="0"/>
          <w:divBdr>
            <w:top w:val="none" w:sz="0" w:space="0" w:color="auto"/>
            <w:left w:val="none" w:sz="0" w:space="0" w:color="auto"/>
            <w:bottom w:val="none" w:sz="0" w:space="0" w:color="auto"/>
            <w:right w:val="none" w:sz="0" w:space="0" w:color="auto"/>
          </w:divBdr>
        </w:div>
        <w:div w:id="77798119">
          <w:marLeft w:val="640"/>
          <w:marRight w:val="0"/>
          <w:marTop w:val="0"/>
          <w:marBottom w:val="0"/>
          <w:divBdr>
            <w:top w:val="none" w:sz="0" w:space="0" w:color="auto"/>
            <w:left w:val="none" w:sz="0" w:space="0" w:color="auto"/>
            <w:bottom w:val="none" w:sz="0" w:space="0" w:color="auto"/>
            <w:right w:val="none" w:sz="0" w:space="0" w:color="auto"/>
          </w:divBdr>
        </w:div>
        <w:div w:id="703141870">
          <w:marLeft w:val="640"/>
          <w:marRight w:val="0"/>
          <w:marTop w:val="0"/>
          <w:marBottom w:val="0"/>
          <w:divBdr>
            <w:top w:val="none" w:sz="0" w:space="0" w:color="auto"/>
            <w:left w:val="none" w:sz="0" w:space="0" w:color="auto"/>
            <w:bottom w:val="none" w:sz="0" w:space="0" w:color="auto"/>
            <w:right w:val="none" w:sz="0" w:space="0" w:color="auto"/>
          </w:divBdr>
        </w:div>
        <w:div w:id="189881294">
          <w:marLeft w:val="640"/>
          <w:marRight w:val="0"/>
          <w:marTop w:val="0"/>
          <w:marBottom w:val="0"/>
          <w:divBdr>
            <w:top w:val="none" w:sz="0" w:space="0" w:color="auto"/>
            <w:left w:val="none" w:sz="0" w:space="0" w:color="auto"/>
            <w:bottom w:val="none" w:sz="0" w:space="0" w:color="auto"/>
            <w:right w:val="none" w:sz="0" w:space="0" w:color="auto"/>
          </w:divBdr>
        </w:div>
        <w:div w:id="389765766">
          <w:marLeft w:val="640"/>
          <w:marRight w:val="0"/>
          <w:marTop w:val="0"/>
          <w:marBottom w:val="0"/>
          <w:divBdr>
            <w:top w:val="none" w:sz="0" w:space="0" w:color="auto"/>
            <w:left w:val="none" w:sz="0" w:space="0" w:color="auto"/>
            <w:bottom w:val="none" w:sz="0" w:space="0" w:color="auto"/>
            <w:right w:val="none" w:sz="0" w:space="0" w:color="auto"/>
          </w:divBdr>
        </w:div>
        <w:div w:id="1508596453">
          <w:marLeft w:val="640"/>
          <w:marRight w:val="0"/>
          <w:marTop w:val="0"/>
          <w:marBottom w:val="0"/>
          <w:divBdr>
            <w:top w:val="none" w:sz="0" w:space="0" w:color="auto"/>
            <w:left w:val="none" w:sz="0" w:space="0" w:color="auto"/>
            <w:bottom w:val="none" w:sz="0" w:space="0" w:color="auto"/>
            <w:right w:val="none" w:sz="0" w:space="0" w:color="auto"/>
          </w:divBdr>
        </w:div>
        <w:div w:id="933854652">
          <w:marLeft w:val="640"/>
          <w:marRight w:val="0"/>
          <w:marTop w:val="0"/>
          <w:marBottom w:val="0"/>
          <w:divBdr>
            <w:top w:val="none" w:sz="0" w:space="0" w:color="auto"/>
            <w:left w:val="none" w:sz="0" w:space="0" w:color="auto"/>
            <w:bottom w:val="none" w:sz="0" w:space="0" w:color="auto"/>
            <w:right w:val="none" w:sz="0" w:space="0" w:color="auto"/>
          </w:divBdr>
        </w:div>
        <w:div w:id="1308894638">
          <w:marLeft w:val="640"/>
          <w:marRight w:val="0"/>
          <w:marTop w:val="0"/>
          <w:marBottom w:val="0"/>
          <w:divBdr>
            <w:top w:val="none" w:sz="0" w:space="0" w:color="auto"/>
            <w:left w:val="none" w:sz="0" w:space="0" w:color="auto"/>
            <w:bottom w:val="none" w:sz="0" w:space="0" w:color="auto"/>
            <w:right w:val="none" w:sz="0" w:space="0" w:color="auto"/>
          </w:divBdr>
        </w:div>
        <w:div w:id="93795321">
          <w:marLeft w:val="640"/>
          <w:marRight w:val="0"/>
          <w:marTop w:val="0"/>
          <w:marBottom w:val="0"/>
          <w:divBdr>
            <w:top w:val="none" w:sz="0" w:space="0" w:color="auto"/>
            <w:left w:val="none" w:sz="0" w:space="0" w:color="auto"/>
            <w:bottom w:val="none" w:sz="0" w:space="0" w:color="auto"/>
            <w:right w:val="none" w:sz="0" w:space="0" w:color="auto"/>
          </w:divBdr>
        </w:div>
        <w:div w:id="1741826818">
          <w:marLeft w:val="640"/>
          <w:marRight w:val="0"/>
          <w:marTop w:val="0"/>
          <w:marBottom w:val="0"/>
          <w:divBdr>
            <w:top w:val="none" w:sz="0" w:space="0" w:color="auto"/>
            <w:left w:val="none" w:sz="0" w:space="0" w:color="auto"/>
            <w:bottom w:val="none" w:sz="0" w:space="0" w:color="auto"/>
            <w:right w:val="none" w:sz="0" w:space="0" w:color="auto"/>
          </w:divBdr>
        </w:div>
        <w:div w:id="307636320">
          <w:marLeft w:val="640"/>
          <w:marRight w:val="0"/>
          <w:marTop w:val="0"/>
          <w:marBottom w:val="0"/>
          <w:divBdr>
            <w:top w:val="none" w:sz="0" w:space="0" w:color="auto"/>
            <w:left w:val="none" w:sz="0" w:space="0" w:color="auto"/>
            <w:bottom w:val="none" w:sz="0" w:space="0" w:color="auto"/>
            <w:right w:val="none" w:sz="0" w:space="0" w:color="auto"/>
          </w:divBdr>
        </w:div>
        <w:div w:id="147282566">
          <w:marLeft w:val="640"/>
          <w:marRight w:val="0"/>
          <w:marTop w:val="0"/>
          <w:marBottom w:val="0"/>
          <w:divBdr>
            <w:top w:val="none" w:sz="0" w:space="0" w:color="auto"/>
            <w:left w:val="none" w:sz="0" w:space="0" w:color="auto"/>
            <w:bottom w:val="none" w:sz="0" w:space="0" w:color="auto"/>
            <w:right w:val="none" w:sz="0" w:space="0" w:color="auto"/>
          </w:divBdr>
        </w:div>
      </w:divsChild>
    </w:div>
    <w:div w:id="1842113625">
      <w:bodyDiv w:val="1"/>
      <w:marLeft w:val="0"/>
      <w:marRight w:val="0"/>
      <w:marTop w:val="0"/>
      <w:marBottom w:val="0"/>
      <w:divBdr>
        <w:top w:val="none" w:sz="0" w:space="0" w:color="auto"/>
        <w:left w:val="none" w:sz="0" w:space="0" w:color="auto"/>
        <w:bottom w:val="none" w:sz="0" w:space="0" w:color="auto"/>
        <w:right w:val="none" w:sz="0" w:space="0" w:color="auto"/>
      </w:divBdr>
      <w:divsChild>
        <w:div w:id="696198134">
          <w:marLeft w:val="640"/>
          <w:marRight w:val="0"/>
          <w:marTop w:val="0"/>
          <w:marBottom w:val="0"/>
          <w:divBdr>
            <w:top w:val="none" w:sz="0" w:space="0" w:color="auto"/>
            <w:left w:val="none" w:sz="0" w:space="0" w:color="auto"/>
            <w:bottom w:val="none" w:sz="0" w:space="0" w:color="auto"/>
            <w:right w:val="none" w:sz="0" w:space="0" w:color="auto"/>
          </w:divBdr>
        </w:div>
        <w:div w:id="335311240">
          <w:marLeft w:val="640"/>
          <w:marRight w:val="0"/>
          <w:marTop w:val="0"/>
          <w:marBottom w:val="0"/>
          <w:divBdr>
            <w:top w:val="none" w:sz="0" w:space="0" w:color="auto"/>
            <w:left w:val="none" w:sz="0" w:space="0" w:color="auto"/>
            <w:bottom w:val="none" w:sz="0" w:space="0" w:color="auto"/>
            <w:right w:val="none" w:sz="0" w:space="0" w:color="auto"/>
          </w:divBdr>
        </w:div>
        <w:div w:id="513492379">
          <w:marLeft w:val="640"/>
          <w:marRight w:val="0"/>
          <w:marTop w:val="0"/>
          <w:marBottom w:val="0"/>
          <w:divBdr>
            <w:top w:val="none" w:sz="0" w:space="0" w:color="auto"/>
            <w:left w:val="none" w:sz="0" w:space="0" w:color="auto"/>
            <w:bottom w:val="none" w:sz="0" w:space="0" w:color="auto"/>
            <w:right w:val="none" w:sz="0" w:space="0" w:color="auto"/>
          </w:divBdr>
        </w:div>
        <w:div w:id="1468551366">
          <w:marLeft w:val="640"/>
          <w:marRight w:val="0"/>
          <w:marTop w:val="0"/>
          <w:marBottom w:val="0"/>
          <w:divBdr>
            <w:top w:val="none" w:sz="0" w:space="0" w:color="auto"/>
            <w:left w:val="none" w:sz="0" w:space="0" w:color="auto"/>
            <w:bottom w:val="none" w:sz="0" w:space="0" w:color="auto"/>
            <w:right w:val="none" w:sz="0" w:space="0" w:color="auto"/>
          </w:divBdr>
        </w:div>
        <w:div w:id="1483309025">
          <w:marLeft w:val="640"/>
          <w:marRight w:val="0"/>
          <w:marTop w:val="0"/>
          <w:marBottom w:val="0"/>
          <w:divBdr>
            <w:top w:val="none" w:sz="0" w:space="0" w:color="auto"/>
            <w:left w:val="none" w:sz="0" w:space="0" w:color="auto"/>
            <w:bottom w:val="none" w:sz="0" w:space="0" w:color="auto"/>
            <w:right w:val="none" w:sz="0" w:space="0" w:color="auto"/>
          </w:divBdr>
        </w:div>
        <w:div w:id="204025895">
          <w:marLeft w:val="640"/>
          <w:marRight w:val="0"/>
          <w:marTop w:val="0"/>
          <w:marBottom w:val="0"/>
          <w:divBdr>
            <w:top w:val="none" w:sz="0" w:space="0" w:color="auto"/>
            <w:left w:val="none" w:sz="0" w:space="0" w:color="auto"/>
            <w:bottom w:val="none" w:sz="0" w:space="0" w:color="auto"/>
            <w:right w:val="none" w:sz="0" w:space="0" w:color="auto"/>
          </w:divBdr>
        </w:div>
        <w:div w:id="1377660872">
          <w:marLeft w:val="640"/>
          <w:marRight w:val="0"/>
          <w:marTop w:val="0"/>
          <w:marBottom w:val="0"/>
          <w:divBdr>
            <w:top w:val="none" w:sz="0" w:space="0" w:color="auto"/>
            <w:left w:val="none" w:sz="0" w:space="0" w:color="auto"/>
            <w:bottom w:val="none" w:sz="0" w:space="0" w:color="auto"/>
            <w:right w:val="none" w:sz="0" w:space="0" w:color="auto"/>
          </w:divBdr>
        </w:div>
        <w:div w:id="2117558975">
          <w:marLeft w:val="640"/>
          <w:marRight w:val="0"/>
          <w:marTop w:val="0"/>
          <w:marBottom w:val="0"/>
          <w:divBdr>
            <w:top w:val="none" w:sz="0" w:space="0" w:color="auto"/>
            <w:left w:val="none" w:sz="0" w:space="0" w:color="auto"/>
            <w:bottom w:val="none" w:sz="0" w:space="0" w:color="auto"/>
            <w:right w:val="none" w:sz="0" w:space="0" w:color="auto"/>
          </w:divBdr>
        </w:div>
        <w:div w:id="1674986024">
          <w:marLeft w:val="640"/>
          <w:marRight w:val="0"/>
          <w:marTop w:val="0"/>
          <w:marBottom w:val="0"/>
          <w:divBdr>
            <w:top w:val="none" w:sz="0" w:space="0" w:color="auto"/>
            <w:left w:val="none" w:sz="0" w:space="0" w:color="auto"/>
            <w:bottom w:val="none" w:sz="0" w:space="0" w:color="auto"/>
            <w:right w:val="none" w:sz="0" w:space="0" w:color="auto"/>
          </w:divBdr>
        </w:div>
        <w:div w:id="246964836">
          <w:marLeft w:val="640"/>
          <w:marRight w:val="0"/>
          <w:marTop w:val="0"/>
          <w:marBottom w:val="0"/>
          <w:divBdr>
            <w:top w:val="none" w:sz="0" w:space="0" w:color="auto"/>
            <w:left w:val="none" w:sz="0" w:space="0" w:color="auto"/>
            <w:bottom w:val="none" w:sz="0" w:space="0" w:color="auto"/>
            <w:right w:val="none" w:sz="0" w:space="0" w:color="auto"/>
          </w:divBdr>
        </w:div>
        <w:div w:id="1056856277">
          <w:marLeft w:val="640"/>
          <w:marRight w:val="0"/>
          <w:marTop w:val="0"/>
          <w:marBottom w:val="0"/>
          <w:divBdr>
            <w:top w:val="none" w:sz="0" w:space="0" w:color="auto"/>
            <w:left w:val="none" w:sz="0" w:space="0" w:color="auto"/>
            <w:bottom w:val="none" w:sz="0" w:space="0" w:color="auto"/>
            <w:right w:val="none" w:sz="0" w:space="0" w:color="auto"/>
          </w:divBdr>
        </w:div>
        <w:div w:id="1954894454">
          <w:marLeft w:val="640"/>
          <w:marRight w:val="0"/>
          <w:marTop w:val="0"/>
          <w:marBottom w:val="0"/>
          <w:divBdr>
            <w:top w:val="none" w:sz="0" w:space="0" w:color="auto"/>
            <w:left w:val="none" w:sz="0" w:space="0" w:color="auto"/>
            <w:bottom w:val="none" w:sz="0" w:space="0" w:color="auto"/>
            <w:right w:val="none" w:sz="0" w:space="0" w:color="auto"/>
          </w:divBdr>
        </w:div>
        <w:div w:id="684288085">
          <w:marLeft w:val="640"/>
          <w:marRight w:val="0"/>
          <w:marTop w:val="0"/>
          <w:marBottom w:val="0"/>
          <w:divBdr>
            <w:top w:val="none" w:sz="0" w:space="0" w:color="auto"/>
            <w:left w:val="none" w:sz="0" w:space="0" w:color="auto"/>
            <w:bottom w:val="none" w:sz="0" w:space="0" w:color="auto"/>
            <w:right w:val="none" w:sz="0" w:space="0" w:color="auto"/>
          </w:divBdr>
        </w:div>
        <w:div w:id="615790527">
          <w:marLeft w:val="640"/>
          <w:marRight w:val="0"/>
          <w:marTop w:val="0"/>
          <w:marBottom w:val="0"/>
          <w:divBdr>
            <w:top w:val="none" w:sz="0" w:space="0" w:color="auto"/>
            <w:left w:val="none" w:sz="0" w:space="0" w:color="auto"/>
            <w:bottom w:val="none" w:sz="0" w:space="0" w:color="auto"/>
            <w:right w:val="none" w:sz="0" w:space="0" w:color="auto"/>
          </w:divBdr>
        </w:div>
        <w:div w:id="901676127">
          <w:marLeft w:val="640"/>
          <w:marRight w:val="0"/>
          <w:marTop w:val="0"/>
          <w:marBottom w:val="0"/>
          <w:divBdr>
            <w:top w:val="none" w:sz="0" w:space="0" w:color="auto"/>
            <w:left w:val="none" w:sz="0" w:space="0" w:color="auto"/>
            <w:bottom w:val="none" w:sz="0" w:space="0" w:color="auto"/>
            <w:right w:val="none" w:sz="0" w:space="0" w:color="auto"/>
          </w:divBdr>
        </w:div>
        <w:div w:id="1810127020">
          <w:marLeft w:val="640"/>
          <w:marRight w:val="0"/>
          <w:marTop w:val="0"/>
          <w:marBottom w:val="0"/>
          <w:divBdr>
            <w:top w:val="none" w:sz="0" w:space="0" w:color="auto"/>
            <w:left w:val="none" w:sz="0" w:space="0" w:color="auto"/>
            <w:bottom w:val="none" w:sz="0" w:space="0" w:color="auto"/>
            <w:right w:val="none" w:sz="0" w:space="0" w:color="auto"/>
          </w:divBdr>
        </w:div>
        <w:div w:id="1637836391">
          <w:marLeft w:val="640"/>
          <w:marRight w:val="0"/>
          <w:marTop w:val="0"/>
          <w:marBottom w:val="0"/>
          <w:divBdr>
            <w:top w:val="none" w:sz="0" w:space="0" w:color="auto"/>
            <w:left w:val="none" w:sz="0" w:space="0" w:color="auto"/>
            <w:bottom w:val="none" w:sz="0" w:space="0" w:color="auto"/>
            <w:right w:val="none" w:sz="0" w:space="0" w:color="auto"/>
          </w:divBdr>
        </w:div>
        <w:div w:id="356782172">
          <w:marLeft w:val="640"/>
          <w:marRight w:val="0"/>
          <w:marTop w:val="0"/>
          <w:marBottom w:val="0"/>
          <w:divBdr>
            <w:top w:val="none" w:sz="0" w:space="0" w:color="auto"/>
            <w:left w:val="none" w:sz="0" w:space="0" w:color="auto"/>
            <w:bottom w:val="none" w:sz="0" w:space="0" w:color="auto"/>
            <w:right w:val="none" w:sz="0" w:space="0" w:color="auto"/>
          </w:divBdr>
        </w:div>
        <w:div w:id="769082048">
          <w:marLeft w:val="640"/>
          <w:marRight w:val="0"/>
          <w:marTop w:val="0"/>
          <w:marBottom w:val="0"/>
          <w:divBdr>
            <w:top w:val="none" w:sz="0" w:space="0" w:color="auto"/>
            <w:left w:val="none" w:sz="0" w:space="0" w:color="auto"/>
            <w:bottom w:val="none" w:sz="0" w:space="0" w:color="auto"/>
            <w:right w:val="none" w:sz="0" w:space="0" w:color="auto"/>
          </w:divBdr>
        </w:div>
        <w:div w:id="1257207283">
          <w:marLeft w:val="640"/>
          <w:marRight w:val="0"/>
          <w:marTop w:val="0"/>
          <w:marBottom w:val="0"/>
          <w:divBdr>
            <w:top w:val="none" w:sz="0" w:space="0" w:color="auto"/>
            <w:left w:val="none" w:sz="0" w:space="0" w:color="auto"/>
            <w:bottom w:val="none" w:sz="0" w:space="0" w:color="auto"/>
            <w:right w:val="none" w:sz="0" w:space="0" w:color="auto"/>
          </w:divBdr>
        </w:div>
        <w:div w:id="622809741">
          <w:marLeft w:val="640"/>
          <w:marRight w:val="0"/>
          <w:marTop w:val="0"/>
          <w:marBottom w:val="0"/>
          <w:divBdr>
            <w:top w:val="none" w:sz="0" w:space="0" w:color="auto"/>
            <w:left w:val="none" w:sz="0" w:space="0" w:color="auto"/>
            <w:bottom w:val="none" w:sz="0" w:space="0" w:color="auto"/>
            <w:right w:val="none" w:sz="0" w:space="0" w:color="auto"/>
          </w:divBdr>
        </w:div>
        <w:div w:id="6565805">
          <w:marLeft w:val="640"/>
          <w:marRight w:val="0"/>
          <w:marTop w:val="0"/>
          <w:marBottom w:val="0"/>
          <w:divBdr>
            <w:top w:val="none" w:sz="0" w:space="0" w:color="auto"/>
            <w:left w:val="none" w:sz="0" w:space="0" w:color="auto"/>
            <w:bottom w:val="none" w:sz="0" w:space="0" w:color="auto"/>
            <w:right w:val="none" w:sz="0" w:space="0" w:color="auto"/>
          </w:divBdr>
        </w:div>
        <w:div w:id="286351924">
          <w:marLeft w:val="640"/>
          <w:marRight w:val="0"/>
          <w:marTop w:val="0"/>
          <w:marBottom w:val="0"/>
          <w:divBdr>
            <w:top w:val="none" w:sz="0" w:space="0" w:color="auto"/>
            <w:left w:val="none" w:sz="0" w:space="0" w:color="auto"/>
            <w:bottom w:val="none" w:sz="0" w:space="0" w:color="auto"/>
            <w:right w:val="none" w:sz="0" w:space="0" w:color="auto"/>
          </w:divBdr>
        </w:div>
        <w:div w:id="2143500899">
          <w:marLeft w:val="640"/>
          <w:marRight w:val="0"/>
          <w:marTop w:val="0"/>
          <w:marBottom w:val="0"/>
          <w:divBdr>
            <w:top w:val="none" w:sz="0" w:space="0" w:color="auto"/>
            <w:left w:val="none" w:sz="0" w:space="0" w:color="auto"/>
            <w:bottom w:val="none" w:sz="0" w:space="0" w:color="auto"/>
            <w:right w:val="none" w:sz="0" w:space="0" w:color="auto"/>
          </w:divBdr>
        </w:div>
        <w:div w:id="273833162">
          <w:marLeft w:val="640"/>
          <w:marRight w:val="0"/>
          <w:marTop w:val="0"/>
          <w:marBottom w:val="0"/>
          <w:divBdr>
            <w:top w:val="none" w:sz="0" w:space="0" w:color="auto"/>
            <w:left w:val="none" w:sz="0" w:space="0" w:color="auto"/>
            <w:bottom w:val="none" w:sz="0" w:space="0" w:color="auto"/>
            <w:right w:val="none" w:sz="0" w:space="0" w:color="auto"/>
          </w:divBdr>
        </w:div>
        <w:div w:id="1330868768">
          <w:marLeft w:val="640"/>
          <w:marRight w:val="0"/>
          <w:marTop w:val="0"/>
          <w:marBottom w:val="0"/>
          <w:divBdr>
            <w:top w:val="none" w:sz="0" w:space="0" w:color="auto"/>
            <w:left w:val="none" w:sz="0" w:space="0" w:color="auto"/>
            <w:bottom w:val="none" w:sz="0" w:space="0" w:color="auto"/>
            <w:right w:val="none" w:sz="0" w:space="0" w:color="auto"/>
          </w:divBdr>
        </w:div>
        <w:div w:id="1862014361">
          <w:marLeft w:val="640"/>
          <w:marRight w:val="0"/>
          <w:marTop w:val="0"/>
          <w:marBottom w:val="0"/>
          <w:divBdr>
            <w:top w:val="none" w:sz="0" w:space="0" w:color="auto"/>
            <w:left w:val="none" w:sz="0" w:space="0" w:color="auto"/>
            <w:bottom w:val="none" w:sz="0" w:space="0" w:color="auto"/>
            <w:right w:val="none" w:sz="0" w:space="0" w:color="auto"/>
          </w:divBdr>
        </w:div>
        <w:div w:id="177932418">
          <w:marLeft w:val="640"/>
          <w:marRight w:val="0"/>
          <w:marTop w:val="0"/>
          <w:marBottom w:val="0"/>
          <w:divBdr>
            <w:top w:val="none" w:sz="0" w:space="0" w:color="auto"/>
            <w:left w:val="none" w:sz="0" w:space="0" w:color="auto"/>
            <w:bottom w:val="none" w:sz="0" w:space="0" w:color="auto"/>
            <w:right w:val="none" w:sz="0" w:space="0" w:color="auto"/>
          </w:divBdr>
        </w:div>
        <w:div w:id="2068413903">
          <w:marLeft w:val="640"/>
          <w:marRight w:val="0"/>
          <w:marTop w:val="0"/>
          <w:marBottom w:val="0"/>
          <w:divBdr>
            <w:top w:val="none" w:sz="0" w:space="0" w:color="auto"/>
            <w:left w:val="none" w:sz="0" w:space="0" w:color="auto"/>
            <w:bottom w:val="none" w:sz="0" w:space="0" w:color="auto"/>
            <w:right w:val="none" w:sz="0" w:space="0" w:color="auto"/>
          </w:divBdr>
        </w:div>
        <w:div w:id="766585823">
          <w:marLeft w:val="640"/>
          <w:marRight w:val="0"/>
          <w:marTop w:val="0"/>
          <w:marBottom w:val="0"/>
          <w:divBdr>
            <w:top w:val="none" w:sz="0" w:space="0" w:color="auto"/>
            <w:left w:val="none" w:sz="0" w:space="0" w:color="auto"/>
            <w:bottom w:val="none" w:sz="0" w:space="0" w:color="auto"/>
            <w:right w:val="none" w:sz="0" w:space="0" w:color="auto"/>
          </w:divBdr>
        </w:div>
        <w:div w:id="348258565">
          <w:marLeft w:val="640"/>
          <w:marRight w:val="0"/>
          <w:marTop w:val="0"/>
          <w:marBottom w:val="0"/>
          <w:divBdr>
            <w:top w:val="none" w:sz="0" w:space="0" w:color="auto"/>
            <w:left w:val="none" w:sz="0" w:space="0" w:color="auto"/>
            <w:bottom w:val="none" w:sz="0" w:space="0" w:color="auto"/>
            <w:right w:val="none" w:sz="0" w:space="0" w:color="auto"/>
          </w:divBdr>
        </w:div>
        <w:div w:id="515966934">
          <w:marLeft w:val="640"/>
          <w:marRight w:val="0"/>
          <w:marTop w:val="0"/>
          <w:marBottom w:val="0"/>
          <w:divBdr>
            <w:top w:val="none" w:sz="0" w:space="0" w:color="auto"/>
            <w:left w:val="none" w:sz="0" w:space="0" w:color="auto"/>
            <w:bottom w:val="none" w:sz="0" w:space="0" w:color="auto"/>
            <w:right w:val="none" w:sz="0" w:space="0" w:color="auto"/>
          </w:divBdr>
        </w:div>
        <w:div w:id="750545915">
          <w:marLeft w:val="640"/>
          <w:marRight w:val="0"/>
          <w:marTop w:val="0"/>
          <w:marBottom w:val="0"/>
          <w:divBdr>
            <w:top w:val="none" w:sz="0" w:space="0" w:color="auto"/>
            <w:left w:val="none" w:sz="0" w:space="0" w:color="auto"/>
            <w:bottom w:val="none" w:sz="0" w:space="0" w:color="auto"/>
            <w:right w:val="none" w:sz="0" w:space="0" w:color="auto"/>
          </w:divBdr>
        </w:div>
        <w:div w:id="399446559">
          <w:marLeft w:val="640"/>
          <w:marRight w:val="0"/>
          <w:marTop w:val="0"/>
          <w:marBottom w:val="0"/>
          <w:divBdr>
            <w:top w:val="none" w:sz="0" w:space="0" w:color="auto"/>
            <w:left w:val="none" w:sz="0" w:space="0" w:color="auto"/>
            <w:bottom w:val="none" w:sz="0" w:space="0" w:color="auto"/>
            <w:right w:val="none" w:sz="0" w:space="0" w:color="auto"/>
          </w:divBdr>
        </w:div>
        <w:div w:id="1279027104">
          <w:marLeft w:val="640"/>
          <w:marRight w:val="0"/>
          <w:marTop w:val="0"/>
          <w:marBottom w:val="0"/>
          <w:divBdr>
            <w:top w:val="none" w:sz="0" w:space="0" w:color="auto"/>
            <w:left w:val="none" w:sz="0" w:space="0" w:color="auto"/>
            <w:bottom w:val="none" w:sz="0" w:space="0" w:color="auto"/>
            <w:right w:val="none" w:sz="0" w:space="0" w:color="auto"/>
          </w:divBdr>
        </w:div>
        <w:div w:id="172645223">
          <w:marLeft w:val="640"/>
          <w:marRight w:val="0"/>
          <w:marTop w:val="0"/>
          <w:marBottom w:val="0"/>
          <w:divBdr>
            <w:top w:val="none" w:sz="0" w:space="0" w:color="auto"/>
            <w:left w:val="none" w:sz="0" w:space="0" w:color="auto"/>
            <w:bottom w:val="none" w:sz="0" w:space="0" w:color="auto"/>
            <w:right w:val="none" w:sz="0" w:space="0" w:color="auto"/>
          </w:divBdr>
        </w:div>
        <w:div w:id="781220575">
          <w:marLeft w:val="640"/>
          <w:marRight w:val="0"/>
          <w:marTop w:val="0"/>
          <w:marBottom w:val="0"/>
          <w:divBdr>
            <w:top w:val="none" w:sz="0" w:space="0" w:color="auto"/>
            <w:left w:val="none" w:sz="0" w:space="0" w:color="auto"/>
            <w:bottom w:val="none" w:sz="0" w:space="0" w:color="auto"/>
            <w:right w:val="none" w:sz="0" w:space="0" w:color="auto"/>
          </w:divBdr>
        </w:div>
        <w:div w:id="2053651428">
          <w:marLeft w:val="640"/>
          <w:marRight w:val="0"/>
          <w:marTop w:val="0"/>
          <w:marBottom w:val="0"/>
          <w:divBdr>
            <w:top w:val="none" w:sz="0" w:space="0" w:color="auto"/>
            <w:left w:val="none" w:sz="0" w:space="0" w:color="auto"/>
            <w:bottom w:val="none" w:sz="0" w:space="0" w:color="auto"/>
            <w:right w:val="none" w:sz="0" w:space="0" w:color="auto"/>
          </w:divBdr>
        </w:div>
        <w:div w:id="546063822">
          <w:marLeft w:val="640"/>
          <w:marRight w:val="0"/>
          <w:marTop w:val="0"/>
          <w:marBottom w:val="0"/>
          <w:divBdr>
            <w:top w:val="none" w:sz="0" w:space="0" w:color="auto"/>
            <w:left w:val="none" w:sz="0" w:space="0" w:color="auto"/>
            <w:bottom w:val="none" w:sz="0" w:space="0" w:color="auto"/>
            <w:right w:val="none" w:sz="0" w:space="0" w:color="auto"/>
          </w:divBdr>
        </w:div>
        <w:div w:id="2139181866">
          <w:marLeft w:val="640"/>
          <w:marRight w:val="0"/>
          <w:marTop w:val="0"/>
          <w:marBottom w:val="0"/>
          <w:divBdr>
            <w:top w:val="none" w:sz="0" w:space="0" w:color="auto"/>
            <w:left w:val="none" w:sz="0" w:space="0" w:color="auto"/>
            <w:bottom w:val="none" w:sz="0" w:space="0" w:color="auto"/>
            <w:right w:val="none" w:sz="0" w:space="0" w:color="auto"/>
          </w:divBdr>
        </w:div>
        <w:div w:id="237790945">
          <w:marLeft w:val="640"/>
          <w:marRight w:val="0"/>
          <w:marTop w:val="0"/>
          <w:marBottom w:val="0"/>
          <w:divBdr>
            <w:top w:val="none" w:sz="0" w:space="0" w:color="auto"/>
            <w:left w:val="none" w:sz="0" w:space="0" w:color="auto"/>
            <w:bottom w:val="none" w:sz="0" w:space="0" w:color="auto"/>
            <w:right w:val="none" w:sz="0" w:space="0" w:color="auto"/>
          </w:divBdr>
        </w:div>
        <w:div w:id="1833063514">
          <w:marLeft w:val="640"/>
          <w:marRight w:val="0"/>
          <w:marTop w:val="0"/>
          <w:marBottom w:val="0"/>
          <w:divBdr>
            <w:top w:val="none" w:sz="0" w:space="0" w:color="auto"/>
            <w:left w:val="none" w:sz="0" w:space="0" w:color="auto"/>
            <w:bottom w:val="none" w:sz="0" w:space="0" w:color="auto"/>
            <w:right w:val="none" w:sz="0" w:space="0" w:color="auto"/>
          </w:divBdr>
        </w:div>
        <w:div w:id="318652983">
          <w:marLeft w:val="640"/>
          <w:marRight w:val="0"/>
          <w:marTop w:val="0"/>
          <w:marBottom w:val="0"/>
          <w:divBdr>
            <w:top w:val="none" w:sz="0" w:space="0" w:color="auto"/>
            <w:left w:val="none" w:sz="0" w:space="0" w:color="auto"/>
            <w:bottom w:val="none" w:sz="0" w:space="0" w:color="auto"/>
            <w:right w:val="none" w:sz="0" w:space="0" w:color="auto"/>
          </w:divBdr>
        </w:div>
        <w:div w:id="1385525683">
          <w:marLeft w:val="640"/>
          <w:marRight w:val="0"/>
          <w:marTop w:val="0"/>
          <w:marBottom w:val="0"/>
          <w:divBdr>
            <w:top w:val="none" w:sz="0" w:space="0" w:color="auto"/>
            <w:left w:val="none" w:sz="0" w:space="0" w:color="auto"/>
            <w:bottom w:val="none" w:sz="0" w:space="0" w:color="auto"/>
            <w:right w:val="none" w:sz="0" w:space="0" w:color="auto"/>
          </w:divBdr>
        </w:div>
        <w:div w:id="116536419">
          <w:marLeft w:val="640"/>
          <w:marRight w:val="0"/>
          <w:marTop w:val="0"/>
          <w:marBottom w:val="0"/>
          <w:divBdr>
            <w:top w:val="none" w:sz="0" w:space="0" w:color="auto"/>
            <w:left w:val="none" w:sz="0" w:space="0" w:color="auto"/>
            <w:bottom w:val="none" w:sz="0" w:space="0" w:color="auto"/>
            <w:right w:val="none" w:sz="0" w:space="0" w:color="auto"/>
          </w:divBdr>
        </w:div>
        <w:div w:id="1275556967">
          <w:marLeft w:val="640"/>
          <w:marRight w:val="0"/>
          <w:marTop w:val="0"/>
          <w:marBottom w:val="0"/>
          <w:divBdr>
            <w:top w:val="none" w:sz="0" w:space="0" w:color="auto"/>
            <w:left w:val="none" w:sz="0" w:space="0" w:color="auto"/>
            <w:bottom w:val="none" w:sz="0" w:space="0" w:color="auto"/>
            <w:right w:val="none" w:sz="0" w:space="0" w:color="auto"/>
          </w:divBdr>
        </w:div>
        <w:div w:id="1138109851">
          <w:marLeft w:val="640"/>
          <w:marRight w:val="0"/>
          <w:marTop w:val="0"/>
          <w:marBottom w:val="0"/>
          <w:divBdr>
            <w:top w:val="none" w:sz="0" w:space="0" w:color="auto"/>
            <w:left w:val="none" w:sz="0" w:space="0" w:color="auto"/>
            <w:bottom w:val="none" w:sz="0" w:space="0" w:color="auto"/>
            <w:right w:val="none" w:sz="0" w:space="0" w:color="auto"/>
          </w:divBdr>
        </w:div>
        <w:div w:id="721296322">
          <w:marLeft w:val="640"/>
          <w:marRight w:val="0"/>
          <w:marTop w:val="0"/>
          <w:marBottom w:val="0"/>
          <w:divBdr>
            <w:top w:val="none" w:sz="0" w:space="0" w:color="auto"/>
            <w:left w:val="none" w:sz="0" w:space="0" w:color="auto"/>
            <w:bottom w:val="none" w:sz="0" w:space="0" w:color="auto"/>
            <w:right w:val="none" w:sz="0" w:space="0" w:color="auto"/>
          </w:divBdr>
        </w:div>
        <w:div w:id="1739589706">
          <w:marLeft w:val="640"/>
          <w:marRight w:val="0"/>
          <w:marTop w:val="0"/>
          <w:marBottom w:val="0"/>
          <w:divBdr>
            <w:top w:val="none" w:sz="0" w:space="0" w:color="auto"/>
            <w:left w:val="none" w:sz="0" w:space="0" w:color="auto"/>
            <w:bottom w:val="none" w:sz="0" w:space="0" w:color="auto"/>
            <w:right w:val="none" w:sz="0" w:space="0" w:color="auto"/>
          </w:divBdr>
        </w:div>
        <w:div w:id="2022464006">
          <w:marLeft w:val="640"/>
          <w:marRight w:val="0"/>
          <w:marTop w:val="0"/>
          <w:marBottom w:val="0"/>
          <w:divBdr>
            <w:top w:val="none" w:sz="0" w:space="0" w:color="auto"/>
            <w:left w:val="none" w:sz="0" w:space="0" w:color="auto"/>
            <w:bottom w:val="none" w:sz="0" w:space="0" w:color="auto"/>
            <w:right w:val="none" w:sz="0" w:space="0" w:color="auto"/>
          </w:divBdr>
        </w:div>
        <w:div w:id="1075129251">
          <w:marLeft w:val="640"/>
          <w:marRight w:val="0"/>
          <w:marTop w:val="0"/>
          <w:marBottom w:val="0"/>
          <w:divBdr>
            <w:top w:val="none" w:sz="0" w:space="0" w:color="auto"/>
            <w:left w:val="none" w:sz="0" w:space="0" w:color="auto"/>
            <w:bottom w:val="none" w:sz="0" w:space="0" w:color="auto"/>
            <w:right w:val="none" w:sz="0" w:space="0" w:color="auto"/>
          </w:divBdr>
        </w:div>
        <w:div w:id="276257994">
          <w:marLeft w:val="640"/>
          <w:marRight w:val="0"/>
          <w:marTop w:val="0"/>
          <w:marBottom w:val="0"/>
          <w:divBdr>
            <w:top w:val="none" w:sz="0" w:space="0" w:color="auto"/>
            <w:left w:val="none" w:sz="0" w:space="0" w:color="auto"/>
            <w:bottom w:val="none" w:sz="0" w:space="0" w:color="auto"/>
            <w:right w:val="none" w:sz="0" w:space="0" w:color="auto"/>
          </w:divBdr>
        </w:div>
        <w:div w:id="1259752400">
          <w:marLeft w:val="640"/>
          <w:marRight w:val="0"/>
          <w:marTop w:val="0"/>
          <w:marBottom w:val="0"/>
          <w:divBdr>
            <w:top w:val="none" w:sz="0" w:space="0" w:color="auto"/>
            <w:left w:val="none" w:sz="0" w:space="0" w:color="auto"/>
            <w:bottom w:val="none" w:sz="0" w:space="0" w:color="auto"/>
            <w:right w:val="none" w:sz="0" w:space="0" w:color="auto"/>
          </w:divBdr>
        </w:div>
        <w:div w:id="179121708">
          <w:marLeft w:val="640"/>
          <w:marRight w:val="0"/>
          <w:marTop w:val="0"/>
          <w:marBottom w:val="0"/>
          <w:divBdr>
            <w:top w:val="none" w:sz="0" w:space="0" w:color="auto"/>
            <w:left w:val="none" w:sz="0" w:space="0" w:color="auto"/>
            <w:bottom w:val="none" w:sz="0" w:space="0" w:color="auto"/>
            <w:right w:val="none" w:sz="0" w:space="0" w:color="auto"/>
          </w:divBdr>
        </w:div>
        <w:div w:id="1781876168">
          <w:marLeft w:val="640"/>
          <w:marRight w:val="0"/>
          <w:marTop w:val="0"/>
          <w:marBottom w:val="0"/>
          <w:divBdr>
            <w:top w:val="none" w:sz="0" w:space="0" w:color="auto"/>
            <w:left w:val="none" w:sz="0" w:space="0" w:color="auto"/>
            <w:bottom w:val="none" w:sz="0" w:space="0" w:color="auto"/>
            <w:right w:val="none" w:sz="0" w:space="0" w:color="auto"/>
          </w:divBdr>
        </w:div>
        <w:div w:id="338045360">
          <w:marLeft w:val="640"/>
          <w:marRight w:val="0"/>
          <w:marTop w:val="0"/>
          <w:marBottom w:val="0"/>
          <w:divBdr>
            <w:top w:val="none" w:sz="0" w:space="0" w:color="auto"/>
            <w:left w:val="none" w:sz="0" w:space="0" w:color="auto"/>
            <w:bottom w:val="none" w:sz="0" w:space="0" w:color="auto"/>
            <w:right w:val="none" w:sz="0" w:space="0" w:color="auto"/>
          </w:divBdr>
        </w:div>
        <w:div w:id="1603800984">
          <w:marLeft w:val="640"/>
          <w:marRight w:val="0"/>
          <w:marTop w:val="0"/>
          <w:marBottom w:val="0"/>
          <w:divBdr>
            <w:top w:val="none" w:sz="0" w:space="0" w:color="auto"/>
            <w:left w:val="none" w:sz="0" w:space="0" w:color="auto"/>
            <w:bottom w:val="none" w:sz="0" w:space="0" w:color="auto"/>
            <w:right w:val="none" w:sz="0" w:space="0" w:color="auto"/>
          </w:divBdr>
        </w:div>
        <w:div w:id="1291669257">
          <w:marLeft w:val="640"/>
          <w:marRight w:val="0"/>
          <w:marTop w:val="0"/>
          <w:marBottom w:val="0"/>
          <w:divBdr>
            <w:top w:val="none" w:sz="0" w:space="0" w:color="auto"/>
            <w:left w:val="none" w:sz="0" w:space="0" w:color="auto"/>
            <w:bottom w:val="none" w:sz="0" w:space="0" w:color="auto"/>
            <w:right w:val="none" w:sz="0" w:space="0" w:color="auto"/>
          </w:divBdr>
        </w:div>
        <w:div w:id="756243181">
          <w:marLeft w:val="640"/>
          <w:marRight w:val="0"/>
          <w:marTop w:val="0"/>
          <w:marBottom w:val="0"/>
          <w:divBdr>
            <w:top w:val="none" w:sz="0" w:space="0" w:color="auto"/>
            <w:left w:val="none" w:sz="0" w:space="0" w:color="auto"/>
            <w:bottom w:val="none" w:sz="0" w:space="0" w:color="auto"/>
            <w:right w:val="none" w:sz="0" w:space="0" w:color="auto"/>
          </w:divBdr>
        </w:div>
        <w:div w:id="1260481931">
          <w:marLeft w:val="640"/>
          <w:marRight w:val="0"/>
          <w:marTop w:val="0"/>
          <w:marBottom w:val="0"/>
          <w:divBdr>
            <w:top w:val="none" w:sz="0" w:space="0" w:color="auto"/>
            <w:left w:val="none" w:sz="0" w:space="0" w:color="auto"/>
            <w:bottom w:val="none" w:sz="0" w:space="0" w:color="auto"/>
            <w:right w:val="none" w:sz="0" w:space="0" w:color="auto"/>
          </w:divBdr>
        </w:div>
        <w:div w:id="56054545">
          <w:marLeft w:val="640"/>
          <w:marRight w:val="0"/>
          <w:marTop w:val="0"/>
          <w:marBottom w:val="0"/>
          <w:divBdr>
            <w:top w:val="none" w:sz="0" w:space="0" w:color="auto"/>
            <w:left w:val="none" w:sz="0" w:space="0" w:color="auto"/>
            <w:bottom w:val="none" w:sz="0" w:space="0" w:color="auto"/>
            <w:right w:val="none" w:sz="0" w:space="0" w:color="auto"/>
          </w:divBdr>
        </w:div>
        <w:div w:id="1352101157">
          <w:marLeft w:val="640"/>
          <w:marRight w:val="0"/>
          <w:marTop w:val="0"/>
          <w:marBottom w:val="0"/>
          <w:divBdr>
            <w:top w:val="none" w:sz="0" w:space="0" w:color="auto"/>
            <w:left w:val="none" w:sz="0" w:space="0" w:color="auto"/>
            <w:bottom w:val="none" w:sz="0" w:space="0" w:color="auto"/>
            <w:right w:val="none" w:sz="0" w:space="0" w:color="auto"/>
          </w:divBdr>
        </w:div>
        <w:div w:id="1557660707">
          <w:marLeft w:val="640"/>
          <w:marRight w:val="0"/>
          <w:marTop w:val="0"/>
          <w:marBottom w:val="0"/>
          <w:divBdr>
            <w:top w:val="none" w:sz="0" w:space="0" w:color="auto"/>
            <w:left w:val="none" w:sz="0" w:space="0" w:color="auto"/>
            <w:bottom w:val="none" w:sz="0" w:space="0" w:color="auto"/>
            <w:right w:val="none" w:sz="0" w:space="0" w:color="auto"/>
          </w:divBdr>
        </w:div>
        <w:div w:id="1132289128">
          <w:marLeft w:val="640"/>
          <w:marRight w:val="0"/>
          <w:marTop w:val="0"/>
          <w:marBottom w:val="0"/>
          <w:divBdr>
            <w:top w:val="none" w:sz="0" w:space="0" w:color="auto"/>
            <w:left w:val="none" w:sz="0" w:space="0" w:color="auto"/>
            <w:bottom w:val="none" w:sz="0" w:space="0" w:color="auto"/>
            <w:right w:val="none" w:sz="0" w:space="0" w:color="auto"/>
          </w:divBdr>
        </w:div>
        <w:div w:id="946692105">
          <w:marLeft w:val="640"/>
          <w:marRight w:val="0"/>
          <w:marTop w:val="0"/>
          <w:marBottom w:val="0"/>
          <w:divBdr>
            <w:top w:val="none" w:sz="0" w:space="0" w:color="auto"/>
            <w:left w:val="none" w:sz="0" w:space="0" w:color="auto"/>
            <w:bottom w:val="none" w:sz="0" w:space="0" w:color="auto"/>
            <w:right w:val="none" w:sz="0" w:space="0" w:color="auto"/>
          </w:divBdr>
        </w:div>
        <w:div w:id="1417705120">
          <w:marLeft w:val="640"/>
          <w:marRight w:val="0"/>
          <w:marTop w:val="0"/>
          <w:marBottom w:val="0"/>
          <w:divBdr>
            <w:top w:val="none" w:sz="0" w:space="0" w:color="auto"/>
            <w:left w:val="none" w:sz="0" w:space="0" w:color="auto"/>
            <w:bottom w:val="none" w:sz="0" w:space="0" w:color="auto"/>
            <w:right w:val="none" w:sz="0" w:space="0" w:color="auto"/>
          </w:divBdr>
        </w:div>
        <w:div w:id="1928463296">
          <w:marLeft w:val="640"/>
          <w:marRight w:val="0"/>
          <w:marTop w:val="0"/>
          <w:marBottom w:val="0"/>
          <w:divBdr>
            <w:top w:val="none" w:sz="0" w:space="0" w:color="auto"/>
            <w:left w:val="none" w:sz="0" w:space="0" w:color="auto"/>
            <w:bottom w:val="none" w:sz="0" w:space="0" w:color="auto"/>
            <w:right w:val="none" w:sz="0" w:space="0" w:color="auto"/>
          </w:divBdr>
        </w:div>
        <w:div w:id="1480148296">
          <w:marLeft w:val="640"/>
          <w:marRight w:val="0"/>
          <w:marTop w:val="0"/>
          <w:marBottom w:val="0"/>
          <w:divBdr>
            <w:top w:val="none" w:sz="0" w:space="0" w:color="auto"/>
            <w:left w:val="none" w:sz="0" w:space="0" w:color="auto"/>
            <w:bottom w:val="none" w:sz="0" w:space="0" w:color="auto"/>
            <w:right w:val="none" w:sz="0" w:space="0" w:color="auto"/>
          </w:divBdr>
        </w:div>
      </w:divsChild>
    </w:div>
    <w:div w:id="1935361597">
      <w:bodyDiv w:val="1"/>
      <w:marLeft w:val="0"/>
      <w:marRight w:val="0"/>
      <w:marTop w:val="0"/>
      <w:marBottom w:val="0"/>
      <w:divBdr>
        <w:top w:val="none" w:sz="0" w:space="0" w:color="auto"/>
        <w:left w:val="none" w:sz="0" w:space="0" w:color="auto"/>
        <w:bottom w:val="none" w:sz="0" w:space="0" w:color="auto"/>
        <w:right w:val="none" w:sz="0" w:space="0" w:color="auto"/>
      </w:divBdr>
      <w:divsChild>
        <w:div w:id="667485061">
          <w:marLeft w:val="640"/>
          <w:marRight w:val="0"/>
          <w:marTop w:val="0"/>
          <w:marBottom w:val="0"/>
          <w:divBdr>
            <w:top w:val="none" w:sz="0" w:space="0" w:color="auto"/>
            <w:left w:val="none" w:sz="0" w:space="0" w:color="auto"/>
            <w:bottom w:val="none" w:sz="0" w:space="0" w:color="auto"/>
            <w:right w:val="none" w:sz="0" w:space="0" w:color="auto"/>
          </w:divBdr>
        </w:div>
        <w:div w:id="2120372046">
          <w:marLeft w:val="640"/>
          <w:marRight w:val="0"/>
          <w:marTop w:val="0"/>
          <w:marBottom w:val="0"/>
          <w:divBdr>
            <w:top w:val="none" w:sz="0" w:space="0" w:color="auto"/>
            <w:left w:val="none" w:sz="0" w:space="0" w:color="auto"/>
            <w:bottom w:val="none" w:sz="0" w:space="0" w:color="auto"/>
            <w:right w:val="none" w:sz="0" w:space="0" w:color="auto"/>
          </w:divBdr>
        </w:div>
        <w:div w:id="1929459914">
          <w:marLeft w:val="640"/>
          <w:marRight w:val="0"/>
          <w:marTop w:val="0"/>
          <w:marBottom w:val="0"/>
          <w:divBdr>
            <w:top w:val="none" w:sz="0" w:space="0" w:color="auto"/>
            <w:left w:val="none" w:sz="0" w:space="0" w:color="auto"/>
            <w:bottom w:val="none" w:sz="0" w:space="0" w:color="auto"/>
            <w:right w:val="none" w:sz="0" w:space="0" w:color="auto"/>
          </w:divBdr>
        </w:div>
        <w:div w:id="616526052">
          <w:marLeft w:val="640"/>
          <w:marRight w:val="0"/>
          <w:marTop w:val="0"/>
          <w:marBottom w:val="0"/>
          <w:divBdr>
            <w:top w:val="none" w:sz="0" w:space="0" w:color="auto"/>
            <w:left w:val="none" w:sz="0" w:space="0" w:color="auto"/>
            <w:bottom w:val="none" w:sz="0" w:space="0" w:color="auto"/>
            <w:right w:val="none" w:sz="0" w:space="0" w:color="auto"/>
          </w:divBdr>
        </w:div>
        <w:div w:id="2028561309">
          <w:marLeft w:val="640"/>
          <w:marRight w:val="0"/>
          <w:marTop w:val="0"/>
          <w:marBottom w:val="0"/>
          <w:divBdr>
            <w:top w:val="none" w:sz="0" w:space="0" w:color="auto"/>
            <w:left w:val="none" w:sz="0" w:space="0" w:color="auto"/>
            <w:bottom w:val="none" w:sz="0" w:space="0" w:color="auto"/>
            <w:right w:val="none" w:sz="0" w:space="0" w:color="auto"/>
          </w:divBdr>
        </w:div>
        <w:div w:id="321200696">
          <w:marLeft w:val="640"/>
          <w:marRight w:val="0"/>
          <w:marTop w:val="0"/>
          <w:marBottom w:val="0"/>
          <w:divBdr>
            <w:top w:val="none" w:sz="0" w:space="0" w:color="auto"/>
            <w:left w:val="none" w:sz="0" w:space="0" w:color="auto"/>
            <w:bottom w:val="none" w:sz="0" w:space="0" w:color="auto"/>
            <w:right w:val="none" w:sz="0" w:space="0" w:color="auto"/>
          </w:divBdr>
        </w:div>
        <w:div w:id="1286891316">
          <w:marLeft w:val="640"/>
          <w:marRight w:val="0"/>
          <w:marTop w:val="0"/>
          <w:marBottom w:val="0"/>
          <w:divBdr>
            <w:top w:val="none" w:sz="0" w:space="0" w:color="auto"/>
            <w:left w:val="none" w:sz="0" w:space="0" w:color="auto"/>
            <w:bottom w:val="none" w:sz="0" w:space="0" w:color="auto"/>
            <w:right w:val="none" w:sz="0" w:space="0" w:color="auto"/>
          </w:divBdr>
        </w:div>
        <w:div w:id="1620377925">
          <w:marLeft w:val="640"/>
          <w:marRight w:val="0"/>
          <w:marTop w:val="0"/>
          <w:marBottom w:val="0"/>
          <w:divBdr>
            <w:top w:val="none" w:sz="0" w:space="0" w:color="auto"/>
            <w:left w:val="none" w:sz="0" w:space="0" w:color="auto"/>
            <w:bottom w:val="none" w:sz="0" w:space="0" w:color="auto"/>
            <w:right w:val="none" w:sz="0" w:space="0" w:color="auto"/>
          </w:divBdr>
        </w:div>
        <w:div w:id="1149715620">
          <w:marLeft w:val="640"/>
          <w:marRight w:val="0"/>
          <w:marTop w:val="0"/>
          <w:marBottom w:val="0"/>
          <w:divBdr>
            <w:top w:val="none" w:sz="0" w:space="0" w:color="auto"/>
            <w:left w:val="none" w:sz="0" w:space="0" w:color="auto"/>
            <w:bottom w:val="none" w:sz="0" w:space="0" w:color="auto"/>
            <w:right w:val="none" w:sz="0" w:space="0" w:color="auto"/>
          </w:divBdr>
        </w:div>
        <w:div w:id="1752510643">
          <w:marLeft w:val="640"/>
          <w:marRight w:val="0"/>
          <w:marTop w:val="0"/>
          <w:marBottom w:val="0"/>
          <w:divBdr>
            <w:top w:val="none" w:sz="0" w:space="0" w:color="auto"/>
            <w:left w:val="none" w:sz="0" w:space="0" w:color="auto"/>
            <w:bottom w:val="none" w:sz="0" w:space="0" w:color="auto"/>
            <w:right w:val="none" w:sz="0" w:space="0" w:color="auto"/>
          </w:divBdr>
        </w:div>
        <w:div w:id="1540975878">
          <w:marLeft w:val="640"/>
          <w:marRight w:val="0"/>
          <w:marTop w:val="0"/>
          <w:marBottom w:val="0"/>
          <w:divBdr>
            <w:top w:val="none" w:sz="0" w:space="0" w:color="auto"/>
            <w:left w:val="none" w:sz="0" w:space="0" w:color="auto"/>
            <w:bottom w:val="none" w:sz="0" w:space="0" w:color="auto"/>
            <w:right w:val="none" w:sz="0" w:space="0" w:color="auto"/>
          </w:divBdr>
        </w:div>
        <w:div w:id="913317116">
          <w:marLeft w:val="640"/>
          <w:marRight w:val="0"/>
          <w:marTop w:val="0"/>
          <w:marBottom w:val="0"/>
          <w:divBdr>
            <w:top w:val="none" w:sz="0" w:space="0" w:color="auto"/>
            <w:left w:val="none" w:sz="0" w:space="0" w:color="auto"/>
            <w:bottom w:val="none" w:sz="0" w:space="0" w:color="auto"/>
            <w:right w:val="none" w:sz="0" w:space="0" w:color="auto"/>
          </w:divBdr>
        </w:div>
        <w:div w:id="242418867">
          <w:marLeft w:val="640"/>
          <w:marRight w:val="0"/>
          <w:marTop w:val="0"/>
          <w:marBottom w:val="0"/>
          <w:divBdr>
            <w:top w:val="none" w:sz="0" w:space="0" w:color="auto"/>
            <w:left w:val="none" w:sz="0" w:space="0" w:color="auto"/>
            <w:bottom w:val="none" w:sz="0" w:space="0" w:color="auto"/>
            <w:right w:val="none" w:sz="0" w:space="0" w:color="auto"/>
          </w:divBdr>
        </w:div>
        <w:div w:id="1215891901">
          <w:marLeft w:val="640"/>
          <w:marRight w:val="0"/>
          <w:marTop w:val="0"/>
          <w:marBottom w:val="0"/>
          <w:divBdr>
            <w:top w:val="none" w:sz="0" w:space="0" w:color="auto"/>
            <w:left w:val="none" w:sz="0" w:space="0" w:color="auto"/>
            <w:bottom w:val="none" w:sz="0" w:space="0" w:color="auto"/>
            <w:right w:val="none" w:sz="0" w:space="0" w:color="auto"/>
          </w:divBdr>
        </w:div>
        <w:div w:id="358243139">
          <w:marLeft w:val="640"/>
          <w:marRight w:val="0"/>
          <w:marTop w:val="0"/>
          <w:marBottom w:val="0"/>
          <w:divBdr>
            <w:top w:val="none" w:sz="0" w:space="0" w:color="auto"/>
            <w:left w:val="none" w:sz="0" w:space="0" w:color="auto"/>
            <w:bottom w:val="none" w:sz="0" w:space="0" w:color="auto"/>
            <w:right w:val="none" w:sz="0" w:space="0" w:color="auto"/>
          </w:divBdr>
        </w:div>
        <w:div w:id="728260126">
          <w:marLeft w:val="640"/>
          <w:marRight w:val="0"/>
          <w:marTop w:val="0"/>
          <w:marBottom w:val="0"/>
          <w:divBdr>
            <w:top w:val="none" w:sz="0" w:space="0" w:color="auto"/>
            <w:left w:val="none" w:sz="0" w:space="0" w:color="auto"/>
            <w:bottom w:val="none" w:sz="0" w:space="0" w:color="auto"/>
            <w:right w:val="none" w:sz="0" w:space="0" w:color="auto"/>
          </w:divBdr>
        </w:div>
        <w:div w:id="1481077358">
          <w:marLeft w:val="640"/>
          <w:marRight w:val="0"/>
          <w:marTop w:val="0"/>
          <w:marBottom w:val="0"/>
          <w:divBdr>
            <w:top w:val="none" w:sz="0" w:space="0" w:color="auto"/>
            <w:left w:val="none" w:sz="0" w:space="0" w:color="auto"/>
            <w:bottom w:val="none" w:sz="0" w:space="0" w:color="auto"/>
            <w:right w:val="none" w:sz="0" w:space="0" w:color="auto"/>
          </w:divBdr>
        </w:div>
        <w:div w:id="54403135">
          <w:marLeft w:val="640"/>
          <w:marRight w:val="0"/>
          <w:marTop w:val="0"/>
          <w:marBottom w:val="0"/>
          <w:divBdr>
            <w:top w:val="none" w:sz="0" w:space="0" w:color="auto"/>
            <w:left w:val="none" w:sz="0" w:space="0" w:color="auto"/>
            <w:bottom w:val="none" w:sz="0" w:space="0" w:color="auto"/>
            <w:right w:val="none" w:sz="0" w:space="0" w:color="auto"/>
          </w:divBdr>
        </w:div>
        <w:div w:id="633946650">
          <w:marLeft w:val="640"/>
          <w:marRight w:val="0"/>
          <w:marTop w:val="0"/>
          <w:marBottom w:val="0"/>
          <w:divBdr>
            <w:top w:val="none" w:sz="0" w:space="0" w:color="auto"/>
            <w:left w:val="none" w:sz="0" w:space="0" w:color="auto"/>
            <w:bottom w:val="none" w:sz="0" w:space="0" w:color="auto"/>
            <w:right w:val="none" w:sz="0" w:space="0" w:color="auto"/>
          </w:divBdr>
        </w:div>
        <w:div w:id="58331643">
          <w:marLeft w:val="640"/>
          <w:marRight w:val="0"/>
          <w:marTop w:val="0"/>
          <w:marBottom w:val="0"/>
          <w:divBdr>
            <w:top w:val="none" w:sz="0" w:space="0" w:color="auto"/>
            <w:left w:val="none" w:sz="0" w:space="0" w:color="auto"/>
            <w:bottom w:val="none" w:sz="0" w:space="0" w:color="auto"/>
            <w:right w:val="none" w:sz="0" w:space="0" w:color="auto"/>
          </w:divBdr>
        </w:div>
        <w:div w:id="1368528738">
          <w:marLeft w:val="640"/>
          <w:marRight w:val="0"/>
          <w:marTop w:val="0"/>
          <w:marBottom w:val="0"/>
          <w:divBdr>
            <w:top w:val="none" w:sz="0" w:space="0" w:color="auto"/>
            <w:left w:val="none" w:sz="0" w:space="0" w:color="auto"/>
            <w:bottom w:val="none" w:sz="0" w:space="0" w:color="auto"/>
            <w:right w:val="none" w:sz="0" w:space="0" w:color="auto"/>
          </w:divBdr>
        </w:div>
        <w:div w:id="593435351">
          <w:marLeft w:val="640"/>
          <w:marRight w:val="0"/>
          <w:marTop w:val="0"/>
          <w:marBottom w:val="0"/>
          <w:divBdr>
            <w:top w:val="none" w:sz="0" w:space="0" w:color="auto"/>
            <w:left w:val="none" w:sz="0" w:space="0" w:color="auto"/>
            <w:bottom w:val="none" w:sz="0" w:space="0" w:color="auto"/>
            <w:right w:val="none" w:sz="0" w:space="0" w:color="auto"/>
          </w:divBdr>
        </w:div>
        <w:div w:id="865364900">
          <w:marLeft w:val="640"/>
          <w:marRight w:val="0"/>
          <w:marTop w:val="0"/>
          <w:marBottom w:val="0"/>
          <w:divBdr>
            <w:top w:val="none" w:sz="0" w:space="0" w:color="auto"/>
            <w:left w:val="none" w:sz="0" w:space="0" w:color="auto"/>
            <w:bottom w:val="none" w:sz="0" w:space="0" w:color="auto"/>
            <w:right w:val="none" w:sz="0" w:space="0" w:color="auto"/>
          </w:divBdr>
        </w:div>
        <w:div w:id="608246502">
          <w:marLeft w:val="640"/>
          <w:marRight w:val="0"/>
          <w:marTop w:val="0"/>
          <w:marBottom w:val="0"/>
          <w:divBdr>
            <w:top w:val="none" w:sz="0" w:space="0" w:color="auto"/>
            <w:left w:val="none" w:sz="0" w:space="0" w:color="auto"/>
            <w:bottom w:val="none" w:sz="0" w:space="0" w:color="auto"/>
            <w:right w:val="none" w:sz="0" w:space="0" w:color="auto"/>
          </w:divBdr>
        </w:div>
        <w:div w:id="1946838063">
          <w:marLeft w:val="640"/>
          <w:marRight w:val="0"/>
          <w:marTop w:val="0"/>
          <w:marBottom w:val="0"/>
          <w:divBdr>
            <w:top w:val="none" w:sz="0" w:space="0" w:color="auto"/>
            <w:left w:val="none" w:sz="0" w:space="0" w:color="auto"/>
            <w:bottom w:val="none" w:sz="0" w:space="0" w:color="auto"/>
            <w:right w:val="none" w:sz="0" w:space="0" w:color="auto"/>
          </w:divBdr>
        </w:div>
        <w:div w:id="2046828402">
          <w:marLeft w:val="640"/>
          <w:marRight w:val="0"/>
          <w:marTop w:val="0"/>
          <w:marBottom w:val="0"/>
          <w:divBdr>
            <w:top w:val="none" w:sz="0" w:space="0" w:color="auto"/>
            <w:left w:val="none" w:sz="0" w:space="0" w:color="auto"/>
            <w:bottom w:val="none" w:sz="0" w:space="0" w:color="auto"/>
            <w:right w:val="none" w:sz="0" w:space="0" w:color="auto"/>
          </w:divBdr>
        </w:div>
        <w:div w:id="1504318299">
          <w:marLeft w:val="640"/>
          <w:marRight w:val="0"/>
          <w:marTop w:val="0"/>
          <w:marBottom w:val="0"/>
          <w:divBdr>
            <w:top w:val="none" w:sz="0" w:space="0" w:color="auto"/>
            <w:left w:val="none" w:sz="0" w:space="0" w:color="auto"/>
            <w:bottom w:val="none" w:sz="0" w:space="0" w:color="auto"/>
            <w:right w:val="none" w:sz="0" w:space="0" w:color="auto"/>
          </w:divBdr>
        </w:div>
        <w:div w:id="263928541">
          <w:marLeft w:val="640"/>
          <w:marRight w:val="0"/>
          <w:marTop w:val="0"/>
          <w:marBottom w:val="0"/>
          <w:divBdr>
            <w:top w:val="none" w:sz="0" w:space="0" w:color="auto"/>
            <w:left w:val="none" w:sz="0" w:space="0" w:color="auto"/>
            <w:bottom w:val="none" w:sz="0" w:space="0" w:color="auto"/>
            <w:right w:val="none" w:sz="0" w:space="0" w:color="auto"/>
          </w:divBdr>
        </w:div>
        <w:div w:id="933199528">
          <w:marLeft w:val="640"/>
          <w:marRight w:val="0"/>
          <w:marTop w:val="0"/>
          <w:marBottom w:val="0"/>
          <w:divBdr>
            <w:top w:val="none" w:sz="0" w:space="0" w:color="auto"/>
            <w:left w:val="none" w:sz="0" w:space="0" w:color="auto"/>
            <w:bottom w:val="none" w:sz="0" w:space="0" w:color="auto"/>
            <w:right w:val="none" w:sz="0" w:space="0" w:color="auto"/>
          </w:divBdr>
        </w:div>
        <w:div w:id="733970303">
          <w:marLeft w:val="640"/>
          <w:marRight w:val="0"/>
          <w:marTop w:val="0"/>
          <w:marBottom w:val="0"/>
          <w:divBdr>
            <w:top w:val="none" w:sz="0" w:space="0" w:color="auto"/>
            <w:left w:val="none" w:sz="0" w:space="0" w:color="auto"/>
            <w:bottom w:val="none" w:sz="0" w:space="0" w:color="auto"/>
            <w:right w:val="none" w:sz="0" w:space="0" w:color="auto"/>
          </w:divBdr>
        </w:div>
        <w:div w:id="1462259832">
          <w:marLeft w:val="640"/>
          <w:marRight w:val="0"/>
          <w:marTop w:val="0"/>
          <w:marBottom w:val="0"/>
          <w:divBdr>
            <w:top w:val="none" w:sz="0" w:space="0" w:color="auto"/>
            <w:left w:val="none" w:sz="0" w:space="0" w:color="auto"/>
            <w:bottom w:val="none" w:sz="0" w:space="0" w:color="auto"/>
            <w:right w:val="none" w:sz="0" w:space="0" w:color="auto"/>
          </w:divBdr>
        </w:div>
        <w:div w:id="976256821">
          <w:marLeft w:val="640"/>
          <w:marRight w:val="0"/>
          <w:marTop w:val="0"/>
          <w:marBottom w:val="0"/>
          <w:divBdr>
            <w:top w:val="none" w:sz="0" w:space="0" w:color="auto"/>
            <w:left w:val="none" w:sz="0" w:space="0" w:color="auto"/>
            <w:bottom w:val="none" w:sz="0" w:space="0" w:color="auto"/>
            <w:right w:val="none" w:sz="0" w:space="0" w:color="auto"/>
          </w:divBdr>
        </w:div>
        <w:div w:id="1186946315">
          <w:marLeft w:val="640"/>
          <w:marRight w:val="0"/>
          <w:marTop w:val="0"/>
          <w:marBottom w:val="0"/>
          <w:divBdr>
            <w:top w:val="none" w:sz="0" w:space="0" w:color="auto"/>
            <w:left w:val="none" w:sz="0" w:space="0" w:color="auto"/>
            <w:bottom w:val="none" w:sz="0" w:space="0" w:color="auto"/>
            <w:right w:val="none" w:sz="0" w:space="0" w:color="auto"/>
          </w:divBdr>
        </w:div>
        <w:div w:id="119150008">
          <w:marLeft w:val="640"/>
          <w:marRight w:val="0"/>
          <w:marTop w:val="0"/>
          <w:marBottom w:val="0"/>
          <w:divBdr>
            <w:top w:val="none" w:sz="0" w:space="0" w:color="auto"/>
            <w:left w:val="none" w:sz="0" w:space="0" w:color="auto"/>
            <w:bottom w:val="none" w:sz="0" w:space="0" w:color="auto"/>
            <w:right w:val="none" w:sz="0" w:space="0" w:color="auto"/>
          </w:divBdr>
        </w:div>
        <w:div w:id="1116607930">
          <w:marLeft w:val="640"/>
          <w:marRight w:val="0"/>
          <w:marTop w:val="0"/>
          <w:marBottom w:val="0"/>
          <w:divBdr>
            <w:top w:val="none" w:sz="0" w:space="0" w:color="auto"/>
            <w:left w:val="none" w:sz="0" w:space="0" w:color="auto"/>
            <w:bottom w:val="none" w:sz="0" w:space="0" w:color="auto"/>
            <w:right w:val="none" w:sz="0" w:space="0" w:color="auto"/>
          </w:divBdr>
        </w:div>
        <w:div w:id="37779729">
          <w:marLeft w:val="640"/>
          <w:marRight w:val="0"/>
          <w:marTop w:val="0"/>
          <w:marBottom w:val="0"/>
          <w:divBdr>
            <w:top w:val="none" w:sz="0" w:space="0" w:color="auto"/>
            <w:left w:val="none" w:sz="0" w:space="0" w:color="auto"/>
            <w:bottom w:val="none" w:sz="0" w:space="0" w:color="auto"/>
            <w:right w:val="none" w:sz="0" w:space="0" w:color="auto"/>
          </w:divBdr>
        </w:div>
        <w:div w:id="475534821">
          <w:marLeft w:val="640"/>
          <w:marRight w:val="0"/>
          <w:marTop w:val="0"/>
          <w:marBottom w:val="0"/>
          <w:divBdr>
            <w:top w:val="none" w:sz="0" w:space="0" w:color="auto"/>
            <w:left w:val="none" w:sz="0" w:space="0" w:color="auto"/>
            <w:bottom w:val="none" w:sz="0" w:space="0" w:color="auto"/>
            <w:right w:val="none" w:sz="0" w:space="0" w:color="auto"/>
          </w:divBdr>
        </w:div>
        <w:div w:id="163667827">
          <w:marLeft w:val="640"/>
          <w:marRight w:val="0"/>
          <w:marTop w:val="0"/>
          <w:marBottom w:val="0"/>
          <w:divBdr>
            <w:top w:val="none" w:sz="0" w:space="0" w:color="auto"/>
            <w:left w:val="none" w:sz="0" w:space="0" w:color="auto"/>
            <w:bottom w:val="none" w:sz="0" w:space="0" w:color="auto"/>
            <w:right w:val="none" w:sz="0" w:space="0" w:color="auto"/>
          </w:divBdr>
        </w:div>
        <w:div w:id="1947224336">
          <w:marLeft w:val="640"/>
          <w:marRight w:val="0"/>
          <w:marTop w:val="0"/>
          <w:marBottom w:val="0"/>
          <w:divBdr>
            <w:top w:val="none" w:sz="0" w:space="0" w:color="auto"/>
            <w:left w:val="none" w:sz="0" w:space="0" w:color="auto"/>
            <w:bottom w:val="none" w:sz="0" w:space="0" w:color="auto"/>
            <w:right w:val="none" w:sz="0" w:space="0" w:color="auto"/>
          </w:divBdr>
        </w:div>
        <w:div w:id="1972125474">
          <w:marLeft w:val="640"/>
          <w:marRight w:val="0"/>
          <w:marTop w:val="0"/>
          <w:marBottom w:val="0"/>
          <w:divBdr>
            <w:top w:val="none" w:sz="0" w:space="0" w:color="auto"/>
            <w:left w:val="none" w:sz="0" w:space="0" w:color="auto"/>
            <w:bottom w:val="none" w:sz="0" w:space="0" w:color="auto"/>
            <w:right w:val="none" w:sz="0" w:space="0" w:color="auto"/>
          </w:divBdr>
        </w:div>
        <w:div w:id="559638543">
          <w:marLeft w:val="640"/>
          <w:marRight w:val="0"/>
          <w:marTop w:val="0"/>
          <w:marBottom w:val="0"/>
          <w:divBdr>
            <w:top w:val="none" w:sz="0" w:space="0" w:color="auto"/>
            <w:left w:val="none" w:sz="0" w:space="0" w:color="auto"/>
            <w:bottom w:val="none" w:sz="0" w:space="0" w:color="auto"/>
            <w:right w:val="none" w:sz="0" w:space="0" w:color="auto"/>
          </w:divBdr>
        </w:div>
        <w:div w:id="835998770">
          <w:marLeft w:val="640"/>
          <w:marRight w:val="0"/>
          <w:marTop w:val="0"/>
          <w:marBottom w:val="0"/>
          <w:divBdr>
            <w:top w:val="none" w:sz="0" w:space="0" w:color="auto"/>
            <w:left w:val="none" w:sz="0" w:space="0" w:color="auto"/>
            <w:bottom w:val="none" w:sz="0" w:space="0" w:color="auto"/>
            <w:right w:val="none" w:sz="0" w:space="0" w:color="auto"/>
          </w:divBdr>
        </w:div>
        <w:div w:id="681126590">
          <w:marLeft w:val="640"/>
          <w:marRight w:val="0"/>
          <w:marTop w:val="0"/>
          <w:marBottom w:val="0"/>
          <w:divBdr>
            <w:top w:val="none" w:sz="0" w:space="0" w:color="auto"/>
            <w:left w:val="none" w:sz="0" w:space="0" w:color="auto"/>
            <w:bottom w:val="none" w:sz="0" w:space="0" w:color="auto"/>
            <w:right w:val="none" w:sz="0" w:space="0" w:color="auto"/>
          </w:divBdr>
        </w:div>
        <w:div w:id="1371877204">
          <w:marLeft w:val="640"/>
          <w:marRight w:val="0"/>
          <w:marTop w:val="0"/>
          <w:marBottom w:val="0"/>
          <w:divBdr>
            <w:top w:val="none" w:sz="0" w:space="0" w:color="auto"/>
            <w:left w:val="none" w:sz="0" w:space="0" w:color="auto"/>
            <w:bottom w:val="none" w:sz="0" w:space="0" w:color="auto"/>
            <w:right w:val="none" w:sz="0" w:space="0" w:color="auto"/>
          </w:divBdr>
        </w:div>
        <w:div w:id="1081485791">
          <w:marLeft w:val="640"/>
          <w:marRight w:val="0"/>
          <w:marTop w:val="0"/>
          <w:marBottom w:val="0"/>
          <w:divBdr>
            <w:top w:val="none" w:sz="0" w:space="0" w:color="auto"/>
            <w:left w:val="none" w:sz="0" w:space="0" w:color="auto"/>
            <w:bottom w:val="none" w:sz="0" w:space="0" w:color="auto"/>
            <w:right w:val="none" w:sz="0" w:space="0" w:color="auto"/>
          </w:divBdr>
        </w:div>
        <w:div w:id="1600723034">
          <w:marLeft w:val="640"/>
          <w:marRight w:val="0"/>
          <w:marTop w:val="0"/>
          <w:marBottom w:val="0"/>
          <w:divBdr>
            <w:top w:val="none" w:sz="0" w:space="0" w:color="auto"/>
            <w:left w:val="none" w:sz="0" w:space="0" w:color="auto"/>
            <w:bottom w:val="none" w:sz="0" w:space="0" w:color="auto"/>
            <w:right w:val="none" w:sz="0" w:space="0" w:color="auto"/>
          </w:divBdr>
        </w:div>
        <w:div w:id="1151557814">
          <w:marLeft w:val="640"/>
          <w:marRight w:val="0"/>
          <w:marTop w:val="0"/>
          <w:marBottom w:val="0"/>
          <w:divBdr>
            <w:top w:val="none" w:sz="0" w:space="0" w:color="auto"/>
            <w:left w:val="none" w:sz="0" w:space="0" w:color="auto"/>
            <w:bottom w:val="none" w:sz="0" w:space="0" w:color="auto"/>
            <w:right w:val="none" w:sz="0" w:space="0" w:color="auto"/>
          </w:divBdr>
        </w:div>
        <w:div w:id="1546216701">
          <w:marLeft w:val="640"/>
          <w:marRight w:val="0"/>
          <w:marTop w:val="0"/>
          <w:marBottom w:val="0"/>
          <w:divBdr>
            <w:top w:val="none" w:sz="0" w:space="0" w:color="auto"/>
            <w:left w:val="none" w:sz="0" w:space="0" w:color="auto"/>
            <w:bottom w:val="none" w:sz="0" w:space="0" w:color="auto"/>
            <w:right w:val="none" w:sz="0" w:space="0" w:color="auto"/>
          </w:divBdr>
        </w:div>
        <w:div w:id="1601136188">
          <w:marLeft w:val="640"/>
          <w:marRight w:val="0"/>
          <w:marTop w:val="0"/>
          <w:marBottom w:val="0"/>
          <w:divBdr>
            <w:top w:val="none" w:sz="0" w:space="0" w:color="auto"/>
            <w:left w:val="none" w:sz="0" w:space="0" w:color="auto"/>
            <w:bottom w:val="none" w:sz="0" w:space="0" w:color="auto"/>
            <w:right w:val="none" w:sz="0" w:space="0" w:color="auto"/>
          </w:divBdr>
        </w:div>
        <w:div w:id="931857178">
          <w:marLeft w:val="640"/>
          <w:marRight w:val="0"/>
          <w:marTop w:val="0"/>
          <w:marBottom w:val="0"/>
          <w:divBdr>
            <w:top w:val="none" w:sz="0" w:space="0" w:color="auto"/>
            <w:left w:val="none" w:sz="0" w:space="0" w:color="auto"/>
            <w:bottom w:val="none" w:sz="0" w:space="0" w:color="auto"/>
            <w:right w:val="none" w:sz="0" w:space="0" w:color="auto"/>
          </w:divBdr>
        </w:div>
        <w:div w:id="300313362">
          <w:marLeft w:val="640"/>
          <w:marRight w:val="0"/>
          <w:marTop w:val="0"/>
          <w:marBottom w:val="0"/>
          <w:divBdr>
            <w:top w:val="none" w:sz="0" w:space="0" w:color="auto"/>
            <w:left w:val="none" w:sz="0" w:space="0" w:color="auto"/>
            <w:bottom w:val="none" w:sz="0" w:space="0" w:color="auto"/>
            <w:right w:val="none" w:sz="0" w:space="0" w:color="auto"/>
          </w:divBdr>
        </w:div>
        <w:div w:id="753629961">
          <w:marLeft w:val="640"/>
          <w:marRight w:val="0"/>
          <w:marTop w:val="0"/>
          <w:marBottom w:val="0"/>
          <w:divBdr>
            <w:top w:val="none" w:sz="0" w:space="0" w:color="auto"/>
            <w:left w:val="none" w:sz="0" w:space="0" w:color="auto"/>
            <w:bottom w:val="none" w:sz="0" w:space="0" w:color="auto"/>
            <w:right w:val="none" w:sz="0" w:space="0" w:color="auto"/>
          </w:divBdr>
        </w:div>
        <w:div w:id="590698358">
          <w:marLeft w:val="640"/>
          <w:marRight w:val="0"/>
          <w:marTop w:val="0"/>
          <w:marBottom w:val="0"/>
          <w:divBdr>
            <w:top w:val="none" w:sz="0" w:space="0" w:color="auto"/>
            <w:left w:val="none" w:sz="0" w:space="0" w:color="auto"/>
            <w:bottom w:val="none" w:sz="0" w:space="0" w:color="auto"/>
            <w:right w:val="none" w:sz="0" w:space="0" w:color="auto"/>
          </w:divBdr>
        </w:div>
        <w:div w:id="1619339677">
          <w:marLeft w:val="640"/>
          <w:marRight w:val="0"/>
          <w:marTop w:val="0"/>
          <w:marBottom w:val="0"/>
          <w:divBdr>
            <w:top w:val="none" w:sz="0" w:space="0" w:color="auto"/>
            <w:left w:val="none" w:sz="0" w:space="0" w:color="auto"/>
            <w:bottom w:val="none" w:sz="0" w:space="0" w:color="auto"/>
            <w:right w:val="none" w:sz="0" w:space="0" w:color="auto"/>
          </w:divBdr>
        </w:div>
        <w:div w:id="1857053">
          <w:marLeft w:val="640"/>
          <w:marRight w:val="0"/>
          <w:marTop w:val="0"/>
          <w:marBottom w:val="0"/>
          <w:divBdr>
            <w:top w:val="none" w:sz="0" w:space="0" w:color="auto"/>
            <w:left w:val="none" w:sz="0" w:space="0" w:color="auto"/>
            <w:bottom w:val="none" w:sz="0" w:space="0" w:color="auto"/>
            <w:right w:val="none" w:sz="0" w:space="0" w:color="auto"/>
          </w:divBdr>
        </w:div>
        <w:div w:id="970525096">
          <w:marLeft w:val="640"/>
          <w:marRight w:val="0"/>
          <w:marTop w:val="0"/>
          <w:marBottom w:val="0"/>
          <w:divBdr>
            <w:top w:val="none" w:sz="0" w:space="0" w:color="auto"/>
            <w:left w:val="none" w:sz="0" w:space="0" w:color="auto"/>
            <w:bottom w:val="none" w:sz="0" w:space="0" w:color="auto"/>
            <w:right w:val="none" w:sz="0" w:space="0" w:color="auto"/>
          </w:divBdr>
        </w:div>
        <w:div w:id="180632014">
          <w:marLeft w:val="640"/>
          <w:marRight w:val="0"/>
          <w:marTop w:val="0"/>
          <w:marBottom w:val="0"/>
          <w:divBdr>
            <w:top w:val="none" w:sz="0" w:space="0" w:color="auto"/>
            <w:left w:val="none" w:sz="0" w:space="0" w:color="auto"/>
            <w:bottom w:val="none" w:sz="0" w:space="0" w:color="auto"/>
            <w:right w:val="none" w:sz="0" w:space="0" w:color="auto"/>
          </w:divBdr>
        </w:div>
        <w:div w:id="576523271">
          <w:marLeft w:val="640"/>
          <w:marRight w:val="0"/>
          <w:marTop w:val="0"/>
          <w:marBottom w:val="0"/>
          <w:divBdr>
            <w:top w:val="none" w:sz="0" w:space="0" w:color="auto"/>
            <w:left w:val="none" w:sz="0" w:space="0" w:color="auto"/>
            <w:bottom w:val="none" w:sz="0" w:space="0" w:color="auto"/>
            <w:right w:val="none" w:sz="0" w:space="0" w:color="auto"/>
          </w:divBdr>
        </w:div>
        <w:div w:id="70350631">
          <w:marLeft w:val="640"/>
          <w:marRight w:val="0"/>
          <w:marTop w:val="0"/>
          <w:marBottom w:val="0"/>
          <w:divBdr>
            <w:top w:val="none" w:sz="0" w:space="0" w:color="auto"/>
            <w:left w:val="none" w:sz="0" w:space="0" w:color="auto"/>
            <w:bottom w:val="none" w:sz="0" w:space="0" w:color="auto"/>
            <w:right w:val="none" w:sz="0" w:space="0" w:color="auto"/>
          </w:divBdr>
        </w:div>
        <w:div w:id="889421382">
          <w:marLeft w:val="640"/>
          <w:marRight w:val="0"/>
          <w:marTop w:val="0"/>
          <w:marBottom w:val="0"/>
          <w:divBdr>
            <w:top w:val="none" w:sz="0" w:space="0" w:color="auto"/>
            <w:left w:val="none" w:sz="0" w:space="0" w:color="auto"/>
            <w:bottom w:val="none" w:sz="0" w:space="0" w:color="auto"/>
            <w:right w:val="none" w:sz="0" w:space="0" w:color="auto"/>
          </w:divBdr>
        </w:div>
        <w:div w:id="1657150676">
          <w:marLeft w:val="640"/>
          <w:marRight w:val="0"/>
          <w:marTop w:val="0"/>
          <w:marBottom w:val="0"/>
          <w:divBdr>
            <w:top w:val="none" w:sz="0" w:space="0" w:color="auto"/>
            <w:left w:val="none" w:sz="0" w:space="0" w:color="auto"/>
            <w:bottom w:val="none" w:sz="0" w:space="0" w:color="auto"/>
            <w:right w:val="none" w:sz="0" w:space="0" w:color="auto"/>
          </w:divBdr>
        </w:div>
        <w:div w:id="2141996441">
          <w:marLeft w:val="640"/>
          <w:marRight w:val="0"/>
          <w:marTop w:val="0"/>
          <w:marBottom w:val="0"/>
          <w:divBdr>
            <w:top w:val="none" w:sz="0" w:space="0" w:color="auto"/>
            <w:left w:val="none" w:sz="0" w:space="0" w:color="auto"/>
            <w:bottom w:val="none" w:sz="0" w:space="0" w:color="auto"/>
            <w:right w:val="none" w:sz="0" w:space="0" w:color="auto"/>
          </w:divBdr>
        </w:div>
        <w:div w:id="683439597">
          <w:marLeft w:val="640"/>
          <w:marRight w:val="0"/>
          <w:marTop w:val="0"/>
          <w:marBottom w:val="0"/>
          <w:divBdr>
            <w:top w:val="none" w:sz="0" w:space="0" w:color="auto"/>
            <w:left w:val="none" w:sz="0" w:space="0" w:color="auto"/>
            <w:bottom w:val="none" w:sz="0" w:space="0" w:color="auto"/>
            <w:right w:val="none" w:sz="0" w:space="0" w:color="auto"/>
          </w:divBdr>
        </w:div>
        <w:div w:id="493843365">
          <w:marLeft w:val="640"/>
          <w:marRight w:val="0"/>
          <w:marTop w:val="0"/>
          <w:marBottom w:val="0"/>
          <w:divBdr>
            <w:top w:val="none" w:sz="0" w:space="0" w:color="auto"/>
            <w:left w:val="none" w:sz="0" w:space="0" w:color="auto"/>
            <w:bottom w:val="none" w:sz="0" w:space="0" w:color="auto"/>
            <w:right w:val="none" w:sz="0" w:space="0" w:color="auto"/>
          </w:divBdr>
        </w:div>
        <w:div w:id="883521185">
          <w:marLeft w:val="640"/>
          <w:marRight w:val="0"/>
          <w:marTop w:val="0"/>
          <w:marBottom w:val="0"/>
          <w:divBdr>
            <w:top w:val="none" w:sz="0" w:space="0" w:color="auto"/>
            <w:left w:val="none" w:sz="0" w:space="0" w:color="auto"/>
            <w:bottom w:val="none" w:sz="0" w:space="0" w:color="auto"/>
            <w:right w:val="none" w:sz="0" w:space="0" w:color="auto"/>
          </w:divBdr>
        </w:div>
        <w:div w:id="396393433">
          <w:marLeft w:val="640"/>
          <w:marRight w:val="0"/>
          <w:marTop w:val="0"/>
          <w:marBottom w:val="0"/>
          <w:divBdr>
            <w:top w:val="none" w:sz="0" w:space="0" w:color="auto"/>
            <w:left w:val="none" w:sz="0" w:space="0" w:color="auto"/>
            <w:bottom w:val="none" w:sz="0" w:space="0" w:color="auto"/>
            <w:right w:val="none" w:sz="0" w:space="0" w:color="auto"/>
          </w:divBdr>
        </w:div>
      </w:divsChild>
    </w:div>
    <w:div w:id="2020505286">
      <w:bodyDiv w:val="1"/>
      <w:marLeft w:val="0"/>
      <w:marRight w:val="0"/>
      <w:marTop w:val="0"/>
      <w:marBottom w:val="0"/>
      <w:divBdr>
        <w:top w:val="none" w:sz="0" w:space="0" w:color="auto"/>
        <w:left w:val="none" w:sz="0" w:space="0" w:color="auto"/>
        <w:bottom w:val="none" w:sz="0" w:space="0" w:color="auto"/>
        <w:right w:val="none" w:sz="0" w:space="0" w:color="auto"/>
      </w:divBdr>
      <w:divsChild>
        <w:div w:id="42674938">
          <w:marLeft w:val="640"/>
          <w:marRight w:val="0"/>
          <w:marTop w:val="0"/>
          <w:marBottom w:val="0"/>
          <w:divBdr>
            <w:top w:val="none" w:sz="0" w:space="0" w:color="auto"/>
            <w:left w:val="none" w:sz="0" w:space="0" w:color="auto"/>
            <w:bottom w:val="none" w:sz="0" w:space="0" w:color="auto"/>
            <w:right w:val="none" w:sz="0" w:space="0" w:color="auto"/>
          </w:divBdr>
        </w:div>
        <w:div w:id="1267687639">
          <w:marLeft w:val="640"/>
          <w:marRight w:val="0"/>
          <w:marTop w:val="0"/>
          <w:marBottom w:val="0"/>
          <w:divBdr>
            <w:top w:val="none" w:sz="0" w:space="0" w:color="auto"/>
            <w:left w:val="none" w:sz="0" w:space="0" w:color="auto"/>
            <w:bottom w:val="none" w:sz="0" w:space="0" w:color="auto"/>
            <w:right w:val="none" w:sz="0" w:space="0" w:color="auto"/>
          </w:divBdr>
        </w:div>
        <w:div w:id="860316348">
          <w:marLeft w:val="640"/>
          <w:marRight w:val="0"/>
          <w:marTop w:val="0"/>
          <w:marBottom w:val="0"/>
          <w:divBdr>
            <w:top w:val="none" w:sz="0" w:space="0" w:color="auto"/>
            <w:left w:val="none" w:sz="0" w:space="0" w:color="auto"/>
            <w:bottom w:val="none" w:sz="0" w:space="0" w:color="auto"/>
            <w:right w:val="none" w:sz="0" w:space="0" w:color="auto"/>
          </w:divBdr>
        </w:div>
        <w:div w:id="1750422329">
          <w:marLeft w:val="640"/>
          <w:marRight w:val="0"/>
          <w:marTop w:val="0"/>
          <w:marBottom w:val="0"/>
          <w:divBdr>
            <w:top w:val="none" w:sz="0" w:space="0" w:color="auto"/>
            <w:left w:val="none" w:sz="0" w:space="0" w:color="auto"/>
            <w:bottom w:val="none" w:sz="0" w:space="0" w:color="auto"/>
            <w:right w:val="none" w:sz="0" w:space="0" w:color="auto"/>
          </w:divBdr>
        </w:div>
        <w:div w:id="1513300001">
          <w:marLeft w:val="640"/>
          <w:marRight w:val="0"/>
          <w:marTop w:val="0"/>
          <w:marBottom w:val="0"/>
          <w:divBdr>
            <w:top w:val="none" w:sz="0" w:space="0" w:color="auto"/>
            <w:left w:val="none" w:sz="0" w:space="0" w:color="auto"/>
            <w:bottom w:val="none" w:sz="0" w:space="0" w:color="auto"/>
            <w:right w:val="none" w:sz="0" w:space="0" w:color="auto"/>
          </w:divBdr>
        </w:div>
        <w:div w:id="912423954">
          <w:marLeft w:val="640"/>
          <w:marRight w:val="0"/>
          <w:marTop w:val="0"/>
          <w:marBottom w:val="0"/>
          <w:divBdr>
            <w:top w:val="none" w:sz="0" w:space="0" w:color="auto"/>
            <w:left w:val="none" w:sz="0" w:space="0" w:color="auto"/>
            <w:bottom w:val="none" w:sz="0" w:space="0" w:color="auto"/>
            <w:right w:val="none" w:sz="0" w:space="0" w:color="auto"/>
          </w:divBdr>
        </w:div>
        <w:div w:id="2007198978">
          <w:marLeft w:val="640"/>
          <w:marRight w:val="0"/>
          <w:marTop w:val="0"/>
          <w:marBottom w:val="0"/>
          <w:divBdr>
            <w:top w:val="none" w:sz="0" w:space="0" w:color="auto"/>
            <w:left w:val="none" w:sz="0" w:space="0" w:color="auto"/>
            <w:bottom w:val="none" w:sz="0" w:space="0" w:color="auto"/>
            <w:right w:val="none" w:sz="0" w:space="0" w:color="auto"/>
          </w:divBdr>
        </w:div>
        <w:div w:id="498158092">
          <w:marLeft w:val="640"/>
          <w:marRight w:val="0"/>
          <w:marTop w:val="0"/>
          <w:marBottom w:val="0"/>
          <w:divBdr>
            <w:top w:val="none" w:sz="0" w:space="0" w:color="auto"/>
            <w:left w:val="none" w:sz="0" w:space="0" w:color="auto"/>
            <w:bottom w:val="none" w:sz="0" w:space="0" w:color="auto"/>
            <w:right w:val="none" w:sz="0" w:space="0" w:color="auto"/>
          </w:divBdr>
        </w:div>
        <w:div w:id="1469585918">
          <w:marLeft w:val="640"/>
          <w:marRight w:val="0"/>
          <w:marTop w:val="0"/>
          <w:marBottom w:val="0"/>
          <w:divBdr>
            <w:top w:val="none" w:sz="0" w:space="0" w:color="auto"/>
            <w:left w:val="none" w:sz="0" w:space="0" w:color="auto"/>
            <w:bottom w:val="none" w:sz="0" w:space="0" w:color="auto"/>
            <w:right w:val="none" w:sz="0" w:space="0" w:color="auto"/>
          </w:divBdr>
        </w:div>
        <w:div w:id="665132027">
          <w:marLeft w:val="640"/>
          <w:marRight w:val="0"/>
          <w:marTop w:val="0"/>
          <w:marBottom w:val="0"/>
          <w:divBdr>
            <w:top w:val="none" w:sz="0" w:space="0" w:color="auto"/>
            <w:left w:val="none" w:sz="0" w:space="0" w:color="auto"/>
            <w:bottom w:val="none" w:sz="0" w:space="0" w:color="auto"/>
            <w:right w:val="none" w:sz="0" w:space="0" w:color="auto"/>
          </w:divBdr>
        </w:div>
        <w:div w:id="164518733">
          <w:marLeft w:val="640"/>
          <w:marRight w:val="0"/>
          <w:marTop w:val="0"/>
          <w:marBottom w:val="0"/>
          <w:divBdr>
            <w:top w:val="none" w:sz="0" w:space="0" w:color="auto"/>
            <w:left w:val="none" w:sz="0" w:space="0" w:color="auto"/>
            <w:bottom w:val="none" w:sz="0" w:space="0" w:color="auto"/>
            <w:right w:val="none" w:sz="0" w:space="0" w:color="auto"/>
          </w:divBdr>
        </w:div>
        <w:div w:id="1036585657">
          <w:marLeft w:val="640"/>
          <w:marRight w:val="0"/>
          <w:marTop w:val="0"/>
          <w:marBottom w:val="0"/>
          <w:divBdr>
            <w:top w:val="none" w:sz="0" w:space="0" w:color="auto"/>
            <w:left w:val="none" w:sz="0" w:space="0" w:color="auto"/>
            <w:bottom w:val="none" w:sz="0" w:space="0" w:color="auto"/>
            <w:right w:val="none" w:sz="0" w:space="0" w:color="auto"/>
          </w:divBdr>
        </w:div>
        <w:div w:id="1946382559">
          <w:marLeft w:val="640"/>
          <w:marRight w:val="0"/>
          <w:marTop w:val="0"/>
          <w:marBottom w:val="0"/>
          <w:divBdr>
            <w:top w:val="none" w:sz="0" w:space="0" w:color="auto"/>
            <w:left w:val="none" w:sz="0" w:space="0" w:color="auto"/>
            <w:bottom w:val="none" w:sz="0" w:space="0" w:color="auto"/>
            <w:right w:val="none" w:sz="0" w:space="0" w:color="auto"/>
          </w:divBdr>
        </w:div>
        <w:div w:id="1140466068">
          <w:marLeft w:val="640"/>
          <w:marRight w:val="0"/>
          <w:marTop w:val="0"/>
          <w:marBottom w:val="0"/>
          <w:divBdr>
            <w:top w:val="none" w:sz="0" w:space="0" w:color="auto"/>
            <w:left w:val="none" w:sz="0" w:space="0" w:color="auto"/>
            <w:bottom w:val="none" w:sz="0" w:space="0" w:color="auto"/>
            <w:right w:val="none" w:sz="0" w:space="0" w:color="auto"/>
          </w:divBdr>
        </w:div>
        <w:div w:id="1053234708">
          <w:marLeft w:val="640"/>
          <w:marRight w:val="0"/>
          <w:marTop w:val="0"/>
          <w:marBottom w:val="0"/>
          <w:divBdr>
            <w:top w:val="none" w:sz="0" w:space="0" w:color="auto"/>
            <w:left w:val="none" w:sz="0" w:space="0" w:color="auto"/>
            <w:bottom w:val="none" w:sz="0" w:space="0" w:color="auto"/>
            <w:right w:val="none" w:sz="0" w:space="0" w:color="auto"/>
          </w:divBdr>
        </w:div>
        <w:div w:id="516505002">
          <w:marLeft w:val="640"/>
          <w:marRight w:val="0"/>
          <w:marTop w:val="0"/>
          <w:marBottom w:val="0"/>
          <w:divBdr>
            <w:top w:val="none" w:sz="0" w:space="0" w:color="auto"/>
            <w:left w:val="none" w:sz="0" w:space="0" w:color="auto"/>
            <w:bottom w:val="none" w:sz="0" w:space="0" w:color="auto"/>
            <w:right w:val="none" w:sz="0" w:space="0" w:color="auto"/>
          </w:divBdr>
        </w:div>
        <w:div w:id="816994016">
          <w:marLeft w:val="640"/>
          <w:marRight w:val="0"/>
          <w:marTop w:val="0"/>
          <w:marBottom w:val="0"/>
          <w:divBdr>
            <w:top w:val="none" w:sz="0" w:space="0" w:color="auto"/>
            <w:left w:val="none" w:sz="0" w:space="0" w:color="auto"/>
            <w:bottom w:val="none" w:sz="0" w:space="0" w:color="auto"/>
            <w:right w:val="none" w:sz="0" w:space="0" w:color="auto"/>
          </w:divBdr>
        </w:div>
        <w:div w:id="1626039133">
          <w:marLeft w:val="640"/>
          <w:marRight w:val="0"/>
          <w:marTop w:val="0"/>
          <w:marBottom w:val="0"/>
          <w:divBdr>
            <w:top w:val="none" w:sz="0" w:space="0" w:color="auto"/>
            <w:left w:val="none" w:sz="0" w:space="0" w:color="auto"/>
            <w:bottom w:val="none" w:sz="0" w:space="0" w:color="auto"/>
            <w:right w:val="none" w:sz="0" w:space="0" w:color="auto"/>
          </w:divBdr>
        </w:div>
        <w:div w:id="422383042">
          <w:marLeft w:val="640"/>
          <w:marRight w:val="0"/>
          <w:marTop w:val="0"/>
          <w:marBottom w:val="0"/>
          <w:divBdr>
            <w:top w:val="none" w:sz="0" w:space="0" w:color="auto"/>
            <w:left w:val="none" w:sz="0" w:space="0" w:color="auto"/>
            <w:bottom w:val="none" w:sz="0" w:space="0" w:color="auto"/>
            <w:right w:val="none" w:sz="0" w:space="0" w:color="auto"/>
          </w:divBdr>
        </w:div>
        <w:div w:id="1240670633">
          <w:marLeft w:val="640"/>
          <w:marRight w:val="0"/>
          <w:marTop w:val="0"/>
          <w:marBottom w:val="0"/>
          <w:divBdr>
            <w:top w:val="none" w:sz="0" w:space="0" w:color="auto"/>
            <w:left w:val="none" w:sz="0" w:space="0" w:color="auto"/>
            <w:bottom w:val="none" w:sz="0" w:space="0" w:color="auto"/>
            <w:right w:val="none" w:sz="0" w:space="0" w:color="auto"/>
          </w:divBdr>
        </w:div>
        <w:div w:id="1525820714">
          <w:marLeft w:val="640"/>
          <w:marRight w:val="0"/>
          <w:marTop w:val="0"/>
          <w:marBottom w:val="0"/>
          <w:divBdr>
            <w:top w:val="none" w:sz="0" w:space="0" w:color="auto"/>
            <w:left w:val="none" w:sz="0" w:space="0" w:color="auto"/>
            <w:bottom w:val="none" w:sz="0" w:space="0" w:color="auto"/>
            <w:right w:val="none" w:sz="0" w:space="0" w:color="auto"/>
          </w:divBdr>
        </w:div>
        <w:div w:id="1270232827">
          <w:marLeft w:val="640"/>
          <w:marRight w:val="0"/>
          <w:marTop w:val="0"/>
          <w:marBottom w:val="0"/>
          <w:divBdr>
            <w:top w:val="none" w:sz="0" w:space="0" w:color="auto"/>
            <w:left w:val="none" w:sz="0" w:space="0" w:color="auto"/>
            <w:bottom w:val="none" w:sz="0" w:space="0" w:color="auto"/>
            <w:right w:val="none" w:sz="0" w:space="0" w:color="auto"/>
          </w:divBdr>
        </w:div>
        <w:div w:id="1238511537">
          <w:marLeft w:val="640"/>
          <w:marRight w:val="0"/>
          <w:marTop w:val="0"/>
          <w:marBottom w:val="0"/>
          <w:divBdr>
            <w:top w:val="none" w:sz="0" w:space="0" w:color="auto"/>
            <w:left w:val="none" w:sz="0" w:space="0" w:color="auto"/>
            <w:bottom w:val="none" w:sz="0" w:space="0" w:color="auto"/>
            <w:right w:val="none" w:sz="0" w:space="0" w:color="auto"/>
          </w:divBdr>
        </w:div>
        <w:div w:id="653266662">
          <w:marLeft w:val="640"/>
          <w:marRight w:val="0"/>
          <w:marTop w:val="0"/>
          <w:marBottom w:val="0"/>
          <w:divBdr>
            <w:top w:val="none" w:sz="0" w:space="0" w:color="auto"/>
            <w:left w:val="none" w:sz="0" w:space="0" w:color="auto"/>
            <w:bottom w:val="none" w:sz="0" w:space="0" w:color="auto"/>
            <w:right w:val="none" w:sz="0" w:space="0" w:color="auto"/>
          </w:divBdr>
        </w:div>
        <w:div w:id="170609209">
          <w:marLeft w:val="640"/>
          <w:marRight w:val="0"/>
          <w:marTop w:val="0"/>
          <w:marBottom w:val="0"/>
          <w:divBdr>
            <w:top w:val="none" w:sz="0" w:space="0" w:color="auto"/>
            <w:left w:val="none" w:sz="0" w:space="0" w:color="auto"/>
            <w:bottom w:val="none" w:sz="0" w:space="0" w:color="auto"/>
            <w:right w:val="none" w:sz="0" w:space="0" w:color="auto"/>
          </w:divBdr>
        </w:div>
        <w:div w:id="2087024376">
          <w:marLeft w:val="640"/>
          <w:marRight w:val="0"/>
          <w:marTop w:val="0"/>
          <w:marBottom w:val="0"/>
          <w:divBdr>
            <w:top w:val="none" w:sz="0" w:space="0" w:color="auto"/>
            <w:left w:val="none" w:sz="0" w:space="0" w:color="auto"/>
            <w:bottom w:val="none" w:sz="0" w:space="0" w:color="auto"/>
            <w:right w:val="none" w:sz="0" w:space="0" w:color="auto"/>
          </w:divBdr>
        </w:div>
        <w:div w:id="990794160">
          <w:marLeft w:val="640"/>
          <w:marRight w:val="0"/>
          <w:marTop w:val="0"/>
          <w:marBottom w:val="0"/>
          <w:divBdr>
            <w:top w:val="none" w:sz="0" w:space="0" w:color="auto"/>
            <w:left w:val="none" w:sz="0" w:space="0" w:color="auto"/>
            <w:bottom w:val="none" w:sz="0" w:space="0" w:color="auto"/>
            <w:right w:val="none" w:sz="0" w:space="0" w:color="auto"/>
          </w:divBdr>
        </w:div>
        <w:div w:id="2035109795">
          <w:marLeft w:val="640"/>
          <w:marRight w:val="0"/>
          <w:marTop w:val="0"/>
          <w:marBottom w:val="0"/>
          <w:divBdr>
            <w:top w:val="none" w:sz="0" w:space="0" w:color="auto"/>
            <w:left w:val="none" w:sz="0" w:space="0" w:color="auto"/>
            <w:bottom w:val="none" w:sz="0" w:space="0" w:color="auto"/>
            <w:right w:val="none" w:sz="0" w:space="0" w:color="auto"/>
          </w:divBdr>
        </w:div>
        <w:div w:id="1293176282">
          <w:marLeft w:val="640"/>
          <w:marRight w:val="0"/>
          <w:marTop w:val="0"/>
          <w:marBottom w:val="0"/>
          <w:divBdr>
            <w:top w:val="none" w:sz="0" w:space="0" w:color="auto"/>
            <w:left w:val="none" w:sz="0" w:space="0" w:color="auto"/>
            <w:bottom w:val="none" w:sz="0" w:space="0" w:color="auto"/>
            <w:right w:val="none" w:sz="0" w:space="0" w:color="auto"/>
          </w:divBdr>
        </w:div>
        <w:div w:id="1022898138">
          <w:marLeft w:val="640"/>
          <w:marRight w:val="0"/>
          <w:marTop w:val="0"/>
          <w:marBottom w:val="0"/>
          <w:divBdr>
            <w:top w:val="none" w:sz="0" w:space="0" w:color="auto"/>
            <w:left w:val="none" w:sz="0" w:space="0" w:color="auto"/>
            <w:bottom w:val="none" w:sz="0" w:space="0" w:color="auto"/>
            <w:right w:val="none" w:sz="0" w:space="0" w:color="auto"/>
          </w:divBdr>
        </w:div>
        <w:div w:id="1327781221">
          <w:marLeft w:val="640"/>
          <w:marRight w:val="0"/>
          <w:marTop w:val="0"/>
          <w:marBottom w:val="0"/>
          <w:divBdr>
            <w:top w:val="none" w:sz="0" w:space="0" w:color="auto"/>
            <w:left w:val="none" w:sz="0" w:space="0" w:color="auto"/>
            <w:bottom w:val="none" w:sz="0" w:space="0" w:color="auto"/>
            <w:right w:val="none" w:sz="0" w:space="0" w:color="auto"/>
          </w:divBdr>
        </w:div>
        <w:div w:id="658071827">
          <w:marLeft w:val="640"/>
          <w:marRight w:val="0"/>
          <w:marTop w:val="0"/>
          <w:marBottom w:val="0"/>
          <w:divBdr>
            <w:top w:val="none" w:sz="0" w:space="0" w:color="auto"/>
            <w:left w:val="none" w:sz="0" w:space="0" w:color="auto"/>
            <w:bottom w:val="none" w:sz="0" w:space="0" w:color="auto"/>
            <w:right w:val="none" w:sz="0" w:space="0" w:color="auto"/>
          </w:divBdr>
        </w:div>
        <w:div w:id="1138492184">
          <w:marLeft w:val="640"/>
          <w:marRight w:val="0"/>
          <w:marTop w:val="0"/>
          <w:marBottom w:val="0"/>
          <w:divBdr>
            <w:top w:val="none" w:sz="0" w:space="0" w:color="auto"/>
            <w:left w:val="none" w:sz="0" w:space="0" w:color="auto"/>
            <w:bottom w:val="none" w:sz="0" w:space="0" w:color="auto"/>
            <w:right w:val="none" w:sz="0" w:space="0" w:color="auto"/>
          </w:divBdr>
        </w:div>
        <w:div w:id="717247683">
          <w:marLeft w:val="640"/>
          <w:marRight w:val="0"/>
          <w:marTop w:val="0"/>
          <w:marBottom w:val="0"/>
          <w:divBdr>
            <w:top w:val="none" w:sz="0" w:space="0" w:color="auto"/>
            <w:left w:val="none" w:sz="0" w:space="0" w:color="auto"/>
            <w:bottom w:val="none" w:sz="0" w:space="0" w:color="auto"/>
            <w:right w:val="none" w:sz="0" w:space="0" w:color="auto"/>
          </w:divBdr>
        </w:div>
        <w:div w:id="1859806485">
          <w:marLeft w:val="640"/>
          <w:marRight w:val="0"/>
          <w:marTop w:val="0"/>
          <w:marBottom w:val="0"/>
          <w:divBdr>
            <w:top w:val="none" w:sz="0" w:space="0" w:color="auto"/>
            <w:left w:val="none" w:sz="0" w:space="0" w:color="auto"/>
            <w:bottom w:val="none" w:sz="0" w:space="0" w:color="auto"/>
            <w:right w:val="none" w:sz="0" w:space="0" w:color="auto"/>
          </w:divBdr>
        </w:div>
        <w:div w:id="1907228830">
          <w:marLeft w:val="640"/>
          <w:marRight w:val="0"/>
          <w:marTop w:val="0"/>
          <w:marBottom w:val="0"/>
          <w:divBdr>
            <w:top w:val="none" w:sz="0" w:space="0" w:color="auto"/>
            <w:left w:val="none" w:sz="0" w:space="0" w:color="auto"/>
            <w:bottom w:val="none" w:sz="0" w:space="0" w:color="auto"/>
            <w:right w:val="none" w:sz="0" w:space="0" w:color="auto"/>
          </w:divBdr>
        </w:div>
        <w:div w:id="1049764878">
          <w:marLeft w:val="640"/>
          <w:marRight w:val="0"/>
          <w:marTop w:val="0"/>
          <w:marBottom w:val="0"/>
          <w:divBdr>
            <w:top w:val="none" w:sz="0" w:space="0" w:color="auto"/>
            <w:left w:val="none" w:sz="0" w:space="0" w:color="auto"/>
            <w:bottom w:val="none" w:sz="0" w:space="0" w:color="auto"/>
            <w:right w:val="none" w:sz="0" w:space="0" w:color="auto"/>
          </w:divBdr>
        </w:div>
        <w:div w:id="1291865834">
          <w:marLeft w:val="640"/>
          <w:marRight w:val="0"/>
          <w:marTop w:val="0"/>
          <w:marBottom w:val="0"/>
          <w:divBdr>
            <w:top w:val="none" w:sz="0" w:space="0" w:color="auto"/>
            <w:left w:val="none" w:sz="0" w:space="0" w:color="auto"/>
            <w:bottom w:val="none" w:sz="0" w:space="0" w:color="auto"/>
            <w:right w:val="none" w:sz="0" w:space="0" w:color="auto"/>
          </w:divBdr>
        </w:div>
        <w:div w:id="2005207535">
          <w:marLeft w:val="640"/>
          <w:marRight w:val="0"/>
          <w:marTop w:val="0"/>
          <w:marBottom w:val="0"/>
          <w:divBdr>
            <w:top w:val="none" w:sz="0" w:space="0" w:color="auto"/>
            <w:left w:val="none" w:sz="0" w:space="0" w:color="auto"/>
            <w:bottom w:val="none" w:sz="0" w:space="0" w:color="auto"/>
            <w:right w:val="none" w:sz="0" w:space="0" w:color="auto"/>
          </w:divBdr>
        </w:div>
        <w:div w:id="558322045">
          <w:marLeft w:val="640"/>
          <w:marRight w:val="0"/>
          <w:marTop w:val="0"/>
          <w:marBottom w:val="0"/>
          <w:divBdr>
            <w:top w:val="none" w:sz="0" w:space="0" w:color="auto"/>
            <w:left w:val="none" w:sz="0" w:space="0" w:color="auto"/>
            <w:bottom w:val="none" w:sz="0" w:space="0" w:color="auto"/>
            <w:right w:val="none" w:sz="0" w:space="0" w:color="auto"/>
          </w:divBdr>
        </w:div>
        <w:div w:id="1478187787">
          <w:marLeft w:val="640"/>
          <w:marRight w:val="0"/>
          <w:marTop w:val="0"/>
          <w:marBottom w:val="0"/>
          <w:divBdr>
            <w:top w:val="none" w:sz="0" w:space="0" w:color="auto"/>
            <w:left w:val="none" w:sz="0" w:space="0" w:color="auto"/>
            <w:bottom w:val="none" w:sz="0" w:space="0" w:color="auto"/>
            <w:right w:val="none" w:sz="0" w:space="0" w:color="auto"/>
          </w:divBdr>
        </w:div>
        <w:div w:id="1194880973">
          <w:marLeft w:val="640"/>
          <w:marRight w:val="0"/>
          <w:marTop w:val="0"/>
          <w:marBottom w:val="0"/>
          <w:divBdr>
            <w:top w:val="none" w:sz="0" w:space="0" w:color="auto"/>
            <w:left w:val="none" w:sz="0" w:space="0" w:color="auto"/>
            <w:bottom w:val="none" w:sz="0" w:space="0" w:color="auto"/>
            <w:right w:val="none" w:sz="0" w:space="0" w:color="auto"/>
          </w:divBdr>
        </w:div>
        <w:div w:id="761687775">
          <w:marLeft w:val="640"/>
          <w:marRight w:val="0"/>
          <w:marTop w:val="0"/>
          <w:marBottom w:val="0"/>
          <w:divBdr>
            <w:top w:val="none" w:sz="0" w:space="0" w:color="auto"/>
            <w:left w:val="none" w:sz="0" w:space="0" w:color="auto"/>
            <w:bottom w:val="none" w:sz="0" w:space="0" w:color="auto"/>
            <w:right w:val="none" w:sz="0" w:space="0" w:color="auto"/>
          </w:divBdr>
        </w:div>
        <w:div w:id="1999263519">
          <w:marLeft w:val="640"/>
          <w:marRight w:val="0"/>
          <w:marTop w:val="0"/>
          <w:marBottom w:val="0"/>
          <w:divBdr>
            <w:top w:val="none" w:sz="0" w:space="0" w:color="auto"/>
            <w:left w:val="none" w:sz="0" w:space="0" w:color="auto"/>
            <w:bottom w:val="none" w:sz="0" w:space="0" w:color="auto"/>
            <w:right w:val="none" w:sz="0" w:space="0" w:color="auto"/>
          </w:divBdr>
        </w:div>
        <w:div w:id="1509364956">
          <w:marLeft w:val="640"/>
          <w:marRight w:val="0"/>
          <w:marTop w:val="0"/>
          <w:marBottom w:val="0"/>
          <w:divBdr>
            <w:top w:val="none" w:sz="0" w:space="0" w:color="auto"/>
            <w:left w:val="none" w:sz="0" w:space="0" w:color="auto"/>
            <w:bottom w:val="none" w:sz="0" w:space="0" w:color="auto"/>
            <w:right w:val="none" w:sz="0" w:space="0" w:color="auto"/>
          </w:divBdr>
        </w:div>
        <w:div w:id="1197235702">
          <w:marLeft w:val="640"/>
          <w:marRight w:val="0"/>
          <w:marTop w:val="0"/>
          <w:marBottom w:val="0"/>
          <w:divBdr>
            <w:top w:val="none" w:sz="0" w:space="0" w:color="auto"/>
            <w:left w:val="none" w:sz="0" w:space="0" w:color="auto"/>
            <w:bottom w:val="none" w:sz="0" w:space="0" w:color="auto"/>
            <w:right w:val="none" w:sz="0" w:space="0" w:color="auto"/>
          </w:divBdr>
        </w:div>
        <w:div w:id="1145508124">
          <w:marLeft w:val="640"/>
          <w:marRight w:val="0"/>
          <w:marTop w:val="0"/>
          <w:marBottom w:val="0"/>
          <w:divBdr>
            <w:top w:val="none" w:sz="0" w:space="0" w:color="auto"/>
            <w:left w:val="none" w:sz="0" w:space="0" w:color="auto"/>
            <w:bottom w:val="none" w:sz="0" w:space="0" w:color="auto"/>
            <w:right w:val="none" w:sz="0" w:space="0" w:color="auto"/>
          </w:divBdr>
        </w:div>
        <w:div w:id="1614627213">
          <w:marLeft w:val="640"/>
          <w:marRight w:val="0"/>
          <w:marTop w:val="0"/>
          <w:marBottom w:val="0"/>
          <w:divBdr>
            <w:top w:val="none" w:sz="0" w:space="0" w:color="auto"/>
            <w:left w:val="none" w:sz="0" w:space="0" w:color="auto"/>
            <w:bottom w:val="none" w:sz="0" w:space="0" w:color="auto"/>
            <w:right w:val="none" w:sz="0" w:space="0" w:color="auto"/>
          </w:divBdr>
        </w:div>
        <w:div w:id="1265262225">
          <w:marLeft w:val="640"/>
          <w:marRight w:val="0"/>
          <w:marTop w:val="0"/>
          <w:marBottom w:val="0"/>
          <w:divBdr>
            <w:top w:val="none" w:sz="0" w:space="0" w:color="auto"/>
            <w:left w:val="none" w:sz="0" w:space="0" w:color="auto"/>
            <w:bottom w:val="none" w:sz="0" w:space="0" w:color="auto"/>
            <w:right w:val="none" w:sz="0" w:space="0" w:color="auto"/>
          </w:divBdr>
        </w:div>
      </w:divsChild>
    </w:div>
    <w:div w:id="2082675940">
      <w:bodyDiv w:val="1"/>
      <w:marLeft w:val="0"/>
      <w:marRight w:val="0"/>
      <w:marTop w:val="0"/>
      <w:marBottom w:val="0"/>
      <w:divBdr>
        <w:top w:val="none" w:sz="0" w:space="0" w:color="auto"/>
        <w:left w:val="none" w:sz="0" w:space="0" w:color="auto"/>
        <w:bottom w:val="none" w:sz="0" w:space="0" w:color="auto"/>
        <w:right w:val="none" w:sz="0" w:space="0" w:color="auto"/>
      </w:divBdr>
    </w:div>
    <w:div w:id="2115663658">
      <w:bodyDiv w:val="1"/>
      <w:marLeft w:val="0"/>
      <w:marRight w:val="0"/>
      <w:marTop w:val="0"/>
      <w:marBottom w:val="0"/>
      <w:divBdr>
        <w:top w:val="none" w:sz="0" w:space="0" w:color="auto"/>
        <w:left w:val="none" w:sz="0" w:space="0" w:color="auto"/>
        <w:bottom w:val="none" w:sz="0" w:space="0" w:color="auto"/>
        <w:right w:val="none" w:sz="0" w:space="0" w:color="auto"/>
      </w:divBdr>
      <w:divsChild>
        <w:div w:id="262500574">
          <w:marLeft w:val="640"/>
          <w:marRight w:val="0"/>
          <w:marTop w:val="0"/>
          <w:marBottom w:val="0"/>
          <w:divBdr>
            <w:top w:val="none" w:sz="0" w:space="0" w:color="auto"/>
            <w:left w:val="none" w:sz="0" w:space="0" w:color="auto"/>
            <w:bottom w:val="none" w:sz="0" w:space="0" w:color="auto"/>
            <w:right w:val="none" w:sz="0" w:space="0" w:color="auto"/>
          </w:divBdr>
        </w:div>
        <w:div w:id="392509556">
          <w:marLeft w:val="640"/>
          <w:marRight w:val="0"/>
          <w:marTop w:val="0"/>
          <w:marBottom w:val="0"/>
          <w:divBdr>
            <w:top w:val="none" w:sz="0" w:space="0" w:color="auto"/>
            <w:left w:val="none" w:sz="0" w:space="0" w:color="auto"/>
            <w:bottom w:val="none" w:sz="0" w:space="0" w:color="auto"/>
            <w:right w:val="none" w:sz="0" w:space="0" w:color="auto"/>
          </w:divBdr>
        </w:div>
        <w:div w:id="1091852639">
          <w:marLeft w:val="640"/>
          <w:marRight w:val="0"/>
          <w:marTop w:val="0"/>
          <w:marBottom w:val="0"/>
          <w:divBdr>
            <w:top w:val="none" w:sz="0" w:space="0" w:color="auto"/>
            <w:left w:val="none" w:sz="0" w:space="0" w:color="auto"/>
            <w:bottom w:val="none" w:sz="0" w:space="0" w:color="auto"/>
            <w:right w:val="none" w:sz="0" w:space="0" w:color="auto"/>
          </w:divBdr>
        </w:div>
        <w:div w:id="654719743">
          <w:marLeft w:val="640"/>
          <w:marRight w:val="0"/>
          <w:marTop w:val="0"/>
          <w:marBottom w:val="0"/>
          <w:divBdr>
            <w:top w:val="none" w:sz="0" w:space="0" w:color="auto"/>
            <w:left w:val="none" w:sz="0" w:space="0" w:color="auto"/>
            <w:bottom w:val="none" w:sz="0" w:space="0" w:color="auto"/>
            <w:right w:val="none" w:sz="0" w:space="0" w:color="auto"/>
          </w:divBdr>
        </w:div>
        <w:div w:id="1534032702">
          <w:marLeft w:val="640"/>
          <w:marRight w:val="0"/>
          <w:marTop w:val="0"/>
          <w:marBottom w:val="0"/>
          <w:divBdr>
            <w:top w:val="none" w:sz="0" w:space="0" w:color="auto"/>
            <w:left w:val="none" w:sz="0" w:space="0" w:color="auto"/>
            <w:bottom w:val="none" w:sz="0" w:space="0" w:color="auto"/>
            <w:right w:val="none" w:sz="0" w:space="0" w:color="auto"/>
          </w:divBdr>
        </w:div>
        <w:div w:id="768164483">
          <w:marLeft w:val="640"/>
          <w:marRight w:val="0"/>
          <w:marTop w:val="0"/>
          <w:marBottom w:val="0"/>
          <w:divBdr>
            <w:top w:val="none" w:sz="0" w:space="0" w:color="auto"/>
            <w:left w:val="none" w:sz="0" w:space="0" w:color="auto"/>
            <w:bottom w:val="none" w:sz="0" w:space="0" w:color="auto"/>
            <w:right w:val="none" w:sz="0" w:space="0" w:color="auto"/>
          </w:divBdr>
        </w:div>
        <w:div w:id="774905961">
          <w:marLeft w:val="640"/>
          <w:marRight w:val="0"/>
          <w:marTop w:val="0"/>
          <w:marBottom w:val="0"/>
          <w:divBdr>
            <w:top w:val="none" w:sz="0" w:space="0" w:color="auto"/>
            <w:left w:val="none" w:sz="0" w:space="0" w:color="auto"/>
            <w:bottom w:val="none" w:sz="0" w:space="0" w:color="auto"/>
            <w:right w:val="none" w:sz="0" w:space="0" w:color="auto"/>
          </w:divBdr>
        </w:div>
        <w:div w:id="1964651680">
          <w:marLeft w:val="640"/>
          <w:marRight w:val="0"/>
          <w:marTop w:val="0"/>
          <w:marBottom w:val="0"/>
          <w:divBdr>
            <w:top w:val="none" w:sz="0" w:space="0" w:color="auto"/>
            <w:left w:val="none" w:sz="0" w:space="0" w:color="auto"/>
            <w:bottom w:val="none" w:sz="0" w:space="0" w:color="auto"/>
            <w:right w:val="none" w:sz="0" w:space="0" w:color="auto"/>
          </w:divBdr>
        </w:div>
        <w:div w:id="1917746457">
          <w:marLeft w:val="640"/>
          <w:marRight w:val="0"/>
          <w:marTop w:val="0"/>
          <w:marBottom w:val="0"/>
          <w:divBdr>
            <w:top w:val="none" w:sz="0" w:space="0" w:color="auto"/>
            <w:left w:val="none" w:sz="0" w:space="0" w:color="auto"/>
            <w:bottom w:val="none" w:sz="0" w:space="0" w:color="auto"/>
            <w:right w:val="none" w:sz="0" w:space="0" w:color="auto"/>
          </w:divBdr>
        </w:div>
        <w:div w:id="1391608834">
          <w:marLeft w:val="640"/>
          <w:marRight w:val="0"/>
          <w:marTop w:val="0"/>
          <w:marBottom w:val="0"/>
          <w:divBdr>
            <w:top w:val="none" w:sz="0" w:space="0" w:color="auto"/>
            <w:left w:val="none" w:sz="0" w:space="0" w:color="auto"/>
            <w:bottom w:val="none" w:sz="0" w:space="0" w:color="auto"/>
            <w:right w:val="none" w:sz="0" w:space="0" w:color="auto"/>
          </w:divBdr>
        </w:div>
        <w:div w:id="509411678">
          <w:marLeft w:val="640"/>
          <w:marRight w:val="0"/>
          <w:marTop w:val="0"/>
          <w:marBottom w:val="0"/>
          <w:divBdr>
            <w:top w:val="none" w:sz="0" w:space="0" w:color="auto"/>
            <w:left w:val="none" w:sz="0" w:space="0" w:color="auto"/>
            <w:bottom w:val="none" w:sz="0" w:space="0" w:color="auto"/>
            <w:right w:val="none" w:sz="0" w:space="0" w:color="auto"/>
          </w:divBdr>
        </w:div>
        <w:div w:id="164394973">
          <w:marLeft w:val="640"/>
          <w:marRight w:val="0"/>
          <w:marTop w:val="0"/>
          <w:marBottom w:val="0"/>
          <w:divBdr>
            <w:top w:val="none" w:sz="0" w:space="0" w:color="auto"/>
            <w:left w:val="none" w:sz="0" w:space="0" w:color="auto"/>
            <w:bottom w:val="none" w:sz="0" w:space="0" w:color="auto"/>
            <w:right w:val="none" w:sz="0" w:space="0" w:color="auto"/>
          </w:divBdr>
        </w:div>
        <w:div w:id="401487783">
          <w:marLeft w:val="640"/>
          <w:marRight w:val="0"/>
          <w:marTop w:val="0"/>
          <w:marBottom w:val="0"/>
          <w:divBdr>
            <w:top w:val="none" w:sz="0" w:space="0" w:color="auto"/>
            <w:left w:val="none" w:sz="0" w:space="0" w:color="auto"/>
            <w:bottom w:val="none" w:sz="0" w:space="0" w:color="auto"/>
            <w:right w:val="none" w:sz="0" w:space="0" w:color="auto"/>
          </w:divBdr>
        </w:div>
        <w:div w:id="314534753">
          <w:marLeft w:val="640"/>
          <w:marRight w:val="0"/>
          <w:marTop w:val="0"/>
          <w:marBottom w:val="0"/>
          <w:divBdr>
            <w:top w:val="none" w:sz="0" w:space="0" w:color="auto"/>
            <w:left w:val="none" w:sz="0" w:space="0" w:color="auto"/>
            <w:bottom w:val="none" w:sz="0" w:space="0" w:color="auto"/>
            <w:right w:val="none" w:sz="0" w:space="0" w:color="auto"/>
          </w:divBdr>
        </w:div>
        <w:div w:id="506866201">
          <w:marLeft w:val="640"/>
          <w:marRight w:val="0"/>
          <w:marTop w:val="0"/>
          <w:marBottom w:val="0"/>
          <w:divBdr>
            <w:top w:val="none" w:sz="0" w:space="0" w:color="auto"/>
            <w:left w:val="none" w:sz="0" w:space="0" w:color="auto"/>
            <w:bottom w:val="none" w:sz="0" w:space="0" w:color="auto"/>
            <w:right w:val="none" w:sz="0" w:space="0" w:color="auto"/>
          </w:divBdr>
        </w:div>
        <w:div w:id="82379756">
          <w:marLeft w:val="640"/>
          <w:marRight w:val="0"/>
          <w:marTop w:val="0"/>
          <w:marBottom w:val="0"/>
          <w:divBdr>
            <w:top w:val="none" w:sz="0" w:space="0" w:color="auto"/>
            <w:left w:val="none" w:sz="0" w:space="0" w:color="auto"/>
            <w:bottom w:val="none" w:sz="0" w:space="0" w:color="auto"/>
            <w:right w:val="none" w:sz="0" w:space="0" w:color="auto"/>
          </w:divBdr>
        </w:div>
        <w:div w:id="148913018">
          <w:marLeft w:val="640"/>
          <w:marRight w:val="0"/>
          <w:marTop w:val="0"/>
          <w:marBottom w:val="0"/>
          <w:divBdr>
            <w:top w:val="none" w:sz="0" w:space="0" w:color="auto"/>
            <w:left w:val="none" w:sz="0" w:space="0" w:color="auto"/>
            <w:bottom w:val="none" w:sz="0" w:space="0" w:color="auto"/>
            <w:right w:val="none" w:sz="0" w:space="0" w:color="auto"/>
          </w:divBdr>
        </w:div>
        <w:div w:id="1070886917">
          <w:marLeft w:val="640"/>
          <w:marRight w:val="0"/>
          <w:marTop w:val="0"/>
          <w:marBottom w:val="0"/>
          <w:divBdr>
            <w:top w:val="none" w:sz="0" w:space="0" w:color="auto"/>
            <w:left w:val="none" w:sz="0" w:space="0" w:color="auto"/>
            <w:bottom w:val="none" w:sz="0" w:space="0" w:color="auto"/>
            <w:right w:val="none" w:sz="0" w:space="0" w:color="auto"/>
          </w:divBdr>
        </w:div>
        <w:div w:id="192043263">
          <w:marLeft w:val="640"/>
          <w:marRight w:val="0"/>
          <w:marTop w:val="0"/>
          <w:marBottom w:val="0"/>
          <w:divBdr>
            <w:top w:val="none" w:sz="0" w:space="0" w:color="auto"/>
            <w:left w:val="none" w:sz="0" w:space="0" w:color="auto"/>
            <w:bottom w:val="none" w:sz="0" w:space="0" w:color="auto"/>
            <w:right w:val="none" w:sz="0" w:space="0" w:color="auto"/>
          </w:divBdr>
        </w:div>
        <w:div w:id="1346908172">
          <w:marLeft w:val="640"/>
          <w:marRight w:val="0"/>
          <w:marTop w:val="0"/>
          <w:marBottom w:val="0"/>
          <w:divBdr>
            <w:top w:val="none" w:sz="0" w:space="0" w:color="auto"/>
            <w:left w:val="none" w:sz="0" w:space="0" w:color="auto"/>
            <w:bottom w:val="none" w:sz="0" w:space="0" w:color="auto"/>
            <w:right w:val="none" w:sz="0" w:space="0" w:color="auto"/>
          </w:divBdr>
        </w:div>
        <w:div w:id="1537547704">
          <w:marLeft w:val="640"/>
          <w:marRight w:val="0"/>
          <w:marTop w:val="0"/>
          <w:marBottom w:val="0"/>
          <w:divBdr>
            <w:top w:val="none" w:sz="0" w:space="0" w:color="auto"/>
            <w:left w:val="none" w:sz="0" w:space="0" w:color="auto"/>
            <w:bottom w:val="none" w:sz="0" w:space="0" w:color="auto"/>
            <w:right w:val="none" w:sz="0" w:space="0" w:color="auto"/>
          </w:divBdr>
        </w:div>
        <w:div w:id="542443032">
          <w:marLeft w:val="640"/>
          <w:marRight w:val="0"/>
          <w:marTop w:val="0"/>
          <w:marBottom w:val="0"/>
          <w:divBdr>
            <w:top w:val="none" w:sz="0" w:space="0" w:color="auto"/>
            <w:left w:val="none" w:sz="0" w:space="0" w:color="auto"/>
            <w:bottom w:val="none" w:sz="0" w:space="0" w:color="auto"/>
            <w:right w:val="none" w:sz="0" w:space="0" w:color="auto"/>
          </w:divBdr>
        </w:div>
        <w:div w:id="1286042022">
          <w:marLeft w:val="640"/>
          <w:marRight w:val="0"/>
          <w:marTop w:val="0"/>
          <w:marBottom w:val="0"/>
          <w:divBdr>
            <w:top w:val="none" w:sz="0" w:space="0" w:color="auto"/>
            <w:left w:val="none" w:sz="0" w:space="0" w:color="auto"/>
            <w:bottom w:val="none" w:sz="0" w:space="0" w:color="auto"/>
            <w:right w:val="none" w:sz="0" w:space="0" w:color="auto"/>
          </w:divBdr>
        </w:div>
        <w:div w:id="707874826">
          <w:marLeft w:val="640"/>
          <w:marRight w:val="0"/>
          <w:marTop w:val="0"/>
          <w:marBottom w:val="0"/>
          <w:divBdr>
            <w:top w:val="none" w:sz="0" w:space="0" w:color="auto"/>
            <w:left w:val="none" w:sz="0" w:space="0" w:color="auto"/>
            <w:bottom w:val="none" w:sz="0" w:space="0" w:color="auto"/>
            <w:right w:val="none" w:sz="0" w:space="0" w:color="auto"/>
          </w:divBdr>
        </w:div>
        <w:div w:id="1001667046">
          <w:marLeft w:val="640"/>
          <w:marRight w:val="0"/>
          <w:marTop w:val="0"/>
          <w:marBottom w:val="0"/>
          <w:divBdr>
            <w:top w:val="none" w:sz="0" w:space="0" w:color="auto"/>
            <w:left w:val="none" w:sz="0" w:space="0" w:color="auto"/>
            <w:bottom w:val="none" w:sz="0" w:space="0" w:color="auto"/>
            <w:right w:val="none" w:sz="0" w:space="0" w:color="auto"/>
          </w:divBdr>
        </w:div>
        <w:div w:id="1282498905">
          <w:marLeft w:val="640"/>
          <w:marRight w:val="0"/>
          <w:marTop w:val="0"/>
          <w:marBottom w:val="0"/>
          <w:divBdr>
            <w:top w:val="none" w:sz="0" w:space="0" w:color="auto"/>
            <w:left w:val="none" w:sz="0" w:space="0" w:color="auto"/>
            <w:bottom w:val="none" w:sz="0" w:space="0" w:color="auto"/>
            <w:right w:val="none" w:sz="0" w:space="0" w:color="auto"/>
          </w:divBdr>
        </w:div>
        <w:div w:id="803936789">
          <w:marLeft w:val="640"/>
          <w:marRight w:val="0"/>
          <w:marTop w:val="0"/>
          <w:marBottom w:val="0"/>
          <w:divBdr>
            <w:top w:val="none" w:sz="0" w:space="0" w:color="auto"/>
            <w:left w:val="none" w:sz="0" w:space="0" w:color="auto"/>
            <w:bottom w:val="none" w:sz="0" w:space="0" w:color="auto"/>
            <w:right w:val="none" w:sz="0" w:space="0" w:color="auto"/>
          </w:divBdr>
        </w:div>
        <w:div w:id="562257845">
          <w:marLeft w:val="640"/>
          <w:marRight w:val="0"/>
          <w:marTop w:val="0"/>
          <w:marBottom w:val="0"/>
          <w:divBdr>
            <w:top w:val="none" w:sz="0" w:space="0" w:color="auto"/>
            <w:left w:val="none" w:sz="0" w:space="0" w:color="auto"/>
            <w:bottom w:val="none" w:sz="0" w:space="0" w:color="auto"/>
            <w:right w:val="none" w:sz="0" w:space="0" w:color="auto"/>
          </w:divBdr>
        </w:div>
        <w:div w:id="1052733500">
          <w:marLeft w:val="640"/>
          <w:marRight w:val="0"/>
          <w:marTop w:val="0"/>
          <w:marBottom w:val="0"/>
          <w:divBdr>
            <w:top w:val="none" w:sz="0" w:space="0" w:color="auto"/>
            <w:left w:val="none" w:sz="0" w:space="0" w:color="auto"/>
            <w:bottom w:val="none" w:sz="0" w:space="0" w:color="auto"/>
            <w:right w:val="none" w:sz="0" w:space="0" w:color="auto"/>
          </w:divBdr>
        </w:div>
        <w:div w:id="1622765101">
          <w:marLeft w:val="640"/>
          <w:marRight w:val="0"/>
          <w:marTop w:val="0"/>
          <w:marBottom w:val="0"/>
          <w:divBdr>
            <w:top w:val="none" w:sz="0" w:space="0" w:color="auto"/>
            <w:left w:val="none" w:sz="0" w:space="0" w:color="auto"/>
            <w:bottom w:val="none" w:sz="0" w:space="0" w:color="auto"/>
            <w:right w:val="none" w:sz="0" w:space="0" w:color="auto"/>
          </w:divBdr>
        </w:div>
        <w:div w:id="1717314129">
          <w:marLeft w:val="640"/>
          <w:marRight w:val="0"/>
          <w:marTop w:val="0"/>
          <w:marBottom w:val="0"/>
          <w:divBdr>
            <w:top w:val="none" w:sz="0" w:space="0" w:color="auto"/>
            <w:left w:val="none" w:sz="0" w:space="0" w:color="auto"/>
            <w:bottom w:val="none" w:sz="0" w:space="0" w:color="auto"/>
            <w:right w:val="none" w:sz="0" w:space="0" w:color="auto"/>
          </w:divBdr>
        </w:div>
        <w:div w:id="208227509">
          <w:marLeft w:val="640"/>
          <w:marRight w:val="0"/>
          <w:marTop w:val="0"/>
          <w:marBottom w:val="0"/>
          <w:divBdr>
            <w:top w:val="none" w:sz="0" w:space="0" w:color="auto"/>
            <w:left w:val="none" w:sz="0" w:space="0" w:color="auto"/>
            <w:bottom w:val="none" w:sz="0" w:space="0" w:color="auto"/>
            <w:right w:val="none" w:sz="0" w:space="0" w:color="auto"/>
          </w:divBdr>
        </w:div>
        <w:div w:id="1578320545">
          <w:marLeft w:val="640"/>
          <w:marRight w:val="0"/>
          <w:marTop w:val="0"/>
          <w:marBottom w:val="0"/>
          <w:divBdr>
            <w:top w:val="none" w:sz="0" w:space="0" w:color="auto"/>
            <w:left w:val="none" w:sz="0" w:space="0" w:color="auto"/>
            <w:bottom w:val="none" w:sz="0" w:space="0" w:color="auto"/>
            <w:right w:val="none" w:sz="0" w:space="0" w:color="auto"/>
          </w:divBdr>
        </w:div>
        <w:div w:id="628317396">
          <w:marLeft w:val="640"/>
          <w:marRight w:val="0"/>
          <w:marTop w:val="0"/>
          <w:marBottom w:val="0"/>
          <w:divBdr>
            <w:top w:val="none" w:sz="0" w:space="0" w:color="auto"/>
            <w:left w:val="none" w:sz="0" w:space="0" w:color="auto"/>
            <w:bottom w:val="none" w:sz="0" w:space="0" w:color="auto"/>
            <w:right w:val="none" w:sz="0" w:space="0" w:color="auto"/>
          </w:divBdr>
        </w:div>
        <w:div w:id="1705863481">
          <w:marLeft w:val="640"/>
          <w:marRight w:val="0"/>
          <w:marTop w:val="0"/>
          <w:marBottom w:val="0"/>
          <w:divBdr>
            <w:top w:val="none" w:sz="0" w:space="0" w:color="auto"/>
            <w:left w:val="none" w:sz="0" w:space="0" w:color="auto"/>
            <w:bottom w:val="none" w:sz="0" w:space="0" w:color="auto"/>
            <w:right w:val="none" w:sz="0" w:space="0" w:color="auto"/>
          </w:divBdr>
        </w:div>
        <w:div w:id="1375428292">
          <w:marLeft w:val="640"/>
          <w:marRight w:val="0"/>
          <w:marTop w:val="0"/>
          <w:marBottom w:val="0"/>
          <w:divBdr>
            <w:top w:val="none" w:sz="0" w:space="0" w:color="auto"/>
            <w:left w:val="none" w:sz="0" w:space="0" w:color="auto"/>
            <w:bottom w:val="none" w:sz="0" w:space="0" w:color="auto"/>
            <w:right w:val="none" w:sz="0" w:space="0" w:color="auto"/>
          </w:divBdr>
        </w:div>
        <w:div w:id="402220106">
          <w:marLeft w:val="640"/>
          <w:marRight w:val="0"/>
          <w:marTop w:val="0"/>
          <w:marBottom w:val="0"/>
          <w:divBdr>
            <w:top w:val="none" w:sz="0" w:space="0" w:color="auto"/>
            <w:left w:val="none" w:sz="0" w:space="0" w:color="auto"/>
            <w:bottom w:val="none" w:sz="0" w:space="0" w:color="auto"/>
            <w:right w:val="none" w:sz="0" w:space="0" w:color="auto"/>
          </w:divBdr>
        </w:div>
        <w:div w:id="265617487">
          <w:marLeft w:val="640"/>
          <w:marRight w:val="0"/>
          <w:marTop w:val="0"/>
          <w:marBottom w:val="0"/>
          <w:divBdr>
            <w:top w:val="none" w:sz="0" w:space="0" w:color="auto"/>
            <w:left w:val="none" w:sz="0" w:space="0" w:color="auto"/>
            <w:bottom w:val="none" w:sz="0" w:space="0" w:color="auto"/>
            <w:right w:val="none" w:sz="0" w:space="0" w:color="auto"/>
          </w:divBdr>
        </w:div>
        <w:div w:id="1429736762">
          <w:marLeft w:val="640"/>
          <w:marRight w:val="0"/>
          <w:marTop w:val="0"/>
          <w:marBottom w:val="0"/>
          <w:divBdr>
            <w:top w:val="none" w:sz="0" w:space="0" w:color="auto"/>
            <w:left w:val="none" w:sz="0" w:space="0" w:color="auto"/>
            <w:bottom w:val="none" w:sz="0" w:space="0" w:color="auto"/>
            <w:right w:val="none" w:sz="0" w:space="0" w:color="auto"/>
          </w:divBdr>
        </w:div>
        <w:div w:id="2002079244">
          <w:marLeft w:val="640"/>
          <w:marRight w:val="0"/>
          <w:marTop w:val="0"/>
          <w:marBottom w:val="0"/>
          <w:divBdr>
            <w:top w:val="none" w:sz="0" w:space="0" w:color="auto"/>
            <w:left w:val="none" w:sz="0" w:space="0" w:color="auto"/>
            <w:bottom w:val="none" w:sz="0" w:space="0" w:color="auto"/>
            <w:right w:val="none" w:sz="0" w:space="0" w:color="auto"/>
          </w:divBdr>
        </w:div>
        <w:div w:id="928347738">
          <w:marLeft w:val="640"/>
          <w:marRight w:val="0"/>
          <w:marTop w:val="0"/>
          <w:marBottom w:val="0"/>
          <w:divBdr>
            <w:top w:val="none" w:sz="0" w:space="0" w:color="auto"/>
            <w:left w:val="none" w:sz="0" w:space="0" w:color="auto"/>
            <w:bottom w:val="none" w:sz="0" w:space="0" w:color="auto"/>
            <w:right w:val="none" w:sz="0" w:space="0" w:color="auto"/>
          </w:divBdr>
        </w:div>
        <w:div w:id="96877590">
          <w:marLeft w:val="640"/>
          <w:marRight w:val="0"/>
          <w:marTop w:val="0"/>
          <w:marBottom w:val="0"/>
          <w:divBdr>
            <w:top w:val="none" w:sz="0" w:space="0" w:color="auto"/>
            <w:left w:val="none" w:sz="0" w:space="0" w:color="auto"/>
            <w:bottom w:val="none" w:sz="0" w:space="0" w:color="auto"/>
            <w:right w:val="none" w:sz="0" w:space="0" w:color="auto"/>
          </w:divBdr>
        </w:div>
        <w:div w:id="682588067">
          <w:marLeft w:val="640"/>
          <w:marRight w:val="0"/>
          <w:marTop w:val="0"/>
          <w:marBottom w:val="0"/>
          <w:divBdr>
            <w:top w:val="none" w:sz="0" w:space="0" w:color="auto"/>
            <w:left w:val="none" w:sz="0" w:space="0" w:color="auto"/>
            <w:bottom w:val="none" w:sz="0" w:space="0" w:color="auto"/>
            <w:right w:val="none" w:sz="0" w:space="0" w:color="auto"/>
          </w:divBdr>
        </w:div>
        <w:div w:id="1361516802">
          <w:marLeft w:val="640"/>
          <w:marRight w:val="0"/>
          <w:marTop w:val="0"/>
          <w:marBottom w:val="0"/>
          <w:divBdr>
            <w:top w:val="none" w:sz="0" w:space="0" w:color="auto"/>
            <w:left w:val="none" w:sz="0" w:space="0" w:color="auto"/>
            <w:bottom w:val="none" w:sz="0" w:space="0" w:color="auto"/>
            <w:right w:val="none" w:sz="0" w:space="0" w:color="auto"/>
          </w:divBdr>
        </w:div>
        <w:div w:id="1784152980">
          <w:marLeft w:val="640"/>
          <w:marRight w:val="0"/>
          <w:marTop w:val="0"/>
          <w:marBottom w:val="0"/>
          <w:divBdr>
            <w:top w:val="none" w:sz="0" w:space="0" w:color="auto"/>
            <w:left w:val="none" w:sz="0" w:space="0" w:color="auto"/>
            <w:bottom w:val="none" w:sz="0" w:space="0" w:color="auto"/>
            <w:right w:val="none" w:sz="0" w:space="0" w:color="auto"/>
          </w:divBdr>
        </w:div>
        <w:div w:id="1128163718">
          <w:marLeft w:val="640"/>
          <w:marRight w:val="0"/>
          <w:marTop w:val="0"/>
          <w:marBottom w:val="0"/>
          <w:divBdr>
            <w:top w:val="none" w:sz="0" w:space="0" w:color="auto"/>
            <w:left w:val="none" w:sz="0" w:space="0" w:color="auto"/>
            <w:bottom w:val="none" w:sz="0" w:space="0" w:color="auto"/>
            <w:right w:val="none" w:sz="0" w:space="0" w:color="auto"/>
          </w:divBdr>
        </w:div>
        <w:div w:id="1499541006">
          <w:marLeft w:val="640"/>
          <w:marRight w:val="0"/>
          <w:marTop w:val="0"/>
          <w:marBottom w:val="0"/>
          <w:divBdr>
            <w:top w:val="none" w:sz="0" w:space="0" w:color="auto"/>
            <w:left w:val="none" w:sz="0" w:space="0" w:color="auto"/>
            <w:bottom w:val="none" w:sz="0" w:space="0" w:color="auto"/>
            <w:right w:val="none" w:sz="0" w:space="0" w:color="auto"/>
          </w:divBdr>
        </w:div>
        <w:div w:id="1735204453">
          <w:marLeft w:val="640"/>
          <w:marRight w:val="0"/>
          <w:marTop w:val="0"/>
          <w:marBottom w:val="0"/>
          <w:divBdr>
            <w:top w:val="none" w:sz="0" w:space="0" w:color="auto"/>
            <w:left w:val="none" w:sz="0" w:space="0" w:color="auto"/>
            <w:bottom w:val="none" w:sz="0" w:space="0" w:color="auto"/>
            <w:right w:val="none" w:sz="0" w:space="0" w:color="auto"/>
          </w:divBdr>
        </w:div>
        <w:div w:id="487475677">
          <w:marLeft w:val="640"/>
          <w:marRight w:val="0"/>
          <w:marTop w:val="0"/>
          <w:marBottom w:val="0"/>
          <w:divBdr>
            <w:top w:val="none" w:sz="0" w:space="0" w:color="auto"/>
            <w:left w:val="none" w:sz="0" w:space="0" w:color="auto"/>
            <w:bottom w:val="none" w:sz="0" w:space="0" w:color="auto"/>
            <w:right w:val="none" w:sz="0" w:space="0" w:color="auto"/>
          </w:divBdr>
        </w:div>
        <w:div w:id="1090354332">
          <w:marLeft w:val="640"/>
          <w:marRight w:val="0"/>
          <w:marTop w:val="0"/>
          <w:marBottom w:val="0"/>
          <w:divBdr>
            <w:top w:val="none" w:sz="0" w:space="0" w:color="auto"/>
            <w:left w:val="none" w:sz="0" w:space="0" w:color="auto"/>
            <w:bottom w:val="none" w:sz="0" w:space="0" w:color="auto"/>
            <w:right w:val="none" w:sz="0" w:space="0" w:color="auto"/>
          </w:divBdr>
        </w:div>
        <w:div w:id="150996842">
          <w:marLeft w:val="640"/>
          <w:marRight w:val="0"/>
          <w:marTop w:val="0"/>
          <w:marBottom w:val="0"/>
          <w:divBdr>
            <w:top w:val="none" w:sz="0" w:space="0" w:color="auto"/>
            <w:left w:val="none" w:sz="0" w:space="0" w:color="auto"/>
            <w:bottom w:val="none" w:sz="0" w:space="0" w:color="auto"/>
            <w:right w:val="none" w:sz="0" w:space="0" w:color="auto"/>
          </w:divBdr>
        </w:div>
        <w:div w:id="1690637804">
          <w:marLeft w:val="640"/>
          <w:marRight w:val="0"/>
          <w:marTop w:val="0"/>
          <w:marBottom w:val="0"/>
          <w:divBdr>
            <w:top w:val="none" w:sz="0" w:space="0" w:color="auto"/>
            <w:left w:val="none" w:sz="0" w:space="0" w:color="auto"/>
            <w:bottom w:val="none" w:sz="0" w:space="0" w:color="auto"/>
            <w:right w:val="none" w:sz="0" w:space="0" w:color="auto"/>
          </w:divBdr>
        </w:div>
        <w:div w:id="309404110">
          <w:marLeft w:val="640"/>
          <w:marRight w:val="0"/>
          <w:marTop w:val="0"/>
          <w:marBottom w:val="0"/>
          <w:divBdr>
            <w:top w:val="none" w:sz="0" w:space="0" w:color="auto"/>
            <w:left w:val="none" w:sz="0" w:space="0" w:color="auto"/>
            <w:bottom w:val="none" w:sz="0" w:space="0" w:color="auto"/>
            <w:right w:val="none" w:sz="0" w:space="0" w:color="auto"/>
          </w:divBdr>
        </w:div>
        <w:div w:id="1828860244">
          <w:marLeft w:val="640"/>
          <w:marRight w:val="0"/>
          <w:marTop w:val="0"/>
          <w:marBottom w:val="0"/>
          <w:divBdr>
            <w:top w:val="none" w:sz="0" w:space="0" w:color="auto"/>
            <w:left w:val="none" w:sz="0" w:space="0" w:color="auto"/>
            <w:bottom w:val="none" w:sz="0" w:space="0" w:color="auto"/>
            <w:right w:val="none" w:sz="0" w:space="0" w:color="auto"/>
          </w:divBdr>
        </w:div>
        <w:div w:id="37515679">
          <w:marLeft w:val="640"/>
          <w:marRight w:val="0"/>
          <w:marTop w:val="0"/>
          <w:marBottom w:val="0"/>
          <w:divBdr>
            <w:top w:val="none" w:sz="0" w:space="0" w:color="auto"/>
            <w:left w:val="none" w:sz="0" w:space="0" w:color="auto"/>
            <w:bottom w:val="none" w:sz="0" w:space="0" w:color="auto"/>
            <w:right w:val="none" w:sz="0" w:space="0" w:color="auto"/>
          </w:divBdr>
        </w:div>
        <w:div w:id="424423733">
          <w:marLeft w:val="640"/>
          <w:marRight w:val="0"/>
          <w:marTop w:val="0"/>
          <w:marBottom w:val="0"/>
          <w:divBdr>
            <w:top w:val="none" w:sz="0" w:space="0" w:color="auto"/>
            <w:left w:val="none" w:sz="0" w:space="0" w:color="auto"/>
            <w:bottom w:val="none" w:sz="0" w:space="0" w:color="auto"/>
            <w:right w:val="none" w:sz="0" w:space="0" w:color="auto"/>
          </w:divBdr>
        </w:div>
        <w:div w:id="1215582958">
          <w:marLeft w:val="640"/>
          <w:marRight w:val="0"/>
          <w:marTop w:val="0"/>
          <w:marBottom w:val="0"/>
          <w:divBdr>
            <w:top w:val="none" w:sz="0" w:space="0" w:color="auto"/>
            <w:left w:val="none" w:sz="0" w:space="0" w:color="auto"/>
            <w:bottom w:val="none" w:sz="0" w:space="0" w:color="auto"/>
            <w:right w:val="none" w:sz="0" w:space="0" w:color="auto"/>
          </w:divBdr>
        </w:div>
        <w:div w:id="500849232">
          <w:marLeft w:val="640"/>
          <w:marRight w:val="0"/>
          <w:marTop w:val="0"/>
          <w:marBottom w:val="0"/>
          <w:divBdr>
            <w:top w:val="none" w:sz="0" w:space="0" w:color="auto"/>
            <w:left w:val="none" w:sz="0" w:space="0" w:color="auto"/>
            <w:bottom w:val="none" w:sz="0" w:space="0" w:color="auto"/>
            <w:right w:val="none" w:sz="0" w:space="0" w:color="auto"/>
          </w:divBdr>
        </w:div>
        <w:div w:id="1636644160">
          <w:marLeft w:val="640"/>
          <w:marRight w:val="0"/>
          <w:marTop w:val="0"/>
          <w:marBottom w:val="0"/>
          <w:divBdr>
            <w:top w:val="none" w:sz="0" w:space="0" w:color="auto"/>
            <w:left w:val="none" w:sz="0" w:space="0" w:color="auto"/>
            <w:bottom w:val="none" w:sz="0" w:space="0" w:color="auto"/>
            <w:right w:val="none" w:sz="0" w:space="0" w:color="auto"/>
          </w:divBdr>
        </w:div>
        <w:div w:id="2138719490">
          <w:marLeft w:val="640"/>
          <w:marRight w:val="0"/>
          <w:marTop w:val="0"/>
          <w:marBottom w:val="0"/>
          <w:divBdr>
            <w:top w:val="none" w:sz="0" w:space="0" w:color="auto"/>
            <w:left w:val="none" w:sz="0" w:space="0" w:color="auto"/>
            <w:bottom w:val="none" w:sz="0" w:space="0" w:color="auto"/>
            <w:right w:val="none" w:sz="0" w:space="0" w:color="auto"/>
          </w:divBdr>
        </w:div>
        <w:div w:id="2021350622">
          <w:marLeft w:val="640"/>
          <w:marRight w:val="0"/>
          <w:marTop w:val="0"/>
          <w:marBottom w:val="0"/>
          <w:divBdr>
            <w:top w:val="none" w:sz="0" w:space="0" w:color="auto"/>
            <w:left w:val="none" w:sz="0" w:space="0" w:color="auto"/>
            <w:bottom w:val="none" w:sz="0" w:space="0" w:color="auto"/>
            <w:right w:val="none" w:sz="0" w:space="0" w:color="auto"/>
          </w:divBdr>
        </w:div>
        <w:div w:id="1191530328">
          <w:marLeft w:val="640"/>
          <w:marRight w:val="0"/>
          <w:marTop w:val="0"/>
          <w:marBottom w:val="0"/>
          <w:divBdr>
            <w:top w:val="none" w:sz="0" w:space="0" w:color="auto"/>
            <w:left w:val="none" w:sz="0" w:space="0" w:color="auto"/>
            <w:bottom w:val="none" w:sz="0" w:space="0" w:color="auto"/>
            <w:right w:val="none" w:sz="0" w:space="0" w:color="auto"/>
          </w:divBdr>
        </w:div>
        <w:div w:id="2107261866">
          <w:marLeft w:val="640"/>
          <w:marRight w:val="0"/>
          <w:marTop w:val="0"/>
          <w:marBottom w:val="0"/>
          <w:divBdr>
            <w:top w:val="none" w:sz="0" w:space="0" w:color="auto"/>
            <w:left w:val="none" w:sz="0" w:space="0" w:color="auto"/>
            <w:bottom w:val="none" w:sz="0" w:space="0" w:color="auto"/>
            <w:right w:val="none" w:sz="0" w:space="0" w:color="auto"/>
          </w:divBdr>
        </w:div>
        <w:div w:id="1538201073">
          <w:marLeft w:val="640"/>
          <w:marRight w:val="0"/>
          <w:marTop w:val="0"/>
          <w:marBottom w:val="0"/>
          <w:divBdr>
            <w:top w:val="none" w:sz="0" w:space="0" w:color="auto"/>
            <w:left w:val="none" w:sz="0" w:space="0" w:color="auto"/>
            <w:bottom w:val="none" w:sz="0" w:space="0" w:color="auto"/>
            <w:right w:val="none" w:sz="0" w:space="0" w:color="auto"/>
          </w:divBdr>
        </w:div>
        <w:div w:id="1025596254">
          <w:marLeft w:val="640"/>
          <w:marRight w:val="0"/>
          <w:marTop w:val="0"/>
          <w:marBottom w:val="0"/>
          <w:divBdr>
            <w:top w:val="none" w:sz="0" w:space="0" w:color="auto"/>
            <w:left w:val="none" w:sz="0" w:space="0" w:color="auto"/>
            <w:bottom w:val="none" w:sz="0" w:space="0" w:color="auto"/>
            <w:right w:val="none" w:sz="0" w:space="0" w:color="auto"/>
          </w:divBdr>
        </w:div>
        <w:div w:id="1375160392">
          <w:marLeft w:val="640"/>
          <w:marRight w:val="0"/>
          <w:marTop w:val="0"/>
          <w:marBottom w:val="0"/>
          <w:divBdr>
            <w:top w:val="none" w:sz="0" w:space="0" w:color="auto"/>
            <w:left w:val="none" w:sz="0" w:space="0" w:color="auto"/>
            <w:bottom w:val="none" w:sz="0" w:space="0" w:color="auto"/>
            <w:right w:val="none" w:sz="0" w:space="0" w:color="auto"/>
          </w:divBdr>
        </w:div>
        <w:div w:id="584650479">
          <w:marLeft w:val="64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1.png"/><Relationship Id="rId10" Type="http://schemas.openxmlformats.org/officeDocument/2006/relationships/footer" Target="footer1.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acdb3595e9e8f36b/Desktop/CP%20Paper/Calculations_v2.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sriji\Downloads\KFold-averaged%20metrics.csv"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046795394462572"/>
          <c:y val="4.0770941438102296E-2"/>
          <c:w val="0.87614272009322247"/>
          <c:h val="0.57495490973190988"/>
        </c:manualLayout>
      </c:layout>
      <c:barChart>
        <c:barDir val="col"/>
        <c:grouping val="clustered"/>
        <c:varyColors val="0"/>
        <c:ser>
          <c:idx val="0"/>
          <c:order val="0"/>
          <c:tx>
            <c:strRef>
              <c:f>'[Calculations_v2.xlsx]Graph (1v2) (2)'!$B$1</c:f>
              <c:strCache>
                <c:ptCount val="1"/>
                <c:pt idx="0">
                  <c:v>ACEA_T47D_ 80hr_Negative</c:v>
                </c:pt>
              </c:strCache>
            </c:strRef>
          </c:tx>
          <c:spPr>
            <a:solidFill>
              <a:schemeClr val="accent1"/>
            </a:solidFill>
            <a:ln>
              <a:noFill/>
            </a:ln>
            <a:effectLst/>
          </c:spPr>
          <c:invertIfNegative val="0"/>
          <c:cat>
            <c:strRef>
              <c:f>'[Calculations_v2.xlsx]Graph (1v2) (2)'!$A$2:$A$6</c:f>
              <c:strCache>
                <c:ptCount val="5"/>
                <c:pt idx="0">
                  <c:v>CP</c:v>
                </c:pt>
                <c:pt idx="1">
                  <c:v>ErG</c:v>
                </c:pt>
                <c:pt idx="2">
                  <c:v>ErG+CP</c:v>
                </c:pt>
                <c:pt idx="3">
                  <c:v>Morgan</c:v>
                </c:pt>
                <c:pt idx="4">
                  <c:v>Morgan+CP</c:v>
                </c:pt>
              </c:strCache>
            </c:strRef>
          </c:cat>
          <c:val>
            <c:numRef>
              <c:f>'[Calculations_v2.xlsx]Graph (1v2) (2)'!$B$2:$B$6</c:f>
              <c:numCache>
                <c:formatCode>General</c:formatCode>
                <c:ptCount val="5"/>
                <c:pt idx="0">
                  <c:v>0.60457516339869199</c:v>
                </c:pt>
                <c:pt idx="1">
                  <c:v>0.53464052287581698</c:v>
                </c:pt>
                <c:pt idx="2">
                  <c:v>0.62483660130718899</c:v>
                </c:pt>
                <c:pt idx="3">
                  <c:v>0.48888888888888798</c:v>
                </c:pt>
                <c:pt idx="4">
                  <c:v>0.61372549019607803</c:v>
                </c:pt>
              </c:numCache>
            </c:numRef>
          </c:val>
          <c:extLst>
            <c:ext xmlns:c16="http://schemas.microsoft.com/office/drawing/2014/chart" uri="{C3380CC4-5D6E-409C-BE32-E72D297353CC}">
              <c16:uniqueId val="{00000000-D53F-4D69-A403-5FF09D2CC129}"/>
            </c:ext>
          </c:extLst>
        </c:ser>
        <c:ser>
          <c:idx val="1"/>
          <c:order val="1"/>
          <c:tx>
            <c:strRef>
              <c:f>'[Calculations_v2.xlsx]Graph (1v2) (2)'!$C$1</c:f>
              <c:strCache>
                <c:ptCount val="1"/>
                <c:pt idx="0">
                  <c:v>APR_HepG2_CellLoss_24h_dn</c:v>
                </c:pt>
              </c:strCache>
            </c:strRef>
          </c:tx>
          <c:spPr>
            <a:solidFill>
              <a:schemeClr val="accent2"/>
            </a:solidFill>
            <a:ln>
              <a:noFill/>
            </a:ln>
            <a:effectLst/>
          </c:spPr>
          <c:invertIfNegative val="0"/>
          <c:cat>
            <c:strRef>
              <c:f>'[Calculations_v2.xlsx]Graph (1v2) (2)'!$A$2:$A$6</c:f>
              <c:strCache>
                <c:ptCount val="5"/>
                <c:pt idx="0">
                  <c:v>CP</c:v>
                </c:pt>
                <c:pt idx="1">
                  <c:v>ErG</c:v>
                </c:pt>
                <c:pt idx="2">
                  <c:v>ErG+CP</c:v>
                </c:pt>
                <c:pt idx="3">
                  <c:v>Morgan</c:v>
                </c:pt>
                <c:pt idx="4">
                  <c:v>Morgan+CP</c:v>
                </c:pt>
              </c:strCache>
            </c:strRef>
          </c:cat>
          <c:val>
            <c:numRef>
              <c:f>'[Calculations_v2.xlsx]Graph (1v2) (2)'!$C$2:$C$6</c:f>
              <c:numCache>
                <c:formatCode>General</c:formatCode>
                <c:ptCount val="5"/>
                <c:pt idx="0">
                  <c:v>0.648484848484848</c:v>
                </c:pt>
                <c:pt idx="1">
                  <c:v>0.6</c:v>
                </c:pt>
                <c:pt idx="2">
                  <c:v>0.65151515151515105</c:v>
                </c:pt>
                <c:pt idx="3">
                  <c:v>0.57878787878787796</c:v>
                </c:pt>
                <c:pt idx="4">
                  <c:v>0.66060606060605997</c:v>
                </c:pt>
              </c:numCache>
            </c:numRef>
          </c:val>
          <c:extLst>
            <c:ext xmlns:c16="http://schemas.microsoft.com/office/drawing/2014/chart" uri="{C3380CC4-5D6E-409C-BE32-E72D297353CC}">
              <c16:uniqueId val="{00000001-D53F-4D69-A403-5FF09D2CC129}"/>
            </c:ext>
          </c:extLst>
        </c:ser>
        <c:ser>
          <c:idx val="2"/>
          <c:order val="2"/>
          <c:tx>
            <c:strRef>
              <c:f>'[Calculations_v2.xlsx]Graph (1v2) (2)'!$D$1</c:f>
              <c:strCache>
                <c:ptCount val="1"/>
                <c:pt idx="0">
                  <c:v>APR_HepG2_CellLoss_72h_dn</c:v>
                </c:pt>
              </c:strCache>
            </c:strRef>
          </c:tx>
          <c:spPr>
            <a:solidFill>
              <a:schemeClr val="accent3"/>
            </a:solidFill>
            <a:ln>
              <a:noFill/>
            </a:ln>
            <a:effectLst/>
          </c:spPr>
          <c:invertIfNegative val="0"/>
          <c:cat>
            <c:strRef>
              <c:f>'[Calculations_v2.xlsx]Graph (1v2) (2)'!$A$2:$A$6</c:f>
              <c:strCache>
                <c:ptCount val="5"/>
                <c:pt idx="0">
                  <c:v>CP</c:v>
                </c:pt>
                <c:pt idx="1">
                  <c:v>ErG</c:v>
                </c:pt>
                <c:pt idx="2">
                  <c:v>ErG+CP</c:v>
                </c:pt>
                <c:pt idx="3">
                  <c:v>Morgan</c:v>
                </c:pt>
                <c:pt idx="4">
                  <c:v>Morgan+CP</c:v>
                </c:pt>
              </c:strCache>
            </c:strRef>
          </c:cat>
          <c:val>
            <c:numRef>
              <c:f>'[Calculations_v2.xlsx]Graph (1v2) (2)'!$D$2:$D$6</c:f>
              <c:numCache>
                <c:formatCode>General</c:formatCode>
                <c:ptCount val="5"/>
                <c:pt idx="0">
                  <c:v>0.67364341085271295</c:v>
                </c:pt>
                <c:pt idx="1">
                  <c:v>0.62454780361757101</c:v>
                </c:pt>
                <c:pt idx="2">
                  <c:v>0.63979328165374605</c:v>
                </c:pt>
                <c:pt idx="3">
                  <c:v>0.75142118863049001</c:v>
                </c:pt>
                <c:pt idx="4">
                  <c:v>0.674677002583979</c:v>
                </c:pt>
              </c:numCache>
            </c:numRef>
          </c:val>
          <c:extLst>
            <c:ext xmlns:c16="http://schemas.microsoft.com/office/drawing/2014/chart" uri="{C3380CC4-5D6E-409C-BE32-E72D297353CC}">
              <c16:uniqueId val="{00000002-D53F-4D69-A403-5FF09D2CC129}"/>
            </c:ext>
          </c:extLst>
        </c:ser>
        <c:ser>
          <c:idx val="3"/>
          <c:order val="3"/>
          <c:tx>
            <c:strRef>
              <c:f>'[Calculations_v2.xlsx]Graph (1v2) (2)'!$E$1</c:f>
              <c:strCache>
                <c:ptCount val="1"/>
                <c:pt idx="0">
                  <c:v>BSK_3C_Proliferation_down</c:v>
                </c:pt>
              </c:strCache>
            </c:strRef>
          </c:tx>
          <c:spPr>
            <a:solidFill>
              <a:schemeClr val="accent4"/>
            </a:solidFill>
            <a:ln>
              <a:noFill/>
            </a:ln>
            <a:effectLst/>
          </c:spPr>
          <c:invertIfNegative val="0"/>
          <c:cat>
            <c:strRef>
              <c:f>'[Calculations_v2.xlsx]Graph (1v2) (2)'!$A$2:$A$6</c:f>
              <c:strCache>
                <c:ptCount val="5"/>
                <c:pt idx="0">
                  <c:v>CP</c:v>
                </c:pt>
                <c:pt idx="1">
                  <c:v>ErG</c:v>
                </c:pt>
                <c:pt idx="2">
                  <c:v>ErG+CP</c:v>
                </c:pt>
                <c:pt idx="3">
                  <c:v>Morgan</c:v>
                </c:pt>
                <c:pt idx="4">
                  <c:v>Morgan+CP</c:v>
                </c:pt>
              </c:strCache>
            </c:strRef>
          </c:cat>
          <c:val>
            <c:numRef>
              <c:f>'[Calculations_v2.xlsx]Graph (1v2) (2)'!$E$2:$E$6</c:f>
              <c:numCache>
                <c:formatCode>General</c:formatCode>
                <c:ptCount val="5"/>
                <c:pt idx="0">
                  <c:v>0.59615384615384603</c:v>
                </c:pt>
                <c:pt idx="1">
                  <c:v>0.66951566951566899</c:v>
                </c:pt>
                <c:pt idx="2">
                  <c:v>0.72756410256410198</c:v>
                </c:pt>
                <c:pt idx="3">
                  <c:v>0.64209401709401703</c:v>
                </c:pt>
                <c:pt idx="4">
                  <c:v>0.61538461538461497</c:v>
                </c:pt>
              </c:numCache>
            </c:numRef>
          </c:val>
          <c:extLst>
            <c:ext xmlns:c16="http://schemas.microsoft.com/office/drawing/2014/chart" uri="{C3380CC4-5D6E-409C-BE32-E72D297353CC}">
              <c16:uniqueId val="{00000003-D53F-4D69-A403-5FF09D2CC129}"/>
            </c:ext>
          </c:extLst>
        </c:ser>
        <c:ser>
          <c:idx val="4"/>
          <c:order val="4"/>
          <c:tx>
            <c:strRef>
              <c:f>'[Calculations_v2.xlsx]Graph (1v2) (2)'!$F$1</c:f>
              <c:strCache>
                <c:ptCount val="1"/>
                <c:pt idx="0">
                  <c:v>BSK_3C_SRB_down</c:v>
                </c:pt>
              </c:strCache>
            </c:strRef>
          </c:tx>
          <c:spPr>
            <a:solidFill>
              <a:schemeClr val="accent5"/>
            </a:solidFill>
            <a:ln>
              <a:noFill/>
            </a:ln>
            <a:effectLst/>
          </c:spPr>
          <c:invertIfNegative val="0"/>
          <c:cat>
            <c:strRef>
              <c:f>'[Calculations_v2.xlsx]Graph (1v2) (2)'!$A$2:$A$6</c:f>
              <c:strCache>
                <c:ptCount val="5"/>
                <c:pt idx="0">
                  <c:v>CP</c:v>
                </c:pt>
                <c:pt idx="1">
                  <c:v>ErG</c:v>
                </c:pt>
                <c:pt idx="2">
                  <c:v>ErG+CP</c:v>
                </c:pt>
                <c:pt idx="3">
                  <c:v>Morgan</c:v>
                </c:pt>
                <c:pt idx="4">
                  <c:v>Morgan+CP</c:v>
                </c:pt>
              </c:strCache>
            </c:strRef>
          </c:cat>
          <c:val>
            <c:numRef>
              <c:f>'[Calculations_v2.xlsx]Graph (1v2) (2)'!$F$2:$F$6</c:f>
              <c:numCache>
                <c:formatCode>General</c:formatCode>
                <c:ptCount val="5"/>
                <c:pt idx="0">
                  <c:v>0.58051001821493597</c:v>
                </c:pt>
                <c:pt idx="1">
                  <c:v>0.52786885245901605</c:v>
                </c:pt>
                <c:pt idx="2">
                  <c:v>0.58816029143897997</c:v>
                </c:pt>
                <c:pt idx="3">
                  <c:v>0.48816029143897899</c:v>
                </c:pt>
                <c:pt idx="4">
                  <c:v>0.56010928961748596</c:v>
                </c:pt>
              </c:numCache>
            </c:numRef>
          </c:val>
          <c:extLst>
            <c:ext xmlns:c16="http://schemas.microsoft.com/office/drawing/2014/chart" uri="{C3380CC4-5D6E-409C-BE32-E72D297353CC}">
              <c16:uniqueId val="{00000004-D53F-4D69-A403-5FF09D2CC129}"/>
            </c:ext>
          </c:extLst>
        </c:ser>
        <c:ser>
          <c:idx val="5"/>
          <c:order val="5"/>
          <c:tx>
            <c:strRef>
              <c:f>'[Calculations_v2.xlsx]Graph (1v2) (2)'!$G$1</c:f>
              <c:strCache>
                <c:ptCount val="1"/>
                <c:pt idx="0">
                  <c:v>BSK_3C_Vis_down</c:v>
                </c:pt>
              </c:strCache>
            </c:strRef>
          </c:tx>
          <c:spPr>
            <a:solidFill>
              <a:schemeClr val="accent6"/>
            </a:solidFill>
            <a:ln>
              <a:noFill/>
            </a:ln>
            <a:effectLst/>
          </c:spPr>
          <c:invertIfNegative val="0"/>
          <c:cat>
            <c:strRef>
              <c:f>'[Calculations_v2.xlsx]Graph (1v2) (2)'!$A$2:$A$6</c:f>
              <c:strCache>
                <c:ptCount val="5"/>
                <c:pt idx="0">
                  <c:v>CP</c:v>
                </c:pt>
                <c:pt idx="1">
                  <c:v>ErG</c:v>
                </c:pt>
                <c:pt idx="2">
                  <c:v>ErG+CP</c:v>
                </c:pt>
                <c:pt idx="3">
                  <c:v>Morgan</c:v>
                </c:pt>
                <c:pt idx="4">
                  <c:v>Morgan+CP</c:v>
                </c:pt>
              </c:strCache>
            </c:strRef>
          </c:cat>
          <c:val>
            <c:numRef>
              <c:f>'[Calculations_v2.xlsx]Graph (1v2) (2)'!$G$2:$G$6</c:f>
              <c:numCache>
                <c:formatCode>General</c:formatCode>
                <c:ptCount val="5"/>
                <c:pt idx="0">
                  <c:v>0.70675422138836697</c:v>
                </c:pt>
                <c:pt idx="1">
                  <c:v>0.58930581613508404</c:v>
                </c:pt>
                <c:pt idx="2">
                  <c:v>0.64258911819887399</c:v>
                </c:pt>
                <c:pt idx="3">
                  <c:v>0.56622889305816104</c:v>
                </c:pt>
                <c:pt idx="4">
                  <c:v>0.67786116322701695</c:v>
                </c:pt>
              </c:numCache>
            </c:numRef>
          </c:val>
          <c:extLst>
            <c:ext xmlns:c16="http://schemas.microsoft.com/office/drawing/2014/chart" uri="{C3380CC4-5D6E-409C-BE32-E72D297353CC}">
              <c16:uniqueId val="{00000005-D53F-4D69-A403-5FF09D2CC129}"/>
            </c:ext>
          </c:extLst>
        </c:ser>
        <c:ser>
          <c:idx val="6"/>
          <c:order val="6"/>
          <c:tx>
            <c:strRef>
              <c:f>'[Calculations_v2.xlsx]Graph (1v2) (2)'!$H$1</c:f>
              <c:strCache>
                <c:ptCount val="1"/>
                <c:pt idx="0">
                  <c:v>BSK_4H_SRB_down</c:v>
                </c:pt>
              </c:strCache>
            </c:strRef>
          </c:tx>
          <c:spPr>
            <a:solidFill>
              <a:schemeClr val="accent1">
                <a:lumMod val="60000"/>
              </a:schemeClr>
            </a:solidFill>
            <a:ln>
              <a:noFill/>
            </a:ln>
            <a:effectLst/>
          </c:spPr>
          <c:invertIfNegative val="0"/>
          <c:cat>
            <c:strRef>
              <c:f>'[Calculations_v2.xlsx]Graph (1v2) (2)'!$A$2:$A$6</c:f>
              <c:strCache>
                <c:ptCount val="5"/>
                <c:pt idx="0">
                  <c:v>CP</c:v>
                </c:pt>
                <c:pt idx="1">
                  <c:v>ErG</c:v>
                </c:pt>
                <c:pt idx="2">
                  <c:v>ErG+CP</c:v>
                </c:pt>
                <c:pt idx="3">
                  <c:v>Morgan</c:v>
                </c:pt>
                <c:pt idx="4">
                  <c:v>Morgan+CP</c:v>
                </c:pt>
              </c:strCache>
            </c:strRef>
          </c:cat>
          <c:val>
            <c:numRef>
              <c:f>'[Calculations_v2.xlsx]Graph (1v2) (2)'!$H$2:$H$6</c:f>
              <c:numCache>
                <c:formatCode>General</c:formatCode>
                <c:ptCount val="5"/>
                <c:pt idx="0">
                  <c:v>0.664215686274509</c:v>
                </c:pt>
                <c:pt idx="1">
                  <c:v>0.59763071895424802</c:v>
                </c:pt>
                <c:pt idx="2">
                  <c:v>0.68586601307189499</c:v>
                </c:pt>
                <c:pt idx="3">
                  <c:v>0.473856209150326</c:v>
                </c:pt>
                <c:pt idx="4">
                  <c:v>0.65645424836601296</c:v>
                </c:pt>
              </c:numCache>
            </c:numRef>
          </c:val>
          <c:extLst>
            <c:ext xmlns:c16="http://schemas.microsoft.com/office/drawing/2014/chart" uri="{C3380CC4-5D6E-409C-BE32-E72D297353CC}">
              <c16:uniqueId val="{00000006-D53F-4D69-A403-5FF09D2CC129}"/>
            </c:ext>
          </c:extLst>
        </c:ser>
        <c:ser>
          <c:idx val="7"/>
          <c:order val="7"/>
          <c:tx>
            <c:strRef>
              <c:f>'[Calculations_v2.xlsx]Graph (1v2) (2)'!$I$1</c:f>
              <c:strCache>
                <c:ptCount val="1"/>
                <c:pt idx="0">
                  <c:v>BSK_CASM3C_Proliferation_down</c:v>
                </c:pt>
              </c:strCache>
            </c:strRef>
          </c:tx>
          <c:spPr>
            <a:solidFill>
              <a:schemeClr val="accent2">
                <a:lumMod val="60000"/>
              </a:schemeClr>
            </a:solidFill>
            <a:ln>
              <a:noFill/>
            </a:ln>
            <a:effectLst/>
          </c:spPr>
          <c:invertIfNegative val="0"/>
          <c:cat>
            <c:strRef>
              <c:f>'[Calculations_v2.xlsx]Graph (1v2) (2)'!$A$2:$A$6</c:f>
              <c:strCache>
                <c:ptCount val="5"/>
                <c:pt idx="0">
                  <c:v>CP</c:v>
                </c:pt>
                <c:pt idx="1">
                  <c:v>ErG</c:v>
                </c:pt>
                <c:pt idx="2">
                  <c:v>ErG+CP</c:v>
                </c:pt>
                <c:pt idx="3">
                  <c:v>Morgan</c:v>
                </c:pt>
                <c:pt idx="4">
                  <c:v>Morgan+CP</c:v>
                </c:pt>
              </c:strCache>
            </c:strRef>
          </c:cat>
          <c:val>
            <c:numRef>
              <c:f>'[Calculations_v2.xlsx]Graph (1v2) (2)'!$I$2:$I$6</c:f>
              <c:numCache>
                <c:formatCode>General</c:formatCode>
                <c:ptCount val="5"/>
                <c:pt idx="0">
                  <c:v>0.60198412698412695</c:v>
                </c:pt>
                <c:pt idx="1">
                  <c:v>0.69880952380952299</c:v>
                </c:pt>
                <c:pt idx="2">
                  <c:v>0.60912698412698396</c:v>
                </c:pt>
                <c:pt idx="3">
                  <c:v>0.50436507936507902</c:v>
                </c:pt>
                <c:pt idx="4">
                  <c:v>0.61626984126984097</c:v>
                </c:pt>
              </c:numCache>
            </c:numRef>
          </c:val>
          <c:extLst>
            <c:ext xmlns:c16="http://schemas.microsoft.com/office/drawing/2014/chart" uri="{C3380CC4-5D6E-409C-BE32-E72D297353CC}">
              <c16:uniqueId val="{00000007-D53F-4D69-A403-5FF09D2CC129}"/>
            </c:ext>
          </c:extLst>
        </c:ser>
        <c:ser>
          <c:idx val="8"/>
          <c:order val="8"/>
          <c:tx>
            <c:strRef>
              <c:f>'[Calculations_v2.xlsx]Graph (1v2) (2)'!$J$1</c:f>
              <c:strCache>
                <c:ptCount val="1"/>
                <c:pt idx="0">
                  <c:v>BSK_hDFCGF_Proliferation_down</c:v>
                </c:pt>
              </c:strCache>
            </c:strRef>
          </c:tx>
          <c:spPr>
            <a:solidFill>
              <a:schemeClr val="accent3">
                <a:lumMod val="60000"/>
              </a:schemeClr>
            </a:solidFill>
            <a:ln>
              <a:noFill/>
            </a:ln>
            <a:effectLst/>
          </c:spPr>
          <c:invertIfNegative val="0"/>
          <c:cat>
            <c:strRef>
              <c:f>'[Calculations_v2.xlsx]Graph (1v2) (2)'!$A$2:$A$6</c:f>
              <c:strCache>
                <c:ptCount val="5"/>
                <c:pt idx="0">
                  <c:v>CP</c:v>
                </c:pt>
                <c:pt idx="1">
                  <c:v>ErG</c:v>
                </c:pt>
                <c:pt idx="2">
                  <c:v>ErG+CP</c:v>
                </c:pt>
                <c:pt idx="3">
                  <c:v>Morgan</c:v>
                </c:pt>
                <c:pt idx="4">
                  <c:v>Morgan+CP</c:v>
                </c:pt>
              </c:strCache>
            </c:strRef>
          </c:cat>
          <c:val>
            <c:numRef>
              <c:f>'[Calculations_v2.xlsx]Graph (1v2) (2)'!$J$2:$J$6</c:f>
              <c:numCache>
                <c:formatCode>General</c:formatCode>
                <c:ptCount val="5"/>
                <c:pt idx="0">
                  <c:v>0.60464285714285704</c:v>
                </c:pt>
                <c:pt idx="1">
                  <c:v>0.70964285714285702</c:v>
                </c:pt>
                <c:pt idx="2">
                  <c:v>0.60571428571428498</c:v>
                </c:pt>
                <c:pt idx="3">
                  <c:v>0.688214285714285</c:v>
                </c:pt>
                <c:pt idx="4">
                  <c:v>0.63357142857142801</c:v>
                </c:pt>
              </c:numCache>
            </c:numRef>
          </c:val>
          <c:extLst>
            <c:ext xmlns:c16="http://schemas.microsoft.com/office/drawing/2014/chart" uri="{C3380CC4-5D6E-409C-BE32-E72D297353CC}">
              <c16:uniqueId val="{00000008-D53F-4D69-A403-5FF09D2CC129}"/>
            </c:ext>
          </c:extLst>
        </c:ser>
        <c:ser>
          <c:idx val="9"/>
          <c:order val="9"/>
          <c:tx>
            <c:strRef>
              <c:f>'[Calculations_v2.xlsx]Graph (1v2) (2)'!$K$1</c:f>
              <c:strCache>
                <c:ptCount val="1"/>
                <c:pt idx="0">
                  <c:v>BSK_LPS_SRB_down</c:v>
                </c:pt>
              </c:strCache>
            </c:strRef>
          </c:tx>
          <c:spPr>
            <a:solidFill>
              <a:schemeClr val="accent4">
                <a:lumMod val="60000"/>
              </a:schemeClr>
            </a:solidFill>
            <a:ln>
              <a:noFill/>
            </a:ln>
            <a:effectLst/>
          </c:spPr>
          <c:invertIfNegative val="0"/>
          <c:cat>
            <c:strRef>
              <c:f>'[Calculations_v2.xlsx]Graph (1v2) (2)'!$A$2:$A$6</c:f>
              <c:strCache>
                <c:ptCount val="5"/>
                <c:pt idx="0">
                  <c:v>CP</c:v>
                </c:pt>
                <c:pt idx="1">
                  <c:v>ErG</c:v>
                </c:pt>
                <c:pt idx="2">
                  <c:v>ErG+CP</c:v>
                </c:pt>
                <c:pt idx="3">
                  <c:v>Morgan</c:v>
                </c:pt>
                <c:pt idx="4">
                  <c:v>Morgan+CP</c:v>
                </c:pt>
              </c:strCache>
            </c:strRef>
          </c:cat>
          <c:val>
            <c:numRef>
              <c:f>'[Calculations_v2.xlsx]Graph (1v2) (2)'!$K$2:$K$6</c:f>
              <c:numCache>
                <c:formatCode>General</c:formatCode>
                <c:ptCount val="5"/>
                <c:pt idx="0">
                  <c:v>0.66150019135093696</c:v>
                </c:pt>
                <c:pt idx="1">
                  <c:v>0.63911213164944403</c:v>
                </c:pt>
                <c:pt idx="2">
                  <c:v>0.659395331037122</c:v>
                </c:pt>
                <c:pt idx="3">
                  <c:v>0.48411787217757302</c:v>
                </c:pt>
                <c:pt idx="4">
                  <c:v>0.65614236509758805</c:v>
                </c:pt>
              </c:numCache>
            </c:numRef>
          </c:val>
          <c:extLst>
            <c:ext xmlns:c16="http://schemas.microsoft.com/office/drawing/2014/chart" uri="{C3380CC4-5D6E-409C-BE32-E72D297353CC}">
              <c16:uniqueId val="{00000009-D53F-4D69-A403-5FF09D2CC129}"/>
            </c:ext>
          </c:extLst>
        </c:ser>
        <c:ser>
          <c:idx val="10"/>
          <c:order val="10"/>
          <c:tx>
            <c:strRef>
              <c:f>'[Calculations_v2.xlsx]Graph (1v2) (2)'!$L$1</c:f>
              <c:strCache>
                <c:ptCount val="1"/>
                <c:pt idx="0">
                  <c:v>BSK_SAg_Proliferation_down</c:v>
                </c:pt>
              </c:strCache>
            </c:strRef>
          </c:tx>
          <c:spPr>
            <a:solidFill>
              <a:schemeClr val="accent5">
                <a:lumMod val="60000"/>
              </a:schemeClr>
            </a:solidFill>
            <a:ln>
              <a:noFill/>
            </a:ln>
            <a:effectLst/>
          </c:spPr>
          <c:invertIfNegative val="0"/>
          <c:cat>
            <c:strRef>
              <c:f>'[Calculations_v2.xlsx]Graph (1v2) (2)'!$A$2:$A$6</c:f>
              <c:strCache>
                <c:ptCount val="5"/>
                <c:pt idx="0">
                  <c:v>CP</c:v>
                </c:pt>
                <c:pt idx="1">
                  <c:v>ErG</c:v>
                </c:pt>
                <c:pt idx="2">
                  <c:v>ErG+CP</c:v>
                </c:pt>
                <c:pt idx="3">
                  <c:v>Morgan</c:v>
                </c:pt>
                <c:pt idx="4">
                  <c:v>Morgan+CP</c:v>
                </c:pt>
              </c:strCache>
            </c:strRef>
          </c:cat>
          <c:val>
            <c:numRef>
              <c:f>'[Calculations_v2.xlsx]Graph (1v2) (2)'!$L$2:$L$6</c:f>
              <c:numCache>
                <c:formatCode>General</c:formatCode>
                <c:ptCount val="5"/>
                <c:pt idx="0">
                  <c:v>0.57040229885057403</c:v>
                </c:pt>
                <c:pt idx="1">
                  <c:v>0.60524425287356298</c:v>
                </c:pt>
                <c:pt idx="2">
                  <c:v>0.59985632183908</c:v>
                </c:pt>
                <c:pt idx="3">
                  <c:v>0.58117816091954</c:v>
                </c:pt>
                <c:pt idx="4">
                  <c:v>0.56860632183908</c:v>
                </c:pt>
              </c:numCache>
            </c:numRef>
          </c:val>
          <c:extLst>
            <c:ext xmlns:c16="http://schemas.microsoft.com/office/drawing/2014/chart" uri="{C3380CC4-5D6E-409C-BE32-E72D297353CC}">
              <c16:uniqueId val="{0000000A-D53F-4D69-A403-5FF09D2CC129}"/>
            </c:ext>
          </c:extLst>
        </c:ser>
        <c:ser>
          <c:idx val="11"/>
          <c:order val="11"/>
          <c:tx>
            <c:strRef>
              <c:f>'[Calculations_v2.xlsx]Graph (1v2) (2)'!$M$1</c:f>
              <c:strCache>
                <c:ptCount val="1"/>
                <c:pt idx="0">
                  <c:v>BSK_SAg_SRB_down</c:v>
                </c:pt>
              </c:strCache>
            </c:strRef>
          </c:tx>
          <c:spPr>
            <a:solidFill>
              <a:schemeClr val="accent6">
                <a:lumMod val="60000"/>
              </a:schemeClr>
            </a:solidFill>
            <a:ln>
              <a:noFill/>
            </a:ln>
            <a:effectLst/>
          </c:spPr>
          <c:invertIfNegative val="0"/>
          <c:cat>
            <c:strRef>
              <c:f>'[Calculations_v2.xlsx]Graph (1v2) (2)'!$A$2:$A$6</c:f>
              <c:strCache>
                <c:ptCount val="5"/>
                <c:pt idx="0">
                  <c:v>CP</c:v>
                </c:pt>
                <c:pt idx="1">
                  <c:v>ErG</c:v>
                </c:pt>
                <c:pt idx="2">
                  <c:v>ErG+CP</c:v>
                </c:pt>
                <c:pt idx="3">
                  <c:v>Morgan</c:v>
                </c:pt>
                <c:pt idx="4">
                  <c:v>Morgan+CP</c:v>
                </c:pt>
              </c:strCache>
            </c:strRef>
          </c:cat>
          <c:val>
            <c:numRef>
              <c:f>'[Calculations_v2.xlsx]Graph (1v2) (2)'!$M$2:$M$6</c:f>
              <c:numCache>
                <c:formatCode>0.00</c:formatCode>
                <c:ptCount val="5"/>
                <c:pt idx="0">
                  <c:v>0.58134920634920595</c:v>
                </c:pt>
                <c:pt idx="1">
                  <c:v>0.588095238095238</c:v>
                </c:pt>
                <c:pt idx="2">
                  <c:v>0.61626984126984097</c:v>
                </c:pt>
                <c:pt idx="3">
                  <c:v>0.51825396825396797</c:v>
                </c:pt>
                <c:pt idx="4">
                  <c:v>0.588095238095238</c:v>
                </c:pt>
              </c:numCache>
            </c:numRef>
          </c:val>
          <c:extLst>
            <c:ext xmlns:c16="http://schemas.microsoft.com/office/drawing/2014/chart" uri="{C3380CC4-5D6E-409C-BE32-E72D297353CC}">
              <c16:uniqueId val="{0000000B-D53F-4D69-A403-5FF09D2CC129}"/>
            </c:ext>
          </c:extLst>
        </c:ser>
        <c:dLbls>
          <c:showLegendKey val="0"/>
          <c:showVal val="0"/>
          <c:showCatName val="0"/>
          <c:showSerName val="0"/>
          <c:showPercent val="0"/>
          <c:showBubbleSize val="0"/>
        </c:dLbls>
        <c:gapWidth val="219"/>
        <c:overlap val="-27"/>
        <c:axId val="1553094064"/>
        <c:axId val="1599146576"/>
      </c:barChart>
      <c:catAx>
        <c:axId val="15530940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Descriptors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9146576"/>
        <c:crosses val="autoZero"/>
        <c:auto val="1"/>
        <c:lblAlgn val="ctr"/>
        <c:lblOffset val="100"/>
        <c:noMultiLvlLbl val="0"/>
      </c:catAx>
      <c:valAx>
        <c:axId val="1599146576"/>
        <c:scaling>
          <c:orientation val="minMax"/>
          <c:max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Balanced Accuracy</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53094064"/>
        <c:crosses val="autoZero"/>
        <c:crossBetween val="between"/>
      </c:valAx>
      <c:spPr>
        <a:noFill/>
        <a:ln>
          <a:noFill/>
        </a:ln>
        <a:effectLst/>
      </c:spPr>
    </c:plotArea>
    <c:legend>
      <c:legendPos val="b"/>
      <c:layout>
        <c:manualLayout>
          <c:xMode val="edge"/>
          <c:yMode val="edge"/>
          <c:x val="1.2819761552769962E-2"/>
          <c:y val="0.74352422033235477"/>
          <c:w val="0.96798156981387318"/>
          <c:h val="0.2342370843377713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938898494920708"/>
          <c:y val="4.4934640522875817E-2"/>
          <c:w val="0.86758401065472845"/>
          <c:h val="0.5683122330296948"/>
        </c:manualLayout>
      </c:layout>
      <c:barChart>
        <c:barDir val="col"/>
        <c:grouping val="clustered"/>
        <c:varyColors val="0"/>
        <c:ser>
          <c:idx val="0"/>
          <c:order val="0"/>
          <c:tx>
            <c:strRef>
              <c:f>'Graph (2v2)'!$B$1</c:f>
              <c:strCache>
                <c:ptCount val="1"/>
                <c:pt idx="0">
                  <c:v>ACEA_T47D_ 80hr_Negative</c:v>
                </c:pt>
              </c:strCache>
            </c:strRef>
          </c:tx>
          <c:spPr>
            <a:solidFill>
              <a:schemeClr val="accent1"/>
            </a:solidFill>
            <a:ln>
              <a:noFill/>
            </a:ln>
            <a:effectLst/>
          </c:spPr>
          <c:invertIfNegative val="0"/>
          <c:errBars>
            <c:errBarType val="both"/>
            <c:errValType val="cust"/>
            <c:noEndCap val="0"/>
            <c:plus>
              <c:numRef>
                <c:f>'Graph (2v2)'!$B$18:$B$22</c:f>
                <c:numCache>
                  <c:formatCode>General</c:formatCode>
                  <c:ptCount val="5"/>
                  <c:pt idx="0">
                    <c:v>0.06</c:v>
                  </c:pt>
                  <c:pt idx="1">
                    <c:v>0</c:v>
                  </c:pt>
                  <c:pt idx="2">
                    <c:v>0.04</c:v>
                  </c:pt>
                  <c:pt idx="3">
                    <c:v>0.09</c:v>
                  </c:pt>
                  <c:pt idx="4">
                    <c:v>0.08</c:v>
                  </c:pt>
                </c:numCache>
              </c:numRef>
            </c:plus>
            <c:minus>
              <c:numRef>
                <c:f>'Graph (2v2)'!$B$18:$B$22</c:f>
                <c:numCache>
                  <c:formatCode>General</c:formatCode>
                  <c:ptCount val="5"/>
                  <c:pt idx="0">
                    <c:v>0.06</c:v>
                  </c:pt>
                  <c:pt idx="1">
                    <c:v>0</c:v>
                  </c:pt>
                  <c:pt idx="2">
                    <c:v>0.04</c:v>
                  </c:pt>
                  <c:pt idx="3">
                    <c:v>0.09</c:v>
                  </c:pt>
                  <c:pt idx="4">
                    <c:v>0.08</c:v>
                  </c:pt>
                </c:numCache>
              </c:numRef>
            </c:minus>
            <c:spPr>
              <a:noFill/>
              <a:ln w="9525" cap="flat" cmpd="sng" algn="ctr">
                <a:solidFill>
                  <a:schemeClr val="tx1">
                    <a:lumMod val="65000"/>
                    <a:lumOff val="35000"/>
                  </a:schemeClr>
                </a:solidFill>
                <a:round/>
              </a:ln>
              <a:effectLst/>
            </c:spPr>
          </c:errBars>
          <c:cat>
            <c:strRef>
              <c:f>'Graph (2v2)'!$A$2:$A$6</c:f>
              <c:strCache>
                <c:ptCount val="5"/>
                <c:pt idx="0">
                  <c:v>CP</c:v>
                </c:pt>
                <c:pt idx="1">
                  <c:v>ErG</c:v>
                </c:pt>
                <c:pt idx="2">
                  <c:v>ErG+CP</c:v>
                </c:pt>
                <c:pt idx="3">
                  <c:v>Morgan</c:v>
                </c:pt>
                <c:pt idx="4">
                  <c:v>Morgan+CP</c:v>
                </c:pt>
              </c:strCache>
            </c:strRef>
          </c:cat>
          <c:val>
            <c:numRef>
              <c:f>'Graph (2v2)'!$B$2:$B$6</c:f>
              <c:numCache>
                <c:formatCode>0.00</c:formatCode>
                <c:ptCount val="5"/>
                <c:pt idx="0">
                  <c:v>0.63</c:v>
                </c:pt>
                <c:pt idx="1">
                  <c:v>0.5</c:v>
                </c:pt>
                <c:pt idx="2">
                  <c:v>0.61</c:v>
                </c:pt>
                <c:pt idx="3">
                  <c:v>0.45</c:v>
                </c:pt>
                <c:pt idx="4">
                  <c:v>0.63</c:v>
                </c:pt>
              </c:numCache>
            </c:numRef>
          </c:val>
          <c:extLst>
            <c:ext xmlns:c16="http://schemas.microsoft.com/office/drawing/2014/chart" uri="{C3380CC4-5D6E-409C-BE32-E72D297353CC}">
              <c16:uniqueId val="{00000000-07F5-4055-9D76-7D8FB76AA443}"/>
            </c:ext>
          </c:extLst>
        </c:ser>
        <c:ser>
          <c:idx val="1"/>
          <c:order val="1"/>
          <c:tx>
            <c:strRef>
              <c:f>'Graph (2v2)'!$C$1</c:f>
              <c:strCache>
                <c:ptCount val="1"/>
                <c:pt idx="0">
                  <c:v>APR_HepG2_CellLoss_24h_dn</c:v>
                </c:pt>
              </c:strCache>
            </c:strRef>
          </c:tx>
          <c:spPr>
            <a:solidFill>
              <a:schemeClr val="accent2"/>
            </a:solidFill>
            <a:ln>
              <a:noFill/>
            </a:ln>
            <a:effectLst/>
          </c:spPr>
          <c:invertIfNegative val="0"/>
          <c:errBars>
            <c:errBarType val="both"/>
            <c:errValType val="cust"/>
            <c:noEndCap val="0"/>
            <c:plus>
              <c:numRef>
                <c:f>'Graph (2v2)'!$C$18:$C$22</c:f>
                <c:numCache>
                  <c:formatCode>General</c:formatCode>
                  <c:ptCount val="5"/>
                  <c:pt idx="0">
                    <c:v>0.17</c:v>
                  </c:pt>
                  <c:pt idx="1">
                    <c:v>7.0000000000000007E-2</c:v>
                  </c:pt>
                  <c:pt idx="2">
                    <c:v>0.11</c:v>
                  </c:pt>
                  <c:pt idx="3">
                    <c:v>0.04</c:v>
                  </c:pt>
                  <c:pt idx="4">
                    <c:v>0.17</c:v>
                  </c:pt>
                </c:numCache>
              </c:numRef>
            </c:plus>
            <c:minus>
              <c:numRef>
                <c:f>'Graph (2v2)'!$C$18:$C$22</c:f>
                <c:numCache>
                  <c:formatCode>General</c:formatCode>
                  <c:ptCount val="5"/>
                  <c:pt idx="0">
                    <c:v>0.17</c:v>
                  </c:pt>
                  <c:pt idx="1">
                    <c:v>7.0000000000000007E-2</c:v>
                  </c:pt>
                  <c:pt idx="2">
                    <c:v>0.11</c:v>
                  </c:pt>
                  <c:pt idx="3">
                    <c:v>0.04</c:v>
                  </c:pt>
                  <c:pt idx="4">
                    <c:v>0.17</c:v>
                  </c:pt>
                </c:numCache>
              </c:numRef>
            </c:minus>
            <c:spPr>
              <a:noFill/>
              <a:ln w="9525" cap="flat" cmpd="sng" algn="ctr">
                <a:solidFill>
                  <a:schemeClr val="tx1">
                    <a:lumMod val="65000"/>
                    <a:lumOff val="35000"/>
                  </a:schemeClr>
                </a:solidFill>
                <a:round/>
              </a:ln>
              <a:effectLst/>
            </c:spPr>
          </c:errBars>
          <c:cat>
            <c:strRef>
              <c:f>'Graph (2v2)'!$A$2:$A$6</c:f>
              <c:strCache>
                <c:ptCount val="5"/>
                <c:pt idx="0">
                  <c:v>CP</c:v>
                </c:pt>
                <c:pt idx="1">
                  <c:v>ErG</c:v>
                </c:pt>
                <c:pt idx="2">
                  <c:v>ErG+CP</c:v>
                </c:pt>
                <c:pt idx="3">
                  <c:v>Morgan</c:v>
                </c:pt>
                <c:pt idx="4">
                  <c:v>Morgan+CP</c:v>
                </c:pt>
              </c:strCache>
            </c:strRef>
          </c:cat>
          <c:val>
            <c:numRef>
              <c:f>'Graph (2v2)'!$C$2:$C$6</c:f>
              <c:numCache>
                <c:formatCode>0.00</c:formatCode>
                <c:ptCount val="5"/>
                <c:pt idx="0">
                  <c:v>0.72</c:v>
                </c:pt>
                <c:pt idx="1">
                  <c:v>0.56000000000000005</c:v>
                </c:pt>
                <c:pt idx="2">
                  <c:v>0.7</c:v>
                </c:pt>
                <c:pt idx="3">
                  <c:v>0.53</c:v>
                </c:pt>
                <c:pt idx="4">
                  <c:v>0.7</c:v>
                </c:pt>
              </c:numCache>
            </c:numRef>
          </c:val>
          <c:extLst>
            <c:ext xmlns:c16="http://schemas.microsoft.com/office/drawing/2014/chart" uri="{C3380CC4-5D6E-409C-BE32-E72D297353CC}">
              <c16:uniqueId val="{00000001-07F5-4055-9D76-7D8FB76AA443}"/>
            </c:ext>
          </c:extLst>
        </c:ser>
        <c:ser>
          <c:idx val="2"/>
          <c:order val="2"/>
          <c:tx>
            <c:strRef>
              <c:f>'Graph (2v2)'!$D$1</c:f>
              <c:strCache>
                <c:ptCount val="1"/>
                <c:pt idx="0">
                  <c:v>APR_HepG2_CellLoss_72h_dn</c:v>
                </c:pt>
              </c:strCache>
            </c:strRef>
          </c:tx>
          <c:spPr>
            <a:solidFill>
              <a:schemeClr val="accent3"/>
            </a:solidFill>
            <a:ln>
              <a:noFill/>
            </a:ln>
            <a:effectLst/>
          </c:spPr>
          <c:invertIfNegative val="0"/>
          <c:errBars>
            <c:errBarType val="both"/>
            <c:errValType val="cust"/>
            <c:noEndCap val="0"/>
            <c:plus>
              <c:numRef>
                <c:f>'Graph (2v2)'!$D$18:$D$22</c:f>
                <c:numCache>
                  <c:formatCode>General</c:formatCode>
                  <c:ptCount val="5"/>
                  <c:pt idx="0">
                    <c:v>0.05</c:v>
                  </c:pt>
                  <c:pt idx="1">
                    <c:v>0.11</c:v>
                  </c:pt>
                  <c:pt idx="2">
                    <c:v>0.09</c:v>
                  </c:pt>
                  <c:pt idx="3">
                    <c:v>0.09</c:v>
                  </c:pt>
                  <c:pt idx="4">
                    <c:v>0.05</c:v>
                  </c:pt>
                </c:numCache>
              </c:numRef>
            </c:plus>
            <c:minus>
              <c:numRef>
                <c:f>'Graph (2v2)'!$D$18:$D$22</c:f>
                <c:numCache>
                  <c:formatCode>General</c:formatCode>
                  <c:ptCount val="5"/>
                  <c:pt idx="0">
                    <c:v>0.05</c:v>
                  </c:pt>
                  <c:pt idx="1">
                    <c:v>0.11</c:v>
                  </c:pt>
                  <c:pt idx="2">
                    <c:v>0.09</c:v>
                  </c:pt>
                  <c:pt idx="3">
                    <c:v>0.09</c:v>
                  </c:pt>
                  <c:pt idx="4">
                    <c:v>0.05</c:v>
                  </c:pt>
                </c:numCache>
              </c:numRef>
            </c:minus>
            <c:spPr>
              <a:noFill/>
              <a:ln w="9525" cap="flat" cmpd="sng" algn="ctr">
                <a:solidFill>
                  <a:schemeClr val="tx1">
                    <a:lumMod val="65000"/>
                    <a:lumOff val="35000"/>
                  </a:schemeClr>
                </a:solidFill>
                <a:round/>
              </a:ln>
              <a:effectLst/>
            </c:spPr>
          </c:errBars>
          <c:cat>
            <c:strRef>
              <c:f>'Graph (2v2)'!$A$2:$A$6</c:f>
              <c:strCache>
                <c:ptCount val="5"/>
                <c:pt idx="0">
                  <c:v>CP</c:v>
                </c:pt>
                <c:pt idx="1">
                  <c:v>ErG</c:v>
                </c:pt>
                <c:pt idx="2">
                  <c:v>ErG+CP</c:v>
                </c:pt>
                <c:pt idx="3">
                  <c:v>Morgan</c:v>
                </c:pt>
                <c:pt idx="4">
                  <c:v>Morgan+CP</c:v>
                </c:pt>
              </c:strCache>
            </c:strRef>
          </c:cat>
          <c:val>
            <c:numRef>
              <c:f>'Graph (2v2)'!$D$2:$D$6</c:f>
              <c:numCache>
                <c:formatCode>0.00</c:formatCode>
                <c:ptCount val="5"/>
                <c:pt idx="0">
                  <c:v>0.59</c:v>
                </c:pt>
                <c:pt idx="1">
                  <c:v>0.52</c:v>
                </c:pt>
                <c:pt idx="2">
                  <c:v>0.57999999999999996</c:v>
                </c:pt>
                <c:pt idx="3">
                  <c:v>0.56999999999999995</c:v>
                </c:pt>
                <c:pt idx="4">
                  <c:v>0.6</c:v>
                </c:pt>
              </c:numCache>
            </c:numRef>
          </c:val>
          <c:extLst>
            <c:ext xmlns:c16="http://schemas.microsoft.com/office/drawing/2014/chart" uri="{C3380CC4-5D6E-409C-BE32-E72D297353CC}">
              <c16:uniqueId val="{00000002-07F5-4055-9D76-7D8FB76AA443}"/>
            </c:ext>
          </c:extLst>
        </c:ser>
        <c:ser>
          <c:idx val="3"/>
          <c:order val="3"/>
          <c:tx>
            <c:strRef>
              <c:f>'Graph (2v2)'!$E$1</c:f>
              <c:strCache>
                <c:ptCount val="1"/>
                <c:pt idx="0">
                  <c:v>BSK_3C_Proliferation_down</c:v>
                </c:pt>
              </c:strCache>
            </c:strRef>
          </c:tx>
          <c:spPr>
            <a:solidFill>
              <a:schemeClr val="accent4"/>
            </a:solidFill>
            <a:ln>
              <a:noFill/>
            </a:ln>
            <a:effectLst/>
          </c:spPr>
          <c:invertIfNegative val="0"/>
          <c:errBars>
            <c:errBarType val="both"/>
            <c:errValType val="cust"/>
            <c:noEndCap val="0"/>
            <c:plus>
              <c:numRef>
                <c:f>'Graph (2v2)'!$E$18:$E$22</c:f>
                <c:numCache>
                  <c:formatCode>General</c:formatCode>
                  <c:ptCount val="5"/>
                  <c:pt idx="0">
                    <c:v>0.11</c:v>
                  </c:pt>
                  <c:pt idx="1">
                    <c:v>0.13</c:v>
                  </c:pt>
                  <c:pt idx="2">
                    <c:v>0.09</c:v>
                  </c:pt>
                  <c:pt idx="3">
                    <c:v>0.14000000000000001</c:v>
                  </c:pt>
                  <c:pt idx="4">
                    <c:v>0.12</c:v>
                  </c:pt>
                </c:numCache>
              </c:numRef>
            </c:plus>
            <c:minus>
              <c:numRef>
                <c:f>'Graph (2v2)'!$E$18:$E$22</c:f>
                <c:numCache>
                  <c:formatCode>General</c:formatCode>
                  <c:ptCount val="5"/>
                  <c:pt idx="0">
                    <c:v>0.11</c:v>
                  </c:pt>
                  <c:pt idx="1">
                    <c:v>0.13</c:v>
                  </c:pt>
                  <c:pt idx="2">
                    <c:v>0.09</c:v>
                  </c:pt>
                  <c:pt idx="3">
                    <c:v>0.14000000000000001</c:v>
                  </c:pt>
                  <c:pt idx="4">
                    <c:v>0.12</c:v>
                  </c:pt>
                </c:numCache>
              </c:numRef>
            </c:minus>
            <c:spPr>
              <a:noFill/>
              <a:ln w="9525" cap="flat" cmpd="sng" algn="ctr">
                <a:solidFill>
                  <a:schemeClr val="tx1">
                    <a:lumMod val="65000"/>
                    <a:lumOff val="35000"/>
                  </a:schemeClr>
                </a:solidFill>
                <a:round/>
              </a:ln>
              <a:effectLst/>
            </c:spPr>
          </c:errBars>
          <c:cat>
            <c:strRef>
              <c:f>'Graph (2v2)'!$A$2:$A$6</c:f>
              <c:strCache>
                <c:ptCount val="5"/>
                <c:pt idx="0">
                  <c:v>CP</c:v>
                </c:pt>
                <c:pt idx="1">
                  <c:v>ErG</c:v>
                </c:pt>
                <c:pt idx="2">
                  <c:v>ErG+CP</c:v>
                </c:pt>
                <c:pt idx="3">
                  <c:v>Morgan</c:v>
                </c:pt>
                <c:pt idx="4">
                  <c:v>Morgan+CP</c:v>
                </c:pt>
              </c:strCache>
            </c:strRef>
          </c:cat>
          <c:val>
            <c:numRef>
              <c:f>'Graph (2v2)'!$E$2:$E$6</c:f>
              <c:numCache>
                <c:formatCode>0.00</c:formatCode>
                <c:ptCount val="5"/>
                <c:pt idx="0">
                  <c:v>0.68</c:v>
                </c:pt>
                <c:pt idx="1">
                  <c:v>0.56000000000000005</c:v>
                </c:pt>
                <c:pt idx="2">
                  <c:v>0.71</c:v>
                </c:pt>
                <c:pt idx="3">
                  <c:v>0.52</c:v>
                </c:pt>
                <c:pt idx="4">
                  <c:v>0.65</c:v>
                </c:pt>
              </c:numCache>
            </c:numRef>
          </c:val>
          <c:extLst>
            <c:ext xmlns:c16="http://schemas.microsoft.com/office/drawing/2014/chart" uri="{C3380CC4-5D6E-409C-BE32-E72D297353CC}">
              <c16:uniqueId val="{00000003-07F5-4055-9D76-7D8FB76AA443}"/>
            </c:ext>
          </c:extLst>
        </c:ser>
        <c:ser>
          <c:idx val="4"/>
          <c:order val="4"/>
          <c:tx>
            <c:strRef>
              <c:f>'Graph (2v2)'!$F$1</c:f>
              <c:strCache>
                <c:ptCount val="1"/>
                <c:pt idx="0">
                  <c:v>BSK_3C_SRB_down</c:v>
                </c:pt>
              </c:strCache>
            </c:strRef>
          </c:tx>
          <c:spPr>
            <a:solidFill>
              <a:schemeClr val="accent5"/>
            </a:solidFill>
            <a:ln>
              <a:noFill/>
            </a:ln>
            <a:effectLst/>
          </c:spPr>
          <c:invertIfNegative val="0"/>
          <c:errBars>
            <c:errBarType val="both"/>
            <c:errValType val="cust"/>
            <c:noEndCap val="0"/>
            <c:plus>
              <c:numRef>
                <c:f>'Graph (2v2)'!$F$18:$F$22</c:f>
                <c:numCache>
                  <c:formatCode>General</c:formatCode>
                  <c:ptCount val="5"/>
                  <c:pt idx="0">
                    <c:v>0.09</c:v>
                  </c:pt>
                  <c:pt idx="1">
                    <c:v>0.05</c:v>
                  </c:pt>
                  <c:pt idx="2">
                    <c:v>0.12</c:v>
                  </c:pt>
                  <c:pt idx="3">
                    <c:v>0.04</c:v>
                  </c:pt>
                  <c:pt idx="4">
                    <c:v>7.0000000000000007E-2</c:v>
                  </c:pt>
                </c:numCache>
              </c:numRef>
            </c:plus>
            <c:minus>
              <c:numRef>
                <c:f>'Graph (2v2)'!$F$18:$F$22</c:f>
                <c:numCache>
                  <c:formatCode>General</c:formatCode>
                  <c:ptCount val="5"/>
                  <c:pt idx="0">
                    <c:v>0.09</c:v>
                  </c:pt>
                  <c:pt idx="1">
                    <c:v>0.05</c:v>
                  </c:pt>
                  <c:pt idx="2">
                    <c:v>0.12</c:v>
                  </c:pt>
                  <c:pt idx="3">
                    <c:v>0.04</c:v>
                  </c:pt>
                  <c:pt idx="4">
                    <c:v>7.0000000000000007E-2</c:v>
                  </c:pt>
                </c:numCache>
              </c:numRef>
            </c:minus>
            <c:spPr>
              <a:noFill/>
              <a:ln w="9525" cap="flat" cmpd="sng" algn="ctr">
                <a:solidFill>
                  <a:schemeClr val="tx1">
                    <a:lumMod val="65000"/>
                    <a:lumOff val="35000"/>
                  </a:schemeClr>
                </a:solidFill>
                <a:round/>
              </a:ln>
              <a:effectLst/>
            </c:spPr>
          </c:errBars>
          <c:cat>
            <c:strRef>
              <c:f>'Graph (2v2)'!$A$2:$A$6</c:f>
              <c:strCache>
                <c:ptCount val="5"/>
                <c:pt idx="0">
                  <c:v>CP</c:v>
                </c:pt>
                <c:pt idx="1">
                  <c:v>ErG</c:v>
                </c:pt>
                <c:pt idx="2">
                  <c:v>ErG+CP</c:v>
                </c:pt>
                <c:pt idx="3">
                  <c:v>Morgan</c:v>
                </c:pt>
                <c:pt idx="4">
                  <c:v>Morgan+CP</c:v>
                </c:pt>
              </c:strCache>
            </c:strRef>
          </c:cat>
          <c:val>
            <c:numRef>
              <c:f>'Graph (2v2)'!$F$2:$F$6</c:f>
              <c:numCache>
                <c:formatCode>0.00</c:formatCode>
                <c:ptCount val="5"/>
                <c:pt idx="0">
                  <c:v>0.6</c:v>
                </c:pt>
                <c:pt idx="1">
                  <c:v>0.48</c:v>
                </c:pt>
                <c:pt idx="2">
                  <c:v>0.61</c:v>
                </c:pt>
                <c:pt idx="3">
                  <c:v>0.52</c:v>
                </c:pt>
                <c:pt idx="4">
                  <c:v>0.61</c:v>
                </c:pt>
              </c:numCache>
            </c:numRef>
          </c:val>
          <c:extLst>
            <c:ext xmlns:c16="http://schemas.microsoft.com/office/drawing/2014/chart" uri="{C3380CC4-5D6E-409C-BE32-E72D297353CC}">
              <c16:uniqueId val="{00000004-07F5-4055-9D76-7D8FB76AA443}"/>
            </c:ext>
          </c:extLst>
        </c:ser>
        <c:ser>
          <c:idx val="5"/>
          <c:order val="5"/>
          <c:tx>
            <c:strRef>
              <c:f>'Graph (2v2)'!$G$1</c:f>
              <c:strCache>
                <c:ptCount val="1"/>
                <c:pt idx="0">
                  <c:v>BSK_3C_Vis_down</c:v>
                </c:pt>
              </c:strCache>
            </c:strRef>
          </c:tx>
          <c:spPr>
            <a:solidFill>
              <a:schemeClr val="accent6"/>
            </a:solidFill>
            <a:ln>
              <a:noFill/>
            </a:ln>
            <a:effectLst/>
          </c:spPr>
          <c:invertIfNegative val="0"/>
          <c:errBars>
            <c:errBarType val="both"/>
            <c:errValType val="cust"/>
            <c:noEndCap val="0"/>
            <c:plus>
              <c:numRef>
                <c:f>'Graph (2v2)'!$G$18:$G$22</c:f>
                <c:numCache>
                  <c:formatCode>General</c:formatCode>
                  <c:ptCount val="5"/>
                  <c:pt idx="0">
                    <c:v>0.14000000000000001</c:v>
                  </c:pt>
                  <c:pt idx="1">
                    <c:v>0.17</c:v>
                  </c:pt>
                  <c:pt idx="2">
                    <c:v>0.14000000000000001</c:v>
                  </c:pt>
                  <c:pt idx="3">
                    <c:v>0.04</c:v>
                  </c:pt>
                  <c:pt idx="4">
                    <c:v>0.1</c:v>
                  </c:pt>
                </c:numCache>
              </c:numRef>
            </c:plus>
            <c:minus>
              <c:numRef>
                <c:f>'Graph (2v2)'!$G$18:$G$22</c:f>
                <c:numCache>
                  <c:formatCode>General</c:formatCode>
                  <c:ptCount val="5"/>
                  <c:pt idx="0">
                    <c:v>0.14000000000000001</c:v>
                  </c:pt>
                  <c:pt idx="1">
                    <c:v>0.17</c:v>
                  </c:pt>
                  <c:pt idx="2">
                    <c:v>0.14000000000000001</c:v>
                  </c:pt>
                  <c:pt idx="3">
                    <c:v>0.04</c:v>
                  </c:pt>
                  <c:pt idx="4">
                    <c:v>0.1</c:v>
                  </c:pt>
                </c:numCache>
              </c:numRef>
            </c:minus>
            <c:spPr>
              <a:noFill/>
              <a:ln w="9525" cap="flat" cmpd="sng" algn="ctr">
                <a:solidFill>
                  <a:schemeClr val="tx1">
                    <a:lumMod val="65000"/>
                    <a:lumOff val="35000"/>
                  </a:schemeClr>
                </a:solidFill>
                <a:round/>
              </a:ln>
              <a:effectLst/>
            </c:spPr>
          </c:errBars>
          <c:cat>
            <c:strRef>
              <c:f>'Graph (2v2)'!$A$2:$A$6</c:f>
              <c:strCache>
                <c:ptCount val="5"/>
                <c:pt idx="0">
                  <c:v>CP</c:v>
                </c:pt>
                <c:pt idx="1">
                  <c:v>ErG</c:v>
                </c:pt>
                <c:pt idx="2">
                  <c:v>ErG+CP</c:v>
                </c:pt>
                <c:pt idx="3">
                  <c:v>Morgan</c:v>
                </c:pt>
                <c:pt idx="4">
                  <c:v>Morgan+CP</c:v>
                </c:pt>
              </c:strCache>
            </c:strRef>
          </c:cat>
          <c:val>
            <c:numRef>
              <c:f>'Graph (2v2)'!$G$2:$G$6</c:f>
              <c:numCache>
                <c:formatCode>0.00</c:formatCode>
                <c:ptCount val="5"/>
                <c:pt idx="0">
                  <c:v>0.76</c:v>
                </c:pt>
                <c:pt idx="1">
                  <c:v>0.56999999999999995</c:v>
                </c:pt>
                <c:pt idx="2">
                  <c:v>0.69</c:v>
                </c:pt>
                <c:pt idx="3">
                  <c:v>0.48</c:v>
                </c:pt>
                <c:pt idx="4">
                  <c:v>0.68</c:v>
                </c:pt>
              </c:numCache>
            </c:numRef>
          </c:val>
          <c:extLst>
            <c:ext xmlns:c16="http://schemas.microsoft.com/office/drawing/2014/chart" uri="{C3380CC4-5D6E-409C-BE32-E72D297353CC}">
              <c16:uniqueId val="{00000005-07F5-4055-9D76-7D8FB76AA443}"/>
            </c:ext>
          </c:extLst>
        </c:ser>
        <c:ser>
          <c:idx val="6"/>
          <c:order val="6"/>
          <c:tx>
            <c:strRef>
              <c:f>'Graph (2v2)'!$H$1</c:f>
              <c:strCache>
                <c:ptCount val="1"/>
                <c:pt idx="0">
                  <c:v>BSK_4H_SRB_down</c:v>
                </c:pt>
              </c:strCache>
            </c:strRef>
          </c:tx>
          <c:spPr>
            <a:solidFill>
              <a:schemeClr val="accent1">
                <a:lumMod val="60000"/>
              </a:schemeClr>
            </a:solidFill>
            <a:ln>
              <a:noFill/>
            </a:ln>
            <a:effectLst/>
          </c:spPr>
          <c:invertIfNegative val="0"/>
          <c:errBars>
            <c:errBarType val="both"/>
            <c:errValType val="cust"/>
            <c:noEndCap val="0"/>
            <c:plus>
              <c:numRef>
                <c:f>'Graph (2v2)'!$H$18:$H$22</c:f>
                <c:numCache>
                  <c:formatCode>General</c:formatCode>
                  <c:ptCount val="5"/>
                  <c:pt idx="0">
                    <c:v>7.0000000000000007E-2</c:v>
                  </c:pt>
                  <c:pt idx="1">
                    <c:v>0.08</c:v>
                  </c:pt>
                  <c:pt idx="2">
                    <c:v>0.1</c:v>
                  </c:pt>
                  <c:pt idx="3">
                    <c:v>0.08</c:v>
                  </c:pt>
                  <c:pt idx="4">
                    <c:v>0.09</c:v>
                  </c:pt>
                </c:numCache>
              </c:numRef>
            </c:plus>
            <c:minus>
              <c:numRef>
                <c:f>'Graph (2v2)'!$H$18:$H$22</c:f>
                <c:numCache>
                  <c:formatCode>General</c:formatCode>
                  <c:ptCount val="5"/>
                  <c:pt idx="0">
                    <c:v>7.0000000000000007E-2</c:v>
                  </c:pt>
                  <c:pt idx="1">
                    <c:v>0.08</c:v>
                  </c:pt>
                  <c:pt idx="2">
                    <c:v>0.1</c:v>
                  </c:pt>
                  <c:pt idx="3">
                    <c:v>0.08</c:v>
                  </c:pt>
                  <c:pt idx="4">
                    <c:v>0.09</c:v>
                  </c:pt>
                </c:numCache>
              </c:numRef>
            </c:minus>
            <c:spPr>
              <a:noFill/>
              <a:ln w="9525" cap="flat" cmpd="sng" algn="ctr">
                <a:solidFill>
                  <a:schemeClr val="tx1">
                    <a:lumMod val="65000"/>
                    <a:lumOff val="35000"/>
                  </a:schemeClr>
                </a:solidFill>
                <a:round/>
              </a:ln>
              <a:effectLst/>
            </c:spPr>
          </c:errBars>
          <c:cat>
            <c:strRef>
              <c:f>'Graph (2v2)'!$A$2:$A$6</c:f>
              <c:strCache>
                <c:ptCount val="5"/>
                <c:pt idx="0">
                  <c:v>CP</c:v>
                </c:pt>
                <c:pt idx="1">
                  <c:v>ErG</c:v>
                </c:pt>
                <c:pt idx="2">
                  <c:v>ErG+CP</c:v>
                </c:pt>
                <c:pt idx="3">
                  <c:v>Morgan</c:v>
                </c:pt>
                <c:pt idx="4">
                  <c:v>Morgan+CP</c:v>
                </c:pt>
              </c:strCache>
            </c:strRef>
          </c:cat>
          <c:val>
            <c:numRef>
              <c:f>'Graph (2v2)'!$H$2:$H$6</c:f>
              <c:numCache>
                <c:formatCode>0.00</c:formatCode>
                <c:ptCount val="5"/>
                <c:pt idx="0">
                  <c:v>0.69</c:v>
                </c:pt>
                <c:pt idx="1">
                  <c:v>0.62</c:v>
                </c:pt>
                <c:pt idx="2">
                  <c:v>0.71</c:v>
                </c:pt>
                <c:pt idx="3">
                  <c:v>0.55000000000000004</c:v>
                </c:pt>
                <c:pt idx="4">
                  <c:v>0.72</c:v>
                </c:pt>
              </c:numCache>
            </c:numRef>
          </c:val>
          <c:extLst>
            <c:ext xmlns:c16="http://schemas.microsoft.com/office/drawing/2014/chart" uri="{C3380CC4-5D6E-409C-BE32-E72D297353CC}">
              <c16:uniqueId val="{00000006-07F5-4055-9D76-7D8FB76AA443}"/>
            </c:ext>
          </c:extLst>
        </c:ser>
        <c:ser>
          <c:idx val="7"/>
          <c:order val="7"/>
          <c:tx>
            <c:strRef>
              <c:f>'Graph (2v2)'!$I$1</c:f>
              <c:strCache>
                <c:ptCount val="1"/>
                <c:pt idx="0">
                  <c:v>BSK_CASM3C_Proliferation_down</c:v>
                </c:pt>
              </c:strCache>
            </c:strRef>
          </c:tx>
          <c:spPr>
            <a:solidFill>
              <a:schemeClr val="accent2">
                <a:lumMod val="60000"/>
              </a:schemeClr>
            </a:solidFill>
            <a:ln>
              <a:noFill/>
            </a:ln>
            <a:effectLst/>
          </c:spPr>
          <c:invertIfNegative val="0"/>
          <c:errBars>
            <c:errBarType val="both"/>
            <c:errValType val="cust"/>
            <c:noEndCap val="0"/>
            <c:plus>
              <c:numRef>
                <c:f>'Graph (2v2)'!$I$18:$I$22</c:f>
                <c:numCache>
                  <c:formatCode>General</c:formatCode>
                  <c:ptCount val="5"/>
                  <c:pt idx="0">
                    <c:v>7.0000000000000007E-2</c:v>
                  </c:pt>
                  <c:pt idx="1">
                    <c:v>7.0000000000000007E-2</c:v>
                  </c:pt>
                  <c:pt idx="2">
                    <c:v>0.11</c:v>
                  </c:pt>
                  <c:pt idx="3">
                    <c:v>0.15</c:v>
                  </c:pt>
                  <c:pt idx="4">
                    <c:v>0.1</c:v>
                  </c:pt>
                </c:numCache>
              </c:numRef>
            </c:plus>
            <c:minus>
              <c:numRef>
                <c:f>'Graph (2v2)'!$I$18:$I$22</c:f>
                <c:numCache>
                  <c:formatCode>General</c:formatCode>
                  <c:ptCount val="5"/>
                  <c:pt idx="0">
                    <c:v>7.0000000000000007E-2</c:v>
                  </c:pt>
                  <c:pt idx="1">
                    <c:v>7.0000000000000007E-2</c:v>
                  </c:pt>
                  <c:pt idx="2">
                    <c:v>0.11</c:v>
                  </c:pt>
                  <c:pt idx="3">
                    <c:v>0.15</c:v>
                  </c:pt>
                  <c:pt idx="4">
                    <c:v>0.1</c:v>
                  </c:pt>
                </c:numCache>
              </c:numRef>
            </c:minus>
            <c:spPr>
              <a:noFill/>
              <a:ln w="9525" cap="flat" cmpd="sng" algn="ctr">
                <a:solidFill>
                  <a:schemeClr val="tx1">
                    <a:lumMod val="65000"/>
                    <a:lumOff val="35000"/>
                  </a:schemeClr>
                </a:solidFill>
                <a:round/>
              </a:ln>
              <a:effectLst/>
            </c:spPr>
          </c:errBars>
          <c:cat>
            <c:strRef>
              <c:f>'Graph (2v2)'!$A$2:$A$6</c:f>
              <c:strCache>
                <c:ptCount val="5"/>
                <c:pt idx="0">
                  <c:v>CP</c:v>
                </c:pt>
                <c:pt idx="1">
                  <c:v>ErG</c:v>
                </c:pt>
                <c:pt idx="2">
                  <c:v>ErG+CP</c:v>
                </c:pt>
                <c:pt idx="3">
                  <c:v>Morgan</c:v>
                </c:pt>
                <c:pt idx="4">
                  <c:v>Morgan+CP</c:v>
                </c:pt>
              </c:strCache>
            </c:strRef>
          </c:cat>
          <c:val>
            <c:numRef>
              <c:f>'Graph (2v2)'!$I$2:$I$6</c:f>
              <c:numCache>
                <c:formatCode>0.00</c:formatCode>
                <c:ptCount val="5"/>
                <c:pt idx="0">
                  <c:v>0.69</c:v>
                </c:pt>
                <c:pt idx="1">
                  <c:v>0.6</c:v>
                </c:pt>
                <c:pt idx="2">
                  <c:v>0.73</c:v>
                </c:pt>
                <c:pt idx="3">
                  <c:v>0.67</c:v>
                </c:pt>
                <c:pt idx="4">
                  <c:v>0.69</c:v>
                </c:pt>
              </c:numCache>
            </c:numRef>
          </c:val>
          <c:extLst>
            <c:ext xmlns:c16="http://schemas.microsoft.com/office/drawing/2014/chart" uri="{C3380CC4-5D6E-409C-BE32-E72D297353CC}">
              <c16:uniqueId val="{00000007-07F5-4055-9D76-7D8FB76AA443}"/>
            </c:ext>
          </c:extLst>
        </c:ser>
        <c:ser>
          <c:idx val="8"/>
          <c:order val="8"/>
          <c:tx>
            <c:strRef>
              <c:f>'Graph (2v2)'!$J$1</c:f>
              <c:strCache>
                <c:ptCount val="1"/>
                <c:pt idx="0">
                  <c:v>BSK_hDFCGF_Proliferation_down</c:v>
                </c:pt>
              </c:strCache>
            </c:strRef>
          </c:tx>
          <c:spPr>
            <a:solidFill>
              <a:schemeClr val="accent3">
                <a:lumMod val="60000"/>
              </a:schemeClr>
            </a:solidFill>
            <a:ln>
              <a:noFill/>
            </a:ln>
            <a:effectLst/>
          </c:spPr>
          <c:invertIfNegative val="0"/>
          <c:errBars>
            <c:errBarType val="both"/>
            <c:errValType val="cust"/>
            <c:noEndCap val="0"/>
            <c:plus>
              <c:numRef>
                <c:f>'Graph (2v2)'!$J$18:$J$22</c:f>
                <c:numCache>
                  <c:formatCode>General</c:formatCode>
                  <c:ptCount val="5"/>
                  <c:pt idx="0">
                    <c:v>0.15</c:v>
                  </c:pt>
                  <c:pt idx="1">
                    <c:v>0.1</c:v>
                  </c:pt>
                  <c:pt idx="2">
                    <c:v>0.11</c:v>
                  </c:pt>
                  <c:pt idx="3">
                    <c:v>0.14000000000000001</c:v>
                  </c:pt>
                  <c:pt idx="4">
                    <c:v>0.16</c:v>
                  </c:pt>
                </c:numCache>
              </c:numRef>
            </c:plus>
            <c:minus>
              <c:numRef>
                <c:f>'Graph (2v2)'!$J$18:$J$22</c:f>
                <c:numCache>
                  <c:formatCode>General</c:formatCode>
                  <c:ptCount val="5"/>
                  <c:pt idx="0">
                    <c:v>0.15</c:v>
                  </c:pt>
                  <c:pt idx="1">
                    <c:v>0.1</c:v>
                  </c:pt>
                  <c:pt idx="2">
                    <c:v>0.11</c:v>
                  </c:pt>
                  <c:pt idx="3">
                    <c:v>0.14000000000000001</c:v>
                  </c:pt>
                  <c:pt idx="4">
                    <c:v>0.16</c:v>
                  </c:pt>
                </c:numCache>
              </c:numRef>
            </c:minus>
            <c:spPr>
              <a:noFill/>
              <a:ln w="9525" cap="flat" cmpd="sng" algn="ctr">
                <a:solidFill>
                  <a:schemeClr val="tx1">
                    <a:lumMod val="65000"/>
                    <a:lumOff val="35000"/>
                  </a:schemeClr>
                </a:solidFill>
                <a:round/>
              </a:ln>
              <a:effectLst/>
            </c:spPr>
          </c:errBars>
          <c:cat>
            <c:strRef>
              <c:f>'Graph (2v2)'!$A$2:$A$6</c:f>
              <c:strCache>
                <c:ptCount val="5"/>
                <c:pt idx="0">
                  <c:v>CP</c:v>
                </c:pt>
                <c:pt idx="1">
                  <c:v>ErG</c:v>
                </c:pt>
                <c:pt idx="2">
                  <c:v>ErG+CP</c:v>
                </c:pt>
                <c:pt idx="3">
                  <c:v>Morgan</c:v>
                </c:pt>
                <c:pt idx="4">
                  <c:v>Morgan+CP</c:v>
                </c:pt>
              </c:strCache>
            </c:strRef>
          </c:cat>
          <c:val>
            <c:numRef>
              <c:f>'Graph (2v2)'!$J$2:$J$6</c:f>
              <c:numCache>
                <c:formatCode>0.00</c:formatCode>
                <c:ptCount val="5"/>
                <c:pt idx="0">
                  <c:v>0.68</c:v>
                </c:pt>
                <c:pt idx="1">
                  <c:v>0.63</c:v>
                </c:pt>
                <c:pt idx="2">
                  <c:v>0.63</c:v>
                </c:pt>
                <c:pt idx="3">
                  <c:v>0.53</c:v>
                </c:pt>
                <c:pt idx="4">
                  <c:v>0.68</c:v>
                </c:pt>
              </c:numCache>
            </c:numRef>
          </c:val>
          <c:extLst>
            <c:ext xmlns:c16="http://schemas.microsoft.com/office/drawing/2014/chart" uri="{C3380CC4-5D6E-409C-BE32-E72D297353CC}">
              <c16:uniqueId val="{00000008-07F5-4055-9D76-7D8FB76AA443}"/>
            </c:ext>
          </c:extLst>
        </c:ser>
        <c:ser>
          <c:idx val="9"/>
          <c:order val="9"/>
          <c:tx>
            <c:strRef>
              <c:f>'Graph (2v2)'!$K$1</c:f>
              <c:strCache>
                <c:ptCount val="1"/>
                <c:pt idx="0">
                  <c:v>BSK_LPS_SRB_down</c:v>
                </c:pt>
              </c:strCache>
            </c:strRef>
          </c:tx>
          <c:spPr>
            <a:solidFill>
              <a:schemeClr val="accent4">
                <a:lumMod val="60000"/>
              </a:schemeClr>
            </a:solidFill>
            <a:ln>
              <a:noFill/>
            </a:ln>
            <a:effectLst/>
          </c:spPr>
          <c:invertIfNegative val="0"/>
          <c:errBars>
            <c:errBarType val="both"/>
            <c:errValType val="cust"/>
            <c:noEndCap val="0"/>
            <c:plus>
              <c:numRef>
                <c:f>'Graph (2v2)'!$K$18:$K$22</c:f>
                <c:numCache>
                  <c:formatCode>General</c:formatCode>
                  <c:ptCount val="5"/>
                  <c:pt idx="0">
                    <c:v>0.08</c:v>
                  </c:pt>
                  <c:pt idx="1">
                    <c:v>0.14000000000000001</c:v>
                  </c:pt>
                  <c:pt idx="2">
                    <c:v>0.08</c:v>
                  </c:pt>
                  <c:pt idx="3">
                    <c:v>0.08</c:v>
                  </c:pt>
                  <c:pt idx="4">
                    <c:v>0.04</c:v>
                  </c:pt>
                </c:numCache>
              </c:numRef>
            </c:plus>
            <c:minus>
              <c:numRef>
                <c:f>'Graph (2v2)'!$K$18:$K$22</c:f>
                <c:numCache>
                  <c:formatCode>General</c:formatCode>
                  <c:ptCount val="5"/>
                  <c:pt idx="0">
                    <c:v>0.08</c:v>
                  </c:pt>
                  <c:pt idx="1">
                    <c:v>0.14000000000000001</c:v>
                  </c:pt>
                  <c:pt idx="2">
                    <c:v>0.08</c:v>
                  </c:pt>
                  <c:pt idx="3">
                    <c:v>0.08</c:v>
                  </c:pt>
                  <c:pt idx="4">
                    <c:v>0.04</c:v>
                  </c:pt>
                </c:numCache>
              </c:numRef>
            </c:minus>
            <c:spPr>
              <a:noFill/>
              <a:ln w="9525" cap="flat" cmpd="sng" algn="ctr">
                <a:solidFill>
                  <a:schemeClr val="tx1">
                    <a:lumMod val="65000"/>
                    <a:lumOff val="35000"/>
                  </a:schemeClr>
                </a:solidFill>
                <a:round/>
              </a:ln>
              <a:effectLst/>
            </c:spPr>
          </c:errBars>
          <c:cat>
            <c:strRef>
              <c:f>'Graph (2v2)'!$A$2:$A$6</c:f>
              <c:strCache>
                <c:ptCount val="5"/>
                <c:pt idx="0">
                  <c:v>CP</c:v>
                </c:pt>
                <c:pt idx="1">
                  <c:v>ErG</c:v>
                </c:pt>
                <c:pt idx="2">
                  <c:v>ErG+CP</c:v>
                </c:pt>
                <c:pt idx="3">
                  <c:v>Morgan</c:v>
                </c:pt>
                <c:pt idx="4">
                  <c:v>Morgan+CP</c:v>
                </c:pt>
              </c:strCache>
            </c:strRef>
          </c:cat>
          <c:val>
            <c:numRef>
              <c:f>'Graph (2v2)'!$K$2:$K$6</c:f>
              <c:numCache>
                <c:formatCode>0.00</c:formatCode>
                <c:ptCount val="5"/>
                <c:pt idx="0">
                  <c:v>0.61</c:v>
                </c:pt>
                <c:pt idx="1">
                  <c:v>0.54</c:v>
                </c:pt>
                <c:pt idx="2">
                  <c:v>0.66</c:v>
                </c:pt>
                <c:pt idx="3">
                  <c:v>0.51</c:v>
                </c:pt>
                <c:pt idx="4">
                  <c:v>0.59</c:v>
                </c:pt>
              </c:numCache>
            </c:numRef>
          </c:val>
          <c:extLst>
            <c:ext xmlns:c16="http://schemas.microsoft.com/office/drawing/2014/chart" uri="{C3380CC4-5D6E-409C-BE32-E72D297353CC}">
              <c16:uniqueId val="{00000009-07F5-4055-9D76-7D8FB76AA443}"/>
            </c:ext>
          </c:extLst>
        </c:ser>
        <c:ser>
          <c:idx val="10"/>
          <c:order val="10"/>
          <c:tx>
            <c:strRef>
              <c:f>'Graph (2v2)'!$L$1</c:f>
              <c:strCache>
                <c:ptCount val="1"/>
                <c:pt idx="0">
                  <c:v>BSK_SAg_Proliferation_down</c:v>
                </c:pt>
              </c:strCache>
            </c:strRef>
          </c:tx>
          <c:spPr>
            <a:solidFill>
              <a:schemeClr val="accent5">
                <a:lumMod val="60000"/>
              </a:schemeClr>
            </a:solidFill>
            <a:ln>
              <a:noFill/>
            </a:ln>
            <a:effectLst/>
          </c:spPr>
          <c:invertIfNegative val="0"/>
          <c:errBars>
            <c:errBarType val="both"/>
            <c:errValType val="cust"/>
            <c:noEndCap val="0"/>
            <c:plus>
              <c:numRef>
                <c:f>'Graph (2v2)'!$L$18:$L$22</c:f>
                <c:numCache>
                  <c:formatCode>General</c:formatCode>
                  <c:ptCount val="5"/>
                  <c:pt idx="0">
                    <c:v>0.09</c:v>
                  </c:pt>
                  <c:pt idx="1">
                    <c:v>0.16</c:v>
                  </c:pt>
                  <c:pt idx="2">
                    <c:v>0.1</c:v>
                  </c:pt>
                  <c:pt idx="3">
                    <c:v>0.09</c:v>
                  </c:pt>
                  <c:pt idx="4">
                    <c:v>0.09</c:v>
                  </c:pt>
                </c:numCache>
              </c:numRef>
            </c:plus>
            <c:minus>
              <c:numRef>
                <c:f>'Graph (2v2)'!$L$18:$L$22</c:f>
                <c:numCache>
                  <c:formatCode>General</c:formatCode>
                  <c:ptCount val="5"/>
                  <c:pt idx="0">
                    <c:v>0.09</c:v>
                  </c:pt>
                  <c:pt idx="1">
                    <c:v>0.16</c:v>
                  </c:pt>
                  <c:pt idx="2">
                    <c:v>0.1</c:v>
                  </c:pt>
                  <c:pt idx="3">
                    <c:v>0.09</c:v>
                  </c:pt>
                  <c:pt idx="4">
                    <c:v>0.09</c:v>
                  </c:pt>
                </c:numCache>
              </c:numRef>
            </c:minus>
            <c:spPr>
              <a:noFill/>
              <a:ln w="9525" cap="flat" cmpd="sng" algn="ctr">
                <a:solidFill>
                  <a:schemeClr val="tx1">
                    <a:lumMod val="65000"/>
                    <a:lumOff val="35000"/>
                  </a:schemeClr>
                </a:solidFill>
                <a:round/>
              </a:ln>
              <a:effectLst/>
            </c:spPr>
          </c:errBars>
          <c:cat>
            <c:strRef>
              <c:f>'Graph (2v2)'!$A$2:$A$6</c:f>
              <c:strCache>
                <c:ptCount val="5"/>
                <c:pt idx="0">
                  <c:v>CP</c:v>
                </c:pt>
                <c:pt idx="1">
                  <c:v>ErG</c:v>
                </c:pt>
                <c:pt idx="2">
                  <c:v>ErG+CP</c:v>
                </c:pt>
                <c:pt idx="3">
                  <c:v>Morgan</c:v>
                </c:pt>
                <c:pt idx="4">
                  <c:v>Morgan+CP</c:v>
                </c:pt>
              </c:strCache>
            </c:strRef>
          </c:cat>
          <c:val>
            <c:numRef>
              <c:f>'Graph (2v2)'!$L$2:$L$6</c:f>
              <c:numCache>
                <c:formatCode>0.00</c:formatCode>
                <c:ptCount val="5"/>
                <c:pt idx="0">
                  <c:v>0.57999999999999996</c:v>
                </c:pt>
                <c:pt idx="1">
                  <c:v>0.49</c:v>
                </c:pt>
                <c:pt idx="2">
                  <c:v>0.61</c:v>
                </c:pt>
                <c:pt idx="3">
                  <c:v>0.54</c:v>
                </c:pt>
                <c:pt idx="4" formatCode="General">
                  <c:v>0.62</c:v>
                </c:pt>
              </c:numCache>
            </c:numRef>
          </c:val>
          <c:extLst>
            <c:ext xmlns:c16="http://schemas.microsoft.com/office/drawing/2014/chart" uri="{C3380CC4-5D6E-409C-BE32-E72D297353CC}">
              <c16:uniqueId val="{0000000A-07F5-4055-9D76-7D8FB76AA443}"/>
            </c:ext>
          </c:extLst>
        </c:ser>
        <c:ser>
          <c:idx val="11"/>
          <c:order val="11"/>
          <c:tx>
            <c:strRef>
              <c:f>'Graph (2v2)'!$M$1</c:f>
              <c:strCache>
                <c:ptCount val="1"/>
                <c:pt idx="0">
                  <c:v>BSK_SAg_SRB_down</c:v>
                </c:pt>
              </c:strCache>
            </c:strRef>
          </c:tx>
          <c:spPr>
            <a:solidFill>
              <a:schemeClr val="accent6">
                <a:lumMod val="60000"/>
              </a:schemeClr>
            </a:solidFill>
            <a:ln>
              <a:noFill/>
            </a:ln>
            <a:effectLst/>
          </c:spPr>
          <c:invertIfNegative val="0"/>
          <c:errBars>
            <c:errBarType val="both"/>
            <c:errValType val="cust"/>
            <c:noEndCap val="0"/>
            <c:plus>
              <c:numRef>
                <c:f>'Graph (2v2)'!$M$18:$M$22</c:f>
                <c:numCache>
                  <c:formatCode>General</c:formatCode>
                  <c:ptCount val="5"/>
                  <c:pt idx="0">
                    <c:v>0.05</c:v>
                  </c:pt>
                  <c:pt idx="1">
                    <c:v>0.08</c:v>
                  </c:pt>
                  <c:pt idx="2">
                    <c:v>7.0000000000000007E-2</c:v>
                  </c:pt>
                  <c:pt idx="3">
                    <c:v>0.04</c:v>
                  </c:pt>
                  <c:pt idx="4">
                    <c:v>0.06</c:v>
                  </c:pt>
                </c:numCache>
              </c:numRef>
            </c:plus>
            <c:minus>
              <c:numRef>
                <c:f>'Graph (2v2)'!$M$18:$M$22</c:f>
                <c:numCache>
                  <c:formatCode>General</c:formatCode>
                  <c:ptCount val="5"/>
                  <c:pt idx="0">
                    <c:v>0.05</c:v>
                  </c:pt>
                  <c:pt idx="1">
                    <c:v>0.08</c:v>
                  </c:pt>
                  <c:pt idx="2">
                    <c:v>7.0000000000000007E-2</c:v>
                  </c:pt>
                  <c:pt idx="3">
                    <c:v>0.04</c:v>
                  </c:pt>
                  <c:pt idx="4">
                    <c:v>0.06</c:v>
                  </c:pt>
                </c:numCache>
              </c:numRef>
            </c:minus>
            <c:spPr>
              <a:noFill/>
              <a:ln w="9525" cap="flat" cmpd="sng" algn="ctr">
                <a:solidFill>
                  <a:schemeClr val="tx1">
                    <a:lumMod val="65000"/>
                    <a:lumOff val="35000"/>
                  </a:schemeClr>
                </a:solidFill>
                <a:round/>
              </a:ln>
              <a:effectLst/>
            </c:spPr>
          </c:errBars>
          <c:cat>
            <c:strRef>
              <c:f>'Graph (2v2)'!$A$2:$A$6</c:f>
              <c:strCache>
                <c:ptCount val="5"/>
                <c:pt idx="0">
                  <c:v>CP</c:v>
                </c:pt>
                <c:pt idx="1">
                  <c:v>ErG</c:v>
                </c:pt>
                <c:pt idx="2">
                  <c:v>ErG+CP</c:v>
                </c:pt>
                <c:pt idx="3">
                  <c:v>Morgan</c:v>
                </c:pt>
                <c:pt idx="4">
                  <c:v>Morgan+CP</c:v>
                </c:pt>
              </c:strCache>
            </c:strRef>
          </c:cat>
          <c:val>
            <c:numRef>
              <c:f>'Graph (2v2)'!$M$2:$M$6</c:f>
              <c:numCache>
                <c:formatCode>0.00</c:formatCode>
                <c:ptCount val="5"/>
                <c:pt idx="0">
                  <c:v>0.56000000000000005</c:v>
                </c:pt>
                <c:pt idx="1">
                  <c:v>0.56999999999999995</c:v>
                </c:pt>
                <c:pt idx="2">
                  <c:v>0.61</c:v>
                </c:pt>
                <c:pt idx="3">
                  <c:v>0.56000000000000005</c:v>
                </c:pt>
                <c:pt idx="4">
                  <c:v>0.59</c:v>
                </c:pt>
              </c:numCache>
            </c:numRef>
          </c:val>
          <c:extLst>
            <c:ext xmlns:c16="http://schemas.microsoft.com/office/drawing/2014/chart" uri="{C3380CC4-5D6E-409C-BE32-E72D297353CC}">
              <c16:uniqueId val="{0000000B-07F5-4055-9D76-7D8FB76AA443}"/>
            </c:ext>
          </c:extLst>
        </c:ser>
        <c:dLbls>
          <c:showLegendKey val="0"/>
          <c:showVal val="0"/>
          <c:showCatName val="0"/>
          <c:showSerName val="0"/>
          <c:showPercent val="0"/>
          <c:showBubbleSize val="0"/>
        </c:dLbls>
        <c:gapWidth val="219"/>
        <c:overlap val="-27"/>
        <c:axId val="395683696"/>
        <c:axId val="156161824"/>
      </c:barChart>
      <c:catAx>
        <c:axId val="3956836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Descriptors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161824"/>
        <c:crosses val="autoZero"/>
        <c:auto val="1"/>
        <c:lblAlgn val="ctr"/>
        <c:lblOffset val="100"/>
        <c:noMultiLvlLbl val="0"/>
      </c:catAx>
      <c:valAx>
        <c:axId val="1561618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Balanced Accuracy</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5683696"/>
        <c:crosses val="autoZero"/>
        <c:crossBetween val="between"/>
      </c:valAx>
      <c:spPr>
        <a:noFill/>
        <a:ln>
          <a:noFill/>
        </a:ln>
        <a:effectLst/>
      </c:spPr>
    </c:plotArea>
    <c:legend>
      <c:legendPos val="b"/>
      <c:layout>
        <c:manualLayout>
          <c:xMode val="edge"/>
          <c:yMode val="edge"/>
          <c:x val="7.1578215168153171E-3"/>
          <c:y val="0.75830245484020375"/>
          <c:w val="0.95684552301040704"/>
          <c:h val="0.2298512685914260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854013440"/>
        <w:category>
          <w:name w:val="General"/>
          <w:gallery w:val="placeholder"/>
        </w:category>
        <w:types>
          <w:type w:val="bbPlcHdr"/>
        </w:types>
        <w:behaviors>
          <w:behavior w:val="content"/>
        </w:behaviors>
        <w:guid w:val="{FAA846D3-F738-4FB3-ABFE-C1D703F42445}"/>
      </w:docPartPr>
      <w:docPartBody>
        <w:p w:rsidR="00BA73A2" w:rsidRDefault="0023432D">
          <w:r w:rsidRPr="004B71B1">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Neue">
    <w:altName w:val="Sylfaen"/>
    <w:charset w:val="00"/>
    <w:family w:val="auto"/>
    <w:pitch w:val="variable"/>
    <w:sig w:usb0="E50002FF" w:usb1="500079DB" w:usb2="00000010" w:usb3="00000000" w:csb0="00000001" w:csb1="00000000"/>
  </w:font>
  <w:font w:name="Tahoma">
    <w:panose1 w:val="020B0604030504040204"/>
    <w:charset w:val="00"/>
    <w:family w:val="swiss"/>
    <w:pitch w:val="variable"/>
    <w:sig w:usb0="E1002EFF" w:usb1="C000605B" w:usb2="00000029" w:usb3="00000000" w:csb0="0001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Myriad Pro Light">
    <w:altName w:val="Times New Roman"/>
    <w:charset w:val="00"/>
    <w:family w:val="auto"/>
    <w:pitch w:val="default"/>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432D"/>
    <w:rsid w:val="00022B05"/>
    <w:rsid w:val="00091FE3"/>
    <w:rsid w:val="000B26DE"/>
    <w:rsid w:val="0011116C"/>
    <w:rsid w:val="002052C8"/>
    <w:rsid w:val="0023432D"/>
    <w:rsid w:val="00241439"/>
    <w:rsid w:val="002A48AF"/>
    <w:rsid w:val="003B60A9"/>
    <w:rsid w:val="00400417"/>
    <w:rsid w:val="004539D4"/>
    <w:rsid w:val="004A6761"/>
    <w:rsid w:val="0052680B"/>
    <w:rsid w:val="006E2588"/>
    <w:rsid w:val="00723C83"/>
    <w:rsid w:val="008C6A69"/>
    <w:rsid w:val="00A02992"/>
    <w:rsid w:val="00A12AD1"/>
    <w:rsid w:val="00A156F9"/>
    <w:rsid w:val="00AA127D"/>
    <w:rsid w:val="00B548AC"/>
    <w:rsid w:val="00BA73A2"/>
    <w:rsid w:val="00C9579D"/>
    <w:rsid w:val="00CB11E6"/>
    <w:rsid w:val="00D277C7"/>
    <w:rsid w:val="00D63A0D"/>
    <w:rsid w:val="00D91405"/>
    <w:rsid w:val="00F331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539D4"/>
    <w:rPr>
      <w:color w:val="808080"/>
    </w:rPr>
  </w:style>
  <w:style w:type="paragraph" w:customStyle="1" w:styleId="FCAC9915526A47C8B10A5EA171107E21">
    <w:name w:val="FCAC9915526A47C8B10A5EA171107E21"/>
    <w:rsid w:val="00B548AC"/>
  </w:style>
  <w:style w:type="paragraph" w:customStyle="1" w:styleId="6D67BE762827438E97DDCD713D3FCF0E">
    <w:name w:val="6D67BE762827438E97DDCD713D3FCF0E"/>
    <w:rsid w:val="00B548AC"/>
  </w:style>
  <w:style w:type="paragraph" w:customStyle="1" w:styleId="B12BAF5B0E2A42BB8AF69284DE62F02B">
    <w:name w:val="B12BAF5B0E2A42BB8AF69284DE62F02B"/>
    <w:rsid w:val="00B548AC"/>
  </w:style>
  <w:style w:type="paragraph" w:customStyle="1" w:styleId="F335092C41D34965981C06218D2AAD49">
    <w:name w:val="F335092C41D34965981C06218D2AAD49"/>
    <w:rsid w:val="00B548AC"/>
  </w:style>
  <w:style w:type="paragraph" w:customStyle="1" w:styleId="0CDDD90E99A64D619744F7E10268A6CA">
    <w:name w:val="0CDDD90E99A64D619744F7E10268A6CA"/>
    <w:rsid w:val="00B548AC"/>
  </w:style>
  <w:style w:type="paragraph" w:customStyle="1" w:styleId="76FF0B1FBB334F14A7CB7D39C073EF8F">
    <w:name w:val="76FF0B1FBB334F14A7CB7D39C073EF8F"/>
    <w:rsid w:val="00B548AC"/>
  </w:style>
  <w:style w:type="paragraph" w:customStyle="1" w:styleId="31045D729CD142C5897383857859C02D">
    <w:name w:val="31045D729CD142C5897383857859C02D"/>
    <w:rsid w:val="004539D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00_ResearchPaper">
  <a:themeElements>
    <a:clrScheme name="00_ResearchPaper">
      <a:dk1>
        <a:srgbClr val="000000"/>
      </a:dk1>
      <a:lt1>
        <a:srgbClr val="FFFFFF"/>
      </a:lt1>
      <a:dk2>
        <a:srgbClr val="5E5E5E"/>
      </a:dk2>
      <a:lt2>
        <a:srgbClr val="D6D5D5"/>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00_ResearchPaper">
      <a:majorFont>
        <a:latin typeface="Helvetica Neue"/>
        <a:ea typeface="Helvetica Neue"/>
        <a:cs typeface="Helvetica Neue"/>
      </a:majorFont>
      <a:minorFont>
        <a:latin typeface="Helvetica Neue"/>
        <a:ea typeface="Helvetica Neue"/>
        <a:cs typeface="Helvetica Neue"/>
      </a:minorFont>
    </a:fontScheme>
    <a:fmtScheme name="00_ResearchPape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w="12700" cap="flat">
          <a:noFill/>
          <a:miter lim="400000"/>
        </a:ln>
        <a:effectLst/>
        <a:sp3d/>
      </a:spPr>
      <a:bodyPr rot="0" spcFirstLastPara="1" vertOverflow="overflow" horzOverflow="overflow" vert="horz" wrap="square" lIns="101600" tIns="101600" rIns="101600" bIns="1016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3264840-E65A-461D-94DE-53BC14EC7EA8}">
  <we:reference id="wa104382081" version="1.7.0.0" store="en-001" storeType="OMEX"/>
  <we:alternateReferences>
    <we:reference id="wa104382081" version="1.7.0.0" store="en-001" storeType="OMEX"/>
  </we:alternateReferences>
  <we:properties>
    <we:property name="MENDELEY_CITATIONS" value="[{&quot;citationID&quot;:&quot;MENDELEY_CITATION_d96f5076-5e18-44e9-8d89-6dfaefe288e3&quot;,&quot;citationItems&quot;:[{&quot;id&quot;:&quot;58611cd7-bd79-30d2-b3cc-4b326ca60882&quot;,&quot;itemData&quot;:{&quot;type&quot;:&quot;article-journal&quot;,&quot;id&quot;:&quot;58611cd7-bd79-30d2-b3cc-4b326ca60882&quot;,&quot;title&quot;:&quot;A Next Generation Connectivity Map: L1000 Platform and the First 1,000,000 Profiles&quot;,&quot;author&quot;:[{&quot;family&quot;:&quot;Subramanian&quot;,&quot;given&quot;:&quot;Aravind&quot;,&quot;parse-names&quot;:false,&quot;dropping-particle&quot;:&quot;&quot;,&quot;non-dropping-particle&quot;:&quot;&quot;},{&quot;family&quot;:&quot;Narayan&quot;,&quot;given&quot;:&quot;Rajiv&quot;,&quot;parse-names&quot;:false,&quot;dropping-particle&quot;:&quot;&quot;,&quot;non-dropping-particle&quot;:&quot;&quot;},{&quot;family&quot;:&quot;Corsello&quot;,&quot;given&quot;:&quot;Steven M.&quot;,&quot;parse-names&quot;:false,&quot;dropping-particle&quot;:&quot;&quot;,&quot;non-dropping-particle&quot;:&quot;&quot;},{&quot;family&quot;:&quot;Peck&quot;,&quot;given&quot;:&quot;David D.&quot;,&quot;parse-names&quot;:false,&quot;dropping-particle&quot;:&quot;&quot;,&quot;non-dropping-particle&quot;:&quot;&quot;},{&quot;family&quot;:&quot;Natoli&quot;,&quot;given&quot;:&quot;Ted E.&quot;,&quot;parse-names&quot;:false,&quot;dropping-particle&quot;:&quot;&quot;,&quot;non-dropping-particle&quot;:&quot;&quot;},{&quot;family&quot;:&quot;Lu&quot;,&quot;given&quot;:&quot;Xiaodong&quot;,&quot;parse-names&quot;:false,&quot;dropping-particle&quot;:&quot;&quot;,&quot;non-dropping-particle&quot;:&quot;&quot;},{&quot;family&quot;:&quot;Gould&quot;,&quot;given&quot;:&quot;Joshua&quot;,&quot;parse-names&quot;:false,&quot;dropping-particle&quot;:&quot;&quot;,&quot;non-dropping-particle&quot;:&quot;&quot;},{&quot;family&quot;:&quot;Davis&quot;,&quot;given&quot;:&quot;John F.&quot;,&quot;parse-names&quot;:false,&quot;dropping-particle&quot;:&quot;&quot;,&quot;non-dropping-particle&quot;:&quot;&quot;},{&quot;family&quot;:&quot;Tubelli&quot;,&quot;given&quot;:&quot;Andrew A.&quot;,&quot;parse-names&quot;:false,&quot;dropping-particle&quot;:&quot;&quot;,&quot;non-dropping-particle&quot;:&quot;&quot;},{&quot;family&quot;:&quot;Asiedu&quot;,&quot;given&quot;:&quot;Jacob K.&quot;,&quot;parse-names&quot;:false,&quot;dropping-particle&quot;:&quot;&quot;,&quot;non-dropping-particle&quot;:&quot;&quot;},{&quot;family&quot;:&quot;Lahr&quot;,&quot;given&quot;:&quot;David L.&quot;,&quot;parse-names&quot;:false,&quot;dropping-particle&quot;:&quot;&quot;,&quot;non-dropping-particle&quot;:&quot;&quot;},{&quot;family&quot;:&quot;Hirschman&quot;,&quot;given&quot;:&quot;Jodi E.&quot;,&quot;parse-names&quot;:false,&quot;dropping-particle&quot;:&quot;&quot;,&quot;non-dropping-particle&quot;:&quot;&quot;},{&quot;family&quot;:&quot;Liu&quot;,&quot;given&quot;:&quot;Zihan&quot;,&quot;parse-names&quot;:false,&quot;dropping-particle&quot;:&quot;&quot;,&quot;non-dropping-particle&quot;:&quot;&quot;},{&quot;family&quot;:&quot;Donahue&quot;,&quot;given&quot;:&quot;Melanie&quot;,&quot;parse-names&quot;:false,&quot;dropping-particle&quot;:&quot;&quot;,&quot;non-dropping-particle&quot;:&quot;&quot;},{&quot;family&quot;:&quot;Julian&quot;,&quot;given&quot;:&quot;Bina&quot;,&quot;parse-names&quot;:false,&quot;dropping-particle&quot;:&quot;&quot;,&quot;non-dropping-particle&quot;:&quot;&quot;},{&quot;family&quot;:&quot;Khan&quot;,&quot;given&quot;:&quot;Mariya&quot;,&quot;parse-names&quot;:false,&quot;dropping-particle&quot;:&quot;&quot;,&quot;non-dropping-particle&quot;:&quot;&quot;},{&quot;family&quot;:&quot;Wadden&quot;,&quot;given&quot;:&quot;David&quot;,&quot;parse-names&quot;:false,&quot;dropping-particle&quot;:&quot;&quot;,&quot;non-dropping-particle&quot;:&quot;&quot;},{&quot;family&quot;:&quot;Smith&quot;,&quot;given&quot;:&quot;Ian C.&quot;,&quot;parse-names&quot;:false,&quot;dropping-particle&quot;:&quot;&quot;,&quot;non-dropping-particle&quot;:&quot;&quot;},{&quot;family&quot;:&quot;Lam&quot;,&quot;given&quot;:&quot;Daniel&quot;,&quot;parse-names&quot;:false,&quot;dropping-particle&quot;:&quot;&quot;,&quot;non-dropping-particle&quot;:&quot;&quot;},{&quot;family&quot;:&quot;Liberzon&quot;,&quot;given&quot;:&quot;Arthur&quot;,&quot;parse-names&quot;:false,&quot;dropping-particle&quot;:&quot;&quot;,&quot;non-dropping-particle&quot;:&quot;&quot;},{&quot;family&quot;:&quot;Toder&quot;,&quot;given&quot;:&quot;Courtney&quot;,&quot;parse-names&quot;:false,&quot;dropping-particle&quot;:&quot;&quot;,&quot;non-dropping-particle&quot;:&quot;&quot;},{&quot;family&quot;:&quot;Bagul&quot;,&quot;given&quot;:&quot;Mukta&quot;,&quot;parse-names&quot;:false,&quot;dropping-particle&quot;:&quot;&quot;,&quot;non-dropping-particle&quot;:&quot;&quot;},{&quot;family&quot;:&quot;Orzechowski&quot;,&quot;given&quot;:&quot;Marek&quot;,&quot;parse-names&quot;:false,&quot;dropping-particle&quot;:&quot;&quot;,&quot;non-dropping-particle&quot;:&quot;&quot;},{&quot;family&quot;:&quot;Enache&quot;,&quot;given&quot;:&quot;Oana M.&quot;,&quot;parse-names&quot;:false,&quot;dropping-particle&quot;:&quot;&quot;,&quot;non-dropping-particle&quot;:&quot;&quot;},{&quot;family&quot;:&quot;Piccioni&quot;,&quot;given&quot;:&quot;Federica&quot;,&quot;parse-names&quot;:false,&quot;dropping-particle&quot;:&quot;&quot;,&quot;non-dropping-particle&quot;:&quot;&quot;},{&quot;family&quot;:&quot;Johnson&quot;,&quot;given&quot;:&quot;Sarah A.&quot;,&quot;parse-names&quot;:false,&quot;dropping-particle&quot;:&quot;&quot;,&quot;non-dropping-particle&quot;:&quot;&quot;},{&quot;family&quot;:&quot;Lyons&quot;,&quot;given&quot;:&quot;Nicholas J.&quot;,&quot;parse-names&quot;:false,&quot;dropping-particle&quot;:&quot;&quot;,&quot;non-dropping-particle&quot;:&quot;&quot;},{&quot;family&quot;:&quot;Berger&quot;,&quot;given&quot;:&quot;Alice H.&quot;,&quot;parse-names&quot;:false,&quot;dropping-particle&quot;:&quot;&quot;,&quot;non-dropping-particle&quot;:&quot;&quot;},{&quot;family&quot;:&quot;Shamji&quot;,&quot;given&quot;:&quot;Alykhan F.&quot;,&quot;parse-names&quot;:false,&quot;dropping-particle&quot;:&quot;&quot;,&quot;non-dropping-particle&quot;:&quot;&quot;},{&quot;family&quot;:&quot;Brooks&quot;,&quot;given&quot;:&quot;Angela N.&quot;,&quot;parse-names&quot;:false,&quot;dropping-particle&quot;:&quot;&quot;,&quot;non-dropping-particle&quot;:&quot;&quot;},{&quot;family&quot;:&quot;Vrcic&quot;,&quot;given&quot;:&quot;Anita&quot;,&quot;parse-names&quot;:false,&quot;dropping-particle&quot;:&quot;&quot;,&quot;non-dropping-particle&quot;:&quot;&quot;},{&quot;family&quot;:&quot;Flynn&quot;,&quot;given&quot;:&quot;Corey&quot;,&quot;parse-names&quot;:false,&quot;dropping-particle&quot;:&quot;&quot;,&quot;non-dropping-particle&quot;:&quot;&quot;},{&quot;family&quot;:&quot;Rosains&quot;,&quot;given&quot;:&quot;Jacqueline&quot;,&quot;parse-names&quot;:false,&quot;dropping-particle&quot;:&quot;&quot;,&quot;non-dropping-particle&quot;:&quot;&quot;},{&quot;family&quot;:&quot;Takeda&quot;,&quot;given&quot;:&quot;David Y.&quot;,&quot;parse-names&quot;:false,&quot;dropping-particle&quot;:&quot;&quot;,&quot;non-dropping-particle&quot;:&quot;&quot;},{&quot;family&quot;:&quot;Hu&quot;,&quot;given&quot;:&quot;Roger&quot;,&quot;parse-names&quot;:false,&quot;dropping-particle&quot;:&quot;&quot;,&quot;non-dropping-particle&quot;:&quot;&quot;},{&quot;family&quot;:&quot;Davison&quot;,&quot;given&quot;:&quot;Desiree&quot;,&quot;parse-names&quot;:false,&quot;dropping-particle&quot;:&quot;&quot;,&quot;non-dropping-particle&quot;:&quot;&quot;},{&quot;family&quot;:&quot;Lamb&quot;,&quot;given&quot;:&quot;Justin&quot;,&quot;parse-names&quot;:false,&quot;dropping-particle&quot;:&quot;&quot;,&quot;non-dropping-particle&quot;:&quot;&quot;},{&quot;family&quot;:&quot;Ardlie&quot;,&quot;given&quot;:&quot;Kristin&quot;,&quot;parse-names&quot;:false,&quot;dropping-particle&quot;:&quot;&quot;,&quot;non-dropping-particle&quot;:&quot;&quot;},{&quot;family&quot;:&quot;Hogstrom&quot;,&quot;given&quot;:&quot;Larson&quot;,&quot;parse-names&quot;:false,&quot;dropping-particle&quot;:&quot;&quot;,&quot;non-dropping-particle&quot;:&quot;&quot;},{&quot;family&quot;:&quot;Greenside&quot;,&quot;given&quot;:&quot;Peyton&quot;,&quot;parse-names&quot;:false,&quot;dropping-particle&quot;:&quot;&quot;,&quot;non-dropping-particle&quot;:&quot;&quot;},{&quot;family&quot;:&quot;Gray&quot;,&quot;given&quot;:&quot;Nathanael S.&quot;,&quot;parse-names&quot;:false,&quot;dropping-particle&quot;:&quot;&quot;,&quot;non-dropping-particle&quot;:&quot;&quot;},{&quot;family&quot;:&quot;Clemons&quot;,&quot;given&quot;:&quot;Paul A.&quot;,&quot;parse-names&quot;:false,&quot;dropping-particle&quot;:&quot;&quot;,&quot;non-dropping-particle&quot;:&quot;&quot;},{&quot;family&quot;:&quot;Silver&quot;,&quot;given&quot;:&quot;Serena&quot;,&quot;parse-names&quot;:false,&quot;dropping-particle&quot;:&quot;&quot;,&quot;non-dropping-particle&quot;:&quot;&quot;},{&quot;family&quot;:&quot;Wu&quot;,&quot;given&quot;:&quot;Xiaoyun&quot;,&quot;parse-names&quot;:false,&quot;dropping-particle&quot;:&quot;&quot;,&quot;non-dropping-particle&quot;:&quot;&quot;},{&quot;family&quot;:&quot;Zhao&quot;,&quot;given&quot;:&quot;Wen Ning&quot;,&quot;parse-names&quot;:false,&quot;dropping-particle&quot;:&quot;&quot;,&quot;non-dropping-particle&quot;:&quot;&quot;},{&quot;family&quot;:&quot;Read-Button&quot;,&quot;given&quot;:&quot;Willis&quot;,&quot;parse-names&quot;:false,&quot;dropping-particle&quot;:&quot;&quot;,&quot;non-dropping-particle&quot;:&quot;&quot;},{&quot;family&quot;:&quot;Wu&quot;,&quot;given&quot;:&quot;Xiaohua&quot;,&quot;parse-names&quot;:false,&quot;dropping-particle&quot;:&quot;&quot;,&quot;non-dropping-particle&quot;:&quot;&quot;},{&quot;family&quot;:&quot;Haggarty&quot;,&quot;given&quot;:&quot;Stephen J.&quot;,&quot;parse-names&quot;:false,&quot;dropping-particle&quot;:&quot;&quot;,&quot;non-dropping-particle&quot;:&quot;&quot;},{&quot;family&quot;:&quot;Ronco&quot;,&quot;given&quot;:&quot;Lucienne&quot;,&quot;parse-names&quot;:false,&quot;dropping-particle&quot;:&quot;v.&quot;,&quot;non-dropping-particle&quot;:&quot;&quot;},{&quot;family&quot;:&quot;Boehm&quot;,&quot;given&quot;:&quot;Jesse S.&quot;,&quot;parse-names&quot;:false,&quot;dropping-particle&quot;:&quot;&quot;,&quot;non-dropping-particle&quot;:&quot;&quot;},{&quot;family&quot;:&quot;Schreiber&quot;,&quot;given&quot;:&quot;Stuart L.&quot;,&quot;parse-names&quot;:false,&quot;dropping-particle&quot;:&quot;&quot;,&quot;non-dropping-particle&quot;:&quot;&quot;},{&quot;family&quot;:&quot;Doench&quot;,&quot;given&quot;:&quot;John G.&quot;,&quot;parse-names&quot;:false,&quot;dropping-particle&quot;:&quot;&quot;,&quot;non-dropping-particle&quot;:&quot;&quot;},{&quot;family&quot;:&quot;Bittker&quot;,&quot;given&quot;:&quot;Joshua A.&quot;,&quot;parse-names&quot;:false,&quot;dropping-particle&quot;:&quot;&quot;,&quot;non-dropping-particle&quot;:&quot;&quot;},{&quot;family&quot;:&quot;Root&quot;,&quot;given&quot;:&quot;David E.&quot;,&quot;parse-names&quot;:false,&quot;dropping-particle&quot;:&quot;&quot;,&quot;non-dropping-particle&quot;:&quot;&quot;},{&quot;family&quot;:&quot;Wong&quot;,&quot;given&quot;:&quot;Bang&quot;,&quot;parse-names&quot;:false,&quot;dropping-particle&quot;:&quot;&quot;,&quot;non-dropping-particle&quot;:&quot;&quot;},{&quot;family&quot;:&quot;Golub&quot;,&quot;given&quot;:&quot;Todd R.&quot;,&quot;parse-names&quot;:false,&quot;dropping-particle&quot;:&quot;&quot;,&quot;non-dropping-particle&quot;:&quot;&quot;}],&quot;container-title&quot;:&quot;Cell&quot;,&quot;DOI&quot;:&quot;10.1016/j.cell.2017.10.049&quot;,&quot;ISSN&quot;:&quot;10974172&quot;,&quot;PMID&quot;:&quot;29195078&quot;,&quot;issued&quot;:{&quot;date-parts&quot;:[[2017]]},&quot;abstract&quot;:&quot;We previously piloted the concept of a Connectivity Map (CMap), whereby genes, drugs, and disease states are connected by virtue of common gene-expression signatures. Here, we report more than a 1,000-fold scale-up of the CMap as part of the NIH LINCS Consortium, made possible by a new, low-cost, high-throughput reduced representation expression profiling method that we term L1000. We show that L1000 is highly reproducible, comparable to RNA sequencing, and suitable for computational inference of the expression levels of 81% of non-measured transcripts. We further show that the expanded CMap can be used to discover mechanism of action of small molecules, functionally annotate genetic variants of disease genes, and inform clinical trials. The 1.3 million L1000 profiles described here, as well as tools for their analysis, are available at https://clue.io. The next generation Connectivity Map, a large-scale compendium of functional perturbations in cultured human cells coupled to a gene-expression readout, facilitates the discovery of connections between genes, drugs, and diseases.&quot;},&quot;isTemporary&quot;:false}],&quot;properties&quot;:{&quot;noteIndex&quot;:0},&quot;isEdited&quot;:false,&quot;manualOverride&quot;:{&quot;isManuallyOverriden&quot;:false,&quot;citeprocText&quot;:&quot;&lt;sup&gt;1&lt;/sup&gt;&quot;,&quot;manualOverrideText&quot;:&quot;&quot;}},{&quot;citationID&quot;:&quot;MENDELEY_CITATION_43830e25-75a1-4749-899b-3400194c730a&quot;,&quot;citationItems&quot;:[{&quot;id&quot;:&quot;54031840-6efb-38ef-ac7c-42e4a5682a26&quot;,&quot;itemData&quot;:{&quot;type&quot;:&quot;article&quot;,&quot;id&quot;:&quot;54031840-6efb-38ef-ac7c-42e4a5682a26&quot;,&quot;title&quot;:&quot;A dataset of images and morphological profiles of 30 000 small-molecule treatments using the Cell Painting assay&quot;,&quot;author&quot;:[{&quot;family&quot;:&quot;Bray&quot;,&quot;given&quot;:&quot;Mark Anthony&quot;,&quot;parse-names&quot;:false,&quot;dropping-particle&quot;:&quot;&quot;,&quot;non-dropping-particle&quot;:&quot;&quot;},{&quot;family&quot;:&quot;Gustafsdottir&quot;,&quot;given&quot;:&quot;Sigrun M.&quot;,&quot;parse-names&quot;:false,&quot;dropping-particle&quot;:&quot;&quot;,&quot;non-dropping-particle&quot;:&quot;&quot;},{&quot;family&quot;:&quot;Rohban&quot;,&quot;given&quot;:&quot;Mohammad H.&quot;,&quot;parse-names&quot;:false,&quot;dropping-particle&quot;:&quot;&quot;,&quot;non-dropping-particle&quot;:&quot;&quot;},{&quot;family&quot;:&quot;Singh&quot;,&quot;given&quot;:&quot;Shantanu&quot;,&quot;parse-names&quot;:false,&quot;dropping-particle&quot;:&quot;&quot;,&quot;non-dropping-particle&quot;:&quot;&quot;},{&quot;family&quot;:&quot;Ljosa&quot;,&quot;given&quot;:&quot;Vebjorn&quot;,&quot;parse-names&quot;:false,&quot;dropping-particle&quot;:&quot;&quot;,&quot;non-dropping-particle&quot;:&quot;&quot;},{&quot;family&quot;:&quot;Sokolnicki&quot;,&quot;given&quot;:&quot;Katherine L.&quot;,&quot;parse-names&quot;:false,&quot;dropping-particle&quot;:&quot;&quot;,&quot;non-dropping-particle&quot;:&quot;&quot;},{&quot;family&quot;:&quot;Bittker&quot;,&quot;given&quot;:&quot;Joshua A.&quot;,&quot;parse-names&quot;:false,&quot;dropping-particle&quot;:&quot;&quot;,&quot;non-dropping-particle&quot;:&quot;&quot;},{&quot;family&quot;:&quot;Bodycombe&quot;,&quot;given&quot;:&quot;Nicole E.&quot;,&quot;parse-names&quot;:false,&quot;dropping-particle&quot;:&quot;&quot;,&quot;non-dropping-particle&quot;:&quot;&quot;},{&quot;family&quot;:&quot;Dančík&quot;,&quot;given&quot;:&quot;Vlado&quot;,&quot;parse-names&quot;:false,&quot;dropping-particle&quot;:&quot;&quot;,&quot;non-dropping-particle&quot;:&quot;&quot;},{&quot;family&quot;:&quot;Hasaka&quot;,&quot;given&quot;:&quot;Thomas P.&quot;,&quot;parse-names&quot;:false,&quot;dropping-particle&quot;:&quot;&quot;,&quot;non-dropping-particle&quot;:&quot;&quot;},{&quot;family&quot;:&quot;Hon&quot;,&quot;given&quot;:&quot;Cindy S.&quot;,&quot;parse-names&quot;:false,&quot;dropping-particle&quot;:&quot;&quot;,&quot;non-dropping-particle&quot;:&quot;&quot;},{&quot;family&quot;:&quot;Kemp&quot;,&quot;given&quot;:&quot;Melissa M.&quot;,&quot;parse-names&quot;:false,&quot;dropping-particle&quot;:&quot;&quot;,&quot;non-dropping-particle&quot;:&quot;&quot;},{&quot;family&quot;:&quot;Li&quot;,&quot;given&quot;:&quot;Kejie&quot;,&quot;parse-names&quot;:false,&quot;dropping-particle&quot;:&quot;&quot;,&quot;non-dropping-particle&quot;:&quot;&quot;},{&quot;family&quot;:&quot;Walpita&quot;,&quot;given&quot;:&quot;Deepika&quot;,&quot;parse-names&quot;:false,&quot;dropping-particle&quot;:&quot;&quot;,&quot;non-dropping-particle&quot;:&quot;&quot;},{&quot;family&quot;:&quot;Wawer&quot;,&quot;given&quot;:&quot;Mathias J.&quot;,&quot;parse-names&quot;:false,&quot;dropping-particle&quot;:&quot;&quot;,&quot;non-dropping-particle&quot;:&quot;&quot;},{&quot;family&quot;:&quot;Golub&quot;,&quot;given&quot;:&quot;Todd R.&quot;,&quot;parse-names&quot;:false,&quot;dropping-particle&quot;:&quot;&quot;,&quot;non-dropping-particle&quot;:&quot;&quot;},{&quot;family&quot;:&quot;Schreiber&quot;,&quot;given&quot;:&quot;Stuart L.&quot;,&quot;parse-names&quot;:false,&quot;dropping-particle&quot;:&quot;&quot;,&quot;non-dropping-particle&quot;:&quot;&quot;},{&quot;family&quot;:&quot;Clemons&quot;,&quot;given&quot;:&quot;Paul A.&quot;,&quot;parse-names&quot;:false,&quot;dropping-particle&quot;:&quot;&quot;,&quot;non-dropping-particle&quot;:&quot;&quot;},{&quot;family&quot;:&quot;Shamji&quot;,&quot;given&quot;:&quot;Alykhan F.&quot;,&quot;parse-names&quot;:false,&quot;dropping-particle&quot;:&quot;&quot;,&quot;non-dropping-particle&quot;:&quot;&quot;},{&quot;family&quot;:&quot;Carpenter&quot;,&quot;given&quot;:&quot;Anne E.&quot;,&quot;parse-names&quot;:false,&quot;dropping-particle&quot;:&quot;&quot;,&quot;non-dropping-particle&quot;:&quot;&quot;}],&quot;container-title&quot;:&quot;GigaScience&quot;,&quot;DOI&quot;:&quot;10.1093/gigascience/giw014&quot;,&quot;ISSN&quot;:&quot;2047217X&quot;,&quot;issued&quot;:{&quot;date-parts&quot;:[[2017]]},&quot;abstract&quot;:&quot;Background: Large-scale image sets acquired by automated microscopy of perturbed samples enable a detailed comparison of cell states induced by each perturbation, such as a small molecule from a diverse library. Highly multiplexed measurements of cellular morphology can be extracted from each image and subsequently mined for a number of applications. Findings: This microscopy dataset includes 919 265 five-channel fields of view, representing 30 616 tested compounds, available at \&quot;The Cell Image Library\&quot; (CIL) repository. It also includes data files containing morphological features derived from each cell in each image, both at the single-cell level and population-averaged (i.e., per-well) level; the image analysis workflows that generated the morphological features are also provided. Quality-control metrics are provided as metadata, indicating fields of view that are out-of-focus or containing highly fluorescent material or debris. Lastly, chemical annotations are supplied for the compound treatments applied. Conclusions: Because computational algorithms and methods for handling single-cell morphological measurements are not yet routine, the dataset serves as a useful resource for the wider scientific community applying morphological (image-based) profiling. The dataset can be mined for many purposes, including small-molecule library enrichment and chemical mechanism-of-action studies, such as target identification. Integration with genetically perturbed datasets could enable identification of small-molecule mimetics of particular disease- or gene-related phenotypes that could be useful as probes or potential starting points for development of future therapeutics.&quot;},&quot;isTemporary&quot;:false}],&quot;properties&quot;:{&quot;noteIndex&quot;:0},&quot;isEdited&quot;:false,&quot;manualOverride&quot;:{&quot;isManuallyOverriden&quot;:false,&quot;citeprocText&quot;:&quot;&lt;sup&gt;2&lt;/sup&gt;&quot;,&quot;manualOverrideText&quot;:&quot;&quot;}},{&quot;citationID&quot;:&quot;MENDELEY_CITATION_d3bd2204-51ef-4aad-8a7d-11fc089f2288&quot;,&quot;citationItems&quot;:[{&quot;id&quot;:&quot;be316f21-cfab-38ee-bc6d-2a9e13f2d783&quot;,&quot;itemData&quot;:{&quot;type&quot;:&quot;article&quot;,&quot;id&quot;:&quot;be316f21-cfab-38ee-bc6d-2a9e13f2d783&quot;,&quot;title&quot;:&quot;Applications in image-based profiling of perturbations&quot;,&quot;author&quot;:[{&quot;family&quot;:&quot;Caicedo&quot;,&quot;given&quot;:&quot;Juan C.&quot;,&quot;parse-names&quot;:false,&quot;dropping-particle&quot;:&quot;&quot;,&quot;non-dropping-particle&quot;:&quot;&quot;},{&quot;family&quot;:&quot;Singh&quot;,&quot;given&quot;:&quot;Shantanu&quot;,&quot;parse-names&quot;:false,&quot;dropping-particle&quot;:&quot;&quot;,&quot;non-dropping-particle&quot;:&quot;&quot;},{&quot;family&quot;:&quot;Carpenter&quot;,&quot;given&quot;:&quot;Anne E.&quot;,&quot;parse-names&quot;:false,&quot;dropping-particle&quot;:&quot;&quot;,&quot;non-dropping-particle&quot;:&quot;&quot;}],&quot;container-title&quot;:&quot;Current Opinion in Biotechnology&quot;,&quot;DOI&quot;:&quot;10.1016/j.copbio.2016.04.003&quot;,&quot;ISSN&quot;:&quot;18790429&quot;,&quot;issued&quot;:{&quot;date-parts&quot;:[[2016]]},&quot;abstract&quot;:&quot;A dramatic shift has occurred in how biologists use microscopy images. Whether experiments are small-scale or high-throughput, automatically quantifying biological properties in images is now widespread. We see yet another revolution under way: a transition towards using automated image analysis to not only identify phenotypes a biologist specifically seeks to measure ('screening') but also as an unbiased and sensitive tool to capture a wide variety of subtle features of cell (or organism) state ('profiling'). Mapping similarities among samples using image-based (morphological) profiling has tremendous potential to transform drug discovery, functional genomics, and basic biological research. Applications include target identification, lead hopping, library enrichment, functionally annotating genes/alleles, and identifying small molecule modulators of gene activity and disease-specific phenotypes.&quot;},&quot;isTemporary&quot;:false}],&quot;properties&quot;:{&quot;noteIndex&quot;:0},&quot;isEdited&quot;:false,&quot;manualOverride&quot;:{&quot;isManuallyOverriden&quot;:false,&quot;citeprocText&quot;:&quot;&lt;sup&gt;3&lt;/sup&gt;&quot;,&quot;manualOverrideText&quot;:&quot;&quot;}},{&quot;citationID&quot;:&quot;MENDELEY_CITATION_1a4560c6-6e75-4dbb-b805-71409056f9ce&quot;,&quot;citationItems&quot;:[{&quot;id&quot;:&quot;f6fa0257-2710-3c59-8100-ae7d1508eb90&quot;,&quot;itemData&quot;:{&quot;type&quot;:&quot;article-journal&quot;,&quot;id&quot;:&quot;f6fa0257-2710-3c59-8100-ae7d1508eb90&quot;,&quot;title&quot;:&quot;Cell Painting, a high-content image-based assay for morphological profiling using multiplexed fluorescent dyes&quot;,&quot;author&quot;:[{&quot;family&quot;:&quot;Bray&quot;,&quot;given&quot;:&quot;Mark-Anthony&quot;,&quot;parse-names&quot;:false,&quot;dropping-particle&quot;:&quot;&quot;,&quot;non-dropping-particle&quot;:&quot;&quot;},{&quot;family&quot;:&quot;Singh&quot;,&quot;given&quot;:&quot;Shantanu&quot;,&quot;parse-names&quot;:false,&quot;dropping-particle&quot;:&quot;&quot;,&quot;non-dropping-particle&quot;:&quot;&quot;},{&quot;family&quot;:&quot;Han&quot;,&quot;given&quot;:&quot;Han&quot;,&quot;parse-names&quot;:false,&quot;dropping-particle&quot;:&quot;&quot;,&quot;non-dropping-particle&quot;:&quot;&quot;},{&quot;family&quot;:&quot;Davis&quot;,&quot;given&quot;:&quot;Chadwick T&quot;,&quot;parse-names&quot;:false,&quot;dropping-particle&quot;:&quot;&quot;,&quot;non-dropping-particle&quot;:&quot;&quot;},{&quot;family&quot;:&quot;Borgeson&quot;,&quot;given&quot;:&quot;Blake&quot;,&quot;parse-names&quot;:false,&quot;dropping-particle&quot;:&quot;&quot;,&quot;non-dropping-particle&quot;:&quot;&quot;},{&quot;family&quot;:&quot;Hartland&quot;,&quot;given&quot;:&quot;Cathy&quot;,&quot;parse-names&quot;:false,&quot;dropping-particle&quot;:&quot;&quot;,&quot;non-dropping-particle&quot;:&quot;&quot;},{&quot;family&quot;:&quot;Kost-Alimova&quot;,&quot;given&quot;:&quot;Maria&quot;,&quot;parse-names&quot;:false,&quot;dropping-particle&quot;:&quot;&quot;,&quot;non-dropping-particle&quot;:&quot;&quot;},{&quot;family&quot;:&quot;Gustafsdottir&quot;,&quot;given&quot;:&quot;Sigrun M&quot;,&quot;parse-names&quot;:false,&quot;dropping-particle&quot;:&quot;&quot;,&quot;non-dropping-particle&quot;:&quot;&quot;},{&quot;family&quot;:&quot;Gibson&quot;,&quot;given&quot;:&quot;Christopher C&quot;,&quot;parse-names&quot;:false,&quot;dropping-particle&quot;:&quot;&quot;,&quot;non-dropping-particle&quot;:&quot;&quot;},{&quot;family&quot;:&quot;Carpenter&quot;,&quot;given&quot;:&quot;Anne E&quot;,&quot;parse-names&quot;:false,&quot;dropping-particle&quot;:&quot;&quot;,&quot;non-dropping-particle&quot;:&quot;&quot;}],&quot;container-title&quot;:&quot;Nature Protocols&quot;,&quot;DOI&quot;:&quot;10.1038/nprot.2016.105&quot;,&quot;URL&quot;:&quot;https://doi.org/10.1038%2Fnprot.2016.105&quot;,&quot;issued&quot;:{&quot;date-parts&quot;:[[2016,8]]},&quot;page&quot;:&quot;1757-1774&quot;,&quot;publisher&quot;:&quot;Springer Science and Business Media {LLC}&quot;,&quot;issue&quot;:&quot;9&quot;,&quot;volume&quot;:&quot;11&quot;},&quot;isTemporary&quot;:false}],&quot;properties&quot;:{&quot;noteIndex&quot;:0},&quot;isEdited&quot;:false,&quot;manualOverride&quot;:{&quot;isManuallyOverriden&quot;:false,&quot;citeprocText&quot;:&quot;&lt;sup&gt;4&lt;/sup&gt;&quot;,&quot;manualOverrideText&quot;:&quot;&quot;}},{&quot;citationID&quot;:&quot;MENDELEY_CITATION_9ec5b46a-d937-4ea6-a9bc-a4a76fdbcb40&quot;,&quot;citationItems&quot;:[{&quot;id&quot;:&quot;2378f54b-bd79-3bf9-9383-edf483956f6e&quot;,&quot;itemData&quot;:{&quot;type&quot;:&quot;article-journal&quot;,&quot;id&quot;:&quot;2378f54b-bd79-3bf9-9383-edf483956f6e&quot;,&quot;title&quot;:&quot;Improved structure, function and compatibility for cellprofiler: Modular high-throughput image analysis software&quot;,&quot;author&quot;:[{&quot;family&quot;:&quot;Kamentsky&quot;,&quot;given&quot;:&quot;Lee&quot;,&quot;parse-names&quot;:false,&quot;dropping-particle&quot;:&quot;&quot;,&quot;non-dropping-particle&quot;:&quot;&quot;},{&quot;family&quot;:&quot;Jones&quot;,&quot;given&quot;:&quot;Thouis R.&quot;,&quot;parse-names&quot;:false,&quot;dropping-particle&quot;:&quot;&quot;,&quot;non-dropping-particle&quot;:&quot;&quot;},{&quot;family&quot;:&quot;Fraser&quot;,&quot;given&quot;:&quot;Adam&quot;,&quot;parse-names&quot;:false,&quot;dropping-particle&quot;:&quot;&quot;,&quot;non-dropping-particle&quot;:&quot;&quot;},{&quot;family&quot;:&quot;Bray&quot;,&quot;given&quot;:&quot;Mark Anthony&quot;,&quot;parse-names&quot;:false,&quot;dropping-particle&quot;:&quot;&quot;,&quot;non-dropping-particle&quot;:&quot;&quot;},{&quot;family&quot;:&quot;Logan&quot;,&quot;given&quot;:&quot;David J.&quot;,&quot;parse-names&quot;:false,&quot;dropping-particle&quot;:&quot;&quot;,&quot;non-dropping-particle&quot;:&quot;&quot;},{&quot;family&quot;:&quot;Madden&quot;,&quot;given&quot;:&quot;Katherine L.&quot;,&quot;parse-names&quot;:false,&quot;dropping-particle&quot;:&quot;&quot;,&quot;non-dropping-particle&quot;:&quot;&quot;},{&quot;family&quot;:&quot;Ljosa&quot;,&quot;given&quot;:&quot;Vebjorn&quot;,&quot;parse-names&quot;:false,&quot;dropping-particle&quot;:&quot;&quot;,&quot;non-dropping-particle&quot;:&quot;&quot;},{&quot;family&quot;:&quot;Rueden&quot;,&quot;given&quot;:&quot;Curtis&quot;,&quot;parse-names&quot;:false,&quot;dropping-particle&quot;:&quot;&quot;,&quot;non-dropping-particle&quot;:&quot;&quot;},{&quot;family&quot;:&quot;Eliceiri&quot;,&quot;given&quot;:&quot;Kevin W.&quot;,&quot;parse-names&quot;:false,&quot;dropping-particle&quot;:&quot;&quot;,&quot;non-dropping-particle&quot;:&quot;&quot;},{&quot;family&quot;:&quot;Carpenter&quot;,&quot;given&quot;:&quot;Anne E.&quot;,&quot;parse-names&quot;:false,&quot;dropping-particle&quot;:&quot;&quot;,&quot;non-dropping-particle&quot;:&quot;&quot;}],&quot;container-title&quot;:&quot;Bioinformatics&quot;,&quot;DOI&quot;:&quot;10.1093/bioinformatics/btr095&quot;,&quot;ISSN&quot;:&quot;13674803&quot;,&quot;issued&quot;:{&quot;date-parts&quot;:[[2011]]},&quot;abstract&quot;:&quot;Summary: There is a strong and growing need in the biology research community for accurate, automated image analysis. Here, we describe CellProfiler 2.0, which has been engineered to meet the needs of its growing user base. It is more robust and user friendly, with new algorithms and features to facilitate high-throughput work. ImageJ plugins can now be run within a CellProfiler pipeline. © The Author 2011. Published by Oxford University Press. All rights reserved.&quot;},&quot;isTemporary&quot;:false}],&quot;properties&quot;:{&quot;noteIndex&quot;:0},&quot;isEdited&quot;:false,&quot;manualOverride&quot;:{&quot;isManuallyOverriden&quot;:false,&quot;citeprocText&quot;:&quot;&lt;sup&gt;5&lt;/sup&gt;&quot;,&quot;manualOverrideText&quot;:&quot;&quot;}},{&quot;citationID&quot;:&quot;MENDELEY_CITATION_84ec1f9f-ddd9-49ff-b496-65d81f5004fc&quot;,&quot;citationItems&quot;:[{&quot;id&quot;:&quot;4860dd5b-798c-3a6c-9352-d9db9efcb835&quot;,&quot;itemData&quot;:{&quot;type&quot;:&quot;article-journal&quot;,&quot;id&quot;:&quot;4860dd5b-798c-3a6c-9352-d9db9efcb835&quot;,&quot;title&quot;:&quot;Data-analysis strategies for image-based cell profiling&quot;,&quot;author&quot;:[{&quot;family&quot;:&quot;Caicedo&quot;,&quot;given&quot;:&quot;Juan C.&quot;,&quot;parse-names&quot;:false,&quot;dropping-particle&quot;:&quot;&quot;,&quot;non-dropping-particle&quot;:&quot;&quot;},{&quot;family&quot;:&quot;Cooper&quot;,&quot;given&quot;:&quot;Sam&quot;,&quot;parse-names&quot;:false,&quot;dropping-particle&quot;:&quot;&quot;,&quot;non-dropping-particle&quot;:&quot;&quot;},{&quot;family&quot;:&quot;Heigwer&quot;,&quot;given&quot;:&quot;Florian&quot;,&quot;parse-names&quot;:false,&quot;dropping-particle&quot;:&quot;&quot;,&quot;non-dropping-particle&quot;:&quot;&quot;},{&quot;family&quot;:&quot;Warchal&quot;,&quot;given&quot;:&quot;Scott&quot;,&quot;parse-names&quot;:false,&quot;dropping-particle&quot;:&quot;&quot;,&quot;non-dropping-particle&quot;:&quot;&quot;},{&quot;family&quot;:&quot;Qiu&quot;,&quot;given&quot;:&quot;Peng&quot;,&quot;parse-names&quot;:false,&quot;dropping-particle&quot;:&quot;&quot;,&quot;non-dropping-particle&quot;:&quot;&quot;},{&quot;family&quot;:&quot;Molnar&quot;,&quot;given&quot;:&quot;Csaba&quot;,&quot;parse-names&quot;:false,&quot;dropping-particle&quot;:&quot;&quot;,&quot;non-dropping-particle&quot;:&quot;&quot;},{&quot;family&quot;:&quot;Vasilevich&quot;,&quot;given&quot;:&quot;Aliaksei S.&quot;,&quot;parse-names&quot;:false,&quot;dropping-particle&quot;:&quot;&quot;,&quot;non-dropping-particle&quot;:&quot;&quot;},{&quot;family&quot;:&quot;Barry&quot;,&quot;given&quot;:&quot;Joseph D.&quot;,&quot;parse-names&quot;:false,&quot;dropping-particle&quot;:&quot;&quot;,&quot;non-dropping-particle&quot;:&quot;&quot;},{&quot;family&quot;:&quot;Bansal&quot;,&quot;given&quot;:&quot;Harmanjit Singh&quot;,&quot;parse-names&quot;:false,&quot;dropping-particle&quot;:&quot;&quot;,&quot;non-dropping-particle&quot;:&quot;&quot;},{&quot;family&quot;:&quot;Kraus&quot;,&quot;given&quot;:&quot;Oren&quot;,&quot;parse-names&quot;:false,&quot;dropping-particle&quot;:&quot;&quot;,&quot;non-dropping-particle&quot;:&quot;&quot;},{&quot;family&quot;:&quot;Wawer&quot;,&quot;given&quot;:&quot;Mathias&quot;,&quot;parse-names&quot;:false,&quot;dropping-particle&quot;:&quot;&quot;,&quot;non-dropping-particle&quot;:&quot;&quot;},{&quot;family&quot;:&quot;Paavolainen&quot;,&quot;given&quot;:&quot;Lassi&quot;,&quot;parse-names&quot;:false,&quot;dropping-particle&quot;:&quot;&quot;,&quot;non-dropping-particle&quot;:&quot;&quot;},{&quot;family&quot;:&quot;Herrmann&quot;,&quot;given&quot;:&quot;Markus D.&quot;,&quot;parse-names&quot;:false,&quot;dropping-particle&quot;:&quot;&quot;,&quot;non-dropping-particle&quot;:&quot;&quot;},{&quot;family&quot;:&quot;Rohban&quot;,&quot;given&quot;:&quot;Mohammad&quot;,&quot;parse-names&quot;:false,&quot;dropping-particle&quot;:&quot;&quot;,&quot;non-dropping-particle&quot;:&quot;&quot;},{&quot;family&quot;:&quot;Hung&quot;,&quot;given&quot;:&quot;Jane&quot;,&quot;parse-names&quot;:false,&quot;dropping-particle&quot;:&quot;&quot;,&quot;non-dropping-particle&quot;:&quot;&quot;},{&quot;family&quot;:&quot;Hennig&quot;,&quot;given&quot;:&quot;Holger&quot;,&quot;parse-names&quot;:false,&quot;dropping-particle&quot;:&quot;&quot;,&quot;non-dropping-particle&quot;:&quot;&quot;},{&quot;family&quot;:&quot;Concannon&quot;,&quot;given&quot;:&quot;John&quot;,&quot;parse-names&quot;:false,&quot;dropping-particle&quot;:&quot;&quot;,&quot;non-dropping-particle&quot;:&quot;&quot;},{&quot;family&quot;:&quot;Smith&quot;,&quot;given&quot;:&quot;Ian&quot;,&quot;parse-names&quot;:false,&quot;dropping-particle&quot;:&quot;&quot;,&quot;non-dropping-particle&quot;:&quot;&quot;},{&quot;family&quot;:&quot;Clemons&quot;,&quot;given&quot;:&quot;Paul A.&quot;,&quot;parse-names&quot;:false,&quot;dropping-particle&quot;:&quot;&quot;,&quot;non-dropping-particle&quot;:&quot;&quot;},{&quot;family&quot;:&quot;Singh&quot;,&quot;given&quot;:&quot;Shantanu&quot;,&quot;parse-names&quot;:false,&quot;dropping-particle&quot;:&quot;&quot;,&quot;non-dropping-particle&quot;:&quot;&quot;},{&quot;family&quot;:&quot;Rees&quot;,&quot;given&quot;:&quot;Paul&quot;,&quot;parse-names&quot;:false,&quot;dropping-particle&quot;:&quot;&quot;,&quot;non-dropping-particle&quot;:&quot;&quot;},{&quot;family&quot;:&quot;Horvath&quot;,&quot;given&quot;:&quot;Peter&quot;,&quot;parse-names&quot;:false,&quot;dropping-particle&quot;:&quot;&quot;,&quot;non-dropping-particle&quot;:&quot;&quot;},{&quot;family&quot;:&quot;Linington&quot;,&quot;given&quot;:&quot;Roger G.&quot;,&quot;parse-names&quot;:false,&quot;dropping-particle&quot;:&quot;&quot;,&quot;non-dropping-particle&quot;:&quot;&quot;},{&quot;family&quot;:&quot;Carpenter&quot;,&quot;given&quot;:&quot;Anne E.&quot;,&quot;parse-names&quot;:false,&quot;dropping-particle&quot;:&quot;&quot;,&quot;non-dropping-particle&quot;:&quot;&quot;}],&quot;container-title&quot;:&quot;Nature Methods&quot;,&quot;DOI&quot;:&quot;10.1038/nmeth.4397&quot;,&quot;ISSN&quot;:&quot;15487105&quot;,&quot;issued&quot;:{&quot;date-parts&quot;:[[2017]]},&quot;abstract&quot;:&quot;Image-based cell profiling is a high-throughput strategy for the quantification of phenotypic differences among a variety of cell populations. It paves the way to studying biological systems on a large scale by using chemical and genetic perturbations. The general workflow for this technology involves image acquisition with high-throughput microscopy systems and subsequent image processing and analysis. Here, we introduce the steps required to create high-quality image-based (i.e., morphological) profiles from a collection of microscopy images. We recommend techniques that have proven useful in each stage of the data analysis process, on the basis of the experience of 20 laboratories worldwide that are refining their image-based cell-profiling methodologies in pursuit of biological discovery. The recommended techniques cover alternatives that may suit various biological goals, experimental designs, and laboratories' preferences.&quot;},&quot;isTemporary&quot;:false}],&quot;properties&quot;:{&quot;noteIndex&quot;:0},&quot;isEdited&quot;:false,&quot;manualOverride&quot;:{&quot;isManuallyOverriden&quot;:false,&quot;citeprocText&quot;:&quot;&lt;sup&gt;6&lt;/sup&gt;&quot;,&quot;manualOverrideText&quot;:&quot;&quot;}},{&quot;citationID&quot;:&quot;MENDELEY_CITATION_33e3b4ac-8470-46c4-b879-552f92e73d80&quot;,&quot;citationItems&quot;:[{&quot;id&quot;:&quot;42db63b8-0cc1-3046-9c61-afcfdc3174fc&quot;,&quot;itemData&quot;:{&quot;type&quot;:&quot;article-journal&quot;,&quot;id&quot;:&quot;42db63b8-0cc1-3046-9c61-afcfdc3174fc&quot;,&quot;title&quot;:&quot;Comparison of methods for image-based profiling of cellular morphological responses to small-molecule treatment&quot;,&quot;author&quot;:[{&quot;family&quot;:&quot;Ljosa&quot;,&quot;given&quot;:&quot;Vebjorn&quot;,&quot;parse-names&quot;:false,&quot;dropping-particle&quot;:&quot;&quot;,&quot;non-dropping-particle&quot;:&quot;&quot;},{&quot;family&quot;:&quot;Caie&quot;,&quot;given&quot;:&quot;Peter D.&quot;,&quot;parse-names&quot;:false,&quot;dropping-particle&quot;:&quot;&quot;,&quot;non-dropping-particle&quot;:&quot;&quot;},{&quot;family&quot;:&quot;Horst&quot;,&quot;given&quot;:&quot;Rob&quot;,&quot;parse-names&quot;:false,&quot;dropping-particle&quot;:&quot;&quot;,&quot;non-dropping-particle&quot;:&quot;ter&quot;},{&quot;family&quot;:&quot;Sokolnicki&quot;,&quot;given&quot;:&quot;Katherine L.&quot;,&quot;parse-names&quot;:false,&quot;dropping-particle&quot;:&quot;&quot;,&quot;non-dropping-particle&quot;:&quot;&quot;},{&quot;family&quot;:&quot;Jenkins&quot;,&quot;given&quot;:&quot;Emma L.&quot;,&quot;parse-names&quot;:false,&quot;dropping-particle&quot;:&quot;&quot;,&quot;non-dropping-particle&quot;:&quot;&quot;},{&quot;family&quot;:&quot;Daya&quot;,&quot;given&quot;:&quot;Sandeep&quot;,&quot;parse-names&quot;:false,&quot;dropping-particle&quot;:&quot;&quot;,&quot;non-dropping-particle&quot;:&quot;&quot;},{&quot;family&quot;:&quot;Roberts&quot;,&quot;given&quot;:&quot;Mark E.&quot;,&quot;parse-names&quot;:false,&quot;dropping-particle&quot;:&quot;&quot;,&quot;non-dropping-particle&quot;:&quot;&quot;},{&quot;family&quot;:&quot;Jones&quot;,&quot;given&quot;:&quot;Thouis R.&quot;,&quot;parse-names&quot;:false,&quot;dropping-particle&quot;:&quot;&quot;,&quot;non-dropping-particle&quot;:&quot;&quot;},{&quot;family&quot;:&quot;Singh&quot;,&quot;given&quot;:&quot;Shantanu&quot;,&quot;parse-names&quot;:false,&quot;dropping-particle&quot;:&quot;&quot;,&quot;non-dropping-particle&quot;:&quot;&quot;},{&quot;family&quot;:&quot;Genovesio&quot;,&quot;given&quot;:&quot;Auguste&quot;,&quot;parse-names&quot;:false,&quot;dropping-particle&quot;:&quot;&quot;,&quot;non-dropping-particle&quot;:&quot;&quot;},{&quot;family&quot;:&quot;Clemons&quot;,&quot;given&quot;:&quot;Paul A.&quot;,&quot;parse-names&quot;:false,&quot;dropping-particle&quot;:&quot;&quot;,&quot;non-dropping-particle&quot;:&quot;&quot;},{&quot;family&quot;:&quot;Carragher&quot;,&quot;given&quot;:&quot;Neil O.&quot;,&quot;parse-names&quot;:false,&quot;dropping-particle&quot;:&quot;&quot;,&quot;non-dropping-particle&quot;:&quot;&quot;},{&quot;family&quot;:&quot;Carpenter&quot;,&quot;given&quot;:&quot;Anne E.&quot;,&quot;parse-names&quot;:false,&quot;dropping-particle&quot;:&quot;&quot;,&quot;non-dropping-particle&quot;:&quot;&quot;}],&quot;container-title&quot;:&quot;Journal of Biomolecular Screening&quot;,&quot;DOI&quot;:&quot;10.1177/1087057113503553&quot;,&quot;ISSN&quot;:&quot;10870571&quot;,&quot;PMID&quot;:&quot;24045582&quot;,&quot;issued&quot;:{&quot;date-parts&quot;:[[2013]]},&quot;abstract&quot;:&quot;Quantitative microscopy has proven a versatile and powerful phenotypic screening technique. Recently, image-based profiling has shown promise as a means for broadly characterizing molecules' effects on cells in several drug-discovery applications, including target-agnostic screening and predicting a compound's mechanism of action (MOA). Several profiling methods have been proposed, but little is known about their comparative performance, impeding the wider adoption and further development of image-based profiling. We compared these methods by applying them to a widely applicable assay of cultured cells and measuring the ability of each method to predict the MOA of a compendium of drugs. A very simple method that is based on population means performed as well as methods designed to take advantage of the measurements of individual cells. This is surprising because many treatments induced a heterogeneous phenotypic response across the cell population in each sample. Another simple method, which performs factor analysis on the cellular measurements before averaging them, provided substantial improvement and was able to predict MOA correctly for 94% of the treatments in our ground-truth set. To facilitate the ready application and future development of image-based phenotypic profiling methods, we provide our complete ground-truth and test data sets, as well as open-source implementations of the various methods in a common software framework. © 2013 Society for Laboratory Automation and Screening.&quot;},&quot;isTemporary&quot;:false}],&quot;properties&quot;:{&quot;noteIndex&quot;:0},&quot;isEdited&quot;:false,&quot;manualOverride&quot;:{&quot;isManuallyOverriden&quot;:false,&quot;citeprocText&quot;:&quot;&lt;sup&gt;7&lt;/sup&gt;&quot;,&quot;manualOverrideText&quot;:&quot;&quot;}},{&quot;citationID&quot;:&quot;MENDELEY_CITATION_36eec42a-bae7-4eee-bef1-97cf30017816&quot;,&quot;citationItems&quot;:[{&quot;id&quot;:&quot;1764216f-d672-3e46-b70f-808efb5fbd04&quot;,&quot;itemData&quot;:{&quot;type&quot;:&quot;article&quot;,&quot;id&quot;:&quot;1764216f-d672-3e46-b70f-808efb5fbd04&quot;,&quot;title&quot;:&quot;Next-Generation Phenotypic Screening in Early Drug Discovery for Infectious Diseases&quot;,&quot;author&quot;:[{&quot;family&quot;:&quot;Aulner&quot;,&quot;given&quot;:&quot;Nathalie&quot;,&quot;parse-names&quot;:false,&quot;dropping-particle&quot;:&quot;&quot;,&quot;non-dropping-particle&quot;:&quot;&quot;},{&quot;family&quot;:&quot;Danckaert&quot;,&quot;given&quot;:&quot;Anne&quot;,&quot;parse-names&quot;:false,&quot;dropping-particle&quot;:&quot;&quot;,&quot;non-dropping-particle&quot;:&quot;&quot;},{&quot;family&quot;:&quot;Ihm&quot;,&quot;given&quot;:&quot;Jong Eun&quot;,&quot;parse-names&quot;:false,&quot;dropping-particle&quot;:&quot;&quot;,&quot;non-dropping-particle&quot;:&quot;&quot;},{&quot;family&quot;:&quot;Shum&quot;,&quot;given&quot;:&quot;David&quot;,&quot;parse-names&quot;:false,&quot;dropping-particle&quot;:&quot;&quot;,&quot;non-dropping-particle&quot;:&quot;&quot;},{&quot;family&quot;:&quot;Shorte&quot;,&quot;given&quot;:&quot;Spencer L.&quot;,&quot;parse-names&quot;:false,&quot;dropping-particle&quot;:&quot;&quot;,&quot;non-dropping-particle&quot;:&quot;&quot;}],&quot;container-title&quot;:&quot;Trends in Parasitology&quot;,&quot;DOI&quot;:&quot;10.1016/j.pt.2019.05.004&quot;,&quot;ISSN&quot;:&quot;14715007&quot;,&quot;PMID&quot;:&quot;31176583&quot;,&quot;issued&quot;:{&quot;date-parts&quot;:[[2019]]},&quot;abstract&quot;:&quot;Cell-based phenotypic screening has proven to be valuable, notably in recapitulating relevant biological conditions, for example, the host cell/pathogen niche. However, the corresponding methodological complexity is not readily compatible with high-throughput pipelines, and fails to inform either molecular target or mechanism of action, which frustrates conventional drug-discovery roadmaps. We review the state-of-the-art and emerging technologies that suggest new strategies for harnessing value from the complexity of phenotypic screening and augmenting powerful utility for translational drug discovery. Advances in cellular, molecular, and bioinformatics technologies are converging at a cutting edge where the complexity of phenotypic screening may no longer be considered a hinderance but rather a catalyst to chemotherapeutic discovery for infectious diseases.&quot;},&quot;isTemporary&quot;:false}],&quot;properties&quot;:{&quot;noteIndex&quot;:0},&quot;isEdited&quot;:false,&quot;manualOverride&quot;:{&quot;isManuallyOverriden&quot;:false,&quot;citeprocText&quot;:&quot;&lt;sup&gt;8&lt;/sup&gt;&quot;,&quot;manualOverrideText&quot;:&quot;&quot;}},{&quot;citationID&quot;:&quot;MENDELEY_CITATION_babf81a7-b01d-4fa5-a080-a0a903f904c4&quot;,&quot;citationItems&quot;:[{&quot;id&quot;:&quot;84dd0043-f086-315c-8d50-7b2330191f76&quot;,&quot;itemData&quot;:{&quot;type&quot;:&quot;article-journal&quot;,&quot;id&quot;:&quot;84dd0043-f086-315c-8d50-7b2330191f76&quot;,&quot;title&quot;:&quot;Accurate Prediction of Biological Assays with High-Throughput Microscopy Images and Convolutional Networks&quot;,&quot;author&quot;:[{&quot;family&quot;:&quot;Hofmarcher&quot;,&quot;given&quot;:&quot;Markus&quot;,&quot;parse-names&quot;:false,&quot;dropping-particle&quot;:&quot;&quot;,&quot;non-dropping-particle&quot;:&quot;&quot;},{&quot;family&quot;:&quot;Rumetshofer&quot;,&quot;given&quot;:&quot;Elisabeth&quot;,&quot;parse-names&quot;:false,&quot;dropping-particle&quot;:&quot;&quot;,&quot;non-dropping-particle&quot;:&quot;&quot;},{&quot;family&quot;:&quot;Clevert&quot;,&quot;given&quot;:&quot;Djork-Arné&quot;,&quot;parse-names&quot;:false,&quot;dropping-particle&quot;:&quot;&quot;,&quot;non-dropping-particle&quot;:&quot;&quot;},{&quot;family&quot;:&quot;Hochreiter&quot;,&quot;given&quot;:&quot;Sepp&quot;,&quot;parse-names&quot;:false,&quot;dropping-particle&quot;:&quot;&quot;,&quot;non-dropping-particle&quot;:&quot;&quot;},{&quot;family&quot;:&quot;Klambauer&quot;,&quot;given&quot;:&quot;Günter&quot;,&quot;parse-names&quot;:false,&quot;dropping-particle&quot;:&quot;&quot;,&quot;non-dropping-particle&quot;:&quot;&quot;}],&quot;container-title&quot;:&quot;Journal of Chemical Information and Modeling&quot;,&quot;DOI&quot;:&quot;10.1021/acs.jcim.8b00670&quot;,&quot;URL&quot;:&quot;https://doi.org/10.1021%2Facs.jcim.8b00670&quot;,&quot;issued&quot;:{&quot;date-parts&quot;:[[2019,3]]},&quot;page&quot;:&quot;1163-1171&quot;,&quot;publisher&quot;:&quot;American Chemical Society ({ACS})&quot;,&quot;issue&quot;:&quot;3&quot;,&quot;volume&quot;:&quot;59&quot;},&quot;isTemporary&quot;:false}],&quot;properties&quot;:{&quot;noteIndex&quot;:0},&quot;isEdited&quot;:false,&quot;manualOverride&quot;:{&quot;isManuallyOverriden&quot;:false,&quot;citeprocText&quot;:&quot;&lt;sup&gt;9&lt;/sup&gt;&quot;,&quot;manualOverrideText&quot;:&quot;&quot;}},{&quot;citationID&quot;:&quot;MENDELEY_CITATION_fd797a25-55d9-4b29-be44-dbde65221c78&quot;,&quot;citationItems&quot;:[{&quot;id&quot;:&quot;e46b4ef3-5dbd-3d9e-a7b8-5dbb869c8e12&quot;,&quot;itemData&quot;:{&quot;type&quot;:&quot;article-journal&quot;,&quot;id&quot;:&quot;e46b4ef3-5dbd-3d9e-a7b8-5dbb869c8e12&quot;,&quot;title&quot;:&quot;Repurposing High-Throughput Image Assays Enables Biological Activity Prediction for Drug Discovery&quot;,&quot;author&quot;:[{&quot;family&quot;:&quot;Simm&quot;,&quot;given&quot;:&quot;Jaak&quot;,&quot;parse-names&quot;:false,&quot;dropping-particle&quot;:&quot;&quot;,&quot;non-dropping-particle&quot;:&quot;&quot;},{&quot;family&quot;:&quot;Klambauer&quot;,&quot;given&quot;:&quot;Günter&quot;,&quot;parse-names&quot;:false,&quot;dropping-particle&quot;:&quot;&quot;,&quot;non-dropping-particle&quot;:&quot;&quot;},{&quot;family&quot;:&quot;Arany&quot;,&quot;given&quot;:&quot;Adam&quot;,&quot;parse-names&quot;:false,&quot;dropping-particle&quot;:&quot;&quot;,&quot;non-dropping-particle&quot;:&quot;&quot;},{&quot;family&quot;:&quot;Steijaert&quot;,&quot;given&quot;:&quot;Marvin&quot;,&quot;parse-names&quot;:false,&quot;dropping-particle&quot;:&quot;&quot;,&quot;non-dropping-particle&quot;:&quot;&quot;},{&quot;family&quot;:&quot;Wegner&quot;,&quot;given&quot;:&quot;Jörg Kurt&quot;,&quot;parse-names&quot;:false,&quot;dropping-particle&quot;:&quot;&quot;,&quot;non-dropping-particle&quot;:&quot;&quot;},{&quot;family&quot;:&quot;Gustin&quot;,&quot;given&quot;:&quot;Emmanuel&quot;,&quot;parse-names&quot;:false,&quot;dropping-particle&quot;:&quot;&quot;,&quot;non-dropping-particle&quot;:&quot;&quot;},{&quot;family&quot;:&quot;Chupakhin&quot;,&quot;given&quot;:&quot;Vladimir&quot;,&quot;parse-names&quot;:false,&quot;dropping-particle&quot;:&quot;&quot;,&quot;non-dropping-particle&quot;:&quot;&quot;},{&quot;family&quot;:&quot;Chong&quot;,&quot;given&quot;:&quot;Yolanda T&quot;,&quot;parse-names&quot;:false,&quot;dropping-particle&quot;:&quot;&quot;,&quot;non-dropping-particle&quot;:&quot;&quot;},{&quot;family&quot;:&quot;Vialard&quot;,&quot;given&quot;:&quot;Jorge&quot;,&quot;parse-names&quot;:false,&quot;dropping-particle&quot;:&quot;&quot;,&quot;non-dropping-particle&quot;:&quot;&quot;},{&quot;family&quot;:&quot;Buijnsters&quot;,&quot;given&quot;:&quot;Peter&quot;,&quot;parse-names&quot;:false,&quot;dropping-particle&quot;:&quot;&quot;,&quot;non-dropping-particle&quot;:&quot;&quot;},{&quot;family&quot;:&quot;Velter&quot;,&quot;given&quot;:&quot;Ingrid&quot;,&quot;parse-names&quot;:false,&quot;dropping-particle&quot;:&quot;&quot;,&quot;non-dropping-particle&quot;:&quot;&quot;},{&quot;family&quot;:&quot;Vapirev&quot;,&quot;given&quot;:&quot;Alexander&quot;,&quot;parse-names&quot;:false,&quot;dropping-particle&quot;:&quot;&quot;,&quot;non-dropping-particle&quot;:&quot;&quot;},{&quot;family&quot;:&quot;Singh&quot;,&quot;given&quot;:&quot;Shantanu&quot;,&quot;parse-names&quot;:false,&quot;dropping-particle&quot;:&quot;&quot;,&quot;non-dropping-particle&quot;:&quot;&quot;},{&quot;family&quot;:&quot;Carpenter&quot;,&quot;given&quot;:&quot;Anne E&quot;,&quot;parse-names&quot;:false,&quot;dropping-particle&quot;:&quot;&quot;,&quot;non-dropping-particle&quot;:&quot;&quot;},{&quot;family&quot;:&quot;Wuyts&quot;,&quot;given&quot;:&quot;Roel&quot;,&quot;parse-names&quot;:false,&quot;dropping-particle&quot;:&quot;&quot;,&quot;non-dropping-particle&quot;:&quot;&quot;},{&quot;family&quot;:&quot;Hochreiter&quot;,&quot;given&quot;:&quot;Sepp&quot;,&quot;parse-names&quot;:false,&quot;dropping-particle&quot;:&quot;&quot;,&quot;non-dropping-particle&quot;:&quot;&quot;},{&quot;family&quot;:&quot;Moreau&quot;,&quot;given&quot;:&quot;Yves&quot;,&quot;parse-names&quot;:false,&quot;dropping-particle&quot;:&quot;&quot;,&quot;non-dropping-particle&quot;:&quot;&quot;},{&quot;family&quot;:&quot;Ceulemans&quot;,&quot;given&quot;:&quot;Hugo&quot;,&quot;parse-names&quot;:false,&quot;dropping-particle&quot;:&quot;&quot;,&quot;non-dropping-particle&quot;:&quot;&quot;}],&quot;container-title&quot;:&quot;Cell Chemical Biology&quot;,&quot;DOI&quot;:&quot;10.1016/j.chembiol.2018.01.015&quot;,&quot;URL&quot;:&quot;https://doi.org/10.1016%2Fj.chembiol.2018.01.015&quot;,&quot;issued&quot;:{&quot;date-parts&quot;:[[2018,5]]},&quot;page&quot;:&quot;611--618.e3&quot;,&quot;publisher&quot;:&quot;Elsevier {BV}&quot;,&quot;issue&quot;:&quot;5&quot;,&quot;volume&quot;:&quot;25&quot;},&quot;isTemporary&quot;:false}],&quot;properties&quot;:{&quot;noteIndex&quot;:0},&quot;isEdited&quot;:false,&quot;manualOverride&quot;:{&quot;isManuallyOverriden&quot;:false,&quot;citeprocText&quot;:&quot;&lt;sup&gt;10&lt;/sup&gt;&quot;,&quot;manualOverrideText&quot;:&quot;&quot;}},{&quot;citationID&quot;:&quot;MENDELEY_CITATION_67b65ae7-c4ee-4f11-896c-3d697d82f13d&quot;,&quot;citationItems&quot;:[{&quot;id&quot;:&quot;258f352f-24e4-3b2e-944e-ec57461027e6&quot;,&quot;itemData&quot;:{&quot;type&quot;:&quot;article-journal&quot;,&quot;id&quot;:&quot;258f352f-24e4-3b2e-944e-ec57461027e6&quot;,&quot;title&quot;:&quot;Multiplex Cytological Profiling Assay to Measure Diverse Cellular States&quot;,&quot;author&quot;:[{&quot;family&quot;:&quot;Gustafsdottir&quot;,&quot;given&quot;:&quot;Sigrun&quot;,&quot;parse-names&quot;:false,&quot;dropping-particle&quot;:&quot;&quot;,&quot;non-dropping-particle&quot;:&quot;&quot;},{&quot;family&quot;:&quot;Ljosa&quot;,&quot;given&quot;:&quot;Vebjorn&quot;,&quot;parse-names&quot;:false,&quot;dropping-particle&quot;:&quot;&quot;,&quot;non-dropping-particle&quot;:&quot;&quot;},{&quot;family&quot;:&quot;Sokolnicki&quot;,&quot;given&quot;:&quot;Katherine&quot;,&quot;parse-names&quot;:false,&quot;dropping-particle&quot;:&quot;&quot;,&quot;non-dropping-particle&quot;:&quot;&quot;},{&quot;family&quot;:&quot;Walpita&quot;,&quot;given&quot;:&quot;Deepika&quot;,&quot;parse-names&quot;:false,&quot;dropping-particle&quot;:&quot;&quot;,&quot;non-dropping-particle&quot;:&quot;&quot;},{&quot;family&quot;:&quot;Kemp&quot;,&quot;given&quot;:&quot;Melissa&quot;,&quot;parse-names&quot;:false,&quot;dropping-particle&quot;:&quot;&quot;,&quot;non-dropping-particle&quot;:&quot;&quot;},{&quot;family&quot;:&quot;Petri Seiler&quot;,&quot;given&quot;:&quot;Kathleen&quot;,&quot;parse-names&quot;:false,&quot;dropping-particle&quot;:&quot;&quot;,&quot;non-dropping-particle&quot;:&quot;&quot;},{&quot;family&quot;:&quot;Carrel&quot;,&quot;given&quot;:&quot;Hyman&quot;,&quot;parse-names&quot;:false,&quot;dropping-particle&quot;:&quot;&quot;,&quot;non-dropping-particle&quot;:&quot;&quot;},{&quot;family&quot;:&quot;Golub&quot;,&quot;given&quot;:&quot;Todd&quot;,&quot;parse-names&quot;:false,&quot;dropping-particle&quot;:&quot;&quot;,&quot;non-dropping-particle&quot;:&quot;&quot;},{&quot;family&quot;:&quot;Schreiber&quot;,&quot;given&quot;:&quot;Stuart&quot;,&quot;parse-names&quot;:false,&quot;dropping-particle&quot;:&quot;&quot;,&quot;non-dropping-particle&quot;:&quot;&quot;},{&quot;family&quot;:&quot;Clemons&quot;,&quot;given&quot;:&quot;Paul&quot;,&quot;parse-names&quot;:false,&quot;dropping-particle&quot;:&quot;&quot;,&quot;non-dropping-particle&quot;:&quot;&quot;},{&quot;family&quot;:&quot;Carpenter&quot;,&quot;given&quot;:&quot;Anne&quot;,&quot;parse-names&quot;:false,&quot;dropping-particle&quot;:&quot;&quot;,&quot;non-dropping-particle&quot;:&quot;&quot;},{&quot;family&quot;:&quot;Shamji&quot;,&quot;given&quot;:&quot;Alykhan&quot;,&quot;parse-names&quot;:false,&quot;dropping-particle&quot;:&quot;&quot;,&quot;non-dropping-particle&quot;:&quot;&quot;}],&quot;container-title&quot;:&quot;PLoS ONE&quot;,&quot;DOI&quot;:&quot;10.1371/journal.pone.0080999.t001&quot;,&quot;ISSN&quot;:&quot;1932-6203&quot;,&quot;issued&quot;:{&quot;date-parts&quot;:[[2013]]},&quot;abstract&quot;:&quot;Computational methods for image-based profiling are under active development, but their success hinges on assays that can capture a wide range of phenotypes. We have developed a multiplex cytological profiling assay that &amp;quot;paints the cell&amp;quot; with as many fluorescent markers as possible without compromising our ability to extract rich, quantitative profiles in high throughput. The assay detects seven major cellular components. In a pilot screen of bioactive compounds, the assay detected a range of cellular phenotypes and it clustered compounds with similar annotated protein targets or chemical structure based on cytological profiles. The results demonstrate that the assay captures subtle patterns in the combination of morphological labels, thereby detecting the effects of chemical compounds even though their targets are not stained directly. This image-based assay provides an unbiased approach to characterize compound- and disease-associated cell states to support future probe discovery.&quot;},&quot;isTemporary&quot;:false}],&quot;properties&quot;:{&quot;noteIndex&quot;:0},&quot;isEdited&quot;:false,&quot;manualOverride&quot;:{&quot;isManuallyOverriden&quot;:false,&quot;citeprocText&quot;:&quot;&lt;sup&gt;11&lt;/sup&gt;&quot;,&quot;manualOverrideText&quot;:&quot;&quot;}},{&quot;citationID&quot;:&quot;MENDELEY_CITATION_0809868c-df6c-4aad-a8e8-13c4dc4bc8a7&quot;,&quot;citationItems&quot;:[{&quot;id&quot;:&quot;b54f39aa-3935-324f-9bec-f7c590166210&quot;,&quot;itemData&quot;:{&quot;type&quot;:&quot;article-journal&quot;,&quot;id&quot;:&quot;b54f39aa-3935-324f-9bec-f7c590166210&quot;,&quot;title&quot;:&quot;Automated structure-activity relationship mining: Connecting chemical structure to biological profiles&quot;,&quot;author&quot;:[{&quot;family&quot;:&quot;Wawer&quot;,&quot;given&quot;:&quot;Mathias J.&quot;,&quot;parse-names&quot;:false,&quot;dropping-particle&quot;:&quot;&quot;,&quot;non-dropping-particle&quot;:&quot;&quot;},{&quot;family&quot;:&quot;Jaramillo&quot;,&quot;given&quot;:&quot;David E.&quot;,&quot;parse-names&quot;:false,&quot;dropping-particle&quot;:&quot;&quot;,&quot;non-dropping-particle&quot;:&quot;&quot;},{&quot;family&quot;:&quot;Dančík&quot;,&quot;given&quot;:&quot;Vlado&quot;,&quot;parse-names&quot;:false,&quot;dropping-particle&quot;:&quot;&quot;,&quot;non-dropping-particle&quot;:&quot;&quot;},{&quot;family&quot;:&quot;Fass&quot;,&quot;given&quot;:&quot;Daniel M.&quot;,&quot;parse-names&quot;:false,&quot;dropping-particle&quot;:&quot;&quot;,&quot;non-dropping-particle&quot;:&quot;&quot;},{&quot;family&quot;:&quot;Haggarty&quot;,&quot;given&quot;:&quot;Stephen J.&quot;,&quot;parse-names&quot;:false,&quot;dropping-particle&quot;:&quot;&quot;,&quot;non-dropping-particle&quot;:&quot;&quot;},{&quot;family&quot;:&quot;Shamji&quot;,&quot;given&quot;:&quot;Alykhan F.&quot;,&quot;parse-names&quot;:false,&quot;dropping-particle&quot;:&quot;&quot;,&quot;non-dropping-particle&quot;:&quot;&quot;},{&quot;family&quot;:&quot;Wagner&quot;,&quot;given&quot;:&quot;Bridget K.&quot;,&quot;parse-names&quot;:false,&quot;dropping-particle&quot;:&quot;&quot;,&quot;non-dropping-particle&quot;:&quot;&quot;},{&quot;family&quot;:&quot;Schreiber&quot;,&quot;given&quot;:&quot;Stuart L.&quot;,&quot;parse-names&quot;:false,&quot;dropping-particle&quot;:&quot;&quot;,&quot;non-dropping-particle&quot;:&quot;&quot;},{&quot;family&quot;:&quot;Clemons&quot;,&quot;given&quot;:&quot;Paul A.&quot;,&quot;parse-names&quot;:false,&quot;dropping-particle&quot;:&quot;&quot;,&quot;non-dropping-particle&quot;:&quot;&quot;}],&quot;container-title&quot;:&quot;Journal of Biomolecular Screening&quot;,&quot;DOI&quot;:&quot;10.1177/1087057114530783&quot;,&quot;ISSN&quot;:&quot;1552454X&quot;,&quot;issued&quot;:{&quot;date-parts&quot;:[[2014]]},&quot;page&quot;:&quot;738-748&quot;,&quot;abstract&quot;:&quot;Understanding the structure-activity relationships (SARs) of small molecules is important for developing probes and novel therapeutic agents in chemical biology and drug discovery. Increasingly, multiplexed small-molecule profiling assays allow simultaneous measurement of many biological response parameters for the same compound (e.g., expression levels for many genes or binding constants against many proteins). Although such methods promise to capture SARs with high granularity, few computational methods are available to support SAR analyses of high-dimensional compound activity profiles. Many of these methods are not generally applicable or reduce the activity space to scalar summary statistics before establishing SARs. In this article, we present a versatile computational method that automatically extracts interpretable SAR rules from high-dimensional profiling data. The rules connect chemical structural features of compounds to patterns in their biological activity profiles. We applied our method to data from novel cell-based gene-expression and imaging assays collected on more than 30,000 small molecules. Based on the rules identified for this data set, we prioritized groups of compounds for further study, including a novel set of putative histone deacetylase inhibitors. © 2014 Society for Laboratory.&quot;,&quot;publisher&quot;:&quot;SAGE Publications Inc.&quot;,&quot;issue&quot;:&quot;5&quot;,&quot;volume&quot;:&quot;19&quot;},&quot;isTemporary&quot;:false}],&quot;properties&quot;:{&quot;noteIndex&quot;:0},&quot;isEdited&quot;:false,&quot;manualOverride&quot;:{&quot;isManuallyOverriden&quot;:false,&quot;citeprocText&quot;:&quot;&lt;sup&gt;12&lt;/sup&gt;&quot;,&quot;manualOverrideText&quot;:&quot;&quot;}},{&quot;citationID&quot;:&quot;MENDELEY_CITATION_3b9eada0-e2b9-47ca-9e9b-384be2ae286a&quot;,&quot;citationItems&quot;:[{&quot;id&quot;:&quot;9089cfeb-aaec-33c3-9462-d2f5c73d401e&quot;,&quot;itemData&quot;:{&quot;type&quot;:&quot;article-journal&quot;,&quot;id&quot;:&quot;9089cfeb-aaec-33c3-9462-d2f5c73d401e&quot;,&quot;title&quot;:&quot;Systematic exploration of cell morphological phenotypes associated with a transcriptomic query&quot;,&quot;author&quot;:[{&quot;family&quot;:&quot;Nassiri&quot;,&quot;given&quot;:&quot;Isar&quot;,&quot;parse-names&quot;:false,&quot;dropping-particle&quot;:&quot;&quot;,&quot;non-dropping-particle&quot;:&quot;&quot;},{&quot;family&quot;:&quot;McCall&quot;,&quot;given&quot;:&quot;Matthew N.&quot;,&quot;parse-names&quot;:false,&quot;dropping-particle&quot;:&quot;&quot;,&quot;non-dropping-particle&quot;:&quot;&quot;}],&quot;container-title&quot;:&quot;Nucleic Acids Research&quot;,&quot;DOI&quot;:&quot;10.1093/nar/gky626&quot;,&quot;ISSN&quot;:&quot;13624962&quot;,&quot;issued&quot;:{&quot;date-parts&quot;:[[2018]]},&quot;abstract&quot;:&quot;Cell morphological phenotypes, including shape, size, intensity, and texture of cellular compartments have been shown to change in response to perturbation with small molecule compounds. Imagebased cell profiling or cell morphological profiling has been used to associate changes of cell morphological features with alterations in cellular function and to infer molecular mechanisms of action. Recently, the Library of Integrated Network-based Cellular Signatures (LINCS) Project has measured gene expression and performed image-based cell profiling on cell lines treated with 9515 unique compounds. These data provide an opportunity to study the interdependence between transcription and cell morphology. Previous methods to investigate cell phenotypes have focused on targeting candidate genes as components of known pathways, RNAi morphological profiling, and cataloging morphological defects; however, these methods do not provide an explicit model to link transcriptomic changes with corresponding alterations in morphology. To address this, we propose acellmorphology enrichment analysis to assess the association between transcriptomic alterations and changes in cell morphology. Additionally, for a new transcriptomic query, our approach can be used to predict associated changes in cellular morphology. We demonstrate the utility of our method by applying it to cell morphological changes in a human bone osteosarcoma cell line.&quot;},&quot;isTemporary&quot;:false}],&quot;properties&quot;:{&quot;noteIndex&quot;:0},&quot;isEdited&quot;:false,&quot;manualOverride&quot;:{&quot;isManuallyOverriden&quot;:false,&quot;citeprocText&quot;:&quot;&lt;sup&gt;13&lt;/sup&gt;&quot;,&quot;manualOverrideText&quot;:&quot;&quot;}},{&quot;citationID&quot;:&quot;MENDELEY_CITATION_ab1c9e4f-03ba-4362-947e-ecf814d2cb4c&quot;,&quot;citationItems&quot;:[{&quot;id&quot;:&quot;4199cf22-464f-393f-9c88-e6fd6e31993b&quot;,&quot;itemData&quot;:{&quot;type&quot;:&quot;article-journal&quot;,&quot;id&quot;:&quot;4199cf22-464f-393f-9c88-e6fd6e31993b&quot;,&quot;title&quot;:&quot;Systematic morphological profiling of human gene and allele function via cell painting&quot;,&quot;author&quot;:[{&quot;family&quot;:&quot;Rohban&quot;,&quot;given&quot;:&quot;Mohammad Hossein&quot;,&quot;parse-names&quot;:false,&quot;dropping-particle&quot;:&quot;&quot;,&quot;non-dropping-particle&quot;:&quot;&quot;},{&quot;family&quot;:&quot;Singh&quot;,&quot;given&quot;:&quot;Shantanu&quot;,&quot;parse-names&quot;:false,&quot;dropping-particle&quot;:&quot;&quot;,&quot;non-dropping-particle&quot;:&quot;&quot;},{&quot;family&quot;:&quot;Wu&quot;,&quot;given&quot;:&quot;Xiaoyun&quot;,&quot;parse-names&quot;:false,&quot;dropping-particle&quot;:&quot;&quot;,&quot;non-dropping-particle&quot;:&quot;&quot;},{&quot;family&quot;:&quot;Berthet&quot;,&quot;given&quot;:&quot;Julia B.&quot;,&quot;parse-names&quot;:false,&quot;dropping-particle&quot;:&quot;&quot;,&quot;non-dropping-particle&quot;:&quot;&quot;},{&quot;family&quot;:&quot;Bray&quot;,&quot;given&quot;:&quot;Mark Anthony&quot;,&quot;parse-names&quot;:false,&quot;dropping-particle&quot;:&quot;&quot;,&quot;non-dropping-particle&quot;:&quot;&quot;},{&quot;family&quot;:&quot;Shrestha&quot;,&quot;given&quot;:&quot;Yashaswi&quot;,&quot;parse-names&quot;:false,&quot;dropping-particle&quot;:&quot;&quot;,&quot;non-dropping-particle&quot;:&quot;&quot;},{&quot;family&quot;:&quot;Varelas&quot;,&quot;given&quot;:&quot;Xaralabos&quot;,&quot;parse-names&quot;:false,&quot;dropping-particle&quot;:&quot;&quot;,&quot;non-dropping-particle&quot;:&quot;&quot;},{&quot;family&quot;:&quot;Boehm&quot;,&quot;given&quot;:&quot;Jesse S.&quot;,&quot;parse-names&quot;:false,&quot;dropping-particle&quot;:&quot;&quot;,&quot;non-dropping-particle&quot;:&quot;&quot;},{&quot;family&quot;:&quot;Carpenter&quot;,&quot;given&quot;:&quot;Anne E.&quot;,&quot;parse-names&quot;:false,&quot;dropping-particle&quot;:&quot;&quot;,&quot;non-dropping-particle&quot;:&quot;&quot;}],&quot;container-title&quot;:&quot;eLife&quot;,&quot;DOI&quot;:&quot;10.7554/eLife.24060&quot;,&quot;ISSN&quot;:&quot;2050084X&quot;,&quot;issued&quot;:{&quot;date-parts&quot;:[[2017]]},&quot;abstract&quot;:&quot;We hypothesized that human genes and disease-associated alleles might be systematically functionally annotated using morphological profiling of cDNA constructs, via a microscopy-based Cell Painting assay. Indeed, 50% of the 220 tested genes yielded detectable morphological profiles, which grouped into biologically meaningful gene clusters consistent with known functional annotation (e.g., the RAS-RAF-MEK-ERK cascade). We used novel subpopulation-based visualization methods to interpret the morphological changes for specific clusters. This unbiased morphologic map of gene function revealed TRAF2/c-REL negative regulation of YAP1/ WWTR1-responsive pathways. We confirmed this discovery of functional connectivity between the NF-kB pathway and Hippo pathway effectors at the transcriptional level, thereby expanding knowledge of these two signaling pathways that critically regulate tumor initiation and progression. We make the images and raw data publicly available, providing an initial morphological map of major biological pathways for future study.&quot;},&quot;isTemporary&quot;:false}],&quot;properties&quot;:{&quot;noteIndex&quot;:0},&quot;isEdited&quot;:false,&quot;manualOverride&quot;:{&quot;isManuallyOverriden&quot;:false,&quot;citeprocText&quot;:&quot;&lt;sup&gt;14&lt;/sup&gt;&quot;,&quot;manualOverrideText&quot;:&quot;&quot;}},{&quot;citationID&quot;:&quot;MENDELEY_CITATION_6c960876-66b0-4f3b-8576-1595c182d554&quot;,&quot;citationItems&quot;:[{&quot;id&quot;:&quot;5f8a2b9f-8fff-35e3-95f1-9555d03a4164&quot;,&quot;itemData&quot;:{&quot;type&quot;:&quot;article-journal&quot;,&quot;id&quot;:&quot;5f8a2b9f-8fff-35e3-95f1-9555d03a4164&quot;,&quot;title&quot;:&quot;Toward performance-diverse small-molecule libraries for cell-based phenotypic screening using multiplexed high-dimensional profiling&quot;,&quot;author&quot;:[{&quot;family&quot;:&quot;Wawer&quot;,&quot;given&quot;:&quot;M J&quot;,&quot;parse-names&quot;:false,&quot;dropping-particle&quot;:&quot;&quot;,&quot;non-dropping-particle&quot;:&quot;&quot;},{&quot;family&quot;:&quot;Li&quot;,&quot;given&quot;:&quot;K&quot;,&quot;parse-names&quot;:false,&quot;dropping-particle&quot;:&quot;&quot;,&quot;non-dropping-particle&quot;:&quot;&quot;},{&quot;family&quot;:&quot;Gustafsdottir&quot;,&quot;given&quot;:&quot;S M&quot;,&quot;parse-names&quot;:false,&quot;dropping-particle&quot;:&quot;&quot;,&quot;non-dropping-particle&quot;:&quot;&quot;},{&quot;family&quot;:&quot;Ljosa&quot;,&quot;given&quot;:&quot;V&quot;,&quot;parse-names&quot;:false,&quot;dropping-particle&quot;:&quot;&quot;,&quot;non-dropping-particle&quot;:&quot;&quot;},{&quot;family&quot;:&quot;Bodycombe&quot;,&quot;given&quot;:&quot;N E&quot;,&quot;parse-names&quot;:false,&quot;dropping-particle&quot;:&quot;&quot;,&quot;non-dropping-particle&quot;:&quot;&quot;},{&quot;family&quot;:&quot;Marton&quot;,&quot;given&quot;:&quot;M A&quot;,&quot;parse-names&quot;:false,&quot;dropping-particle&quot;:&quot;&quot;,&quot;non-dropping-particle&quot;:&quot;&quot;},{&quot;family&quot;:&quot;Sokolnicki&quot;,&quot;given&quot;:&quot;K L&quot;,&quot;parse-names&quot;:false,&quot;dropping-particle&quot;:&quot;&quot;,&quot;non-dropping-particle&quot;:&quot;&quot;},{&quot;family&quot;:&quot;Bray&quot;,&quot;given&quot;:&quot;M.-A.&quot;,&quot;parse-names&quot;:false,&quot;dropping-particle&quot;:&quot;&quot;,&quot;non-dropping-particle&quot;:&quot;&quot;},{&quot;family&quot;:&quot;Kemp&quot;,&quot;given&quot;:&quot;M M&quot;,&quot;parse-names&quot;:false,&quot;dropping-particle&quot;:&quot;&quot;,&quot;non-dropping-particle&quot;:&quot;&quot;},{&quot;family&quot;:&quot;Winchester&quot;,&quot;given&quot;:&quot;E&quot;,&quot;parse-names&quot;:false,&quot;dropping-particle&quot;:&quot;&quot;,&quot;non-dropping-particle&quot;:&quot;&quot;},{&quot;family&quot;:&quot;Taylor&quot;,&quot;given&quot;:&quot;B&quot;,&quot;parse-names&quot;:false,&quot;dropping-particle&quot;:&quot;&quot;,&quot;non-dropping-particle&quot;:&quot;&quot;},{&quot;family&quot;:&quot;Grant&quot;,&quot;given&quot;:&quot;G B&quot;,&quot;parse-names&quot;:false,&quot;dropping-particle&quot;:&quot;&quot;,&quot;non-dropping-particle&quot;:&quot;&quot;},{&quot;family&quot;:&quot;Hon&quot;,&quot;given&quot;:&quot;C S.-Y.&quot;,&quot;parse-names&quot;:false,&quot;dropping-particle&quot;:&quot;&quot;,&quot;non-dropping-particle&quot;:&quot;&quot;},{&quot;family&quot;:&quot;Duvall&quot;,&quot;given&quot;:&quot;J R&quot;,&quot;parse-names&quot;:false,&quot;dropping-particle&quot;:&quot;&quot;,&quot;non-dropping-particle&quot;:&quot;&quot;},{&quot;family&quot;:&quot;Wilson&quot;,&quot;given&quot;:&quot;J A&quot;,&quot;parse-names&quot;:false,&quot;dropping-particle&quot;:&quot;&quot;,&quot;non-dropping-particle&quot;:&quot;&quot;},{&quot;family&quot;:&quot;Bittker&quot;,&quot;given&quot;:&quot;J A&quot;,&quot;parse-names&quot;:false,&quot;dropping-particle&quot;:&quot;&quot;,&quot;non-dropping-particle&quot;:&quot;&quot;},{&quot;family&quot;:&quot;Dan~ik&quot;,&quot;given&quot;:&quot;V&quot;,&quot;parse-names&quot;:false,&quot;dropping-particle&quot;:&quot;&quot;,&quot;non-dropping-particle&quot;:&quot;&quot;},{&quot;family&quot;:&quot;Narayan&quot;,&quot;given&quot;:&quot;R&quot;,&quot;parse-names&quot;:false,&quot;dropping-particle&quot;:&quot;&quot;,&quot;non-dropping-particle&quot;:&quot;&quot;},{&quot;family&quot;:&quot;Subramanian&quot;,&quot;given&quot;:&quot;A&quot;,&quot;parse-names&quot;:false,&quot;dropping-particle&quot;:&quot;&quot;,&quot;non-dropping-particle&quot;:&quot;&quot;},{&quot;family&quot;:&quot;Winckler&quot;,&quot;given&quot;:&quot;W&quot;,&quot;parse-names&quot;:false,&quot;dropping-particle&quot;:&quot;&quot;,&quot;non-dropping-particle&quot;:&quot;&quot;},{&quot;family&quot;:&quot;Golub&quot;,&quot;given&quot;:&quot;T R&quot;,&quot;parse-names&quot;:false,&quot;dropping-particle&quot;:&quot;&quot;,&quot;non-dropping-particle&quot;:&quot;&quot;},{&quot;family&quot;:&quot;Carpenter&quot;,&quot;given&quot;:&quot;A E&quot;,&quot;parse-names&quot;:false,&quot;dropping-particle&quot;:&quot;&quot;,&quot;non-dropping-particle&quot;:&quot;&quot;},{&quot;family&quot;:&quot;Shamji&quot;,&quot;given&quot;:&quot;A F&quot;,&quot;parse-names&quot;:false,&quot;dropping-particle&quot;:&quot;&quot;,&quot;non-dropping-particle&quot;:&quot;&quot;},{&quot;family&quot;:&quot;Schreiber&quot;,&quot;given&quot;:&quot;S L&quot;,&quot;parse-names&quot;:false,&quot;dropping-particle&quot;:&quot;&quot;,&quot;non-dropping-particle&quot;:&quot;&quot;},{&quot;family&quot;:&quot;Clemons&quot;,&quot;given&quot;:&quot;P A&quot;,&quot;parse-names&quot;:false,&quot;dropping-particle&quot;:&quot;&quot;,&quot;non-dropping-particle&quot;:&quot;&quot;}],&quot;container-title&quot;:&quot;Proceedings of the National Academy of Sciences&quot;,&quot;DOI&quot;:&quot;10.1073/pnas.1410933111&quot;,&quot;URL&quot;:&quot;https://doi.org/10.1073%2Fpnas.1410933111&quot;,&quot;issued&quot;:{&quot;date-parts&quot;:[[2014,7]]},&quot;page&quot;:&quot;10911-10916&quot;,&quot;publisher&quot;:&quot;Proceedings of the National Academy of Sciences&quot;,&quot;issue&quot;:&quot;30&quot;,&quot;volume&quot;:&quot;111&quot;},&quot;isTemporary&quot;:false}],&quot;properties&quot;:{&quot;noteIndex&quot;:0},&quot;isEdited&quot;:false,&quot;manualOverride&quot;:{&quot;isManuallyOverriden&quot;:false,&quot;citeprocText&quot;:&quot;&lt;sup&gt;15&lt;/sup&gt;&quot;,&quot;manualOverrideText&quot;:&quot;&quot;}},{&quot;citationID&quot;:&quot;MENDELEY_CITATION_5eece3a0-877b-459a-9f38-324c8a4f93df&quot;,&quot;citationItems&quot;:[{&quot;id&quot;:&quot;e72f4c5c-265c-3f15-a99f-aff724133cbd&quot;,&quot;itemData&quot;:{&quot;type&quot;:&quot;article-journal&quot;,&quot;id&quot;:&quot;e72f4c5c-265c-3f15-a99f-aff724133cbd&quot;,&quot;title&quot;:&quot;Machine learning and image-based profiling in drug discovery&quot;,&quot;author&quot;:[{&quot;family&quot;:&quot;Scheeder&quot;,&quot;given&quot;:&quot;Christian&quot;,&quot;parse-names&quot;:false,&quot;dropping-particle&quot;:&quot;&quot;,&quot;non-dropping-particle&quot;:&quot;&quot;},{&quot;family&quot;:&quot;Heigwer&quot;,&quot;given&quot;:&quot;Florian&quot;,&quot;parse-names&quot;:false,&quot;dropping-particle&quot;:&quot;&quot;,&quot;non-dropping-particle&quot;:&quot;&quot;},{&quot;family&quot;:&quot;Boutros&quot;,&quot;given&quot;:&quot;Michael&quot;,&quot;parse-names&quot;:false,&quot;dropping-particle&quot;:&quot;&quot;,&quot;non-dropping-particle&quot;:&quot;&quot;}],&quot;container-title&quot;:&quot;Current Opinion in Systems Biology&quot;,&quot;DOI&quot;:&quot;10.1016/j.coisb.2018.05.004&quot;,&quot;URL&quot;:&quot;https://doi.org/10.1016%2Fj.coisb.2018.05.004&quot;,&quot;issued&quot;:{&quot;date-parts&quot;:[[2018,8]]},&quot;page&quot;:&quot;43-52&quot;,&quot;publisher&quot;:&quot;Elsevier {BV}&quot;,&quot;volume&quot;:&quot;10&quot;},&quot;isTemporary&quot;:false}],&quot;properties&quot;:{&quot;noteIndex&quot;:0},&quot;isEdited&quot;:false,&quot;manualOverride&quot;:{&quot;isManuallyOverriden&quot;:false,&quot;citeprocText&quot;:&quot;&lt;sup&gt;16&lt;/sup&gt;&quot;,&quot;manualOverrideText&quot;:&quot;&quot;}},{&quot;citationID&quot;:&quot;MENDELEY_CITATION_a238b75a-6425-4acb-8ef0-daed6b114c02&quot;,&quot;citationItems&quot;:[{&quot;id&quot;:&quot;5d91010d-2000-3054-9b1e-3f609e51ddc7&quot;,&quot;itemData&quot;:{&quot;type&quot;:&quot;article&quot;,&quot;id&quot;:&quot;5d91010d-2000-3054-9b1e-3f609e51ddc7&quot;,&quot;title&quot;:&quot;Essential versus accessory aspects of cell death: Recommendations of the NCCD 2015&quot;,&quot;author&quot;:[{&quot;family&quot;:&quot;Galluzzi&quot;,&quot;given&quot;:&quot;L.&quot;,&quot;parse-names&quot;:false,&quot;dropping-particle&quot;:&quot;&quot;,&quot;non-dropping-particle&quot;:&quot;&quot;},{&quot;family&quot;:&quot;Bravo-San Pedro&quot;,&quot;given&quot;:&quot;J. M.&quot;,&quot;parse-names&quot;:false,&quot;dropping-particle&quot;:&quot;&quot;,&quot;non-dropping-particle&quot;:&quot;&quot;},{&quot;family&quot;:&quot;Vitale&quot;,&quot;given&quot;:&quot;I.&quot;,&quot;parse-names&quot;:false,&quot;dropping-particle&quot;:&quot;&quot;,&quot;non-dropping-particle&quot;:&quot;&quot;},{&quot;family&quot;:&quot;Aaronson&quot;,&quot;given&quot;:&quot;S. A.&quot;,&quot;parse-names&quot;:false,&quot;dropping-particle&quot;:&quot;&quot;,&quot;non-dropping-particle&quot;:&quot;&quot;},{&quot;family&quot;:&quot;Abrams&quot;,&quot;given&quot;:&quot;J. M.&quot;,&quot;parse-names&quot;:false,&quot;dropping-particle&quot;:&quot;&quot;,&quot;non-dropping-particle&quot;:&quot;&quot;},{&quot;family&quot;:&quot;Adam&quot;,&quot;given&quot;:&quot;D.&quot;,&quot;parse-names&quot;:false,&quot;dropping-particle&quot;:&quot;&quot;,&quot;non-dropping-particle&quot;:&quot;&quot;},{&quot;family&quot;:&quot;Alnemri&quot;,&quot;given&quot;:&quot;E. S.&quot;,&quot;parse-names&quot;:false,&quot;dropping-particle&quot;:&quot;&quot;,&quot;non-dropping-particle&quot;:&quot;&quot;},{&quot;family&quot;:&quot;Altucci&quot;,&quot;given&quot;:&quot;L.&quot;,&quot;parse-names&quot;:false,&quot;dropping-particle&quot;:&quot;&quot;,&quot;non-dropping-particle&quot;:&quot;&quot;},{&quot;family&quot;:&quot;Andrews&quot;,&quot;given&quot;:&quot;D.&quot;,&quot;parse-names&quot;:false,&quot;dropping-particle&quot;:&quot;&quot;,&quot;non-dropping-particle&quot;:&quot;&quot;},{&quot;family&quot;:&quot;Annicchiarico-Petruzzelli&quot;,&quot;given&quot;:&quot;M.&quot;,&quot;parse-names&quot;:false,&quot;dropping-particle&quot;:&quot;&quot;,&quot;non-dropping-particle&quot;:&quot;&quot;},{&quot;family&quot;:&quot;Baehrecke&quot;,&quot;given&quot;:&quot;E. H.&quot;,&quot;parse-names&quot;:false,&quot;dropping-particle&quot;:&quot;&quot;,&quot;non-dropping-particle&quot;:&quot;&quot;},{&quot;family&quot;:&quot;Bazan&quot;,&quot;given&quot;:&quot;N. G.&quot;,&quot;parse-names&quot;:false,&quot;dropping-particle&quot;:&quot;&quot;,&quot;non-dropping-particle&quot;:&quot;&quot;},{&quot;family&quot;:&quot;Bertrand&quot;,&quot;given&quot;:&quot;M. J.&quot;,&quot;parse-names&quot;:false,&quot;dropping-particle&quot;:&quot;&quot;,&quot;non-dropping-particle&quot;:&quot;&quot;},{&quot;family&quot;:&quot;Bianchi&quot;,&quot;given&quot;:&quot;K.&quot;,&quot;parse-names&quot;:false,&quot;dropping-particle&quot;:&quot;&quot;,&quot;non-dropping-particle&quot;:&quot;&quot;},{&quot;family&quot;:&quot;Blagosklonny&quot;,&quot;given&quot;:&quot;M.&quot;,&quot;parse-names&quot;:false,&quot;dropping-particle&quot;:&quot;v.&quot;,&quot;non-dropping-particle&quot;:&quot;&quot;},{&quot;family&quot;:&quot;Blomgren&quot;,&quot;given&quot;:&quot;K.&quot;,&quot;parse-names&quot;:false,&quot;dropping-particle&quot;:&quot;&quot;,&quot;non-dropping-particle&quot;:&quot;&quot;},{&quot;family&quot;:&quot;Borner&quot;,&quot;given&quot;:&quot;C.&quot;,&quot;parse-names&quot;:false,&quot;dropping-particle&quot;:&quot;&quot;,&quot;non-dropping-particle&quot;:&quot;&quot;},{&quot;family&quot;:&quot;Bredesen&quot;,&quot;given&quot;:&quot;D. E.&quot;,&quot;parse-names&quot;:false,&quot;dropping-particle&quot;:&quot;&quot;,&quot;non-dropping-particle&quot;:&quot;&quot;},{&quot;family&quot;:&quot;Brenner&quot;,&quot;given&quot;:&quot;C.&quot;,&quot;parse-names&quot;:false,&quot;dropping-particle&quot;:&quot;&quot;,&quot;non-dropping-particle&quot;:&quot;&quot;},{&quot;family&quot;:&quot;Campanella&quot;,&quot;given&quot;:&quot;M.&quot;,&quot;parse-names&quot;:false,&quot;dropping-particle&quot;:&quot;&quot;,&quot;non-dropping-particle&quot;:&quot;&quot;},{&quot;family&quot;:&quot;Candi&quot;,&quot;given&quot;:&quot;E.&quot;,&quot;parse-names&quot;:false,&quot;dropping-particle&quot;:&quot;&quot;,&quot;non-dropping-particle&quot;:&quot;&quot;},{&quot;family&quot;:&quot;Cecconi&quot;,&quot;given&quot;:&quot;F.&quot;,&quot;parse-names&quot;:false,&quot;dropping-particle&quot;:&quot;&quot;,&quot;non-dropping-particle&quot;:&quot;&quot;},{&quot;family&quot;:&quot;Chan&quot;,&quot;given&quot;:&quot;F. K.&quot;,&quot;parse-names&quot;:false,&quot;dropping-particle&quot;:&quot;&quot;,&quot;non-dropping-particle&quot;:&quot;&quot;},{&quot;family&quot;:&quot;Chandel&quot;,&quot;given&quot;:&quot;N. S.&quot;,&quot;parse-names&quot;:false,&quot;dropping-particle&quot;:&quot;&quot;,&quot;non-dropping-particle&quot;:&quot;&quot;},{&quot;family&quot;:&quot;Cheng&quot;,&quot;given&quot;:&quot;E. H.&quot;,&quot;parse-names&quot;:false,&quot;dropping-particle&quot;:&quot;&quot;,&quot;non-dropping-particle&quot;:&quot;&quot;},{&quot;family&quot;:&quot;Chipuk&quot;,&quot;given&quot;:&quot;J. E.&quot;,&quot;parse-names&quot;:false,&quot;dropping-particle&quot;:&quot;&quot;,&quot;non-dropping-particle&quot;:&quot;&quot;},{&quot;family&quot;:&quot;Cidlowski&quot;,&quot;given&quot;:&quot;J. A.&quot;,&quot;parse-names&quot;:false,&quot;dropping-particle&quot;:&quot;&quot;,&quot;non-dropping-particle&quot;:&quot;&quot;},{&quot;family&quot;:&quot;Ciechanover&quot;,&quot;given&quot;:&quot;A.&quot;,&quot;parse-names&quot;:false,&quot;dropping-particle&quot;:&quot;&quot;,&quot;non-dropping-particle&quot;:&quot;&quot;},{&quot;family&quot;:&quot;Dawson&quot;,&quot;given&quot;:&quot;T. M.&quot;,&quot;parse-names&quot;:false,&quot;dropping-particle&quot;:&quot;&quot;,&quot;non-dropping-particle&quot;:&quot;&quot;},{&quot;family&quot;:&quot;Dawson&quot;,&quot;given&quot;:&quot;V. L.&quot;,&quot;parse-names&quot;:false,&quot;dropping-particle&quot;:&quot;&quot;,&quot;non-dropping-particle&quot;:&quot;&quot;},{&quot;family&quot;:&quot;Laurenzi&quot;,&quot;given&quot;:&quot;V.&quot;,&quot;parse-names&quot;:false,&quot;dropping-particle&quot;:&quot;&quot;,&quot;non-dropping-particle&quot;:&quot;de&quot;},{&quot;family&quot;:&quot;Maria&quot;,&quot;given&quot;:&quot;R.&quot;,&quot;parse-names&quot;:false,&quot;dropping-particle&quot;:&quot;&quot;,&quot;non-dropping-particle&quot;:&quot;de&quot;},{&quot;family&quot;:&quot;Debatin&quot;,&quot;given&quot;:&quot;K. M.&quot;,&quot;parse-names&quot;:false,&quot;dropping-particle&quot;:&quot;&quot;,&quot;non-dropping-particle&quot;:&quot;&quot;},{&quot;family&quot;:&quot;Daniele&quot;,&quot;given&quot;:&quot;N.&quot;,&quot;parse-names&quot;:false,&quot;dropping-particle&quot;:&quot;&quot;,&quot;non-dropping-particle&quot;:&quot;di&quot;},{&quot;family&quot;:&quot;Dixit&quot;,&quot;given&quot;:&quot;V. M.&quot;,&quot;parse-names&quot;:false,&quot;dropping-particle&quot;:&quot;&quot;,&quot;non-dropping-particle&quot;:&quot;&quot;},{&quot;family&quot;:&quot;Dynlacht&quot;,&quot;given&quot;:&quot;B. D.&quot;,&quot;parse-names&quot;:false,&quot;dropping-particle&quot;:&quot;&quot;,&quot;non-dropping-particle&quot;:&quot;&quot;},{&quot;family&quot;:&quot;El-Deiry&quot;,&quot;given&quot;:&quot;W. S.&quot;,&quot;parse-names&quot;:false,&quot;dropping-particle&quot;:&quot;&quot;,&quot;non-dropping-particle&quot;:&quot;&quot;},{&quot;family&quot;:&quot;Fimia&quot;,&quot;given&quot;:&quot;G. M.&quot;,&quot;parse-names&quot;:false,&quot;dropping-particle&quot;:&quot;&quot;,&quot;non-dropping-particle&quot;:&quot;&quot;},{&quot;family&quot;:&quot;Flavell&quot;,&quot;given&quot;:&quot;R. A.&quot;,&quot;parse-names&quot;:false,&quot;dropping-particle&quot;:&quot;&quot;,&quot;non-dropping-particle&quot;:&quot;&quot;},{&quot;family&quot;:&quot;Fulda&quot;,&quot;given&quot;:&quot;S.&quot;,&quot;parse-names&quot;:false,&quot;dropping-particle&quot;:&quot;&quot;,&quot;non-dropping-particle&quot;:&quot;&quot;},{&quot;family&quot;:&quot;Garrido&quot;,&quot;given&quot;:&quot;C.&quot;,&quot;parse-names&quot;:false,&quot;dropping-particle&quot;:&quot;&quot;,&quot;non-dropping-particle&quot;:&quot;&quot;},{&quot;family&quot;:&quot;Gougeon&quot;,&quot;given&quot;:&quot;M. L.&quot;,&quot;parse-names&quot;:false,&quot;dropping-particle&quot;:&quot;&quot;,&quot;non-dropping-particle&quot;:&quot;&quot;},{&quot;family&quot;:&quot;Green&quot;,&quot;given&quot;:&quot;D. R.&quot;,&quot;parse-names&quot;:false,&quot;dropping-particle&quot;:&quot;&quot;,&quot;non-dropping-particle&quot;:&quot;&quot;},{&quot;family&quot;:&quot;Gronemeyer&quot;,&quot;given&quot;:&quot;H.&quot;,&quot;parse-names&quot;:false,&quot;dropping-particle&quot;:&quot;&quot;,&quot;non-dropping-particle&quot;:&quot;&quot;},{&quot;family&quot;:&quot;Hajnoczky&quot;,&quot;given&quot;:&quot;G.&quot;,&quot;parse-names&quot;:false,&quot;dropping-particle&quot;:&quot;&quot;,&quot;non-dropping-particle&quot;:&quot;&quot;},{&quot;family&quot;:&quot;Hardwick&quot;,&quot;given&quot;:&quot;J. M.&quot;,&quot;parse-names&quot;:false,&quot;dropping-particle&quot;:&quot;&quot;,&quot;non-dropping-particle&quot;:&quot;&quot;},{&quot;family&quot;:&quot;Hengartner&quot;,&quot;given&quot;:&quot;M. O.&quot;,&quot;parse-names&quot;:false,&quot;dropping-particle&quot;:&quot;&quot;,&quot;non-dropping-particle&quot;:&quot;&quot;},{&quot;family&quot;:&quot;Ichijo&quot;,&quot;given&quot;:&quot;H.&quot;,&quot;parse-names&quot;:false,&quot;dropping-particle&quot;:&quot;&quot;,&quot;non-dropping-particle&quot;:&quot;&quot;},{&quot;family&quot;:&quot;Joseph&quot;,&quot;given&quot;:&quot;B.&quot;,&quot;parse-names&quot;:false,&quot;dropping-particle&quot;:&quot;&quot;,&quot;non-dropping-particle&quot;:&quot;&quot;},{&quot;family&quot;:&quot;Jost&quot;,&quot;given&quot;:&quot;P. J.&quot;,&quot;parse-names&quot;:false,&quot;dropping-particle&quot;:&quot;&quot;,&quot;non-dropping-particle&quot;:&quot;&quot;},{&quot;family&quot;:&quot;Kaufmann&quot;,&quot;given&quot;:&quot;T.&quot;,&quot;parse-names&quot;:false,&quot;dropping-particle&quot;:&quot;&quot;,&quot;non-dropping-particle&quot;:&quot;&quot;},{&quot;family&quot;:&quot;Kepp&quot;,&quot;given&quot;:&quot;O.&quot;,&quot;parse-names&quot;:false,&quot;dropping-particle&quot;:&quot;&quot;,&quot;non-dropping-particle&quot;:&quot;&quot;},{&quot;family&quot;:&quot;Klionsky&quot;,&quot;given&quot;:&quot;D. J.&quot;,&quot;parse-names&quot;:false,&quot;dropping-particle&quot;:&quot;&quot;,&quot;non-dropping-particle&quot;:&quot;&quot;},{&quot;family&quot;:&quot;Knight&quot;,&quot;given&quot;:&quot;R. A.&quot;,&quot;parse-names&quot;:false,&quot;dropping-particle&quot;:&quot;&quot;,&quot;non-dropping-particle&quot;:&quot;&quot;},{&quot;family&quot;:&quot;Kumar&quot;,&quot;given&quot;:&quot;S.&quot;,&quot;parse-names&quot;:false,&quot;dropping-particle&quot;:&quot;&quot;,&quot;non-dropping-particle&quot;:&quot;&quot;},{&quot;family&quot;:&quot;Lemasters&quot;,&quot;given&quot;:&quot;J. J.&quot;,&quot;parse-names&quot;:false,&quot;dropping-particle&quot;:&quot;&quot;,&quot;non-dropping-particle&quot;:&quot;&quot;},{&quot;family&quot;:&quot;Levine&quot;,&quot;given&quot;:&quot;B.&quot;,&quot;parse-names&quot;:false,&quot;dropping-particle&quot;:&quot;&quot;,&quot;non-dropping-particle&quot;:&quot;&quot;},{&quot;family&quot;:&quot;Linkermann&quot;,&quot;given&quot;:&quot;A.&quot;,&quot;parse-names&quot;:false,&quot;dropping-particle&quot;:&quot;&quot;,&quot;non-dropping-particle&quot;:&quot;&quot;},{&quot;family&quot;:&quot;Lipton&quot;,&quot;given&quot;:&quot;S. A.&quot;,&quot;parse-names&quot;:false,&quot;dropping-particle&quot;:&quot;&quot;,&quot;non-dropping-particle&quot;:&quot;&quot;},{&quot;family&quot;:&quot;Lockshin&quot;,&quot;given&quot;:&quot;R. A.&quot;,&quot;parse-names&quot;:false,&quot;dropping-particle&quot;:&quot;&quot;,&quot;non-dropping-particle&quot;:&quot;&quot;},{&quot;family&quot;:&quot;López-Otín&quot;,&quot;given&quot;:&quot;C.&quot;,&quot;parse-names&quot;:false,&quot;dropping-particle&quot;:&quot;&quot;,&quot;non-dropping-particle&quot;:&quot;&quot;},{&quot;family&quot;:&quot;Lugli&quot;,&quot;given&quot;:&quot;E.&quot;,&quot;parse-names&quot;:false,&quot;dropping-particle&quot;:&quot;&quot;,&quot;non-dropping-particle&quot;:&quot;&quot;},{&quot;family&quot;:&quot;Madeo&quot;,&quot;given&quot;:&quot;F.&quot;,&quot;parse-names&quot;:false,&quot;dropping-particle&quot;:&quot;&quot;,&quot;non-dropping-particle&quot;:&quot;&quot;},{&quot;family&quot;:&quot;Malorni&quot;,&quot;given&quot;:&quot;W.&quot;,&quot;parse-names&quot;:false,&quot;dropping-particle&quot;:&quot;&quot;,&quot;non-dropping-particle&quot;:&quot;&quot;},{&quot;family&quot;:&quot;Marine&quot;,&quot;given&quot;:&quot;J. C.&quot;,&quot;parse-names&quot;:false,&quot;dropping-particle&quot;:&quot;&quot;,&quot;non-dropping-particle&quot;:&quot;&quot;},{&quot;family&quot;:&quot;Martin&quot;,&quot;given&quot;:&quot;S. J.&quot;,&quot;parse-names&quot;:false,&quot;dropping-particle&quot;:&quot;&quot;,&quot;non-dropping-particle&quot;:&quot;&quot;},{&quot;family&quot;:&quot;Martinou&quot;,&quot;given&quot;:&quot;J. C.&quot;,&quot;parse-names&quot;:false,&quot;dropping-particle&quot;:&quot;&quot;,&quot;non-dropping-particle&quot;:&quot;&quot;},{&quot;family&quot;:&quot;Medema&quot;,&quot;given&quot;:&quot;J. P.&quot;,&quot;parse-names&quot;:false,&quot;dropping-particle&quot;:&quot;&quot;,&quot;non-dropping-particle&quot;:&quot;&quot;},{&quot;family&quot;:&quot;Meier&quot;,&quot;given&quot;:&quot;P.&quot;,&quot;parse-names&quot;:false,&quot;dropping-particle&quot;:&quot;&quot;,&quot;non-dropping-particle&quot;:&quot;&quot;},{&quot;family&quot;:&quot;Melino&quot;,&quot;given&quot;:&quot;S.&quot;,&quot;parse-names&quot;:false,&quot;dropping-particle&quot;:&quot;&quot;,&quot;non-dropping-particle&quot;:&quot;&quot;},{&quot;family&quot;:&quot;Mizushima&quot;,&quot;given&quot;:&quot;N.&quot;,&quot;parse-names&quot;:false,&quot;dropping-particle&quot;:&quot;&quot;,&quot;non-dropping-particle&quot;:&quot;&quot;},{&quot;family&quot;:&quot;Moll&quot;,&quot;given&quot;:&quot;U.&quot;,&quot;parse-names&quot;:false,&quot;dropping-particle&quot;:&quot;&quot;,&quot;non-dropping-particle&quot;:&quot;&quot;},{&quot;family&quot;:&quot;Muñoz-Pinedo&quot;,&quot;given&quot;:&quot;C.&quot;,&quot;parse-names&quot;:false,&quot;dropping-particle&quot;:&quot;&quot;,&quot;non-dropping-particle&quot;:&quot;&quot;},{&quot;family&quot;:&quot;Nuñez&quot;,&quot;given&quot;:&quot;G.&quot;,&quot;parse-names&quot;:false,&quot;dropping-particle&quot;:&quot;&quot;,&quot;non-dropping-particle&quot;:&quot;&quot;},{&quot;family&quot;:&quot;Oberst&quot;,&quot;given&quot;:&quot;A.&quot;,&quot;parse-names&quot;:false,&quot;dropping-particle&quot;:&quot;&quot;,&quot;non-dropping-particle&quot;:&quot;&quot;},{&quot;family&quot;:&quot;Panaretakis&quot;,&quot;given&quot;:&quot;T.&quot;,&quot;parse-names&quot;:false,&quot;dropping-particle&quot;:&quot;&quot;,&quot;non-dropping-particle&quot;:&quot;&quot;},{&quot;family&quot;:&quot;Penninger&quot;,&quot;given&quot;:&quot;J. M.&quot;,&quot;parse-names&quot;:false,&quot;dropping-particle&quot;:&quot;&quot;,&quot;non-dropping-particle&quot;:&quot;&quot;},{&quot;family&quot;:&quot;Peter&quot;,&quot;given&quot;:&quot;M. E.&quot;,&quot;parse-names&quot;:false,&quot;dropping-particle&quot;:&quot;&quot;,&quot;non-dropping-particle&quot;:&quot;&quot;},{&quot;family&quot;:&quot;Piacentini&quot;,&quot;given&quot;:&quot;M.&quot;,&quot;parse-names&quot;:false,&quot;dropping-particle&quot;:&quot;&quot;,&quot;non-dropping-particle&quot;:&quot;&quot;},{&quot;family&quot;:&quot;Pinton&quot;,&quot;given&quot;:&quot;P.&quot;,&quot;parse-names&quot;:false,&quot;dropping-particle&quot;:&quot;&quot;,&quot;non-dropping-particle&quot;:&quot;&quot;},{&quot;family&quot;:&quot;Prehn&quot;,&quot;given&quot;:&quot;J. H.&quot;,&quot;parse-names&quot;:false,&quot;dropping-particle&quot;:&quot;&quot;,&quot;non-dropping-particle&quot;:&quot;&quot;},{&quot;family&quot;:&quot;Puthalakath&quot;,&quot;given&quot;:&quot;H.&quot;,&quot;parse-names&quot;:false,&quot;dropping-particle&quot;:&quot;&quot;,&quot;non-dropping-particle&quot;:&quot;&quot;},{&quot;family&quot;:&quot;Rabinovich&quot;,&quot;given&quot;:&quot;G. A.&quot;,&quot;parse-names&quot;:false,&quot;dropping-particle&quot;:&quot;&quot;,&quot;non-dropping-particle&quot;:&quot;&quot;},{&quot;family&quot;:&quot;Ravichandran&quot;,&quot;given&quot;:&quot;K. S.&quot;,&quot;parse-names&quot;:false,&quot;dropping-particle&quot;:&quot;&quot;,&quot;non-dropping-particle&quot;:&quot;&quot;},{&quot;family&quot;:&quot;Rizzuto&quot;,&quot;given&quot;:&quot;R.&quot;,&quot;parse-names&quot;:false,&quot;dropping-particle&quot;:&quot;&quot;,&quot;non-dropping-particle&quot;:&quot;&quot;},{&quot;family&quot;:&quot;Rodrigues&quot;,&quot;given&quot;:&quot;C. M.&quot;,&quot;parse-names&quot;:false,&quot;dropping-particle&quot;:&quot;&quot;,&quot;non-dropping-particle&quot;:&quot;&quot;},{&quot;family&quot;:&quot;Rubinsztein&quot;,&quot;given&quot;:&quot;D. C.&quot;,&quot;parse-names&quot;:false,&quot;dropping-particle&quot;:&quot;&quot;,&quot;non-dropping-particle&quot;:&quot;&quot;},{&quot;family&quot;:&quot;Rudel&quot;,&quot;given&quot;:&quot;T.&quot;,&quot;parse-names&quot;:false,&quot;dropping-particle&quot;:&quot;&quot;,&quot;non-dropping-particle&quot;:&quot;&quot;},{&quot;family&quot;:&quot;Shi&quot;,&quot;given&quot;:&quot;Y.&quot;,&quot;parse-names&quot;:false,&quot;dropping-particle&quot;:&quot;&quot;,&quot;non-dropping-particle&quot;:&quot;&quot;},{&quot;family&quot;:&quot;Simon&quot;,&quot;given&quot;:&quot;H. U.&quot;,&quot;parse-names&quot;:false,&quot;dropping-particle&quot;:&quot;&quot;,&quot;non-dropping-particle&quot;:&quot;&quot;},{&quot;family&quot;:&quot;Stockwell&quot;,&quot;given&quot;:&quot;B. R.&quot;,&quot;parse-names&quot;:false,&quot;dropping-particle&quot;:&quot;&quot;,&quot;non-dropping-particle&quot;:&quot;&quot;},{&quot;family&quot;:&quot;Szabadkai&quot;,&quot;given&quot;:&quot;G.&quot;,&quot;parse-names&quot;:false,&quot;dropping-particle&quot;:&quot;&quot;,&quot;non-dropping-particle&quot;:&quot;&quot;},{&quot;family&quot;:&quot;Tait&quot;,&quot;given&quot;:&quot;S. W.&quot;,&quot;parse-names&quot;:false,&quot;dropping-particle&quot;:&quot;&quot;,&quot;non-dropping-particle&quot;:&quot;&quot;},{&quot;family&quot;:&quot;Tang&quot;,&quot;given&quot;:&quot;H. L.&quot;,&quot;parse-names&quot;:false,&quot;dropping-particle&quot;:&quot;&quot;,&quot;non-dropping-particle&quot;:&quot;&quot;},{&quot;family&quot;:&quot;Tavernarakis&quot;,&quot;given&quot;:&quot;N.&quot;,&quot;parse-names&quot;:false,&quot;dropping-particle&quot;:&quot;&quot;,&quot;non-dropping-particle&quot;:&quot;&quot;},{&quot;family&quot;:&quot;Tsujimoto&quot;,&quot;given&quot;:&quot;Y.&quot;,&quot;parse-names&quot;:false,&quot;dropping-particle&quot;:&quot;&quot;,&quot;non-dropping-particle&quot;:&quot;&quot;},{&quot;family&quot;:&quot;Berghe&quot;,&quot;given&quot;:&quot;T.&quot;,&quot;parse-names&quot;:false,&quot;dropping-particle&quot;:&quot;&quot;,&quot;non-dropping-particle&quot;:&quot;vanden&quot;},{&quot;family&quot;:&quot;Vandenabeele&quot;,&quot;given&quot;:&quot;P.&quot;,&quot;parse-names&quot;:false,&quot;dropping-particle&quot;:&quot;&quot;,&quot;non-dropping-particle&quot;:&quot;&quot;},{&quot;family&quot;:&quot;Villunger&quot;,&quot;given&quot;:&quot;A.&quot;,&quot;parse-names&quot;:false,&quot;dropping-particle&quot;:&quot;&quot;,&quot;non-dropping-particle&quot;:&quot;&quot;},{&quot;family&quot;:&quot;Wagner&quot;,&quot;given&quot;:&quot;E. F.&quot;,&quot;parse-names&quot;:false,&quot;dropping-particle&quot;:&quot;&quot;,&quot;non-dropping-particle&quot;:&quot;&quot;},{&quot;family&quot;:&quot;Walczak&quot;,&quot;given&quot;:&quot;H.&quot;,&quot;parse-names&quot;:false,&quot;dropping-particle&quot;:&quot;&quot;,&quot;non-dropping-particle&quot;:&quot;&quot;},{&quot;family&quot;:&quot;White&quot;,&quot;given&quot;:&quot;E.&quot;,&quot;parse-names&quot;:false,&quot;dropping-particle&quot;:&quot;&quot;,&quot;non-dropping-particle&quot;:&quot;&quot;},{&quot;family&quot;:&quot;Wood&quot;,&quot;given&quot;:&quot;W. G.&quot;,&quot;parse-names&quot;:false,&quot;dropping-particle&quot;:&quot;&quot;,&quot;non-dropping-particle&quot;:&quot;&quot;},{&quot;family&quot;:&quot;Yuan&quot;,&quot;given&quot;:&quot;J.&quot;,&quot;parse-names&quot;:false,&quot;dropping-particle&quot;:&quot;&quot;,&quot;non-dropping-particle&quot;:&quot;&quot;},{&quot;family&quot;:&quot;Zakeri&quot;,&quot;given&quot;:&quot;Z.&quot;,&quot;parse-names&quot;:false,&quot;dropping-particle&quot;:&quot;&quot;,&quot;non-dropping-particle&quot;:&quot;&quot;},{&quot;family&quot;:&quot;Zhivotovsky&quot;,&quot;given&quot;:&quot;B.&quot;,&quot;parse-names&quot;:false,&quot;dropping-particle&quot;:&quot;&quot;,&quot;non-dropping-particle&quot;:&quot;&quot;},{&quot;family&quot;:&quot;Melino&quot;,&quot;given&quot;:&quot;G.&quot;,&quot;parse-names&quot;:false,&quot;dropping-particle&quot;:&quot;&quot;,&quot;non-dropping-particle&quot;:&quot;&quot;},{&quot;family&quot;:&quot;Kroemer&quot;,&quot;given&quot;:&quot;G.&quot;,&quot;parse-names&quot;:false,&quot;dropping-particle&quot;:&quot;&quot;,&quot;non-dropping-particle&quot;:&quot;&quot;}],&quot;container-title&quot;:&quot;Cell Death and Differentiation&quot;,&quot;DOI&quot;:&quot;10.1038/cdd.2014.137&quot;,&quot;ISSN&quot;:&quot;14765403&quot;,&quot;PMID&quot;:&quot;25236395&quot;,&quot;issued&quot;:{&quot;date-parts&quot;:[[2015]]},&quot;abstract&quot;:&quot;Cells exposed to extreme physicochemical or mechanical stimuli die in an uncontrollable manner, as a result of their immediate structural breakdown. Such an unavoidable variant of cellular demise is generally referred to as 'accidental cell death' (ACD). In most settings, however, cell death is initiated by a genetically encoded apparatus, correlating with the fact that its course can be altered by pharmacologic or genetic interventions. 'Regulated cell death' (RCD) can occur as part of physiologic programs or can be activated once adaptive responses to perturbations of the extracellular or intracellular microenvironment fail. The biochemical phenomena that accompany RCD may be harnessed to classify it into a few subtypes, which often (but not always) exhibit stereotyped morphologic features. Nonetheless, efficiently inhibiting the processes that are commonly thought to cause RCD, such as the activation of executioner caspases in the course of apoptosis, does not exert true cytoprotective effects in the mammalian system, but simply alters the kinetics of cellular demise as it shifts its morphologic and biochemical correlates. Conversely, bona fide cytoprotection can be achieved by inhibiting the transduction of lethal signals in the early phases of the process, when adaptive responses are still operational. Thus, the mechanisms that truly execute RCD may be less understood, less inhibitable and perhaps more homogeneous than previously thought. Here, the Nomenclature Committee on Cell Death formulates a set of recommendations to help scientists and researchers to discriminate between essential and accessory aspects of cell death.&quot;},&quot;isTemporary&quot;:false}],&quot;properties&quot;:{&quot;noteIndex&quot;:0},&quot;isEdited&quot;:false,&quot;manualOverride&quot;:{&quot;isManuallyOverriden&quot;:false,&quot;citeprocText&quot;:&quot;&lt;sup&gt;17&lt;/sup&gt;&quot;,&quot;manualOverrideText&quot;:&quot;&quot;}},{&quot;citationID&quot;:&quot;MENDELEY_CITATION_37ec7446-73f3-45ab-b697-bbf7774da3d5&quot;,&quot;citationItems&quot;:[{&quot;id&quot;:&quot;26ceaf63-9634-3511-83a0-0d1fa4d5eaf3&quot;,&quot;itemData&quot;:{&quot;type&quot;:&quot;article-journal&quot;,&quot;id&quot;:&quot;26ceaf63-9634-3511-83a0-0d1fa4d5eaf3&quot;,&quot;title&quot;:&quot;Improving the prediction of organism-level toxicity through integration of chemical, protein target and cytotoxicity qHTS data&quot;,&quot;author&quot;:[{&quot;family&quot;:&quot;Allen&quot;,&quot;given&quot;:&quot;Chad H.G.&quot;,&quot;parse-names&quot;:false,&quot;dropping-particle&quot;:&quot;&quot;,&quot;non-dropping-particle&quot;:&quot;&quot;},{&quot;family&quot;:&quot;Koutsoukas&quot;,&quot;given&quot;:&quot;Alexios&quot;,&quot;parse-names&quot;:false,&quot;dropping-particle&quot;:&quot;&quot;,&quot;non-dropping-particle&quot;:&quot;&quot;},{&quot;family&quot;:&quot;Cortés-Ciriano&quot;,&quot;given&quot;:&quot;Isidro&quot;,&quot;parse-names&quot;:false,&quot;dropping-particle&quot;:&quot;&quot;,&quot;non-dropping-particle&quot;:&quot;&quot;},{&quot;family&quot;:&quot;Murrell&quot;,&quot;given&quot;:&quot;Daniel S.&quot;,&quot;parse-names&quot;:false,&quot;dropping-particle&quot;:&quot;&quot;,&quot;non-dropping-particle&quot;:&quot;&quot;},{&quot;family&quot;:&quot;Malliavin&quot;,&quot;given&quot;:&quot;Thérèse E.&quot;,&quot;parse-names&quot;:false,&quot;dropping-particle&quot;:&quot;&quot;,&quot;non-dropping-particle&quot;:&quot;&quot;},{&quot;family&quot;:&quot;Glen&quot;,&quot;given&quot;:&quot;Robert C.&quot;,&quot;parse-names&quot;:false,&quot;dropping-particle&quot;:&quot;&quot;,&quot;non-dropping-particle&quot;:&quot;&quot;},{&quot;family&quot;:&quot;Bender&quot;,&quot;given&quot;:&quot;Andreas&quot;,&quot;parse-names&quot;:false,&quot;dropping-particle&quot;:&quot;&quot;,&quot;non-dropping-particle&quot;:&quot;&quot;}],&quot;container-title&quot;:&quot;Toxicology Research&quot;,&quot;DOI&quot;:&quot;10.1039/c5tx00406c&quot;,&quot;ISSN&quot;:&quot;20454538&quot;,&quot;issued&quot;:{&quot;date-parts&quot;:[[2016]]},&quot;abstract&quot;:&quot;Prediction of compound toxicity is essential because covering the vast chemical space requiring safety assessment using traditional experimentally-based, resource-intensive techniques is impossible. However, such prediction is nontrivial due to the complex causal relationship between compound structure and in vivo harm. Protein target annotations and in vitro experimental outcomes encode relevant bioactivity information complementary to chemicals' structures. This work tests the hypothesis that utilizing three complementary types of data will afford predictive models that outperform traditional models built using fewer data types. A tripartite, heterogeneous descriptor set for 367 compounds was comprised of (a) chemical descriptors, (b) protein target descriptors generated using an algorithm trained on 190000 ligand-protein interactions from ChEMBL, and (c) descriptors derived from in vitro cell cytotoxicity dose-response data from a panel of human cell lines. 100 random forests classification models for predicting rat LD50 were built using every combination of descriptors. Successive integration of data types improved predictive performance; models built using the full dataset had an average external correct classification rate of 0.82, compared to 0.73-0.80 for models built using two data types and 0.67-0.78 for models built using one. Pairwise comparisons of models trained on the same data showed that including a third data domain on top of chemistry improved average correct classification rate by 1.4-2.4 points, with p-values &lt;0.01. Additionally, the approach enhanced the models' applicability domains and proved useful for generating novel mechanism hypotheses. The use of tripartite heterogeneous bioactivity datasets is a useful technique for improving toxicity prediction. Both protein target descriptors-which have the practical value of being derived in silico-and cytotoxicity descriptors derived from experiment are suitable contributors to such datasets.&quot;},&quot;isTemporary&quot;:false}],&quot;properties&quot;:{&quot;noteIndex&quot;:0},&quot;isEdited&quot;:false,&quot;manualOverride&quot;:{&quot;isManuallyOverriden&quot;:false,&quot;citeprocText&quot;:&quot;&lt;sup&gt;18&lt;/sup&gt;&quot;,&quot;manualOverrideText&quot;:&quot;&quot;}},{&quot;citationID&quot;:&quot;MENDELEY_CITATION_6b4bddc2-5e72-41bd-9db3-d8048ec43c48&quot;,&quot;citationItems&quot;:[{&quot;id&quot;:&quot;6a0916ce-1754-341c-b149-1fad8c079fd5&quot;,&quot;itemData&quot;:{&quot;type&quot;:&quot;article-journal&quot;,&quot;id&quot;:&quot;6a0916ce-1754-341c-b149-1fad8c079fd5&quot;,&quot;title&quot;:&quot;Predicting hepatotoxicity using ToxCast in vitro bioactivity and chemical structure&quot;,&quot;author&quot;:[{&quot;family&quot;:&quot;Liu&quot;,&quot;given&quot;:&quot;Jie&quot;,&quot;parse-names&quot;:false,&quot;dropping-particle&quot;:&quot;&quot;,&quot;non-dropping-particle&quot;:&quot;&quot;},{&quot;family&quot;:&quot;Mansouri&quot;,&quot;given&quot;:&quot;Kamel&quot;,&quot;parse-names&quot;:false,&quot;dropping-particle&quot;:&quot;&quot;,&quot;non-dropping-particle&quot;:&quot;&quot;},{&quot;family&quot;:&quot;Judson&quot;,&quot;given&quot;:&quot;Richard S.&quot;,&quot;parse-names&quot;:false,&quot;dropping-particle&quot;:&quot;&quot;,&quot;non-dropping-particle&quot;:&quot;&quot;},{&quot;family&quot;:&quot;Martin&quot;,&quot;given&quot;:&quot;Matthew T.&quot;,&quot;parse-names&quot;:false,&quot;dropping-particle&quot;:&quot;&quot;,&quot;non-dropping-particle&quot;:&quot;&quot;},{&quot;family&quot;:&quot;Hong&quot;,&quot;given&quot;:&quot;Huixiao&quot;,&quot;parse-names&quot;:false,&quot;dropping-particle&quot;:&quot;&quot;,&quot;non-dropping-particle&quot;:&quot;&quot;},{&quot;family&quot;:&quot;Chen&quot;,&quot;given&quot;:&quot;Minjun&quot;,&quot;parse-names&quot;:false,&quot;dropping-particle&quot;:&quot;&quot;,&quot;non-dropping-particle&quot;:&quot;&quot;},{&quot;family&quot;:&quot;Xu&quot;,&quot;given&quot;:&quot;Xiaowei&quot;,&quot;parse-names&quot;:false,&quot;dropping-particle&quot;:&quot;&quot;,&quot;non-dropping-particle&quot;:&quot;&quot;},{&quot;family&quot;:&quot;Thomas&quot;,&quot;given&quot;:&quot;Russell S.&quot;,&quot;parse-names&quot;:false,&quot;dropping-particle&quot;:&quot;&quot;,&quot;non-dropping-particle&quot;:&quot;&quot;},{&quot;family&quot;:&quot;Shah&quot;,&quot;given&quot;:&quot;Imran&quot;,&quot;parse-names&quot;:false,&quot;dropping-particle&quot;:&quot;&quot;,&quot;non-dropping-particle&quot;:&quot;&quot;}],&quot;container-title&quot;:&quot;Chemical Research in Toxicology&quot;,&quot;DOI&quot;:&quot;10.1021/tx500501h&quot;,&quot;ISSN&quot;:&quot;15205010&quot;,&quot;issued&quot;:{&quot;date-parts&quot;:[[2015]]},&quot;abstract&quot;:&quot;The U.S. Tox21 and EPA ToxCast program screen thousands of environmental chemicals for bioactivity using hundreds of high-throughput in vitro assays to build predictive models of toxicity. We represented chemicals based on bioactivity and chemical structure descriptors, then used supervised machine learning to predict in vivo hepatotoxic effects. A set of 677 chemicals was represented by 711 in vitro bioactivity descriptors (from ToxCast assays), 4,376 chemical structure descriptors (from QikProp, OpenBabel, PaDEL, and PubChem), and three hepatotoxicity categories (from animal studies). Hepatotoxicants were defined by rat liver histopathology observed after chronic chemical testing and grouped into hypertrophy (161), injury (101) and proliferative lesions (99). Classifiers were built using six machine learning algorithms: linear discriminant analysis (LDA), Naïve Bayes (NB), support vector machines (SVM), classification and regression trees (CART), k-nearest neighbors (KNN), and an ensemble of these classifiers (ENSMB). Classifiers of hepatotoxicity were built using chemical structure descriptors, ToxCast bioactivity descriptors, and hybrid descriptors. Predictive performance was evaluated using 10-fold cross-validation testing and in-loop, filter-based, feature subset selection. Hybrid classifiers had the best balanced accuracy for predicting hypertrophy (0.84 ± 0.08), injury (0.80 ± 0.09), and proliferative lesions (0.80 ± 0.10). Though chemical and bioactivity classifiers had a similar balanced accuracy, the former were more sensitive, and the latter were more specific. CART, ENSMB, and SVM classifiers performed the best, and nuclear receptor activation and mitochondrial functions were frequently found in highly predictive classifiers of hepatotoxicity. ToxCast and ToxRefDB provide the largest and richest publicly available data sets for mining linkages between the in vitro bioactivity of environmental chemicals and their adverse histopathological outcomes. Our findings demonstrate the utility of high-throughput assays for characterizing rodent hepatotoxicants, the benefit of using hybrid representations that integrate bioactivity and chemical structure, and the need for objective evaluation of classification performance.&quot;},&quot;isTemporary&quot;:false}],&quot;properties&quot;:{&quot;noteIndex&quot;:0},&quot;isEdited&quot;:false,&quot;manualOverride&quot;:{&quot;isManuallyOverriden&quot;:false,&quot;citeprocText&quot;:&quot;&lt;sup&gt;19&lt;/sup&gt;&quot;,&quot;manualOverrideText&quot;:&quot;&quot;}},{&quot;citationID&quot;:&quot;MENDELEY_CITATION_32875d43-d1bb-4f09-9644-7af0eccd4567&quot;,&quot;citationItems&quot;:[{&quot;id&quot;:&quot;1639d3c9-1a7b-3eb1-8472-8022c0a07c77&quot;,&quot;itemData&quot;:{&quot;type&quot;:&quot;article-journal&quot;,&quot;id&quot;:&quot;1639d3c9-1a7b-3eb1-8472-8022c0a07c77&quot;,&quot;title&quot;:&quot;Use of in Vitro {HTS}-Derived Concentration{\\textendash}Response Data as Biological Descriptors Improves the Accuracy of {QSAR} Models of in Vivo Toxicity&quot;,&quot;author&quot;:[{&quot;family&quot;:&quot;Sedykh&quot;,&quot;given&quot;:&quot;Alexander&quot;,&quot;parse-names&quot;:false,&quot;dropping-particle&quot;:&quot;&quot;,&quot;non-dropping-particle&quot;:&quot;&quot;},{&quot;family&quot;:&quot;Zhu&quot;,&quot;given&quot;:&quot;Hao&quot;,&quot;parse-names&quot;:false,&quot;dropping-particle&quot;:&quot;&quot;,&quot;non-dropping-particle&quot;:&quot;&quot;},{&quot;family&quot;:&quot;Tang&quot;,&quot;given&quot;:&quot;Hao&quot;,&quot;parse-names&quot;:false,&quot;dropping-particle&quot;:&quot;&quot;,&quot;non-dropping-particle&quot;:&quot;&quot;},{&quot;family&quot;:&quot;Zhang&quot;,&quot;given&quot;:&quot;Liying&quot;,&quot;parse-names&quot;:false,&quot;dropping-particle&quot;:&quot;&quot;,&quot;non-dropping-particle&quot;:&quot;&quot;},{&quot;family&quot;:&quot;Richard&quot;,&quot;given&quot;:&quot;Ann&quot;,&quot;parse-names&quot;:false,&quot;dropping-particle&quot;:&quot;&quot;,&quot;non-dropping-particle&quot;:&quot;&quot;},{&quot;family&quot;:&quot;Rusyn&quot;,&quot;given&quot;:&quot;Ivan&quot;,&quot;parse-names&quot;:false,&quot;dropping-particle&quot;:&quot;&quot;,&quot;non-dropping-particle&quot;:&quot;&quot;},{&quot;family&quot;:&quot;Tropsha&quot;,&quot;given&quot;:&quot;Alexander&quot;,&quot;parse-names&quot;:false,&quot;dropping-particle&quot;:&quot;&quot;,&quot;non-dropping-particle&quot;:&quot;&quot;}],&quot;container-title&quot;:&quot;Environmental Health Perspectives&quot;,&quot;DOI&quot;:&quot;10.1289/ehp.1002476&quot;,&quot;URL&quot;:&quot;https://doi.org/10.1289%2Fehp.1002476&quot;,&quot;issued&quot;:{&quot;date-parts&quot;:[[2011,3]]},&quot;page&quot;:&quot;364-370&quot;,&quot;publisher&quot;:&quot;Environmental Health Perspectives&quot;,&quot;issue&quot;:&quot;3&quot;,&quot;volume&quot;:&quot;119&quot;},&quot;isTemporary&quot;:false}],&quot;properties&quot;:{&quot;noteIndex&quot;:0},&quot;isEdited&quot;:false,&quot;manualOverride&quot;:{&quot;isManuallyOverriden&quot;:false,&quot;citeprocText&quot;:&quot;&lt;sup&gt;20&lt;/sup&gt;&quot;,&quot;manualOverrideText&quot;:&quot;&quot;}},{&quot;citationID&quot;:&quot;MENDELEY_CITATION_3b743b14-ab82-4217-9fd8-8e711fc6e58c&quot;,&quot;citationItems&quot;:[{&quot;id&quot;:&quot;444384de-fceb-36e7-acf9-ba39119cf13d&quot;,&quot;itemData&quot;:{&quot;type&quot;:&quot;article-journal&quot;,&quot;id&quot;:&quot;444384de-fceb-36e7-acf9-ba39119cf13d&quot;,&quot;title&quot;:&quot;Understanding cytotoxicity and cytostaticity in a high-throughput screening collection&quot;,&quot;author&quot;:[{&quot;family&quot;:&quot;Mervin&quot;,&quot;given&quot;:&quot;Lewis H.&quot;,&quot;parse-names&quot;:false,&quot;dropping-particle&quot;:&quot;&quot;,&quot;non-dropping-particle&quot;:&quot;&quot;},{&quot;family&quot;:&quot;Cao&quot;,&quot;given&quot;:&quot;Qing&quot;,&quot;parse-names&quot;:false,&quot;dropping-particle&quot;:&quot;&quot;,&quot;non-dropping-particle&quot;:&quot;&quot;},{&quot;family&quot;:&quot;Barrett&quot;,&quot;given&quot;:&quot;Ian P.&quot;,&quot;parse-names&quot;:false,&quot;dropping-particle&quot;:&quot;&quot;,&quot;non-dropping-particle&quot;:&quot;&quot;},{&quot;family&quot;:&quot;Firth&quot;,&quot;given&quot;:&quot;Mike A.&quot;,&quot;parse-names&quot;:false,&quot;dropping-particle&quot;:&quot;&quot;,&quot;non-dropping-particle&quot;:&quot;&quot;},{&quot;family&quot;:&quot;Murray&quot;,&quot;given&quot;:&quot;David&quot;,&quot;parse-names&quot;:false,&quot;dropping-particle&quot;:&quot;&quot;,&quot;non-dropping-particle&quot;:&quot;&quot;},{&quot;family&quot;:&quot;McWilliams&quot;,&quot;given&quot;:&quot;Lisa&quot;,&quot;parse-names&quot;:false,&quot;dropping-particle&quot;:&quot;&quot;,&quot;non-dropping-particle&quot;:&quot;&quot;},{&quot;family&quot;:&quot;Haddrick&quot;,&quot;given&quot;:&quot;Malcolm&quot;,&quot;parse-names&quot;:false,&quot;dropping-particle&quot;:&quot;&quot;,&quot;non-dropping-particle&quot;:&quot;&quot;},{&quot;family&quot;:&quot;Wigglesworth&quot;,&quot;given&quot;:&quot;Mark&quot;,&quot;parse-names&quot;:false,&quot;dropping-particle&quot;:&quot;&quot;,&quot;non-dropping-particle&quot;:&quot;&quot;},{&quot;family&quot;:&quot;Engkvist&quot;,&quot;given&quot;:&quot;Ola&quot;,&quot;parse-names&quot;:false,&quot;dropping-particle&quot;:&quot;&quot;,&quot;non-dropping-particle&quot;:&quot;&quot;},{&quot;family&quot;:&quot;Bender&quot;,&quot;given&quot;:&quot;Andreas&quot;,&quot;parse-names&quot;:false,&quot;dropping-particle&quot;:&quot;&quot;,&quot;non-dropping-particle&quot;:&quot;&quot;}],&quot;container-title&quot;:&quot;ACS Chemical Biology&quot;,&quot;DOI&quot;:&quot;10.1021/acschembio.6b00538&quot;,&quot;ISSN&quot;:&quot;15548937&quot;,&quot;issued&quot;:{&quot;date-parts&quot;:[[2016]]},&quot;abstract&quot;:&quot;While mechanisms of cytotoxicity and cytostaticity have been studied extensively from the biological side, relatively little is currently understood regarding areas of chemical space leading to cytotoxicity and cytostasis in large compound collections. Predicting and rationalizing potential adverse mechanism-of-actions (MoAs) of small molecules is however crucial for screening library design, given the link of even low level cytotoxicity and adverse events observed in man. In this study, we analyzed results from a cell-based cytotoxicity screening cascade, comprising 296 970 nontoxic, 5784 cytotoxic and cytostatic, and 2327 cytostatic-only compounds evaluated on the THP-1 cell-line. We employed an in silico MoA analysis protocol, utilizing 9.5 million active and 602 million inactive bioactivity points to generate target predictions, annotate predicted targets with pathways, and calculate enrichment metrics to highlight targets and pathways. Predictions identify known mechanisms for the top ranking targets and pathways for both phenotypes after review and indicate that while processes involved in cytotoxicity versus cytostaticity seem to overlap, differences between both phenotypes seem to exist to some extent. Cytotoxic predictions highlight many kinases, including the potentially novel cytotoxicity-related target STK32C, while cytostatic predictions outline targets linked with response to DNA damage, metabolism, and cytoskeletal machinery. Fragment analysis was also employed to generate a library of toxicophores to improve general understanding of the chemical features driving toxicity. We highlight substructures with potential kinase-dependent and kinase-independent mechanisms of toxicity. We also trained a cytotoxic classification model on proprietary and public compound readouts, and prospectively validated these on 988 novel compounds comprising difficult and trivial testing instances, to establish the applicability domain of models. The proprietary model performed with precision and recall scores of 77.9% and 83.8%, respectively. The MoA results and top ranking substructures with accompanying MoA predictions are available as a platform to assess screening collections.&quot;},&quot;isTemporary&quot;:false}],&quot;properties&quot;:{&quot;noteIndex&quot;:0},&quot;isEdited&quot;:false,&quot;manualOverride&quot;:{&quot;isManuallyOverriden&quot;:false,&quot;citeprocText&quot;:&quot;&lt;sup&gt;21&lt;/sup&gt;&quot;,&quot;manualOverrideText&quot;:&quot;&quot;}},{&quot;citationID&quot;:&quot;MENDELEY_CITATION_a59213ef-77c1-42ea-974e-b942ecd86ded&quot;,&quot;citationItems&quot;:[{&quot;id&quot;:&quot;265680da-8ecf-3a89-8b09-c5b0c5249c87&quot;,&quot;itemData&quot;:{&quot;type&quot;:&quot;article&quot;,&quot;id&quot;:&quot;265680da-8ecf-3a89-8b09-c5b0c5249c87&quot;,&quot;title&quot;:&quot;Predicting the cytotoxicity of chemicals using ensemble learning methods and molecular fingerprints&quot;,&quot;author&quot;:[{&quot;family&quot;:&quot;Yin&quot;,&quot;given&quot;:&quot;Zimo&quot;,&quot;parse-names&quot;:false,&quot;dropping-particle&quot;:&quot;&quot;,&quot;non-dropping-particle&quot;:&quot;&quot;},{&quot;family&quot;:&quot;Ai&quot;,&quot;given&quot;:&quot;Haixin&quot;,&quot;parse-names&quot;:false,&quot;dropping-particle&quot;:&quot;&quot;,&quot;non-dropping-particle&quot;:&quot;&quot;},{&quot;family&quot;:&quot;Zhang&quot;,&quot;given&quot;:&quot;Li&quot;,&quot;parse-names&quot;:false,&quot;dropping-particle&quot;:&quot;&quot;,&quot;non-dropping-particle&quot;:&quot;&quot;},{&quot;family&quot;:&quot;Ren&quot;,&quot;given&quot;:&quot;Guofei&quot;,&quot;parse-names&quot;:false,&quot;dropping-particle&quot;:&quot;&quot;,&quot;non-dropping-particle&quot;:&quot;&quot;},{&quot;family&quot;:&quot;Wang&quot;,&quot;given&quot;:&quot;Yuming&quot;,&quot;parse-names&quot;:false,&quot;dropping-particle&quot;:&quot;&quot;,&quot;non-dropping-particle&quot;:&quot;&quot;},{&quot;family&quot;:&quot;Zhao&quot;,&quot;given&quot;:&quot;Qi&quot;,&quot;parse-names&quot;:false,&quot;dropping-particle&quot;:&quot;&quot;,&quot;non-dropping-particle&quot;:&quot;&quot;},{&quot;family&quot;:&quot;Liu&quot;,&quot;given&quot;:&quot;Hongsheng&quot;,&quot;parse-names&quot;:false,&quot;dropping-particle&quot;:&quot;&quot;,&quot;non-dropping-particle&quot;:&quot;&quot;}],&quot;container-title&quot;:&quot;Journal of Applied Toxicology&quot;,&quot;DOI&quot;:&quot;10.1002/jat.3785&quot;,&quot;ISSN&quot;:&quot;10991263&quot;,&quot;issued&quot;:{&quot;date-parts&quot;:[[2019]]},&quot;abstract&quot;:&quot;The prediction of compound cytotoxicity is an important part of the drug discovery process. However, it usually appears as poor predictive performance because the datasets are high-throughput and have a class-imbalance problem. In this study, several strategies of performing a structure-activity relationship study for a cytotoxic endpoint in the AID364 dataset were explored to solve the class-imbalance problem. Random forest adaboost was used as the base learners for 10 types of molecular fingerprints and an ensemble method and six data-balancing methods were applied to balance the classes. As a result, the ensemble model using MACCS fingerprint was found to be the best, giving area under the curve of 85.2% ± 0.35%, sensitivity of 81.8% ± 0.65%, and specificity of 76.0% ± 0.12% in fivefold cross-validation and area under the curve of 78.8%, sensitivity of 55.5% and specificity of 78.5% in external validation. Good performance also appeared on other datasets with different sizes/degrees of imbalance. To explore the structural commonality of cytotoxic compounds, several substructures were identified as an important reference for substructure alerts. The convincing results indicate that the proposed models are helpful in predicting the cytotoxicity of chemicals.&quot;},&quot;isTemporary&quot;:false}],&quot;properties&quot;:{&quot;noteIndex&quot;:0},&quot;isEdited&quot;:false,&quot;manualOverride&quot;:{&quot;isManuallyOverriden&quot;:false,&quot;citeprocText&quot;:&quot;&lt;sup&gt;22&lt;/sup&gt;&quot;,&quot;manualOverrideText&quot;:&quot;&quot;}},{&quot;citationID&quot;:&quot;MENDELEY_CITATION_09a997d6-67d8-4e8a-bbd8-cf0d48c1ed83&quot;,&quot;citationItems&quot;:[{&quot;id&quot;:&quot;bafaade5-3702-3fa7-9a69-32ceac12be3d&quot;,&quot;itemData&quot;:{&quot;type&quot;:&quot;article-journal&quot;,&quot;id&quot;:&quot;bafaade5-3702-3fa7-9a69-32ceac12be3d&quot;,&quot;title&quot;:&quot;Modelling compound cytotoxicity using conformal prediction and PubChem HTS data&quot;,&quot;author&quot;:[{&quot;family&quot;:&quot;Svensson&quot;,&quot;given&quot;:&quot;Fredrik&quot;,&quot;parse-names&quot;:false,&quot;dropping-particle&quot;:&quot;&quot;,&quot;non-dropping-particle&quot;:&quot;&quot;},{&quot;family&quot;:&quot;Norinder&quot;,&quot;given&quot;:&quot;Ulf&quot;,&quot;parse-names&quot;:false,&quot;dropping-particle&quot;:&quot;&quot;,&quot;non-dropping-particle&quot;:&quot;&quot;},{&quot;family&quot;:&quot;Bender&quot;,&quot;given&quot;:&quot;Andreas&quot;,&quot;parse-names&quot;:false,&quot;dropping-particle&quot;:&quot;&quot;,&quot;non-dropping-particle&quot;:&quot;&quot;}],&quot;container-title&quot;:&quot;Toxicology Research&quot;,&quot;DOI&quot;:&quot;10.1039/c6tx00252h&quot;,&quot;ISSN&quot;:&quot;20454538&quot;,&quot;issued&quot;:{&quot;date-parts&quot;:[[2017]]},&quot;abstract&quot;:&quot;The assessment of compound cytotoxicity is an important part of the drug discovery process. Accurate predictions of cytotoxicity have the potential to expedite decision making and save considerable time and effort. In this work we apply class conditional conformal prediction to model the cytotoxicity of compounds based on 16 high throughput cytotoxicity assays from PubChem. The data span 16 cell lines and comprise more than 440 000 unique compounds. The data sets are heavily imbalanced with only 0.8% of the tested compounds being cytotoxic. We trained one classification model for each cell line and validated the performance with respect to validity and accuracy. The generated models deliver high quality predictions for both toxic and non-toxic compounds despite the imbalance between the two classes. On external data collected from the same assay provider as one of the investigated cell lines the model had a sensitivity of 74% and a specificity of 65% at the 80% confidence level among the compounds assigned to a single class. Compared to previous approaches for large scale cytotoxicity modelling, this represents a balanced performance in the prediction of the toxic and non-toxic classes. The conformal prediction framework also allows the modeller to control the error frequency of the predictions, allowing predictions of cytotoxicity outcomes with confidence.&quot;},&quot;isTemporary&quot;:false}],&quot;properties&quot;:{&quot;noteIndex&quot;:0},&quot;isEdited&quot;:false,&quot;manualOverride&quot;:{&quot;isManuallyOverriden&quot;:false,&quot;citeprocText&quot;:&quot;&lt;sup&gt;23&lt;/sup&gt;&quot;,&quot;manualOverrideText&quot;:&quot;&quot;}},{&quot;citationID&quot;:&quot;MENDELEY_CITATION_d766fb18-525e-41d6-8212-c2640009010b&quot;,&quot;citationItems&quot;:[{&quot;id&quot;:&quot;34e9a480-f990-31a3-85e6-14d505f43489&quot;,&quot;itemData&quot;:{&quot;type&quot;:&quot;article-journal&quot;,&quot;id&quot;:&quot;34e9a480-f990-31a3-85e6-14d505f43489&quot;,&quot;title&quot;:&quot;Predicting cytotoxicity from heterogeneous data sources with Bayesian learning&quot;,&quot;author&quot;:[{&quot;family&quot;:&quot;Langdon&quot;,&quot;given&quot;:&quot;Sarah R.&quot;,&quot;parse-names&quot;:false,&quot;dropping-particle&quot;:&quot;&quot;,&quot;non-dropping-particle&quot;:&quot;&quot;},{&quot;family&quot;:&quot;Mulgrew&quot;,&quot;given&quot;:&quot;Joanna&quot;,&quot;parse-names&quot;:false,&quot;dropping-particle&quot;:&quot;&quot;,&quot;non-dropping-particle&quot;:&quot;&quot;},{&quot;family&quot;:&quot;Paolini&quot;,&quot;given&quot;:&quot;Gaia&quot;,&quot;parse-names&quot;:false,&quot;dropping-particle&quot;:&quot;v.&quot;,&quot;non-dropping-particle&quot;:&quot;&quot;},{&quot;family&quot;:&quot;Hoorn&quot;,&quot;given&quot;:&quot;Willem P.&quot;,&quot;parse-names&quot;:false,&quot;dropping-particle&quot;:&quot;&quot;,&quot;non-dropping-particle&quot;:&quot;van&quot;}],&quot;container-title&quot;:&quot;Journal of Cheminformatics&quot;,&quot;DOI&quot;:&quot;10.1186/1758-2946-2-11&quot;,&quot;ISSN&quot;:&quot;17582946&quot;,&quot;issued&quot;:{&quot;date-parts&quot;:[[2010]]},&quot;abstract&quot;:&quot;Background. We collected data from over 80 different cytotoxicity assays from Pfizer in-house work as well as from public sources and investigated the feasibility of using these datasets, which come from a variety of assay formats (having for instance different measured endpoints, incubation times and cell types) to derive a general cytotoxicity model. Our main aim was to derive a computational model based on this data that can highlight potentially cytotoxic series early in the drug discovery process. Results. We developed Bayesian models for each assay using Scitegic FCFP-6 fingerprints together with the default physical property descriptors. Pairs of assays that are mutually predictive were identified by calculating the ROC score of the model derived from one predicting the experimental outcome of the other, and vice versa. The prediction pairs were visualised in a network where nodes are assays and edges are drawn for ROC scores &gt;0.60 in both directions. We observed that, if assay pairs (A, B) and (B, C) were mutually predictive, this was often not the case for the pair (A, C). The results from 48 assays connected to each other were merged in one training set of 145590 compounds and a general cytotoxicity model was derived. The model has been cross-validated as well as being validated with a set of 89 FDA approved drug compounds. Conclusions. We have generated a predictive model for general cytotoxicity which could speed up the drug discovery process in multiple ways. Firstly, this analysis has shown that the outcomes of different assay formats can be mutually predictive, thus removing the need to submit a potentially toxic compound to multiple assays. Furthermore, this analysis enables selection of (a) the easiest-to-run assay as corporate standard, or (b) the most descriptive panel of assays by including assays whose outcomes are not mutually predictive. The model is no replacement for a cytotoxicity assay but opens the opportunity to be more selective about which compounds are to be submitted to it. On a more mundane level, having data from more than 80 assays in one dataset answers, for the first time, the question - \&quot;what are the known cytotoxic compounds from the Pfizer compound collection?\&quot; Finally, having a predictive cytotoxicity model will assist the design of new compounds with a desired cytotoxicity profile, since comparison of the model output with data from an in vitro safety/toxicology assay suggests one is predictive of the other. © 2010 Langdon et al; licensee BioMed Central Ltd.&quot;},&quot;isTemporary&quot;:false}],&quot;properties&quot;:{&quot;noteIndex&quot;:0},&quot;isEdited&quot;:false,&quot;manualOverride&quot;:{&quot;isManuallyOverriden&quot;:false,&quot;citeprocText&quot;:&quot;&lt;sup&gt;24&lt;/sup&gt;&quot;,&quot;manualOverrideText&quot;:&quot;&quot;}},{&quot;citationID&quot;:&quot;MENDELEY_CITATION_93ccda8e-b6ce-4137-8909-845f5106a782&quot;,&quot;citationItems&quot;:[{&quot;id&quot;:&quot;1a3cbf40-471d-3c31-9a4c-5df0d64b48d8&quot;,&quot;itemData&quot;:{&quot;type&quot;:&quot;article-journal&quot;,&quot;id&quot;:&quot;1a3cbf40-471d-3c31-9a4c-5df0d64b48d8&quot;,&quot;title&quot;:&quot;Revealing cytotoxic substructures in molecules using deep learning&quot;,&quot;author&quot;:[{&quot;family&quot;:&quot;Webel&quot;,&quot;given&quot;:&quot;Henry E&quot;,&quot;parse-names&quot;:false,&quot;dropping-particle&quot;:&quot;&quot;,&quot;non-dropping-particle&quot;:&quot;&quot;},{&quot;family&quot;:&quot;Kimber&quot;,&quot;given&quot;:&quot;Talia B&quot;,&quot;parse-names&quot;:false,&quot;dropping-particle&quot;:&quot;&quot;,&quot;non-dropping-particle&quot;:&quot;&quot;},{&quot;family&quot;:&quot;Radetzki&quot;,&quot;given&quot;:&quot;Silke&quot;,&quot;parse-names&quot;:false,&quot;dropping-particle&quot;:&quot;&quot;,&quot;non-dropping-particle&quot;:&quot;&quot;},{&quot;family&quot;:&quot;Neuenschwander&quot;,&quot;given&quot;:&quot;Martin&quot;,&quot;parse-names&quot;:false,&quot;dropping-particle&quot;:&quot;&quot;,&quot;non-dropping-particle&quot;:&quot;&quot;},{&quot;family&quot;:&quot;Nazaré&quot;,&quot;given&quot;:&quot;Marc&quot;,&quot;parse-names&quot;:false,&quot;dropping-particle&quot;:&quot;&quot;,&quot;non-dropping-particle&quot;:&quot;&quot;},{&quot;family&quot;:&quot;Volkamer&quot;,&quot;given&quot;:&quot;Andrea&quot;,&quot;parse-names&quot;:false,&quot;dropping-particle&quot;:&quot;&quot;,&quot;non-dropping-particle&quot;:&quot;&quot;}],&quot;container-title&quot;:&quot;Journal of Computer-Aided Molecular Design&quot;,&quot;DOI&quot;:&quot;10.1007/s10822-020-00310-4&quot;,&quot;URL&quot;:&quot;https://doi.org/10.1007%2Fs10822-020-00310-4&quot;,&quot;issued&quot;:{&quot;date-parts&quot;:[[2020,4]]},&quot;page&quot;:&quot;731-746&quot;,&quot;publisher&quot;:&quot;Springer Science and Business Media {LLC}&quot;,&quot;issue&quot;:&quot;7&quot;,&quot;volume&quot;:&quot;34&quot;},&quot;isTemporary&quot;:false}],&quot;properties&quot;:{&quot;noteIndex&quot;:0},&quot;isEdited&quot;:false,&quot;manualOverride&quot;:{&quot;isManuallyOverriden&quot;:false,&quot;citeprocText&quot;:&quot;&lt;sup&gt;25&lt;/sup&gt;&quot;,&quot;manualOverrideText&quot;:&quot;&quot;}},{&quot;citationID&quot;:&quot;MENDELEY_CITATION_a8e840e0-6991-4377-b9c0-9861885450bd&quot;,&quot;citationItems&quot;:[{&quot;id&quot;:&quot;669d6999-4400-32b4-be0c-867e6df0351f&quot;,&quot;itemData&quot;:{&quot;type&quot;:&quot;article-journal&quot;,&quot;id&quot;:&quot;669d6999-4400-32b4-be0c-867e6df0351f&quot;,&quot;title&quot;:&quot;Prediction of Compound Cytotoxicity Based on Compound Structures and Cell Line Molecular Characteristics&quot;,&quot;author&quot;:[{&quot;family&quot;:&quot;Nakano&quot;,&quot;given&quot;:&quot;Takumi&quot;,&quot;parse-names&quot;:false,&quot;dropping-particle&quot;:&quot;&quot;,&quot;non-dropping-particle&quot;:&quot;&quot;},{&quot;family&quot;:&quot;Brown&quot;,&quot;given&quot;:&quot;J.B.&quot;,&quot;parse-names&quot;:false,&quot;dropping-particle&quot;:&quot;&quot;,&quot;non-dropping-particle&quot;:&quot;&quot;}],&quot;container-title&quot;:&quot;Journal of Computer Aided Chemistry&quot;,&quot;DOI&quot;:&quot;10.2751/jcac.21.1&quot;,&quot;ISSN&quot;:&quot;1345-8647&quot;,&quot;issued&quot;:{&quot;date-parts&quot;:[[2020]]}},&quot;isTemporary&quot;:false}],&quot;properties&quot;:{&quot;noteIndex&quot;:0},&quot;isEdited&quot;:false,&quot;manualOverride&quot;:{&quot;isManuallyOverriden&quot;:false,&quot;citeprocText&quot;:&quot;&lt;sup&gt;26&lt;/sup&gt;&quot;,&quot;manualOverrideText&quot;:&quot;&quot;}},{&quot;citationID&quot;:&quot;MENDELEY_CITATION_99a43ac6-819f-4b78-9f42-c6b3feff7a0c&quot;,&quot;citationItems&quot;:[{&quot;id&quot;:&quot;265680da-8ecf-3a89-8b09-c5b0c5249c87&quot;,&quot;itemData&quot;:{&quot;type&quot;:&quot;article&quot;,&quot;id&quot;:&quot;265680da-8ecf-3a89-8b09-c5b0c5249c87&quot;,&quot;title&quot;:&quot;Predicting the cytotoxicity of chemicals using ensemble learning methods and molecular fingerprints&quot;,&quot;author&quot;:[{&quot;family&quot;:&quot;Yin&quot;,&quot;given&quot;:&quot;Zimo&quot;,&quot;parse-names&quot;:false,&quot;dropping-particle&quot;:&quot;&quot;,&quot;non-dropping-particle&quot;:&quot;&quot;},{&quot;family&quot;:&quot;Ai&quot;,&quot;given&quot;:&quot;Haixin&quot;,&quot;parse-names&quot;:false,&quot;dropping-particle&quot;:&quot;&quot;,&quot;non-dropping-particle&quot;:&quot;&quot;},{&quot;family&quot;:&quot;Zhang&quot;,&quot;given&quot;:&quot;Li&quot;,&quot;parse-names&quot;:false,&quot;dropping-particle&quot;:&quot;&quot;,&quot;non-dropping-particle&quot;:&quot;&quot;},{&quot;family&quot;:&quot;Ren&quot;,&quot;given&quot;:&quot;Guofei&quot;,&quot;parse-names&quot;:false,&quot;dropping-particle&quot;:&quot;&quot;,&quot;non-dropping-particle&quot;:&quot;&quot;},{&quot;family&quot;:&quot;Wang&quot;,&quot;given&quot;:&quot;Yuming&quot;,&quot;parse-names&quot;:false,&quot;dropping-particle&quot;:&quot;&quot;,&quot;non-dropping-particle&quot;:&quot;&quot;},{&quot;family&quot;:&quot;Zhao&quot;,&quot;given&quot;:&quot;Qi&quot;,&quot;parse-names&quot;:false,&quot;dropping-particle&quot;:&quot;&quot;,&quot;non-dropping-particle&quot;:&quot;&quot;},{&quot;family&quot;:&quot;Liu&quot;,&quot;given&quot;:&quot;Hongsheng&quot;,&quot;parse-names&quot;:false,&quot;dropping-particle&quot;:&quot;&quot;,&quot;non-dropping-particle&quot;:&quot;&quot;}],&quot;container-title&quot;:&quot;Journal of Applied Toxicology&quot;,&quot;DOI&quot;:&quot;10.1002/jat.3785&quot;,&quot;ISSN&quot;:&quot;10991263&quot;,&quot;issued&quot;:{&quot;date-parts&quot;:[[2019]]},&quot;abstract&quot;:&quot;The prediction of compound cytotoxicity is an important part of the drug discovery process. However, it usually appears as poor predictive performance because the datasets are high-throughput and have a class-imbalance problem. In this study, several strategies of performing a structure-activity relationship study for a cytotoxic endpoint in the AID364 dataset were explored to solve the class-imbalance problem. Random forest adaboost was used as the base learners for 10 types of molecular fingerprints and an ensemble method and six data-balancing methods were applied to balance the classes. As a result, the ensemble model using MACCS fingerprint was found to be the best, giving area under the curve of 85.2% ± 0.35%, sensitivity of 81.8% ± 0.65%, and specificity of 76.0% ± 0.12% in fivefold cross-validation and area under the curve of 78.8%, sensitivity of 55.5% and specificity of 78.5% in external validation. Good performance also appeared on other datasets with different sizes/degrees of imbalance. To explore the structural commonality of cytotoxic compounds, several substructures were identified as an important reference for substructure alerts. The convincing results indicate that the proposed models are helpful in predicting the cytotoxicity of chemicals.&quot;},&quot;isTemporary&quot;:false}],&quot;properties&quot;:{&quot;noteIndex&quot;:0},&quot;isEdited&quot;:false,&quot;manualOverride&quot;:{&quot;isManuallyOverriden&quot;:false,&quot;citeprocText&quot;:&quot;&lt;sup&gt;22&lt;/sup&gt;&quot;,&quot;manualOverrideText&quot;:&quot;&quot;}},{&quot;citationID&quot;:&quot;MENDELEY_CITATION_34a6df7a-e1fb-4f21-8e89-f8794ec96965&quot;,&quot;citationItems&quot;:[{&quot;id&quot;:&quot;d1b0d7d1-cc04-38b3-910b-83d86a92da5f&quot;,&quot;itemData&quot;:{&quot;type&quot;:&quot;article-journal&quot;,&quot;id&quot;:&quot;d1b0d7d1-cc04-38b3-910b-83d86a92da5f&quot;,&quot;title&quot;:&quot;Oversampling to overcome overfitting: Exploring the relationship between data set composition, molecular descriptors, and predictive modeling methods&quot;,&quot;author&quot;:[{&quot;family&quot;:&quot;Chang&quot;,&quot;given&quot;:&quot;Chia Yun&quot;,&quot;parse-names&quot;:false,&quot;dropping-particle&quot;:&quot;&quot;,&quot;non-dropping-particle&quot;:&quot;&quot;},{&quot;family&quot;:&quot;Hsu&quot;,&quot;given&quot;:&quot;Ming Tsung&quot;,&quot;parse-names&quot;:false,&quot;dropping-particle&quot;:&quot;&quot;,&quot;non-dropping-particle&quot;:&quot;&quot;},{&quot;family&quot;:&quot;Esposito&quot;,&quot;given&quot;:&quot;Emilio Xavier&quot;,&quot;parse-names&quot;:false,&quot;dropping-particle&quot;:&quot;&quot;,&quot;non-dropping-particle&quot;:&quot;&quot;},{&quot;family&quot;:&quot;Tseng&quot;,&quot;given&quot;:&quot;Yufeng J.&quot;,&quot;parse-names&quot;:false,&quot;dropping-particle&quot;:&quot;&quot;,&quot;non-dropping-particle&quot;:&quot;&quot;}],&quot;container-title&quot;:&quot;Journal of Chemical Information and Modeling&quot;,&quot;DOI&quot;:&quot;10.1021/ci4000536&quot;,&quot;ISSN&quot;:&quot;15499596&quot;,&quot;issued&quot;:{&quot;date-parts&quot;:[[2013]]},&quot;abstract&quot;:&quot;The traditional biological assay is very time-consuming, and thus the ability to quickly screen large numbers of compounds against a specific biological target is appealing. To speed up the biological evaluation of compounds, high-throughput screening is widely used in the fields of biomedical, biological information, and drug discovery. The research presented in this study focuses on the use of support vector machines, a machine learning method, various classes of molecular descriptors, and different sampling techniques to overcome overfitting to classify compounds for cytotoxicity with respect to the Jurkat cell line. The cell cytotoxicity data set is imbalanced (a few active compounds and very many inactive compounds), and the ability of the predictive modeling methods is adversely affected in these situations. Commonly imbalanced data sets are overfit with respect to the dominant classified end point; in this study the models routinely overfit toward inactive (noncytotoxic) compounds when the imbalance was substantial. Support vector machine (SVM) models were used to probe the proficiency of different classes of molecular descriptors and oversampling ratios. The SVM models were constructed from 4D-FPs, MOE (1D, 2D, and 21/2D), noNP+MOE, and CATS2D trial descriptors pools and compared to the predictive abilities of CATS2D-based random forest models. Compared to previous results in the literature, the SVM models built from oversampled data sets exhibited better predictive abilities for the training and external test sets. © 2013 American Chemical Society.&quot;},&quot;isTemporary&quot;:false}],&quot;properties&quot;:{&quot;noteIndex&quot;:0},&quot;isEdited&quot;:false,&quot;manualOverride&quot;:{&quot;isManuallyOverriden&quot;:false,&quot;citeprocText&quot;:&quot;&lt;sup&gt;27&lt;/sup&gt;&quot;,&quot;manualOverrideText&quot;:&quot;&quot;}},{&quot;citationID&quot;:&quot;MENDELEY_CITATION_53f1d34c-a755-4618-be62-45fe2d315331&quot;,&quot;citationItems&quot;:[{&quot;id&quot;:&quot;26ceaf63-9634-3511-83a0-0d1fa4d5eaf3&quot;,&quot;itemData&quot;:{&quot;type&quot;:&quot;article-journal&quot;,&quot;id&quot;:&quot;26ceaf63-9634-3511-83a0-0d1fa4d5eaf3&quot;,&quot;title&quot;:&quot;Improving the prediction of organism-level toxicity through integration of chemical, protein target and cytotoxicity qHTS data&quot;,&quot;author&quot;:[{&quot;family&quot;:&quot;Allen&quot;,&quot;given&quot;:&quot;Chad H.G.&quot;,&quot;parse-names&quot;:false,&quot;dropping-particle&quot;:&quot;&quot;,&quot;non-dropping-particle&quot;:&quot;&quot;},{&quot;family&quot;:&quot;Koutsoukas&quot;,&quot;given&quot;:&quot;Alexios&quot;,&quot;parse-names&quot;:false,&quot;dropping-particle&quot;:&quot;&quot;,&quot;non-dropping-particle&quot;:&quot;&quot;},{&quot;family&quot;:&quot;Cortés-Ciriano&quot;,&quot;given&quot;:&quot;Isidro&quot;,&quot;parse-names&quot;:false,&quot;dropping-particle&quot;:&quot;&quot;,&quot;non-dropping-particle&quot;:&quot;&quot;},{&quot;family&quot;:&quot;Murrell&quot;,&quot;given&quot;:&quot;Daniel S.&quot;,&quot;parse-names&quot;:false,&quot;dropping-particle&quot;:&quot;&quot;,&quot;non-dropping-particle&quot;:&quot;&quot;},{&quot;family&quot;:&quot;Malliavin&quot;,&quot;given&quot;:&quot;Thérèse E.&quot;,&quot;parse-names&quot;:false,&quot;dropping-particle&quot;:&quot;&quot;,&quot;non-dropping-particle&quot;:&quot;&quot;},{&quot;family&quot;:&quot;Glen&quot;,&quot;given&quot;:&quot;Robert C.&quot;,&quot;parse-names&quot;:false,&quot;dropping-particle&quot;:&quot;&quot;,&quot;non-dropping-particle&quot;:&quot;&quot;},{&quot;family&quot;:&quot;Bender&quot;,&quot;given&quot;:&quot;Andreas&quot;,&quot;parse-names&quot;:false,&quot;dropping-particle&quot;:&quot;&quot;,&quot;non-dropping-particle&quot;:&quot;&quot;}],&quot;container-title&quot;:&quot;Toxicology Research&quot;,&quot;DOI&quot;:&quot;10.1039/c5tx00406c&quot;,&quot;ISSN&quot;:&quot;20454538&quot;,&quot;issued&quot;:{&quot;date-parts&quot;:[[2016]]},&quot;abstract&quot;:&quot;Prediction of compound toxicity is essential because covering the vast chemical space requiring safety assessment using traditional experimentally-based, resource-intensive techniques is impossible. However, such prediction is nontrivial due to the complex causal relationship between compound structure and in vivo harm. Protein target annotations and in vitro experimental outcomes encode relevant bioactivity information complementary to chemicals' structures. This work tests the hypothesis that utilizing three complementary types of data will afford predictive models that outperform traditional models built using fewer data types. A tripartite, heterogeneous descriptor set for 367 compounds was comprised of (a) chemical descriptors, (b) protein target descriptors generated using an algorithm trained on 190000 ligand-protein interactions from ChEMBL, and (c) descriptors derived from in vitro cell cytotoxicity dose-response data from a panel of human cell lines. 100 random forests classification models for predicting rat LD50 were built using every combination of descriptors. Successive integration of data types improved predictive performance; models built using the full dataset had an average external correct classification rate of 0.82, compared to 0.73-0.80 for models built using two data types and 0.67-0.78 for models built using one. Pairwise comparisons of models trained on the same data showed that including a third data domain on top of chemistry improved average correct classification rate by 1.4-2.4 points, with p-values &lt;0.01. Additionally, the approach enhanced the models' applicability domains and proved useful for generating novel mechanism hypotheses. The use of tripartite heterogeneous bioactivity datasets is a useful technique for improving toxicity prediction. Both protein target descriptors-which have the practical value of being derived in silico-and cytotoxicity descriptors derived from experiment are suitable contributors to such datasets.&quot;},&quot;isTemporary&quot;:false}],&quot;properties&quot;:{&quot;noteIndex&quot;:0},&quot;isEdited&quot;:false,&quot;manualOverride&quot;:{&quot;isManuallyOverriden&quot;:false,&quot;citeprocText&quot;:&quot;&lt;sup&gt;18&lt;/sup&gt;&quot;,&quot;manualOverrideText&quot;:&quot;&quot;}},{&quot;citationID&quot;:&quot;MENDELEY_CITATION_c026f191-37b6-4ccc-8bf2-dd4d85ddf7f0&quot;,&quot;citationItems&quot;:[{&quot;id&quot;:&quot;34e9a480-f990-31a3-85e6-14d505f43489&quot;,&quot;itemData&quot;:{&quot;type&quot;:&quot;article-journal&quot;,&quot;id&quot;:&quot;34e9a480-f990-31a3-85e6-14d505f43489&quot;,&quot;title&quot;:&quot;Predicting cytotoxicity from heterogeneous data sources with Bayesian learning&quot;,&quot;author&quot;:[{&quot;family&quot;:&quot;Langdon&quot;,&quot;given&quot;:&quot;Sarah R.&quot;,&quot;parse-names&quot;:false,&quot;dropping-particle&quot;:&quot;&quot;,&quot;non-dropping-particle&quot;:&quot;&quot;},{&quot;family&quot;:&quot;Mulgrew&quot;,&quot;given&quot;:&quot;Joanna&quot;,&quot;parse-names&quot;:false,&quot;dropping-particle&quot;:&quot;&quot;,&quot;non-dropping-particle&quot;:&quot;&quot;},{&quot;family&quot;:&quot;Paolini&quot;,&quot;given&quot;:&quot;Gaia&quot;,&quot;parse-names&quot;:false,&quot;dropping-particle&quot;:&quot;v.&quot;,&quot;non-dropping-particle&quot;:&quot;&quot;},{&quot;family&quot;:&quot;Hoorn&quot;,&quot;given&quot;:&quot;Willem P.&quot;,&quot;parse-names&quot;:false,&quot;dropping-particle&quot;:&quot;&quot;,&quot;non-dropping-particle&quot;:&quot;van&quot;}],&quot;container-title&quot;:&quot;Journal of Cheminformatics&quot;,&quot;DOI&quot;:&quot;10.1186/1758-2946-2-11&quot;,&quot;ISSN&quot;:&quot;17582946&quot;,&quot;issued&quot;:{&quot;date-parts&quot;:[[2010]]},&quot;abstract&quot;:&quot;Background. We collected data from over 80 different cytotoxicity assays from Pfizer in-house work as well as from public sources and investigated the feasibility of using these datasets, which come from a variety of assay formats (having for instance different measured endpoints, incubation times and cell types) to derive a general cytotoxicity model. Our main aim was to derive a computational model based on this data that can highlight potentially cytotoxic series early in the drug discovery process. Results. We developed Bayesian models for each assay using Scitegic FCFP-6 fingerprints together with the default physical property descriptors. Pairs of assays that are mutually predictive were identified by calculating the ROC score of the model derived from one predicting the experimental outcome of the other, and vice versa. The prediction pairs were visualised in a network where nodes are assays and edges are drawn for ROC scores &gt;0.60 in both directions. We observed that, if assay pairs (A, B) and (B, C) were mutually predictive, this was often not the case for the pair (A, C). The results from 48 assays connected to each other were merged in one training set of 145590 compounds and a general cytotoxicity model was derived. The model has been cross-validated as well as being validated with a set of 89 FDA approved drug compounds. Conclusions. We have generated a predictive model for general cytotoxicity which could speed up the drug discovery process in multiple ways. Firstly, this analysis has shown that the outcomes of different assay formats can be mutually predictive, thus removing the need to submit a potentially toxic compound to multiple assays. Furthermore, this analysis enables selection of (a) the easiest-to-run assay as corporate standard, or (b) the most descriptive panel of assays by including assays whose outcomes are not mutually predictive. The model is no replacement for a cytotoxicity assay but opens the opportunity to be more selective about which compounds are to be submitted to it. On a more mundane level, having data from more than 80 assays in one dataset answers, for the first time, the question - \&quot;what are the known cytotoxic compounds from the Pfizer compound collection?\&quot; Finally, having a predictive cytotoxicity model will assist the design of new compounds with a desired cytotoxicity profile, since comparison of the model output with data from an in vitro safety/toxicology assay suggests one is predictive of the other. © 2010 Langdon et al; licensee BioMed Central Ltd.&quot;},&quot;isTemporary&quot;:false}],&quot;properties&quot;:{&quot;noteIndex&quot;:0},&quot;isEdited&quot;:false,&quot;manualOverride&quot;:{&quot;isManuallyOverriden&quot;:false,&quot;citeprocText&quot;:&quot;&lt;sup&gt;24&lt;/sup&gt;&quot;,&quot;manualOverrideText&quot;:&quot;&quot;}},{&quot;citationID&quot;:&quot;MENDELEY_CITATION_eebc0ac2-4b6a-4da2-b37c-832866fdb9ff&quot;,&quot;citationItems&quot;:[{&quot;id&quot;:&quot;7e92fd83-bacd-3e6d-ae30-63d0e1b73046&quot;,&quot;itemData&quot;:{&quot;type&quot;:&quot;article-journal&quot;,&quot;id&quot;:&quot;7e92fd83-bacd-3e6d-ae30-63d0e1b73046&quot;,&quot;title&quot;:&quot;Computational prediction of immune cell cytotoxicity&quot;,&quot;author&quot;:[{&quot;family&quot;:&quot;Schrey&quot;,&quot;given&quot;:&quot;Anna K.&quot;,&quot;parse-names&quot;:false,&quot;dropping-particle&quot;:&quot;&quot;,&quot;non-dropping-particle&quot;:&quot;&quot;},{&quot;family&quot;:&quot;Nickel-Seeber&quot;,&quot;given&quot;:&quot;Janette&quot;,&quot;parse-names&quot;:false,&quot;dropping-particle&quot;:&quot;&quot;,&quot;non-dropping-particle&quot;:&quot;&quot;},{&quot;family&quot;:&quot;Drwal&quot;,&quot;given&quot;:&quot;Malgorzata N.&quot;,&quot;parse-names&quot;:false,&quot;dropping-particle&quot;:&quot;&quot;,&quot;non-dropping-particle&quot;:&quot;&quot;},{&quot;family&quot;:&quot;Zwicker&quot;,&quot;given&quot;:&quot;Paula&quot;,&quot;parse-names&quot;:false,&quot;dropping-particle&quot;:&quot;&quot;,&quot;non-dropping-particle&quot;:&quot;&quot;},{&quot;family&quot;:&quot;Schultze&quot;,&quot;given&quot;:&quot;Nadin&quot;,&quot;parse-names&quot;:false,&quot;dropping-particle&quot;:&quot;&quot;,&quot;non-dropping-particle&quot;:&quot;&quot;},{&quot;family&quot;:&quot;Haertel&quot;,&quot;given&quot;:&quot;Beate&quot;,&quot;parse-names&quot;:false,&quot;dropping-particle&quot;:&quot;&quot;,&quot;non-dropping-particle&quot;:&quot;&quot;},{&quot;family&quot;:&quot;Preissner&quot;,&quot;given&quot;:&quot;Robert&quot;,&quot;parse-names&quot;:false,&quot;dropping-particle&quot;:&quot;&quot;,&quot;non-dropping-particle&quot;:&quot;&quot;}],&quot;container-title&quot;:&quot;Food and Chemical Toxicology&quot;,&quot;DOI&quot;:&quot;10.1016/j.fct.2017.05.041&quot;,&quot;ISSN&quot;:&quot;18736351&quot;,&quot;issued&quot;:{&quot;date-parts&quot;:[[2017]]},&quot;abstract&quot;:&quot;Immunotoxicity, defined as adverse effects of xenobiotics on the immune system, is gaining increasing attention in the approval process of industrial chemicals and drugs. In-vivo and ex-vivo experiments have been the gold standard in immunotoxicity assessment so far, so the development of in-vitro and in-silico alternatives is an important issue. In this paper we describe a widely applicable, easy-to use computational approach which can serve as an initial immunotoxicity screen of new chemical entities. Molecular fingerprints describing chemical structure were used as parameters in a machine-learning approach based on the Naïve-Bayes learning algorithm. The model was trained using blood-cell growth inhibition data from the NCI database and validated externally with several in-house and literature-derived data sets tested in cytotoxicity assays on different types on immune cells. Both cross-validations and external validations resulted in areas under the receiver operator curves (ROC/AUC) of 75% or higher. The classification of the validation data sets occurred with excellent specificities and fair to excellent selectivities, depending on the data set. This means that the probability of actual immunotoxicity is very high for compounds classified as immunotoxic, while the fraction of false negative predictions might vary. Thus, in a multistep immunotoxicity screening scheme, the classification as immunotoxic can be accepted without additional confirmation, while compounds classified as not immunotoxic will have to be subjected to further investigation.&quot;},&quot;isTemporary&quot;:false}],&quot;properties&quot;:{&quot;noteIndex&quot;:0},&quot;isEdited&quot;:false,&quot;manualOverride&quot;:{&quot;isManuallyOverriden&quot;:false,&quot;citeprocText&quot;:&quot;&lt;sup&gt;28&lt;/sup&gt;&quot;,&quot;manualOverrideText&quot;:&quot;&quot;}},{&quot;citationID&quot;:&quot;MENDELEY_CITATION_9aa3ed16-8ac7-4096-84ab-3a1e9abb4519&quot;,&quot;citationItems&quot;:[{&quot;id&quot;:&quot;7e92fd83-bacd-3e6d-ae30-63d0e1b73046&quot;,&quot;itemData&quot;:{&quot;type&quot;:&quot;article-journal&quot;,&quot;id&quot;:&quot;7e92fd83-bacd-3e6d-ae30-63d0e1b73046&quot;,&quot;title&quot;:&quot;Computational prediction of immune cell cytotoxicity&quot;,&quot;author&quot;:[{&quot;family&quot;:&quot;Schrey&quot;,&quot;given&quot;:&quot;Anna K.&quot;,&quot;parse-names&quot;:false,&quot;dropping-particle&quot;:&quot;&quot;,&quot;non-dropping-particle&quot;:&quot;&quot;},{&quot;family&quot;:&quot;Nickel-Seeber&quot;,&quot;given&quot;:&quot;Janette&quot;,&quot;parse-names&quot;:false,&quot;dropping-particle&quot;:&quot;&quot;,&quot;non-dropping-particle&quot;:&quot;&quot;},{&quot;family&quot;:&quot;Drwal&quot;,&quot;given&quot;:&quot;Malgorzata N.&quot;,&quot;parse-names&quot;:false,&quot;dropping-particle&quot;:&quot;&quot;,&quot;non-dropping-particle&quot;:&quot;&quot;},{&quot;family&quot;:&quot;Zwicker&quot;,&quot;given&quot;:&quot;Paula&quot;,&quot;parse-names&quot;:false,&quot;dropping-particle&quot;:&quot;&quot;,&quot;non-dropping-particle&quot;:&quot;&quot;},{&quot;family&quot;:&quot;Schultze&quot;,&quot;given&quot;:&quot;Nadin&quot;,&quot;parse-names&quot;:false,&quot;dropping-particle&quot;:&quot;&quot;,&quot;non-dropping-particle&quot;:&quot;&quot;},{&quot;family&quot;:&quot;Haertel&quot;,&quot;given&quot;:&quot;Beate&quot;,&quot;parse-names&quot;:false,&quot;dropping-particle&quot;:&quot;&quot;,&quot;non-dropping-particle&quot;:&quot;&quot;},{&quot;family&quot;:&quot;Preissner&quot;,&quot;given&quot;:&quot;Robert&quot;,&quot;parse-names&quot;:false,&quot;dropping-particle&quot;:&quot;&quot;,&quot;non-dropping-particle&quot;:&quot;&quot;}],&quot;container-title&quot;:&quot;Food and Chemical Toxicology&quot;,&quot;DOI&quot;:&quot;10.1016/j.fct.2017.05.041&quot;,&quot;ISSN&quot;:&quot;18736351&quot;,&quot;issued&quot;:{&quot;date-parts&quot;:[[2017]]},&quot;abstract&quot;:&quot;Immunotoxicity, defined as adverse effects of xenobiotics on the immune system, is gaining increasing attention in the approval process of industrial chemicals and drugs. In-vivo and ex-vivo experiments have been the gold standard in immunotoxicity assessment so far, so the development of in-vitro and in-silico alternatives is an important issue. In this paper we describe a widely applicable, easy-to use computational approach which can serve as an initial immunotoxicity screen of new chemical entities. Molecular fingerprints describing chemical structure were used as parameters in a machine-learning approach based on the Naïve-Bayes learning algorithm. The model was trained using blood-cell growth inhibition data from the NCI database and validated externally with several in-house and literature-derived data sets tested in cytotoxicity assays on different types on immune cells. Both cross-validations and external validations resulted in areas under the receiver operator curves (ROC/AUC) of 75% or higher. The classification of the validation data sets occurred with excellent specificities and fair to excellent selectivities, depending on the data set. This means that the probability of actual immunotoxicity is very high for compounds classified as immunotoxic, while the fraction of false negative predictions might vary. Thus, in a multistep immunotoxicity screening scheme, the classification as immunotoxic can be accepted without additional confirmation, while compounds classified as not immunotoxic will have to be subjected to further investigation.&quot;},&quot;isTemporary&quot;:false}],&quot;properties&quot;:{&quot;noteIndex&quot;:0},&quot;isEdited&quot;:false,&quot;manualOverride&quot;:{&quot;isManuallyOverriden&quot;:false,&quot;citeprocText&quot;:&quot;&lt;sup&gt;28&lt;/sup&gt;&quot;,&quot;manualOverrideText&quot;:&quot;&quot;}},{&quot;citationID&quot;:&quot;MENDELEY_CITATION_6df4286b-eeb4-4320-b3ad-d7fa383597fd&quot;,&quot;citationItems&quot;:[{&quot;id&quot;:&quot;7ebad454-6c88-3cc3-8f79-cd33d641e6d2&quot;,&quot;itemData&quot;:{&quot;type&quot;:&quot;article-journal&quot;,&quot;id&quot;:&quot;7ebad454-6c88-3cc3-8f79-cd33d641e6d2&quot;,&quot;title&quot;:&quot;Machine Learning Based Toxicity Prediction: From Chemical Structural Description to Transcriptome Analysis&quot;,&quot;author&quot;:[{&quot;family&quot;:&quot;Wu&quot;,&quot;given&quot;:&quot;Yunyi&quot;,&quot;parse-names&quot;:false,&quot;dropping-particle&quot;:&quot;&quot;,&quot;non-dropping-particle&quot;:&quot;&quot;},{&quot;family&quot;:&quot;Wang&quot;,&quot;given&quot;:&quot;Guanyu&quot;,&quot;parse-names&quot;:false,&quot;dropping-particle&quot;:&quot;&quot;,&quot;non-dropping-particle&quot;:&quot;&quot;}],&quot;container-title&quot;:&quot;International Journal of Molecular Sciences&quot;,&quot;DOI&quot;:&quot;10.3390/ijms19082358&quot;,&quot;URL&quot;:&quot;https://doi.org/10.3390%2Fijms19082358&quot;,&quot;issued&quot;:{&quot;date-parts&quot;:[[2018,8]]},&quot;page&quot;:&quot;2358&quot;,&quot;publisher&quot;:&quot;{MDPI} {AG}&quot;,&quot;issue&quot;:&quot;8&quot;,&quot;volume&quot;:&quot;19&quot;},&quot;isTemporary&quot;:false}],&quot;properties&quot;:{&quot;noteIndex&quot;:0},&quot;isEdited&quot;:false,&quot;manualOverride&quot;:{&quot;isManuallyOverriden&quot;:false,&quot;citeprocText&quot;:&quot;&lt;sup&gt;27&lt;/sup&gt;&quot;,&quot;manualOverrideText&quot;:&quot;&quot;}},{&quot;citationID&quot;:&quot;MENDELEY_CITATION_f1e09ee6-3180-4fda-a4c0-7f9a08bb8709&quot;,&quot;citationItems&quot;:[{&quot;id&quot;:&quot;1202f500-1fdd-3a4d-a363-9c6329b445b7&quot;,&quot;itemData&quot;:{&quot;type&quot;:&quot;article-journal&quot;,&quot;id&quot;:&quot;1202f500-1fdd-3a4d-a363-9c6329b445b7&quot;,&quot;title&quot;:&quot;Evaluation of Gene Expression and Phenotypic Profiling Data as Quantitative Descriptors for Predicting Drug Targets and Mechanisms of Action&quot;,&quot;author&quot;:[{&quot;family&quot;:&quot;Lapins&quot;,&quot;given&quot;:&quot;Maris&quot;,&quot;parse-names&quot;:false,&quot;dropping-particle&quot;:&quot;&quot;,&quot;non-dropping-particle&quot;:&quot;&quot;},{&quot;family&quot;:&quot;Spjuth&quot;,&quot;given&quot;:&quot;Ola&quot;,&quot;parse-names&quot;:false,&quot;dropping-particle&quot;:&quot;&quot;,&quot;non-dropping-particle&quot;:&quot;&quot;}],&quot;DOI&quot;:&quot;10.1101/580654&quot;,&quot;URL&quot;:&quot;https://doi.org/10.1101%2F580654&quot;,&quot;issued&quot;:{&quot;date-parts&quot;:[[2019,3]]},&quot;publisher&quot;:&quot;Cold Spring Harbor Laboratory&quot;},&quot;isTemporary&quot;:false}],&quot;properties&quot;:{&quot;noteIndex&quot;:0},&quot;isEdited&quot;:false,&quot;manualOverride&quot;:{&quot;isManuallyOverriden&quot;:false,&quot;citeprocText&quot;:&quot;&lt;sup&gt;28&lt;/sup&gt;&quot;,&quot;manualOverrideText&quot;:&quot;&quot;}},{&quot;citationID&quot;:&quot;MENDELEY_CITATION_523c7a7a-2185-42e9-8cf5-32039ef53c1f&quot;,&quot;citationItems&quot;:[{&quot;id&quot;:&quot;e05df982-0246-38d9-9426-b6d6287e01cb&quot;,&quot;itemData&quot;:{&quot;type&quot;:&quot;article-journal&quot;,&quot;id&quot;:&quot;e05df982-0246-38d9-9426-b6d6287e01cb&quot;,&quot;title&quot;:&quot;High-content, high-throughput screening for the identification of cytotoxic compounds based on cell morphology and cell proliferation markers&quot;,&quot;author&quot;:[{&quot;family&quot;:&quot;Martin&quot;,&quot;given&quot;:&quot;Heather L.&quot;,&quot;parse-names&quot;:false,&quot;dropping-particle&quot;:&quot;&quot;,&quot;non-dropping-particle&quot;:&quot;&quot;},{&quot;family&quot;:&quot;Adams&quot;,&quot;given&quot;:&quot;Matthew&quot;,&quot;parse-names&quot;:false,&quot;dropping-particle&quot;:&quot;&quot;,&quot;non-dropping-particle&quot;:&quot;&quot;},{&quot;family&quot;:&quot;Higgins&quot;,&quot;given&quot;:&quot;Julie&quot;,&quot;parse-names&quot;:false,&quot;dropping-particle&quot;:&quot;&quot;,&quot;non-dropping-particle&quot;:&quot;&quot;},{&quot;family&quot;:&quot;Bond&quot;,&quot;given&quot;:&quot;Jacquelyn&quot;,&quot;parse-names&quot;:false,&quot;dropping-particle&quot;:&quot;&quot;,&quot;non-dropping-particle&quot;:&quot;&quot;},{&quot;family&quot;:&quot;Morrison&quot;,&quot;given&quot;:&quot;Ewan E.&quot;,&quot;parse-names&quot;:false,&quot;dropping-particle&quot;:&quot;&quot;,&quot;non-dropping-particle&quot;:&quot;&quot;},{&quot;family&quot;:&quot;Bell&quot;,&quot;given&quot;:&quot;Sandra M.&quot;,&quot;parse-names&quot;:false,&quot;dropping-particle&quot;:&quot;&quot;,&quot;non-dropping-particle&quot;:&quot;&quot;},{&quot;family&quot;:&quot;Warriner&quot;,&quot;given&quot;:&quot;Stuart&quot;,&quot;parse-names&quot;:false,&quot;dropping-particle&quot;:&quot;&quot;,&quot;non-dropping-particle&quot;:&quot;&quot;},{&quot;family&quot;:&quot;Nelson&quot;,&quot;given&quot;:&quot;Adam&quot;,&quot;parse-names&quot;:false,&quot;dropping-particle&quot;:&quot;&quot;,&quot;non-dropping-particle&quot;:&quot;&quot;},{&quot;family&quot;:&quot;Tomlinson&quot;,&quot;given&quot;:&quot;Darren C.&quot;,&quot;parse-names&quot;:false,&quot;dropping-particle&quot;:&quot;&quot;,&quot;non-dropping-particle&quot;:&quot;&quot;}],&quot;container-title&quot;:&quot;PLoS ONE&quot;,&quot;DOI&quot;:&quot;10.1371/journal.pone.0088338&quot;,&quot;ISSN&quot;:&quot;19326203&quot;,&quot;issued&quot;:{&quot;date-parts&quot;:[[2014]]},&quot;abstract&quot;:&quot;Toxicity is a major cause of failure in drug discovery and development, and whilst robust toxicological testing occurs, efficiency could be improved if compounds with cytotoxic characteristics were identified during primary compound screening. The use of high-content imaging in primary screening is becoming more widespread, and by utilising phenotypic approaches it should be possible to incorporate cytotoxicity counter-screens into primary screens. Here we present a novel phenotypic assay that can be used as a counter-screen to identify compounds with adverse cellular effects. This assay has been developed using U2OS cells, the PerkinElmer Operetta high-content/high-throughput imaging system and Columbus image analysis software. In Columbus, algorithms were devised to identify changes in nuclear morphology, cell shape and proliferation using DAPI, TOTO-3 and phosphohistone H3 staining, respectively. The algorithms were developed and tested on cells treated with doxorubicin, taxol and nocodazole. The assay was then used to screen a novel, chemical library, rich in natural product-like molecules of over 300 compounds, 13.6% of which were identified as having adverse cellular effects. This assay provides a relatively cheap and rapid approach for identifying compounds with adverse cellular effects during screening assays, potentially reducing compound rejection due to toxicity in subsequent in vitro and in vivo assays. © 2014 Martin et al.&quot;},&quot;isTemporary&quot;:false}],&quot;properties&quot;:{&quot;noteIndex&quot;:0},&quot;isEdited&quot;:false,&quot;manualOverride&quot;:{&quot;isManuallyOverriden&quot;:false,&quot;citeprocText&quot;:&quot;&lt;sup&gt;29&lt;/sup&gt;&quot;,&quot;manualOverrideText&quot;:&quot;&quot;}},{&quot;citationID&quot;:&quot;MENDELEY_CITATION_bef483c3-61b5-4b1d-9578-e8f5e4f9acb4&quot;,&quot;citationItems&quot;:[{&quot;id&quot;:&quot;e776d774-d49d-3e46-83a0-50ea74a46bf2&quot;,&quot;itemData&quot;:{&quot;type&quot;:&quot;webpage&quot;,&quot;id&quot;:&quot;e776d774-d49d-3e46-83a0-50ea74a46bf2&quot;,&quot;title&quot;:&quot;GigaDB Dataset - DOI 10.5524/100351 - Supporting data for \&quot;A dataset of images and morphological profiles of 30,000 small-molecule treatme ...&quot;,&quot;accessed&quot;:{&quot;date-parts&quot;:[[2020,7,22]]},&quot;URL&quot;:&quot;http://gigadb.org/dataset/100351&quot;},&quot;isTemporary&quot;:false}],&quot;properties&quot;:{&quot;noteIndex&quot;:0},&quot;isEdited&quot;:false,&quot;manualOverride&quot;:{&quot;isManuallyOverriden&quot;:false,&quot;citeprocText&quot;:&quot;&lt;sup&gt;30&lt;/sup&gt;&quot;,&quot;manualOverrideText&quot;:&quot;&quot;}},{&quot;citationID&quot;:&quot;MENDELEY_CITATION_f64fd77b-de13-4364-b8ab-b0f973334b6a&quot;,&quot;citationItems&quot;:[{&quot;id&quot;:&quot;878231ab-992a-3671-a018-5bb736f1f54a&quot;,&quot;itemData&quot;:{&quot;type&quot;:&quot;article-journal&quot;,&quot;id&quot;:&quot;878231ab-992a-3671-a018-5bb736f1f54a&quot;,&quot;title&quot;:&quot;CellProfiler: Image analysis software for identifying and quantifying cell phenotypes&quot;,&quot;author&quot;:[{&quot;family&quot;:&quot;Carpenter&quot;,&quot;given&quot;:&quot;Anne E.&quot;,&quot;parse-names&quot;:false,&quot;dropping-particle&quot;:&quot;&quot;,&quot;non-dropping-particle&quot;:&quot;&quot;},{&quot;family&quot;:&quot;Jones&quot;,&quot;given&quot;:&quot;Thouis R.&quot;,&quot;parse-names&quot;:false,&quot;dropping-particle&quot;:&quot;&quot;,&quot;non-dropping-particle&quot;:&quot;&quot;},{&quot;family&quot;:&quot;Lamprecht&quot;,&quot;given&quot;:&quot;Michael R.&quot;,&quot;parse-names&quot;:false,&quot;dropping-particle&quot;:&quot;&quot;,&quot;non-dropping-particle&quot;:&quot;&quot;},{&quot;family&quot;:&quot;Clarke&quot;,&quot;given&quot;:&quot;Colin&quot;,&quot;parse-names&quot;:false,&quot;dropping-particle&quot;:&quot;&quot;,&quot;non-dropping-particle&quot;:&quot;&quot;},{&quot;family&quot;:&quot;Kang&quot;,&quot;given&quot;:&quot;In Han&quot;,&quot;parse-names&quot;:false,&quot;dropping-particle&quot;:&quot;&quot;,&quot;non-dropping-particle&quot;:&quot;&quot;},{&quot;family&quot;:&quot;Friman&quot;,&quot;given&quot;:&quot;Ola&quot;,&quot;parse-names&quot;:false,&quot;dropping-particle&quot;:&quot;&quot;,&quot;non-dropping-particle&quot;:&quot;&quot;},{&quot;family&quot;:&quot;Guertin&quot;,&quot;given&quot;:&quot;David A.&quot;,&quot;parse-names&quot;:false,&quot;dropping-particle&quot;:&quot;&quot;,&quot;non-dropping-particle&quot;:&quot;&quot;},{&quot;family&quot;:&quot;Chang&quot;,&quot;given&quot;:&quot;Joo Han&quot;,&quot;parse-names&quot;:false,&quot;dropping-particle&quot;:&quot;&quot;,&quot;non-dropping-particle&quot;:&quot;&quot;},{&quot;family&quot;:&quot;Lindquist&quot;,&quot;given&quot;:&quot;Robert A.&quot;,&quot;parse-names&quot;:false,&quot;dropping-particle&quot;:&quot;&quot;,&quot;non-dropping-particle&quot;:&quot;&quot;},{&quot;family&quot;:&quot;Moffat&quot;,&quot;given&quot;:&quot;Jason&quot;,&quot;parse-names&quot;:false,&quot;dropping-particle&quot;:&quot;&quot;,&quot;non-dropping-particle&quot;:&quot;&quot;},{&quot;family&quot;:&quot;Golland&quot;,&quot;given&quot;:&quot;Polina&quot;,&quot;parse-names&quot;:false,&quot;dropping-particle&quot;:&quot;&quot;,&quot;non-dropping-particle&quot;:&quot;&quot;},{&quot;family&quot;:&quot;Sabatini&quot;,&quot;given&quot;:&quot;David M.&quot;,&quot;parse-names&quot;:false,&quot;dropping-particle&quot;:&quot;&quot;,&quot;non-dropping-particle&quot;:&quot;&quot;}],&quot;container-title&quot;:&quot;Genome Biology&quot;,&quot;DOI&quot;:&quot;10.1186/gb-2006-7-10-r100&quot;,&quot;ISSN&quot;:&quot;14747596&quot;,&quot;PMID&quot;:&quot;17076895&quot;,&quot;issued&quot;:{&quot;date-parts&quot;:[[2006]]},&quot;abstract&quot;:&quot;Biologists can now prepare and image thousands of samples per day using automation, enabling chemical screens and functional genomics (for example, using RNA interference). Here we describe the first free, open-source system designed for flexible, high-throughput cell image analysis, CellProfiler. CellProfiler can address a variety of biological questions quantitatively, including standard assays (for example, cell count, size, per-cell protein levels) and complex morphological assays (for example, cell/organelle shape or subcellular patterns of DNA or protein staining). © 2006 Carpenter et al.; licensee BioMed Central Ltd.&quot;},&quot;isTemporary&quot;:false}],&quot;properties&quot;:{&quot;noteIndex&quot;:0},&quot;isEdited&quot;:false,&quot;manualOverride&quot;:{&quot;isManuallyOverriden&quot;:false,&quot;citeprocText&quot;:&quot;&lt;sup&gt;31&lt;/sup&gt;&quot;,&quot;manualOverrideText&quot;:&quot;&quot;}},{&quot;citationID&quot;:&quot;MENDELEY_CITATION_2db74a75-f4e1-4652-b528-e54b4efcab8d&quot;,&quot;citationItems&quot;:[{&quot;id&quot;:&quot;4ac64cc2-2113-3b70-a00c-4bc6bb3b7c57&quot;,&quot;itemData&quot;:{&quot;type&quot;:&quot;webpage&quot;,&quot;id&quot;:&quot;4ac64cc2-2113-3b70-a00c-4bc6bb3b7c57&quot;,&quot;title&quot;:&quot;Manuals | CellProfiler&quot;,&quot;accessed&quot;:{&quot;date-parts&quot;:[[2020,7,22]]},&quot;URL&quot;:&quot;https://cellprofiler.org/manuals&quot;},&quot;isTemporary&quot;:false}],&quot;properties&quot;:{&quot;noteIndex&quot;:0},&quot;isEdited&quot;:false,&quot;manualOverride&quot;:{&quot;isManuallyOverriden&quot;:false,&quot;citeprocText&quot;:&quot;&lt;sup&gt;32&lt;/sup&gt;&quot;,&quot;manualOverrideText&quot;:&quot;&quot;}},{&quot;citationID&quot;:&quot;MENDELEY_CITATION_38f9c545-0562-4c13-b5ba-0e37e51dbfba&quot;,&quot;citationItems&quot;:[{&quot;id&quot;:&quot;1202f500-1fdd-3a4d-a363-9c6329b445b7&quot;,&quot;itemData&quot;:{&quot;type&quot;:&quot;article-journal&quot;,&quot;id&quot;:&quot;1202f500-1fdd-3a4d-a363-9c6329b445b7&quot;,&quot;title&quot;:&quot;Evaluation of Gene Expression and Phenotypic Profiling Data as Quantitative Descriptors for Predicting Drug Targets and Mechanisms of Action&quot;,&quot;author&quot;:[{&quot;family&quot;:&quot;Lapins&quot;,&quot;given&quot;:&quot;Maris&quot;,&quot;parse-names&quot;:false,&quot;dropping-particle&quot;:&quot;&quot;,&quot;non-dropping-particle&quot;:&quot;&quot;},{&quot;family&quot;:&quot;Spjuth&quot;,&quot;given&quot;:&quot;Ola&quot;,&quot;parse-names&quot;:false,&quot;dropping-particle&quot;:&quot;&quot;,&quot;non-dropping-particle&quot;:&quot;&quot;}],&quot;DOI&quot;:&quot;10.1101/580654&quot;,&quot;URL&quot;:&quot;https://doi.org/10.1101%2F580654&quot;,&quot;issued&quot;:{&quot;date-parts&quot;:[[2019,3]]},&quot;publisher&quot;:&quot;Cold Spring Harbor Laboratory&quot;},&quot;isTemporary&quot;:false}],&quot;properties&quot;:{&quot;noteIndex&quot;:0},&quot;isEdited&quot;:false,&quot;manualOverride&quot;:{&quot;isManuallyOverriden&quot;:false,&quot;citeprocText&quot;:&quot;&lt;sup&gt;28&lt;/sup&gt;&quot;,&quot;manualOverrideText&quot;:&quot;&quot;}},{&quot;citationID&quot;:&quot;MENDELEY_CITATION_2fe3e16d-da54-4465-b9aa-d70f3cc2648a&quot;,&quot;citationItems&quot;:[{&quot;id&quot;:&quot;5f780c64-1f2d-3c50-9e41-53aca76d1d10&quot;,&quot;itemData&quot;:{&quot;type&quot;:&quot;article-journal&quot;,&quot;id&quot;:&quot;5f780c64-1f2d-3c50-9e41-53aca76d1d10&quot;,&quot;title&quot;:&quot;{MoleculeNet}: a benchmark for molecular machine learning&quot;,&quot;author&quot;:[{&quot;family&quot;:&quot;Wu&quot;,&quot;given&quot;:&quot;Zhenqin&quot;,&quot;parse-names&quot;:false,&quot;dropping-particle&quot;:&quot;&quot;,&quot;non-dropping-particle&quot;:&quot;&quot;},{&quot;family&quot;:&quot;Ramsundar&quot;,&quot;given&quot;:&quot;Bharath&quot;,&quot;parse-names&quot;:false,&quot;dropping-particle&quot;:&quot;&quot;,&quot;non-dropping-particle&quot;:&quot;&quot;},{&quot;family&quot;:&quot;Feinberg&quot;,&quot;given&quot;:&quot;Evan~N.&quot;,&quot;parse-names&quot;:false,&quot;dropping-particle&quot;:&quot;&quot;,&quot;non-dropping-particle&quot;:&quot;&quot;},{&quot;family&quot;:&quot;Gomes&quot;,&quot;given&quot;:&quot;Joseph&quot;,&quot;parse-names&quot;:false,&quot;dropping-particle&quot;:&quot;&quot;,&quot;non-dropping-particle&quot;:&quot;&quot;},{&quot;family&quot;:&quot;Geniesse&quot;,&quot;given&quot;:&quot;Caleb&quot;,&quot;parse-names&quot;:false,&quot;dropping-particle&quot;:&quot;&quot;,&quot;non-dropping-particle&quot;:&quot;&quot;},{&quot;family&quot;:&quot;Pappu&quot;,&quot;given&quot;:&quot;Aneesh S&quot;,&quot;parse-names&quot;:false,&quot;dropping-particle&quot;:&quot;&quot;,&quot;non-dropping-particle&quot;:&quot;&quot;},{&quot;family&quot;:&quot;Leswing&quot;,&quot;given&quot;:&quot;Karl&quot;,&quot;parse-names&quot;:false,&quot;dropping-particle&quot;:&quot;&quot;,&quot;non-dropping-particle&quot;:&quot;&quot;},{&quot;family&quot;:&quot;Pande&quot;,&quot;given&quot;:&quot;Vijay&quot;,&quot;parse-names&quot;:false,&quot;dropping-particle&quot;:&quot;&quot;,&quot;non-dropping-particle&quot;:&quot;&quot;}],&quot;container-title&quot;:&quot;Chemical Science&quot;,&quot;DOI&quot;:&quot;10.1039/c7sc02664a&quot;,&quot;URL&quot;:&quot;https://doi.org/10.1039%2Fc7sc02664a&quot;,&quot;issued&quot;:{&quot;date-parts&quot;:[[2018]]},&quot;page&quot;:&quot;513-530&quot;,&quot;publisher&quot;:&quot;Royal Society of Chemistry ({RSC})&quot;,&quot;issue&quot;:&quot;2&quot;,&quot;volume&quot;:&quot;9&quot;},&quot;isTemporary&quot;:false}],&quot;properties&quot;:{&quot;noteIndex&quot;:0},&quot;isEdited&quot;:false,&quot;manualOverride&quot;:{&quot;isManuallyOverriden&quot;:false,&quot;citeprocText&quot;:&quot;&lt;sup&gt;33&lt;/sup&gt;&quot;,&quot;manualOverrideText&quot;:&quot;&quot;}},{&quot;citationID&quot;:&quot;MENDELEY_CITATION_92d69787-1f1f-4243-a679-5cfb230f6593&quot;,&quot;citationItems&quot;:[{&quot;id&quot;:&quot;0a1e4080-e9de-3be8-a5c3-2e0fbc8e4dd5&quot;,&quot;itemData&quot;:{&quot;type&quot;:&quot;webpage&quot;,&quot;id&quot;:&quot;0a1e4080-e9de-3be8-a5c3-2e0fbc8e4dd5&quot;,&quot;title&quot;:&quot;Datasets&quot;,&quot;accessed&quot;:{&quot;date-parts&quot;:[[2020,7,22]]},&quot;URL&quot;:&quot;http://moleculenet.ai/datasets-1&quot;},&quot;isTemporary&quot;:false}],&quot;properties&quot;:{&quot;noteIndex&quot;:0},&quot;isEdited&quot;:false,&quot;manualOverride&quot;:{&quot;isManuallyOverriden&quot;:false,&quot;citeprocText&quot;:&quot;&lt;sup&gt;34&lt;/sup&gt;&quot;,&quot;manualOverrideText&quot;:&quot;&quot;}},{&quot;citationID&quot;:&quot;MENDELEY_CITATION_482ef7db-fda4-4833-85cb-39deccd9df3c&quot;,&quot;citationItems&quot;:[{&quot;id&quot;:&quot;54922feb-e04b-3d1d-bdf1-7e9a54616b5e&quot;,&quot;itemData&quot;:{&quot;type&quot;:&quot;article-journal&quot;,&quot;id&quot;:&quot;54922feb-e04b-3d1d-bdf1-7e9a54616b5e&quot;,&quot;title&quot;:&quot;{ToxCast} Chemical Landscape: Paving the Road to 21st Century Toxicology&quot;,&quot;author&quot;:[{&quot;family&quot;:&quot;Richard&quot;,&quot;given&quot;:&quot;Ann M&quot;,&quot;parse-names&quot;:false,&quot;dropping-particle&quot;:&quot;&quot;,&quot;non-dropping-particle&quot;:&quot;&quot;},{&quot;family&quot;:&quot;Judson&quot;,&quot;given&quot;:&quot;Richard S&quot;,&quot;parse-names&quot;:false,&quot;dropping-particle&quot;:&quot;&quot;,&quot;non-dropping-particle&quot;:&quot;&quot;},{&quot;family&quot;:&quot;Houck&quot;,&quot;given&quot;:&quot;Keith A&quot;,&quot;parse-names&quot;:false,&quot;dropping-particle&quot;:&quot;&quot;,&quot;non-dropping-particle&quot;:&quot;&quot;},{&quot;family&quot;:&quot;Grulke&quot;,&quot;given&quot;:&quot;Christopher M&quot;,&quot;parse-names&quot;:false,&quot;dropping-particle&quot;:&quot;&quot;,&quot;non-dropping-particle&quot;:&quot;&quot;},{&quot;family&quot;:&quot;Volarath&quot;,&quot;given&quot;:&quot;Patra&quot;,&quot;parse-names&quot;:false,&quot;dropping-particle&quot;:&quot;&quot;,&quot;non-dropping-particle&quot;:&quot;&quot;},{&quot;family&quot;:&quot;Thillainadarajah&quot;,&quot;given&quot;:&quot;Inthirany&quot;,&quot;parse-names&quot;:false,&quot;dropping-particle&quot;:&quot;&quot;,&quot;non-dropping-particle&quot;:&quot;&quot;},{&quot;family&quot;:&quot;Yang&quot;,&quot;given&quot;:&quot;Chihae&quot;,&quot;parse-names&quot;:false,&quot;dropping-particle&quot;:&quot;&quot;,&quot;non-dropping-particle&quot;:&quot;&quot;},{&quot;family&quot;:&quot;Rathman&quot;,&quot;given&quot;:&quot;James&quot;,&quot;parse-names&quot;:false,&quot;dropping-particle&quot;:&quot;&quot;,&quot;non-dropping-particle&quot;:&quot;&quot;},{&quot;family&quot;:&quot;Martin&quot;,&quot;given&quot;:&quot;Matthew T&quot;,&quot;parse-names&quot;:false,&quot;dropping-particle&quot;:&quot;&quot;,&quot;non-dropping-particle&quot;:&quot;&quot;},{&quot;family&quot;:&quot;Wambaugh&quot;,&quot;given&quot;:&quot;John F&quot;,&quot;parse-names&quot;:false,&quot;dropping-particle&quot;:&quot;&quot;,&quot;non-dropping-particle&quot;:&quot;&quot;},{&quot;family&quot;:&quot;Knudsen&quot;,&quot;given&quot;:&quot;Thomas B&quot;,&quot;parse-names&quot;:false,&quot;dropping-particle&quot;:&quot;&quot;,&quot;non-dropping-particle&quot;:&quot;&quot;},{&quot;family&quot;:&quot;Kancherla&quot;,&quot;given&quot;:&quot;Jayaram&quot;,&quot;parse-names&quot;:false,&quot;dropping-particle&quot;:&quot;&quot;,&quot;non-dropping-particle&quot;:&quot;&quot;},{&quot;family&quot;:&quot;Mansouri&quot;,&quot;given&quot;:&quot;Kamel&quot;,&quot;parse-names&quot;:false,&quot;dropping-particle&quot;:&quot;&quot;,&quot;non-dropping-particle&quot;:&quot;&quot;},{&quot;family&quot;:&quot;Patlewicz&quot;,&quot;given&quot;:&quot;Grace&quot;,&quot;parse-names&quot;:false,&quot;dropping-particle&quot;:&quot;&quot;,&quot;non-dropping-particle&quot;:&quot;&quot;},{&quot;family&quot;:&quot;Williams&quot;,&quot;given&quot;:&quot;Antony J&quot;,&quot;parse-names&quot;:false,&quot;dropping-particle&quot;:&quot;&quot;,&quot;non-dropping-particle&quot;:&quot;&quot;},{&quot;family&quot;:&quot;Little&quot;,&quot;given&quot;:&quot;Stephen B&quot;,&quot;parse-names&quot;:false,&quot;dropping-particle&quot;:&quot;&quot;,&quot;non-dropping-particle&quot;:&quot;&quot;},{&quot;family&quot;:&quot;Crofton&quot;,&quot;given&quot;:&quot;Kevin M&quot;,&quot;parse-names&quot;:false,&quot;dropping-particle&quot;:&quot;&quot;,&quot;non-dropping-particle&quot;:&quot;&quot;},{&quot;family&quot;:&quot;Thomas&quot;,&quot;given&quot;:&quot;Russell S&quot;,&quot;parse-names&quot;:false,&quot;dropping-particle&quot;:&quot;&quot;,&quot;non-dropping-particle&quot;:&quot;&quot;}],&quot;container-title&quot;:&quot;Chemical Research in Toxicology&quot;,&quot;DOI&quot;:&quot;10.1021/acs.chemrestox.6b00135&quot;,&quot;URL&quot;:&quot;https://doi.org/10.1021%2Facs.chemrestox.6b00135&quot;,&quot;issued&quot;:{&quot;date-parts&quot;:[[2016,7]]},&quot;page&quot;:&quot;1225-1251&quot;,&quot;publisher&quot;:&quot;American Chemical Society ({ACS})&quot;,&quot;issue&quot;:&quot;8&quot;,&quot;volume&quot;:&quot;29&quot;},&quot;isTemporary&quot;:false}],&quot;properties&quot;:{&quot;noteIndex&quot;:0},&quot;isEdited&quot;:false,&quot;manualOverride&quot;:{&quot;isManuallyOverriden&quot;:false,&quot;citeprocText&quot;:&quot;&lt;sup&gt;35&lt;/sup&gt;&quot;,&quot;manualOverrideText&quot;:&quot;&quot;}},{&quot;citationID&quot;:&quot;MENDELEY_CITATION_ea82eb6a-7b23-48b4-a3a0-3e0585877a5d&quot;,&quot;citationItems&quot;:[{&quot;id&quot;:&quot;8e001e19-880b-3a78-8371-63f901911429&quot;,&quot;itemData&quot;:{&quot;type&quot;:&quot;thesis&quot;,&quot;id&quot;:&quot;8e001e19-880b-3a78-8371-63f901911429&quot;,&quot;title&quot;:&quot;Structured Application of Biological Ontologies to Annotate High-Throughput Screening Assays and their Targets of Activity&quot;,&quot;author&quot;:[{&quot;family&quot;:&quot;Phuong&quot;,&quot;given&quot;:&quot;Jimmy&quot;,&quot;parse-names&quot;:false,&quot;dropping-particle&quot;:&quot;&quot;,&quot;non-dropping-particle&quot;:&quot;&quot;}],&quot;URL&quot;:&quot;https://cdr.lib.unc.edu/concern/masters_papers/3r074w47j&quot;,&quot;issued&quot;:{&quot;date-parts&quot;:[[2014]]},&quot;abstract&quot;:&quot;High-throughput screening (HTS) assays have changed the pace of chemical data collection, enabling assessments at various levels of biological relevance. EPA's ToxCast Program has 328 assays (experiments) generating 541 assay components (readouts), which produces 795 assay component endpoints (analyses), with intentions to increase the number of assays and the number of substances tested. As new assays are developed, it becomes a challenge to communicate what kind of data and features are associated with each assay. This report uses the BioAssay Ontology and other publicly available ontologies to produce the ToxCast Assay Annotation, a structured resource for descriptive information that uses controlled vocabulary to aid in the communication and use of ToxCast HTS assay data. Organized by 34 annotations including 'assay design type' and 'detection technology type', this structure allows for a concise reference to the pertinent attributes of an assay. Additionally, the perspective differences between the technological and intended target are separately captured. This structured annotation also allows for the identification of comparable ToxCast assay endpoints, and offers the potential to link with other HTS data repositories.&quot;},&quot;isTemporary&quot;:false}],&quot;properties&quot;:{&quot;noteIndex&quot;:0},&quot;isEdited&quot;:false,&quot;manualOverride&quot;:{&quot;isManuallyOverriden&quot;:false,&quot;citeprocText&quot;:&quot;&lt;sup&gt;36&lt;/sup&gt;&quot;,&quot;manualOverrideText&quot;:&quot;&quot;}},{&quot;citationID&quot;:&quot;MENDELEY_CITATION_c1b6c3c3-c240-493a-8be3-b9cc9631909c&quot;,&quot;citationItems&quot;:[{&quot;id&quot;:&quot;2f0f0f61-6fc1-3534-94f5-a527b3b476d8&quot;,&quot;itemData&quot;:{&quot;type&quot;:&quot;article-journal&quot;,&quot;id&quot;:&quot;2f0f0f61-6fc1-3534-94f5-a527b3b476d8&quot;,&quot;title&quot;:&quot;Real-time growth kinetics measuring hormone mimicry for ToxCast chemicals in T-47D human ductal carcinoma cells&quot;,&quot;author&quot;:[{&quot;family&quot;:&quot;Rotroff&quot;,&quot;given&quot;:&quot;Daniel M.&quot;,&quot;parse-names&quot;:false,&quot;dropping-particle&quot;:&quot;&quot;,&quot;non-dropping-particle&quot;:&quot;&quot;},{&quot;family&quot;:&quot;Dix&quot;,&quot;given&quot;:&quot;David J.&quot;,&quot;parse-names&quot;:false,&quot;dropping-particle&quot;:&quot;&quot;,&quot;non-dropping-particle&quot;:&quot;&quot;},{&quot;family&quot;:&quot;Houck&quot;,&quot;given&quot;:&quot;Keith A.&quot;,&quot;parse-names&quot;:false,&quot;dropping-particle&quot;:&quot;&quot;,&quot;non-dropping-particle&quot;:&quot;&quot;},{&quot;family&quot;:&quot;Kavlock&quot;,&quot;given&quot;:&quot;Robert J.&quot;,&quot;parse-names&quot;:false,&quot;dropping-particle&quot;:&quot;&quot;,&quot;non-dropping-particle&quot;:&quot;&quot;},{&quot;family&quot;:&quot;Knudsen&quot;,&quot;given&quot;:&quot;Thomas B.&quot;,&quot;parse-names&quot;:false,&quot;dropping-particle&quot;:&quot;&quot;,&quot;non-dropping-particle&quot;:&quot;&quot;},{&quot;family&quot;:&quot;Martin&quot;,&quot;given&quot;:&quot;Matthew T.&quot;,&quot;parse-names&quot;:false,&quot;dropping-particle&quot;:&quot;&quot;,&quot;non-dropping-particle&quot;:&quot;&quot;},{&quot;family&quot;:&quot;Reif&quot;,&quot;given&quot;:&quot;David M.&quot;,&quot;parse-names&quot;:false,&quot;dropping-particle&quot;:&quot;&quot;,&quot;non-dropping-particle&quot;:&quot;&quot;},{&quot;family&quot;:&quot;Richard&quot;,&quot;given&quot;:&quot;Ann M.&quot;,&quot;parse-names&quot;:false,&quot;dropping-particle&quot;:&quot;&quot;,&quot;non-dropping-particle&quot;:&quot;&quot;},{&quot;family&quot;:&quot;Sipes&quot;,&quot;given&quot;:&quot;Nisha S.&quot;,&quot;parse-names&quot;:false,&quot;dropping-particle&quot;:&quot;&quot;,&quot;non-dropping-particle&quot;:&quot;&quot;},{&quot;family&quot;:&quot;Abassi&quot;,&quot;given&quot;:&quot;Yama A.&quot;,&quot;parse-names&quot;:false,&quot;dropping-particle&quot;:&quot;&quot;,&quot;non-dropping-particle&quot;:&quot;&quot;},{&quot;family&quot;:&quot;Jin&quot;,&quot;given&quot;:&quot;Can&quot;,&quot;parse-names&quot;:false,&quot;dropping-particle&quot;:&quot;&quot;,&quot;non-dropping-particle&quot;:&quot;&quot;},{&quot;family&quot;:&quot;Stampfl&quot;,&quot;given&quot;:&quot;Melinda&quot;,&quot;parse-names&quot;:false,&quot;dropping-particle&quot;:&quot;&quot;,&quot;non-dropping-particle&quot;:&quot;&quot;},{&quot;family&quot;:&quot;Judson&quot;,&quot;given&quot;:&quot;Richard S.&quot;,&quot;parse-names&quot;:false,&quot;dropping-particle&quot;:&quot;&quot;,&quot;non-dropping-particle&quot;:&quot;&quot;}],&quot;container-title&quot;:&quot;Chemical Research in Toxicology&quot;,&quot;DOI&quot;:&quot;10.1021/tx400117y&quot;,&quot;ISSN&quot;:&quot;0893228X&quot;,&quot;issued&quot;:{&quot;date-parts&quot;:[[2013]]},&quot;abstract&quot;:&quot;High-throughput screening (HTS) assays capable of profiling thousands of environmentally relevant chemicals for in vitro biological activity provide useful information on the potential for disrupting endocrine pathways. Disruption of the estrogen signaling pathway has been implicated in a variety of adverse health effects including impaired development, reproduction, and carcinogenesis. The estrogen-responsive human mammary ductal carcinoma cell line T-47D was exposed to 1815 ToxCast chemicals comprising pesticides, industrial chemicals, pharmaceuticals, personal care products, cosmetics, food ingredients, and other chemicals with known or suspected human exposure potential. Cell growth kinetics were evaluated using real-time cell electronic sensing. T-47D cells were exposed to eight concentrations (0.006-100 μM), and measurements of cellular impedance were repeatedly recorded for 105 h. Chemical effects were evaluated based on potency (concentration at which response occurs) and efficacy (extent of response). A linear growth response was observed in response to prototypical estrogen receptor agonists (17β-estradiol, genistein, bisphenol A, nonylphenol, and 4-tert-octylphenol). Several compounds, including bisphenol A and genistein, induced cell growth comparable in efficacy to that of 17β-estradiol, but with decreased potency. Progestins, androgens, and corticosteroids invoked a biphasic growth response indicative of changes in cell number or cell morphology. Results from this cell growth assay were compared with results from additional estrogen receptor (ER) binding and transactivation assays. Chemicals detected as active in both the cell growth and ER receptor binding assays demonstrated potencies highly correlated with two ER transactivation assays (r = 0.72; r = 0.70). While ER binding assays detected chemicals that were highly potent or efficacious in the T-47D cell growth and transactivation assays, the binding assays lacked sensitivity in detecting weakly active compounds. In conclusion, this cell-based assay rapidly detects chemical effects on T-47D growth and shows potential, in combination with other HTS assays, to detect environmentally relevant chemicals with potential estrogenic activity. © 2013 American Chemical Society.&quot;},&quot;isTemporary&quot;:false}],&quot;properties&quot;:{&quot;noteIndex&quot;:0},&quot;isEdited&quot;:false,&quot;manualOverride&quot;:{&quot;isManuallyOverriden&quot;:false,&quot;citeprocText&quot;:&quot;&lt;sup&gt;37&lt;/sup&gt;&quot;,&quot;manualOverrideText&quot;:&quot;&quot;}},{&quot;citationID&quot;:&quot;MENDELEY_CITATION_18b24542-c6fd-4b54-91fe-528d275c03a7&quot;,&quot;citationItems&quot;:[{&quot;id&quot;:&quot;35781582-0fa4-33c3-9a29-2953a1b90f16&quot;,&quot;itemData&quot;:{&quot;type&quot;:&quot;article-journal&quot;,&quot;id&quot;:&quot;35781582-0fa4-33c3-9a29-2953a1b90f16&quot;,&quot;title&quot;:&quot;An integrative biology approach for analysis of drug action in models of human vascular inflammation&quot;,&quot;author&quot;:[{&quot;family&quot;:&quot;Kunkel&quot;,&quot;given&quot;:&quot;Eric J.&quot;,&quot;parse-names&quot;:false,&quot;dropping-particle&quot;:&quot;&quot;,&quot;non-dropping-particle&quot;:&quot;&quot;},{&quot;family&quot;:&quot;Dea&quot;,&quot;given&quot;:&quot;Marlene&quot;,&quot;parse-names&quot;:false,&quot;dropping-particle&quot;:&quot;&quot;,&quot;non-dropping-particle&quot;:&quot;&quot;},{&quot;family&quot;:&quot;Ebens&quot;,&quot;given&quot;:&quot;Allen&quot;,&quot;parse-names&quot;:false,&quot;dropping-particle&quot;:&quot;&quot;,&quot;non-dropping-particle&quot;:&quot;&quot;},{&quot;family&quot;:&quot;Hytopoulos&quot;,&quot;given&quot;:&quot;Evangelos&quot;,&quot;parse-names&quot;:false,&quot;dropping-particle&quot;:&quot;&quot;,&quot;non-dropping-particle&quot;:&quot;&quot;},{&quot;family&quot;:&quot;Melrose&quot;,&quot;given&quot;:&quot;Jennifer&quot;,&quot;parse-names&quot;:false,&quot;dropping-particle&quot;:&quot;&quot;,&quot;non-dropping-particle&quot;:&quot;&quot;},{&quot;family&quot;:&quot;Nguyen&quot;,&quot;given&quot;:&quot;Dat&quot;,&quot;parse-names&quot;:false,&quot;dropping-particle&quot;:&quot;&quot;,&quot;non-dropping-particle&quot;:&quot;&quot;},{&quot;family&quot;:&quot;Ota&quot;,&quot;given&quot;:&quot;Ken S.&quot;,&quot;parse-names&quot;:false,&quot;dropping-particle&quot;:&quot;&quot;,&quot;non-dropping-particle&quot;:&quot;&quot;},{&quot;family&quot;:&quot;Plavec&quot;,&quot;given&quot;:&quot;Ivan&quot;,&quot;parse-names&quot;:false,&quot;dropping-particle&quot;:&quot;&quot;,&quot;non-dropping-particle&quot;:&quot;&quot;},{&quot;family&quot;:&quot;Wang&quot;,&quot;given&quot;:&quot;Yuker&quot;,&quot;parse-names&quot;:false,&quot;dropping-particle&quot;:&quot;&quot;,&quot;non-dropping-particle&quot;:&quot;&quot;},{&quot;family&quot;:&quot;Watson&quot;,&quot;given&quot;:&quot;Susan R.&quot;,&quot;parse-names&quot;:false,&quot;dropping-particle&quot;:&quot;&quot;,&quot;non-dropping-particle&quot;:&quot;&quot;},{&quot;family&quot;:&quot;Butcher&quot;,&quot;given&quot;:&quot;Eugene C.&quot;,&quot;parse-names&quot;:false,&quot;dropping-particle&quot;:&quot;&quot;,&quot;non-dropping-particle&quot;:&quot;&quot;},{&quot;family&quot;:&quot;Berg&quot;,&quot;given&quot;:&quot;Ellen L.&quot;,&quot;parse-names&quot;:false,&quot;dropping-particle&quot;:&quot;&quot;,&quot;non-dropping-particle&quot;:&quot;&quot;}],&quot;container-title&quot;:&quot;The FASEB Journal&quot;,&quot;DOI&quot;:&quot;10.1096/fj.04-1538fje&quot;,&quot;ISSN&quot;:&quot;0892-6638&quot;,&quot;issued&quot;:{&quot;date-parts&quot;:[[2004]]},&quot;abstract&quot;:&quot;Unexpected drug activities discovered during clinical testing establish the need for better characterization of compounds in human disease-relevant conditions early in the discovery process. Here, we describe an approach to characterize drug function based on statistical analysis of protein expression datasets from multiple primary human cell-based models of inflammatory disease. This approach, termed Biologically Multiplexed Activity Profiling (BioMAP), provides rapid characterization of drug function, including mechanism of action, secondary or off-target activities, and insights into clinical phenomena. Using three model systems containing primary human endothelial cells and peripheral blood mononuclear cells in different environments relevant to vascular inflammation and immune activation, we show that BioMAP profiles detect and discriminate multiple functional drug classes, including glucocorticoids; TNF-alpha antagonists; and inhibitors of HMG-CoA reductase, calcineurin, IMPDH, PDE4, PI-3 kinase, hsp90, and p38 MAPK, among others. The ability of cholesterol lowering HMG-CoA reductase inhibitors (statins) to improve outcomes in rheumatic disease patients correlates with the activities of these compounds in our BioMAP assays. In addition, the activity profiles identified for the immunosuppressants mycophenolic acid, cyclosporin A, and FK-506 provide a potential explanation for a reduced incidence of posttransplant cardiovascular disease in patients receiving mycophenolic acid. BioMAP profiling can allow integration of meaningful human biology into drug development programs.&quot;},&quot;isTemporary&quot;:false}],&quot;properties&quot;:{&quot;noteIndex&quot;:0},&quot;isEdited&quot;:false,&quot;manualOverride&quot;:{&quot;isManuallyOverriden&quot;:false,&quot;citeprocText&quot;:&quot;&lt;sup&gt;38&lt;/sup&gt;&quot;,&quot;manualOverrideText&quot;:&quot;&quot;}},{&quot;citationID&quot;:&quot;MENDELEY_CITATION_ecf4dc28-12c3-4e6a-a92c-f9a51e18d9d3&quot;,&quot;citationItems&quot;:[{&quot;id&quot;:&quot;e83a0e8a-5fb8-337d-aefc-38c763c40db8&quot;,&quot;itemData&quot;:{&quot;type&quot;:&quot;article-journal&quot;,&quot;id&quot;:&quot;e83a0e8a-5fb8-337d-aefc-38c763c40db8&quot;,&quot;title&quot;:&quot;Profiling Bioactivity of the ToxCast Chemical Library Using BioMAP Primary Human Cell Systems&quot;,&quot;author&quot;:[{&quot;family&quot;:&quot;Houck&quot;,&quot;given&quot;:&quot;Keith A.&quot;,&quot;parse-names&quot;:false,&quot;dropping-particle&quot;:&quot;&quot;,&quot;non-dropping-particle&quot;:&quot;&quot;},{&quot;family&quot;:&quot;Dix&quot;,&quot;given&quot;:&quot;David J.&quot;,&quot;parse-names&quot;:false,&quot;dropping-particle&quot;:&quot;&quot;,&quot;non-dropping-particle&quot;:&quot;&quot;},{&quot;family&quot;:&quot;Judson&quot;,&quot;given&quot;:&quot;Richard S.&quot;,&quot;parse-names&quot;:false,&quot;dropping-particle&quot;:&quot;&quot;,&quot;non-dropping-particle&quot;:&quot;&quot;},{&quot;family&quot;:&quot;Kavlock&quot;,&quot;given&quot;:&quot;Robert J.&quot;,&quot;parse-names&quot;:false,&quot;dropping-particle&quot;:&quot;&quot;,&quot;non-dropping-particle&quot;:&quot;&quot;},{&quot;family&quot;:&quot;Yang&quot;,&quot;given&quot;:&quot;Jian&quot;,&quot;parse-names&quot;:false,&quot;dropping-particle&quot;:&quot;&quot;,&quot;non-dropping-particle&quot;:&quot;&quot;},{&quot;family&quot;:&quot;Berg&quot;,&quot;given&quot;:&quot;Ellen L.&quot;,&quot;parse-names&quot;:false,&quot;dropping-particle&quot;:&quot;&quot;,&quot;non-dropping-particle&quot;:&quot;&quot;}],&quot;container-title&quot;:&quot;Journal of Biomolecular Screening&quot;,&quot;DOI&quot;:&quot;10.1177/1087057109345525&quot;,&quot;ISSN&quot;:&quot;10870571&quot;,&quot;issued&quot;:{&quot;date-parts&quot;:[[2009]]},&quot;abstract&quot;:&quot;The complexity of human biology has made prediction of health effects as a consequence of exposure to environmental chemicals especially challenging. Complex cell systems, such as the Biologically Multiplexed Activity Profiling (BioMAP) primary, human, cell-based disease models, leverage cellular regulatory networks to detect and distinguish chemicals with a broad range of target mechanisms and biological processes relevant to human toxicity. Here the authors use the BioMAP human cell systems to characterize effects relevant to human tissue and inflammatory disease biology following exposure to the 320 environmental chemicals in the Environmental Protection Agency–s (EPA–s) ToxCast phase I library. The ToxCast chemicals were assayed at 4 concentrations in 8 BioMAP cell systems, with a total of 87 assay endpoints resulting in more than 100,000 data points. Within the context of the BioMAP database, ToxCast compounds could be classified based on their ability to cause overt cytotoxicity in primary human cell types or according to toxicity mechanism class derived from comparisons to activity profiles of BioMAP reference compounds. ToxCast chemicals with similarity to inducers of mitochondrial dysfunction, cAMP elevators, inhibitors of tubulin function, inducers of endoplasmic reticulum stress, or NFƙB pathway inhibitors were identified based on this BioMAP analysis. This data set is being combined with additional ToxCast data sets for development of predictive toxicity models at the EPA. (Journal of Biomolecular Screening 2009:1054-1066). © 2009, Society for Biomolecular Sciences. All rights reserved.&quot;},&quot;isTemporary&quot;:false}],&quot;properties&quot;:{&quot;noteIndex&quot;:0},&quot;isEdited&quot;:false,&quot;manualOverride&quot;:{&quot;isManuallyOverriden&quot;:false,&quot;citeprocText&quot;:&quot;&lt;sup&gt;39&lt;/sup&gt;&quot;,&quot;manualOverrideText&quot;:&quot;&quot;}},{&quot;citationID&quot;:&quot;MENDELEY_CITATION_b8d89d8f-3a93-4301-bd27-35b4c652a295&quot;,&quot;citationItems&quot;:[{&quot;id&quot;:&quot;5244b28a-8b9b-3101-8885-9e43d987a0eb&quot;,&quot;itemData&quot;:{&quot;type&quot;:&quot;article-journal&quot;,&quot;id&quot;:&quot;5244b28a-8b9b-3101-8885-9e43d987a0eb&quot;,&quot;title&quot;:&quot;Analysis of Pfizer Compounds in {EPA}'s {ToxCast} Chemicals-Assay Space&quot;,&quot;author&quot;:[{&quot;family&quot;:&quot;Shah&quot;,&quot;given&quot;:&quot;Falgun&quot;,&quot;parse-names&quot;:false,&quot;dropping-particle&quot;:&quot;&quot;,&quot;non-dropping-particle&quot;:&quot;&quot;},{&quot;family&quot;:&quot;Greene&quot;,&quot;given&quot;:&quot;Nigel&quot;,&quot;parse-names&quot;:false,&quot;dropping-particle&quot;:&quot;&quot;,&quot;non-dropping-particle&quot;:&quot;&quot;}],&quot;container-title&quot;:&quot;Chemical Research in Toxicology&quot;,&quot;DOI&quot;:&quot;10.1021/tx400343t&quot;,&quot;URL&quot;:&quot;https://doi.org/10.1021%2Ftx400343t&quot;,&quot;issued&quot;:{&quot;date-parts&quot;:[[2013,12]]},&quot;page&quot;:&quot;86-98&quot;,&quot;publisher&quot;:&quot;American Chemical Society ({ACS})&quot;,&quot;issue&quot;:&quot;1&quot;,&quot;volume&quot;:&quot;27&quot;},&quot;isTemporary&quot;:false}],&quot;properties&quot;:{&quot;noteIndex&quot;:0},&quot;isEdited&quot;:false,&quot;manualOverride&quot;:{&quot;isManuallyOverriden&quot;:false,&quot;citeprocText&quot;:&quot;&lt;sup&gt;40&lt;/sup&gt;&quot;,&quot;manualOverrideText&quot;:&quot;&quot;}},{&quot;citationID&quot;:&quot;MENDELEY_CITATION_a6385fc2-27ab-4384-a79b-702ab8266c1e&quot;,&quot;citationItems&quot;:[{&quot;id&quot;:&quot;75d38869-ab03-37b1-8b68-f4a1cc0f3a39&quot;,&quot;itemData&quot;:{&quot;type&quot;:&quot;article&quot;,&quot;id&quot;:&quot;75d38869-ab03-37b1-8b68-f4a1cc0f3a39&quot;,&quot;title&quot;:&quot;Rapid structure-activity and selectivity analysis of kinase inhibitors by BioMAP analysis in complex human primary cell-based models&quot;,&quot;author&quot;:[{&quot;family&quot;:&quot;Kunkel&quot;,&quot;given&quot;:&quot;Eric J.&quot;,&quot;parse-names&quot;:false,&quot;dropping-particle&quot;:&quot;&quot;,&quot;non-dropping-particle&quot;:&quot;&quot;},{&quot;family&quot;:&quot;Plavec&quot;,&quot;given&quot;:&quot;Ivan&quot;,&quot;parse-names&quot;:false,&quot;dropping-particle&quot;:&quot;&quot;,&quot;non-dropping-particle&quot;:&quot;&quot;},{&quot;family&quot;:&quot;Nguyen&quot;,&quot;given&quot;:&quot;Dat&quot;,&quot;parse-names&quot;:false,&quot;dropping-particle&quot;:&quot;&quot;,&quot;non-dropping-particle&quot;:&quot;&quot;},{&quot;family&quot;:&quot;Melrose&quot;,&quot;given&quot;:&quot;Jennifer&quot;,&quot;parse-names&quot;:false,&quot;dropping-particle&quot;:&quot;&quot;,&quot;non-dropping-particle&quot;:&quot;&quot;},{&quot;family&quot;:&quot;Rosler&quot;,&quot;given&quot;:&quot;Elen S.&quot;,&quot;parse-names&quot;:false,&quot;dropping-particle&quot;:&quot;&quot;,&quot;non-dropping-particle&quot;:&quot;&quot;},{&quot;family&quot;:&quot;Kao&quot;,&quot;given&quot;:&quot;Leon T.&quot;,&quot;parse-names&quot;:false,&quot;dropping-particle&quot;:&quot;&quot;,&quot;non-dropping-particle&quot;:&quot;&quot;},{&quot;family&quot;:&quot;Wang&quot;,&quot;given&quot;:&quot;Yuker&quot;,&quot;parse-names&quot;:false,&quot;dropping-particle&quot;:&quot;&quot;,&quot;non-dropping-particle&quot;:&quot;&quot;},{&quot;family&quot;:&quot;Hytopoulos&quot;,&quot;given&quot;:&quot;Evangelos&quot;,&quot;parse-names&quot;:false,&quot;dropping-particle&quot;:&quot;&quot;,&quot;non-dropping-particle&quot;:&quot;&quot;},{&quot;family&quot;:&quot;Bishop&quot;,&quot;given&quot;:&quot;Anthony C.&quot;,&quot;parse-names&quot;:false,&quot;dropping-particle&quot;:&quot;&quot;,&quot;non-dropping-particle&quot;:&quot;&quot;},{&quot;family&quot;:&quot;Bateman&quot;,&quot;given&quot;:&quot;Raynard&quot;,&quot;parse-names&quot;:false,&quot;dropping-particle&quot;:&quot;&quot;,&quot;non-dropping-particle&quot;:&quot;&quot;},{&quot;family&quot;:&quot;Shokat&quot;,&quot;given&quot;:&quot;Kevan M.&quot;,&quot;parse-names&quot;:false,&quot;dropping-particle&quot;:&quot;&quot;,&quot;non-dropping-particle&quot;:&quot;&quot;},{&quot;family&quot;:&quot;Butcher&quot;,&quot;given&quot;:&quot;Eugene C.&quot;,&quot;parse-names&quot;:false,&quot;dropping-particle&quot;:&quot;&quot;,&quot;non-dropping-particle&quot;:&quot;&quot;},{&quot;family&quot;:&quot;Berg&quot;,&quot;given&quot;:&quot;Ellen L.&quot;,&quot;parse-names&quot;:false,&quot;dropping-particle&quot;:&quot;&quot;,&quot;non-dropping-particle&quot;:&quot;&quot;}],&quot;container-title&quot;:&quot;Assay and Drug Development Technologies&quot;,&quot;DOI&quot;:&quot;10.1089/adt.2004.2.431&quot;,&quot;ISSN&quot;:&quot;1540658X&quot;,&quot;issued&quot;:{&quot;date-parts&quot;:[[2004]]},&quot;abstract&quot;:&quot;Rapid, quantitative methods for characterizing the biological activities of kinase inhibitors in complex human cell systems could allow the biological consequences of differential target selectivity to be monitored early in development, improving the selection of drug candidates. We have previously shown that Biologically Multiplexed Activity Profiling (BioMAP) permits rapid characterization of drug function based on statistical analysis of protein expression data sets from complex primary human cell-based models of disease biology. Here, using four such model sytems containing primary human endothelial cells and peripheral blood mononuclear cells in which multiple signaling pathways relevant to inflammation and immune responses are simultaneously activated, we demonstrate that BioMAP analysis can detect and distinguish a wide range of inhibitors directed against different kinase targets. Using a panel of p38 mitogen-activated protein kinase antagonists as a test set, we show further that related compounds can be distinguished by unique features of the biological responses they induce in complex systems, and can be classified according to their induction of shared (on-target) and secondary activities. Statistical comparisons of quantitative BioMAP profiles and analysis of profile features allow correlation of induced biological effects with chemical structure and mapping of biological responses to chemical series or substituents on a common scaffold. Integration of automated BioMAP analysis for prioritization of hits and for structure-activity relationship studies may improve and accelerate the design and selection of optimal therapeutic candidates. © Mary Ann Liebert, Inc.&quot;},&quot;isTemporary&quot;:false}],&quot;properties&quot;:{&quot;noteIndex&quot;:0},&quot;isEdited&quot;:false,&quot;manualOverride&quot;:{&quot;isManuallyOverriden&quot;:false,&quot;citeprocText&quot;:&quot;&lt;sup&gt;41&lt;/sup&gt;&quot;,&quot;manualOverrideText&quot;:&quot;&quot;}},{&quot;citationID&quot;:&quot;MENDELEY_CITATION_4e6fc88b-c476-4b6d-98b3-c814dfdb9565&quot;,&quot;citationItems&quot;:[{&quot;id&quot;:&quot;6da7c326-6acf-3cad-862f-e1c72f6ea5d2&quot;,&quot;itemData&quot;:{&quot;type&quot;:&quot;article&quot;,&quot;id&quot;:&quot;6da7c326-6acf-3cad-862f-e1c72f6ea5d2&quot;,&quot;title&quot;:&quot;Update on EPA's ToxCast program: Providing high throughput decision support tools for chemical risk management&quot;,&quot;author&quot;:[{&quot;family&quot;:&quot;Kavlock&quot;,&quot;given&quot;:&quot;Robert&quot;,&quot;parse-names&quot;:false,&quot;dropping-particle&quot;:&quot;&quot;,&quot;non-dropping-particle&quot;:&quot;&quot;},{&quot;family&quot;:&quot;Chandler&quot;,&quot;given&quot;:&quot;Kelly&quot;,&quot;parse-names&quot;:false,&quot;dropping-particle&quot;:&quot;&quot;,&quot;non-dropping-particle&quot;:&quot;&quot;},{&quot;family&quot;:&quot;Houck&quot;,&quot;given&quot;:&quot;Keith&quot;,&quot;parse-names&quot;:false,&quot;dropping-particle&quot;:&quot;&quot;,&quot;non-dropping-particle&quot;:&quot;&quot;},{&quot;family&quot;:&quot;Hunter&quot;,&quot;given&quot;:&quot;Sid&quot;,&quot;parse-names&quot;:false,&quot;dropping-particle&quot;:&quot;&quot;,&quot;non-dropping-particle&quot;:&quot;&quot;},{&quot;family&quot;:&quot;Judson&quot;,&quot;given&quot;:&quot;Richard&quot;,&quot;parse-names&quot;:false,&quot;dropping-particle&quot;:&quot;&quot;,&quot;non-dropping-particle&quot;:&quot;&quot;},{&quot;family&quot;:&quot;Kleinstreuer&quot;,&quot;given&quot;:&quot;Nicole&quot;,&quot;parse-names&quot;:false,&quot;dropping-particle&quot;:&quot;&quot;,&quot;non-dropping-particle&quot;:&quot;&quot;},{&quot;family&quot;:&quot;Knudsen&quot;,&quot;given&quot;:&quot;Thomas&quot;,&quot;parse-names&quot;:false,&quot;dropping-particle&quot;:&quot;&quot;,&quot;non-dropping-particle&quot;:&quot;&quot;},{&quot;family&quot;:&quot;Martin&quot;,&quot;given&quot;:&quot;Matt&quot;,&quot;parse-names&quot;:false,&quot;dropping-particle&quot;:&quot;&quot;,&quot;non-dropping-particle&quot;:&quot;&quot;},{&quot;family&quot;:&quot;Padilla&quot;,&quot;given&quot;:&quot;Stephanie&quot;,&quot;parse-names&quot;:false,&quot;dropping-particle&quot;:&quot;&quot;,&quot;non-dropping-particle&quot;:&quot;&quot;},{&quot;family&quot;:&quot;Reif&quot;,&quot;given&quot;:&quot;David&quot;,&quot;parse-names&quot;:false,&quot;dropping-particle&quot;:&quot;&quot;,&quot;non-dropping-particle&quot;:&quot;&quot;},{&quot;family&quot;:&quot;Richard&quot;,&quot;given&quot;:&quot;Ann&quot;,&quot;parse-names&quot;:false,&quot;dropping-particle&quot;:&quot;&quot;,&quot;non-dropping-particle&quot;:&quot;&quot;},{&quot;family&quot;:&quot;Rotroff&quot;,&quot;given&quot;:&quot;Daniel&quot;,&quot;parse-names&quot;:false,&quot;dropping-particle&quot;:&quot;&quot;,&quot;non-dropping-particle&quot;:&quot;&quot;},{&quot;family&quot;:&quot;Sipes&quot;,&quot;given&quot;:&quot;Nisha&quot;,&quot;parse-names&quot;:false,&quot;dropping-particle&quot;:&quot;&quot;,&quot;non-dropping-particle&quot;:&quot;&quot;},{&quot;family&quot;:&quot;Dix&quot;,&quot;given&quot;:&quot;David&quot;,&quot;parse-names&quot;:false,&quot;dropping-particle&quot;:&quot;&quot;,&quot;non-dropping-particle&quot;:&quot;&quot;}],&quot;container-title&quot;:&quot;Chemical Research in Toxicology&quot;,&quot;DOI&quot;:&quot;10.1021/tx3000939&quot;,&quot;ISSN&quot;:&quot;0893228X&quot;,&quot;issued&quot;:{&quot;date-parts&quot;:[[2012]]},&quot;abstract&quot;:&quot;The field of toxicology is on the cusp of a major transformation in how the safety and hazard of chemicals are evaluated for potential effects on human health and the environment. Brought on by the recognition of the limitations of the current paradigm in terms of cost, time, and throughput, combined with the ever increasing power of modern biological tools to probe mechanisms of chemical-biological interactions at finer and finer resolutions, 21st century toxicology is rapidly taking shape. A key element of the new approach is a focus on the molecular and cellular pathways that are the targets of chemical interactions. By understanding toxicity in this manner, we begin to learn how chemicals cause toxicity, as opposed to merely what diseases or health effects they might cause. This deeper understanding leads to increasing confidence in identifying which populations might be at risk, significant susceptibility factors, and key influences on the shape of the dose-response curve. The U. S. Environmental Protection Agency (EPA) initiated the ToxCast, or \&quot;toxicity forecaster\&quot;, program 5 years ago to gain understanding of the strengths and limitations of the new approach by starting to test relatively large numbers (hundreds) of chemicals against an equally large number of biological assays. Using computational approaches, the EPA is building decision support tools based on ToxCast in vitro screening results to help prioritize chemicals for further investigation, as well as developing predictive models for a number of health outcomes. This perspective provides a summary of the initial, proof of concept, Phase I of ToxCast that has laid the groundwork for the next phases and future directions of the program. © 2012 American Chemical Society.&quot;},&quot;isTemporary&quot;:false}],&quot;properties&quot;:{&quot;noteIndex&quot;:0},&quot;isEdited&quot;:false,&quot;manualOverride&quot;:{&quot;isManuallyOverriden&quot;:false,&quot;citeprocText&quot;:&quot;&lt;sup&gt;42&lt;/sup&gt;&quot;,&quot;manualOverrideText&quot;:&quot;&quot;}},{&quot;citationID&quot;:&quot;MENDELEY_CITATION_5f19f464-cde7-4ac8-ba4f-3096c73fde51&quot;,&quot;citationItems&quot;:[{&quot;id&quot;:&quot;bbc0555e-c068-3c5f-97cb-8f0413512614&quot;,&quot;itemData&quot;:{&quot;type&quot;:&quot;article-journal&quot;,&quot;id&quot;:&quot;bbc0555e-c068-3c5f-97cb-8f0413512614&quot;,&quot;title&quot;:&quot;Analysis of the effects of cell stress and cytotoxicity on in vitro assay activity across a diverse chemical and assay space&quot;,&quot;author&quot;:[{&quot;family&quot;:&quot;Judson&quot;,&quot;given&quot;:&quot;Richard&quot;,&quot;parse-names&quot;:false,&quot;dropping-particle&quot;:&quot;&quot;,&quot;non-dropping-particle&quot;:&quot;&quot;},{&quot;family&quot;:&quot;Houck&quot;,&quot;given&quot;:&quot;Keith&quot;,&quot;parse-names&quot;:false,&quot;dropping-particle&quot;:&quot;&quot;,&quot;non-dropping-particle&quot;:&quot;&quot;},{&quot;family&quot;:&quot;Martin&quot;,&quot;given&quot;:&quot;Matt&quot;,&quot;parse-names&quot;:false,&quot;dropping-particle&quot;:&quot;&quot;,&quot;non-dropping-particle&quot;:&quot;&quot;},{&quot;family&quot;:&quot;Richard&quot;,&quot;given&quot;:&quot;Ann M.&quot;,&quot;parse-names&quot;:false,&quot;dropping-particle&quot;:&quot;&quot;,&quot;non-dropping-particle&quot;:&quot;&quot;},{&quot;family&quot;:&quot;Knudsen&quot;,&quot;given&quot;:&quot;Thomas B.&quot;,&quot;parse-names&quot;:false,&quot;dropping-particle&quot;:&quot;&quot;,&quot;non-dropping-particle&quot;:&quot;&quot;},{&quot;family&quot;:&quot;Shah&quot;,&quot;given&quot;:&quot;Imran&quot;,&quot;parse-names&quot;:false,&quot;dropping-particle&quot;:&quot;&quot;,&quot;non-dropping-particle&quot;:&quot;&quot;},{&quot;family&quot;:&quot;Little&quot;,&quot;given&quot;:&quot;Stephen&quot;,&quot;parse-names&quot;:false,&quot;dropping-particle&quot;:&quot;&quot;,&quot;non-dropping-particle&quot;:&quot;&quot;},{&quot;family&quot;:&quot;Wambaugh&quot;,&quot;given&quot;:&quot;John&quot;,&quot;parse-names&quot;:false,&quot;dropping-particle&quot;:&quot;&quot;,&quot;non-dropping-particle&quot;:&quot;&quot;},{&quot;family&quot;:&quot;Setzer&quot;,&quot;given&quot;:&quot;R. Woodrow&quot;,&quot;parse-names&quot;:false,&quot;dropping-particle&quot;:&quot;&quot;,&quot;non-dropping-particle&quot;:&quot;&quot;},{&quot;family&quot;:&quot;Kothya&quot;,&quot;given&quot;:&quot;Parth&quot;,&quot;parse-names&quot;:false,&quot;dropping-particle&quot;:&quot;&quot;,&quot;non-dropping-particle&quot;:&quot;&quot;},{&quot;family&quot;:&quot;Phuong&quot;,&quot;given&quot;:&quot;Jimmy&quot;,&quot;parse-names&quot;:false,&quot;dropping-particle&quot;:&quot;&quot;,&quot;non-dropping-particle&quot;:&quot;&quot;},{&quot;family&quot;:&quot;Filer&quot;,&quot;given&quot;:&quot;Dayne&quot;,&quot;parse-names&quot;:false,&quot;dropping-particle&quot;:&quot;&quot;,&quot;non-dropping-particle&quot;:&quot;&quot;},{&quot;family&quot;:&quot;Smith&quot;,&quot;given&quot;:&quot;Doris&quot;,&quot;parse-names&quot;:false,&quot;dropping-particle&quot;:&quot;&quot;,&quot;non-dropping-particle&quot;:&quot;&quot;},{&quot;family&quot;:&quot;Reif&quot;,&quot;given&quot;:&quot;David&quot;,&quot;parse-names&quot;:false,&quot;dropping-particle&quot;:&quot;&quot;,&quot;non-dropping-particle&quot;:&quot;&quot;},{&quot;family&quot;:&quot;Rotroff&quot;,&quot;given&quot;:&quot;Daniel&quot;,&quot;parse-names&quot;:false,&quot;dropping-particle&quot;:&quot;&quot;,&quot;non-dropping-particle&quot;:&quot;&quot;},{&quot;family&quot;:&quot;Kleinstreuer&quot;,&quot;given&quot;:&quot;Nicole&quot;,&quot;parse-names&quot;:false,&quot;dropping-particle&quot;:&quot;&quot;,&quot;non-dropping-particle&quot;:&quot;&quot;},{&quot;family&quot;:&quot;Sipes&quot;,&quot;given&quot;:&quot;Nisha&quot;,&quot;parse-names&quot;:false,&quot;dropping-particle&quot;:&quot;&quot;,&quot;non-dropping-particle&quot;:&quot;&quot;},{&quot;family&quot;:&quot;Xia&quot;,&quot;given&quot;:&quot;Menghang&quot;,&quot;parse-names&quot;:false,&quot;dropping-particle&quot;:&quot;&quot;,&quot;non-dropping-particle&quot;:&quot;&quot;},{&quot;family&quot;:&quot;Huang&quot;,&quot;given&quot;:&quot;Ruili&quot;,&quot;parse-names&quot;:false,&quot;dropping-particle&quot;:&quot;&quot;,&quot;non-dropping-particle&quot;:&quot;&quot;},{&quot;family&quot;:&quot;Crofton&quot;,&quot;given&quot;:&quot;Kevin&quot;,&quot;parse-names&quot;:false,&quot;dropping-particle&quot;:&quot;&quot;,&quot;non-dropping-particle&quot;:&quot;&quot;},{&quot;family&quot;:&quot;Thomas&quot;,&quot;given&quot;:&quot;Russell S.&quot;,&quot;parse-names&quot;:false,&quot;dropping-particle&quot;:&quot;&quot;,&quot;non-dropping-particle&quot;:&quot;&quot;}],&quot;container-title&quot;:&quot;Toxicological Sciences&quot;,&quot;DOI&quot;:&quot;10.1093/toxsci/kfw092&quot;,&quot;ISSN&quot;:&quot;10960929&quot;,&quot;issued&quot;:{&quot;date-parts&quot;:[[2016]]},&quot;page&quot;:&quot;323-339&quot;,&quot;abstract&quot;:&quot;Chemical toxicity can arise from disruption of specific biomolecular functions or through more generalized cell stress and cytotoxicity-mediated processes. Here, responses of 1060 chemicals including pharmaceuticals, natural products, pesticidals, consumer, and industrial chemicals across a battery of 815 in vitro assay endpoints from 7 high-throughput assay technology platforms were analyzed in order to distinguish between these types of activities. Both cell-based and cell-free assays showed a rapid increase in the frequency of responses at concentrations where cell stress/cytotoxicity responses were observed in cell-based assays. Chemicals that were positive on at least 2 viability/cytotoxicity assays within the concentration range tested (typically up to 100 lM) activated a median of 12% of assay endpoints whereas those that were not cytotoxic in this concentration range activated 1.3% of the assays endpoints. The results suggest that activity can be broadly divided into: (1) specific biomolecular interactions against one or more targets (eg, receptors or enzymes) at concentrations below which overt cytotoxicity-associated activity is observed; and (2) activity associated with cell stress or cytotoxicity, which may result from triggering specific cell stress pathways, chemical reactivity, physico-chemical disruption of proteins or membranes, or broad low-affinity non-covalent interactions. Chemicals showing a greater number of specific biomolecular interactions are generally designed to be bioactive (pharmaceuticals or pesticidal active ingredients), whereas intentional food-use chemicals tended to show the fewest specific interactions. The analyses presented here provide context for use of these data in ongoing studies to predict in vivo toxicity from chemicals lacking extensive hazard assessment.&quot;,&quot;issue&quot;:&quot;2&quot;,&quot;volume&quot;:&quot;152&quot;},&quot;isTemporary&quot;:false}],&quot;properties&quot;:{&quot;noteIndex&quot;:0},&quot;isEdited&quot;:false,&quot;manualOverride&quot;:{&quot;isManuallyOverriden&quot;:false,&quot;citeprocText&quot;:&quot;&lt;sup&gt;43&lt;/sup&gt;&quot;,&quot;manualOverrideText&quot;:&quot;&quot;}},{&quot;citationID&quot;:&quot;MENDELEY_CITATION_d43bec7f-a09b-4a70-8c63-3f84d966cf65&quot;,&quot;citationItems&quot;:[{&quot;id&quot;:&quot;912978de-5983-33bd-b1a4-34cb9d42c4eb&quot;,&quot;itemData&quot;:{&quot;type&quot;:&quot;webpage&quot;,&quot;id&quot;:&quot;912978de-5983-33bd-b1a4-34cb9d42c4eb&quot;,&quot;title&quot;:&quot;MolVS · PyPI&quot;,&quot;accessed&quot;:{&quot;date-parts&quot;:[[2020,7,22]]},&quot;URL&quot;:&quot;https://pypi.org/project/MolVS/&quot;},&quot;isTemporary&quot;:false}],&quot;properties&quot;:{&quot;noteIndex&quot;:0},&quot;isEdited&quot;:false,&quot;manualOverride&quot;:{&quot;isManuallyOverriden&quot;:false,&quot;citeprocText&quot;:&quot;&lt;sup&gt;44&lt;/sup&gt;&quot;,&quot;manualOverrideText&quot;:&quot;&quot;}},{&quot;citationID&quot;:&quot;MENDELEY_CITATION_aea0e303-a367-4067-ba14-0f2f46351edc&quot;,&quot;citationItems&quot;:[{&quot;id&quot;:&quot;eeb4332a-8952-3d4a-90f4-6444670f690e&quot;,&quot;itemData&quot;:{&quot;type&quot;:&quot;webpage&quot;,&quot;id&quot;:&quot;eeb4332a-8952-3d4a-90f4-6444670f690e&quot;,&quot;title&quot;:&quot;Standardization — MolVS 0.1.1 documentation&quot;,&quot;accessed&quot;:{&quot;date-parts&quot;:[[2020,7,22]]},&quot;URL&quot;:&quot;https://molvs.readthedocs.io/en/latest/guide/standardize.html&quot;},&quot;isTemporary&quot;:false}],&quot;properties&quot;:{&quot;noteIndex&quot;:0},&quot;isEdited&quot;:false,&quot;manualOverride&quot;:{&quot;isManuallyOverriden&quot;:false,&quot;citeprocText&quot;:&quot;&lt;sup&gt;45&lt;/sup&gt;&quot;,&quot;manualOverrideText&quot;:&quot;&quot;}},{&quot;citationID&quot;:&quot;MENDELEY_CITATION_ad757991-17e5-4a96-b262-733016bbc00d&quot;,&quot;citationItems&quot;:[{&quot;id&quot;:&quot;22a31963-77db-33b9-978f-740617134816&quot;,&quot;itemData&quot;:{&quot;type&quot;:&quot;webpage&quot;,&quot;id&quot;:&quot;22a31963-77db-33b9-978f-740617134816&quot;,&quot;title&quot;:&quot;RDKit&quot;,&quot;accessed&quot;:{&quot;date-parts&quot;:[[2020,7,22]]},&quot;URL&quot;:&quot;http://www.rdkit.org/&quot;},&quot;isTemporary&quot;:false}],&quot;properties&quot;:{&quot;noteIndex&quot;:0},&quot;isEdited&quot;:false,&quot;manualOverride&quot;:{&quot;isManuallyOverriden&quot;:false,&quot;citeprocText&quot;:&quot;&lt;sup&gt;46&lt;/sup&gt;&quot;,&quot;manualOverrideText&quot;:&quot;&quot;}},{&quot;citationID&quot;:&quot;MENDELEY_CITATION_2f646078-88cf-409c-81ea-ca6b8f886654&quot;,&quot;citationItems&quot;:[{&quot;id&quot;:&quot;8644ff58-42de-3eda-aa1f-2e06f06f34b4&quot;,&quot;itemData&quot;:{&quot;type&quot;:&quot;article-journal&quot;,&quot;id&quot;:&quot;8644ff58-42de-3eda-aa1f-2e06f06f34b4&quot;,&quot;title&quot;:&quot;{ErG}: 2D Pharmacophore Descriptions for Scaffold Hopping.&quot;,&quot;author&quot;:[{&quot;family&quot;:&quot;Stiefl&quot;,&quot;given&quot;:&quot;Nikolaus&quot;,&quot;parse-names&quot;:false,&quot;dropping-particle&quot;:&quot;&quot;,&quot;non-dropping-particle&quot;:&quot;&quot;},{&quot;family&quot;:&quot;Watson&quot;,&quot;given&quot;:&quot;Ian A&quot;,&quot;parse-names&quot;:false,&quot;dropping-particle&quot;:&quot;&quot;,&quot;non-dropping-particle&quot;:&quot;&quot;},{&quot;family&quot;:&quot;Baumann&quot;,&quot;given&quot;:&quot;Knut&quot;,&quot;parse-names&quot;:false,&quot;dropping-particle&quot;:&quot;&quot;,&quot;non-dropping-particle&quot;:&quot;&quot;},{&quot;family&quot;:&quot;Zaliani&quot;,&quot;given&quot;:&quot;Andrea&quot;,&quot;parse-names&quot;:false,&quot;dropping-particle&quot;:&quot;&quot;,&quot;non-dropping-particle&quot;:&quot;&quot;}],&quot;container-title&quot;:&quot;ChemInform&quot;,&quot;DOI&quot;:&quot;10.1002/chin.200617220&quot;,&quot;URL&quot;:&quot;https://doi.org/10.1002%2Fchin.200617220&quot;,&quot;issued&quot;:{&quot;date-parts&quot;:[[2006,4]]},&quot;publisher&quot;:&quot;Wiley&quot;,&quot;issue&quot;:&quot;17&quot;,&quot;volume&quot;:&quot;37&quot;},&quot;isTemporary&quot;:false}],&quot;properties&quot;:{&quot;noteIndex&quot;:0},&quot;isEdited&quot;:false,&quot;manualOverride&quot;:{&quot;isManuallyOverriden&quot;:false,&quot;citeprocText&quot;:&quot;&lt;sup&gt;47&lt;/sup&gt;&quot;,&quot;manualOverrideText&quot;:&quot;&quot;}},{&quot;citationID&quot;:&quot;MENDELEY_CITATION_325c15bf-2ecb-448d-bd1d-97816ea2f139&quot;,&quot;citationItems&quot;:[{&quot;id&quot;:&quot;5a4e761c-5878-33b9-b361-1ce945de1b77&quot;,&quot;itemData&quot;:{&quot;type&quot;:&quot;article-journal&quot;,&quot;id&quot;:&quot;5a4e761c-5878-33b9-b361-1ce945de1b77&quot;,&quot;title&quot;:&quot;The Kolmogorov-Smirnov Test for Goodness of Fit&quot;,&quot;author&quot;:[{&quot;family&quot;:&quot;Massey&quot;,&quot;given&quot;:&quot;Frank J.&quot;,&quot;parse-names&quot;:false,&quot;dropping-particle&quot;:&quot;&quot;,&quot;non-dropping-particle&quot;:&quot;&quot;}],&quot;container-title&quot;:&quot;Journal of the American Statistical Association&quot;,&quot;DOI&quot;:&quot;10.1080/01621459.1951.10500769&quot;,&quot;ISSN&quot;:&quot;1537274X&quot;,&quot;issued&quot;:{&quot;date-parts&quot;:[[1951]]},&quot;abstract&quot;:&quot;The test is based on the maximum difference between an empirical and a hypothetical cumulative distribution. Percentage points are tabled, and a lower bound to the power function is charted. Confidence limits for a cumulative distribution are described. Examples are given. Indications that the test is superior to the chi-square test are cited. © Taylor &amp; Francis Group, LLC.&quot;},&quot;isTemporary&quot;:false}],&quot;properties&quot;:{&quot;noteIndex&quot;:0},&quot;isEdited&quot;:false,&quot;manualOverride&quot;:{&quot;isManuallyOverriden&quot;:false,&quot;citeprocText&quot;:&quot;&lt;sup&gt;48&lt;/sup&gt;&quot;,&quot;manualOverrideText&quot;:&quot;&quot;}},{&quot;citationID&quot;:&quot;MENDELEY_CITATION_03f7acee-a69a-49b9-b159-a84255ecb346&quot;,&quot;citationItems&quot;:[{&quot;id&quot;:&quot;49e8fb50-8f50-3552-a66e-f15979804a7d&quot;,&quot;itemData&quot;:{&quot;type&quot;:&quot;article-journal&quot;,&quot;id&quot;:&quot;49e8fb50-8f50-3552-a66e-f15979804a7d&quot;,&quot;title&quot;:&quot;{SciPy} 1.0: fundamental algorithms for scientific computing in Python&quot;,&quot;author&quot;:[{&quot;family&quot;:&quot;Virtanen&quot;,&quot;given&quot;:&quot;Pauli&quot;,&quot;parse-names&quot;:false,&quot;dropping-particle&quot;:&quot;&quot;,&quot;non-dropping-particle&quot;:&quot;&quot;},{&quot;family&quot;:&quot;and Ralf Gommers&quot;,&quot;given&quot;:&quot;&quot;,&quot;parse-names&quot;:false,&quot;dropping-particle&quot;:&quot;&quot;,&quot;non-dropping-particle&quot;:&quot;&quot;},{&quot;family&quot;:&quot;Oliphant&quot;,&quot;given&quot;:&quot;Travis E&quot;,&quot;parse-names&quot;:false,&quot;dropping-particle&quot;:&quot;&quot;,&quot;non-dropping-particle&quot;:&quot;&quot;},{&quot;family&quot;:&quot;Haberland&quot;,&quot;given&quot;:&quot;Matt&quot;,&quot;parse-names&quot;:false,&quot;dropping-particle&quot;:&quot;&quot;,&quot;non-dropping-particle&quot;:&quot;&quot;},{&quot;family&quot;:&quot;Reddy&quot;,&quot;given&quot;:&quot;Tyler&quot;,&quot;parse-names&quot;:false,&quot;dropping-particle&quot;:&quot;&quot;,&quot;non-dropping-particle&quot;:&quot;&quot;},{&quot;family&quot;:&quot;Cournapeau&quot;,&quot;given&quot;:&quot;David&quot;,&quot;parse-names&quot;:false,&quot;dropping-particle&quot;:&quot;&quot;,&quot;non-dropping-particle&quot;:&quot;&quot;},{&quot;family&quot;:&quot;Burovski&quot;,&quot;given&quot;:&quot;Evgeni&quot;,&quot;parse-names&quot;:false,&quot;dropping-particle&quot;:&quot;&quot;,&quot;non-dropping-particle&quot;:&quot;&quot;},{&quot;family&quot;:&quot;Peterson&quot;,&quot;given&quot;:&quot;Pearu&quot;,&quot;parse-names&quot;:false,&quot;dropping-particle&quot;:&quot;&quot;,&quot;non-dropping-particle&quot;:&quot;&quot;},{&quot;family&quot;:&quot;Weckesser&quot;,&quot;given&quot;:&quot;Warren&quot;,&quot;parse-names&quot;:false,&quot;dropping-particle&quot;:&quot;&quot;,&quot;non-dropping-particle&quot;:&quot;&quot;},{&quot;family&quot;:&quot;Bright&quot;,&quot;given&quot;:&quot;Jonathan&quot;,&quot;parse-names&quot;:false,&quot;dropping-particle&quot;:&quot;&quot;,&quot;non-dropping-particle&quot;:&quot;&quot;},{&quot;family&quot;:&quot;Walt&quot;,&quot;given&quot;:&quot;Stéfan J&quot;,&quot;parse-names&quot;:false,&quot;dropping-particle&quot;:&quot;&quot;,&quot;non-dropping-particle&quot;:&quot;van der&quot;},{&quot;family&quot;:&quot;Brett&quot;,&quot;given&quot;:&quot;Matthew&quot;,&quot;parse-names&quot;:false,&quot;dropping-particle&quot;:&quot;&quot;,&quot;non-dropping-particle&quot;:&quot;&quot;},{&quot;family&quot;:&quot;Wilson&quot;,&quot;given&quot;:&quot;Joshua&quot;,&quot;parse-names&quot;:false,&quot;dropping-particle&quot;:&quot;&quot;,&quot;non-dropping-particle&quot;:&quot;&quot;},{&quot;family&quot;:&quot;Millman&quot;,&quot;given&quot;:&quot;K Jarrod&quot;,&quot;parse-names&quot;:false,&quot;dropping-particle&quot;:&quot;&quot;,&quot;non-dropping-particle&quot;:&quot;&quot;},{&quot;family&quot;:&quot;Mayorov&quot;,&quot;given&quot;:&quot;Nikolay&quot;,&quot;parse-names&quot;:false,&quot;dropping-particle&quot;:&quot;&quot;,&quot;non-dropping-particle&quot;:&quot;&quot;},{&quot;family&quot;:&quot;Nelson&quot;,&quot;given&quot;:&quot;Andrew R J&quot;,&quot;parse-names&quot;:false,&quot;dropping-particle&quot;:&quot;&quot;,&quot;non-dropping-particle&quot;:&quot;&quot;},{&quot;family&quot;:&quot;Jones&quot;,&quot;given&quot;:&quot;Eric&quot;,&quot;parse-names&quot;:false,&quot;dropping-particle&quot;:&quot;&quot;,&quot;non-dropping-particle&quot;:&quot;&quot;},{&quot;family&quot;:&quot;Kern&quot;,&quot;given&quot;:&quot;Robert&quot;,&quot;parse-names&quot;:false,&quot;dropping-particle&quot;:&quot;&quot;,&quot;non-dropping-particle&quot;:&quot;&quot;},{&quot;family&quot;:&quot;Larson&quot;,&quot;given&quot;:&quot;Eric&quot;,&quot;parse-names&quot;:false,&quot;dropping-particle&quot;:&quot;&quot;,&quot;non-dropping-particle&quot;:&quot;&quot;},{&quot;family&quot;:&quot;Carey&quot;,&quot;given&quot;:&quot;C J&quot;,&quot;parse-names&quot;:false,&quot;dropping-particle&quot;:&quot;&quot;,&quot;non-dropping-particle&quot;:&quot;&quot;},{&quot;family&quot;:&quot;Polat&quot;,&quot;given&quot;:&quot;\\.Ilhan&quot;,&quot;parse-names&quot;:false,&quot;dropping-particle&quot;:&quot;&quot;,&quot;non-dropping-particle&quot;:&quot;&quot;},{&quot;family&quot;:&quot;Feng&quot;,&quot;given&quot;:&quot;Yu&quot;,&quot;parse-names&quot;:false,&quot;dropping-particle&quot;:&quot;&quot;,&quot;non-dropping-particle&quot;:&quot;&quot;},{&quot;family&quot;:&quot;Moore&quot;,&quot;given&quot;:&quot;Eric W&quot;,&quot;parse-names&quot;:false,&quot;dropping-particle&quot;:&quot;&quot;,&quot;non-dropping-particle&quot;:&quot;&quot;},{&quot;family&quot;:&quot;VanderPlas&quot;,&quot;given&quot;:&quot;Jake&quot;,&quot;parse-names&quot;:false,&quot;dropping-particle&quot;:&quot;&quot;,&quot;non-dropping-particle&quot;:&quot;&quot;},{&quot;family&quot;:&quot;Laxalde&quot;,&quot;given&quot;:&quot;Denis&quot;,&quot;parse-names&quot;:false,&quot;dropping-particle&quot;:&quot;&quot;,&quot;non-dropping-particle&quot;:&quot;&quot;},{&quot;family&quot;:&quot;Perktold&quot;,&quot;given&quot;:&quot;Josef&quot;,&quot;parse-names&quot;:false,&quot;dropping-particle&quot;:&quot;&quot;,&quot;non-dropping-particle&quot;:&quot;&quot;},{&quot;family&quot;:&quot;Cimrman&quot;,&quot;given&quot;:&quot;Robert&quot;,&quot;parse-names&quot;:false,&quot;dropping-particle&quot;:&quot;&quot;,&quot;non-dropping-particle&quot;:&quot;&quot;},{&quot;family&quot;:&quot;Henriksen&quot;,&quot;given&quot;:&quot;Ian&quot;,&quot;parse-names&quot;:false,&quot;dropping-particle&quot;:&quot;&quot;,&quot;non-dropping-particle&quot;:&quot;&quot;},{&quot;family&quot;:&quot;Quintero&quot;,&quot;given&quot;:&quot;E A&quot;,&quot;parse-names&quot;:false,&quot;dropping-particle&quot;:&quot;&quot;,&quot;non-dropping-particle&quot;:&quot;&quot;},{&quot;family&quot;:&quot;Harris&quot;,&quot;given&quot;:&quot;Charles R&quot;,&quot;parse-names&quot;:false,&quot;dropping-particle&quot;:&quot;&quot;,&quot;non-dropping-particle&quot;:&quot;&quot;},{&quot;family&quot;:&quot;Archibald&quot;,&quot;given&quot;:&quot;Anne M&quot;,&quot;parse-names&quot;:false,&quot;dropping-particle&quot;:&quot;&quot;,&quot;non-dropping-particle&quot;:&quot;&quot;},{&quot;family&quot;:&quot;Ribeiro&quot;,&quot;given&quot;:&quot;Antônio H&quot;,&quot;parse-names&quot;:false,&quot;dropping-particle&quot;:&quot;&quot;,&quot;non-dropping-particle&quot;:&quot;&quot;},{&quot;family&quot;:&quot;Pedregosa&quot;,&quot;given&quot;:&quot;Fabian&quot;,&quot;parse-names&quot;:false,&quot;dropping-particle&quot;:&quot;&quot;,&quot;non-dropping-particle&quot;:&quot;&quot;},{&quot;family&quot;:&quot;Mulbregt&quot;,&quot;given&quot;:&quot;Paul&quot;,&quot;parse-names&quot;:false,&quot;dropping-particle&quot;:&quot;&quot;,&quot;non-dropping-particle&quot;:&quot;van&quot;}],&quot;container-title&quot;:&quot;Nature Methods&quot;,&quot;DOI&quot;:&quot;10.1038/s41592-019-0686-2&quot;,&quot;URL&quot;:&quot;https://doi.org/10.1038%2Fs41592-019-0686-2&quot;,&quot;issued&quot;:{&quot;date-parts&quot;:[[2020,2]]},&quot;page&quot;:&quot;261-272&quot;,&quot;publisher&quot;:&quot;Springer Science and Business Media {LLC}&quot;,&quot;issue&quot;:&quot;3&quot;,&quot;volume&quot;:&quot;17&quot;},&quot;isTemporary&quot;:false}],&quot;properties&quot;:{&quot;noteIndex&quot;:0},&quot;isEdited&quot;:false,&quot;manualOverride&quot;:{&quot;isManuallyOverriden&quot;:false,&quot;citeprocText&quot;:&quot;&lt;sup&gt;49&lt;/sup&gt;&quot;,&quot;manualOverrideText&quot;:&quot;&quot;}},{&quot;citationID&quot;:&quot;MENDELEY_CITATION_5b9f487c-9553-439a-b0b5-7fba965a4ead&quot;,&quot;citationItems&quot;:[{&quot;id&quot;:&quot;22a31963-77db-33b9-978f-740617134816&quot;,&quot;itemData&quot;:{&quot;type&quot;:&quot;webpage&quot;,&quot;id&quot;:&quot;22a31963-77db-33b9-978f-740617134816&quot;,&quot;title&quot;:&quot;RDKit&quot;,&quot;accessed&quot;:{&quot;date-parts&quot;:[[2020,7,22]]},&quot;URL&quot;:&quot;http://www.rdkit.org/&quot;},&quot;isTemporary&quot;:false}],&quot;properties&quot;:{&quot;noteIndex&quot;:0},&quot;isEdited&quot;:false,&quot;manualOverride&quot;:{&quot;isManuallyOverriden&quot;:false,&quot;citeprocText&quot;:&quot;&lt;sup&gt;48&lt;/sup&gt;&quot;,&quot;manualOverrideText&quot;:&quot;&quot;}},{&quot;citationID&quot;:&quot;MENDELEY_CITATION_6451067d-1fa8-463b-aa35-772e6d43ad50&quot;,&quot;citationItems&quot;:[{&quot;id&quot;:&quot;315749c3-9c3c-3fc4-b958-9b1619b23cdf&quot;,&quot;itemData&quot;:{&quot;type&quot;:&quot;article-journal&quot;,&quot;id&quot;:&quot;315749c3-9c3c-3fc4-b958-9b1619b23cdf&quot;,&quot;title&quot;:&quot;Scikit-learn: Machine learning in Python&quot;,&quot;author&quot;:[{&quot;family&quot;:&quot;Pedregosa&quot;,&quot;given&quot;:&quot;Fabian&quot;,&quot;parse-names&quot;:false,&quot;dropping-particle&quot;:&quot;&quot;,&quot;non-dropping-particle&quot;:&quot;&quot;},{&quot;family&quot;:&quot;Varoquaux&quot;,&quot;given&quot;:&quot;Gael&quot;,&quot;parse-names&quot;:false,&quot;dropping-particle&quot;:&quot;&quot;,&quot;non-dropping-particle&quot;:&quot;&quot;},{&quot;family&quot;:&quot;Gramfort&quot;,&quot;given&quot;:&quot;Alexandre&quot;,&quot;parse-names&quot;:false,&quot;dropping-particle&quot;:&quot;&quot;,&quot;non-dropping-particle&quot;:&quot;&quot;},{&quot;family&quot;:&quot;Michel&quot;,&quot;given&quot;:&quot;Vincent&quot;,&quot;parse-names&quot;:false,&quot;dropping-particle&quot;:&quot;&quot;,&quot;non-dropping-particle&quot;:&quot;&quot;},{&quot;family&quot;:&quot;Thirion&quot;,&quot;given&quot;:&quot;Bertrand&quot;,&quot;parse-names&quot;:false,&quot;dropping-particle&quot;:&quot;&quot;,&quot;non-dropping-particle&quot;:&quot;&quot;},{&quot;family&quot;:&quot;Grisel&quot;,&quot;given&quot;:&quot;Olivier&quot;,&quot;parse-names&quot;:false,&quot;dropping-particle&quot;:&quot;&quot;,&quot;non-dropping-particle&quot;:&quot;&quot;},{&quot;family&quot;:&quot;Blondel&quot;,&quot;given&quot;:&quot;Mathieu&quot;,&quot;parse-names&quot;:false,&quot;dropping-particle&quot;:&quot;&quot;,&quot;non-dropping-particle&quot;:&quot;&quot;},{&quot;family&quot;:&quot;Prettenhofer&quot;,&quot;given&quot;:&quot;Peter&quot;,&quot;parse-names&quot;:false,&quot;dropping-particle&quot;:&quot;&quot;,&quot;non-dropping-particle&quot;:&quot;&quot;},{&quot;family&quot;:&quot;Weiss&quot;,&quot;given&quot;:&quot;Ron&quot;,&quot;parse-names&quot;:false,&quot;dropping-particle&quot;:&quot;&quot;,&quot;non-dropping-particle&quot;:&quot;&quot;},{&quot;family&quot;:&quot;Dubourg&quot;,&quot;given&quot;:&quot;Vincent&quot;,&quot;parse-names&quot;:false,&quot;dropping-particle&quot;:&quot;&quot;,&quot;non-dropping-particle&quot;:&quot;&quot;},{&quot;family&quot;:&quot;Vanderplas&quot;,&quot;given&quot;:&quot;Jake&quot;,&quot;parse-names&quot;:false,&quot;dropping-particle&quot;:&quot;&quot;,&quot;non-dropping-particle&quot;:&quot;&quot;},{&quot;family&quot;:&quot;Passos&quot;,&quot;given&quot;:&quot;Alexandre&quot;,&quot;parse-names&quot;:false,&quot;dropping-particle&quot;:&quot;&quot;,&quot;non-dropping-particle&quot;:&quot;&quot;},{&quot;family&quot;:&quot;Cournapeau&quot;,&quot;given&quot;:&quot;David&quot;,&quot;parse-names&quot;:false,&quot;dropping-particle&quot;:&quot;&quot;,&quot;non-dropping-particle&quot;:&quot;&quot;},{&quot;family&quot;:&quot;Brucher&quot;,&quot;given&quot;:&quot;Matthieu&quot;,&quot;parse-names&quot;:false,&quot;dropping-particle&quot;:&quot;&quot;,&quot;non-dropping-particle&quot;:&quot;&quot;},{&quot;family&quot;:&quot;Perrot&quot;,&quot;given&quot;:&quot;Matthieu&quot;,&quot;parse-names&quot;:false,&quot;dropping-particle&quot;:&quot;&quot;,&quot;non-dropping-particle&quot;:&quot;&quot;},{&quot;family&quot;:&quot;Duchesnay&quot;,&quot;given&quot;:&quot;Édouard&quot;,&quot;parse-names&quot;:false,&quot;dropping-particle&quot;:&quot;&quot;,&quot;non-dropping-particle&quot;:&quot;&quot;}],&quot;container-title&quot;:&quot;Journal of Machine Learning Research&quot;,&quot;ISSN&quot;:&quot;15324435&quot;,&quot;issued&quot;:{&quot;date-parts&quot;:[[2011]]},&quot;abstract&quot;:&quot;Scikit-learn is a Python module integrating a wide range of state-of-the-art machine learning algorithms for medium-scale supervised and unsupervised problems. This package focuses on bringing machine learning to non-specialists using a general-purpose high-level language. Emphasis is put on ease of use, performance, documentation, and API consistency. It has minimal dependencies and is distributed under the simplified BSD license, encouraging its use in both academic and commercial settings. Source code, binaries, and documentation can be downloaded from http://scikit-learn.sourceforge.net.&quot;},&quot;isTemporary&quot;:false}],&quot;properties&quot;:{&quot;noteIndex&quot;:0},&quot;isEdited&quot;:false,&quot;manualOverride&quot;:{&quot;isManuallyOverriden&quot;:false,&quot;citeprocText&quot;:&quot;&lt;sup&gt;50&lt;/sup&gt;&quot;,&quot;manualOverrideText&quot;:&quot;&quot;}},{&quot;citationID&quot;:&quot;MENDELEY_CITATION_30761875-c34a-47d3-a39f-f581db8d0281&quot;,&quot;citationItems&quot;:[{&quot;id&quot;:&quot;315749c3-9c3c-3fc4-b958-9b1619b23cdf&quot;,&quot;itemData&quot;:{&quot;type&quot;:&quot;article-journal&quot;,&quot;id&quot;:&quot;315749c3-9c3c-3fc4-b958-9b1619b23cdf&quot;,&quot;title&quot;:&quot;Scikit-learn: Machine learning in Python&quot;,&quot;author&quot;:[{&quot;family&quot;:&quot;Pedregosa&quot;,&quot;given&quot;:&quot;Fabian&quot;,&quot;parse-names&quot;:false,&quot;dropping-particle&quot;:&quot;&quot;,&quot;non-dropping-particle&quot;:&quot;&quot;},{&quot;family&quot;:&quot;Varoquaux&quot;,&quot;given&quot;:&quot;Gael&quot;,&quot;parse-names&quot;:false,&quot;dropping-particle&quot;:&quot;&quot;,&quot;non-dropping-particle&quot;:&quot;&quot;},{&quot;family&quot;:&quot;Gramfort&quot;,&quot;given&quot;:&quot;Alexandre&quot;,&quot;parse-names&quot;:false,&quot;dropping-particle&quot;:&quot;&quot;,&quot;non-dropping-particle&quot;:&quot;&quot;},{&quot;family&quot;:&quot;Michel&quot;,&quot;given&quot;:&quot;Vincent&quot;,&quot;parse-names&quot;:false,&quot;dropping-particle&quot;:&quot;&quot;,&quot;non-dropping-particle&quot;:&quot;&quot;},{&quot;family&quot;:&quot;Thirion&quot;,&quot;given&quot;:&quot;Bertrand&quot;,&quot;parse-names&quot;:false,&quot;dropping-particle&quot;:&quot;&quot;,&quot;non-dropping-particle&quot;:&quot;&quot;},{&quot;family&quot;:&quot;Grisel&quot;,&quot;given&quot;:&quot;Olivier&quot;,&quot;parse-names&quot;:false,&quot;dropping-particle&quot;:&quot;&quot;,&quot;non-dropping-particle&quot;:&quot;&quot;},{&quot;family&quot;:&quot;Blondel&quot;,&quot;given&quot;:&quot;Mathieu&quot;,&quot;parse-names&quot;:false,&quot;dropping-particle&quot;:&quot;&quot;,&quot;non-dropping-particle&quot;:&quot;&quot;},{&quot;family&quot;:&quot;Prettenhofer&quot;,&quot;given&quot;:&quot;Peter&quot;,&quot;parse-names&quot;:false,&quot;dropping-particle&quot;:&quot;&quot;,&quot;non-dropping-particle&quot;:&quot;&quot;},{&quot;family&quot;:&quot;Weiss&quot;,&quot;given&quot;:&quot;Ron&quot;,&quot;parse-names&quot;:false,&quot;dropping-particle&quot;:&quot;&quot;,&quot;non-dropping-particle&quot;:&quot;&quot;},{&quot;family&quot;:&quot;Dubourg&quot;,&quot;given&quot;:&quot;Vincent&quot;,&quot;parse-names&quot;:false,&quot;dropping-particle&quot;:&quot;&quot;,&quot;non-dropping-particle&quot;:&quot;&quot;},{&quot;family&quot;:&quot;Vanderplas&quot;,&quot;given&quot;:&quot;Jake&quot;,&quot;parse-names&quot;:false,&quot;dropping-particle&quot;:&quot;&quot;,&quot;non-dropping-particle&quot;:&quot;&quot;},{&quot;family&quot;:&quot;Passos&quot;,&quot;given&quot;:&quot;Alexandre&quot;,&quot;parse-names&quot;:false,&quot;dropping-particle&quot;:&quot;&quot;,&quot;non-dropping-particle&quot;:&quot;&quot;},{&quot;family&quot;:&quot;Cournapeau&quot;,&quot;given&quot;:&quot;David&quot;,&quot;parse-names&quot;:false,&quot;dropping-particle&quot;:&quot;&quot;,&quot;non-dropping-particle&quot;:&quot;&quot;},{&quot;family&quot;:&quot;Brucher&quot;,&quot;given&quot;:&quot;Matthieu&quot;,&quot;parse-names&quot;:false,&quot;dropping-particle&quot;:&quot;&quot;,&quot;non-dropping-particle&quot;:&quot;&quot;},{&quot;family&quot;:&quot;Perrot&quot;,&quot;given&quot;:&quot;Matthieu&quot;,&quot;parse-names&quot;:false,&quot;dropping-particle&quot;:&quot;&quot;,&quot;non-dropping-particle&quot;:&quot;&quot;},{&quot;family&quot;:&quot;Duchesnay&quot;,&quot;given&quot;:&quot;Édouard&quot;,&quot;parse-names&quot;:false,&quot;dropping-particle&quot;:&quot;&quot;,&quot;non-dropping-particle&quot;:&quot;&quot;}],&quot;container-title&quot;:&quot;Journal of Machine Learning Research&quot;,&quot;ISSN&quot;:&quot;15324435&quot;,&quot;issued&quot;:{&quot;date-parts&quot;:[[2011]]},&quot;abstract&quot;:&quot;Scikit-learn is a Python module integrating a wide range of state-of-the-art machine learning algorithms for medium-scale supervised and unsupervised problems. This package focuses on bringing machine learning to non-specialists using a general-purpose high-level language. Emphasis is put on ease of use, performance, documentation, and API consistency. It has minimal dependencies and is distributed under the simplified BSD license, encouraging its use in both academic and commercial settings. Source code, binaries, and documentation can be downloaded from http://scikit-learn.sourceforge.net.&quot;},&quot;isTemporary&quot;:false}],&quot;properties&quot;:{&quot;noteIndex&quot;:0},&quot;isEdited&quot;:false,&quot;manualOverride&quot;:{&quot;isManuallyOverriden&quot;:false,&quot;citeprocText&quot;:&quot;&lt;sup&gt;50&lt;/sup&gt;&quot;,&quot;manualOverrideText&quot;:&quot;&quot;}},{&quot;citationID&quot;:&quot;MENDELEY_CITATION_85593e78-183f-4a96-9518-df3514245837&quot;,&quot;citationItems&quot;:[{&quot;id&quot;:&quot;be715f86-f7db-3503-92cd-dda47d222047&quot;,&quot;itemData&quot;:{&quot;type&quot;:&quot;article-journal&quot;,&quot;id&quot;:&quot;be715f86-f7db-3503-92cd-dda47d222047&quot;,&quot;title&quot;:&quot;An introduction to ROC analysis&quot;,&quot;author&quot;:[{&quot;family&quot;:&quot;Fawcett&quot;,&quot;given&quot;:&quot;Tom&quot;,&quot;parse-names&quot;:false,&quot;dropping-particle&quot;:&quot;&quot;,&quot;non-dropping-particle&quot;:&quot;&quot;}],&quot;container-title&quot;:&quot;Pattern Recognition Letters&quot;,&quot;DOI&quot;:&quot;10.1016/j.patrec.2005.10.010&quot;,&quot;ISSN&quot;:&quot;01678655&quot;,&quot;issued&quot;:{&quot;date-parts&quot;:[[2006]]},&quot;abstract&quot;:&quot;Receiver operating characteristics (ROC) graphs are useful for organizing classifiers and visualizing their performance. ROC graphs are commonly used in medical decision making, and in recent years have been used increasingly in machine learning and data mining research. Although ROC graphs are apparently simple, there are some common misconceptions and pitfalls when using them in practice. The purpose of this article is to serve as an introduction to ROC graphs and as a guide for using them in research. © 2005 Elsevier B.V. All rights reserved.&quot;},&quot;isTemporary&quot;:false}],&quot;properties&quot;:{&quot;noteIndex&quot;:0},&quot;isEdited&quot;:false,&quot;manualOverride&quot;:{&quot;isManuallyOverriden&quot;:false,&quot;citeprocText&quot;:&quot;&lt;sup&gt;51&lt;/sup&gt;&quot;,&quot;manualOverrideText&quot;:&quot;&quot;}},{&quot;citationID&quot;:&quot;MENDELEY_CITATION_c4425fd7-a7de-4814-9fcd-4024efe119bb&quot;,&quot;citationItems&quot;:[{&quot;id&quot;:&quot;84a78a92-6264-386c-974e-0a29d40b603f&quot;,&quot;itemData&quot;:{&quot;type&quot;:&quot;article-journal&quot;,&quot;id&quot;:&quot;84a78a92-6264-386c-974e-0a29d40b603f&quot;,&quot;title&quot;:&quot;Understanding increments in model performance metrics&quot;,&quot;author&quot;:[{&quot;family&quot;:&quot;Pencina&quot;,&quot;given&quot;:&quot;Michael J&quot;,&quot;parse-names&quot;:false,&quot;dropping-particle&quot;:&quot;&quot;,&quot;non-dropping-particle&quot;:&quot;&quot;},{&quot;family&quot;:&quot;D'Agostino&quot;,&quot;given&quot;:&quot;Ralph B&quot;,&quot;parse-names&quot;:false,&quot;dropping-particle&quot;:&quot;&quot;,&quot;non-dropping-particle&quot;:&quot;&quot;},{&quot;family&quot;:&quot;Massaro&quot;,&quot;given&quot;:&quot;Joseph M&quot;,&quot;parse-names&quot;:false,&quot;dropping-particle&quot;:&quot;&quot;,&quot;non-dropping-particle&quot;:&quot;&quot;}],&quot;container-title&quot;:&quot;Lifetime Data Analysis&quot;,&quot;DOI&quot;:&quot;10.1007/s10985-012-9238-0&quot;,&quot;URL&quot;:&quot;https://doi.org/10.1007%2Fs10985-012-9238-0&quot;,&quot;issued&quot;:{&quot;date-parts&quot;:[[2012,12]]},&quot;page&quot;:&quot;202-218&quot;,&quot;publisher&quot;:&quot;Springer Science and Business Media {LLC}&quot;,&quot;issue&quot;:&quot;2&quot;,&quot;volume&quot;:&quot;19&quot;},&quot;isTemporary&quot;:false}],&quot;properties&quot;:{&quot;noteIndex&quot;:0},&quot;isEdited&quot;:false,&quot;manualOverride&quot;:{&quot;isManuallyOverriden&quot;:false,&quot;citeprocText&quot;:&quot;&lt;sup&gt;52&lt;/sup&gt;&quot;,&quot;manualOverrideText&quot;:&quot;&quot;}},{&quot;citationID&quot;:&quot;MENDELEY_CITATION_0ade0eca-96b9-4ba5-b199-8c0ac0b9ae32&quot;,&quot;citationItems&quot;:[{&quot;id&quot;:&quot;b45d3eb2-2506-319b-9788-230d08167845&quot;,&quot;itemData&quot;:{&quot;type&quot;:&quot;article-journal&quot;,&quot;id&quot;:&quot;b45d3eb2-2506-319b-9788-230d08167845&quot;,&quot;title&quot;:&quot;Random forests&quot;,&quot;author&quot;:[{&quot;family&quot;:&quot;Breiman&quot;,&quot;given&quot;:&quot;Leo&quot;,&quot;parse-names&quot;:false,&quot;dropping-particle&quot;:&quot;&quot;,&quot;non-dropping-particle&quot;:&quot;&quot;}],&quot;container-title&quot;:&quot;Machine Learning&quot;,&quot;DOI&quot;:&quot;10.1023/A:1010933404324&quot;,&quot;ISSN&quot;:&quot;08856125&quot;,&quot;issued&quot;:{&quot;date-parts&quot;:[[2001]]},&quot;abstract&quot;:&quot;Random forests are a combination of tree predictors such that each tree depends on the values of a random vector sampled independently and with the same distribution for all trees in the forest. The generalization error for forests converges a.s. to a limit as the number of trees in the forest becomes large. The generalization error of a forest of tree classifiers depends on the strength of the individual trees in the forest and the correlation between them. Using a random selection of features to split each node yields error rates that compare favorably to Adaboost (Y. Freund &amp; R. Schapire, Machine Learning: Proceedings of the Thirteenth International conference, * * *, 148-156), but are more robust with respect to noise. Internal estimates monitor error, strength, and correlation and these are used to show the response to increasing the number of features used in the splitting. Internal estimates are also used to measure variable importance. These ideas are also applicable to regression.&quot;},&quot;isTemporary&quot;:false}],&quot;properties&quot;:{&quot;noteIndex&quot;:0},&quot;isEdited&quot;:false,&quot;manualOverride&quot;:{&quot;isManuallyOverriden&quot;:false,&quot;citeprocText&quot;:&quot;&lt;sup&gt;53&lt;/sup&gt;&quot;,&quot;manualOverrideText&quot;:&quot;&quot;}},{&quot;citationID&quot;:&quot;MENDELEY_CITATION_e3d71305-cf82-4c32-9c80-b89471274f99&quot;,&quot;citationItems&quot;:[{&quot;id&quot;:&quot;f7c54b73-4157-39bf-8b0a-905d5de77ae7&quot;,&quot;itemData&quot;:{&quot;type&quot;:&quot;article-journal&quot;,&quot;id&quot;:&quot;f7c54b73-4157-39bf-8b0a-905d5de77ae7&quot;,&quot;title&quot;:&quot;Statistical Modeling: The Two Cultures (with comments and a rejoinder by the author)&quot;,&quot;author&quot;:[{&quot;family&quot;:&quot;Breiman&quot;,&quot;given&quot;:&quot;Leo&quot;,&quot;parse-names&quot;:false,&quot;dropping-particle&quot;:&quot;&quot;,&quot;non-dropping-particle&quot;:&quot;&quot;}],&quot;container-title&quot;:&quot;Statistical Science&quot;,&quot;DOI&quot;:&quot;10.1214/ss/1009213726&quot;,&quot;URL&quot;:&quot;https://doi.org/10.1214%2Fss%2F1009213726&quot;,&quot;issued&quot;:{&quot;date-parts&quot;:[[2001,8]]},&quot;page&quot;:&quot;199-231&quot;,&quot;publisher&quot;:&quot;Institute of Mathematical Statistics&quot;,&quot;issue&quot;:&quot;3&quot;,&quot;volume&quot;:&quot;16&quot;},&quot;isTemporary&quot;:false}],&quot;properties&quot;:{&quot;noteIndex&quot;:0},&quot;isEdited&quot;:false,&quot;manualOverride&quot;:{&quot;isManuallyOverriden&quot;:false,&quot;citeprocText&quot;:&quot;&lt;sup&gt;54&lt;/sup&gt;&quot;,&quot;manualOverrideText&quot;:&quot;&quot;}},{&quot;citationID&quot;:&quot;MENDELEY_CITATION_8c7af93f-a7d7-4fd4-b5e1-afa1da63b923&quot;,&quot;citationItems&quot;:[{&quot;id&quot;:&quot;e107f005-018b-38c7-812c-35a0c78e3d1d&quot;,&quot;itemData&quot;:{&quot;type&quot;:&quot;article-journal&quot;,&quot;id&quot;:&quot;e107f005-018b-38c7-812c-35a0c78e3d1d&quot;,&quot;title&quot;:&quot;Selecting the most important self-assessed features for predicting conversion to Mild Cognitive Impairment with Random Forest and Permutation-based methods&quot;,&quot;author&quot;:[{&quot;family&quot;:&quot;Gómez-Ram\\'\\irez&quot;,&quot;given&quot;:&quot;Jaime&quot;,&quot;parse-names&quot;:false,&quot;dropping-particle&quot;:&quot;&quot;,&quot;non-dropping-particle&quot;:&quot;&quot;},{&quot;family&quot;:&quot;Ávila-Villanueva&quot;,&quot;given&quot;:&quot;Marina&quot;,&quot;parse-names&quot;:false,&quot;dropping-particle&quot;:&quot;&quot;,&quot;non-dropping-particle&quot;:&quot;&quot;},{&quot;family&quot;:&quot;Fernández-Blázquez&quot;,&quot;given&quot;:&quot;Miguel Ángel&quot;,&quot;parse-names&quot;:false,&quot;dropping-particle&quot;:&quot;&quot;,&quot;non-dropping-particle&quot;:&quot;&quot;}],&quot;DOI&quot;:&quot;10.1101/785519&quot;,&quot;URL&quot;:&quot;https://doi.org/10.1101%2F785519&quot;,&quot;issued&quot;:{&quot;date-parts&quot;:[[2019,9]]},&quot;publisher&quot;:&quot;Cold Spring Harbor Laboratory&quot;},&quot;isTemporary&quot;:false}],&quot;properties&quot;:{&quot;noteIndex&quot;:0},&quot;isEdited&quot;:false,&quot;manualOverride&quot;:{&quot;isManuallyOverriden&quot;:false,&quot;citeprocText&quot;:&quot;&lt;sup&gt;55&lt;/sup&gt;&quot;,&quot;manualOverrideText&quot;:&quot;&quot;}},{&quot;citationID&quot;:&quot;MENDELEY_CITATION_90686609-778a-47e7-ae30-c3e71311fd0e&quot;,&quot;citationItems&quot;:[{&quot;id&quot;:&quot;63ab63db-783e-3b1c-a042-e692637398b5&quot;,&quot;itemData&quot;:{&quot;type&quot;:&quot;article-journal&quot;,&quot;id&quot;:&quot;63ab63db-783e-3b1c-a042-e692637398b5&quot;,&quot;title&quot;:&quot;Cytosolic Phospholipase A2-$\\upalpha$ Mediates Endothelial Cell Proliferation and Is Inactivated by Association with the Golgi Apparatus&quot;,&quot;author&quot;:[{&quot;family&quot;:&quot;Herbert&quot;,&quot;given&quot;:&quot;S P&quot;,&quot;parse-names&quot;:false,&quot;dropping-particle&quot;:&quot;&quot;,&quot;non-dropping-particle&quot;:&quot;&quot;},{&quot;family&quot;:&quot;Ponnambalam&quot;,&quot;given&quot;:&quot;S&quot;,&quot;parse-names&quot;:false,&quot;dropping-particle&quot;:&quot;&quot;,&quot;non-dropping-particle&quot;:&quot;&quot;},{&quot;family&quot;:&quot;Walker&quot;,&quot;given&quot;:&quot;J H&quot;,&quot;parse-names&quot;:false,&quot;dropping-particle&quot;:&quot;&quot;,&quot;non-dropping-particle&quot;:&quot;&quot;}],&quot;container-title&quot;:&quot;Molecular Biology of the Cell&quot;,&quot;DOI&quot;:&quot;10.1091/mbc.e05-02-0164&quot;,&quot;URL&quot;:&quot;https://doi.org/10.1091%2Fmbc.e05-02-0164&quot;,&quot;issued&quot;:{&quot;date-parts&quot;:[[2005,8]]},&quot;page&quot;:&quot;3800-3809&quot;,&quot;publisher&quot;:&quot;American Society for Cell Biology ({ASCB})&quot;,&quot;issue&quot;:&quot;8&quot;,&quot;volume&quot;:&quot;16&quot;},&quot;isTemporary&quot;:false}],&quot;properties&quot;:{&quot;noteIndex&quot;:0},&quot;isEdited&quot;:false,&quot;manualOverride&quot;:{&quot;isManuallyOverriden&quot;:false,&quot;citeprocText&quot;:&quot;&lt;sup&gt;56&lt;/sup&gt;&quot;,&quot;manualOverrideText&quot;:&quot;&quot;}},{&quot;citationID&quot;:&quot;MENDELEY_CITATION_bf9542ed-5a5b-4a77-843d-6815aa63e4b4&quot;,&quot;citationItems&quot;:[{&quot;id&quot;:&quot;263fb670-cf72-349d-b5cc-44be3720fd3a&quot;,&quot;itemData&quot;:{&quot;type&quot;:&quot;article-journal&quot;,&quot;id&quot;:&quot;263fb670-cf72-349d-b5cc-44be3720fd3a&quot;,&quot;title&quot;:&quot;krit1 Modulates $\\upbeta$1-integrin-mediated Endothelial Cell Proliferation&quot;,&quot;author&quot;:[{&quot;family&quot;:&quot;Zhang&quot;,&quot;given&quot;:&quot;Jun&quot;,&quot;parse-names&quot;:false,&quot;dropping-particle&quot;:&quot;&quot;,&quot;non-dropping-particle&quot;:&quot;&quot;},{&quot;family&quot;:&quot;Basu&quot;,&quot;given&quot;:&quot;Sharmila&quot;,&quot;parse-names&quot;:false,&quot;dropping-particle&quot;:&quot;&quot;,&quot;non-dropping-particle&quot;:&quot;&quot;},{&quot;family&quot;:&quot;Rigamonti&quot;,&quot;given&quot;:&quot;Daniele&quot;,&quot;parse-names&quot;:false,&quot;dropping-particle&quot;:&quot;&quot;,&quot;non-dropping-particle&quot;:&quot;&quot;},{&quot;family&quot;:&quot;Dietz&quot;,&quot;given&quot;:&quot;Harry C&quot;,&quot;parse-names&quot;:false,&quot;dropping-particle&quot;:&quot;&quot;,&quot;non-dropping-particle&quot;:&quot;&quot;},{&quot;family&quot;:&quot;Clatterbuck&quot;,&quot;given&quot;:&quot;Richard E&quot;,&quot;parse-names&quot;:false,&quot;dropping-particle&quot;:&quot;&quot;,&quot;non-dropping-particle&quot;:&quot;&quot;}],&quot;container-title&quot;:&quot;Neurosurgery&quot;,&quot;DOI&quot;:&quot;10.1227/01.neu.0000325255.30268.b0&quot;,&quot;URL&quot;:&quot;https://doi.org/10.1227%2F01.neu.0000325255.30268.b0&quot;,&quot;issued&quot;:{&quot;date-parts&quot;:[[2008,9]]},&quot;page&quot;:&quot;571-578&quot;,&quot;publisher&quot;:&quot;Oxford University Press ({OUP})&quot;,&quot;issue&quot;:&quot;3&quot;,&quot;volume&quot;:&quot;63&quot;},&quot;isTemporary&quot;:false}],&quot;properties&quot;:{&quot;noteIndex&quot;:0},&quot;isEdited&quot;:false,&quot;manualOverride&quot;:{&quot;isManuallyOverriden&quot;:false,&quot;citeprocText&quot;:&quot;&lt;sup&gt;57&lt;/sup&gt;&quot;,&quot;manualOverrideText&quot;:&quot;&quot;}},{&quot;citationID&quot;:&quot;MENDELEY_CITATION_7e3c9dc9-7b16-4e87-91ac-88fbd151a279&quot;,&quot;citationItems&quot;:[{&quot;id&quot;:&quot;f255d04e-27de-3a38-930f-ea40bf058240&quot;,&quot;itemData&quot;:{&quot;type&quot;:&quot;article-journal&quot;,&quot;id&quot;:&quot;f255d04e-27de-3a38-930f-ea40bf058240&quot;,&quot;title&quot;:&quot;Nuclear Localization of Integrin Cytoplasmic Domain-associated Protein-1 ({ICAP}1) Influences $\\upbeta$1 Integrin Activation and Recruits Krev/Interaction Trapped-1 ({KRIT}1) to the Nucleus&quot;,&quot;author&quot;:[{&quot;family&quot;:&quot;Draheim&quot;,&quot;given&quot;:&quot;Kyle M&quot;,&quot;parse-names&quot;:false,&quot;dropping-particle&quot;:&quot;&quot;,&quot;non-dropping-particle&quot;:&quot;&quot;},{&quot;family&quot;:&quot;Huet-Calderwood&quot;,&quot;given&quot;:&quot;Clotilde&quot;,&quot;parse-names&quot;:false,&quot;dropping-particle&quot;:&quot;&quot;,&quot;non-dropping-particle&quot;:&quot;&quot;},{&quot;family&quot;:&quot;Simon&quot;,&quot;given&quot;:&quot;Bertrand&quot;,&quot;parse-names&quot;:false,&quot;dropping-particle&quot;:&quot;&quot;,&quot;non-dropping-particle&quot;:&quot;&quot;},{&quot;family&quot;:&quot;Calderwood&quot;,&quot;given&quot;:&quot;David A&quot;,&quot;parse-names&quot;:false,&quot;dropping-particle&quot;:&quot;&quot;,&quot;non-dropping-particle&quot;:&quot;&quot;}],&quot;container-title&quot;:&quot;Journal of Biological Chemistry&quot;,&quot;DOI&quot;:&quot;10.1074/jbc.m116.762393&quot;,&quot;URL&quot;:&quot;https://doi.org/10.1074%2Fjbc.m116.762393&quot;,&quot;issued&quot;:{&quot;date-parts&quot;:[[2016,12]]},&quot;page&quot;:&quot;1884-1898&quot;,&quot;publisher&quot;:&quot;American Society for Biochemistry {\\&amp;} Molecular Biology ({ASBMB})&quot;,&quot;issue&quot;:&quot;5&quot;,&quot;volume&quot;:&quot;292&quot;},&quot;isTemporary&quot;:false}],&quot;properties&quot;:{&quot;noteIndex&quot;:0},&quot;isEdited&quot;:false,&quot;manualOverride&quot;:{&quot;isManuallyOverriden&quot;:false,&quot;citeprocText&quot;:&quot;&lt;sup&gt;58&lt;/sup&gt;&quot;,&quot;manualOverrideText&quot;:&quot;&quot;}},{&quot;citationID&quot;:&quot;MENDELEY_CITATION_1a9516ba-71d0-464e-bcc5-efbf70a8b69a&quot;,&quot;citationItems&quot;:[{&quot;id&quot;:&quot;83eec857-9772-3f99-be4e-23acbca3eb42&quot;,&quot;itemData&quot;:{&quot;type&quot;:&quot;article-journal&quot;,&quot;id&quot;:&quot;83eec857-9772-3f99-be4e-23acbca3eb42&quot;,&quot;title&quot;:&quot;Biophysical Assessment of Single Cell Cytotoxicity: Diesel Exhaust Particle-Treated Human Aortic Endothelial Cells&quot;,&quot;author&quot;:[{&quot;family&quot;:&quot;Wu&quot;,&quot;given&quot;:&quot;Yangzhe&quot;,&quot;parse-names&quot;:false,&quot;dropping-particle&quot;:&quot;&quot;,&quot;non-dropping-particle&quot;:&quot;&quot;},{&quot;family&quot;:&quot;Yu&quot;,&quot;given&quot;:&quot;Tian&quot;,&quot;parse-names&quot;:false,&quot;dropping-particle&quot;:&quot;&quot;,&quot;non-dropping-particle&quot;:&quot;&quot;},{&quot;family&quot;:&quot;Gilbertson&quot;,&quot;given&quot;:&quot;Timothy A&quot;,&quot;parse-names&quot;:false,&quot;dropping-particle&quot;:&quot;&quot;,&quot;non-dropping-particle&quot;:&quot;&quot;},{&quot;family&quot;:&quot;Zhou&quot;,&quot;given&quot;:&quot;Anhong&quot;,&quot;parse-names&quot;:false,&quot;dropping-particle&quot;:&quot;&quot;,&quot;non-dropping-particle&quot;:&quot;&quot;},{&quot;family&quot;:&quot;Xu&quot;,&quot;given&quot;:&quot;Hao&quot;,&quot;parse-names&quot;:false,&quot;dropping-particle&quot;:&quot;&quot;,&quot;non-dropping-particle&quot;:&quot;&quot;},{&quot;family&quot;:&quot;Nguyen&quot;,&quot;given&quot;:&quot;Kytai Truong&quot;,&quot;parse-names&quot;:false,&quot;dropping-particle&quot;:&quot;&quot;,&quot;non-dropping-particle&quot;:&quot;&quot;}],&quot;container-title&quot;:&quot;{PLoS} {ONE}&quot;,&quot;editor&quot;:[{&quot;family&quot;:&quot;Lam&quot;,&quot;given&quot;:&quot;Wilbur&quot;,&quot;parse-names&quot;:false,&quot;dropping-particle&quot;:&quot;&quot;,&quot;non-dropping-particle&quot;:&quot;&quot;}],&quot;DOI&quot;:&quot;10.1371/journal.pone.0036885&quot;,&quot;URL&quot;:&quot;https://doi.org/10.1371%2Fjournal.pone.0036885&quot;,&quot;issued&quot;:{&quot;date-parts&quot;:[[2012,5]]},&quot;page&quot;:&quot;e36885&quot;,&quot;publisher&quot;:&quot;Public Library of Science ({PLoS})&quot;,&quot;issue&quot;:&quot;5&quot;,&quot;volume&quot;:&quot;7&quot;},&quot;isTemporary&quot;:false}],&quot;properties&quot;:{&quot;noteIndex&quot;:0},&quot;isEdited&quot;:false,&quot;manualOverride&quot;:{&quot;isManuallyOverriden&quot;:false,&quot;citeprocText&quot;:&quot;&lt;sup&gt;59&lt;/sup&gt;&quot;,&quot;manualOverrideText&quot;:&quot;&quot;}},{&quot;citationID&quot;:&quot;MENDELEY_CITATION_1a77376a-e497-48fa-9e42-cd0ae45bc2e9&quot;,&quot;citationItems&quot;:[{&quot;id&quot;:&quot;f4611c55-b8ea-363b-800e-977e38be7f58&quot;,&quot;itemData&quot;:{&quot;type&quot;:&quot;article-journal&quot;,&quot;id&quot;:&quot;f4611c55-b8ea-363b-800e-977e38be7f58&quot;,&quot;title&quot;:&quot;Radical Stress Is More Cytotoxic in the Nucleus than in Other Organelles&quot;,&quot;author&quot;:[{&quot;family&quot;:&quot;Paardekooper&quot;,&quot;given&quot;:&quot;Laurent M&quot;,&quot;parse-names&quot;:false,&quot;dropping-particle&quot;:&quot;&quot;,&quot;non-dropping-particle&quot;:&quot;&quot;},{&quot;family&quot;:&quot;Vroonhoven&quot;,&quot;given&quot;:&quot;Ellen&quot;,&quot;parse-names&quot;:false,&quot;dropping-particle&quot;:&quot;&quot;,&quot;non-dropping-particle&quot;:&quot;van&quot;},{&quot;family&quot;:&quot;Beest&quot;,&quot;given&quot;:&quot;Martin&quot;,&quot;parse-names&quot;:false,&quot;dropping-particle&quot;:&quot;&quot;,&quot;non-dropping-particle&quot;:&quot;ter&quot;},{&quot;family&quot;:&quot;Bogaart&quot;,&quot;given&quot;:&quot;Geert&quot;,&quot;parse-names&quot;:false,&quot;dropping-particle&quot;:&quot;&quot;,&quot;non-dropping-particle&quot;:&quot;van den&quot;}],&quot;container-title&quot;:&quot;International Journal of Molecular Sciences&quot;,&quot;DOI&quot;:&quot;10.3390/ijms20174147&quot;,&quot;URL&quot;:&quot;https://doi.org/10.3390%2Fijms20174147&quot;,&quot;issued&quot;:{&quot;date-parts&quot;:[[2019,8]]},&quot;page&quot;:&quot;4147&quot;,&quot;publisher&quot;:&quot;{MDPI} {AG}&quot;,&quot;issue&quot;:&quot;17&quot;,&quot;volume&quot;:&quot;20&quot;},&quot;isTemporary&quot;:false}],&quot;properties&quot;:{&quot;noteIndex&quot;:0},&quot;isEdited&quot;:false,&quot;manualOverride&quot;:{&quot;isManuallyOverriden&quot;:false,&quot;citeprocText&quot;:&quot;&lt;sup&gt;60&lt;/sup&gt;&quot;,&quot;manualOverrideText&quot;:&quot;&quot;}},{&quot;citationID&quot;:&quot;MENDELEY_CITATION_d0099e00-e657-4969-8b77-a121d0168e68&quot;,&quot;citationItems&quot;:[{&quot;id&quot;:&quot;83eec857-9772-3f99-be4e-23acbca3eb42&quot;,&quot;itemData&quot;:{&quot;type&quot;:&quot;article-journal&quot;,&quot;id&quot;:&quot;83eec857-9772-3f99-be4e-23acbca3eb42&quot;,&quot;title&quot;:&quot;Biophysical Assessment of Single Cell Cytotoxicity: Diesel Exhaust Particle-Treated Human Aortic Endothelial Cells&quot;,&quot;author&quot;:[{&quot;family&quot;:&quot;Wu&quot;,&quot;given&quot;:&quot;Yangzhe&quot;,&quot;parse-names&quot;:false,&quot;dropping-particle&quot;:&quot;&quot;,&quot;non-dropping-particle&quot;:&quot;&quot;},{&quot;family&quot;:&quot;Yu&quot;,&quot;given&quot;:&quot;Tian&quot;,&quot;parse-names&quot;:false,&quot;dropping-particle&quot;:&quot;&quot;,&quot;non-dropping-particle&quot;:&quot;&quot;},{&quot;family&quot;:&quot;Gilbertson&quot;,&quot;given&quot;:&quot;Timothy A&quot;,&quot;parse-names&quot;:false,&quot;dropping-particle&quot;:&quot;&quot;,&quot;non-dropping-particle&quot;:&quot;&quot;},{&quot;family&quot;:&quot;Zhou&quot;,&quot;given&quot;:&quot;Anhong&quot;,&quot;parse-names&quot;:false,&quot;dropping-particle&quot;:&quot;&quot;,&quot;non-dropping-particle&quot;:&quot;&quot;},{&quot;family&quot;:&quot;Xu&quot;,&quot;given&quot;:&quot;Hao&quot;,&quot;parse-names&quot;:false,&quot;dropping-particle&quot;:&quot;&quot;,&quot;non-dropping-particle&quot;:&quot;&quot;},{&quot;family&quot;:&quot;Nguyen&quot;,&quot;given&quot;:&quot;Kytai Truong&quot;,&quot;parse-names&quot;:false,&quot;dropping-particle&quot;:&quot;&quot;,&quot;non-dropping-particle&quot;:&quot;&quot;}],&quot;container-title&quot;:&quot;{PLoS} {ONE}&quot;,&quot;editor&quot;:[{&quot;family&quot;:&quot;Lam&quot;,&quot;given&quot;:&quot;Wilbur&quot;,&quot;parse-names&quot;:false,&quot;dropping-particle&quot;:&quot;&quot;,&quot;non-dropping-particle&quot;:&quot;&quot;}],&quot;DOI&quot;:&quot;10.1371/journal.pone.0036885&quot;,&quot;URL&quot;:&quot;https://doi.org/10.1371%2Fjournal.pone.0036885&quot;,&quot;issued&quot;:{&quot;date-parts&quot;:[[2012,5]]},&quot;page&quot;:&quot;e36885&quot;,&quot;publisher&quot;:&quot;Public Library of Science ({PLoS})&quot;,&quot;issue&quot;:&quot;5&quot;,&quot;volume&quot;:&quot;7&quot;},&quot;isTemporary&quot;:false}],&quot;properties&quot;:{&quot;noteIndex&quot;:0},&quot;isEdited&quot;:false,&quot;manualOverride&quot;:{&quot;isManuallyOverriden&quot;:false,&quot;citeprocText&quot;:&quot;&lt;sup&gt;59&lt;/sup&gt;&quot;,&quot;manualOverrideText&quot;:&quot;&quot;}},{&quot;citationID&quot;:&quot;MENDELEY_CITATION_2ceb884e-7327-4d8d-9bc4-7193a94c5e52&quot;,&quot;citationItems&quot;:[{&quot;id&quot;:&quot;6371a707-da53-3d92-a287-fb6eea7ac1f0&quot;,&quot;itemData&quot;:{&quot;type&quot;:&quot;article-journal&quot;,&quot;id&quot;:&quot;6371a707-da53-3d92-a287-fb6eea7ac1f0&quot;,&quot;title&quot;:&quot;Your neighbours matter {\\textendash} non-autonomous control of apoptosis in development and disease&quot;,&quot;author&quot;:[{&quot;family&quot;:&quot;Eroglu&quot;,&quot;given&quot;:&quot;M&quot;,&quot;parse-names&quot;:false,&quot;dropping-particle&quot;:&quot;&quot;,&quot;non-dropping-particle&quot;:&quot;&quot;},{&quot;family&quot;:&quot;Derry&quot;,&quot;given&quot;:&quot;W B&quot;,&quot;parse-names&quot;:false,&quot;dropping-particle&quot;:&quot;&quot;,&quot;non-dropping-particle&quot;:&quot;&quot;}],&quot;container-title&quot;:&quot;Cell Death {\\&amp;} Differentiation&quot;,&quot;DOI&quot;:&quot;10.1038/cdd.2016.41&quot;,&quot;URL&quot;:&quot;https://doi.org/10.1038%2Fcdd.2016.41&quot;,&quot;issued&quot;:{&quot;date-parts&quot;:[[2016,5]]},&quot;page&quot;:&quot;1110-1118&quot;,&quot;publisher&quot;:&quot;Springer Science and Business Media {LLC}&quot;,&quot;issue&quot;:&quot;7&quot;,&quot;volume&quot;:&quot;23&quot;},&quot;isTemporary&quot;:false}],&quot;properties&quot;:{&quot;noteIndex&quot;:0},&quot;isEdited&quot;:false,&quot;manualOverride&quot;:{&quot;isManuallyOverriden&quot;:false,&quot;citeprocText&quot;:&quot;&lt;sup&gt;61&lt;/sup&gt;&quot;,&quot;manualOverrideText&quot;:&quot;&quot;}},{&quot;citationID&quot;:&quot;MENDELEY_CITATION_bc2cb946-d0b2-4073-8c84-ad768807c2f7&quot;,&quot;citationItems&quot;:[{&quot;id&quot;:&quot;02ececcc-6129-35c5-82cc-322c44225772&quot;,&quot;itemData&quot;:{&quot;type&quot;:&quot;article&quot;,&quot;id&quot;:&quot;02ececcc-6129-35c5-82cc-322c44225772&quot;,&quot;title&quot;:&quot;The cost of dichotomising continuous variables&quot;,&quot;author&quot;:[{&quot;family&quot;:&quot;Altman&quot;,&quot;given&quot;:&quot;Douglas G.&quot;,&quot;parse-names&quot;:false,&quot;dropping-particle&quot;:&quot;&quot;,&quot;non-dropping-particle&quot;:&quot;&quot;},{&quot;family&quot;:&quot;Royston&quot;,&quot;given&quot;:&quot;Patrick&quot;,&quot;parse-names&quot;:false,&quot;dropping-particle&quot;:&quot;&quot;,&quot;non-dropping-particle&quot;:&quot;&quot;}],&quot;container-title&quot;:&quot;British Medical Journal&quot;,&quot;DOI&quot;:&quot;10.1136/bmj.332.7549.1080&quot;,&quot;ISSN&quot;:&quot;09598146&quot;,&quot;PMID&quot;:&quot;16675816&quot;,&quot;issued&quot;:{&quot;date-parts&quot;:[[2006]]}},&quot;isTemporary&quot;:false}],&quot;properties&quot;:{&quot;noteIndex&quot;:0},&quot;isEdited&quot;:false,&quot;manualOverride&quot;:{&quot;isManuallyOverriden&quot;:false,&quot;citeprocText&quot;:&quot;&lt;sup&gt;62&lt;/sup&gt;&quot;,&quot;manualOverrideText&quot;:&quot;&quot;}},{&quot;citationID&quot;:&quot;MENDELEY_CITATION_2ccb4d2d-4870-4990-a7ba-27551f5dee6a&quot;,&quot;citationItems&quot;:[{&quot;id&quot;:&quot;6d2a7f24-65ac-372c-8b48-8ed031ceb442&quot;,&quot;itemData&quot;:{&quot;type&quot;:&quot;report&quot;,&quot;id&quot;:&quot;6d2a7f24-65ac-372c-8b48-8ed031ceb442&quot;,&quot;title&quot;:&quot;How to integrate in vitro PK/PD information for toxicity prediction&quot;,&quot;author&quot;:[{&quot;family&quot;:&quot;Bois&quot;,&quot;given&quot;:&quot;Frédéric Y&quot;,&quot;parse-names&quot;:false,&quot;dropping-particle&quot;:&quot;&quot;,&quot;non-dropping-particle&quot;:&quot;&quot;}],&quot;accessed&quot;:{&quot;date-parts&quot;:[[2020,7,22]]},&quot;URL&quot;:&quot;https://hal-ineris.archives-ouvertes.fr/ineris-00973346&quot;},&quot;isTemporary&quot;:false}],&quot;properties&quot;:{&quot;noteIndex&quot;:0},&quot;isEdited&quot;:false,&quot;manualOverride&quot;:{&quot;isManuallyOverriden&quot;:false,&quot;citeprocText&quot;:&quot;&lt;sup&gt;63&lt;/sup&gt;&quot;,&quot;manualOverrideText&quot;:&quot;&quot;}},{&quot;citationID&quot;:&quot;MENDELEY_CITATION_47e985d3-b28a-4458-811b-7dfdd0931cb3&quot;,&quot;citationItems&quot;:[{&quot;id&quot;:&quot;58aca2ac-18b3-3fca-9c1f-4c675e1d1b29&quot;,&quot;itemData&quot;:{&quot;type&quot;:&quot;book&quot;,&quot;id&quot;:&quot;58aca2ac-18b3-3fca-9c1f-4c675e1d1b29&quot;,&quot;title&quot;:&quot;Application of modern toxicology approaches for predicting acute toxicity for chemical defense&quot;,&quot;author&quot;:[{&quot;family&quot;:&quot;National Academies of Sciences&quot;,&quot;given&quot;:&quot;Engineering, and Medicine&quot;,&quot;parse-names&quot;:false,&quot;dropping-particle&quot;:&quot;&quot;,&quot;non-dropping-particle&quot;:&quot;&quot;}],&quot;container-title&quot;:&quot;Application of Modern Toxicology Approaches for Predicting Acute Toxicity for Chemical Defense&quot;,&quot;accessed&quot;:{&quot;date-parts&quot;:[[2020,7,22]]},&quot;DOI&quot;:&quot;10.17226/21775&quot;,&quot;ISBN&quot;:&quot;0309376661&quot;,&quot;issued&quot;:{&quot;date-parts&quot;:[[2015,10,1]]},&quot;number-of-pages&quot;:&quot;1-134&quot;,&quot;abstract&quot;:&quot;The US Department of Defense (DOD) is faced with an overwhelming task in evaluating chemicals that could potentially pose a threat to its deployed personnel. There are over 84,000 registered chemicals, and testing them with traditional toxicity-testing methods is not feasible in terms of time or money. In recent years, there has been a concerted effort to develop new approaches to toxicity testing that incorporate advances in systems biology, toxicogenomics, bioinformatics, and computational toxicology. Given the advances, DOD asked the National Research Council to determine how DOD could use modern approaches for predicting chemical toxicity in its efforts to prevent debilitating, acute exposures to deployed personnel. This report provides an overall conceptual approach that DOD could use to develop a predictive toxicology system. Application of Modern Toxicology Approaches for Predicting Acute Toxicity for Chemical Defense reviews the current state of computational and high-throughput approaches for predicting acute toxicity and suggests methods for integrating data and predictions. This report concludes with lessons learned from current high-throughput screening programs and suggests some initial steps for DOD investment.&quot;,&quot;publisher&quot;:&quot;National Academies Press&quot;},&quot;isTemporary&quot;:false}],&quot;properties&quot;:{&quot;noteIndex&quot;:0},&quot;isEdited&quot;:false,&quot;manualOverride&quot;:{&quot;isManuallyOverriden&quot;:false,&quot;citeprocText&quot;:&quot;&lt;sup&gt;64&lt;/sup&gt;&quot;,&quot;manualOverrideText&quot;:&quot;&quot;}},{&quot;citationID&quot;:&quot;MENDELEY_CITATION_29f8d8f6-9fd1-4fcd-959c-3726a29dd956&quot;,&quot;citationItems&quot;:[{&quot;id&quot;:&quot;887897d0-38e2-315b-90ab-15007bd15437&quot;,&quot;itemData&quot;:{&quot;type&quot;:&quot;article&quot;,&quot;id&quot;:&quot;887897d0-38e2-315b-90ab-15007bd15437&quot;,&quot;title&quot;:&quot;The Registry of Cytotoxicity: Toxicity testing in cell cultures to predict acute toxicity (LD50) and to reduce testing in animals&quot;,&quot;author&quot;:[{&quot;family&quot;:&quot;Halle&quot;,&quot;given&quot;:&quot;Willi&quot;,&quot;parse-names&quot;:false,&quot;dropping-particle&quot;:&quot;&quot;,&quot;non-dropping-particle&quot;:&quot;&quot;}],&quot;container-title&quot;:&quot;ATLA Alternatives to Laboratory Animals&quot;,&quot;DOI&quot;:&quot;10.1177/026119290303100204&quot;,&quot;ISSN&quot;:&quot;02611929&quot;,&quot;PMID&quot;:&quot;15612878&quot;,&quot;issued&quot;:{&quot;date-parts&quot;:[[2003]]},&quot;abstract&quot;:&quot;This is a translation of a report on the Registry of Cytotoxicity (RC), originally published in German in 1998. The report presented an advanced in vitro method, which can significantly reduce the number of animals needed for the toxicity testing of a broad range of compounds/xenobiotics. With the RC method, it was possible to predict the oral or intravenous acute toxicity (LD50) - which is a regulatory requirement for newly developed pharmaceuticals and industrial and household chemicals - from the cytotoxicity data (mean IC50 = IC50X) obtained with mammalian cells. The RC method can be used before the in vivo test, and it does not pose any additional harm or suffering to laboratory animals. The RC method is of broad practical use: it can be applied, for example, in the pharmaceutical industry or the chemical industry in regulatory testing or in research. It is ready for validation, and could then be incorporated into OECD guidelines, thus reducing the total number of animals needed for regulatory toxicity testing. The RC method is based on the comparison of the IC50X values and the LD50 values by using linear regression analysis. With the RC method, it was possible to predict, within a predefined dose range, the acute oral LD50 for 252 of 347 xenobiotics, and the intravenous LD50 for rats and/or mice for 117 of 150 xenobiotics. Comparative studies showed that these results are highly reproducible.&quot;},&quot;isTemporary&quot;:false}],&quot;properties&quot;:{&quot;noteIndex&quot;:0},&quot;isEdited&quot;:false,&quot;manualOverride&quot;:{&quot;isManuallyOverriden&quot;:false,&quot;citeprocText&quot;:&quot;&lt;sup&gt;65&lt;/sup&gt;&quot;,&quot;manualOverrideText&quot;:&quot;&quot;}},{&quot;citationID&quot;:&quot;MENDELEY_CITATION_0e6f4db4-0d2d-4582-a722-4322bac70285&quot;,&quot;citationItems&quot;:[{&quot;id&quot;:&quot;be0e9491-5c4a-38dd-a977-732de1762f44&quot;,&quot;itemData&quot;:{&quot;type&quot;:&quot;article-journal&quot;,&quot;id&quot;:&quot;be0e9491-5c4a-38dd-a977-732de1762f44&quot;,&quot;title&quot;:&quot;Estimating acute toxicity based on in vitro cytotoxicity: role of biokinetic modelling&quot;,&quot;author&quot;:[{&quot;family&quot;:&quot;Blaauboer&quot;,&quot;given&quot;:&quot;BJ&quot;,&quot;parse-names&quot;:false,&quot;dropping-particle&quot;:&quot;&quot;,&quot;non-dropping-particle&quot;:&quot;&quot;},{&quot;family&quot;:&quot;Hermens&quot;,&quot;given&quot;:&quot;J&quot;,&quot;parse-names&quot;:false,&quot;dropping-particle&quot;:&quot;&quot;,&quot;non-dropping-particle&quot;:&quot;&quot;},{&quot;family&quot;:&quot;ALTEX&quot;,&quot;given&quot;:&quot;J van Eijkeren -&quot;,&quot;parse-names&quot;:false,&quot;dropping-particle&quot;:&quot;&quot;,&quot;non-dropping-particle&quot;:&quot;&quot;},{&quot;family&quot;:&quot;2006&quot;,&quot;given&quot;:&quot;undefined&quot;,&quot;parse-names&quot;:false,&quot;dropping-particle&quot;:&quot;&quot;,&quot;non-dropping-particle&quot;:&quot;&quot;}],&quot;accessed&quot;:{&quot;date-parts&quot;:[[2020,7,22]]}},&quot;isTemporary&quot;:false}],&quot;properties&quot;:{&quot;noteIndex&quot;:0},&quot;isEdited&quot;:true,&quot;manualOverride&quot;:{&quot;isManuallyOverriden&quot;:false,&quot;citeprocText&quot;:&quot;&lt;sup&gt;66&lt;/sup&gt;&quot;,&quot;manualOverrideText&quot;:&quot;&quot;}}]"/>
    <we:property name="MENDELEY_CITATIONS_STYLE" value="&quot;https://www.zotero.org/styles/chemical-research-in-toxicology&quot;"/>
    <we:property name="MENDELEY_PROFILE_ID" value="&quot;03f91f1b25ebdae3d4ae4242c9955eb47c77d029&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b:Source>
    <b:Tag>App</b:Tag>
    <b:SourceType>JournalArticle</b:SourceType>
    <b:Guid>{CD1EA38E-87F2-44E1-92D9-FC549E54D2EC}</b:Guid>
    <b:Title>Applications in Image-Based Profiling of Perturbations</b:Title>
    <b:RefOrder>2</b:RefOrder>
  </b:Source>
  <b:Source>
    <b:Tag>htt</b:Tag>
    <b:SourceType>InternetSite</b:SourceType>
    <b:Guid>{D3E7B307-7E69-4B97-A9D4-0FA5E1958546}</b:Guid>
    <b:URL>http://gigadb.org/dataset/100351</b:URL>
    <b:RefOrder>3</b:RefOrder>
  </b:Source>
  <b:Source>
    <b:Tag>Cel</b:Tag>
    <b:SourceType>InternetSite</b:SourceType>
    <b:Guid>{5143CC66-6F39-4D12-AE48-9D3B80AF7C6D}</b:Guid>
    <b:InternetSiteTitle>Cell Painting Database</b:InternetSiteTitle>
    <b:URL>http://gigadb.org/dataset/100351</b:URL>
    <b:RefOrder>1</b:RefOrder>
  </b:Source>
</b:Sources>
</file>

<file path=customXml/itemProps1.xml><?xml version="1.0" encoding="utf-8"?>
<ds:datastoreItem xmlns:ds="http://schemas.openxmlformats.org/officeDocument/2006/customXml" ds:itemID="{35511094-AD20-4A0F-982C-BE6823AFF6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8154</TotalTime>
  <Pages>49</Pages>
  <Words>9254</Words>
  <Characters>52754</Characters>
  <Application>Microsoft Office Word</Application>
  <DocSecurity>0</DocSecurity>
  <Lines>439</Lines>
  <Paragraphs>123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Srijit Seal</dc:creator>
  <cp:keywords/>
  <cp:lastModifiedBy>Srijit Seal</cp:lastModifiedBy>
  <cp:revision>910</cp:revision>
  <cp:lastPrinted>2020-12-16T16:54:00Z</cp:lastPrinted>
  <dcterms:created xsi:type="dcterms:W3CDTF">2020-11-20T08:32:00Z</dcterms:created>
  <dcterms:modified xsi:type="dcterms:W3CDTF">2021-01-17T17:47:00Z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ced1a9bc-3170-3c6c-bbdf-db228349279f</vt:lpwstr>
  </property>
  <property fmtid="{D5CDD505-2E9C-101B-9397-08002B2CF9AE}" pid="4" name="Mendeley Citation Style_1">
    <vt:lpwstr>http://csl.mendeley.com/styles/583342491/american-chemical-society-2</vt:lpwstr>
  </property>
  <property fmtid="{D5CDD505-2E9C-101B-9397-08002B2CF9AE}" pid="5" name="Mendeley Recent Style Id 0_1">
    <vt:lpwstr>http://csl.mendeley.com/styles/583342491/american-chemical-society-2</vt:lpwstr>
  </property>
  <property fmtid="{D5CDD505-2E9C-101B-9397-08002B2CF9AE}" pid="6" name="Mendeley Recent Style Name 0_1">
    <vt:lpwstr>American Chemical Society - Srijit Seal</vt:lpwstr>
  </property>
  <property fmtid="{D5CDD505-2E9C-101B-9397-08002B2CF9AE}" pid="7" name="Mendeley Recent Style Id 1_1">
    <vt:lpwstr>http://www.zotero.org/styles/american-medical-association</vt:lpwstr>
  </property>
  <property fmtid="{D5CDD505-2E9C-101B-9397-08002B2CF9AE}" pid="8" name="Mendeley Recent Style Name 1_1">
    <vt:lpwstr>American Medical Association 11th edition</vt:lpwstr>
  </property>
  <property fmtid="{D5CDD505-2E9C-101B-9397-08002B2CF9AE}" pid="9" name="Mendeley Recent Style Id 2_1">
    <vt:lpwstr>http://www.zotero.org/styles/american-political-science-association</vt:lpwstr>
  </property>
  <property fmtid="{D5CDD505-2E9C-101B-9397-08002B2CF9AE}" pid="10" name="Mendeley Recent Style Name 2_1">
    <vt:lpwstr>American Political Science Association</vt:lpwstr>
  </property>
  <property fmtid="{D5CDD505-2E9C-101B-9397-08002B2CF9AE}" pid="11" name="Mendeley Recent Style Id 3_1">
    <vt:lpwstr>http://www.zotero.org/styles/apa</vt:lpwstr>
  </property>
  <property fmtid="{D5CDD505-2E9C-101B-9397-08002B2CF9AE}" pid="12" name="Mendeley Recent Style Name 3_1">
    <vt:lpwstr>American Psychological Association 7th edition</vt:lpwstr>
  </property>
  <property fmtid="{D5CDD505-2E9C-101B-9397-08002B2CF9AE}" pid="13" name="Mendeley Recent Style Id 4_1">
    <vt:lpwstr>http://www.zotero.org/styles/american-sociological-association</vt:lpwstr>
  </property>
  <property fmtid="{D5CDD505-2E9C-101B-9397-08002B2CF9AE}" pid="14" name="Mendeley Recent Style Name 4_1">
    <vt:lpwstr>American Sociological Association 6th edition</vt:lpwstr>
  </property>
  <property fmtid="{D5CDD505-2E9C-101B-9397-08002B2CF9AE}" pid="15" name="Mendeley Recent Style Id 5_1">
    <vt:lpwstr>http://www.zotero.org/styles/chemical-research-in-toxicology</vt:lpwstr>
  </property>
  <property fmtid="{D5CDD505-2E9C-101B-9397-08002B2CF9AE}" pid="16" name="Mendeley Recent Style Name 5_1">
    <vt:lpwstr>Chemical Research in Toxicology</vt:lpwstr>
  </property>
  <property fmtid="{D5CDD505-2E9C-101B-9397-08002B2CF9AE}" pid="17" name="Mendeley Recent Style Id 6_1">
    <vt:lpwstr>http://www.zotero.org/styles/chicago-author-date</vt:lpwstr>
  </property>
  <property fmtid="{D5CDD505-2E9C-101B-9397-08002B2CF9AE}" pid="18" name="Mendeley Recent Style Name 6_1">
    <vt:lpwstr>Chicago Manual of Style 17th edition (author-date)</vt:lpwstr>
  </property>
  <property fmtid="{D5CDD505-2E9C-101B-9397-08002B2CF9AE}" pid="19" name="Mendeley Recent Style Id 7_1">
    <vt:lpwstr>http://www.zotero.org/styles/harvard-cite-them-right</vt:lpwstr>
  </property>
  <property fmtid="{D5CDD505-2E9C-101B-9397-08002B2CF9AE}" pid="20" name="Mendeley Recent Style Name 7_1">
    <vt:lpwstr>Cite Them Right 10th edition - Harvard</vt:lpwstr>
  </property>
  <property fmtid="{D5CDD505-2E9C-101B-9397-08002B2CF9AE}" pid="21" name="Mendeley Recent Style Id 8_1">
    <vt:lpwstr>http://www.zotero.org/styles/ieee</vt:lpwstr>
  </property>
  <property fmtid="{D5CDD505-2E9C-101B-9397-08002B2CF9AE}" pid="22" name="Mendeley Recent Style Name 8_1">
    <vt:lpwstr>IEEE</vt:lpwstr>
  </property>
  <property fmtid="{D5CDD505-2E9C-101B-9397-08002B2CF9AE}" pid="23" name="Mendeley Recent Style Id 9_1">
    <vt:lpwstr>http://www.zotero.org/styles/modern-humanities-research-association</vt:lpwstr>
  </property>
  <property fmtid="{D5CDD505-2E9C-101B-9397-08002B2CF9AE}" pid="24" name="Mendeley Recent Style Name 9_1">
    <vt:lpwstr>Modern Humanities Research Association 3rd edition (note with bibliography)</vt:lpwstr>
  </property>
</Properties>
</file>