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FCC1425" w14:textId="20EB59D2" w:rsidR="00DD3728" w:rsidRPr="009F1F9A" w:rsidRDefault="00DD3728" w:rsidP="009F1F9A">
      <w:pPr>
        <w:spacing w:line="480" w:lineRule="auto"/>
        <w:jc w:val="both"/>
        <w:rPr>
          <w:b/>
        </w:rPr>
      </w:pPr>
      <w:r w:rsidRPr="009F1F9A">
        <w:rPr>
          <w:b/>
        </w:rPr>
        <w:t>The origins and evolution of Cypriot glazed ware productions during the 13</w:t>
      </w:r>
      <w:r w:rsidRPr="009F1F9A">
        <w:rPr>
          <w:b/>
          <w:vertAlign w:val="superscript"/>
        </w:rPr>
        <w:t>th</w:t>
      </w:r>
      <w:r w:rsidRPr="009F1F9A">
        <w:rPr>
          <w:b/>
        </w:rPr>
        <w:t xml:space="preserve"> to 17</w:t>
      </w:r>
      <w:r w:rsidRPr="009F1F9A">
        <w:rPr>
          <w:b/>
          <w:vertAlign w:val="superscript"/>
        </w:rPr>
        <w:t>th</w:t>
      </w:r>
      <w:r w:rsidRPr="009F1F9A">
        <w:rPr>
          <w:b/>
        </w:rPr>
        <w:t xml:space="preserve"> centuries CE</w:t>
      </w:r>
    </w:p>
    <w:p w14:paraId="351A9B84" w14:textId="58CCDD29" w:rsidR="00DD3728" w:rsidRPr="009F1F9A" w:rsidRDefault="00DD3728" w:rsidP="009F1F9A">
      <w:pPr>
        <w:spacing w:line="480" w:lineRule="auto"/>
        <w:jc w:val="both"/>
      </w:pPr>
    </w:p>
    <w:p w14:paraId="464D4F4D" w14:textId="13EACD60" w:rsidR="00DD3728" w:rsidRPr="009F1F9A" w:rsidRDefault="00B57782" w:rsidP="009F1F9A">
      <w:pPr>
        <w:spacing w:line="480" w:lineRule="auto"/>
        <w:jc w:val="both"/>
      </w:pPr>
      <w:r w:rsidRPr="009F1F9A">
        <w:t>Carmen Ting</w:t>
      </w:r>
      <w:r w:rsidRPr="009F1F9A">
        <w:rPr>
          <w:vertAlign w:val="superscript"/>
        </w:rPr>
        <w:t>1</w:t>
      </w:r>
      <w:r w:rsidRPr="009F1F9A">
        <w:t>, Thilo Rehren</w:t>
      </w:r>
      <w:r w:rsidRPr="009F1F9A">
        <w:rPr>
          <w:vertAlign w:val="superscript"/>
        </w:rPr>
        <w:t>2</w:t>
      </w:r>
      <w:r w:rsidR="009D0487">
        <w:rPr>
          <w:vertAlign w:val="superscript"/>
        </w:rPr>
        <w:t>,3</w:t>
      </w:r>
      <w:r w:rsidRPr="009F1F9A">
        <w:t>, Athanasios Vionis</w:t>
      </w:r>
      <w:r w:rsidR="009D0487">
        <w:rPr>
          <w:vertAlign w:val="superscript"/>
        </w:rPr>
        <w:t>4</w:t>
      </w:r>
      <w:r w:rsidRPr="009F1F9A">
        <w:t>, Vasiliki Kassianidou</w:t>
      </w:r>
      <w:r w:rsidR="009D0487">
        <w:rPr>
          <w:vertAlign w:val="superscript"/>
        </w:rPr>
        <w:t>4</w:t>
      </w:r>
    </w:p>
    <w:p w14:paraId="6A24CA2B" w14:textId="59FB5C55" w:rsidR="00B57782" w:rsidRPr="009F1F9A" w:rsidRDefault="00B57782" w:rsidP="009F1F9A">
      <w:pPr>
        <w:spacing w:line="480" w:lineRule="auto"/>
        <w:jc w:val="both"/>
      </w:pPr>
    </w:p>
    <w:p w14:paraId="1B1214DA" w14:textId="2638EE70" w:rsidR="00B57782" w:rsidRPr="009F1F9A" w:rsidRDefault="00B57782" w:rsidP="009F1F9A">
      <w:pPr>
        <w:spacing w:line="480" w:lineRule="auto"/>
        <w:jc w:val="both"/>
      </w:pPr>
      <w:r w:rsidRPr="009F1F9A">
        <w:rPr>
          <w:vertAlign w:val="superscript"/>
        </w:rPr>
        <w:t>1</w:t>
      </w:r>
      <w:r w:rsidRPr="009F1F9A">
        <w:t xml:space="preserve"> Corresponding author; McDonald Institute for Archaeological Research, University of Cambridge, Cambridge, UK; </w:t>
      </w:r>
      <w:r w:rsidR="001F5CC4">
        <w:t>carmen.k.ting@gmail.com</w:t>
      </w:r>
      <w:r w:rsidRPr="009F1F9A">
        <w:t>; ORCID: 0000-0002-3509-1614</w:t>
      </w:r>
    </w:p>
    <w:p w14:paraId="4CC9C6EE" w14:textId="77777777" w:rsidR="00B57782" w:rsidRPr="009F1F9A" w:rsidRDefault="00B57782" w:rsidP="009F1F9A">
      <w:pPr>
        <w:spacing w:line="480" w:lineRule="auto"/>
        <w:jc w:val="both"/>
      </w:pPr>
      <w:bookmarkStart w:id="0" w:name="_GoBack"/>
      <w:bookmarkEnd w:id="0"/>
    </w:p>
    <w:p w14:paraId="07E7CFC5" w14:textId="28F7E43E" w:rsidR="00B57782" w:rsidRDefault="00B57782" w:rsidP="009F1F9A">
      <w:pPr>
        <w:spacing w:line="480" w:lineRule="auto"/>
        <w:jc w:val="both"/>
        <w:rPr>
          <w:rFonts w:cs="Times New Roman"/>
          <w:lang w:val="en-GB"/>
        </w:rPr>
      </w:pPr>
      <w:r w:rsidRPr="009F1F9A">
        <w:rPr>
          <w:vertAlign w:val="superscript"/>
        </w:rPr>
        <w:t>2</w:t>
      </w:r>
      <w:r w:rsidRPr="009F1F9A">
        <w:t xml:space="preserve"> </w:t>
      </w:r>
      <w:r w:rsidRPr="009F1F9A">
        <w:rPr>
          <w:rFonts w:cs="Times New Roman"/>
          <w:lang w:val="en-GB"/>
        </w:rPr>
        <w:t>Science and Technology in Archaeology and Culture Research Centre, The Cyprus Institute, Nicosia, Cyprus</w:t>
      </w:r>
    </w:p>
    <w:p w14:paraId="48FBDC0A" w14:textId="01354A59" w:rsidR="009D0487" w:rsidRDefault="009D0487" w:rsidP="009F1F9A">
      <w:pPr>
        <w:spacing w:line="480" w:lineRule="auto"/>
        <w:jc w:val="both"/>
        <w:rPr>
          <w:rFonts w:cs="Times New Roman"/>
          <w:lang w:val="en-GB"/>
        </w:rPr>
      </w:pPr>
    </w:p>
    <w:p w14:paraId="7471DC38" w14:textId="27680C3E" w:rsidR="009D0487" w:rsidRPr="009F1F9A" w:rsidRDefault="009D0487" w:rsidP="009F1F9A">
      <w:pPr>
        <w:spacing w:line="480" w:lineRule="auto"/>
        <w:jc w:val="both"/>
        <w:rPr>
          <w:rFonts w:cs="Times New Roman"/>
          <w:lang w:val="en-GB"/>
        </w:rPr>
      </w:pPr>
      <w:r w:rsidRPr="009D0487">
        <w:rPr>
          <w:rFonts w:cs="Times New Roman"/>
          <w:vertAlign w:val="superscript"/>
          <w:lang w:val="en-GB"/>
        </w:rPr>
        <w:t>3</w:t>
      </w:r>
      <w:r>
        <w:rPr>
          <w:rFonts w:cs="Times New Roman"/>
          <w:lang w:val="en-GB"/>
        </w:rPr>
        <w:t xml:space="preserve"> UCL Institute of Archaeology, London WC1H, 0PY, UK</w:t>
      </w:r>
    </w:p>
    <w:p w14:paraId="5AC5B94A" w14:textId="6E622498" w:rsidR="00B57782" w:rsidRPr="009F1F9A" w:rsidRDefault="00B57782" w:rsidP="009F1F9A">
      <w:pPr>
        <w:spacing w:line="480" w:lineRule="auto"/>
        <w:jc w:val="both"/>
        <w:rPr>
          <w:lang w:val="en-GB"/>
        </w:rPr>
      </w:pPr>
    </w:p>
    <w:p w14:paraId="4622DDD2" w14:textId="5060B476" w:rsidR="00B57782" w:rsidRPr="009F1F9A" w:rsidRDefault="009D0487" w:rsidP="009F1F9A">
      <w:pPr>
        <w:spacing w:line="480" w:lineRule="auto"/>
        <w:jc w:val="both"/>
        <w:rPr>
          <w:lang w:val="en-GB"/>
        </w:rPr>
      </w:pPr>
      <w:r>
        <w:rPr>
          <w:vertAlign w:val="superscript"/>
          <w:lang w:val="en-GB"/>
        </w:rPr>
        <w:t>4</w:t>
      </w:r>
      <w:r w:rsidR="00B57782" w:rsidRPr="009F1F9A">
        <w:rPr>
          <w:lang w:val="en-GB"/>
        </w:rPr>
        <w:t xml:space="preserve"> </w:t>
      </w:r>
      <w:r w:rsidR="00B57782" w:rsidRPr="009F1F9A">
        <w:rPr>
          <w:rFonts w:cs="Times New Roman"/>
          <w:lang w:val="en-GB"/>
        </w:rPr>
        <w:t>Archaeological Research Unit, Department of History and Archaeology, University of Cyprus, Nicosia, Cyprus</w:t>
      </w:r>
    </w:p>
    <w:p w14:paraId="7823CA6A" w14:textId="10193AAC" w:rsidR="00B57782" w:rsidRPr="009F1F9A" w:rsidRDefault="00B57782" w:rsidP="009F1F9A">
      <w:pPr>
        <w:spacing w:line="480" w:lineRule="auto"/>
        <w:jc w:val="both"/>
      </w:pPr>
    </w:p>
    <w:p w14:paraId="32EC9D32" w14:textId="79B05F03" w:rsidR="00B57782" w:rsidRPr="009F1F9A" w:rsidRDefault="00B57782" w:rsidP="009F1F9A">
      <w:pPr>
        <w:spacing w:line="480" w:lineRule="auto"/>
        <w:jc w:val="both"/>
        <w:rPr>
          <w:b/>
        </w:rPr>
      </w:pPr>
      <w:r w:rsidRPr="009F1F9A">
        <w:rPr>
          <w:b/>
        </w:rPr>
        <w:t>Abstract</w:t>
      </w:r>
    </w:p>
    <w:p w14:paraId="51D78D07" w14:textId="37226B13" w:rsidR="00B57782" w:rsidRPr="009F1F9A" w:rsidRDefault="00B57782" w:rsidP="009F1F9A">
      <w:pPr>
        <w:spacing w:line="480" w:lineRule="auto"/>
        <w:jc w:val="both"/>
        <w:rPr>
          <w:rFonts w:cs="Times New Roman"/>
          <w:lang w:val="en-GB"/>
        </w:rPr>
      </w:pPr>
      <w:r w:rsidRPr="009F1F9A">
        <w:rPr>
          <w:rFonts w:cs="Times New Roman"/>
          <w:lang w:val="en-GB"/>
        </w:rPr>
        <w:t>This paper challenges the conventional characterisation of glazed ware productions</w:t>
      </w:r>
      <w:r w:rsidR="009D0487">
        <w:rPr>
          <w:rFonts w:cs="Times New Roman"/>
          <w:lang w:val="en-GB"/>
        </w:rPr>
        <w:t xml:space="preserve"> in the eastern Mediterranean</w:t>
      </w:r>
      <w:r w:rsidRPr="009F1F9A">
        <w:rPr>
          <w:rFonts w:cs="Times New Roman"/>
          <w:lang w:val="en-GB"/>
        </w:rPr>
        <w:t xml:space="preserve">, especially the ones </w:t>
      </w:r>
      <w:r w:rsidR="009D0487">
        <w:rPr>
          <w:rFonts w:cs="Times New Roman"/>
          <w:lang w:val="en-GB"/>
        </w:rPr>
        <w:t xml:space="preserve">which </w:t>
      </w:r>
      <w:r w:rsidRPr="009F1F9A">
        <w:rPr>
          <w:rFonts w:cs="Times New Roman"/>
          <w:lang w:val="en-GB"/>
        </w:rPr>
        <w:t>did not feature the use of opaque or tin-gla</w:t>
      </w:r>
      <w:r w:rsidR="00B43347" w:rsidRPr="009F1F9A">
        <w:rPr>
          <w:rFonts w:cs="Times New Roman"/>
          <w:lang w:val="en-GB"/>
        </w:rPr>
        <w:t>zed technology, as technological</w:t>
      </w:r>
      <w:r w:rsidR="00E1120C">
        <w:rPr>
          <w:rFonts w:cs="Times New Roman"/>
          <w:lang w:val="en-GB"/>
        </w:rPr>
        <w:t>ly</w:t>
      </w:r>
      <w:r w:rsidR="00B43347" w:rsidRPr="009F1F9A">
        <w:rPr>
          <w:rFonts w:cs="Times New Roman"/>
          <w:lang w:val="en-GB"/>
        </w:rPr>
        <w:t xml:space="preserve"> stagnant and unsusceptible to broader socio-economic developments from the late medieval period onwards.</w:t>
      </w:r>
      <w:r w:rsidRPr="009F1F9A">
        <w:rPr>
          <w:rFonts w:cs="Times New Roman"/>
          <w:lang w:val="en-GB"/>
        </w:rPr>
        <w:t xml:space="preserve"> </w:t>
      </w:r>
      <w:r w:rsidR="00B43347" w:rsidRPr="009F1F9A">
        <w:rPr>
          <w:rFonts w:cs="Times New Roman"/>
          <w:lang w:val="en-GB"/>
        </w:rPr>
        <w:t>Focusing on the Cypriot example</w:t>
      </w:r>
      <w:r w:rsidRPr="009F1F9A">
        <w:rPr>
          <w:rFonts w:cs="Times New Roman"/>
          <w:lang w:val="en-GB"/>
        </w:rPr>
        <w:t xml:space="preserve">, </w:t>
      </w:r>
      <w:r w:rsidR="00B43347" w:rsidRPr="009F1F9A">
        <w:rPr>
          <w:rFonts w:cs="Times New Roman"/>
          <w:lang w:val="en-GB"/>
        </w:rPr>
        <w:t xml:space="preserve">we devise a new approach that combines scientific analyses (thin-section petrography and SEM-EDS) and </w:t>
      </w:r>
      <w:r w:rsidR="00675161" w:rsidRPr="009F1F9A">
        <w:rPr>
          <w:rFonts w:cs="Times New Roman"/>
          <w:lang w:val="en-GB"/>
        </w:rPr>
        <w:t xml:space="preserve">a full consideration of the </w:t>
      </w:r>
      <w:r w:rsidR="00B43347" w:rsidRPr="009F1F9A">
        <w:rPr>
          <w:rFonts w:cs="Times New Roman"/>
          <w:i/>
          <w:lang w:val="en-GB"/>
        </w:rPr>
        <w:t xml:space="preserve">chaîne opératoire </w:t>
      </w:r>
      <w:r w:rsidR="00B43347" w:rsidRPr="009F1F9A">
        <w:rPr>
          <w:rFonts w:cs="Times New Roman"/>
          <w:lang w:val="en-GB"/>
        </w:rPr>
        <w:t>in context to highlight the changes in technology and craft organisation of glazed ware</w:t>
      </w:r>
      <w:r w:rsidRPr="009F1F9A">
        <w:rPr>
          <w:rFonts w:cs="Times New Roman"/>
          <w:lang w:val="en-GB"/>
        </w:rPr>
        <w:t xml:space="preserve"> </w:t>
      </w:r>
      <w:r w:rsidR="00B43347" w:rsidRPr="009F1F9A">
        <w:rPr>
          <w:rFonts w:cs="Times New Roman"/>
          <w:lang w:val="en-GB"/>
        </w:rPr>
        <w:t xml:space="preserve">productions </w:t>
      </w:r>
      <w:r w:rsidRPr="009F1F9A">
        <w:rPr>
          <w:rFonts w:cs="Times New Roman"/>
          <w:lang w:val="en-GB"/>
        </w:rPr>
        <w:t>concentrating in the Paphos, Famagusta, and Lapithos region</w:t>
      </w:r>
      <w:r w:rsidR="00B43347" w:rsidRPr="009F1F9A">
        <w:rPr>
          <w:rFonts w:cs="Times New Roman"/>
          <w:lang w:val="en-GB"/>
        </w:rPr>
        <w:t xml:space="preserve"> during the 13</w:t>
      </w:r>
      <w:r w:rsidR="00B43347" w:rsidRPr="009F1F9A">
        <w:rPr>
          <w:rFonts w:cs="Times New Roman"/>
          <w:vertAlign w:val="superscript"/>
          <w:lang w:val="en-GB"/>
        </w:rPr>
        <w:t>th</w:t>
      </w:r>
      <w:r w:rsidR="00B43347" w:rsidRPr="009F1F9A">
        <w:rPr>
          <w:rFonts w:cs="Times New Roman"/>
          <w:lang w:val="en-GB"/>
        </w:rPr>
        <w:t xml:space="preserve"> to 17</w:t>
      </w:r>
      <w:r w:rsidR="00B43347" w:rsidRPr="009F1F9A">
        <w:rPr>
          <w:rFonts w:cs="Times New Roman"/>
          <w:vertAlign w:val="superscript"/>
          <w:lang w:val="en-GB"/>
        </w:rPr>
        <w:t>th</w:t>
      </w:r>
      <w:r w:rsidR="00B43347" w:rsidRPr="009F1F9A">
        <w:rPr>
          <w:rFonts w:cs="Times New Roman"/>
          <w:lang w:val="en-GB"/>
        </w:rPr>
        <w:t xml:space="preserve"> centuries CE</w:t>
      </w:r>
      <w:r w:rsidRPr="009F1F9A">
        <w:rPr>
          <w:rFonts w:cs="Times New Roman"/>
          <w:lang w:val="en-GB"/>
        </w:rPr>
        <w:t xml:space="preserve">. </w:t>
      </w:r>
      <w:r w:rsidR="00B43347" w:rsidRPr="009F1F9A">
        <w:rPr>
          <w:rFonts w:cs="Times New Roman"/>
          <w:lang w:val="en-GB"/>
        </w:rPr>
        <w:t xml:space="preserve">Our results </w:t>
      </w:r>
      <w:r w:rsidR="00BD3491">
        <w:rPr>
          <w:rFonts w:cs="Times New Roman"/>
          <w:lang w:val="en-GB"/>
        </w:rPr>
        <w:t>indicate</w:t>
      </w:r>
      <w:r w:rsidR="00BD3491" w:rsidRPr="009F1F9A">
        <w:rPr>
          <w:rFonts w:cs="Times New Roman"/>
          <w:lang w:val="en-GB"/>
        </w:rPr>
        <w:t xml:space="preserve"> </w:t>
      </w:r>
      <w:r w:rsidR="00BB6223" w:rsidRPr="009F1F9A">
        <w:rPr>
          <w:rFonts w:cs="Times New Roman"/>
          <w:lang w:val="en-GB"/>
        </w:rPr>
        <w:t>that</w:t>
      </w:r>
      <w:r w:rsidRPr="009F1F9A">
        <w:rPr>
          <w:rFonts w:cs="Times New Roman"/>
          <w:lang w:val="en-GB"/>
        </w:rPr>
        <w:t xml:space="preserve"> </w:t>
      </w:r>
      <w:r w:rsidR="00BB6223" w:rsidRPr="009F1F9A">
        <w:rPr>
          <w:rFonts w:cs="Times New Roman"/>
          <w:lang w:val="en-GB"/>
        </w:rPr>
        <w:lastRenderedPageBreak/>
        <w:t>t</w:t>
      </w:r>
      <w:r w:rsidRPr="009F1F9A">
        <w:rPr>
          <w:rFonts w:cs="Times New Roman"/>
          <w:lang w:val="en-GB"/>
        </w:rPr>
        <w:t>he Paphos production was short-lived, lasting from the establishment of Frankish rule in Cyprus in the 13</w:t>
      </w:r>
      <w:r w:rsidRPr="009F1F9A">
        <w:rPr>
          <w:rFonts w:cs="Times New Roman"/>
          <w:vertAlign w:val="superscript"/>
          <w:lang w:val="en-GB"/>
        </w:rPr>
        <w:t>th</w:t>
      </w:r>
      <w:r w:rsidRPr="009F1F9A">
        <w:rPr>
          <w:rFonts w:cs="Times New Roman"/>
          <w:lang w:val="en-GB"/>
        </w:rPr>
        <w:t xml:space="preserve"> century to the </w:t>
      </w:r>
      <w:r w:rsidR="00DC11BC">
        <w:rPr>
          <w:rFonts w:cs="Times New Roman"/>
          <w:lang w:val="en-GB"/>
        </w:rPr>
        <w:t>aftermath of the fall of the Crusader campaigns in the 14</w:t>
      </w:r>
      <w:r w:rsidR="00DC11BC" w:rsidRPr="00DC11BC">
        <w:rPr>
          <w:rFonts w:cs="Times New Roman"/>
          <w:vertAlign w:val="superscript"/>
          <w:lang w:val="en-GB"/>
        </w:rPr>
        <w:t>th</w:t>
      </w:r>
      <w:r w:rsidR="00DC11BC">
        <w:rPr>
          <w:rFonts w:cs="Times New Roman"/>
          <w:lang w:val="en-GB"/>
        </w:rPr>
        <w:t xml:space="preserve"> century</w:t>
      </w:r>
      <w:r w:rsidRPr="009F1F9A">
        <w:rPr>
          <w:rFonts w:cs="Times New Roman"/>
          <w:lang w:val="en-GB"/>
        </w:rPr>
        <w:t>. However, glazed ware production continued in Famagusta and Lapithos from the late 13</w:t>
      </w:r>
      <w:r w:rsidRPr="009F1F9A">
        <w:rPr>
          <w:rFonts w:cs="Times New Roman"/>
          <w:vertAlign w:val="superscript"/>
          <w:lang w:val="en-GB"/>
        </w:rPr>
        <w:t>th</w:t>
      </w:r>
      <w:r w:rsidRPr="009F1F9A">
        <w:rPr>
          <w:rFonts w:cs="Times New Roman"/>
          <w:lang w:val="en-GB"/>
        </w:rPr>
        <w:t>/14</w:t>
      </w:r>
      <w:r w:rsidRPr="009F1F9A">
        <w:rPr>
          <w:rFonts w:cs="Times New Roman"/>
          <w:vertAlign w:val="superscript"/>
          <w:lang w:val="en-GB"/>
        </w:rPr>
        <w:t>th</w:t>
      </w:r>
      <w:r w:rsidRPr="009F1F9A">
        <w:rPr>
          <w:rFonts w:cs="Times New Roman"/>
          <w:lang w:val="en-GB"/>
        </w:rPr>
        <w:t xml:space="preserve"> centuries through to the 17</w:t>
      </w:r>
      <w:r w:rsidRPr="009F1F9A">
        <w:rPr>
          <w:rFonts w:cs="Times New Roman"/>
          <w:vertAlign w:val="superscript"/>
          <w:lang w:val="en-GB"/>
        </w:rPr>
        <w:t>th</w:t>
      </w:r>
      <w:r w:rsidRPr="009F1F9A">
        <w:rPr>
          <w:rFonts w:cs="Times New Roman"/>
          <w:lang w:val="en-GB"/>
        </w:rPr>
        <w:t xml:space="preserve"> century, using technical practices that were evidently different from the Paphos production. It is possible that these productions were set up to serve the new, local demands deriving from an intensification of commercial activities on the island. </w:t>
      </w:r>
      <w:r w:rsidR="008865D2">
        <w:rPr>
          <w:rFonts w:cs="Times New Roman"/>
          <w:lang w:val="en-GB"/>
        </w:rPr>
        <w:t>Further c</w:t>
      </w:r>
      <w:r w:rsidRPr="009F1F9A">
        <w:rPr>
          <w:rFonts w:cs="Times New Roman"/>
          <w:lang w:val="en-GB"/>
        </w:rPr>
        <w:t>hanges occurred to the technical practices of the Famagusta and Lapithos productions around the 16</w:t>
      </w:r>
      <w:r w:rsidRPr="009F1F9A">
        <w:rPr>
          <w:rFonts w:cs="Times New Roman"/>
          <w:vertAlign w:val="superscript"/>
          <w:lang w:val="en-GB"/>
        </w:rPr>
        <w:t>th</w:t>
      </w:r>
      <w:r w:rsidRPr="009F1F9A">
        <w:rPr>
          <w:rFonts w:cs="Times New Roman"/>
          <w:lang w:val="en-GB"/>
        </w:rPr>
        <w:t>/17</w:t>
      </w:r>
      <w:r w:rsidRPr="009F1F9A">
        <w:rPr>
          <w:rFonts w:cs="Times New Roman"/>
          <w:vertAlign w:val="superscript"/>
          <w:lang w:val="en-GB"/>
        </w:rPr>
        <w:t>th</w:t>
      </w:r>
      <w:r w:rsidRPr="009F1F9A">
        <w:rPr>
          <w:rFonts w:cs="Times New Roman"/>
          <w:lang w:val="en-GB"/>
        </w:rPr>
        <w:t xml:space="preserve"> centuries, coinciding with the displacement of populations and socio-political organisation brought by the Ottoman rule. </w:t>
      </w:r>
    </w:p>
    <w:p w14:paraId="7E39EE92" w14:textId="77777777" w:rsidR="00B57782" w:rsidRPr="009F1F9A" w:rsidRDefault="00B57782" w:rsidP="009F1F9A">
      <w:pPr>
        <w:spacing w:line="480" w:lineRule="auto"/>
        <w:jc w:val="both"/>
      </w:pPr>
    </w:p>
    <w:p w14:paraId="67D28D8A" w14:textId="77777777" w:rsidR="00DC0735" w:rsidRPr="009F1F9A" w:rsidRDefault="00BB6223" w:rsidP="009F1F9A">
      <w:pPr>
        <w:spacing w:line="480" w:lineRule="auto"/>
        <w:jc w:val="both"/>
        <w:rPr>
          <w:b/>
        </w:rPr>
      </w:pPr>
      <w:r w:rsidRPr="009F1F9A">
        <w:rPr>
          <w:b/>
        </w:rPr>
        <w:t>Keywords</w:t>
      </w:r>
    </w:p>
    <w:p w14:paraId="6A8F76D5" w14:textId="2F4AE8D2" w:rsidR="00BB6223" w:rsidRPr="009F1F9A" w:rsidRDefault="00BB6223" w:rsidP="009F1F9A">
      <w:pPr>
        <w:spacing w:line="480" w:lineRule="auto"/>
        <w:jc w:val="both"/>
        <w:rPr>
          <w:rFonts w:cs="Times New Roman"/>
          <w:lang w:val="en-GB"/>
        </w:rPr>
      </w:pPr>
      <w:r w:rsidRPr="009F1F9A">
        <w:rPr>
          <w:rFonts w:cs="Times New Roman"/>
          <w:lang w:val="en-GB"/>
        </w:rPr>
        <w:t>Glaze technology; Cyprus; eastern Mediterranean; late medieval; post-medieval</w:t>
      </w:r>
    </w:p>
    <w:p w14:paraId="42B031E0" w14:textId="128AEE7E" w:rsidR="00B57782" w:rsidRPr="009F1F9A" w:rsidRDefault="00B57782" w:rsidP="009F1F9A">
      <w:pPr>
        <w:spacing w:line="480" w:lineRule="auto"/>
        <w:jc w:val="both"/>
      </w:pPr>
    </w:p>
    <w:p w14:paraId="1339C44B" w14:textId="77777777" w:rsidR="00286087" w:rsidRPr="009F1F9A" w:rsidRDefault="00BB6223" w:rsidP="00A278FC">
      <w:pPr>
        <w:spacing w:line="480" w:lineRule="auto"/>
        <w:jc w:val="both"/>
      </w:pPr>
      <w:r w:rsidRPr="009F1F9A">
        <w:rPr>
          <w:b/>
        </w:rPr>
        <w:t>Declarations</w:t>
      </w:r>
    </w:p>
    <w:p w14:paraId="28D1C106" w14:textId="1DD6E698" w:rsidR="00BB6223" w:rsidRDefault="00A278FC" w:rsidP="00A278FC">
      <w:pPr>
        <w:spacing w:line="480" w:lineRule="auto"/>
        <w:jc w:val="both"/>
      </w:pPr>
      <w:r w:rsidRPr="00A278FC">
        <w:rPr>
          <w:b/>
        </w:rPr>
        <w:t>Funding</w:t>
      </w:r>
      <w:r w:rsidR="00BB6223" w:rsidRPr="009F1F9A">
        <w:t xml:space="preserve"> This research was carried out as part of the </w:t>
      </w:r>
      <w:r w:rsidR="00286087" w:rsidRPr="009F1F9A">
        <w:t xml:space="preserve">Marie Skłodowska-Curie Actions Individual Fellowship </w:t>
      </w:r>
      <w:r w:rsidR="00BB6223" w:rsidRPr="009F1F9A">
        <w:t>‘GLAZE’</w:t>
      </w:r>
      <w:r w:rsidR="00286087" w:rsidRPr="009F1F9A">
        <w:t>, which was based at the University of Cyprus</w:t>
      </w:r>
      <w:r w:rsidR="008865D2">
        <w:t xml:space="preserve"> and including a secondment to the UCL Institute of Archaeology</w:t>
      </w:r>
      <w:r w:rsidR="00286087" w:rsidRPr="009F1F9A">
        <w:t xml:space="preserve">, </w:t>
      </w:r>
      <w:r w:rsidR="00BB6223" w:rsidRPr="009F1F9A">
        <w:t>funded by the European Commission Horizon 2020 framework (H2020-MSCA-IF-2016</w:t>
      </w:r>
      <w:r w:rsidR="00286087" w:rsidRPr="009F1F9A">
        <w:t>; g</w:t>
      </w:r>
      <w:r w:rsidR="00BB6223" w:rsidRPr="009F1F9A">
        <w:t>rant no. 750904)</w:t>
      </w:r>
      <w:r w:rsidR="00286087" w:rsidRPr="009F1F9A">
        <w:t>.</w:t>
      </w:r>
    </w:p>
    <w:p w14:paraId="585919A1" w14:textId="28F055D9" w:rsidR="00A278FC" w:rsidRDefault="00A278FC" w:rsidP="00A278FC">
      <w:pPr>
        <w:spacing w:line="480" w:lineRule="auto"/>
        <w:jc w:val="both"/>
      </w:pPr>
      <w:r w:rsidRPr="00A278FC">
        <w:rPr>
          <w:b/>
        </w:rPr>
        <w:t>Conflicts of interest</w:t>
      </w:r>
      <w:r>
        <w:t xml:space="preserve"> The authors declare no conflicts of interest.</w:t>
      </w:r>
    </w:p>
    <w:p w14:paraId="271A27B2" w14:textId="6D654122" w:rsidR="00A278FC" w:rsidRDefault="00A278FC" w:rsidP="00A278FC">
      <w:pPr>
        <w:spacing w:line="480" w:lineRule="auto"/>
        <w:jc w:val="both"/>
      </w:pPr>
      <w:r w:rsidRPr="00A278FC">
        <w:rPr>
          <w:b/>
        </w:rPr>
        <w:t>Availability of data and material</w:t>
      </w:r>
      <w:r>
        <w:t xml:space="preserve"> All data are included in the paper.</w:t>
      </w:r>
    </w:p>
    <w:p w14:paraId="6080A78A" w14:textId="55485E93" w:rsidR="00A278FC" w:rsidRDefault="00A278FC" w:rsidP="00A278FC">
      <w:pPr>
        <w:spacing w:line="480" w:lineRule="auto"/>
        <w:jc w:val="both"/>
      </w:pPr>
      <w:r w:rsidRPr="00A278FC">
        <w:rPr>
          <w:b/>
        </w:rPr>
        <w:t>Code availability</w:t>
      </w:r>
      <w:r>
        <w:t xml:space="preserve"> Not applicable</w:t>
      </w:r>
    </w:p>
    <w:p w14:paraId="664C8E3C" w14:textId="73E2F96C" w:rsidR="008865D2" w:rsidRDefault="00A278FC" w:rsidP="00A278FC">
      <w:pPr>
        <w:spacing w:line="480" w:lineRule="auto"/>
        <w:jc w:val="both"/>
      </w:pPr>
      <w:r w:rsidRPr="00A278FC">
        <w:rPr>
          <w:b/>
        </w:rPr>
        <w:t>Authors’ contributions</w:t>
      </w:r>
      <w:r>
        <w:t xml:space="preserve"> All authors contribute</w:t>
      </w:r>
      <w:r w:rsidR="00BD3491">
        <w:t>d</w:t>
      </w:r>
      <w:r>
        <w:t xml:space="preserve"> to the research presented in the paper in accordance to their specialisations, and to the writing and editing of the paper. </w:t>
      </w:r>
    </w:p>
    <w:p w14:paraId="5D57117A" w14:textId="77777777" w:rsidR="00A278FC" w:rsidRPr="009F1F9A" w:rsidRDefault="00A278FC" w:rsidP="00A278FC">
      <w:pPr>
        <w:spacing w:line="480" w:lineRule="auto"/>
        <w:jc w:val="both"/>
      </w:pPr>
    </w:p>
    <w:p w14:paraId="08D9C993" w14:textId="77777777" w:rsidR="00DC0735" w:rsidRPr="009F1F9A" w:rsidRDefault="00DC0735" w:rsidP="009F1F9A">
      <w:pPr>
        <w:spacing w:line="480" w:lineRule="auto"/>
        <w:jc w:val="both"/>
      </w:pPr>
    </w:p>
    <w:p w14:paraId="62924D99" w14:textId="68DD0227" w:rsidR="00B20D55" w:rsidRPr="009F1F9A" w:rsidRDefault="00B20D55" w:rsidP="009F1F9A">
      <w:pPr>
        <w:pStyle w:val="ListParagraph"/>
        <w:numPr>
          <w:ilvl w:val="0"/>
          <w:numId w:val="1"/>
        </w:numPr>
        <w:spacing w:line="480" w:lineRule="auto"/>
        <w:jc w:val="both"/>
        <w:rPr>
          <w:rFonts w:cs="Times New Roman"/>
          <w:b/>
          <w:lang w:val="en-GB"/>
        </w:rPr>
      </w:pPr>
      <w:r w:rsidRPr="009F1F9A">
        <w:rPr>
          <w:rFonts w:cs="Times New Roman"/>
          <w:b/>
          <w:lang w:val="en-GB"/>
        </w:rPr>
        <w:lastRenderedPageBreak/>
        <w:t>Introduction</w:t>
      </w:r>
    </w:p>
    <w:p w14:paraId="51CF2E8E" w14:textId="1CC55094" w:rsidR="00F5391D" w:rsidRPr="009F1F9A" w:rsidRDefault="00FA7E9D" w:rsidP="009F1F9A">
      <w:pPr>
        <w:spacing w:line="480" w:lineRule="auto"/>
        <w:jc w:val="both"/>
        <w:rPr>
          <w:rFonts w:cs="Times New Roman"/>
          <w:lang w:val="en-GB"/>
        </w:rPr>
      </w:pPr>
      <w:r w:rsidRPr="009F1F9A">
        <w:rPr>
          <w:rFonts w:cs="Times New Roman"/>
          <w:lang w:val="en-GB"/>
        </w:rPr>
        <w:t xml:space="preserve">During the medieval and post-medieval periods glazed wares became an integral component of material culture in the eastern Mediterranean, marking the beginning of their transition to become a global phenomenon, with lasting impacts on our consumption habits until today. </w:t>
      </w:r>
      <w:r w:rsidR="00FE7555" w:rsidRPr="009F1F9A">
        <w:rPr>
          <w:rFonts w:cs="Times New Roman"/>
          <w:lang w:val="en-GB"/>
        </w:rPr>
        <w:t>The</w:t>
      </w:r>
      <w:r w:rsidRPr="009F1F9A">
        <w:rPr>
          <w:rFonts w:cs="Times New Roman"/>
          <w:lang w:val="en-GB"/>
        </w:rPr>
        <w:t xml:space="preserve"> extant understanding </w:t>
      </w:r>
      <w:r w:rsidR="0003285B" w:rsidRPr="009F1F9A">
        <w:rPr>
          <w:rFonts w:cs="Times New Roman"/>
          <w:lang w:val="en-GB"/>
        </w:rPr>
        <w:t>of the processes and mechanisms leading to</w:t>
      </w:r>
      <w:r w:rsidRPr="009F1F9A">
        <w:rPr>
          <w:rFonts w:cs="Times New Roman"/>
          <w:lang w:val="en-GB"/>
        </w:rPr>
        <w:t xml:space="preserve"> this important episode </w:t>
      </w:r>
      <w:r w:rsidR="00CF59D5" w:rsidRPr="009F1F9A">
        <w:rPr>
          <w:rFonts w:cs="Times New Roman"/>
          <w:lang w:val="en-GB"/>
        </w:rPr>
        <w:t xml:space="preserve">of </w:t>
      </w:r>
      <w:r w:rsidRPr="009F1F9A">
        <w:rPr>
          <w:rFonts w:cs="Times New Roman"/>
          <w:lang w:val="en-GB"/>
        </w:rPr>
        <w:t>technological and social changes remains very patchy</w:t>
      </w:r>
      <w:r w:rsidR="00315116" w:rsidRPr="009F1F9A">
        <w:rPr>
          <w:rFonts w:cs="Times New Roman"/>
          <w:lang w:val="en-GB"/>
        </w:rPr>
        <w:t xml:space="preserve">. The </w:t>
      </w:r>
      <w:r w:rsidR="004A7A26" w:rsidRPr="009F1F9A">
        <w:rPr>
          <w:rFonts w:cs="Times New Roman"/>
          <w:lang w:val="en-GB"/>
        </w:rPr>
        <w:t xml:space="preserve">Islamic </w:t>
      </w:r>
      <w:r w:rsidR="00070D18" w:rsidRPr="009F1F9A">
        <w:rPr>
          <w:rFonts w:cs="Times New Roman"/>
          <w:lang w:val="en-GB"/>
        </w:rPr>
        <w:t xml:space="preserve">opaque </w:t>
      </w:r>
      <w:r w:rsidR="00766354" w:rsidRPr="009F1F9A">
        <w:rPr>
          <w:rFonts w:cs="Times New Roman"/>
          <w:lang w:val="en-GB"/>
        </w:rPr>
        <w:t>or tin-</w:t>
      </w:r>
      <w:r w:rsidR="00070D18" w:rsidRPr="009F1F9A">
        <w:rPr>
          <w:rFonts w:cs="Times New Roman"/>
          <w:lang w:val="en-GB"/>
        </w:rPr>
        <w:t>glazed wares</w:t>
      </w:r>
      <w:r w:rsidR="001836B4" w:rsidRPr="009F1F9A">
        <w:rPr>
          <w:rFonts w:cs="Times New Roman"/>
          <w:lang w:val="en-GB"/>
        </w:rPr>
        <w:t xml:space="preserve"> –</w:t>
      </w:r>
      <w:r w:rsidR="003B5085">
        <w:rPr>
          <w:rFonts w:cs="Times New Roman"/>
          <w:lang w:val="en-GB"/>
        </w:rPr>
        <w:t xml:space="preserve"> </w:t>
      </w:r>
      <w:r w:rsidR="004F093B" w:rsidRPr="009F1F9A">
        <w:rPr>
          <w:rFonts w:cs="Times New Roman"/>
          <w:lang w:val="en-GB"/>
        </w:rPr>
        <w:t>described</w:t>
      </w:r>
      <w:r w:rsidR="002D6671" w:rsidRPr="009F1F9A">
        <w:rPr>
          <w:rFonts w:cs="Times New Roman"/>
          <w:lang w:val="en-GB"/>
        </w:rPr>
        <w:t xml:space="preserve"> </w:t>
      </w:r>
      <w:r w:rsidR="001836B4" w:rsidRPr="009F1F9A">
        <w:rPr>
          <w:rFonts w:cs="Times New Roman"/>
          <w:lang w:val="en-GB"/>
        </w:rPr>
        <w:t>to be the</w:t>
      </w:r>
      <w:r w:rsidR="002D6671" w:rsidRPr="009F1F9A">
        <w:rPr>
          <w:rFonts w:cs="Times New Roman"/>
          <w:lang w:val="en-GB"/>
        </w:rPr>
        <w:t xml:space="preserve"> ‘elite’ and ‘first quality’</w:t>
      </w:r>
      <w:r w:rsidR="001836B4" w:rsidRPr="009F1F9A">
        <w:rPr>
          <w:rFonts w:cs="Times New Roman"/>
          <w:lang w:val="en-GB"/>
        </w:rPr>
        <w:t xml:space="preserve"> ceramics that were only produced in a few places and </w:t>
      </w:r>
      <w:r w:rsidR="008C5463" w:rsidRPr="009F1F9A">
        <w:rPr>
          <w:rFonts w:cs="Times New Roman"/>
          <w:lang w:val="en-GB"/>
        </w:rPr>
        <w:t>circulated</w:t>
      </w:r>
      <w:r w:rsidR="001836B4" w:rsidRPr="009F1F9A">
        <w:rPr>
          <w:rFonts w:cs="Times New Roman"/>
          <w:lang w:val="en-GB"/>
        </w:rPr>
        <w:t xml:space="preserve"> over a broad geographical distance </w:t>
      </w:r>
      <w:r w:rsidR="00382240" w:rsidRPr="009F1F9A">
        <w:rPr>
          <w:rFonts w:cs="Times New Roman"/>
          <w:lang w:val="en-GB"/>
        </w:rPr>
        <w:t>(Mason 1997</w:t>
      </w:r>
      <w:r w:rsidR="00B20D55" w:rsidRPr="009F1F9A">
        <w:rPr>
          <w:rFonts w:cs="Times New Roman"/>
          <w:lang w:val="en-GB"/>
        </w:rPr>
        <w:t>: 171</w:t>
      </w:r>
      <w:r w:rsidR="00382240" w:rsidRPr="009F1F9A">
        <w:rPr>
          <w:rFonts w:cs="Times New Roman"/>
          <w:lang w:val="en-GB"/>
        </w:rPr>
        <w:t xml:space="preserve">) </w:t>
      </w:r>
      <w:r w:rsidR="001836B4" w:rsidRPr="009F1F9A">
        <w:rPr>
          <w:rFonts w:cs="Times New Roman"/>
          <w:lang w:val="en-GB"/>
        </w:rPr>
        <w:t>–</w:t>
      </w:r>
      <w:r w:rsidR="002D6671" w:rsidRPr="009F1F9A">
        <w:rPr>
          <w:rFonts w:cs="Times New Roman"/>
          <w:lang w:val="en-GB"/>
        </w:rPr>
        <w:t xml:space="preserve"> have been the focus of </w:t>
      </w:r>
      <w:r w:rsidR="008865D2">
        <w:rPr>
          <w:rFonts w:cs="Times New Roman"/>
          <w:lang w:val="en-GB"/>
        </w:rPr>
        <w:t>much</w:t>
      </w:r>
      <w:r w:rsidR="002D6671" w:rsidRPr="009F1F9A">
        <w:rPr>
          <w:rFonts w:cs="Times New Roman"/>
          <w:lang w:val="en-GB"/>
        </w:rPr>
        <w:t xml:space="preserve"> research in the past and present alike, reigniting the debate on their origins and </w:t>
      </w:r>
      <w:r w:rsidR="000D53F5" w:rsidRPr="009F1F9A">
        <w:rPr>
          <w:rFonts w:cs="Times New Roman"/>
          <w:lang w:val="en-GB"/>
        </w:rPr>
        <w:t>technological evolutions</w:t>
      </w:r>
      <w:r w:rsidR="008C5463" w:rsidRPr="009F1F9A">
        <w:rPr>
          <w:rFonts w:cs="Times New Roman"/>
          <w:lang w:val="en-GB"/>
        </w:rPr>
        <w:t xml:space="preserve"> (e.g. Mason </w:t>
      </w:r>
      <w:r w:rsidR="00F844F1" w:rsidRPr="009F1F9A">
        <w:rPr>
          <w:rFonts w:cs="Times New Roman"/>
          <w:lang w:val="en-GB"/>
        </w:rPr>
        <w:t>and Tite 1997</w:t>
      </w:r>
      <w:r w:rsidR="008C5463" w:rsidRPr="009F1F9A">
        <w:rPr>
          <w:rFonts w:cs="Times New Roman"/>
          <w:lang w:val="en-GB"/>
        </w:rPr>
        <w:t xml:space="preserve">; Matin et al. 2018; Salinas et al. 2019; </w:t>
      </w:r>
      <w:r w:rsidR="006C0E40" w:rsidRPr="009F1F9A">
        <w:rPr>
          <w:rFonts w:cs="Times New Roman"/>
          <w:lang w:val="en-GB"/>
        </w:rPr>
        <w:t xml:space="preserve">Tite et al. 2015; </w:t>
      </w:r>
      <w:r w:rsidR="008C5463" w:rsidRPr="009F1F9A">
        <w:rPr>
          <w:rFonts w:cs="Times New Roman"/>
          <w:lang w:val="en-GB"/>
        </w:rPr>
        <w:t>Watson 2014)</w:t>
      </w:r>
      <w:r w:rsidR="00CC3C19" w:rsidRPr="009F1F9A">
        <w:rPr>
          <w:rFonts w:cs="Times New Roman"/>
          <w:lang w:val="en-GB"/>
        </w:rPr>
        <w:t xml:space="preserve">. In contrast, </w:t>
      </w:r>
      <w:r w:rsidR="001836B4" w:rsidRPr="009F1F9A">
        <w:rPr>
          <w:rFonts w:cs="Times New Roman"/>
          <w:lang w:val="en-GB"/>
        </w:rPr>
        <w:t>the glazed wares that do not have opaque glaze</w:t>
      </w:r>
      <w:r w:rsidR="00BD3491">
        <w:rPr>
          <w:rFonts w:cs="Times New Roman"/>
          <w:lang w:val="en-GB"/>
        </w:rPr>
        <w:t>s</w:t>
      </w:r>
      <w:r w:rsidR="002D6671" w:rsidRPr="009F1F9A">
        <w:rPr>
          <w:rFonts w:cs="Times New Roman"/>
          <w:lang w:val="en-GB"/>
        </w:rPr>
        <w:t xml:space="preserve"> have received</w:t>
      </w:r>
      <w:r w:rsidR="00036D09" w:rsidRPr="009F1F9A">
        <w:rPr>
          <w:rFonts w:cs="Times New Roman"/>
          <w:lang w:val="en-GB"/>
        </w:rPr>
        <w:t xml:space="preserve"> much</w:t>
      </w:r>
      <w:r w:rsidR="002D6671" w:rsidRPr="009F1F9A">
        <w:rPr>
          <w:rFonts w:cs="Times New Roman"/>
          <w:lang w:val="en-GB"/>
        </w:rPr>
        <w:t xml:space="preserve"> less attention</w:t>
      </w:r>
      <w:r w:rsidR="00AF51E8" w:rsidRPr="009F1F9A">
        <w:rPr>
          <w:rFonts w:cs="Times New Roman"/>
          <w:lang w:val="en-GB"/>
        </w:rPr>
        <w:t xml:space="preserve">, as </w:t>
      </w:r>
      <w:r w:rsidR="008C5463" w:rsidRPr="009F1F9A">
        <w:rPr>
          <w:rFonts w:cs="Times New Roman"/>
          <w:lang w:val="en-GB"/>
        </w:rPr>
        <w:t>it is</w:t>
      </w:r>
      <w:r w:rsidR="001836B4" w:rsidRPr="009F1F9A">
        <w:rPr>
          <w:rFonts w:cs="Times New Roman"/>
          <w:lang w:val="en-GB"/>
        </w:rPr>
        <w:t xml:space="preserve"> assum</w:t>
      </w:r>
      <w:r w:rsidR="008C5463" w:rsidRPr="009F1F9A">
        <w:rPr>
          <w:rFonts w:cs="Times New Roman"/>
          <w:lang w:val="en-GB"/>
        </w:rPr>
        <w:t>ed</w:t>
      </w:r>
      <w:r w:rsidR="001836B4" w:rsidRPr="009F1F9A">
        <w:rPr>
          <w:rFonts w:cs="Times New Roman"/>
          <w:lang w:val="en-GB"/>
        </w:rPr>
        <w:t xml:space="preserve"> that </w:t>
      </w:r>
      <w:r w:rsidR="008865D2">
        <w:rPr>
          <w:rFonts w:cs="Times New Roman"/>
          <w:lang w:val="en-GB"/>
        </w:rPr>
        <w:t>they</w:t>
      </w:r>
      <w:r w:rsidR="001836B4" w:rsidRPr="009F1F9A">
        <w:rPr>
          <w:rFonts w:cs="Times New Roman"/>
          <w:lang w:val="en-GB"/>
        </w:rPr>
        <w:t xml:space="preserve"> were mostly produced and consumed locally </w:t>
      </w:r>
      <w:r w:rsidR="00036D09" w:rsidRPr="009F1F9A">
        <w:rPr>
          <w:rFonts w:cs="Times New Roman"/>
          <w:lang w:val="en-GB"/>
        </w:rPr>
        <w:t>and/</w:t>
      </w:r>
      <w:r w:rsidR="001836B4" w:rsidRPr="009F1F9A">
        <w:rPr>
          <w:rFonts w:cs="Times New Roman"/>
          <w:lang w:val="en-GB"/>
        </w:rPr>
        <w:t xml:space="preserve">or </w:t>
      </w:r>
      <w:r w:rsidR="008C5463" w:rsidRPr="009F1F9A">
        <w:rPr>
          <w:rFonts w:cs="Times New Roman"/>
          <w:lang w:val="en-GB"/>
        </w:rPr>
        <w:t>distributed</w:t>
      </w:r>
      <w:r w:rsidR="001836B4" w:rsidRPr="009F1F9A">
        <w:rPr>
          <w:rFonts w:cs="Times New Roman"/>
          <w:lang w:val="en-GB"/>
        </w:rPr>
        <w:t xml:space="preserve"> </w:t>
      </w:r>
      <w:r w:rsidR="008C5463" w:rsidRPr="009F1F9A">
        <w:rPr>
          <w:rFonts w:cs="Times New Roman"/>
          <w:lang w:val="en-GB"/>
        </w:rPr>
        <w:t xml:space="preserve">to </w:t>
      </w:r>
      <w:r w:rsidR="001836B4" w:rsidRPr="009F1F9A">
        <w:rPr>
          <w:rFonts w:cs="Times New Roman"/>
          <w:lang w:val="en-GB"/>
        </w:rPr>
        <w:t xml:space="preserve">places not far from </w:t>
      </w:r>
      <w:r w:rsidR="008865D2">
        <w:rPr>
          <w:rFonts w:cs="Times New Roman"/>
          <w:lang w:val="en-GB"/>
        </w:rPr>
        <w:t>their origins of production</w:t>
      </w:r>
      <w:r w:rsidR="001836B4" w:rsidRPr="009F1F9A">
        <w:rPr>
          <w:rFonts w:cs="Times New Roman"/>
          <w:lang w:val="en-GB"/>
        </w:rPr>
        <w:t xml:space="preserve">, </w:t>
      </w:r>
      <w:r w:rsidR="00036D09" w:rsidRPr="009F1F9A">
        <w:rPr>
          <w:rFonts w:cs="Times New Roman"/>
          <w:lang w:val="en-GB"/>
        </w:rPr>
        <w:t>with</w:t>
      </w:r>
      <w:r w:rsidR="00F5391D" w:rsidRPr="009F1F9A">
        <w:rPr>
          <w:rFonts w:cs="Times New Roman"/>
          <w:lang w:val="en-GB"/>
        </w:rPr>
        <w:t xml:space="preserve"> the</w:t>
      </w:r>
      <w:r w:rsidR="001836B4" w:rsidRPr="009F1F9A">
        <w:rPr>
          <w:rFonts w:cs="Times New Roman"/>
          <w:lang w:val="en-GB"/>
        </w:rPr>
        <w:t>ir</w:t>
      </w:r>
      <w:r w:rsidR="00F5391D" w:rsidRPr="009F1F9A">
        <w:rPr>
          <w:rFonts w:cs="Times New Roman"/>
          <w:lang w:val="en-GB"/>
        </w:rPr>
        <w:t xml:space="preserve"> technology and craft organisation </w:t>
      </w:r>
      <w:r w:rsidR="00036D09" w:rsidRPr="009F1F9A">
        <w:rPr>
          <w:rFonts w:cs="Times New Roman"/>
          <w:lang w:val="en-GB"/>
        </w:rPr>
        <w:t xml:space="preserve">being </w:t>
      </w:r>
      <w:r w:rsidR="00F5391D" w:rsidRPr="009F1F9A">
        <w:rPr>
          <w:rFonts w:cs="Times New Roman"/>
          <w:lang w:val="en-GB"/>
        </w:rPr>
        <w:t>static</w:t>
      </w:r>
      <w:r w:rsidR="008865D2">
        <w:rPr>
          <w:rFonts w:cs="Times New Roman"/>
          <w:lang w:val="en-GB"/>
        </w:rPr>
        <w:t xml:space="preserve"> and </w:t>
      </w:r>
      <w:r w:rsidR="00F5391D" w:rsidRPr="009F1F9A">
        <w:rPr>
          <w:rFonts w:cs="Times New Roman"/>
          <w:lang w:val="en-GB"/>
        </w:rPr>
        <w:t>unsusceptible to socio-economic developments</w:t>
      </w:r>
      <w:r w:rsidR="008C5463" w:rsidRPr="009F1F9A">
        <w:rPr>
          <w:rFonts w:cs="Times New Roman"/>
          <w:lang w:val="en-GB"/>
        </w:rPr>
        <w:t xml:space="preserve"> (Armstrong et al. 1997; Mason 1997</w:t>
      </w:r>
      <w:r w:rsidR="00B20D55" w:rsidRPr="009F1F9A">
        <w:rPr>
          <w:rFonts w:cs="Times New Roman"/>
          <w:lang w:val="en-GB"/>
        </w:rPr>
        <w:t>: 171-72</w:t>
      </w:r>
      <w:r w:rsidR="008C5463" w:rsidRPr="009F1F9A">
        <w:rPr>
          <w:rFonts w:cs="Times New Roman"/>
          <w:lang w:val="en-GB"/>
        </w:rPr>
        <w:t>)</w:t>
      </w:r>
      <w:r w:rsidR="00F5391D" w:rsidRPr="009F1F9A">
        <w:rPr>
          <w:rFonts w:cs="Times New Roman"/>
          <w:lang w:val="en-GB"/>
        </w:rPr>
        <w:t xml:space="preserve">. </w:t>
      </w:r>
      <w:r w:rsidR="0060687F" w:rsidRPr="009F1F9A">
        <w:rPr>
          <w:rFonts w:cs="Times New Roman"/>
          <w:lang w:val="en-GB"/>
        </w:rPr>
        <w:t>Th</w:t>
      </w:r>
      <w:r w:rsidR="00B20D55" w:rsidRPr="009F1F9A">
        <w:rPr>
          <w:rFonts w:cs="Times New Roman"/>
          <w:lang w:val="en-GB"/>
        </w:rPr>
        <w:t>is</w:t>
      </w:r>
      <w:r w:rsidR="0060687F" w:rsidRPr="009F1F9A">
        <w:rPr>
          <w:rFonts w:cs="Times New Roman"/>
          <w:lang w:val="en-GB"/>
        </w:rPr>
        <w:t xml:space="preserve"> view is </w:t>
      </w:r>
      <w:r w:rsidR="00AF51E8" w:rsidRPr="009F1F9A">
        <w:rPr>
          <w:rFonts w:cs="Times New Roman"/>
          <w:lang w:val="en-GB"/>
        </w:rPr>
        <w:t>being</w:t>
      </w:r>
      <w:r w:rsidR="0060687F" w:rsidRPr="009F1F9A">
        <w:rPr>
          <w:rFonts w:cs="Times New Roman"/>
          <w:lang w:val="en-GB"/>
        </w:rPr>
        <w:t xml:space="preserve"> </w:t>
      </w:r>
      <w:r w:rsidR="00421DF3" w:rsidRPr="009F1F9A">
        <w:rPr>
          <w:rFonts w:cs="Times New Roman"/>
          <w:lang w:val="en-GB"/>
        </w:rPr>
        <w:t>challenged</w:t>
      </w:r>
      <w:r w:rsidR="0020263F" w:rsidRPr="009F1F9A">
        <w:rPr>
          <w:rFonts w:cs="Times New Roman"/>
          <w:lang w:val="en-GB"/>
        </w:rPr>
        <w:t xml:space="preserve">, </w:t>
      </w:r>
      <w:r w:rsidR="00890148" w:rsidRPr="009F1F9A">
        <w:rPr>
          <w:rFonts w:cs="Times New Roman"/>
          <w:lang w:val="en-GB"/>
        </w:rPr>
        <w:t>with the</w:t>
      </w:r>
      <w:r w:rsidR="00421DF3" w:rsidRPr="009F1F9A">
        <w:rPr>
          <w:rFonts w:cs="Times New Roman"/>
          <w:lang w:val="en-GB"/>
        </w:rPr>
        <w:t xml:space="preserve"> </w:t>
      </w:r>
      <w:r w:rsidR="0020263F" w:rsidRPr="009F1F9A">
        <w:rPr>
          <w:rFonts w:cs="Times New Roman"/>
          <w:lang w:val="en-GB"/>
        </w:rPr>
        <w:t xml:space="preserve">recent </w:t>
      </w:r>
      <w:r w:rsidR="00890148" w:rsidRPr="009F1F9A">
        <w:rPr>
          <w:rFonts w:cs="Times New Roman"/>
          <w:lang w:val="en-GB"/>
        </w:rPr>
        <w:t xml:space="preserve">examination of </w:t>
      </w:r>
      <w:r w:rsidR="00421DF3" w:rsidRPr="009F1F9A">
        <w:rPr>
          <w:rFonts w:cs="Times New Roman"/>
          <w:lang w:val="en-GB"/>
        </w:rPr>
        <w:t>materials from</w:t>
      </w:r>
      <w:r w:rsidR="00BB042C" w:rsidRPr="009F1F9A">
        <w:rPr>
          <w:rFonts w:cs="Times New Roman"/>
          <w:lang w:val="en-GB"/>
        </w:rPr>
        <w:t xml:space="preserve"> Corinth</w:t>
      </w:r>
      <w:r w:rsidR="00890148" w:rsidRPr="009F1F9A">
        <w:rPr>
          <w:rFonts w:cs="Times New Roman"/>
          <w:lang w:val="en-GB"/>
        </w:rPr>
        <w:t xml:space="preserve"> as one of the notable examples</w:t>
      </w:r>
      <w:r w:rsidR="00BB042C" w:rsidRPr="009F1F9A">
        <w:rPr>
          <w:rFonts w:cs="Times New Roman"/>
          <w:lang w:val="en-GB"/>
        </w:rPr>
        <w:t xml:space="preserve">, </w:t>
      </w:r>
      <w:r w:rsidR="00890148" w:rsidRPr="009F1F9A">
        <w:rPr>
          <w:rFonts w:cs="Times New Roman"/>
          <w:lang w:val="en-GB"/>
        </w:rPr>
        <w:t>showing</w:t>
      </w:r>
      <w:r w:rsidR="00BB042C" w:rsidRPr="009F1F9A">
        <w:rPr>
          <w:rFonts w:cs="Times New Roman"/>
          <w:lang w:val="en-GB"/>
        </w:rPr>
        <w:t xml:space="preserve"> that </w:t>
      </w:r>
      <w:r w:rsidR="0060687F" w:rsidRPr="009F1F9A">
        <w:rPr>
          <w:rFonts w:cs="Times New Roman"/>
          <w:lang w:val="en-GB"/>
        </w:rPr>
        <w:t xml:space="preserve">distinct </w:t>
      </w:r>
      <w:r w:rsidR="00BB042C" w:rsidRPr="009F1F9A">
        <w:rPr>
          <w:rFonts w:cs="Times New Roman"/>
          <w:lang w:val="en-GB"/>
        </w:rPr>
        <w:t xml:space="preserve">technologies </w:t>
      </w:r>
      <w:r w:rsidR="0060687F" w:rsidRPr="009F1F9A">
        <w:rPr>
          <w:rFonts w:cs="Times New Roman"/>
          <w:lang w:val="en-GB"/>
        </w:rPr>
        <w:t xml:space="preserve">were </w:t>
      </w:r>
      <w:r w:rsidR="00BB042C" w:rsidRPr="009F1F9A">
        <w:rPr>
          <w:rFonts w:cs="Times New Roman"/>
          <w:lang w:val="en-GB"/>
        </w:rPr>
        <w:t xml:space="preserve">used to produce </w:t>
      </w:r>
      <w:r w:rsidR="00B20D55" w:rsidRPr="009F1F9A">
        <w:rPr>
          <w:rFonts w:cs="Times New Roman"/>
          <w:lang w:val="en-GB"/>
        </w:rPr>
        <w:t>lead glaze</w:t>
      </w:r>
      <w:r w:rsidR="00BD3491">
        <w:rPr>
          <w:rFonts w:cs="Times New Roman"/>
          <w:lang w:val="en-GB"/>
        </w:rPr>
        <w:t>s</w:t>
      </w:r>
      <w:r w:rsidR="00B20D55" w:rsidRPr="009F1F9A">
        <w:rPr>
          <w:rFonts w:cs="Times New Roman"/>
          <w:lang w:val="en-GB"/>
        </w:rPr>
        <w:t xml:space="preserve"> </w:t>
      </w:r>
      <w:r w:rsidR="00036D09" w:rsidRPr="009F1F9A">
        <w:rPr>
          <w:rFonts w:cs="Times New Roman"/>
          <w:lang w:val="en-GB"/>
        </w:rPr>
        <w:t>corresponding</w:t>
      </w:r>
      <w:r w:rsidR="00BB042C" w:rsidRPr="009F1F9A">
        <w:rPr>
          <w:rFonts w:cs="Times New Roman"/>
          <w:lang w:val="en-GB"/>
        </w:rPr>
        <w:t xml:space="preserve"> to the changing political situation of Byzantium</w:t>
      </w:r>
      <w:r w:rsidR="008C5463" w:rsidRPr="009F1F9A">
        <w:rPr>
          <w:rFonts w:cs="Times New Roman"/>
          <w:lang w:val="en-GB"/>
        </w:rPr>
        <w:t xml:space="preserve"> (Palamara et al</w:t>
      </w:r>
      <w:r w:rsidR="009F1F9A">
        <w:rPr>
          <w:rFonts w:cs="Times New Roman"/>
          <w:lang w:val="en-GB"/>
        </w:rPr>
        <w:t>.</w:t>
      </w:r>
      <w:r w:rsidR="008C5463" w:rsidRPr="009F1F9A">
        <w:rPr>
          <w:rFonts w:cs="Times New Roman"/>
          <w:lang w:val="en-GB"/>
        </w:rPr>
        <w:t xml:space="preserve"> 2016; White 2009)</w:t>
      </w:r>
      <w:r w:rsidR="00BB042C" w:rsidRPr="009F1F9A">
        <w:rPr>
          <w:rFonts w:cs="Times New Roman"/>
          <w:lang w:val="en-GB"/>
        </w:rPr>
        <w:t>.</w:t>
      </w:r>
      <w:r w:rsidR="00421DF3" w:rsidRPr="009F1F9A">
        <w:rPr>
          <w:rFonts w:cs="Times New Roman"/>
          <w:lang w:val="en-GB"/>
        </w:rPr>
        <w:t xml:space="preserve"> </w:t>
      </w:r>
      <w:r w:rsidR="00382240" w:rsidRPr="009F1F9A">
        <w:rPr>
          <w:rFonts w:cs="Times New Roman"/>
          <w:lang w:val="en-GB"/>
        </w:rPr>
        <w:t>I</w:t>
      </w:r>
      <w:r w:rsidR="00421DF3" w:rsidRPr="009F1F9A">
        <w:rPr>
          <w:rFonts w:cs="Times New Roman"/>
          <w:lang w:val="en-GB"/>
        </w:rPr>
        <w:t>n spite of these efforts,</w:t>
      </w:r>
      <w:r w:rsidR="00F5391D" w:rsidRPr="009F1F9A">
        <w:rPr>
          <w:rFonts w:cs="Times New Roman"/>
          <w:lang w:val="en-GB"/>
        </w:rPr>
        <w:t xml:space="preserve"> very little is </w:t>
      </w:r>
      <w:r w:rsidR="008C5463" w:rsidRPr="009F1F9A">
        <w:rPr>
          <w:rFonts w:cs="Times New Roman"/>
          <w:lang w:val="en-GB"/>
        </w:rPr>
        <w:t xml:space="preserve">still </w:t>
      </w:r>
      <w:r w:rsidR="00F5391D" w:rsidRPr="009F1F9A">
        <w:rPr>
          <w:rFonts w:cs="Times New Roman"/>
          <w:lang w:val="en-GB"/>
        </w:rPr>
        <w:t xml:space="preserve">known about how </w:t>
      </w:r>
      <w:r w:rsidR="00421DF3" w:rsidRPr="009F1F9A">
        <w:rPr>
          <w:rFonts w:cs="Times New Roman"/>
          <w:lang w:val="en-GB"/>
        </w:rPr>
        <w:t xml:space="preserve">glazed ware </w:t>
      </w:r>
      <w:r w:rsidR="00F5391D" w:rsidRPr="009F1F9A">
        <w:rPr>
          <w:rFonts w:cs="Times New Roman"/>
          <w:lang w:val="en-GB"/>
        </w:rPr>
        <w:t>productions</w:t>
      </w:r>
      <w:r w:rsidR="00382240" w:rsidRPr="009F1F9A">
        <w:rPr>
          <w:rFonts w:cs="Times New Roman"/>
          <w:lang w:val="en-GB"/>
        </w:rPr>
        <w:t xml:space="preserve">, especially </w:t>
      </w:r>
      <w:r w:rsidR="008865D2">
        <w:rPr>
          <w:rFonts w:cs="Times New Roman"/>
          <w:lang w:val="en-GB"/>
        </w:rPr>
        <w:t>non-opacified</w:t>
      </w:r>
      <w:r w:rsidR="00382240" w:rsidRPr="009F1F9A">
        <w:rPr>
          <w:rFonts w:cs="Times New Roman"/>
          <w:lang w:val="en-GB"/>
        </w:rPr>
        <w:t xml:space="preserve">, </w:t>
      </w:r>
      <w:r w:rsidR="00F5391D" w:rsidRPr="009F1F9A">
        <w:rPr>
          <w:rFonts w:cs="Times New Roman"/>
          <w:lang w:val="en-GB"/>
        </w:rPr>
        <w:t xml:space="preserve">emerged and </w:t>
      </w:r>
      <w:r w:rsidR="00036D09" w:rsidRPr="009F1F9A">
        <w:rPr>
          <w:rFonts w:cs="Times New Roman"/>
          <w:lang w:val="en-GB"/>
        </w:rPr>
        <w:t>developed</w:t>
      </w:r>
      <w:r w:rsidR="00F5391D" w:rsidRPr="009F1F9A">
        <w:rPr>
          <w:rFonts w:cs="Times New Roman"/>
          <w:lang w:val="en-GB"/>
        </w:rPr>
        <w:t xml:space="preserve">, even though they constitute the bulk of glazed ceramic evidence in the archaeological record. </w:t>
      </w:r>
    </w:p>
    <w:p w14:paraId="3D41A79D" w14:textId="77777777" w:rsidR="00FA7E9D" w:rsidRPr="009F1F9A" w:rsidRDefault="00FA7E9D" w:rsidP="009F1F9A">
      <w:pPr>
        <w:spacing w:line="480" w:lineRule="auto"/>
        <w:jc w:val="both"/>
        <w:rPr>
          <w:rFonts w:cs="Times New Roman"/>
          <w:lang w:val="en-GB"/>
        </w:rPr>
      </w:pPr>
    </w:p>
    <w:p w14:paraId="1AC8177E" w14:textId="0B295DC5" w:rsidR="00FA7E9D" w:rsidRPr="009F1F9A" w:rsidRDefault="00FA7E9D" w:rsidP="009F1F9A">
      <w:pPr>
        <w:spacing w:line="480" w:lineRule="auto"/>
        <w:jc w:val="both"/>
        <w:rPr>
          <w:rFonts w:cs="Times New Roman"/>
          <w:lang w:val="en-GB"/>
        </w:rPr>
      </w:pPr>
      <w:r w:rsidRPr="009F1F9A">
        <w:rPr>
          <w:rFonts w:cs="Times New Roman"/>
          <w:lang w:val="en-GB"/>
        </w:rPr>
        <w:t xml:space="preserve">A </w:t>
      </w:r>
      <w:r w:rsidR="008865D2">
        <w:rPr>
          <w:rFonts w:cs="Times New Roman"/>
          <w:lang w:val="en-GB"/>
        </w:rPr>
        <w:t>case in point</w:t>
      </w:r>
      <w:r w:rsidRPr="009F1F9A">
        <w:rPr>
          <w:rFonts w:cs="Times New Roman"/>
          <w:lang w:val="en-GB"/>
        </w:rPr>
        <w:t xml:space="preserve"> is the Cypriot </w:t>
      </w:r>
      <w:r w:rsidR="00835D62">
        <w:rPr>
          <w:rFonts w:cs="Times New Roman"/>
          <w:lang w:val="en-GB"/>
        </w:rPr>
        <w:t xml:space="preserve">production of </w:t>
      </w:r>
      <w:r w:rsidR="008865D2">
        <w:rPr>
          <w:rFonts w:cs="Times New Roman"/>
          <w:lang w:val="en-GB"/>
        </w:rPr>
        <w:t xml:space="preserve">glazed </w:t>
      </w:r>
      <w:r w:rsidR="00835D62">
        <w:rPr>
          <w:rFonts w:cs="Times New Roman"/>
          <w:lang w:val="en-GB"/>
        </w:rPr>
        <w:t>table</w:t>
      </w:r>
      <w:r w:rsidR="008865D2">
        <w:rPr>
          <w:rFonts w:cs="Times New Roman"/>
          <w:lang w:val="en-GB"/>
        </w:rPr>
        <w:t>wares</w:t>
      </w:r>
      <w:r w:rsidRPr="009F1F9A">
        <w:rPr>
          <w:rFonts w:cs="Times New Roman"/>
          <w:lang w:val="en-GB"/>
        </w:rPr>
        <w:t xml:space="preserve">, </w:t>
      </w:r>
      <w:r w:rsidR="00835D62">
        <w:rPr>
          <w:rFonts w:cs="Times New Roman"/>
          <w:lang w:val="en-GB"/>
        </w:rPr>
        <w:t xml:space="preserve">which only </w:t>
      </w:r>
      <w:r w:rsidRPr="009F1F9A">
        <w:rPr>
          <w:rFonts w:cs="Times New Roman"/>
          <w:lang w:val="en-GB"/>
        </w:rPr>
        <w:t>beg</w:t>
      </w:r>
      <w:r w:rsidR="00835D62">
        <w:rPr>
          <w:rFonts w:cs="Times New Roman"/>
          <w:lang w:val="en-GB"/>
        </w:rPr>
        <w:t>an</w:t>
      </w:r>
      <w:r w:rsidRPr="009F1F9A">
        <w:rPr>
          <w:rFonts w:cs="Times New Roman"/>
          <w:lang w:val="en-GB"/>
        </w:rPr>
        <w:t xml:space="preserve"> in the </w:t>
      </w:r>
      <w:r w:rsidR="008C5463" w:rsidRPr="009F1F9A">
        <w:rPr>
          <w:rFonts w:cs="Times New Roman"/>
          <w:lang w:val="en-GB"/>
        </w:rPr>
        <w:t>13</w:t>
      </w:r>
      <w:r w:rsidR="008C5463" w:rsidRPr="009F1F9A">
        <w:rPr>
          <w:rFonts w:cs="Times New Roman"/>
          <w:vertAlign w:val="superscript"/>
          <w:lang w:val="en-GB"/>
        </w:rPr>
        <w:t>th</w:t>
      </w:r>
      <w:r w:rsidRPr="009F1F9A">
        <w:rPr>
          <w:rFonts w:cs="Times New Roman"/>
          <w:lang w:val="en-GB"/>
        </w:rPr>
        <w:t xml:space="preserve"> century </w:t>
      </w:r>
      <w:r w:rsidR="008C5463" w:rsidRPr="009F1F9A">
        <w:rPr>
          <w:rFonts w:cs="Times New Roman"/>
          <w:lang w:val="en-GB"/>
        </w:rPr>
        <w:t>CE</w:t>
      </w:r>
      <w:r w:rsidRPr="009F1F9A">
        <w:rPr>
          <w:rFonts w:cs="Times New Roman"/>
          <w:lang w:val="en-GB"/>
        </w:rPr>
        <w:t xml:space="preserve">. These productions </w:t>
      </w:r>
      <w:r w:rsidR="00B20D55" w:rsidRPr="009F1F9A">
        <w:rPr>
          <w:rFonts w:cs="Times New Roman"/>
          <w:lang w:val="en-GB"/>
        </w:rPr>
        <w:t>are</w:t>
      </w:r>
      <w:r w:rsidRPr="009F1F9A">
        <w:rPr>
          <w:rFonts w:cs="Times New Roman"/>
          <w:lang w:val="en-GB"/>
        </w:rPr>
        <w:t xml:space="preserve"> poorly understood, as previous research centred on the</w:t>
      </w:r>
      <w:r w:rsidR="008865D2">
        <w:rPr>
          <w:rFonts w:cs="Times New Roman"/>
          <w:lang w:val="en-GB"/>
        </w:rPr>
        <w:t>ir</w:t>
      </w:r>
      <w:r w:rsidRPr="009F1F9A">
        <w:rPr>
          <w:rFonts w:cs="Times New Roman"/>
          <w:lang w:val="en-GB"/>
        </w:rPr>
        <w:t xml:space="preserve"> styles (e.g. du Plat-Taylor </w:t>
      </w:r>
      <w:r w:rsidR="00AF0A0C" w:rsidRPr="009F1F9A">
        <w:rPr>
          <w:rFonts w:cs="Times New Roman"/>
          <w:lang w:val="en-GB"/>
        </w:rPr>
        <w:t>and</w:t>
      </w:r>
      <w:r w:rsidRPr="009F1F9A">
        <w:rPr>
          <w:rFonts w:cs="Times New Roman"/>
          <w:lang w:val="en-GB"/>
        </w:rPr>
        <w:t xml:space="preserve"> Megaw 1951; Papanikola-Bakirtzi 1989, 1996</w:t>
      </w:r>
      <w:r w:rsidR="00382240" w:rsidRPr="009F1F9A">
        <w:rPr>
          <w:rFonts w:cs="Times New Roman"/>
          <w:lang w:val="en-GB"/>
        </w:rPr>
        <w:t xml:space="preserve">, </w:t>
      </w:r>
      <w:r w:rsidR="00835D62">
        <w:rPr>
          <w:rFonts w:cs="Times New Roman"/>
          <w:lang w:val="en-GB"/>
        </w:rPr>
        <w:t xml:space="preserve">2004, </w:t>
      </w:r>
      <w:r w:rsidR="00382240" w:rsidRPr="009F1F9A">
        <w:rPr>
          <w:rFonts w:cs="Times New Roman"/>
          <w:lang w:val="en-GB"/>
        </w:rPr>
        <w:t xml:space="preserve">2012; </w:t>
      </w:r>
      <w:r w:rsidR="00382240" w:rsidRPr="009F1F9A">
        <w:rPr>
          <w:rFonts w:cs="Times New Roman"/>
          <w:lang w:val="en-GB"/>
        </w:rPr>
        <w:lastRenderedPageBreak/>
        <w:t>Vallauri and François 2010; von Wartburg 1997; Waksman and von Wartburg 2006</w:t>
      </w:r>
      <w:r w:rsidRPr="009F1F9A">
        <w:rPr>
          <w:rFonts w:cs="Times New Roman"/>
          <w:lang w:val="en-GB"/>
        </w:rPr>
        <w:t>), while technical studies are few and narrowly focused (e.g. Charalambous et al. 2010, 2012</w:t>
      </w:r>
      <w:r w:rsidR="00E440DB">
        <w:rPr>
          <w:rFonts w:cs="Times New Roman"/>
          <w:lang w:val="en-GB"/>
        </w:rPr>
        <w:t>, 2014</w:t>
      </w:r>
      <w:r w:rsidRPr="009F1F9A">
        <w:rPr>
          <w:rFonts w:cs="Times New Roman"/>
          <w:lang w:val="en-GB"/>
        </w:rPr>
        <w:t xml:space="preserve">; Waksman 2014). Against this background, we developed a </w:t>
      </w:r>
      <w:r w:rsidR="006D594A">
        <w:rPr>
          <w:rFonts w:cs="Times New Roman"/>
          <w:lang w:val="en-GB"/>
        </w:rPr>
        <w:t>more holistic</w:t>
      </w:r>
      <w:r w:rsidR="003B5085">
        <w:rPr>
          <w:rFonts w:cs="Times New Roman"/>
          <w:lang w:val="en-GB"/>
        </w:rPr>
        <w:t>, interdisciplinary</w:t>
      </w:r>
      <w:r w:rsidR="006D594A">
        <w:rPr>
          <w:rFonts w:cs="Times New Roman"/>
          <w:lang w:val="en-GB"/>
        </w:rPr>
        <w:t xml:space="preserve"> </w:t>
      </w:r>
      <w:r w:rsidRPr="009F1F9A">
        <w:rPr>
          <w:rFonts w:cs="Times New Roman"/>
          <w:lang w:val="en-GB"/>
        </w:rPr>
        <w:t xml:space="preserve">research framework that combines </w:t>
      </w:r>
      <w:r w:rsidR="006D594A">
        <w:rPr>
          <w:rFonts w:cs="Times New Roman"/>
          <w:lang w:val="en-GB"/>
        </w:rPr>
        <w:t xml:space="preserve">stylistic and </w:t>
      </w:r>
      <w:r w:rsidRPr="009F1F9A">
        <w:rPr>
          <w:rFonts w:cs="Times New Roman"/>
          <w:lang w:val="en-GB"/>
        </w:rPr>
        <w:t xml:space="preserve">scientific analyses with a consideration of the full </w:t>
      </w:r>
      <w:r w:rsidRPr="009F1F9A">
        <w:rPr>
          <w:rFonts w:cs="Times New Roman"/>
          <w:i/>
          <w:lang w:val="en-GB"/>
        </w:rPr>
        <w:t xml:space="preserve">chaîne opératoire </w:t>
      </w:r>
      <w:r w:rsidRPr="009F1F9A">
        <w:rPr>
          <w:rFonts w:cs="Times New Roman"/>
          <w:lang w:val="en-GB"/>
        </w:rPr>
        <w:t xml:space="preserve">in context. Our work sought to identify and characterise the Cypriot productions from their emergence to </w:t>
      </w:r>
      <w:r w:rsidR="00382240" w:rsidRPr="009F1F9A">
        <w:rPr>
          <w:rFonts w:cs="Times New Roman"/>
          <w:lang w:val="en-GB"/>
        </w:rPr>
        <w:t>the 17</w:t>
      </w:r>
      <w:r w:rsidR="00382240" w:rsidRPr="009F1F9A">
        <w:rPr>
          <w:rFonts w:cs="Times New Roman"/>
          <w:vertAlign w:val="superscript"/>
          <w:lang w:val="en-GB"/>
        </w:rPr>
        <w:t>th</w:t>
      </w:r>
      <w:r w:rsidR="00382240" w:rsidRPr="009F1F9A">
        <w:rPr>
          <w:rFonts w:cs="Times New Roman"/>
          <w:lang w:val="en-GB"/>
        </w:rPr>
        <w:t xml:space="preserve"> </w:t>
      </w:r>
      <w:r w:rsidRPr="009F1F9A">
        <w:rPr>
          <w:rFonts w:cs="Times New Roman"/>
          <w:lang w:val="en-GB"/>
        </w:rPr>
        <w:t>century</w:t>
      </w:r>
      <w:r w:rsidR="00177F9E" w:rsidRPr="009F1F9A">
        <w:rPr>
          <w:rFonts w:cs="Times New Roman"/>
          <w:lang w:val="en-GB"/>
        </w:rPr>
        <w:t xml:space="preserve"> CE</w:t>
      </w:r>
      <w:r w:rsidRPr="009F1F9A">
        <w:rPr>
          <w:rFonts w:cs="Times New Roman"/>
          <w:lang w:val="en-GB"/>
        </w:rPr>
        <w:t xml:space="preserve">, as a starting point to explore the </w:t>
      </w:r>
      <w:r w:rsidR="0020263F" w:rsidRPr="009F1F9A">
        <w:rPr>
          <w:rFonts w:cs="Times New Roman"/>
          <w:lang w:val="en-GB"/>
        </w:rPr>
        <w:t xml:space="preserve">processes and </w:t>
      </w:r>
      <w:r w:rsidRPr="009F1F9A">
        <w:rPr>
          <w:rFonts w:cs="Times New Roman"/>
          <w:lang w:val="en-GB"/>
        </w:rPr>
        <w:t xml:space="preserve">mechanisms </w:t>
      </w:r>
      <w:r w:rsidR="00036D09" w:rsidRPr="009F1F9A">
        <w:rPr>
          <w:rFonts w:cs="Times New Roman"/>
          <w:lang w:val="en-GB"/>
        </w:rPr>
        <w:t>that contributed to</w:t>
      </w:r>
      <w:r w:rsidRPr="009F1F9A">
        <w:rPr>
          <w:rFonts w:cs="Times New Roman"/>
          <w:lang w:val="en-GB"/>
        </w:rPr>
        <w:t xml:space="preserve"> the </w:t>
      </w:r>
      <w:r w:rsidR="00036D09" w:rsidRPr="009F1F9A">
        <w:rPr>
          <w:rFonts w:cs="Times New Roman"/>
          <w:lang w:val="en-GB"/>
        </w:rPr>
        <w:t>proliferation</w:t>
      </w:r>
      <w:r w:rsidRPr="009F1F9A">
        <w:rPr>
          <w:rFonts w:cs="Times New Roman"/>
          <w:lang w:val="en-GB"/>
        </w:rPr>
        <w:t xml:space="preserve"> of </w:t>
      </w:r>
      <w:r w:rsidR="00BC67CD" w:rsidRPr="009F1F9A">
        <w:rPr>
          <w:rFonts w:cs="Times New Roman"/>
          <w:lang w:val="en-GB"/>
        </w:rPr>
        <w:t xml:space="preserve">glazed ware </w:t>
      </w:r>
      <w:r w:rsidRPr="009F1F9A">
        <w:rPr>
          <w:rFonts w:cs="Times New Roman"/>
          <w:lang w:val="en-GB"/>
        </w:rPr>
        <w:t xml:space="preserve">productions more generally in the eastern Mediterranean. Owing to its particular position connecting Europe with the Middle East, Cyprus is a vivid reflection of the broader atmosphere in the Mediterranean at the time, marked by constant conflicts between Christian West and Islamic East, intertwined with competitions among merchant powers (Hunt 2014). </w:t>
      </w:r>
    </w:p>
    <w:p w14:paraId="7CF270EF" w14:textId="77777777" w:rsidR="00B20D55" w:rsidRPr="009F1F9A" w:rsidRDefault="00B20D55" w:rsidP="009F1F9A">
      <w:pPr>
        <w:spacing w:line="480" w:lineRule="auto"/>
        <w:jc w:val="both"/>
        <w:rPr>
          <w:rFonts w:cs="Times New Roman"/>
          <w:lang w:val="en-GB"/>
        </w:rPr>
      </w:pPr>
    </w:p>
    <w:p w14:paraId="2BA836EB" w14:textId="5AA8AC5E" w:rsidR="007F2D3B" w:rsidRPr="009F1F9A" w:rsidRDefault="00B20D55" w:rsidP="009F1F9A">
      <w:pPr>
        <w:pStyle w:val="ListParagraph"/>
        <w:numPr>
          <w:ilvl w:val="0"/>
          <w:numId w:val="1"/>
        </w:numPr>
        <w:spacing w:line="480" w:lineRule="auto"/>
        <w:rPr>
          <w:b/>
          <w:lang w:val="en-GB"/>
        </w:rPr>
      </w:pPr>
      <w:r w:rsidRPr="009F1F9A">
        <w:rPr>
          <w:b/>
          <w:lang w:val="en-GB"/>
        </w:rPr>
        <w:t>Materials</w:t>
      </w:r>
    </w:p>
    <w:p w14:paraId="1DF743C3" w14:textId="4CFEFFCB" w:rsidR="00E440DB" w:rsidRDefault="00B20D55" w:rsidP="009F1F9A">
      <w:pPr>
        <w:spacing w:line="480" w:lineRule="auto"/>
        <w:jc w:val="both"/>
        <w:rPr>
          <w:rFonts w:cs="Times New Roman"/>
          <w:lang w:val="en-GB"/>
        </w:rPr>
      </w:pPr>
      <w:r w:rsidRPr="009F1F9A">
        <w:rPr>
          <w:lang w:val="en-GB"/>
        </w:rPr>
        <w:t>We selected 60 glazed ware samples</w:t>
      </w:r>
      <w:r w:rsidR="00DA1E3E" w:rsidRPr="009F1F9A">
        <w:rPr>
          <w:lang w:val="en-GB"/>
        </w:rPr>
        <w:t xml:space="preserve"> </w:t>
      </w:r>
      <w:r w:rsidRPr="009F1F9A">
        <w:rPr>
          <w:lang w:val="en-GB"/>
        </w:rPr>
        <w:t xml:space="preserve">from </w:t>
      </w:r>
      <w:r w:rsidR="00954F8D">
        <w:rPr>
          <w:lang w:val="en-GB"/>
        </w:rPr>
        <w:t xml:space="preserve">excavations at the sites of </w:t>
      </w:r>
      <w:r w:rsidRPr="009F1F9A">
        <w:rPr>
          <w:rFonts w:cs="Times New Roman"/>
          <w:lang w:val="en-GB"/>
        </w:rPr>
        <w:t>Agios Georgios Hill</w:t>
      </w:r>
      <w:r w:rsidR="00E440DB">
        <w:rPr>
          <w:rFonts w:cs="Times New Roman"/>
          <w:lang w:val="en-GB"/>
        </w:rPr>
        <w:t xml:space="preserve"> and Vitonos Street (both within the modern city of Nicosia)</w:t>
      </w:r>
      <w:r w:rsidR="00954F8D">
        <w:rPr>
          <w:rFonts w:cs="Times New Roman"/>
          <w:lang w:val="en-GB"/>
        </w:rPr>
        <w:t xml:space="preserve"> and at the Hellenistic-Roman theatre in </w:t>
      </w:r>
      <w:r w:rsidRPr="009F1F9A">
        <w:rPr>
          <w:rFonts w:cs="Times New Roman"/>
          <w:lang w:val="en-GB"/>
        </w:rPr>
        <w:t xml:space="preserve">Paphos </w:t>
      </w:r>
      <w:r w:rsidR="00954F8D">
        <w:rPr>
          <w:rFonts w:cs="Times New Roman"/>
          <w:lang w:val="en-GB"/>
        </w:rPr>
        <w:t xml:space="preserve">(Paphos </w:t>
      </w:r>
      <w:r w:rsidRPr="009F1F9A">
        <w:rPr>
          <w:rFonts w:cs="Times New Roman"/>
          <w:lang w:val="en-GB"/>
        </w:rPr>
        <w:t>Theatre</w:t>
      </w:r>
      <w:r w:rsidR="00954F8D">
        <w:rPr>
          <w:rFonts w:cs="Times New Roman"/>
          <w:lang w:val="en-GB"/>
        </w:rPr>
        <w:t>)</w:t>
      </w:r>
      <w:r w:rsidRPr="009F1F9A">
        <w:rPr>
          <w:rFonts w:cs="Times New Roman"/>
          <w:lang w:val="en-GB"/>
        </w:rPr>
        <w:t xml:space="preserve">, </w:t>
      </w:r>
      <w:r w:rsidR="00954F8D">
        <w:rPr>
          <w:rFonts w:cs="Times New Roman"/>
          <w:lang w:val="en-GB"/>
        </w:rPr>
        <w:t xml:space="preserve">and from archaeological surveys in the area near the modern villages of </w:t>
      </w:r>
      <w:r w:rsidR="00954F8D" w:rsidRPr="009F1F9A">
        <w:rPr>
          <w:rFonts w:cs="Times New Roman"/>
          <w:lang w:val="en-GB"/>
        </w:rPr>
        <w:t xml:space="preserve">Kofinou </w:t>
      </w:r>
      <w:r w:rsidR="00E440DB">
        <w:rPr>
          <w:rFonts w:cs="Times New Roman"/>
          <w:lang w:val="en-GB"/>
        </w:rPr>
        <w:t xml:space="preserve">and </w:t>
      </w:r>
      <w:r w:rsidRPr="009F1F9A">
        <w:rPr>
          <w:rFonts w:cs="Times New Roman"/>
          <w:lang w:val="en-GB"/>
        </w:rPr>
        <w:t xml:space="preserve">Potamia-Ayios Sozomenos </w:t>
      </w:r>
      <w:r w:rsidR="00FD5256" w:rsidRPr="009F1F9A">
        <w:rPr>
          <w:rFonts w:cs="Times New Roman"/>
          <w:lang w:val="en-GB"/>
        </w:rPr>
        <w:t>(Fig. 1</w:t>
      </w:r>
      <w:r w:rsidR="0020263F" w:rsidRPr="009F1F9A">
        <w:rPr>
          <w:rFonts w:cs="Times New Roman"/>
          <w:lang w:val="en-GB"/>
        </w:rPr>
        <w:t xml:space="preserve"> and </w:t>
      </w:r>
      <w:r w:rsidR="007D2085" w:rsidRPr="009F1F9A">
        <w:rPr>
          <w:rFonts w:cs="Times New Roman"/>
          <w:lang w:val="en-GB"/>
        </w:rPr>
        <w:t xml:space="preserve">Fig. </w:t>
      </w:r>
      <w:r w:rsidR="0020263F" w:rsidRPr="009F1F9A">
        <w:rPr>
          <w:rFonts w:cs="Times New Roman"/>
          <w:lang w:val="en-GB"/>
        </w:rPr>
        <w:t>2</w:t>
      </w:r>
      <w:r w:rsidR="00FD5256" w:rsidRPr="009F1F9A">
        <w:rPr>
          <w:rFonts w:cs="Times New Roman"/>
          <w:lang w:val="en-GB"/>
        </w:rPr>
        <w:t>)</w:t>
      </w:r>
      <w:r w:rsidRPr="009F1F9A">
        <w:rPr>
          <w:rFonts w:cs="Times New Roman"/>
          <w:lang w:val="en-GB"/>
        </w:rPr>
        <w:t xml:space="preserve">. The excavations and surveys </w:t>
      </w:r>
      <w:r w:rsidR="008865D2">
        <w:rPr>
          <w:rFonts w:cs="Times New Roman"/>
          <w:lang w:val="en-GB"/>
        </w:rPr>
        <w:t>at</w:t>
      </w:r>
      <w:r w:rsidRPr="009F1F9A">
        <w:rPr>
          <w:rFonts w:cs="Times New Roman"/>
          <w:lang w:val="en-GB"/>
        </w:rPr>
        <w:t xml:space="preserve"> these sites yielded substantial evidence of late medieval and post-medieval occupation, </w:t>
      </w:r>
      <w:r w:rsidR="00FD5256" w:rsidRPr="009F1F9A">
        <w:rPr>
          <w:rFonts w:cs="Times New Roman"/>
          <w:lang w:val="en-GB"/>
        </w:rPr>
        <w:t>as seen in</w:t>
      </w:r>
      <w:r w:rsidRPr="009F1F9A">
        <w:rPr>
          <w:rFonts w:cs="Times New Roman"/>
          <w:lang w:val="en-GB"/>
        </w:rPr>
        <w:t xml:space="preserve"> the recovery of a wide </w:t>
      </w:r>
      <w:r w:rsidR="0055159D" w:rsidRPr="009F1F9A">
        <w:rPr>
          <w:rFonts w:cs="Times New Roman"/>
          <w:lang w:val="en-GB"/>
        </w:rPr>
        <w:t>range</w:t>
      </w:r>
      <w:r w:rsidRPr="009F1F9A">
        <w:rPr>
          <w:rFonts w:cs="Times New Roman"/>
          <w:lang w:val="en-GB"/>
        </w:rPr>
        <w:t xml:space="preserve"> of </w:t>
      </w:r>
      <w:r w:rsidR="006B6227">
        <w:rPr>
          <w:rFonts w:cs="Times New Roman"/>
          <w:lang w:val="en-GB"/>
        </w:rPr>
        <w:t xml:space="preserve">glazed ware types belonging to the productions </w:t>
      </w:r>
      <w:r w:rsidR="00E440DB">
        <w:rPr>
          <w:rFonts w:cs="Times New Roman"/>
          <w:lang w:val="en-GB"/>
        </w:rPr>
        <w:t xml:space="preserve">from different sites within Cyprus </w:t>
      </w:r>
      <w:r w:rsidR="00FD5256" w:rsidRPr="009F1F9A">
        <w:rPr>
          <w:rFonts w:cs="Times New Roman"/>
          <w:lang w:val="en-GB"/>
        </w:rPr>
        <w:t xml:space="preserve">and </w:t>
      </w:r>
      <w:r w:rsidR="006B6227">
        <w:rPr>
          <w:rFonts w:cs="Times New Roman"/>
          <w:lang w:val="en-GB"/>
        </w:rPr>
        <w:t xml:space="preserve">the </w:t>
      </w:r>
      <w:r w:rsidR="00FD5256" w:rsidRPr="009F1F9A">
        <w:rPr>
          <w:rFonts w:cs="Times New Roman"/>
          <w:lang w:val="en-GB"/>
        </w:rPr>
        <w:t xml:space="preserve">imported </w:t>
      </w:r>
      <w:r w:rsidR="006B6227">
        <w:rPr>
          <w:rFonts w:cs="Times New Roman"/>
          <w:lang w:val="en-GB"/>
        </w:rPr>
        <w:t xml:space="preserve">ones </w:t>
      </w:r>
      <w:r w:rsidRPr="009F1F9A">
        <w:rPr>
          <w:rFonts w:cs="Times New Roman"/>
          <w:lang w:val="en-GB"/>
        </w:rPr>
        <w:t xml:space="preserve">(Cook 2004; Cook and Green 2002; François and Vallauri 2001; Lécuyer and Michaelides 2004; Lécuyer et al. 2002; Papantoniou and Vionis 2018; Pilides 2003; Pilides et al. 2010; Vallauri 2004; Vionis 2018). </w:t>
      </w:r>
      <w:r w:rsidR="00FD5256" w:rsidRPr="009F1F9A">
        <w:rPr>
          <w:rFonts w:cs="Times New Roman"/>
          <w:lang w:val="en-GB"/>
        </w:rPr>
        <w:t xml:space="preserve">We focused on the </w:t>
      </w:r>
      <w:r w:rsidR="0020263F" w:rsidRPr="009F1F9A">
        <w:rPr>
          <w:rFonts w:cs="Times New Roman"/>
          <w:lang w:val="en-GB"/>
        </w:rPr>
        <w:t>ones</w:t>
      </w:r>
      <w:r w:rsidR="00A01E5C">
        <w:rPr>
          <w:rFonts w:cs="Times New Roman"/>
          <w:lang w:val="en-GB"/>
        </w:rPr>
        <w:t xml:space="preserve"> that are </w:t>
      </w:r>
      <w:r w:rsidR="00323F4E">
        <w:rPr>
          <w:rFonts w:cs="Times New Roman"/>
          <w:lang w:val="en-GB"/>
        </w:rPr>
        <w:t xml:space="preserve">considered to be representative of the local ceramic repertoires </w:t>
      </w:r>
      <w:r w:rsidR="00323F4E" w:rsidRPr="009F1F9A">
        <w:rPr>
          <w:rFonts w:cs="Times New Roman"/>
          <w:lang w:val="en-GB"/>
        </w:rPr>
        <w:t>dating to different phases between the 13</w:t>
      </w:r>
      <w:r w:rsidR="00323F4E" w:rsidRPr="009F1F9A">
        <w:rPr>
          <w:rFonts w:cs="Times New Roman"/>
          <w:vertAlign w:val="superscript"/>
          <w:lang w:val="en-GB"/>
        </w:rPr>
        <w:t>th</w:t>
      </w:r>
      <w:r w:rsidR="00323F4E" w:rsidRPr="009F1F9A">
        <w:rPr>
          <w:rFonts w:cs="Times New Roman"/>
          <w:lang w:val="en-GB"/>
        </w:rPr>
        <w:t xml:space="preserve"> and 17</w:t>
      </w:r>
      <w:r w:rsidR="00323F4E" w:rsidRPr="009F1F9A">
        <w:rPr>
          <w:rFonts w:cs="Times New Roman"/>
          <w:vertAlign w:val="superscript"/>
          <w:lang w:val="en-GB"/>
        </w:rPr>
        <w:t>th</w:t>
      </w:r>
      <w:r w:rsidR="00323F4E" w:rsidRPr="009F1F9A">
        <w:rPr>
          <w:rFonts w:cs="Times New Roman"/>
          <w:lang w:val="en-GB"/>
        </w:rPr>
        <w:t xml:space="preserve"> centuries</w:t>
      </w:r>
      <w:r w:rsidR="00323F4E">
        <w:rPr>
          <w:rFonts w:cs="Times New Roman"/>
          <w:lang w:val="en-GB"/>
        </w:rPr>
        <w:t xml:space="preserve"> based on </w:t>
      </w:r>
      <w:r w:rsidR="006678B9">
        <w:rPr>
          <w:rFonts w:cs="Times New Roman"/>
          <w:lang w:val="en-GB"/>
        </w:rPr>
        <w:t>morpho-</w:t>
      </w:r>
      <w:r w:rsidR="00323F4E">
        <w:rPr>
          <w:rFonts w:cs="Times New Roman"/>
          <w:lang w:val="en-GB"/>
        </w:rPr>
        <w:t xml:space="preserve">stylistic </w:t>
      </w:r>
      <w:r w:rsidR="00323F4E">
        <w:rPr>
          <w:rFonts w:cs="Times New Roman"/>
          <w:lang w:val="en-GB"/>
        </w:rPr>
        <w:lastRenderedPageBreak/>
        <w:t>analyses</w:t>
      </w:r>
      <w:r w:rsidR="00FD5256" w:rsidRPr="009F1F9A">
        <w:rPr>
          <w:rFonts w:cs="Times New Roman"/>
          <w:lang w:val="en-GB"/>
        </w:rPr>
        <w:t xml:space="preserve">, </w:t>
      </w:r>
      <w:r w:rsidRPr="009F1F9A">
        <w:rPr>
          <w:rFonts w:cs="Times New Roman"/>
          <w:lang w:val="en-GB"/>
        </w:rPr>
        <w:t>includ</w:t>
      </w:r>
      <w:r w:rsidR="00FD5256" w:rsidRPr="009F1F9A">
        <w:rPr>
          <w:rFonts w:cs="Times New Roman"/>
          <w:lang w:val="en-GB"/>
        </w:rPr>
        <w:t xml:space="preserve">ing </w:t>
      </w:r>
      <w:r w:rsidRPr="009F1F9A">
        <w:rPr>
          <w:rFonts w:cs="Times New Roman"/>
          <w:lang w:val="en-GB"/>
        </w:rPr>
        <w:t xml:space="preserve">slip-painted, plain glazed, sgraffito, sgraffito with slip-painted decoration, painted glazed, and white-slipped glazed </w:t>
      </w:r>
      <w:r w:rsidR="0020263F" w:rsidRPr="009F1F9A">
        <w:rPr>
          <w:rFonts w:cs="Times New Roman"/>
          <w:lang w:val="en-GB"/>
        </w:rPr>
        <w:t xml:space="preserve">wares </w:t>
      </w:r>
      <w:r w:rsidRPr="009F1F9A">
        <w:rPr>
          <w:rFonts w:cs="Times New Roman"/>
          <w:lang w:val="en-GB"/>
        </w:rPr>
        <w:t xml:space="preserve">(Table 1). </w:t>
      </w:r>
    </w:p>
    <w:p w14:paraId="44FBB4D2" w14:textId="77777777" w:rsidR="00E440DB" w:rsidRDefault="00E440DB" w:rsidP="009F1F9A">
      <w:pPr>
        <w:spacing w:line="480" w:lineRule="auto"/>
        <w:jc w:val="both"/>
        <w:rPr>
          <w:rFonts w:cs="Times New Roman"/>
          <w:lang w:val="en-GB"/>
        </w:rPr>
      </w:pPr>
    </w:p>
    <w:p w14:paraId="099097C0" w14:textId="46BED129" w:rsidR="006B6227" w:rsidRDefault="00E440DB" w:rsidP="009F1F9A">
      <w:pPr>
        <w:spacing w:line="480" w:lineRule="auto"/>
        <w:jc w:val="both"/>
        <w:rPr>
          <w:rFonts w:cs="Times New Roman"/>
          <w:lang w:val="en-GB"/>
        </w:rPr>
      </w:pPr>
      <w:r>
        <w:rPr>
          <w:rFonts w:cs="Times New Roman"/>
          <w:lang w:val="en-GB"/>
        </w:rPr>
        <w:t>Samples from Kofinou come from</w:t>
      </w:r>
      <w:r w:rsidR="00954F8D">
        <w:rPr>
          <w:rFonts w:cs="Times New Roman"/>
          <w:lang w:val="en-GB"/>
        </w:rPr>
        <w:t xml:space="preserve"> the survey around the church </w:t>
      </w:r>
      <w:r>
        <w:rPr>
          <w:rFonts w:cs="Times New Roman"/>
          <w:lang w:val="en-GB"/>
        </w:rPr>
        <w:t xml:space="preserve">of Panagia in the Xeros River valley (Larnaca district), where surface ceramic evidence points to a large post-Roman rural settlement of </w:t>
      </w:r>
      <w:r w:rsidRPr="00FB65D5">
        <w:rPr>
          <w:rFonts w:cs="Times New Roman"/>
          <w:lang w:val="en-GB"/>
        </w:rPr>
        <w:t>approximately</w:t>
      </w:r>
      <w:r w:rsidR="00FB65D5" w:rsidRPr="00FB65D5">
        <w:rPr>
          <w:rFonts w:cs="Times New Roman"/>
          <w:lang w:val="en-GB"/>
        </w:rPr>
        <w:t xml:space="preserve"> 10</w:t>
      </w:r>
      <w:r w:rsidRPr="00FB65D5">
        <w:rPr>
          <w:rFonts w:cs="Times New Roman"/>
          <w:lang w:val="en-GB"/>
        </w:rPr>
        <w:t xml:space="preserve"> h</w:t>
      </w:r>
      <w:r w:rsidR="00FB65D5" w:rsidRPr="00FB65D5">
        <w:rPr>
          <w:rFonts w:cs="Times New Roman"/>
          <w:lang w:val="en-GB"/>
        </w:rPr>
        <w:t>ect</w:t>
      </w:r>
      <w:r w:rsidR="006D594A">
        <w:rPr>
          <w:rFonts w:cs="Times New Roman"/>
          <w:lang w:val="en-GB"/>
        </w:rPr>
        <w:t>a</w:t>
      </w:r>
      <w:r w:rsidR="00FB65D5" w:rsidRPr="00FB65D5">
        <w:rPr>
          <w:rFonts w:cs="Times New Roman"/>
          <w:lang w:val="en-GB"/>
        </w:rPr>
        <w:t>res</w:t>
      </w:r>
      <w:r>
        <w:rPr>
          <w:rFonts w:cs="Times New Roman"/>
          <w:lang w:val="en-GB"/>
        </w:rPr>
        <w:t xml:space="preserve"> that survived from the beginning of the 13</w:t>
      </w:r>
      <w:r w:rsidRPr="008C1402">
        <w:rPr>
          <w:rFonts w:cs="Times New Roman"/>
          <w:vertAlign w:val="superscript"/>
          <w:lang w:val="en-GB"/>
        </w:rPr>
        <w:t>th</w:t>
      </w:r>
      <w:r>
        <w:rPr>
          <w:rFonts w:cs="Times New Roman"/>
          <w:lang w:val="en-GB"/>
        </w:rPr>
        <w:t xml:space="preserve"> to the 17</w:t>
      </w:r>
      <w:r w:rsidRPr="008C1402">
        <w:rPr>
          <w:rFonts w:cs="Times New Roman"/>
          <w:vertAlign w:val="superscript"/>
          <w:lang w:val="en-GB"/>
        </w:rPr>
        <w:t>th</w:t>
      </w:r>
      <w:r>
        <w:rPr>
          <w:rFonts w:cs="Times New Roman"/>
          <w:lang w:val="en-GB"/>
        </w:rPr>
        <w:t>/18</w:t>
      </w:r>
      <w:r w:rsidRPr="008C1402">
        <w:rPr>
          <w:rFonts w:cs="Times New Roman"/>
          <w:vertAlign w:val="superscript"/>
          <w:lang w:val="en-GB"/>
        </w:rPr>
        <w:t>th</w:t>
      </w:r>
      <w:r>
        <w:rPr>
          <w:rFonts w:cs="Times New Roman"/>
          <w:lang w:val="en-GB"/>
        </w:rPr>
        <w:t xml:space="preserve"> centuries CE</w:t>
      </w:r>
      <w:r w:rsidR="00BD3491">
        <w:rPr>
          <w:rFonts w:cs="Times New Roman"/>
          <w:lang w:val="en-GB"/>
        </w:rPr>
        <w:t>; here, glazed wares</w:t>
      </w:r>
      <w:r>
        <w:rPr>
          <w:rFonts w:cs="Times New Roman"/>
          <w:lang w:val="en-GB"/>
        </w:rPr>
        <w:t xml:space="preserve"> representing </w:t>
      </w:r>
      <w:r w:rsidR="00BD3491">
        <w:rPr>
          <w:rFonts w:cs="Times New Roman"/>
          <w:lang w:val="en-GB"/>
        </w:rPr>
        <w:t>5%</w:t>
      </w:r>
      <w:r w:rsidRPr="00B126E0">
        <w:rPr>
          <w:rFonts w:cs="Times New Roman"/>
          <w:lang w:val="en-GB"/>
        </w:rPr>
        <w:t xml:space="preserve"> of the assemblage</w:t>
      </w:r>
      <w:r>
        <w:rPr>
          <w:rFonts w:cs="Times New Roman"/>
          <w:lang w:val="en-GB"/>
        </w:rPr>
        <w:t xml:space="preserve"> from the site (Papantoniou and Vionis 2018: 20). Similarly, the samples from Potamia</w:t>
      </w:r>
      <w:r w:rsidR="00954F8D">
        <w:rPr>
          <w:rFonts w:cs="Times New Roman"/>
          <w:lang w:val="en-GB"/>
        </w:rPr>
        <w:t>-Ayios Sozomenos</w:t>
      </w:r>
      <w:r>
        <w:rPr>
          <w:rFonts w:cs="Times New Roman"/>
          <w:lang w:val="en-GB"/>
        </w:rPr>
        <w:t xml:space="preserve"> come from rural sites in the territory of the present-day administrative district of Nicosia, dated to the 14</w:t>
      </w:r>
      <w:r w:rsidRPr="00366972">
        <w:rPr>
          <w:rFonts w:cs="Times New Roman"/>
          <w:vertAlign w:val="superscript"/>
          <w:lang w:val="en-GB"/>
        </w:rPr>
        <w:t>th</w:t>
      </w:r>
      <w:r>
        <w:rPr>
          <w:rFonts w:cs="Times New Roman"/>
          <w:lang w:val="en-GB"/>
        </w:rPr>
        <w:t xml:space="preserve"> </w:t>
      </w:r>
      <w:r w:rsidR="006D594A">
        <w:rPr>
          <w:rFonts w:cs="Times New Roman"/>
          <w:lang w:val="en-GB"/>
        </w:rPr>
        <w:t xml:space="preserve">to </w:t>
      </w:r>
      <w:r>
        <w:rPr>
          <w:rFonts w:cs="Times New Roman"/>
          <w:lang w:val="en-GB"/>
        </w:rPr>
        <w:t>16</w:t>
      </w:r>
      <w:r w:rsidRPr="00366972">
        <w:rPr>
          <w:rFonts w:cs="Times New Roman"/>
          <w:vertAlign w:val="superscript"/>
          <w:lang w:val="en-GB"/>
        </w:rPr>
        <w:t>th</w:t>
      </w:r>
      <w:r>
        <w:rPr>
          <w:rFonts w:cs="Times New Roman"/>
          <w:lang w:val="en-GB"/>
        </w:rPr>
        <w:t>/17</w:t>
      </w:r>
      <w:r w:rsidRPr="00366972">
        <w:rPr>
          <w:rFonts w:cs="Times New Roman"/>
          <w:vertAlign w:val="superscript"/>
          <w:lang w:val="en-GB"/>
        </w:rPr>
        <w:t>th</w:t>
      </w:r>
      <w:r>
        <w:rPr>
          <w:rFonts w:cs="Times New Roman"/>
          <w:lang w:val="en-GB"/>
        </w:rPr>
        <w:t xml:space="preserve"> centuries (François and Vallauri 2001, 2014), compris</w:t>
      </w:r>
      <w:r w:rsidR="00BD3491">
        <w:rPr>
          <w:rFonts w:cs="Times New Roman"/>
          <w:lang w:val="en-GB"/>
        </w:rPr>
        <w:t>ing</w:t>
      </w:r>
      <w:r>
        <w:rPr>
          <w:rFonts w:cs="Times New Roman"/>
          <w:lang w:val="en-GB"/>
        </w:rPr>
        <w:t xml:space="preserve"> characteristic examples of glazed tableware commonly found in both urban and rural contexts. The samples from the urban centres of modern Nicosia (Agios Georgios Hill and Vitonos Street) provide, once again, interesting c</w:t>
      </w:r>
      <w:r w:rsidR="00BD3491">
        <w:rPr>
          <w:rFonts w:cs="Times New Roman"/>
          <w:lang w:val="en-GB"/>
        </w:rPr>
        <w:t>o</w:t>
      </w:r>
      <w:r>
        <w:rPr>
          <w:rFonts w:cs="Times New Roman"/>
          <w:lang w:val="en-GB"/>
        </w:rPr>
        <w:t xml:space="preserve">mparanda </w:t>
      </w:r>
      <w:r w:rsidR="00BD3491">
        <w:rPr>
          <w:rFonts w:cs="Times New Roman"/>
          <w:lang w:val="en-GB"/>
        </w:rPr>
        <w:t>for</w:t>
      </w:r>
      <w:r>
        <w:rPr>
          <w:rFonts w:cs="Times New Roman"/>
          <w:lang w:val="en-GB"/>
        </w:rPr>
        <w:t xml:space="preserve"> the typical local ceramic repertoire dating to the period between the 13</w:t>
      </w:r>
      <w:r>
        <w:rPr>
          <w:rFonts w:cs="Times New Roman"/>
          <w:vertAlign w:val="superscript"/>
          <w:lang w:val="en-GB"/>
        </w:rPr>
        <w:t>th</w:t>
      </w:r>
      <w:r>
        <w:rPr>
          <w:rFonts w:cs="Times New Roman"/>
          <w:lang w:val="en-GB"/>
        </w:rPr>
        <w:t xml:space="preserve"> and 17</w:t>
      </w:r>
      <w:r>
        <w:rPr>
          <w:rFonts w:cs="Times New Roman"/>
          <w:vertAlign w:val="superscript"/>
          <w:lang w:val="en-GB"/>
        </w:rPr>
        <w:t>th</w:t>
      </w:r>
      <w:r>
        <w:rPr>
          <w:rFonts w:cs="Times New Roman"/>
          <w:lang w:val="en-GB"/>
        </w:rPr>
        <w:t xml:space="preserve"> centuries. The material from those two sites (currently under systematic study by S. Gabrieli) is not yet published.</w:t>
      </w:r>
      <w:r w:rsidRPr="009F1F9A">
        <w:rPr>
          <w:rFonts w:cs="Times New Roman"/>
          <w:lang w:val="en-GB"/>
        </w:rPr>
        <w:t xml:space="preserve"> </w:t>
      </w:r>
      <w:r w:rsidR="0055159D" w:rsidRPr="009F1F9A">
        <w:rPr>
          <w:rFonts w:cs="Times New Roman"/>
          <w:lang w:val="en-GB"/>
        </w:rPr>
        <w:t xml:space="preserve">The </w:t>
      </w:r>
      <w:r w:rsidR="00B20D55" w:rsidRPr="009F1F9A">
        <w:rPr>
          <w:rFonts w:cs="Times New Roman"/>
          <w:lang w:val="en-GB"/>
        </w:rPr>
        <w:t>Paphos Theatre assemblage</w:t>
      </w:r>
      <w:r w:rsidR="0055159D" w:rsidRPr="009F1F9A">
        <w:rPr>
          <w:rFonts w:cs="Times New Roman"/>
          <w:lang w:val="en-GB"/>
        </w:rPr>
        <w:t xml:space="preserve"> </w:t>
      </w:r>
      <w:r w:rsidR="0020263F" w:rsidRPr="009F1F9A">
        <w:rPr>
          <w:rFonts w:cs="Times New Roman"/>
          <w:lang w:val="en-GB"/>
        </w:rPr>
        <w:t>is</w:t>
      </w:r>
      <w:r w:rsidR="0055159D" w:rsidRPr="009F1F9A">
        <w:rPr>
          <w:rFonts w:cs="Times New Roman"/>
          <w:lang w:val="en-GB"/>
        </w:rPr>
        <w:t xml:space="preserve"> an exception</w:t>
      </w:r>
      <w:r w:rsidR="00B20D55" w:rsidRPr="009F1F9A">
        <w:rPr>
          <w:rFonts w:cs="Times New Roman"/>
          <w:lang w:val="en-GB"/>
        </w:rPr>
        <w:t xml:space="preserve">, </w:t>
      </w:r>
      <w:r w:rsidR="0055159D" w:rsidRPr="009F1F9A">
        <w:rPr>
          <w:rFonts w:cs="Times New Roman"/>
          <w:lang w:val="en-GB"/>
        </w:rPr>
        <w:t>with the glazed wares and direct evidence of production</w:t>
      </w:r>
      <w:r w:rsidR="00DA1E3E" w:rsidRPr="009F1F9A">
        <w:rPr>
          <w:rFonts w:cs="Times New Roman"/>
          <w:lang w:val="en-GB"/>
        </w:rPr>
        <w:t xml:space="preserve"> such as tripod stilts and clay lumps</w:t>
      </w:r>
      <w:r w:rsidR="0055159D" w:rsidRPr="009F1F9A">
        <w:rPr>
          <w:rFonts w:cs="Times New Roman"/>
          <w:lang w:val="en-GB"/>
        </w:rPr>
        <w:t xml:space="preserve"> being</w:t>
      </w:r>
      <w:r w:rsidR="00B20D55" w:rsidRPr="009F1F9A">
        <w:rPr>
          <w:rFonts w:cs="Times New Roman"/>
          <w:lang w:val="en-GB"/>
        </w:rPr>
        <w:t xml:space="preserve"> </w:t>
      </w:r>
      <w:r w:rsidR="0055159D" w:rsidRPr="009F1F9A">
        <w:rPr>
          <w:rFonts w:cs="Times New Roman"/>
          <w:lang w:val="en-GB"/>
        </w:rPr>
        <w:t>found in a sealed deposit securely dated to the 13</w:t>
      </w:r>
      <w:r w:rsidR="0055159D" w:rsidRPr="009F1F9A">
        <w:rPr>
          <w:rFonts w:cs="Times New Roman"/>
          <w:vertAlign w:val="superscript"/>
          <w:lang w:val="en-GB"/>
        </w:rPr>
        <w:t>th</w:t>
      </w:r>
      <w:r w:rsidR="0055159D" w:rsidRPr="009F1F9A">
        <w:rPr>
          <w:rFonts w:cs="Times New Roman"/>
          <w:lang w:val="en-GB"/>
        </w:rPr>
        <w:t xml:space="preserve"> century </w:t>
      </w:r>
      <w:r w:rsidR="00B20D55" w:rsidRPr="009F1F9A">
        <w:rPr>
          <w:rFonts w:cs="Times New Roman"/>
          <w:lang w:val="en-GB"/>
        </w:rPr>
        <w:t>(Barker 2016; Green et al. 2011; Green et al. 2014)</w:t>
      </w:r>
      <w:r w:rsidR="0055159D" w:rsidRPr="009F1F9A">
        <w:rPr>
          <w:rFonts w:cs="Times New Roman"/>
          <w:lang w:val="en-GB"/>
        </w:rPr>
        <w:t>;</w:t>
      </w:r>
      <w:r w:rsidR="00B20D55" w:rsidRPr="009F1F9A">
        <w:rPr>
          <w:rFonts w:cs="Times New Roman"/>
          <w:lang w:val="en-GB"/>
        </w:rPr>
        <w:t xml:space="preserve"> </w:t>
      </w:r>
      <w:r w:rsidR="0055159D" w:rsidRPr="009F1F9A">
        <w:rPr>
          <w:rFonts w:cs="Times New Roman"/>
          <w:lang w:val="en-GB"/>
        </w:rPr>
        <w:t>t</w:t>
      </w:r>
      <w:r w:rsidR="00B20D55" w:rsidRPr="009F1F9A">
        <w:rPr>
          <w:rFonts w:cs="Times New Roman"/>
          <w:lang w:val="en-GB"/>
        </w:rPr>
        <w:t>hus</w:t>
      </w:r>
      <w:r w:rsidR="0055159D" w:rsidRPr="009F1F9A">
        <w:rPr>
          <w:rFonts w:cs="Times New Roman"/>
          <w:lang w:val="en-GB"/>
        </w:rPr>
        <w:t xml:space="preserve"> </w:t>
      </w:r>
      <w:r w:rsidR="00B20D55" w:rsidRPr="009F1F9A">
        <w:rPr>
          <w:rFonts w:cs="Times New Roman"/>
          <w:lang w:val="en-GB"/>
        </w:rPr>
        <w:t xml:space="preserve">a </w:t>
      </w:r>
      <w:r w:rsidR="00DA1E3E" w:rsidRPr="009F1F9A">
        <w:rPr>
          <w:rFonts w:cs="Times New Roman"/>
          <w:lang w:val="en-GB"/>
        </w:rPr>
        <w:t xml:space="preserve">more </w:t>
      </w:r>
      <w:r w:rsidR="00B20D55" w:rsidRPr="009F1F9A">
        <w:rPr>
          <w:rFonts w:cs="Times New Roman"/>
          <w:lang w:val="en-GB"/>
        </w:rPr>
        <w:t xml:space="preserve">comprehensive set of samples </w:t>
      </w:r>
      <w:r w:rsidR="008865D2">
        <w:rPr>
          <w:rFonts w:cs="Times New Roman"/>
          <w:lang w:val="en-GB"/>
        </w:rPr>
        <w:t xml:space="preserve">from this assemblage </w:t>
      </w:r>
      <w:r w:rsidR="0055159D" w:rsidRPr="009F1F9A">
        <w:rPr>
          <w:rFonts w:cs="Times New Roman"/>
          <w:lang w:val="en-GB"/>
        </w:rPr>
        <w:t xml:space="preserve">was </w:t>
      </w:r>
      <w:r w:rsidR="008865D2">
        <w:rPr>
          <w:rFonts w:cs="Times New Roman"/>
          <w:lang w:val="en-GB"/>
        </w:rPr>
        <w:t>studied first</w:t>
      </w:r>
      <w:r w:rsidR="00B20D55" w:rsidRPr="009F1F9A">
        <w:rPr>
          <w:rFonts w:cs="Times New Roman"/>
          <w:lang w:val="en-GB"/>
        </w:rPr>
        <w:t xml:space="preserve"> (Ting et al. 2019). </w:t>
      </w:r>
    </w:p>
    <w:p w14:paraId="0D65B801" w14:textId="77777777" w:rsidR="006B6227" w:rsidRDefault="006B6227" w:rsidP="009F1F9A">
      <w:pPr>
        <w:spacing w:line="480" w:lineRule="auto"/>
        <w:jc w:val="both"/>
        <w:rPr>
          <w:rFonts w:cs="Times New Roman"/>
          <w:lang w:val="en-GB"/>
        </w:rPr>
      </w:pPr>
    </w:p>
    <w:p w14:paraId="190AAB2D" w14:textId="6A87A5D9" w:rsidR="00B20D55" w:rsidRPr="009F1F9A" w:rsidRDefault="00A759CA" w:rsidP="009F1F9A">
      <w:pPr>
        <w:spacing w:line="480" w:lineRule="auto"/>
        <w:jc w:val="both"/>
        <w:rPr>
          <w:rFonts w:cs="Times New Roman"/>
          <w:lang w:val="en-GB"/>
        </w:rPr>
      </w:pPr>
      <w:r>
        <w:rPr>
          <w:rFonts w:cs="Times New Roman"/>
          <w:lang w:val="en-GB"/>
        </w:rPr>
        <w:t xml:space="preserve">The dating of the samples from the abovementioned sites was carried out on the basis of their similarity in terms of fabric (macroscopic examination), shape and decorative style to published examples from excavated and confirmed production sites on the island, namely Paphos, Lemba, Lapithos, and Nicosia (Charalambous 2014; Charalambous et al. 2010; Cook 2014; Papanikola-Bakirtzi </w:t>
      </w:r>
      <w:r w:rsidR="006D594A">
        <w:rPr>
          <w:rFonts w:cs="Times New Roman"/>
          <w:lang w:val="en-GB"/>
        </w:rPr>
        <w:t xml:space="preserve">1989, </w:t>
      </w:r>
      <w:r>
        <w:rPr>
          <w:rFonts w:cs="Times New Roman"/>
          <w:lang w:val="en-GB"/>
        </w:rPr>
        <w:t xml:space="preserve">1996, 2004, 2019; Taylor and Megaw 1951; Ting et al. 2019). </w:t>
      </w:r>
      <w:r>
        <w:rPr>
          <w:rFonts w:cs="Times New Roman"/>
          <w:lang w:val="en-GB"/>
        </w:rPr>
        <w:lastRenderedPageBreak/>
        <w:t>Cypriot glazed production has so far been classified (and dated) according to decorative style, such as s</w:t>
      </w:r>
      <w:r w:rsidRPr="009F1F9A">
        <w:rPr>
          <w:rFonts w:cs="Times New Roman"/>
          <w:lang w:val="en-GB"/>
        </w:rPr>
        <w:t>lip-painted, plain glazed, sgraffito, sgraffito with slip-painted decoration, painted glazed, and white-slipped glazed wares</w:t>
      </w:r>
      <w:r>
        <w:rPr>
          <w:rFonts w:cs="Times New Roman"/>
          <w:lang w:val="en-GB"/>
        </w:rPr>
        <w:t xml:space="preserve"> (for the chronology of these wares, see Taylor and Megaw 1951: 1-13; Papanikola-Bakirtzi 1996: 60, 73-74, 84-85, 99, 115, 131, 145, 172-173, 187-188,196), all represented in our samples. </w:t>
      </w:r>
      <w:r w:rsidR="00B20D55" w:rsidRPr="009F1F9A">
        <w:rPr>
          <w:rFonts w:cs="Times New Roman"/>
          <w:lang w:val="en-GB"/>
        </w:rPr>
        <w:t xml:space="preserve">Despite </w:t>
      </w:r>
      <w:r w:rsidR="006B6227">
        <w:rPr>
          <w:rFonts w:cs="Times New Roman"/>
          <w:lang w:val="en-GB"/>
        </w:rPr>
        <w:t xml:space="preserve">the </w:t>
      </w:r>
      <w:r w:rsidR="00B20D55" w:rsidRPr="009F1F9A">
        <w:rPr>
          <w:rFonts w:cs="Times New Roman"/>
          <w:lang w:val="en-GB"/>
        </w:rPr>
        <w:t>bias</w:t>
      </w:r>
      <w:r w:rsidR="006B6227">
        <w:rPr>
          <w:rFonts w:cs="Times New Roman"/>
          <w:lang w:val="en-GB"/>
        </w:rPr>
        <w:t xml:space="preserve"> in our sampling, with a slightly greater proportion of samples from the Paphos Theatre assemblage, </w:t>
      </w:r>
      <w:r w:rsidR="00B20D55" w:rsidRPr="009F1F9A">
        <w:rPr>
          <w:rFonts w:cs="Times New Roman"/>
          <w:lang w:val="en-GB"/>
        </w:rPr>
        <w:t>th</w:t>
      </w:r>
      <w:r w:rsidR="009117D3" w:rsidRPr="009F1F9A">
        <w:rPr>
          <w:rFonts w:cs="Times New Roman"/>
          <w:lang w:val="en-GB"/>
        </w:rPr>
        <w:t>e</w:t>
      </w:r>
      <w:r w:rsidR="00B20D55" w:rsidRPr="009F1F9A">
        <w:rPr>
          <w:rFonts w:cs="Times New Roman"/>
          <w:lang w:val="en-GB"/>
        </w:rPr>
        <w:t xml:space="preserve"> samples</w:t>
      </w:r>
      <w:r w:rsidR="009117D3" w:rsidRPr="009F1F9A">
        <w:rPr>
          <w:rFonts w:cs="Times New Roman"/>
          <w:lang w:val="en-GB"/>
        </w:rPr>
        <w:t xml:space="preserve"> should</w:t>
      </w:r>
      <w:r w:rsidR="00B20D55" w:rsidRPr="009F1F9A">
        <w:rPr>
          <w:rFonts w:cs="Times New Roman"/>
          <w:lang w:val="en-GB"/>
        </w:rPr>
        <w:t xml:space="preserve"> </w:t>
      </w:r>
      <w:r w:rsidR="0000621A" w:rsidRPr="009F1F9A">
        <w:rPr>
          <w:rFonts w:cs="Times New Roman"/>
          <w:lang w:val="en-GB"/>
        </w:rPr>
        <w:t>allow for</w:t>
      </w:r>
      <w:r w:rsidR="00DA1E3E" w:rsidRPr="009F1F9A">
        <w:rPr>
          <w:rFonts w:cs="Times New Roman"/>
          <w:lang w:val="en-GB"/>
        </w:rPr>
        <w:t xml:space="preserve"> a better understanding of the </w:t>
      </w:r>
      <w:r w:rsidR="00036D09" w:rsidRPr="009F1F9A">
        <w:rPr>
          <w:rFonts w:cs="Times New Roman"/>
          <w:lang w:val="en-GB"/>
        </w:rPr>
        <w:t xml:space="preserve">temporal </w:t>
      </w:r>
      <w:r w:rsidR="00DA1E3E" w:rsidRPr="009F1F9A">
        <w:rPr>
          <w:rFonts w:cs="Times New Roman"/>
          <w:lang w:val="en-GB"/>
        </w:rPr>
        <w:t>developments of</w:t>
      </w:r>
      <w:r w:rsidR="00B20D55" w:rsidRPr="009F1F9A">
        <w:rPr>
          <w:rFonts w:cs="Times New Roman"/>
          <w:lang w:val="en-GB"/>
        </w:rPr>
        <w:t xml:space="preserve"> techn</w:t>
      </w:r>
      <w:r w:rsidR="0055159D" w:rsidRPr="009F1F9A">
        <w:rPr>
          <w:rFonts w:cs="Times New Roman"/>
          <w:lang w:val="en-GB"/>
        </w:rPr>
        <w:t>ical practices</w:t>
      </w:r>
      <w:r w:rsidR="00B20D55" w:rsidRPr="009F1F9A">
        <w:rPr>
          <w:rFonts w:cs="Times New Roman"/>
          <w:lang w:val="en-GB"/>
        </w:rPr>
        <w:t xml:space="preserve"> characteristic of different productions</w:t>
      </w:r>
      <w:r w:rsidR="00036D09" w:rsidRPr="009F1F9A">
        <w:rPr>
          <w:rFonts w:cs="Times New Roman"/>
          <w:lang w:val="en-GB"/>
        </w:rPr>
        <w:t xml:space="preserve">. </w:t>
      </w:r>
    </w:p>
    <w:p w14:paraId="50024B7F" w14:textId="031720AE" w:rsidR="007D2085" w:rsidRPr="009F1F9A" w:rsidRDefault="007D2085" w:rsidP="009F1F9A">
      <w:pPr>
        <w:spacing w:line="480" w:lineRule="auto"/>
        <w:jc w:val="both"/>
        <w:rPr>
          <w:rFonts w:cs="Times New Roman"/>
          <w:lang w:val="en-GB"/>
        </w:rPr>
      </w:pPr>
    </w:p>
    <w:p w14:paraId="277C72A9" w14:textId="0D594E67" w:rsidR="00A60416" w:rsidRPr="009F1F9A" w:rsidRDefault="007D2085" w:rsidP="009F1F9A">
      <w:pPr>
        <w:pStyle w:val="ListParagraph"/>
        <w:numPr>
          <w:ilvl w:val="0"/>
          <w:numId w:val="1"/>
        </w:numPr>
        <w:spacing w:line="480" w:lineRule="auto"/>
        <w:jc w:val="both"/>
        <w:rPr>
          <w:rFonts w:cs="Times New Roman"/>
          <w:b/>
          <w:lang w:val="en-GB"/>
        </w:rPr>
      </w:pPr>
      <w:r w:rsidRPr="009F1F9A">
        <w:rPr>
          <w:rFonts w:cs="Times New Roman"/>
          <w:b/>
          <w:lang w:val="en-GB"/>
        </w:rPr>
        <w:t>Methods</w:t>
      </w:r>
    </w:p>
    <w:p w14:paraId="1F67261B" w14:textId="47C1AC9A" w:rsidR="00036D09" w:rsidRPr="009F1F9A" w:rsidRDefault="00A60416" w:rsidP="009F1F9A">
      <w:pPr>
        <w:pStyle w:val="ListParagraph"/>
        <w:numPr>
          <w:ilvl w:val="1"/>
          <w:numId w:val="1"/>
        </w:numPr>
        <w:spacing w:line="480" w:lineRule="auto"/>
        <w:jc w:val="both"/>
        <w:rPr>
          <w:rFonts w:cs="Times New Roman"/>
          <w:lang w:val="en-GB"/>
        </w:rPr>
      </w:pPr>
      <w:r w:rsidRPr="009F1F9A">
        <w:rPr>
          <w:rFonts w:cs="Times New Roman"/>
          <w:lang w:val="en-GB"/>
        </w:rPr>
        <w:t xml:space="preserve">The </w:t>
      </w:r>
      <w:r w:rsidRPr="00BD3491">
        <w:rPr>
          <w:rFonts w:cs="Times New Roman"/>
          <w:i/>
          <w:lang w:val="en-GB"/>
        </w:rPr>
        <w:t>chaîne opératoire</w:t>
      </w:r>
      <w:r w:rsidRPr="009F1F9A">
        <w:rPr>
          <w:rFonts w:cs="Times New Roman"/>
          <w:lang w:val="en-GB"/>
        </w:rPr>
        <w:t xml:space="preserve"> </w:t>
      </w:r>
      <w:r w:rsidR="008865D2">
        <w:rPr>
          <w:rFonts w:cs="Times New Roman"/>
          <w:lang w:val="en-GB"/>
        </w:rPr>
        <w:t>approach to</w:t>
      </w:r>
      <w:r w:rsidRPr="009F1F9A">
        <w:rPr>
          <w:rFonts w:cs="Times New Roman"/>
          <w:lang w:val="en-GB"/>
        </w:rPr>
        <w:t xml:space="preserve"> glazed ware production </w:t>
      </w:r>
    </w:p>
    <w:p w14:paraId="005C981E" w14:textId="3EA37E81" w:rsidR="00A60416" w:rsidRPr="009F1F9A" w:rsidRDefault="00A60416" w:rsidP="009F1F9A">
      <w:pPr>
        <w:spacing w:line="480" w:lineRule="auto"/>
        <w:jc w:val="both"/>
        <w:rPr>
          <w:rFonts w:cs="Times New Roman"/>
          <w:lang w:val="en-GB"/>
        </w:rPr>
      </w:pPr>
      <w:r w:rsidRPr="009F1F9A">
        <w:rPr>
          <w:rFonts w:cs="Times New Roman"/>
        </w:rPr>
        <w:t xml:space="preserve">The production of glazed wares involves a complex process (Fig. 3), each step revealing manufacturing choices and allowing room for variables </w:t>
      </w:r>
      <w:r w:rsidRPr="009F1F9A">
        <w:rPr>
          <w:rFonts w:cs="Times New Roman"/>
          <w:lang w:val="en-GB"/>
        </w:rPr>
        <w:t>(Gosselain 1998; Lemonnier 1992)</w:t>
      </w:r>
      <w:r w:rsidRPr="009F1F9A">
        <w:rPr>
          <w:rFonts w:cs="Times New Roman"/>
        </w:rPr>
        <w:t>.</w:t>
      </w:r>
      <w:r w:rsidRPr="009F1F9A">
        <w:rPr>
          <w:rFonts w:cs="Times New Roman"/>
          <w:lang w:val="en-GB"/>
        </w:rPr>
        <w:t xml:space="preserve"> Reconstructing the technical practices characteristic of production through time permits a more nuanced perspective of diachronic development, highlighting the decisions made by potters. </w:t>
      </w:r>
      <w:r w:rsidR="00157CD9" w:rsidRPr="009F1F9A">
        <w:rPr>
          <w:rFonts w:cs="Times New Roman"/>
          <w:lang w:val="en-GB"/>
        </w:rPr>
        <w:t>E</w:t>
      </w:r>
      <w:r w:rsidRPr="009F1F9A">
        <w:rPr>
          <w:rFonts w:cs="Times New Roman"/>
          <w:lang w:val="en-GB"/>
        </w:rPr>
        <w:t>xamining the technical practices across productions</w:t>
      </w:r>
      <w:r w:rsidR="00157CD9" w:rsidRPr="009F1F9A">
        <w:rPr>
          <w:rFonts w:cs="Times New Roman"/>
          <w:lang w:val="en-GB"/>
        </w:rPr>
        <w:t xml:space="preserve"> </w:t>
      </w:r>
      <w:r w:rsidRPr="009F1F9A">
        <w:rPr>
          <w:rFonts w:cs="Times New Roman"/>
          <w:lang w:val="en-GB"/>
        </w:rPr>
        <w:t xml:space="preserve">allows a more sophisticated comparison of behavioural influences than those afforded by traditional ‘stylistic’ affiliation, which has perhaps overplayed the ‘imitation’ dimensions rather than the active dynamics through which knowledge was transferred among potters and beyond. </w:t>
      </w:r>
    </w:p>
    <w:p w14:paraId="49EBD51E" w14:textId="775BBFBB" w:rsidR="00A60416" w:rsidRPr="009F1F9A" w:rsidRDefault="00A60416" w:rsidP="009F1F9A">
      <w:pPr>
        <w:spacing w:line="480" w:lineRule="auto"/>
        <w:jc w:val="both"/>
        <w:rPr>
          <w:rFonts w:cs="Times New Roman"/>
          <w:lang w:val="en-GB"/>
        </w:rPr>
      </w:pPr>
    </w:p>
    <w:p w14:paraId="15D74EFD" w14:textId="0F794143" w:rsidR="00A60416" w:rsidRPr="009F1F9A" w:rsidRDefault="00A60416" w:rsidP="009F1F9A">
      <w:pPr>
        <w:pStyle w:val="ListParagraph"/>
        <w:numPr>
          <w:ilvl w:val="1"/>
          <w:numId w:val="1"/>
        </w:numPr>
        <w:spacing w:line="480" w:lineRule="auto"/>
        <w:jc w:val="both"/>
        <w:rPr>
          <w:rFonts w:cs="Times New Roman"/>
          <w:lang w:val="en-GB"/>
        </w:rPr>
      </w:pPr>
      <w:r w:rsidRPr="009F1F9A">
        <w:rPr>
          <w:rFonts w:cs="Times New Roman"/>
          <w:lang w:val="en-GB"/>
        </w:rPr>
        <w:t xml:space="preserve"> Thin-section petrography</w:t>
      </w:r>
    </w:p>
    <w:p w14:paraId="1D856BCF" w14:textId="1DE323CB" w:rsidR="00A60416" w:rsidRPr="009F1F9A" w:rsidRDefault="008865D2" w:rsidP="009F1F9A">
      <w:pPr>
        <w:spacing w:line="480" w:lineRule="auto"/>
        <w:jc w:val="both"/>
        <w:rPr>
          <w:rFonts w:cs="Times New Roman"/>
          <w:lang w:val="en-GB"/>
        </w:rPr>
      </w:pPr>
      <w:r>
        <w:rPr>
          <w:rFonts w:cs="Times New Roman"/>
          <w:lang w:val="en-GB"/>
        </w:rPr>
        <w:t>The</w:t>
      </w:r>
      <w:r w:rsidR="009117D3" w:rsidRPr="009F1F9A">
        <w:rPr>
          <w:rFonts w:cs="Times New Roman"/>
          <w:lang w:val="en-GB"/>
        </w:rPr>
        <w:t xml:space="preserve"> potential provenance of the samples</w:t>
      </w:r>
      <w:r w:rsidR="00157CD9" w:rsidRPr="009F1F9A">
        <w:rPr>
          <w:rFonts w:cs="Times New Roman"/>
          <w:lang w:val="en-GB"/>
        </w:rPr>
        <w:t xml:space="preserve"> </w:t>
      </w:r>
      <w:r>
        <w:rPr>
          <w:rFonts w:cs="Times New Roman"/>
          <w:lang w:val="en-GB"/>
        </w:rPr>
        <w:t xml:space="preserve">was determined </w:t>
      </w:r>
      <w:r w:rsidR="00157CD9" w:rsidRPr="009F1F9A">
        <w:rPr>
          <w:rFonts w:cs="Times New Roman"/>
          <w:lang w:val="en-GB"/>
        </w:rPr>
        <w:t xml:space="preserve">by comparing their mineralogy with </w:t>
      </w:r>
      <w:r w:rsidR="006B6227">
        <w:rPr>
          <w:rFonts w:cs="Times New Roman"/>
          <w:lang w:val="en-GB"/>
        </w:rPr>
        <w:t xml:space="preserve">the geology of the different regions described in </w:t>
      </w:r>
      <w:r w:rsidR="00157CD9" w:rsidRPr="009F1F9A">
        <w:rPr>
          <w:rFonts w:cs="Times New Roman"/>
          <w:lang w:val="en-GB"/>
        </w:rPr>
        <w:t xml:space="preserve">geological maps and surveys. </w:t>
      </w:r>
      <w:r>
        <w:rPr>
          <w:rFonts w:cs="Times New Roman"/>
          <w:lang w:val="en-GB"/>
        </w:rPr>
        <w:t>T</w:t>
      </w:r>
      <w:r w:rsidRPr="009F1F9A">
        <w:rPr>
          <w:rFonts w:cs="Times New Roman"/>
          <w:lang w:val="en-GB"/>
        </w:rPr>
        <w:t xml:space="preserve">hin-section petrography </w:t>
      </w:r>
      <w:r>
        <w:rPr>
          <w:rFonts w:cs="Times New Roman"/>
          <w:lang w:val="en-GB"/>
        </w:rPr>
        <w:t xml:space="preserve">was used to </w:t>
      </w:r>
      <w:r w:rsidR="00BC67CD" w:rsidRPr="009F1F9A">
        <w:rPr>
          <w:rFonts w:cs="Times New Roman"/>
          <w:lang w:val="en-GB"/>
        </w:rPr>
        <w:t xml:space="preserve">record </w:t>
      </w:r>
      <w:r w:rsidR="00157CD9" w:rsidRPr="009F1F9A">
        <w:rPr>
          <w:rFonts w:cs="Times New Roman"/>
          <w:lang w:val="en-GB"/>
        </w:rPr>
        <w:t>the mineralogical and textural variations that exist among the samples</w:t>
      </w:r>
      <w:r>
        <w:rPr>
          <w:rFonts w:cs="Times New Roman"/>
          <w:lang w:val="en-GB"/>
        </w:rPr>
        <w:t xml:space="preserve"> and </w:t>
      </w:r>
      <w:r w:rsidR="00157CD9" w:rsidRPr="009F1F9A">
        <w:rPr>
          <w:rFonts w:cs="Times New Roman"/>
          <w:lang w:val="en-GB"/>
        </w:rPr>
        <w:t>to characterise the recipe of the ceramic body</w:t>
      </w:r>
      <w:r w:rsidR="00A60416" w:rsidRPr="009F1F9A">
        <w:rPr>
          <w:rFonts w:cs="Times New Roman"/>
          <w:lang w:val="en-GB"/>
        </w:rPr>
        <w:t xml:space="preserve">, informing about </w:t>
      </w:r>
      <w:r w:rsidR="00157CD9" w:rsidRPr="009F1F9A">
        <w:rPr>
          <w:rFonts w:cs="Times New Roman"/>
          <w:lang w:val="en-GB"/>
        </w:rPr>
        <w:t>paste</w:t>
      </w:r>
      <w:r w:rsidR="00A60416" w:rsidRPr="009F1F9A">
        <w:rPr>
          <w:rFonts w:cs="Times New Roman"/>
          <w:lang w:val="en-GB"/>
        </w:rPr>
        <w:t xml:space="preserve"> preparation </w:t>
      </w:r>
      <w:r w:rsidR="00A60416" w:rsidRPr="009F1F9A">
        <w:rPr>
          <w:rFonts w:cs="Times New Roman"/>
          <w:lang w:val="en-GB"/>
        </w:rPr>
        <w:lastRenderedPageBreak/>
        <w:t>method</w:t>
      </w:r>
      <w:r w:rsidR="00BD3491">
        <w:rPr>
          <w:rFonts w:cs="Times New Roman"/>
          <w:lang w:val="en-GB"/>
        </w:rPr>
        <w:t>s</w:t>
      </w:r>
      <w:r w:rsidR="00A60416" w:rsidRPr="009F1F9A">
        <w:rPr>
          <w:rFonts w:cs="Times New Roman"/>
          <w:lang w:val="en-GB"/>
        </w:rPr>
        <w:t xml:space="preserve">. All samples were prepared into thin sections at the UCL Wolfson Archaeological Sciences Laboratories and analysed using </w:t>
      </w:r>
      <w:r>
        <w:rPr>
          <w:rFonts w:cs="Times New Roman"/>
          <w:lang w:val="en-GB"/>
        </w:rPr>
        <w:t xml:space="preserve">a </w:t>
      </w:r>
      <w:r w:rsidR="00A60416" w:rsidRPr="009F1F9A">
        <w:rPr>
          <w:rFonts w:cs="Times New Roman"/>
          <w:lang w:val="en-GB"/>
        </w:rPr>
        <w:t xml:space="preserve">LEICA DM EP Polarisation Microscope. In the description of the petrographic observation, the percentage charts developed by Matthews and colleagues (1991) were used to estimate the relative abundance of inclusions. </w:t>
      </w:r>
    </w:p>
    <w:p w14:paraId="4B65CB71" w14:textId="1B3A95AE" w:rsidR="00E474B5" w:rsidRPr="009F1F9A" w:rsidRDefault="00E474B5" w:rsidP="009F1F9A">
      <w:pPr>
        <w:spacing w:line="480" w:lineRule="auto"/>
        <w:jc w:val="both"/>
        <w:rPr>
          <w:rFonts w:cs="Times New Roman"/>
          <w:lang w:val="en-GB"/>
        </w:rPr>
      </w:pPr>
    </w:p>
    <w:p w14:paraId="318CEFB5" w14:textId="3859AA14" w:rsidR="00E474B5" w:rsidRPr="009F1F9A" w:rsidRDefault="00E474B5" w:rsidP="009F1F9A">
      <w:pPr>
        <w:pStyle w:val="ListParagraph"/>
        <w:numPr>
          <w:ilvl w:val="1"/>
          <w:numId w:val="1"/>
        </w:numPr>
        <w:spacing w:line="480" w:lineRule="auto"/>
        <w:jc w:val="both"/>
        <w:rPr>
          <w:rFonts w:cs="Times New Roman"/>
          <w:lang w:val="en-GB"/>
        </w:rPr>
      </w:pPr>
      <w:r w:rsidRPr="009F1F9A">
        <w:rPr>
          <w:rFonts w:cs="Times New Roman"/>
          <w:lang w:val="en-GB"/>
        </w:rPr>
        <w:t xml:space="preserve"> Scanning electron microscope energy dispersive spectrometry (SEM-EDS)</w:t>
      </w:r>
    </w:p>
    <w:p w14:paraId="4440DCB5" w14:textId="667505FC" w:rsidR="00E474B5" w:rsidRPr="009F1F9A" w:rsidRDefault="00157CD9" w:rsidP="009F1F9A">
      <w:pPr>
        <w:spacing w:line="480" w:lineRule="auto"/>
        <w:jc w:val="both"/>
        <w:rPr>
          <w:rFonts w:cs="Times New Roman"/>
          <w:lang w:val="en-GB"/>
        </w:rPr>
      </w:pPr>
      <w:r w:rsidRPr="009F1F9A">
        <w:rPr>
          <w:rFonts w:cs="Times New Roman"/>
          <w:lang w:val="en-GB"/>
        </w:rPr>
        <w:t xml:space="preserve">The </w:t>
      </w:r>
      <w:r w:rsidR="00E474B5" w:rsidRPr="009F1F9A">
        <w:rPr>
          <w:rFonts w:cs="Times New Roman"/>
          <w:lang w:val="en-GB"/>
        </w:rPr>
        <w:t>recipe</w:t>
      </w:r>
      <w:r w:rsidR="008865D2">
        <w:rPr>
          <w:rFonts w:cs="Times New Roman"/>
          <w:lang w:val="en-GB"/>
        </w:rPr>
        <w:t>s</w:t>
      </w:r>
      <w:r w:rsidR="00E474B5" w:rsidRPr="009F1F9A">
        <w:rPr>
          <w:rFonts w:cs="Times New Roman"/>
          <w:lang w:val="en-GB"/>
        </w:rPr>
        <w:t xml:space="preserve"> of the paint</w:t>
      </w:r>
      <w:r w:rsidR="008865D2">
        <w:rPr>
          <w:rFonts w:cs="Times New Roman"/>
          <w:lang w:val="en-GB"/>
        </w:rPr>
        <w:t>s</w:t>
      </w:r>
      <w:r w:rsidR="00E474B5" w:rsidRPr="009F1F9A">
        <w:rPr>
          <w:rFonts w:cs="Times New Roman"/>
          <w:lang w:val="en-GB"/>
        </w:rPr>
        <w:t>, slip</w:t>
      </w:r>
      <w:r w:rsidR="008865D2">
        <w:rPr>
          <w:rFonts w:cs="Times New Roman"/>
          <w:lang w:val="en-GB"/>
        </w:rPr>
        <w:t>s</w:t>
      </w:r>
      <w:r w:rsidR="00E474B5" w:rsidRPr="009F1F9A">
        <w:rPr>
          <w:rFonts w:cs="Times New Roman"/>
          <w:lang w:val="en-GB"/>
        </w:rPr>
        <w:t xml:space="preserve"> and glaze</w:t>
      </w:r>
      <w:r w:rsidR="008865D2">
        <w:rPr>
          <w:rFonts w:cs="Times New Roman"/>
          <w:lang w:val="en-GB"/>
        </w:rPr>
        <w:t>s</w:t>
      </w:r>
      <w:r w:rsidR="00E474B5" w:rsidRPr="009F1F9A">
        <w:rPr>
          <w:rFonts w:cs="Times New Roman"/>
          <w:lang w:val="en-GB"/>
        </w:rPr>
        <w:t xml:space="preserve">, and the method and order of </w:t>
      </w:r>
      <w:r w:rsidR="008865D2">
        <w:rPr>
          <w:rFonts w:cs="Times New Roman"/>
          <w:lang w:val="en-GB"/>
        </w:rPr>
        <w:t xml:space="preserve">their </w:t>
      </w:r>
      <w:r w:rsidR="00E474B5" w:rsidRPr="009F1F9A">
        <w:rPr>
          <w:rFonts w:cs="Times New Roman"/>
          <w:lang w:val="en-GB"/>
        </w:rPr>
        <w:t>application</w:t>
      </w:r>
      <w:r w:rsidRPr="009F1F9A">
        <w:rPr>
          <w:rFonts w:cs="Times New Roman"/>
          <w:lang w:val="en-GB"/>
        </w:rPr>
        <w:t xml:space="preserve"> </w:t>
      </w:r>
      <w:r w:rsidR="00BD3491">
        <w:rPr>
          <w:rFonts w:cs="Times New Roman"/>
          <w:lang w:val="en-GB"/>
        </w:rPr>
        <w:t>for</w:t>
      </w:r>
      <w:r w:rsidR="0000621A" w:rsidRPr="009F1F9A">
        <w:rPr>
          <w:rFonts w:cs="Times New Roman"/>
          <w:lang w:val="en-GB"/>
        </w:rPr>
        <w:t xml:space="preserve"> all samples </w:t>
      </w:r>
      <w:r w:rsidRPr="009F1F9A">
        <w:rPr>
          <w:rFonts w:cs="Times New Roman"/>
          <w:lang w:val="en-GB"/>
        </w:rPr>
        <w:t>w</w:t>
      </w:r>
      <w:r w:rsidR="00BC67CD" w:rsidRPr="009F1F9A">
        <w:rPr>
          <w:rFonts w:cs="Times New Roman"/>
          <w:lang w:val="en-GB"/>
        </w:rPr>
        <w:t>ere</w:t>
      </w:r>
      <w:r w:rsidRPr="009F1F9A">
        <w:rPr>
          <w:rFonts w:cs="Times New Roman"/>
          <w:lang w:val="en-GB"/>
        </w:rPr>
        <w:t xml:space="preserve"> </w:t>
      </w:r>
      <w:r w:rsidR="00BC67CD" w:rsidRPr="009F1F9A">
        <w:rPr>
          <w:rFonts w:cs="Times New Roman"/>
          <w:lang w:val="en-GB"/>
        </w:rPr>
        <w:t xml:space="preserve">identified </w:t>
      </w:r>
      <w:r w:rsidRPr="009F1F9A">
        <w:rPr>
          <w:rFonts w:cs="Times New Roman"/>
          <w:lang w:val="en-GB"/>
        </w:rPr>
        <w:t>using SEM-EDS</w:t>
      </w:r>
      <w:r w:rsidR="00E474B5" w:rsidRPr="009F1F9A">
        <w:rPr>
          <w:rFonts w:cs="Times New Roman"/>
          <w:lang w:val="en-GB"/>
        </w:rPr>
        <w:t xml:space="preserve">. Two SEM-EDS suites </w:t>
      </w:r>
      <w:r w:rsidRPr="009F1F9A">
        <w:rPr>
          <w:rFonts w:cs="Times New Roman"/>
          <w:lang w:val="en-GB"/>
        </w:rPr>
        <w:t xml:space="preserve">– </w:t>
      </w:r>
      <w:r w:rsidR="00BD3491">
        <w:rPr>
          <w:rFonts w:cs="Times New Roman"/>
          <w:lang w:val="en-GB"/>
        </w:rPr>
        <w:t xml:space="preserve">a </w:t>
      </w:r>
      <w:r w:rsidR="00E474B5" w:rsidRPr="009F1F9A">
        <w:rPr>
          <w:rFonts w:cs="Times New Roman"/>
          <w:lang w:val="en-GB"/>
        </w:rPr>
        <w:t xml:space="preserve">JEOL JSM 6610 low vacuum </w:t>
      </w:r>
      <w:r w:rsidR="0000621A" w:rsidRPr="009F1F9A">
        <w:rPr>
          <w:rFonts w:cs="Times New Roman"/>
          <w:lang w:val="en-GB"/>
        </w:rPr>
        <w:t>SEM</w:t>
      </w:r>
      <w:r w:rsidR="00E474B5" w:rsidRPr="009F1F9A">
        <w:rPr>
          <w:rFonts w:cs="Times New Roman"/>
          <w:lang w:val="en-GB"/>
        </w:rPr>
        <w:t xml:space="preserve"> at the UCL Qatar Archaeological Material Sciences Laboratories, </w:t>
      </w:r>
      <w:r w:rsidRPr="009F1F9A">
        <w:rPr>
          <w:rFonts w:cs="Times New Roman"/>
          <w:lang w:val="en-GB"/>
        </w:rPr>
        <w:t>and</w:t>
      </w:r>
      <w:r w:rsidR="00E474B5" w:rsidRPr="009F1F9A">
        <w:rPr>
          <w:rFonts w:cs="Times New Roman"/>
          <w:lang w:val="en-GB"/>
        </w:rPr>
        <w:t xml:space="preserve"> a ZEISS EVO25 at the UCL Institute of Archaeology Wolfson Archaeological Sciences Laboratories</w:t>
      </w:r>
      <w:r w:rsidRPr="009F1F9A">
        <w:rPr>
          <w:rFonts w:cs="Times New Roman"/>
          <w:lang w:val="en-GB"/>
        </w:rPr>
        <w:t xml:space="preserve"> – were used</w:t>
      </w:r>
      <w:r w:rsidR="00E474B5" w:rsidRPr="009F1F9A">
        <w:rPr>
          <w:rFonts w:cs="Times New Roman"/>
          <w:lang w:val="en-GB"/>
        </w:rPr>
        <w:t xml:space="preserve">. Both suites </w:t>
      </w:r>
      <w:r w:rsidR="00BC67CD" w:rsidRPr="009F1F9A">
        <w:rPr>
          <w:rFonts w:cs="Times New Roman"/>
          <w:lang w:val="en-GB"/>
        </w:rPr>
        <w:t>we</w:t>
      </w:r>
      <w:r w:rsidR="00E474B5" w:rsidRPr="009F1F9A">
        <w:rPr>
          <w:rFonts w:cs="Times New Roman"/>
          <w:lang w:val="en-GB"/>
        </w:rPr>
        <w:t>re fitted with the Oxford Instruments A</w:t>
      </w:r>
      <w:r w:rsidR="00E1120C" w:rsidRPr="009F1F9A">
        <w:rPr>
          <w:rFonts w:cs="Times New Roman"/>
          <w:lang w:val="en-GB"/>
        </w:rPr>
        <w:t>z</w:t>
      </w:r>
      <w:r w:rsidR="00E474B5" w:rsidRPr="009F1F9A">
        <w:rPr>
          <w:rFonts w:cs="Times New Roman"/>
          <w:lang w:val="en-GB"/>
        </w:rPr>
        <w:t xml:space="preserve">tec </w:t>
      </w:r>
      <w:r w:rsidR="0000621A" w:rsidRPr="009F1F9A">
        <w:rPr>
          <w:rFonts w:cs="Times New Roman"/>
          <w:lang w:val="en-GB"/>
        </w:rPr>
        <w:t xml:space="preserve">EDS </w:t>
      </w:r>
      <w:r w:rsidR="00E474B5" w:rsidRPr="009F1F9A">
        <w:rPr>
          <w:rFonts w:cs="Times New Roman"/>
          <w:lang w:val="en-GB"/>
        </w:rPr>
        <w:t>analysis system. The JEOL JSM 6610 was set to 20.0 kV accelerating voltage and took about 22 to 25s total per measurement, whereas the ZEISS EVO 25 was set to 20.0 kV accelerating voltage and collected about 750,000 X-rays, which also took about 22 to 25s total per measurement. Corning Glass C was analysed as reference material at the beginning of each analytical session</w:t>
      </w:r>
      <w:r w:rsidR="00F238E2">
        <w:rPr>
          <w:rFonts w:cs="Times New Roman"/>
          <w:lang w:val="en-GB"/>
        </w:rPr>
        <w:t xml:space="preserve">. Comparing with the published values, the absolute and relative errors </w:t>
      </w:r>
      <w:r w:rsidR="00BD3491">
        <w:rPr>
          <w:rFonts w:cs="Times New Roman"/>
          <w:lang w:val="en-GB"/>
        </w:rPr>
        <w:t>document</w:t>
      </w:r>
      <w:r w:rsidR="00BD3491" w:rsidRPr="009F1F9A">
        <w:rPr>
          <w:rFonts w:cs="Times New Roman"/>
          <w:lang w:val="en-GB"/>
        </w:rPr>
        <w:t xml:space="preserve"> </w:t>
      </w:r>
      <w:r w:rsidR="00E474B5" w:rsidRPr="009F1F9A">
        <w:rPr>
          <w:rFonts w:cs="Times New Roman"/>
          <w:lang w:val="en-GB"/>
        </w:rPr>
        <w:t xml:space="preserve">the accuracy </w:t>
      </w:r>
      <w:r w:rsidR="00F238E2">
        <w:rPr>
          <w:rFonts w:cs="Times New Roman"/>
          <w:lang w:val="en-GB"/>
        </w:rPr>
        <w:t>of the measurement</w:t>
      </w:r>
      <w:r w:rsidR="00C72932">
        <w:rPr>
          <w:rFonts w:cs="Times New Roman"/>
          <w:lang w:val="en-GB"/>
        </w:rPr>
        <w:t>s</w:t>
      </w:r>
      <w:r w:rsidR="00F238E2">
        <w:rPr>
          <w:rFonts w:cs="Times New Roman"/>
          <w:lang w:val="en-GB"/>
        </w:rPr>
        <w:t>, showing that all elements but P</w:t>
      </w:r>
      <w:r w:rsidR="00F238E2" w:rsidRPr="00F238E2">
        <w:rPr>
          <w:rFonts w:cs="Times New Roman"/>
          <w:vertAlign w:val="subscript"/>
          <w:lang w:val="en-GB"/>
        </w:rPr>
        <w:t>2</w:t>
      </w:r>
      <w:r w:rsidR="00F238E2">
        <w:rPr>
          <w:rFonts w:cs="Times New Roman"/>
          <w:lang w:val="en-GB"/>
        </w:rPr>
        <w:t>O</w:t>
      </w:r>
      <w:r w:rsidR="00F238E2" w:rsidRPr="00F238E2">
        <w:rPr>
          <w:rFonts w:cs="Times New Roman"/>
          <w:vertAlign w:val="subscript"/>
          <w:lang w:val="en-GB"/>
        </w:rPr>
        <w:t>5</w:t>
      </w:r>
      <w:r w:rsidR="00F238E2">
        <w:rPr>
          <w:rFonts w:cs="Times New Roman"/>
          <w:lang w:val="en-GB"/>
        </w:rPr>
        <w:t xml:space="preserve"> and SnO</w:t>
      </w:r>
      <w:r w:rsidR="00F238E2" w:rsidRPr="00F238E2">
        <w:rPr>
          <w:rFonts w:cs="Times New Roman"/>
          <w:vertAlign w:val="subscript"/>
          <w:lang w:val="en-GB"/>
        </w:rPr>
        <w:t>2</w:t>
      </w:r>
      <w:r w:rsidR="00F238E2">
        <w:rPr>
          <w:rFonts w:cs="Times New Roman"/>
          <w:lang w:val="en-GB"/>
        </w:rPr>
        <w:t xml:space="preserve"> are within 10% </w:t>
      </w:r>
      <w:r w:rsidR="00BD3491">
        <w:rPr>
          <w:rFonts w:cs="Times New Roman"/>
          <w:lang w:val="en-GB"/>
        </w:rPr>
        <w:t>of the expected</w:t>
      </w:r>
      <w:r w:rsidR="00426FF6">
        <w:rPr>
          <w:rFonts w:cs="Times New Roman"/>
          <w:lang w:val="en-GB"/>
        </w:rPr>
        <w:t xml:space="preserve"> values</w:t>
      </w:r>
      <w:r w:rsidR="00F238E2">
        <w:rPr>
          <w:rFonts w:cs="Times New Roman"/>
          <w:lang w:val="en-GB"/>
        </w:rPr>
        <w:t xml:space="preserve">. The mean and standard deviation </w:t>
      </w:r>
      <w:r w:rsidR="006678B9">
        <w:rPr>
          <w:rFonts w:cs="Times New Roman"/>
          <w:lang w:val="en-GB"/>
        </w:rPr>
        <w:t xml:space="preserve">values </w:t>
      </w:r>
      <w:r w:rsidR="00F238E2">
        <w:rPr>
          <w:rFonts w:cs="Times New Roman"/>
          <w:lang w:val="en-GB"/>
        </w:rPr>
        <w:t>highlight the reproduc</w:t>
      </w:r>
      <w:r w:rsidR="00426FF6">
        <w:rPr>
          <w:rFonts w:cs="Times New Roman"/>
          <w:lang w:val="en-GB"/>
        </w:rPr>
        <w:t>ibility</w:t>
      </w:r>
      <w:r w:rsidR="00F238E2">
        <w:rPr>
          <w:rFonts w:cs="Times New Roman"/>
          <w:lang w:val="en-GB"/>
        </w:rPr>
        <w:t xml:space="preserve"> of </w:t>
      </w:r>
      <w:r w:rsidR="00426FF6">
        <w:rPr>
          <w:rFonts w:cs="Times New Roman"/>
          <w:lang w:val="en-GB"/>
        </w:rPr>
        <w:t xml:space="preserve">data for </w:t>
      </w:r>
      <w:r w:rsidR="00C72932">
        <w:rPr>
          <w:rFonts w:cs="Times New Roman"/>
          <w:lang w:val="en-GB"/>
        </w:rPr>
        <w:t>both SEM suites</w:t>
      </w:r>
      <w:r w:rsidR="00426FF6">
        <w:rPr>
          <w:rFonts w:cs="Times New Roman"/>
          <w:lang w:val="en-GB"/>
        </w:rPr>
        <w:t>, while</w:t>
      </w:r>
      <w:r w:rsidR="00C72932">
        <w:rPr>
          <w:rFonts w:cs="Times New Roman"/>
          <w:lang w:val="en-GB"/>
        </w:rPr>
        <w:t xml:space="preserve"> the mean value</w:t>
      </w:r>
      <w:r w:rsidR="00426FF6">
        <w:rPr>
          <w:rFonts w:cs="Times New Roman"/>
          <w:lang w:val="en-GB"/>
        </w:rPr>
        <w:t>s</w:t>
      </w:r>
      <w:r w:rsidR="00C72932">
        <w:rPr>
          <w:rFonts w:cs="Times New Roman"/>
          <w:lang w:val="en-GB"/>
        </w:rPr>
        <w:t xml:space="preserve"> of the measurements generated by the two SEM suites</w:t>
      </w:r>
      <w:r w:rsidR="00E474B5" w:rsidRPr="009F1F9A">
        <w:rPr>
          <w:rFonts w:cs="Times New Roman"/>
          <w:lang w:val="en-GB"/>
        </w:rPr>
        <w:t xml:space="preserve"> </w:t>
      </w:r>
      <w:r w:rsidR="00426FF6">
        <w:rPr>
          <w:rFonts w:cs="Times New Roman"/>
          <w:lang w:val="en-GB"/>
        </w:rPr>
        <w:t>documents</w:t>
      </w:r>
      <w:r w:rsidR="00426FF6" w:rsidRPr="009F1F9A">
        <w:rPr>
          <w:rFonts w:cs="Times New Roman"/>
          <w:lang w:val="en-GB"/>
        </w:rPr>
        <w:t xml:space="preserve"> </w:t>
      </w:r>
      <w:r w:rsidR="00E474B5" w:rsidRPr="009F1F9A">
        <w:rPr>
          <w:rFonts w:cs="Times New Roman"/>
          <w:lang w:val="en-GB"/>
        </w:rPr>
        <w:t xml:space="preserve">the </w:t>
      </w:r>
      <w:r w:rsidR="00C72932">
        <w:rPr>
          <w:rFonts w:cs="Times New Roman"/>
          <w:lang w:val="en-GB"/>
        </w:rPr>
        <w:t xml:space="preserve">cross-instrument </w:t>
      </w:r>
      <w:r w:rsidR="00426FF6">
        <w:rPr>
          <w:rFonts w:cs="Times New Roman"/>
          <w:lang w:val="en-GB"/>
        </w:rPr>
        <w:t xml:space="preserve">data consistency </w:t>
      </w:r>
      <w:r w:rsidR="00E474B5" w:rsidRPr="009F1F9A">
        <w:rPr>
          <w:rFonts w:cs="Times New Roman"/>
          <w:lang w:val="en-GB"/>
        </w:rPr>
        <w:t>(</w:t>
      </w:r>
      <w:r w:rsidR="00BC67CD" w:rsidRPr="009F1F9A">
        <w:rPr>
          <w:rFonts w:cs="Times New Roman"/>
          <w:lang w:val="en-GB"/>
        </w:rPr>
        <w:t>Supplementary Table 1</w:t>
      </w:r>
      <w:r w:rsidR="00E474B5" w:rsidRPr="009F1F9A">
        <w:rPr>
          <w:rFonts w:cs="Times New Roman"/>
          <w:lang w:val="en-GB"/>
        </w:rPr>
        <w:t xml:space="preserve">). </w:t>
      </w:r>
      <w:r w:rsidR="003945FA">
        <w:rPr>
          <w:rFonts w:cs="Times New Roman"/>
          <w:lang w:val="en-GB"/>
        </w:rPr>
        <w:t>A fused basalt sample (</w:t>
      </w:r>
      <w:r w:rsidR="00E474B5" w:rsidRPr="009F1F9A">
        <w:rPr>
          <w:rFonts w:cs="Times New Roman"/>
          <w:lang w:val="en-GB"/>
        </w:rPr>
        <w:t>BCR-2</w:t>
      </w:r>
      <w:r w:rsidR="003945FA">
        <w:rPr>
          <w:rFonts w:cs="Times New Roman"/>
          <w:lang w:val="en-GB"/>
        </w:rPr>
        <w:t>)</w:t>
      </w:r>
      <w:r w:rsidR="00E474B5" w:rsidRPr="009F1F9A">
        <w:rPr>
          <w:rFonts w:cs="Times New Roman"/>
          <w:lang w:val="en-GB"/>
        </w:rPr>
        <w:t xml:space="preserve"> was also analysed by the ZEISS EVO 25 as an extra standard for ceramic materials. A cobalt standard was analysed at regular intervals to monitor the beam current stability. </w:t>
      </w:r>
    </w:p>
    <w:p w14:paraId="075FF7CE" w14:textId="77777777" w:rsidR="00E474B5" w:rsidRPr="009F1F9A" w:rsidRDefault="00E474B5" w:rsidP="009F1F9A">
      <w:pPr>
        <w:spacing w:line="480" w:lineRule="auto"/>
        <w:jc w:val="both"/>
        <w:rPr>
          <w:rFonts w:cs="Times New Roman"/>
          <w:lang w:val="en-GB"/>
        </w:rPr>
      </w:pPr>
    </w:p>
    <w:p w14:paraId="07B24A78" w14:textId="1B58A6FA" w:rsidR="00E474B5" w:rsidRPr="009F1F9A" w:rsidRDefault="00E474B5" w:rsidP="009F1F9A">
      <w:pPr>
        <w:spacing w:line="480" w:lineRule="auto"/>
        <w:jc w:val="both"/>
        <w:rPr>
          <w:rFonts w:cs="Times New Roman"/>
          <w:lang w:val="en-GB"/>
        </w:rPr>
      </w:pPr>
      <w:r w:rsidRPr="009F1F9A">
        <w:rPr>
          <w:rFonts w:cs="Times New Roman"/>
          <w:lang w:val="en-GB"/>
        </w:rPr>
        <w:lastRenderedPageBreak/>
        <w:t xml:space="preserve">The area of analysis for the slip, paint, and glaze </w:t>
      </w:r>
      <w:r w:rsidR="003945FA">
        <w:rPr>
          <w:rFonts w:cs="Times New Roman"/>
          <w:lang w:val="en-GB"/>
        </w:rPr>
        <w:t xml:space="preserve">was set </w:t>
      </w:r>
      <w:r w:rsidRPr="009F1F9A">
        <w:rPr>
          <w:rFonts w:cs="Times New Roman"/>
          <w:lang w:val="en-GB"/>
        </w:rPr>
        <w:t xml:space="preserve">around </w:t>
      </w:r>
      <w:r w:rsidR="00E1120C" w:rsidRPr="009F1F9A">
        <w:rPr>
          <w:rFonts w:cs="Times New Roman"/>
          <w:lang w:val="en-GB"/>
        </w:rPr>
        <w:t xml:space="preserve">25x50 µm for </w:t>
      </w:r>
      <w:r w:rsidR="00E1120C">
        <w:rPr>
          <w:rFonts w:cs="Times New Roman"/>
          <w:lang w:val="en-GB"/>
        </w:rPr>
        <w:t>area</w:t>
      </w:r>
      <w:r w:rsidR="00426FF6">
        <w:rPr>
          <w:rFonts w:cs="Times New Roman"/>
          <w:lang w:val="en-GB"/>
        </w:rPr>
        <w:t>s</w:t>
      </w:r>
      <w:r w:rsidR="00E1120C">
        <w:rPr>
          <w:rFonts w:cs="Times New Roman"/>
          <w:lang w:val="en-GB"/>
        </w:rPr>
        <w:t xml:space="preserve"> that contain particles and newly formed crystal phases, and</w:t>
      </w:r>
      <w:r w:rsidR="00E1120C" w:rsidRPr="009F1F9A">
        <w:rPr>
          <w:rFonts w:cs="Times New Roman"/>
          <w:lang w:val="en-GB"/>
        </w:rPr>
        <w:t xml:space="preserve"> </w:t>
      </w:r>
      <w:r w:rsidR="00426FF6">
        <w:rPr>
          <w:rFonts w:cs="Times New Roman"/>
          <w:lang w:val="en-GB"/>
        </w:rPr>
        <w:t xml:space="preserve">to </w:t>
      </w:r>
      <w:r w:rsidRPr="009F1F9A">
        <w:rPr>
          <w:rFonts w:cs="Times New Roman"/>
          <w:lang w:val="en-GB"/>
        </w:rPr>
        <w:t xml:space="preserve">10x10 µm for </w:t>
      </w:r>
      <w:r w:rsidR="00E1120C">
        <w:rPr>
          <w:rFonts w:cs="Times New Roman"/>
          <w:lang w:val="en-GB"/>
        </w:rPr>
        <w:t>area</w:t>
      </w:r>
      <w:r w:rsidR="00426FF6">
        <w:rPr>
          <w:rFonts w:cs="Times New Roman"/>
          <w:lang w:val="en-GB"/>
        </w:rPr>
        <w:t>s</w:t>
      </w:r>
      <w:r w:rsidR="00E1120C">
        <w:rPr>
          <w:rFonts w:cs="Times New Roman"/>
          <w:lang w:val="en-GB"/>
        </w:rPr>
        <w:t xml:space="preserve"> avoid</w:t>
      </w:r>
      <w:r w:rsidR="00426FF6">
        <w:rPr>
          <w:rFonts w:cs="Times New Roman"/>
          <w:lang w:val="en-GB"/>
        </w:rPr>
        <w:t xml:space="preserve">ing </w:t>
      </w:r>
      <w:r w:rsidR="00E1120C">
        <w:rPr>
          <w:rFonts w:cs="Times New Roman"/>
          <w:lang w:val="en-GB"/>
        </w:rPr>
        <w:t>these features</w:t>
      </w:r>
      <w:r w:rsidRPr="009F1F9A">
        <w:rPr>
          <w:rFonts w:cs="Times New Roman"/>
          <w:lang w:val="en-GB"/>
        </w:rPr>
        <w:t>.</w:t>
      </w:r>
      <w:r w:rsidR="00157CD9" w:rsidRPr="009F1F9A">
        <w:rPr>
          <w:rFonts w:cs="Times New Roman"/>
          <w:lang w:val="en-GB"/>
        </w:rPr>
        <w:t xml:space="preserve"> </w:t>
      </w:r>
      <w:r w:rsidRPr="009F1F9A">
        <w:rPr>
          <w:rFonts w:cs="Times New Roman"/>
          <w:lang w:val="en-GB"/>
        </w:rPr>
        <w:t xml:space="preserve">The area of analysis for the ceramic body </w:t>
      </w:r>
      <w:r w:rsidR="003945FA">
        <w:rPr>
          <w:rFonts w:cs="Times New Roman"/>
          <w:lang w:val="en-GB"/>
        </w:rPr>
        <w:t>wa</w:t>
      </w:r>
      <w:r w:rsidRPr="009F1F9A">
        <w:rPr>
          <w:rFonts w:cs="Times New Roman"/>
          <w:lang w:val="en-GB"/>
        </w:rPr>
        <w:t>s</w:t>
      </w:r>
      <w:r w:rsidR="003945FA">
        <w:rPr>
          <w:rFonts w:cs="Times New Roman"/>
          <w:lang w:val="en-GB"/>
        </w:rPr>
        <w:t xml:space="preserve"> set</w:t>
      </w:r>
      <w:r w:rsidRPr="009F1F9A">
        <w:rPr>
          <w:rFonts w:cs="Times New Roman"/>
          <w:lang w:val="en-GB"/>
        </w:rPr>
        <w:t xml:space="preserve"> around 150x300 µm at low magnification. </w:t>
      </w:r>
      <w:r w:rsidR="00157CD9" w:rsidRPr="009F1F9A">
        <w:rPr>
          <w:rFonts w:cs="Times New Roman"/>
          <w:lang w:val="en-GB"/>
        </w:rPr>
        <w:t>We acknowledge that the SEM-EDS analysis of ceramic bod</w:t>
      </w:r>
      <w:r w:rsidR="003945FA">
        <w:rPr>
          <w:rFonts w:cs="Times New Roman"/>
          <w:lang w:val="en-GB"/>
        </w:rPr>
        <w:t>ies</w:t>
      </w:r>
      <w:r w:rsidR="00157CD9" w:rsidRPr="009F1F9A">
        <w:rPr>
          <w:rFonts w:cs="Times New Roman"/>
          <w:lang w:val="en-GB"/>
        </w:rPr>
        <w:t xml:space="preserve"> does not represent the </w:t>
      </w:r>
      <w:r w:rsidR="003945FA">
        <w:rPr>
          <w:rFonts w:cs="Times New Roman"/>
          <w:lang w:val="en-GB"/>
        </w:rPr>
        <w:t xml:space="preserve">full </w:t>
      </w:r>
      <w:r w:rsidR="00157CD9" w:rsidRPr="009F1F9A">
        <w:rPr>
          <w:rFonts w:cs="Times New Roman"/>
          <w:lang w:val="en-GB"/>
        </w:rPr>
        <w:t>bulk composition</w:t>
      </w:r>
      <w:r w:rsidR="003945FA">
        <w:rPr>
          <w:rFonts w:cs="Times New Roman"/>
          <w:lang w:val="en-GB"/>
        </w:rPr>
        <w:t xml:space="preserve"> particularly for coarse bodies</w:t>
      </w:r>
      <w:r w:rsidR="00157CD9" w:rsidRPr="009F1F9A">
        <w:rPr>
          <w:rFonts w:cs="Times New Roman"/>
          <w:lang w:val="en-GB"/>
        </w:rPr>
        <w:t xml:space="preserve">, but was performed </w:t>
      </w:r>
      <w:r w:rsidR="00426FF6">
        <w:rPr>
          <w:rFonts w:cs="Times New Roman"/>
          <w:lang w:val="en-GB"/>
        </w:rPr>
        <w:t>following</w:t>
      </w:r>
      <w:r w:rsidR="00157CD9" w:rsidRPr="009F1F9A">
        <w:rPr>
          <w:rFonts w:cs="Times New Roman"/>
          <w:lang w:val="en-GB"/>
        </w:rPr>
        <w:t xml:space="preserve"> the standard procedure </w:t>
      </w:r>
      <w:r w:rsidR="003945FA">
        <w:rPr>
          <w:rFonts w:cs="Times New Roman"/>
          <w:lang w:val="en-GB"/>
        </w:rPr>
        <w:t>used</w:t>
      </w:r>
      <w:r w:rsidR="0000621A" w:rsidRPr="009F1F9A">
        <w:rPr>
          <w:rFonts w:cs="Times New Roman"/>
          <w:lang w:val="en-GB"/>
        </w:rPr>
        <w:t xml:space="preserve"> in</w:t>
      </w:r>
      <w:r w:rsidR="00157CD9" w:rsidRPr="009F1F9A">
        <w:rPr>
          <w:rFonts w:cs="Times New Roman"/>
          <w:lang w:val="en-GB"/>
        </w:rPr>
        <w:t xml:space="preserve"> glazed ware examination</w:t>
      </w:r>
      <w:r w:rsidR="00DD3728" w:rsidRPr="009F1F9A">
        <w:rPr>
          <w:rFonts w:cs="Times New Roman"/>
          <w:lang w:val="en-GB"/>
        </w:rPr>
        <w:t xml:space="preserve"> (Pradell and Molera 2020)</w:t>
      </w:r>
      <w:r w:rsidR="00BC67CD" w:rsidRPr="009F1F9A">
        <w:rPr>
          <w:rFonts w:cs="Times New Roman"/>
          <w:lang w:val="en-GB"/>
        </w:rPr>
        <w:t>, complementing the data generated by thin-section petrography, which was our principal method of assessing the ceramic body.</w:t>
      </w:r>
      <w:r w:rsidRPr="009F1F9A">
        <w:rPr>
          <w:rFonts w:cs="Times New Roman"/>
          <w:lang w:val="en-GB"/>
        </w:rPr>
        <w:t xml:space="preserve"> The data presented below are an average of five analyses. All measurements were converted to oxides by stoichiometry and normalised to 100 wt% to account for fluctuations in beam intensity</w:t>
      </w:r>
      <w:r w:rsidR="003945FA">
        <w:rPr>
          <w:rFonts w:cs="Times New Roman"/>
          <w:lang w:val="en-GB"/>
        </w:rPr>
        <w:t xml:space="preserve"> and unavoidable porosity in the analysed areas</w:t>
      </w:r>
      <w:r w:rsidRPr="009F1F9A">
        <w:rPr>
          <w:rFonts w:cs="Times New Roman"/>
          <w:lang w:val="en-GB"/>
        </w:rPr>
        <w:t xml:space="preserve">. Oxides with concentration lower than 0.1 wt% are not reported as they are below the limits of detection of both instruments. </w:t>
      </w:r>
    </w:p>
    <w:p w14:paraId="77BA1D42" w14:textId="3A016D41" w:rsidR="0000621A" w:rsidRPr="009F1F9A" w:rsidRDefault="0000621A" w:rsidP="009F1F9A">
      <w:pPr>
        <w:spacing w:line="480" w:lineRule="auto"/>
        <w:jc w:val="both"/>
        <w:rPr>
          <w:rFonts w:cs="Times New Roman"/>
          <w:lang w:val="en-GB"/>
        </w:rPr>
      </w:pPr>
    </w:p>
    <w:p w14:paraId="63C92F40" w14:textId="618A68E1" w:rsidR="0000621A" w:rsidRPr="009F1F9A" w:rsidRDefault="0000621A" w:rsidP="009F1F9A">
      <w:pPr>
        <w:pStyle w:val="ListParagraph"/>
        <w:numPr>
          <w:ilvl w:val="0"/>
          <w:numId w:val="1"/>
        </w:numPr>
        <w:spacing w:line="480" w:lineRule="auto"/>
        <w:jc w:val="both"/>
        <w:rPr>
          <w:rFonts w:cs="Times New Roman"/>
          <w:b/>
          <w:lang w:val="en-GB"/>
        </w:rPr>
      </w:pPr>
      <w:r w:rsidRPr="009F1F9A">
        <w:rPr>
          <w:rFonts w:cs="Times New Roman"/>
          <w:b/>
          <w:lang w:val="en-GB"/>
        </w:rPr>
        <w:t>Results</w:t>
      </w:r>
    </w:p>
    <w:p w14:paraId="15E65BE7" w14:textId="3A36976B" w:rsidR="0000621A" w:rsidRPr="009F1F9A" w:rsidRDefault="0000621A" w:rsidP="009F1F9A">
      <w:pPr>
        <w:pStyle w:val="ListParagraph"/>
        <w:numPr>
          <w:ilvl w:val="1"/>
          <w:numId w:val="1"/>
        </w:numPr>
        <w:spacing w:line="480" w:lineRule="auto"/>
        <w:jc w:val="both"/>
        <w:rPr>
          <w:rFonts w:cs="Times New Roman"/>
          <w:lang w:val="en-GB"/>
        </w:rPr>
      </w:pPr>
      <w:r w:rsidRPr="009F1F9A">
        <w:rPr>
          <w:rFonts w:cs="Times New Roman"/>
          <w:lang w:val="en-GB"/>
        </w:rPr>
        <w:t xml:space="preserve"> Ceramic body</w:t>
      </w:r>
    </w:p>
    <w:p w14:paraId="7FEDFE6C" w14:textId="75082768" w:rsidR="0000621A" w:rsidRPr="009F1F9A" w:rsidRDefault="0000621A" w:rsidP="009F1F9A">
      <w:pPr>
        <w:spacing w:line="480" w:lineRule="auto"/>
        <w:jc w:val="both"/>
        <w:rPr>
          <w:rFonts w:cs="Times New Roman"/>
          <w:lang w:val="en-GB"/>
        </w:rPr>
      </w:pPr>
      <w:r w:rsidRPr="009F1F9A">
        <w:rPr>
          <w:rFonts w:cs="Times New Roman"/>
          <w:lang w:val="en-GB"/>
        </w:rPr>
        <w:t xml:space="preserve">Petrographic analysis identified three fabric groups, the Amphibole-Serpentine Group, Micaceous Group, and Mixed Carbonate Group. The Amphibole-Serpentine Group (n=27) </w:t>
      </w:r>
      <w:r w:rsidR="004C3A97">
        <w:rPr>
          <w:rFonts w:cs="Times New Roman"/>
          <w:lang w:val="en-GB"/>
        </w:rPr>
        <w:t xml:space="preserve">has an inclusions:matrix:voids percentage that ranges from around 30:60:10 to 50:45:5. The inclusions </w:t>
      </w:r>
      <w:r w:rsidR="00426FF6">
        <w:rPr>
          <w:rFonts w:cs="Times New Roman"/>
          <w:lang w:val="en-GB"/>
        </w:rPr>
        <w:t>consist</w:t>
      </w:r>
      <w:r w:rsidRPr="009F1F9A">
        <w:rPr>
          <w:rFonts w:cs="Times New Roman"/>
          <w:lang w:val="en-GB"/>
        </w:rPr>
        <w:t xml:space="preserve"> of around 20-30% </w:t>
      </w:r>
      <w:r w:rsidR="007C7736" w:rsidRPr="009F1F9A">
        <w:rPr>
          <w:rFonts w:cs="Times New Roman"/>
          <w:lang w:val="en-GB"/>
        </w:rPr>
        <w:t xml:space="preserve">of </w:t>
      </w:r>
      <w:r w:rsidR="004C3A97">
        <w:rPr>
          <w:rFonts w:cs="Times New Roman"/>
          <w:lang w:val="en-GB"/>
        </w:rPr>
        <w:t xml:space="preserve">monocrystalline </w:t>
      </w:r>
      <w:r w:rsidRPr="009F1F9A">
        <w:rPr>
          <w:rFonts w:cs="Times New Roman"/>
          <w:lang w:val="en-GB"/>
        </w:rPr>
        <w:t xml:space="preserve">quartz, 5-15% </w:t>
      </w:r>
      <w:r w:rsidR="007C7736" w:rsidRPr="009F1F9A">
        <w:rPr>
          <w:rFonts w:cs="Times New Roman"/>
          <w:lang w:val="en-GB"/>
        </w:rPr>
        <w:t xml:space="preserve">of </w:t>
      </w:r>
      <w:r w:rsidRPr="009F1F9A">
        <w:rPr>
          <w:rFonts w:cs="Times New Roman"/>
          <w:lang w:val="en-GB"/>
        </w:rPr>
        <w:t xml:space="preserve">serpentine, amphibole and mudstone fragments, 5-10% </w:t>
      </w:r>
      <w:r w:rsidR="007C7736" w:rsidRPr="009F1F9A">
        <w:rPr>
          <w:rFonts w:cs="Times New Roman"/>
          <w:lang w:val="en-GB"/>
        </w:rPr>
        <w:t xml:space="preserve">of </w:t>
      </w:r>
      <w:r w:rsidRPr="009F1F9A">
        <w:rPr>
          <w:rFonts w:cs="Times New Roman"/>
          <w:lang w:val="en-GB"/>
        </w:rPr>
        <w:t xml:space="preserve">plagioclase feldspar, pyroxene, biotite and limestone fragments, and &lt;5% </w:t>
      </w:r>
      <w:r w:rsidR="007C7736" w:rsidRPr="009F1F9A">
        <w:rPr>
          <w:rFonts w:cs="Times New Roman"/>
          <w:lang w:val="en-GB"/>
        </w:rPr>
        <w:t xml:space="preserve">of </w:t>
      </w:r>
      <w:r w:rsidRPr="009F1F9A">
        <w:rPr>
          <w:rFonts w:cs="Times New Roman"/>
          <w:lang w:val="en-GB"/>
        </w:rPr>
        <w:t xml:space="preserve">apatite in a non-calcareous clay matrix (Fig. </w:t>
      </w:r>
      <w:r w:rsidR="002A42C9" w:rsidRPr="009F1F9A">
        <w:rPr>
          <w:rFonts w:cs="Times New Roman"/>
          <w:lang w:val="en-GB"/>
        </w:rPr>
        <w:t>4</w:t>
      </w:r>
      <w:r w:rsidRPr="009F1F9A">
        <w:rPr>
          <w:rFonts w:cs="Times New Roman"/>
          <w:lang w:val="en-GB"/>
        </w:rPr>
        <w:t xml:space="preserve">a). The inclusions are </w:t>
      </w:r>
      <w:r w:rsidR="004C3A97">
        <w:rPr>
          <w:rFonts w:cs="Times New Roman"/>
          <w:lang w:val="en-GB"/>
        </w:rPr>
        <w:t xml:space="preserve">well-sorted and </w:t>
      </w:r>
      <w:r w:rsidRPr="009F1F9A">
        <w:rPr>
          <w:rFonts w:cs="Times New Roman"/>
          <w:lang w:val="en-GB"/>
        </w:rPr>
        <w:t>homogen</w:t>
      </w:r>
      <w:r w:rsidR="00E1120C">
        <w:rPr>
          <w:rFonts w:cs="Times New Roman"/>
          <w:lang w:val="en-GB"/>
        </w:rPr>
        <w:t>e</w:t>
      </w:r>
      <w:r w:rsidRPr="009F1F9A">
        <w:rPr>
          <w:rFonts w:cs="Times New Roman"/>
          <w:lang w:val="en-GB"/>
        </w:rPr>
        <w:t xml:space="preserve">ous in grain size (mode size=0.20 mm), with some mudstone and limestone fragments measuring up to 0.80 mm. The Micaceous Group (n=21) stands out for its fine-grained </w:t>
      </w:r>
      <w:r w:rsidR="00F47E18">
        <w:rPr>
          <w:rFonts w:cs="Times New Roman"/>
          <w:lang w:val="en-GB"/>
        </w:rPr>
        <w:t>inclusions</w:t>
      </w:r>
      <w:r w:rsidRPr="009F1F9A">
        <w:rPr>
          <w:rFonts w:cs="Times New Roman"/>
          <w:lang w:val="en-GB"/>
        </w:rPr>
        <w:t xml:space="preserve"> (mode size=0.08 mm), </w:t>
      </w:r>
      <w:r w:rsidR="004C3A97">
        <w:rPr>
          <w:rFonts w:cs="Times New Roman"/>
          <w:lang w:val="en-GB"/>
        </w:rPr>
        <w:t>with its inclusions:matrix:voids percentage ranging from around 20:75:5 to 30:65:5. The inclusions consist</w:t>
      </w:r>
      <w:r w:rsidRPr="009F1F9A">
        <w:rPr>
          <w:rFonts w:cs="Times New Roman"/>
          <w:lang w:val="en-GB"/>
        </w:rPr>
        <w:t xml:space="preserve"> of around 10-15%</w:t>
      </w:r>
      <w:r w:rsidR="007C7736" w:rsidRPr="009F1F9A">
        <w:rPr>
          <w:rFonts w:cs="Times New Roman"/>
          <w:lang w:val="en-GB"/>
        </w:rPr>
        <w:t xml:space="preserve"> </w:t>
      </w:r>
      <w:r w:rsidR="007C7736" w:rsidRPr="009F1F9A">
        <w:rPr>
          <w:rFonts w:cs="Times New Roman"/>
          <w:lang w:val="en-GB"/>
        </w:rPr>
        <w:lastRenderedPageBreak/>
        <w:t>of</w:t>
      </w:r>
      <w:r w:rsidR="002A42C9" w:rsidRPr="009F1F9A">
        <w:rPr>
          <w:rFonts w:cs="Times New Roman"/>
          <w:lang w:val="en-GB"/>
        </w:rPr>
        <w:t xml:space="preserve"> </w:t>
      </w:r>
      <w:r w:rsidRPr="009F1F9A">
        <w:rPr>
          <w:rFonts w:cs="Times New Roman"/>
          <w:lang w:val="en-GB"/>
        </w:rPr>
        <w:t xml:space="preserve">biotite and </w:t>
      </w:r>
      <w:r w:rsidR="004C3A97">
        <w:rPr>
          <w:rFonts w:cs="Times New Roman"/>
          <w:lang w:val="en-GB"/>
        </w:rPr>
        <w:t xml:space="preserve">monocrystalline </w:t>
      </w:r>
      <w:r w:rsidRPr="009F1F9A">
        <w:rPr>
          <w:rFonts w:cs="Times New Roman"/>
          <w:lang w:val="en-GB"/>
        </w:rPr>
        <w:t xml:space="preserve">quartz, 5-15% </w:t>
      </w:r>
      <w:r w:rsidR="007C7736" w:rsidRPr="009F1F9A">
        <w:rPr>
          <w:rFonts w:cs="Times New Roman"/>
          <w:lang w:val="en-GB"/>
        </w:rPr>
        <w:t xml:space="preserve">of </w:t>
      </w:r>
      <w:r w:rsidRPr="009F1F9A">
        <w:rPr>
          <w:rFonts w:cs="Times New Roman"/>
          <w:lang w:val="en-GB"/>
        </w:rPr>
        <w:t xml:space="preserve">limestone fragments, 5% </w:t>
      </w:r>
      <w:r w:rsidR="007C7736" w:rsidRPr="009F1F9A">
        <w:rPr>
          <w:rFonts w:cs="Times New Roman"/>
          <w:lang w:val="en-GB"/>
        </w:rPr>
        <w:t xml:space="preserve">of </w:t>
      </w:r>
      <w:r w:rsidRPr="009F1F9A">
        <w:rPr>
          <w:rFonts w:cs="Times New Roman"/>
          <w:lang w:val="en-GB"/>
        </w:rPr>
        <w:t xml:space="preserve">iron-rich nodules, and &lt;5% </w:t>
      </w:r>
      <w:r w:rsidR="007C7736" w:rsidRPr="009F1F9A">
        <w:rPr>
          <w:rFonts w:cs="Times New Roman"/>
          <w:lang w:val="en-GB"/>
        </w:rPr>
        <w:t xml:space="preserve">of </w:t>
      </w:r>
      <w:r w:rsidRPr="009F1F9A">
        <w:rPr>
          <w:rFonts w:cs="Times New Roman"/>
          <w:lang w:val="en-GB"/>
        </w:rPr>
        <w:t xml:space="preserve">quartzite in a calcareous clay matrix (Fig. </w:t>
      </w:r>
      <w:r w:rsidR="002A42C9" w:rsidRPr="009F1F9A">
        <w:rPr>
          <w:rFonts w:cs="Times New Roman"/>
          <w:lang w:val="en-GB"/>
        </w:rPr>
        <w:t>4</w:t>
      </w:r>
      <w:r w:rsidRPr="009F1F9A">
        <w:rPr>
          <w:rFonts w:cs="Times New Roman"/>
          <w:lang w:val="en-GB"/>
        </w:rPr>
        <w:t xml:space="preserve">b). </w:t>
      </w:r>
      <w:r w:rsidR="004C3A97">
        <w:rPr>
          <w:rFonts w:cs="Times New Roman"/>
          <w:lang w:val="en-GB"/>
        </w:rPr>
        <w:t xml:space="preserve">The inclusions of the samples in this group are well-sorted. </w:t>
      </w:r>
      <w:r w:rsidRPr="009F1F9A">
        <w:rPr>
          <w:rFonts w:cs="Times New Roman"/>
          <w:lang w:val="en-GB"/>
        </w:rPr>
        <w:t xml:space="preserve">The Mixed Carbonate Group (n=12) </w:t>
      </w:r>
      <w:r w:rsidR="009D5568" w:rsidRPr="009F1F9A">
        <w:rPr>
          <w:rFonts w:cs="Times New Roman"/>
          <w:lang w:val="en-GB"/>
        </w:rPr>
        <w:t>has</w:t>
      </w:r>
      <w:r w:rsidRPr="009F1F9A">
        <w:rPr>
          <w:rFonts w:cs="Times New Roman"/>
          <w:lang w:val="en-GB"/>
        </w:rPr>
        <w:t xml:space="preserve"> different types of carbonate materials in a micritic clay matrix</w:t>
      </w:r>
      <w:r w:rsidR="00AB22A5">
        <w:rPr>
          <w:rFonts w:cs="Times New Roman"/>
          <w:lang w:val="en-GB"/>
        </w:rPr>
        <w:t xml:space="preserve">, with its inclusions:matrix:voids percentage ranging from around 30:60:10 to 50:45:5 </w:t>
      </w:r>
      <w:r w:rsidRPr="009F1F9A">
        <w:rPr>
          <w:rFonts w:cs="Times New Roman"/>
          <w:lang w:val="en-GB"/>
        </w:rPr>
        <w:t xml:space="preserve">(Fig. </w:t>
      </w:r>
      <w:r w:rsidR="002A42C9" w:rsidRPr="009F1F9A">
        <w:rPr>
          <w:rFonts w:cs="Times New Roman"/>
          <w:lang w:val="en-GB"/>
        </w:rPr>
        <w:t>4</w:t>
      </w:r>
      <w:r w:rsidRPr="009F1F9A">
        <w:rPr>
          <w:rFonts w:cs="Times New Roman"/>
          <w:lang w:val="en-GB"/>
        </w:rPr>
        <w:t>c). The carbonate materials are made up of around 15-20%</w:t>
      </w:r>
      <w:r w:rsidR="002A42C9" w:rsidRPr="009F1F9A">
        <w:rPr>
          <w:rFonts w:cs="Times New Roman"/>
          <w:lang w:val="en-GB"/>
        </w:rPr>
        <w:t xml:space="preserve"> </w:t>
      </w:r>
      <w:r w:rsidR="007C7736" w:rsidRPr="009F1F9A">
        <w:rPr>
          <w:rFonts w:cs="Times New Roman"/>
          <w:lang w:val="en-GB"/>
        </w:rPr>
        <w:t xml:space="preserve">of </w:t>
      </w:r>
      <w:r w:rsidRPr="009F1F9A">
        <w:rPr>
          <w:rFonts w:cs="Times New Roman"/>
          <w:lang w:val="en-GB"/>
        </w:rPr>
        <w:t xml:space="preserve">limestone fragments and calcite, and 10% </w:t>
      </w:r>
      <w:r w:rsidR="007C7736" w:rsidRPr="009F1F9A">
        <w:rPr>
          <w:rFonts w:cs="Times New Roman"/>
          <w:lang w:val="en-GB"/>
        </w:rPr>
        <w:t xml:space="preserve">of </w:t>
      </w:r>
      <w:r w:rsidRPr="009F1F9A">
        <w:rPr>
          <w:rFonts w:cs="Times New Roman"/>
          <w:lang w:val="en-GB"/>
        </w:rPr>
        <w:t>skeletal carbonate grains, which are found together with around &lt;5% to 10%</w:t>
      </w:r>
      <w:r w:rsidR="002A42C9" w:rsidRPr="009F1F9A">
        <w:rPr>
          <w:rFonts w:cs="Times New Roman"/>
          <w:lang w:val="en-GB"/>
        </w:rPr>
        <w:t xml:space="preserve"> </w:t>
      </w:r>
      <w:r w:rsidR="007C7736" w:rsidRPr="009F1F9A">
        <w:rPr>
          <w:rFonts w:cs="Times New Roman"/>
          <w:lang w:val="en-GB"/>
        </w:rPr>
        <w:t xml:space="preserve">of </w:t>
      </w:r>
      <w:r w:rsidR="00AB22A5">
        <w:rPr>
          <w:rFonts w:cs="Times New Roman"/>
          <w:lang w:val="en-GB"/>
        </w:rPr>
        <w:t xml:space="preserve">monocrystalline </w:t>
      </w:r>
      <w:r w:rsidRPr="009F1F9A">
        <w:rPr>
          <w:rFonts w:cs="Times New Roman"/>
          <w:lang w:val="en-GB"/>
        </w:rPr>
        <w:t xml:space="preserve">quartz, and &lt;5% </w:t>
      </w:r>
      <w:r w:rsidR="007C7736" w:rsidRPr="009F1F9A">
        <w:rPr>
          <w:rFonts w:cs="Times New Roman"/>
          <w:lang w:val="en-GB"/>
        </w:rPr>
        <w:t xml:space="preserve">of </w:t>
      </w:r>
      <w:r w:rsidRPr="009F1F9A">
        <w:rPr>
          <w:rFonts w:cs="Times New Roman"/>
          <w:lang w:val="en-GB"/>
        </w:rPr>
        <w:t xml:space="preserve">plagioclase feldspar, amphibole, and iron-rich nodules. The inclusions are </w:t>
      </w:r>
      <w:r w:rsidR="00AB22A5">
        <w:rPr>
          <w:rFonts w:cs="Times New Roman"/>
          <w:lang w:val="en-GB"/>
        </w:rPr>
        <w:t xml:space="preserve">well-sorted and </w:t>
      </w:r>
      <w:r w:rsidRPr="009F1F9A">
        <w:rPr>
          <w:rFonts w:cs="Times New Roman"/>
          <w:lang w:val="en-GB"/>
        </w:rPr>
        <w:t xml:space="preserve">homogeneous in grain size (mode size=0.20 mm), although some quartz and limestone fragments measure up to 0.64 mm. SEM-EDS analysis of the ceramic body confirms the classification of the samples into three </w:t>
      </w:r>
      <w:r w:rsidR="00426FF6">
        <w:rPr>
          <w:rFonts w:cs="Times New Roman"/>
          <w:lang w:val="en-GB"/>
        </w:rPr>
        <w:t xml:space="preserve">compositional </w:t>
      </w:r>
      <w:r w:rsidRPr="009F1F9A">
        <w:rPr>
          <w:rFonts w:cs="Times New Roman"/>
          <w:lang w:val="en-GB"/>
        </w:rPr>
        <w:t xml:space="preserve">groups (Table </w:t>
      </w:r>
      <w:r w:rsidR="004079EF" w:rsidRPr="009F1F9A">
        <w:rPr>
          <w:rFonts w:cs="Times New Roman"/>
          <w:lang w:val="en-GB"/>
        </w:rPr>
        <w:t>2</w:t>
      </w:r>
      <w:r w:rsidRPr="009F1F9A">
        <w:rPr>
          <w:rFonts w:cs="Times New Roman"/>
          <w:lang w:val="en-GB"/>
        </w:rPr>
        <w:t xml:space="preserve">). </w:t>
      </w:r>
    </w:p>
    <w:p w14:paraId="27BA434D" w14:textId="2FB4A1DD" w:rsidR="002A42C9" w:rsidRPr="009F1F9A" w:rsidRDefault="002A42C9" w:rsidP="009F1F9A">
      <w:pPr>
        <w:spacing w:line="480" w:lineRule="auto"/>
        <w:jc w:val="both"/>
        <w:rPr>
          <w:rFonts w:cs="Times New Roman"/>
          <w:lang w:val="en-GB"/>
        </w:rPr>
      </w:pPr>
    </w:p>
    <w:p w14:paraId="3FB25A4D" w14:textId="1B208714" w:rsidR="002A42C9" w:rsidRPr="009F1F9A" w:rsidRDefault="002A42C9" w:rsidP="009F1F9A">
      <w:pPr>
        <w:pStyle w:val="ListParagraph"/>
        <w:numPr>
          <w:ilvl w:val="1"/>
          <w:numId w:val="1"/>
        </w:numPr>
        <w:spacing w:line="480" w:lineRule="auto"/>
        <w:jc w:val="both"/>
        <w:rPr>
          <w:rFonts w:cs="Times New Roman"/>
          <w:lang w:val="en-GB"/>
        </w:rPr>
      </w:pPr>
      <w:r w:rsidRPr="009F1F9A">
        <w:rPr>
          <w:rFonts w:cs="Times New Roman"/>
          <w:lang w:val="en-GB"/>
        </w:rPr>
        <w:t xml:space="preserve"> Paint and slip</w:t>
      </w:r>
    </w:p>
    <w:p w14:paraId="722B69EF" w14:textId="77777777" w:rsidR="002A42C9" w:rsidRPr="009F1F9A" w:rsidRDefault="002A42C9" w:rsidP="009F1F9A">
      <w:pPr>
        <w:pStyle w:val="ListParagraph"/>
        <w:numPr>
          <w:ilvl w:val="2"/>
          <w:numId w:val="1"/>
        </w:numPr>
        <w:spacing w:line="480" w:lineRule="auto"/>
        <w:jc w:val="both"/>
        <w:rPr>
          <w:rFonts w:cs="Times New Roman"/>
          <w:lang w:val="en-GB"/>
        </w:rPr>
      </w:pPr>
      <w:r w:rsidRPr="009F1F9A">
        <w:rPr>
          <w:rFonts w:cs="Times New Roman"/>
          <w:lang w:val="en-GB"/>
        </w:rPr>
        <w:t xml:space="preserve">Microstructure </w:t>
      </w:r>
    </w:p>
    <w:p w14:paraId="34BED254" w14:textId="19703C21" w:rsidR="00A20FF8" w:rsidRDefault="00DB04FA" w:rsidP="009F1F9A">
      <w:pPr>
        <w:spacing w:line="480" w:lineRule="auto"/>
        <w:jc w:val="both"/>
        <w:rPr>
          <w:rFonts w:cs="Times New Roman"/>
          <w:lang w:val="en-GB"/>
        </w:rPr>
      </w:pPr>
      <w:r>
        <w:rPr>
          <w:rFonts w:cs="Times New Roman"/>
          <w:lang w:val="en-GB"/>
        </w:rPr>
        <w:t xml:space="preserve">The ceramic body of all samples was covered with paint and/or slip. </w:t>
      </w:r>
      <w:r w:rsidR="00AB22A5">
        <w:rPr>
          <w:rFonts w:cs="Times New Roman"/>
          <w:lang w:val="en-GB"/>
        </w:rPr>
        <w:t xml:space="preserve">Paint was applied to create specific patterns on the surface of the vessel, </w:t>
      </w:r>
      <w:r w:rsidR="00A20FF8">
        <w:rPr>
          <w:rFonts w:cs="Times New Roman"/>
          <w:lang w:val="en-GB"/>
        </w:rPr>
        <w:t xml:space="preserve">whereas slip was used to cover the entire surface. The </w:t>
      </w:r>
      <w:r w:rsidR="00C033F3">
        <w:rPr>
          <w:rFonts w:cs="Times New Roman"/>
          <w:lang w:val="en-GB"/>
        </w:rPr>
        <w:t xml:space="preserve">white </w:t>
      </w:r>
      <w:r w:rsidR="00A20FF8">
        <w:rPr>
          <w:rFonts w:cs="Times New Roman"/>
          <w:lang w:val="en-GB"/>
        </w:rPr>
        <w:t xml:space="preserve">paint of the samples of the Amphibole-Serpentine Group, as represented by the slip-painted, sgraffito with slip-painted decoration, and biscuit-fired slip-painted wares, is thin (ca. 25-65 </w:t>
      </w:r>
      <w:r w:rsidR="00A20FF8" w:rsidRPr="009F1F9A">
        <w:rPr>
          <w:rFonts w:cs="Times New Roman"/>
          <w:lang w:val="en-GB"/>
        </w:rPr>
        <w:t>µm</w:t>
      </w:r>
      <w:r w:rsidR="00A20FF8">
        <w:rPr>
          <w:rFonts w:cs="Times New Roman"/>
          <w:lang w:val="en-GB"/>
        </w:rPr>
        <w:t>)</w:t>
      </w:r>
      <w:r>
        <w:rPr>
          <w:rFonts w:cs="Times New Roman"/>
          <w:lang w:val="en-GB"/>
        </w:rPr>
        <w:t>,</w:t>
      </w:r>
      <w:r w:rsidR="00A20FF8">
        <w:rPr>
          <w:rFonts w:cs="Times New Roman"/>
          <w:lang w:val="en-GB"/>
        </w:rPr>
        <w:t xml:space="preserve"> with very few to no particles or crystallites (Fig. 5a). The </w:t>
      </w:r>
      <w:r w:rsidR="00C033F3">
        <w:rPr>
          <w:rFonts w:cs="Times New Roman"/>
          <w:lang w:val="en-GB"/>
        </w:rPr>
        <w:t xml:space="preserve">white </w:t>
      </w:r>
      <w:r w:rsidR="00A20FF8">
        <w:rPr>
          <w:rFonts w:cs="Times New Roman"/>
          <w:lang w:val="en-GB"/>
        </w:rPr>
        <w:t>slip of the monochrome glazed, sgraffito</w:t>
      </w:r>
      <w:r>
        <w:rPr>
          <w:rFonts w:cs="Times New Roman"/>
          <w:lang w:val="en-GB"/>
        </w:rPr>
        <w:t>,</w:t>
      </w:r>
      <w:r w:rsidR="00A20FF8">
        <w:rPr>
          <w:rFonts w:cs="Times New Roman"/>
          <w:lang w:val="en-GB"/>
        </w:rPr>
        <w:t xml:space="preserve"> and sgraffito with slip-painted decoration wares of the </w:t>
      </w:r>
      <w:r w:rsidR="007602C0">
        <w:rPr>
          <w:rFonts w:cs="Times New Roman"/>
          <w:lang w:val="en-GB"/>
        </w:rPr>
        <w:t>same fabric group</w:t>
      </w:r>
      <w:r w:rsidR="00A20FF8">
        <w:rPr>
          <w:rFonts w:cs="Times New Roman"/>
          <w:lang w:val="en-GB"/>
        </w:rPr>
        <w:t xml:space="preserve"> measures between 90 and 205 </w:t>
      </w:r>
      <w:r w:rsidR="00A20FF8" w:rsidRPr="009F1F9A">
        <w:rPr>
          <w:rFonts w:cs="Times New Roman"/>
          <w:lang w:val="en-GB"/>
        </w:rPr>
        <w:t>µm</w:t>
      </w:r>
      <w:r w:rsidR="00A20FF8">
        <w:rPr>
          <w:rFonts w:cs="Times New Roman"/>
          <w:lang w:val="en-GB"/>
        </w:rPr>
        <w:t xml:space="preserve"> in thickness, with around 10% of quartz particles that are around 20 </w:t>
      </w:r>
      <w:r w:rsidR="00A20FF8" w:rsidRPr="009F1F9A">
        <w:rPr>
          <w:rFonts w:cs="Times New Roman"/>
          <w:lang w:val="en-GB"/>
        </w:rPr>
        <w:t>µm</w:t>
      </w:r>
      <w:r w:rsidR="00A20FF8">
        <w:rPr>
          <w:rFonts w:cs="Times New Roman"/>
          <w:lang w:val="en-GB"/>
        </w:rPr>
        <w:t xml:space="preserve"> in size (see Ting et al. 2019, Fig. 5b).  </w:t>
      </w:r>
    </w:p>
    <w:p w14:paraId="2EC7556B" w14:textId="77777777" w:rsidR="00A20FF8" w:rsidRDefault="00A20FF8" w:rsidP="009F1F9A">
      <w:pPr>
        <w:spacing w:line="480" w:lineRule="auto"/>
        <w:jc w:val="both"/>
        <w:rPr>
          <w:rFonts w:cs="Times New Roman"/>
          <w:lang w:val="en-GB"/>
        </w:rPr>
      </w:pPr>
    </w:p>
    <w:p w14:paraId="0C1EDE2F" w14:textId="0B2EF572" w:rsidR="00A20FF8" w:rsidRDefault="00A20FF8" w:rsidP="009F1F9A">
      <w:pPr>
        <w:spacing w:line="480" w:lineRule="auto"/>
        <w:jc w:val="both"/>
        <w:rPr>
          <w:rFonts w:cs="Times New Roman"/>
          <w:lang w:val="en-GB"/>
        </w:rPr>
      </w:pPr>
      <w:r>
        <w:rPr>
          <w:rFonts w:cs="Times New Roman"/>
          <w:lang w:val="en-GB"/>
        </w:rPr>
        <w:t>The</w:t>
      </w:r>
      <w:r w:rsidR="00C033F3">
        <w:rPr>
          <w:rFonts w:cs="Times New Roman"/>
          <w:lang w:val="en-GB"/>
        </w:rPr>
        <w:t xml:space="preserve"> </w:t>
      </w:r>
      <w:r w:rsidR="006822A7">
        <w:rPr>
          <w:rFonts w:cs="Times New Roman"/>
          <w:lang w:val="en-GB"/>
        </w:rPr>
        <w:t>brown and green</w:t>
      </w:r>
      <w:r>
        <w:rPr>
          <w:rFonts w:cs="Times New Roman"/>
          <w:lang w:val="en-GB"/>
        </w:rPr>
        <w:t xml:space="preserve"> paint of the painted glazed samples </w:t>
      </w:r>
      <w:r w:rsidR="00DB04FA">
        <w:rPr>
          <w:rFonts w:cs="Times New Roman"/>
          <w:lang w:val="en-GB"/>
        </w:rPr>
        <w:t>of</w:t>
      </w:r>
      <w:r>
        <w:rPr>
          <w:rFonts w:cs="Times New Roman"/>
          <w:lang w:val="en-GB"/>
        </w:rPr>
        <w:t xml:space="preserve"> the Micaceous Group has a different microstructure</w:t>
      </w:r>
      <w:r w:rsidR="00DF70C5">
        <w:rPr>
          <w:rFonts w:cs="Times New Roman"/>
          <w:lang w:val="en-GB"/>
        </w:rPr>
        <w:t xml:space="preserve"> from the paint of the Amphibole-Serpentine Group</w:t>
      </w:r>
      <w:r w:rsidR="0049252A">
        <w:rPr>
          <w:rFonts w:cs="Times New Roman"/>
          <w:lang w:val="en-GB"/>
        </w:rPr>
        <w:t xml:space="preserve">, as highlighted in </w:t>
      </w:r>
      <w:r w:rsidR="0049252A">
        <w:rPr>
          <w:rFonts w:cs="Times New Roman"/>
          <w:lang w:val="en-GB"/>
        </w:rPr>
        <w:lastRenderedPageBreak/>
        <w:t xml:space="preserve">their biscuit-fired counterparts (PS17, PS18). </w:t>
      </w:r>
      <w:r w:rsidR="0049252A" w:rsidRPr="009F1F9A">
        <w:rPr>
          <w:rFonts w:cs="Times New Roman"/>
          <w:lang w:val="en-GB"/>
        </w:rPr>
        <w:t>Although the paint of both samples is corroded, darker patches and undissolved quartz in a bright matrix can be recognised (Fig. 5</w:t>
      </w:r>
      <w:r w:rsidR="00B05583">
        <w:rPr>
          <w:rFonts w:cs="Times New Roman"/>
          <w:lang w:val="en-GB"/>
        </w:rPr>
        <w:t>b</w:t>
      </w:r>
      <w:r w:rsidR="0049252A" w:rsidRPr="009F1F9A">
        <w:rPr>
          <w:rFonts w:cs="Times New Roman"/>
          <w:lang w:val="en-GB"/>
        </w:rPr>
        <w:t>). A paint layer of similar microstructure is not observable in the painted glazed samples that had undergone firing (KF08, KF09, PS12, PS13, PS14, PS15, PS16) (see Fig. 7a).</w:t>
      </w:r>
      <w:r w:rsidR="0049252A">
        <w:rPr>
          <w:rFonts w:cs="Times New Roman"/>
          <w:lang w:val="en-GB"/>
        </w:rPr>
        <w:t xml:space="preserve"> While the </w:t>
      </w:r>
      <w:r w:rsidR="00C033F3">
        <w:rPr>
          <w:rFonts w:cs="Times New Roman"/>
          <w:lang w:val="en-GB"/>
        </w:rPr>
        <w:t xml:space="preserve">white </w:t>
      </w:r>
      <w:r w:rsidR="0049252A">
        <w:rPr>
          <w:rFonts w:cs="Times New Roman"/>
          <w:lang w:val="en-GB"/>
        </w:rPr>
        <w:t>slip of the sgraffito samples of the Micaceous Group is also made of a mixture of quartz and clay</w:t>
      </w:r>
      <w:r w:rsidR="007814F5">
        <w:rPr>
          <w:rFonts w:cs="Times New Roman"/>
          <w:lang w:val="en-GB"/>
        </w:rPr>
        <w:t xml:space="preserve">, the quartz inclusions display greater </w:t>
      </w:r>
      <w:r w:rsidR="007814F5" w:rsidRPr="009F1F9A">
        <w:rPr>
          <w:rFonts w:cs="Times New Roman"/>
          <w:lang w:val="en-GB"/>
        </w:rPr>
        <w:t>heterogeneity in abundance, size, and shape</w:t>
      </w:r>
      <w:r w:rsidR="007814F5">
        <w:rPr>
          <w:rFonts w:cs="Times New Roman"/>
          <w:lang w:val="en-GB"/>
        </w:rPr>
        <w:t xml:space="preserve"> </w:t>
      </w:r>
      <w:r w:rsidR="007814F5" w:rsidRPr="009F1F9A">
        <w:rPr>
          <w:rFonts w:cs="Times New Roman"/>
          <w:lang w:val="en-GB"/>
        </w:rPr>
        <w:t>(Fig. 6a to c)</w:t>
      </w:r>
      <w:r w:rsidR="007814F5">
        <w:rPr>
          <w:rFonts w:cs="Times New Roman"/>
          <w:lang w:val="en-GB"/>
        </w:rPr>
        <w:t xml:space="preserve">. </w:t>
      </w:r>
      <w:r w:rsidR="007814F5" w:rsidRPr="009F1F9A">
        <w:rPr>
          <w:rFonts w:cs="Times New Roman"/>
          <w:lang w:val="en-GB"/>
        </w:rPr>
        <w:t>The quartz particles of PS02, PS03 and PS04 are 10 to 30 µm in size, accounting for around 30% of the slip. The quartz particles of PS06 and PS07 are more angular and coarser-grained (20 to 50 µm), making up around 80% of the slip. The quartz particles of KF02 and KF04 are very angular and very coarse-grained (20 to 60 µm), constituting around 50% of the slip.</w:t>
      </w:r>
      <w:r w:rsidR="007814F5">
        <w:rPr>
          <w:rFonts w:cs="Times New Roman"/>
          <w:lang w:val="en-GB"/>
        </w:rPr>
        <w:t xml:space="preserve"> The slip of the white-slipped samples (AG19, AG20, KF06, VS04) deviates from the slip of the sgraffito belonging to the same fabric group, as it is </w:t>
      </w:r>
      <w:r w:rsidR="007814F5" w:rsidRPr="009F1F9A">
        <w:rPr>
          <w:rFonts w:cs="Times New Roman"/>
          <w:lang w:val="en-GB"/>
        </w:rPr>
        <w:t>packed with quartz particles that are homogeneous in size (20 µm) and rounder in shape, bound with little clay material (Fig. 6d).</w:t>
      </w:r>
      <w:r w:rsidR="007814F5">
        <w:rPr>
          <w:rFonts w:cs="Times New Roman"/>
          <w:lang w:val="en-GB"/>
        </w:rPr>
        <w:t xml:space="preserve"> </w:t>
      </w:r>
    </w:p>
    <w:p w14:paraId="023A5A8E" w14:textId="77777777" w:rsidR="0049252A" w:rsidRDefault="0049252A" w:rsidP="009F1F9A">
      <w:pPr>
        <w:spacing w:line="480" w:lineRule="auto"/>
        <w:jc w:val="both"/>
        <w:rPr>
          <w:rFonts w:cs="Times New Roman"/>
          <w:lang w:val="en-GB"/>
        </w:rPr>
      </w:pPr>
    </w:p>
    <w:p w14:paraId="068BDF7A" w14:textId="2C70BEB6" w:rsidR="002A42C9" w:rsidRPr="009F1F9A" w:rsidRDefault="002A42C9" w:rsidP="009F1F9A">
      <w:pPr>
        <w:spacing w:line="480" w:lineRule="auto"/>
        <w:jc w:val="both"/>
        <w:rPr>
          <w:rFonts w:cs="Times New Roman"/>
          <w:lang w:val="en-GB"/>
        </w:rPr>
      </w:pPr>
      <w:r w:rsidRPr="009F1F9A">
        <w:rPr>
          <w:rFonts w:cs="Times New Roman"/>
          <w:lang w:val="en-GB"/>
        </w:rPr>
        <w:t>The slip-painted samples</w:t>
      </w:r>
      <w:r w:rsidR="007814F5" w:rsidRPr="009F1F9A">
        <w:rPr>
          <w:rFonts w:cs="Times New Roman"/>
          <w:lang w:val="en-GB"/>
        </w:rPr>
        <w:t xml:space="preserve"> </w:t>
      </w:r>
      <w:r w:rsidR="007814F5">
        <w:rPr>
          <w:rFonts w:cs="Times New Roman"/>
          <w:lang w:val="en-GB"/>
        </w:rPr>
        <w:t xml:space="preserve">of the Mixed Carbonate Group </w:t>
      </w:r>
      <w:r w:rsidR="00FF0494">
        <w:rPr>
          <w:rFonts w:cs="Times New Roman"/>
          <w:lang w:val="en-GB"/>
        </w:rPr>
        <w:t>(</w:t>
      </w:r>
      <w:r w:rsidR="00FF0494" w:rsidRPr="009F1F9A">
        <w:rPr>
          <w:rFonts w:cs="Times New Roman"/>
          <w:lang w:val="en-GB"/>
        </w:rPr>
        <w:t>PS09, PS10, PS11)</w:t>
      </w:r>
      <w:r w:rsidR="00FF0494">
        <w:rPr>
          <w:rFonts w:cs="Times New Roman"/>
          <w:lang w:val="en-GB"/>
        </w:rPr>
        <w:t xml:space="preserve"> </w:t>
      </w:r>
      <w:r w:rsidR="00C033F3">
        <w:rPr>
          <w:rFonts w:cs="Times New Roman"/>
          <w:lang w:val="en-GB"/>
        </w:rPr>
        <w:t xml:space="preserve">consists of a layer of white paint made with </w:t>
      </w:r>
      <w:r w:rsidR="00D90CBE" w:rsidRPr="009F1F9A">
        <w:rPr>
          <w:rFonts w:cs="Times New Roman"/>
          <w:lang w:val="en-GB"/>
        </w:rPr>
        <w:t>coarser-grained quartz particles</w:t>
      </w:r>
      <w:r w:rsidR="003C1B2F" w:rsidRPr="009F1F9A">
        <w:rPr>
          <w:rFonts w:cs="Times New Roman"/>
          <w:lang w:val="en-GB"/>
        </w:rPr>
        <w:t xml:space="preserve">, overlying a </w:t>
      </w:r>
      <w:r w:rsidR="00C033F3">
        <w:rPr>
          <w:rFonts w:cs="Times New Roman"/>
          <w:lang w:val="en-GB"/>
        </w:rPr>
        <w:t xml:space="preserve">brown </w:t>
      </w:r>
      <w:r w:rsidR="003C1B2F" w:rsidRPr="009F1F9A">
        <w:rPr>
          <w:rFonts w:cs="Times New Roman"/>
          <w:lang w:val="en-GB"/>
        </w:rPr>
        <w:t>slip layer with a brighter matrix than the associated ceramic body (Fig. 5</w:t>
      </w:r>
      <w:r w:rsidR="00B05583">
        <w:rPr>
          <w:rFonts w:cs="Times New Roman"/>
          <w:lang w:val="en-GB"/>
        </w:rPr>
        <w:t>c</w:t>
      </w:r>
      <w:r w:rsidR="003C1B2F" w:rsidRPr="009F1F9A">
        <w:rPr>
          <w:rFonts w:cs="Times New Roman"/>
          <w:lang w:val="en-GB"/>
        </w:rPr>
        <w:t>).</w:t>
      </w:r>
      <w:r w:rsidR="00D90CBE" w:rsidRPr="009F1F9A">
        <w:rPr>
          <w:rFonts w:cs="Times New Roman"/>
          <w:lang w:val="en-GB"/>
        </w:rPr>
        <w:t xml:space="preserve"> </w:t>
      </w:r>
      <w:r w:rsidR="00DB04FA">
        <w:rPr>
          <w:rFonts w:cs="Times New Roman"/>
          <w:lang w:val="en-GB"/>
        </w:rPr>
        <w:t xml:space="preserve">More variations are observed in the slip of the Mixed Carbonate Group, as evident in the identification of the use of a mixture of quartz </w:t>
      </w:r>
      <w:r w:rsidR="000B0B3B">
        <w:rPr>
          <w:rFonts w:cs="Times New Roman"/>
          <w:lang w:val="en-GB"/>
        </w:rPr>
        <w:t>particles</w:t>
      </w:r>
      <w:r w:rsidR="00DB04FA">
        <w:rPr>
          <w:rFonts w:cs="Times New Roman"/>
          <w:lang w:val="en-GB"/>
        </w:rPr>
        <w:t xml:space="preserve"> and clay (AG05, AG10), the presence of fine-grained apatite (PS05), and a compacted layer of non-calcareous clay (KF13). Adding to this variety </w:t>
      </w:r>
      <w:r w:rsidR="00C033F3">
        <w:rPr>
          <w:rFonts w:cs="Times New Roman"/>
          <w:lang w:val="en-GB"/>
        </w:rPr>
        <w:t>is the</w:t>
      </w:r>
      <w:r w:rsidR="00DB04FA">
        <w:rPr>
          <w:rFonts w:cs="Times New Roman"/>
          <w:lang w:val="en-GB"/>
        </w:rPr>
        <w:t xml:space="preserve"> slip </w:t>
      </w:r>
      <w:r w:rsidR="00C033F3">
        <w:rPr>
          <w:rFonts w:cs="Times New Roman"/>
          <w:lang w:val="en-GB"/>
        </w:rPr>
        <w:t xml:space="preserve">of </w:t>
      </w:r>
      <w:r w:rsidR="00DB04FA">
        <w:rPr>
          <w:rFonts w:cs="Times New Roman"/>
          <w:lang w:val="en-GB"/>
        </w:rPr>
        <w:t xml:space="preserve">the white-slipped samples of the Mixed Carbonate Group, which displays similar features as those of the Micaceous Group. </w:t>
      </w:r>
    </w:p>
    <w:p w14:paraId="2262E163" w14:textId="77777777" w:rsidR="002A42C9" w:rsidRPr="009F1F9A" w:rsidRDefault="002A42C9" w:rsidP="009F1F9A">
      <w:pPr>
        <w:spacing w:line="480" w:lineRule="auto"/>
        <w:jc w:val="both"/>
        <w:rPr>
          <w:rFonts w:cs="Times New Roman"/>
          <w:lang w:val="en-GB"/>
        </w:rPr>
      </w:pPr>
    </w:p>
    <w:p w14:paraId="466D5653" w14:textId="77777777" w:rsidR="002A42C9" w:rsidRPr="009F1F9A" w:rsidRDefault="002A42C9" w:rsidP="009F1F9A">
      <w:pPr>
        <w:pStyle w:val="ListParagraph"/>
        <w:numPr>
          <w:ilvl w:val="2"/>
          <w:numId w:val="1"/>
        </w:numPr>
        <w:spacing w:line="480" w:lineRule="auto"/>
        <w:jc w:val="both"/>
        <w:rPr>
          <w:rFonts w:cs="Times New Roman"/>
          <w:lang w:val="en-GB"/>
        </w:rPr>
      </w:pPr>
      <w:r w:rsidRPr="009F1F9A">
        <w:rPr>
          <w:rFonts w:cs="Times New Roman"/>
          <w:lang w:val="en-GB"/>
        </w:rPr>
        <w:t>Composition</w:t>
      </w:r>
    </w:p>
    <w:p w14:paraId="79993FEF" w14:textId="7886B452" w:rsidR="000B0B3B" w:rsidRDefault="00C033F3" w:rsidP="009F1F9A">
      <w:pPr>
        <w:spacing w:line="480" w:lineRule="auto"/>
        <w:jc w:val="both"/>
        <w:rPr>
          <w:rFonts w:cs="Times New Roman"/>
          <w:lang w:val="en-GB"/>
        </w:rPr>
      </w:pPr>
      <w:r>
        <w:rPr>
          <w:rFonts w:cs="Times New Roman"/>
          <w:lang w:val="en-GB"/>
        </w:rPr>
        <w:lastRenderedPageBreak/>
        <w:t xml:space="preserve">With only a few exceptions, the </w:t>
      </w:r>
      <w:r w:rsidR="000B0B3B">
        <w:rPr>
          <w:rFonts w:cs="Times New Roman"/>
          <w:lang w:val="en-GB"/>
        </w:rPr>
        <w:t xml:space="preserve">composition of both </w:t>
      </w:r>
      <w:r w:rsidR="00DF70C5">
        <w:rPr>
          <w:rFonts w:cs="Times New Roman"/>
          <w:lang w:val="en-GB"/>
        </w:rPr>
        <w:t xml:space="preserve">white </w:t>
      </w:r>
      <w:r w:rsidR="000B0B3B">
        <w:rPr>
          <w:rFonts w:cs="Times New Roman"/>
          <w:lang w:val="en-GB"/>
        </w:rPr>
        <w:t xml:space="preserve">paint and slip </w:t>
      </w:r>
      <w:r>
        <w:rPr>
          <w:rFonts w:cs="Times New Roman"/>
          <w:lang w:val="en-GB"/>
        </w:rPr>
        <w:t xml:space="preserve">is consistent </w:t>
      </w:r>
      <w:r w:rsidR="000B0B3B">
        <w:rPr>
          <w:rFonts w:cs="Times New Roman"/>
          <w:lang w:val="en-GB"/>
        </w:rPr>
        <w:t xml:space="preserve">with each other and </w:t>
      </w:r>
      <w:r>
        <w:rPr>
          <w:rFonts w:cs="Times New Roman"/>
          <w:lang w:val="en-GB"/>
        </w:rPr>
        <w:t xml:space="preserve">across fabric groups. </w:t>
      </w:r>
      <w:r w:rsidR="000B0B3B">
        <w:rPr>
          <w:rFonts w:cs="Times New Roman"/>
          <w:lang w:val="en-GB"/>
        </w:rPr>
        <w:t>Noteworthy is that t</w:t>
      </w:r>
      <w:r w:rsidR="002A42C9" w:rsidRPr="009F1F9A">
        <w:rPr>
          <w:rFonts w:cs="Times New Roman"/>
          <w:lang w:val="en-GB"/>
        </w:rPr>
        <w:t xml:space="preserve">he analysis of the </w:t>
      </w:r>
      <w:r w:rsidR="000B0B3B">
        <w:rPr>
          <w:rFonts w:cs="Times New Roman"/>
          <w:lang w:val="en-GB"/>
        </w:rPr>
        <w:t xml:space="preserve">white </w:t>
      </w:r>
      <w:r w:rsidR="002A42C9" w:rsidRPr="009F1F9A">
        <w:rPr>
          <w:rFonts w:cs="Times New Roman"/>
          <w:lang w:val="en-GB"/>
        </w:rPr>
        <w:t xml:space="preserve">paint </w:t>
      </w:r>
      <w:r w:rsidR="000B0B3B">
        <w:rPr>
          <w:rFonts w:cs="Times New Roman"/>
          <w:lang w:val="en-GB"/>
        </w:rPr>
        <w:t xml:space="preserve">of </w:t>
      </w:r>
      <w:r w:rsidR="002A42C9" w:rsidRPr="009F1F9A">
        <w:rPr>
          <w:rFonts w:cs="Times New Roman"/>
          <w:lang w:val="en-GB"/>
        </w:rPr>
        <w:t xml:space="preserve">the unglazed biscuit-fired slip-painted samples </w:t>
      </w:r>
      <w:r w:rsidR="000B0B3B">
        <w:rPr>
          <w:rFonts w:cs="Times New Roman"/>
          <w:lang w:val="en-GB"/>
        </w:rPr>
        <w:t>of the Amphibole-Serpentine Group</w:t>
      </w:r>
      <w:r w:rsidR="002A42C9" w:rsidRPr="009F1F9A">
        <w:rPr>
          <w:rFonts w:cs="Times New Roman"/>
          <w:lang w:val="en-GB"/>
        </w:rPr>
        <w:t xml:space="preserve"> </w:t>
      </w:r>
      <w:r w:rsidR="00DF70C5" w:rsidRPr="009F1F9A">
        <w:rPr>
          <w:rFonts w:cs="Times New Roman"/>
          <w:lang w:val="en-GB"/>
        </w:rPr>
        <w:t>(PT23, PT24, PT25, PT26, PT27)</w:t>
      </w:r>
      <w:r w:rsidR="00DF70C5">
        <w:rPr>
          <w:rFonts w:cs="Times New Roman"/>
          <w:lang w:val="en-GB"/>
        </w:rPr>
        <w:t xml:space="preserve"> </w:t>
      </w:r>
      <w:r w:rsidR="002A42C9" w:rsidRPr="009F1F9A">
        <w:rPr>
          <w:rFonts w:cs="Times New Roman"/>
          <w:lang w:val="en-GB"/>
        </w:rPr>
        <w:t xml:space="preserve">and </w:t>
      </w:r>
      <w:r w:rsidR="000B0B3B">
        <w:rPr>
          <w:rFonts w:cs="Times New Roman"/>
          <w:lang w:val="en-GB"/>
        </w:rPr>
        <w:t xml:space="preserve">the slip of the </w:t>
      </w:r>
      <w:r w:rsidR="002A42C9" w:rsidRPr="009F1F9A">
        <w:rPr>
          <w:rFonts w:cs="Times New Roman"/>
          <w:lang w:val="en-GB"/>
        </w:rPr>
        <w:t xml:space="preserve">white-slipped samples </w:t>
      </w:r>
      <w:r w:rsidR="000B0B3B">
        <w:rPr>
          <w:rFonts w:cs="Times New Roman"/>
          <w:lang w:val="en-GB"/>
        </w:rPr>
        <w:t>of the Mixed Carbonate Group</w:t>
      </w:r>
      <w:r w:rsidR="00DF70C5">
        <w:rPr>
          <w:rFonts w:cs="Times New Roman"/>
          <w:lang w:val="en-GB"/>
        </w:rPr>
        <w:t xml:space="preserve"> </w:t>
      </w:r>
      <w:r w:rsidR="00DF70C5" w:rsidRPr="009F1F9A">
        <w:rPr>
          <w:rFonts w:cs="Times New Roman"/>
          <w:lang w:val="en-GB"/>
        </w:rPr>
        <w:t>(VS02, VS03)</w:t>
      </w:r>
      <w:r w:rsidR="00DF70C5">
        <w:rPr>
          <w:rFonts w:cs="Times New Roman"/>
          <w:lang w:val="en-GB"/>
        </w:rPr>
        <w:t xml:space="preserve"> </w:t>
      </w:r>
      <w:r w:rsidR="002A42C9" w:rsidRPr="009F1F9A">
        <w:rPr>
          <w:rFonts w:cs="Times New Roman"/>
          <w:lang w:val="en-GB"/>
        </w:rPr>
        <w:t xml:space="preserve">shows that the PbO concentration is </w:t>
      </w:r>
      <w:r w:rsidR="00426FF6">
        <w:rPr>
          <w:rFonts w:cs="Times New Roman"/>
          <w:lang w:val="en-GB"/>
        </w:rPr>
        <w:t xml:space="preserve">either </w:t>
      </w:r>
      <w:r w:rsidR="002A42C9" w:rsidRPr="009F1F9A">
        <w:rPr>
          <w:rFonts w:cs="Times New Roman"/>
          <w:lang w:val="en-GB"/>
        </w:rPr>
        <w:t xml:space="preserve">low or below the limits of detection (Table </w:t>
      </w:r>
      <w:r w:rsidR="004079EF" w:rsidRPr="009F1F9A">
        <w:rPr>
          <w:rFonts w:cs="Times New Roman"/>
          <w:lang w:val="en-GB"/>
        </w:rPr>
        <w:t>3</w:t>
      </w:r>
      <w:r w:rsidR="002A42C9" w:rsidRPr="009F1F9A">
        <w:rPr>
          <w:rFonts w:cs="Times New Roman"/>
          <w:lang w:val="en-GB"/>
        </w:rPr>
        <w:t>)</w:t>
      </w:r>
      <w:r w:rsidR="00055502" w:rsidRPr="009F1F9A">
        <w:rPr>
          <w:rFonts w:cs="Times New Roman"/>
          <w:lang w:val="en-GB"/>
        </w:rPr>
        <w:t xml:space="preserve">. </w:t>
      </w:r>
      <w:r w:rsidR="00B37CCC" w:rsidRPr="009F1F9A">
        <w:rPr>
          <w:rFonts w:cs="Times New Roman"/>
          <w:lang w:val="en-GB"/>
        </w:rPr>
        <w:t xml:space="preserve">The PbO concentration in the paint and slip of the glazed ware samples, therefore, likely reflects a reaction with the glaze. </w:t>
      </w:r>
      <w:r w:rsidR="000B0B3B" w:rsidRPr="009F1F9A">
        <w:rPr>
          <w:rFonts w:cs="Times New Roman"/>
          <w:lang w:val="en-GB"/>
        </w:rPr>
        <w:t xml:space="preserve">Since PbO is not an original feature of </w:t>
      </w:r>
      <w:r w:rsidR="000B0B3B">
        <w:rPr>
          <w:rFonts w:cs="Times New Roman"/>
          <w:lang w:val="en-GB"/>
        </w:rPr>
        <w:t xml:space="preserve">the </w:t>
      </w:r>
      <w:r w:rsidR="000B0B3B" w:rsidRPr="009F1F9A">
        <w:rPr>
          <w:rFonts w:cs="Times New Roman"/>
          <w:lang w:val="en-GB"/>
        </w:rPr>
        <w:t xml:space="preserve">slips and paints, </w:t>
      </w:r>
      <w:r w:rsidR="000B0B3B">
        <w:rPr>
          <w:rFonts w:cs="Times New Roman"/>
          <w:lang w:val="en-GB"/>
        </w:rPr>
        <w:t xml:space="preserve">for the further discussion </w:t>
      </w:r>
      <w:r w:rsidR="000B0B3B" w:rsidRPr="009F1F9A">
        <w:rPr>
          <w:rFonts w:cs="Times New Roman"/>
          <w:lang w:val="en-GB"/>
        </w:rPr>
        <w:t xml:space="preserve">it was removed from their composition, which was </w:t>
      </w:r>
      <w:r w:rsidR="000B0B3B">
        <w:rPr>
          <w:rFonts w:cs="Times New Roman"/>
          <w:lang w:val="en-GB"/>
        </w:rPr>
        <w:t xml:space="preserve">then </w:t>
      </w:r>
      <w:r w:rsidR="000B0B3B" w:rsidRPr="009F1F9A">
        <w:rPr>
          <w:rFonts w:cs="Times New Roman"/>
          <w:lang w:val="en-GB"/>
        </w:rPr>
        <w:t xml:space="preserve">renormalised to 100 wt%. Also, </w:t>
      </w:r>
      <w:r w:rsidR="000B0B3B">
        <w:rPr>
          <w:rFonts w:cs="Times New Roman"/>
          <w:lang w:val="en-GB"/>
        </w:rPr>
        <w:t xml:space="preserve">the composition of the paint and slip is acquired from analysing both clay and particles as the difference between clay with and without particles </w:t>
      </w:r>
      <w:r w:rsidR="000B0B3B" w:rsidRPr="009F1F9A">
        <w:rPr>
          <w:rFonts w:cs="Times New Roman"/>
          <w:lang w:val="en-GB"/>
        </w:rPr>
        <w:t>is slight and systematic, with higher SiO</w:t>
      </w:r>
      <w:r w:rsidR="000B0B3B" w:rsidRPr="009F1F9A">
        <w:rPr>
          <w:rFonts w:cs="Times New Roman"/>
          <w:vertAlign w:val="subscript"/>
          <w:lang w:val="en-GB"/>
        </w:rPr>
        <w:t>2</w:t>
      </w:r>
      <w:r w:rsidR="000B0B3B" w:rsidRPr="009F1F9A">
        <w:rPr>
          <w:rFonts w:cs="Times New Roman"/>
          <w:lang w:val="en-GB"/>
        </w:rPr>
        <w:t xml:space="preserve"> in </w:t>
      </w:r>
      <w:r w:rsidR="000B0B3B">
        <w:rPr>
          <w:rFonts w:cs="Times New Roman"/>
          <w:lang w:val="en-GB"/>
        </w:rPr>
        <w:t>clay with particles</w:t>
      </w:r>
      <w:r w:rsidR="000B0B3B" w:rsidRPr="009F1F9A">
        <w:rPr>
          <w:rFonts w:cs="Times New Roman"/>
          <w:lang w:val="en-GB"/>
        </w:rPr>
        <w:t xml:space="preserve"> due to added quartz. The paint and slip tend to have higher Al</w:t>
      </w:r>
      <w:r w:rsidR="000B0B3B" w:rsidRPr="009F1F9A">
        <w:rPr>
          <w:rFonts w:cs="Times New Roman"/>
          <w:vertAlign w:val="subscript"/>
          <w:lang w:val="en-GB"/>
        </w:rPr>
        <w:t>2</w:t>
      </w:r>
      <w:r w:rsidR="000B0B3B" w:rsidRPr="009F1F9A">
        <w:rPr>
          <w:rFonts w:cs="Times New Roman"/>
          <w:lang w:val="en-GB"/>
        </w:rPr>
        <w:t>O</w:t>
      </w:r>
      <w:r w:rsidR="000B0B3B" w:rsidRPr="009F1F9A">
        <w:rPr>
          <w:rFonts w:cs="Times New Roman"/>
          <w:vertAlign w:val="subscript"/>
          <w:lang w:val="en-GB"/>
        </w:rPr>
        <w:t>3</w:t>
      </w:r>
      <w:r w:rsidR="000B0B3B" w:rsidRPr="009F1F9A">
        <w:rPr>
          <w:rFonts w:cs="Times New Roman"/>
          <w:lang w:val="en-GB"/>
        </w:rPr>
        <w:t xml:space="preserve"> and SiO</w:t>
      </w:r>
      <w:r w:rsidR="000B0B3B" w:rsidRPr="009F1F9A">
        <w:rPr>
          <w:rFonts w:cs="Times New Roman"/>
          <w:vertAlign w:val="subscript"/>
          <w:lang w:val="en-GB"/>
        </w:rPr>
        <w:t>2</w:t>
      </w:r>
      <w:r w:rsidR="000B0B3B" w:rsidRPr="009F1F9A">
        <w:rPr>
          <w:rFonts w:cs="Times New Roman"/>
          <w:lang w:val="en-GB"/>
        </w:rPr>
        <w:t xml:space="preserve"> and lower CaO and Fe</w:t>
      </w:r>
      <w:r w:rsidR="000B0B3B" w:rsidRPr="009F1F9A">
        <w:rPr>
          <w:rFonts w:cs="Times New Roman"/>
          <w:vertAlign w:val="subscript"/>
          <w:lang w:val="en-GB"/>
        </w:rPr>
        <w:t>2</w:t>
      </w:r>
      <w:r w:rsidR="000B0B3B" w:rsidRPr="009F1F9A">
        <w:rPr>
          <w:rFonts w:cs="Times New Roman"/>
          <w:lang w:val="en-GB"/>
        </w:rPr>
        <w:t>O</w:t>
      </w:r>
      <w:r w:rsidR="000B0B3B" w:rsidRPr="009F1F9A">
        <w:rPr>
          <w:rFonts w:cs="Times New Roman"/>
          <w:vertAlign w:val="subscript"/>
          <w:lang w:val="en-GB"/>
        </w:rPr>
        <w:t>3</w:t>
      </w:r>
      <w:r w:rsidR="000B0B3B" w:rsidRPr="009F1F9A">
        <w:rPr>
          <w:rFonts w:cs="Times New Roman"/>
          <w:lang w:val="en-GB"/>
        </w:rPr>
        <w:t xml:space="preserve"> concentration than their associated ceramic body; suggesting that </w:t>
      </w:r>
      <w:r w:rsidR="000B0B3B">
        <w:rPr>
          <w:rFonts w:cs="Times New Roman"/>
          <w:lang w:val="en-GB"/>
        </w:rPr>
        <w:t xml:space="preserve">a </w:t>
      </w:r>
      <w:r w:rsidR="000B0B3B" w:rsidRPr="009F1F9A">
        <w:rPr>
          <w:rFonts w:cs="Times New Roman"/>
          <w:lang w:val="en-GB"/>
        </w:rPr>
        <w:t>different</w:t>
      </w:r>
      <w:r w:rsidR="000B0B3B">
        <w:rPr>
          <w:rFonts w:cs="Times New Roman"/>
          <w:lang w:val="en-GB"/>
        </w:rPr>
        <w:t>, alumina-rich</w:t>
      </w:r>
      <w:r w:rsidR="000B0B3B" w:rsidRPr="009F1F9A">
        <w:rPr>
          <w:rFonts w:cs="Times New Roman"/>
          <w:lang w:val="en-GB"/>
        </w:rPr>
        <w:t xml:space="preserve"> clay</w:t>
      </w:r>
      <w:r w:rsidR="000B0B3B">
        <w:rPr>
          <w:rFonts w:cs="Times New Roman"/>
          <w:lang w:val="en-GB"/>
        </w:rPr>
        <w:t xml:space="preserve"> was</w:t>
      </w:r>
      <w:r w:rsidR="000B0B3B" w:rsidRPr="009F1F9A">
        <w:rPr>
          <w:rFonts w:cs="Times New Roman"/>
          <w:lang w:val="en-GB"/>
        </w:rPr>
        <w:t xml:space="preserve"> used for the paint/slip and ceramic body.</w:t>
      </w:r>
    </w:p>
    <w:p w14:paraId="5594910F" w14:textId="77777777" w:rsidR="000B0B3B" w:rsidRDefault="000B0B3B" w:rsidP="009F1F9A">
      <w:pPr>
        <w:spacing w:line="480" w:lineRule="auto"/>
        <w:jc w:val="both"/>
        <w:rPr>
          <w:rFonts w:cs="Times New Roman"/>
          <w:lang w:val="en-GB"/>
        </w:rPr>
      </w:pPr>
    </w:p>
    <w:p w14:paraId="6440F96A" w14:textId="5DA5BBD3" w:rsidR="002A42C9" w:rsidRPr="009F1F9A" w:rsidRDefault="000B0B3B" w:rsidP="009F1F9A">
      <w:pPr>
        <w:spacing w:line="480" w:lineRule="auto"/>
        <w:jc w:val="both"/>
        <w:rPr>
          <w:rFonts w:cs="Times New Roman"/>
          <w:lang w:val="en-GB"/>
        </w:rPr>
      </w:pPr>
      <w:r w:rsidRPr="009F1F9A">
        <w:rPr>
          <w:rFonts w:cs="Times New Roman"/>
          <w:lang w:val="en-GB"/>
        </w:rPr>
        <w:t>Although alumin</w:t>
      </w:r>
      <w:r>
        <w:rPr>
          <w:rFonts w:cs="Times New Roman"/>
          <w:lang w:val="en-GB"/>
        </w:rPr>
        <w:t>a</w:t>
      </w:r>
      <w:r w:rsidRPr="009F1F9A">
        <w:rPr>
          <w:rFonts w:cs="Times New Roman"/>
          <w:lang w:val="en-GB"/>
        </w:rPr>
        <w:t>-rich clay</w:t>
      </w:r>
      <w:r w:rsidR="00DF70C5">
        <w:rPr>
          <w:rFonts w:cs="Times New Roman"/>
          <w:lang w:val="en-GB"/>
        </w:rPr>
        <w:t xml:space="preserve"> </w:t>
      </w:r>
      <w:r w:rsidRPr="009F1F9A">
        <w:rPr>
          <w:rFonts w:cs="Times New Roman"/>
          <w:lang w:val="en-GB"/>
        </w:rPr>
        <w:t>w</w:t>
      </w:r>
      <w:r w:rsidR="00DF70C5">
        <w:rPr>
          <w:rFonts w:cs="Times New Roman"/>
          <w:lang w:val="en-GB"/>
        </w:rPr>
        <w:t>as</w:t>
      </w:r>
      <w:r w:rsidRPr="009F1F9A">
        <w:rPr>
          <w:rFonts w:cs="Times New Roman"/>
          <w:lang w:val="en-GB"/>
        </w:rPr>
        <w:t xml:space="preserve"> used to make the paint/slip in most cases, higher CaO concentration (14.7 to 25.5 wt%) in the </w:t>
      </w:r>
      <w:r w:rsidR="00DF70C5">
        <w:rPr>
          <w:rFonts w:cs="Times New Roman"/>
          <w:lang w:val="en-GB"/>
        </w:rPr>
        <w:t xml:space="preserve">white </w:t>
      </w:r>
      <w:r w:rsidRPr="009F1F9A">
        <w:rPr>
          <w:rFonts w:cs="Times New Roman"/>
          <w:lang w:val="en-GB"/>
        </w:rPr>
        <w:t>slip of</w:t>
      </w:r>
      <w:r>
        <w:rPr>
          <w:rFonts w:cs="Times New Roman"/>
          <w:lang w:val="en-GB"/>
        </w:rPr>
        <w:t xml:space="preserve"> the sgraffito samples of the Micaceous Group (</w:t>
      </w:r>
      <w:r w:rsidRPr="009F1F9A">
        <w:rPr>
          <w:rFonts w:cs="Times New Roman"/>
          <w:lang w:val="en-GB"/>
        </w:rPr>
        <w:t>PS06 and PS07</w:t>
      </w:r>
      <w:r>
        <w:rPr>
          <w:rFonts w:cs="Times New Roman"/>
          <w:lang w:val="en-GB"/>
        </w:rPr>
        <w:t>) and the</w:t>
      </w:r>
      <w:r w:rsidRPr="009F1F9A">
        <w:rPr>
          <w:rFonts w:cs="Times New Roman"/>
          <w:lang w:val="en-GB"/>
        </w:rPr>
        <w:t xml:space="preserve"> </w:t>
      </w:r>
      <w:r>
        <w:rPr>
          <w:rFonts w:cs="Times New Roman"/>
          <w:lang w:val="en-GB"/>
        </w:rPr>
        <w:t>white-slipped sample of the Mixed Carbonate Group (</w:t>
      </w:r>
      <w:r w:rsidRPr="009F1F9A">
        <w:rPr>
          <w:rFonts w:cs="Times New Roman"/>
          <w:lang w:val="en-GB"/>
        </w:rPr>
        <w:t>AG06</w:t>
      </w:r>
      <w:r>
        <w:rPr>
          <w:rFonts w:cs="Times New Roman"/>
          <w:lang w:val="en-GB"/>
        </w:rPr>
        <w:t xml:space="preserve">) </w:t>
      </w:r>
      <w:r w:rsidRPr="009F1F9A">
        <w:rPr>
          <w:rFonts w:cs="Times New Roman"/>
          <w:lang w:val="en-GB"/>
        </w:rPr>
        <w:t>points to the use of calcareous clays</w:t>
      </w:r>
      <w:r w:rsidR="00B37CCC">
        <w:rPr>
          <w:rFonts w:cs="Times New Roman"/>
          <w:lang w:val="en-GB"/>
        </w:rPr>
        <w:t>. H</w:t>
      </w:r>
      <w:r w:rsidRPr="009F1F9A">
        <w:rPr>
          <w:rFonts w:cs="Times New Roman"/>
          <w:lang w:val="en-GB"/>
        </w:rPr>
        <w:t>igher Fe</w:t>
      </w:r>
      <w:r w:rsidRPr="009F1F9A">
        <w:rPr>
          <w:rFonts w:cs="Times New Roman"/>
          <w:vertAlign w:val="subscript"/>
          <w:lang w:val="en-GB"/>
        </w:rPr>
        <w:t>2</w:t>
      </w:r>
      <w:r w:rsidRPr="009F1F9A">
        <w:rPr>
          <w:rFonts w:cs="Times New Roman"/>
          <w:lang w:val="en-GB"/>
        </w:rPr>
        <w:t>O</w:t>
      </w:r>
      <w:r w:rsidRPr="009F1F9A">
        <w:rPr>
          <w:rFonts w:cs="Times New Roman"/>
          <w:vertAlign w:val="subscript"/>
          <w:lang w:val="en-GB"/>
        </w:rPr>
        <w:t>3</w:t>
      </w:r>
      <w:r w:rsidRPr="009F1F9A">
        <w:rPr>
          <w:rFonts w:cs="Times New Roman"/>
          <w:lang w:val="en-GB"/>
        </w:rPr>
        <w:t xml:space="preserve"> concentration (8.5 to 9.6 wt%) in the </w:t>
      </w:r>
      <w:r w:rsidR="00B37CCC">
        <w:rPr>
          <w:rFonts w:cs="Times New Roman"/>
          <w:lang w:val="en-GB"/>
        </w:rPr>
        <w:t xml:space="preserve">brown </w:t>
      </w:r>
      <w:r w:rsidRPr="009F1F9A">
        <w:rPr>
          <w:rFonts w:cs="Times New Roman"/>
          <w:lang w:val="en-GB"/>
        </w:rPr>
        <w:t xml:space="preserve">slip </w:t>
      </w:r>
      <w:r w:rsidR="00B37CCC">
        <w:rPr>
          <w:rFonts w:cs="Times New Roman"/>
          <w:lang w:val="en-GB"/>
        </w:rPr>
        <w:t>of the slip-painted samples of the Micaceous Group (</w:t>
      </w:r>
      <w:r w:rsidR="00B37CCC" w:rsidRPr="009F1F9A">
        <w:rPr>
          <w:rFonts w:cs="Times New Roman"/>
          <w:lang w:val="en-GB"/>
        </w:rPr>
        <w:t>PS09, PS10</w:t>
      </w:r>
      <w:r w:rsidR="00B37CCC">
        <w:rPr>
          <w:rFonts w:cs="Times New Roman"/>
          <w:lang w:val="en-GB"/>
        </w:rPr>
        <w:t>,</w:t>
      </w:r>
      <w:r w:rsidR="00B37CCC" w:rsidRPr="009F1F9A">
        <w:rPr>
          <w:rFonts w:cs="Times New Roman"/>
          <w:lang w:val="en-GB"/>
        </w:rPr>
        <w:t xml:space="preserve"> PS11</w:t>
      </w:r>
      <w:r w:rsidR="00B37CCC">
        <w:rPr>
          <w:rFonts w:cs="Times New Roman"/>
          <w:lang w:val="en-GB"/>
        </w:rPr>
        <w:t>) and</w:t>
      </w:r>
      <w:r w:rsidRPr="009F1F9A">
        <w:rPr>
          <w:rFonts w:cs="Times New Roman"/>
          <w:lang w:val="en-GB"/>
        </w:rPr>
        <w:t xml:space="preserve"> </w:t>
      </w:r>
      <w:r w:rsidR="00B37CCC">
        <w:rPr>
          <w:rFonts w:cs="Times New Roman"/>
          <w:lang w:val="en-GB"/>
        </w:rPr>
        <w:t>the plain glazed (</w:t>
      </w:r>
      <w:r w:rsidRPr="009F1F9A">
        <w:rPr>
          <w:rFonts w:cs="Times New Roman"/>
          <w:lang w:val="en-GB"/>
        </w:rPr>
        <w:t>AG05</w:t>
      </w:r>
      <w:r w:rsidR="00B37CCC">
        <w:rPr>
          <w:rFonts w:cs="Times New Roman"/>
          <w:lang w:val="en-GB"/>
        </w:rPr>
        <w:t xml:space="preserve">, </w:t>
      </w:r>
      <w:r w:rsidRPr="009F1F9A">
        <w:rPr>
          <w:rFonts w:cs="Times New Roman"/>
          <w:lang w:val="en-GB"/>
        </w:rPr>
        <w:t>AG10</w:t>
      </w:r>
      <w:r w:rsidR="00B37CCC">
        <w:rPr>
          <w:rFonts w:cs="Times New Roman"/>
          <w:lang w:val="en-GB"/>
        </w:rPr>
        <w:t xml:space="preserve">) of the Mixed Carbonate Group </w:t>
      </w:r>
      <w:r w:rsidRPr="009F1F9A">
        <w:rPr>
          <w:rFonts w:cs="Times New Roman"/>
          <w:lang w:val="en-GB"/>
        </w:rPr>
        <w:t xml:space="preserve">suggests that an iron-rich clay was used or iron oxide was added to the clay to enhance the colour. </w:t>
      </w:r>
      <w:r w:rsidR="00B37CCC">
        <w:rPr>
          <w:rFonts w:cs="Times New Roman"/>
          <w:lang w:val="en-GB"/>
        </w:rPr>
        <w:t xml:space="preserve">Other exceptions are the </w:t>
      </w:r>
      <w:r w:rsidR="006822A7">
        <w:rPr>
          <w:rFonts w:cs="Times New Roman"/>
          <w:lang w:val="en-GB"/>
        </w:rPr>
        <w:t>brown and green</w:t>
      </w:r>
      <w:r w:rsidR="00B37CCC">
        <w:rPr>
          <w:rFonts w:cs="Times New Roman"/>
          <w:lang w:val="en-GB"/>
        </w:rPr>
        <w:t xml:space="preserve"> paint of the painted glazed samples of the Micaceous Group. Analysis of the unglazed biscuit-fired painted-glazed samples</w:t>
      </w:r>
      <w:r w:rsidR="002A42C9" w:rsidRPr="009F1F9A">
        <w:rPr>
          <w:rFonts w:cs="Times New Roman"/>
          <w:lang w:val="en-GB"/>
        </w:rPr>
        <w:t xml:space="preserve"> </w:t>
      </w:r>
      <w:r w:rsidR="00B37CCC">
        <w:rPr>
          <w:rFonts w:cs="Times New Roman"/>
          <w:lang w:val="en-GB"/>
        </w:rPr>
        <w:t>(</w:t>
      </w:r>
      <w:r w:rsidR="002A42C9" w:rsidRPr="009F1F9A">
        <w:rPr>
          <w:rFonts w:cs="Times New Roman"/>
          <w:lang w:val="en-GB"/>
        </w:rPr>
        <w:t>PS1</w:t>
      </w:r>
      <w:r w:rsidR="00B37CCC">
        <w:rPr>
          <w:rFonts w:cs="Times New Roman"/>
          <w:lang w:val="en-GB"/>
        </w:rPr>
        <w:t xml:space="preserve">7, </w:t>
      </w:r>
      <w:r w:rsidR="002A42C9" w:rsidRPr="009F1F9A">
        <w:rPr>
          <w:rFonts w:cs="Times New Roman"/>
          <w:lang w:val="en-GB"/>
        </w:rPr>
        <w:t>PS18</w:t>
      </w:r>
      <w:r w:rsidR="00B37CCC">
        <w:rPr>
          <w:rFonts w:cs="Times New Roman"/>
          <w:lang w:val="en-GB"/>
        </w:rPr>
        <w:t>) reveals that t</w:t>
      </w:r>
      <w:r w:rsidR="002A42C9" w:rsidRPr="009F1F9A">
        <w:rPr>
          <w:rFonts w:cs="Times New Roman"/>
          <w:lang w:val="en-GB"/>
        </w:rPr>
        <w:t>he darker patches of the paint are non-calcareous clay with enriched Fe</w:t>
      </w:r>
      <w:r w:rsidR="002A42C9" w:rsidRPr="009F1F9A">
        <w:rPr>
          <w:rFonts w:cs="Times New Roman"/>
          <w:vertAlign w:val="subscript"/>
          <w:lang w:val="en-GB"/>
        </w:rPr>
        <w:t>2</w:t>
      </w:r>
      <w:r w:rsidR="002A42C9" w:rsidRPr="009F1F9A">
        <w:rPr>
          <w:rFonts w:cs="Times New Roman"/>
          <w:lang w:val="en-GB"/>
        </w:rPr>
        <w:t>O</w:t>
      </w:r>
      <w:r w:rsidR="002A42C9" w:rsidRPr="009F1F9A">
        <w:rPr>
          <w:rFonts w:cs="Times New Roman"/>
          <w:vertAlign w:val="subscript"/>
          <w:lang w:val="en-GB"/>
        </w:rPr>
        <w:t>3</w:t>
      </w:r>
      <w:r w:rsidR="002A42C9" w:rsidRPr="009F1F9A">
        <w:rPr>
          <w:rFonts w:cs="Times New Roman"/>
          <w:lang w:val="en-GB"/>
        </w:rPr>
        <w:t xml:space="preserve"> or CuO concentration, whereas the brighter matrix </w:t>
      </w:r>
      <w:r w:rsidR="002A42C9" w:rsidRPr="009F1F9A">
        <w:rPr>
          <w:rFonts w:cs="Times New Roman"/>
          <w:lang w:val="en-GB"/>
        </w:rPr>
        <w:lastRenderedPageBreak/>
        <w:t xml:space="preserve">has high PbO concentration (ca. 29 wt%). The addition of lead oxide to the </w:t>
      </w:r>
      <w:r w:rsidR="00055502" w:rsidRPr="009F1F9A">
        <w:rPr>
          <w:rFonts w:cs="Times New Roman"/>
          <w:lang w:val="en-GB"/>
        </w:rPr>
        <w:t>slip</w:t>
      </w:r>
      <w:r w:rsidR="002A42C9" w:rsidRPr="009F1F9A">
        <w:rPr>
          <w:rFonts w:cs="Times New Roman"/>
          <w:lang w:val="en-GB"/>
        </w:rPr>
        <w:t xml:space="preserve"> </w:t>
      </w:r>
      <w:r w:rsidR="00055502" w:rsidRPr="009F1F9A">
        <w:rPr>
          <w:rFonts w:cs="Times New Roman"/>
          <w:lang w:val="en-GB"/>
        </w:rPr>
        <w:t xml:space="preserve">or paint </w:t>
      </w:r>
      <w:r w:rsidR="002A42C9" w:rsidRPr="009F1F9A">
        <w:rPr>
          <w:rFonts w:cs="Times New Roman"/>
          <w:lang w:val="en-GB"/>
        </w:rPr>
        <w:t xml:space="preserve">is </w:t>
      </w:r>
      <w:r w:rsidR="00426FF6">
        <w:rPr>
          <w:rFonts w:cs="Times New Roman"/>
          <w:lang w:val="en-GB"/>
        </w:rPr>
        <w:t>likely</w:t>
      </w:r>
      <w:r w:rsidR="00426FF6" w:rsidRPr="009F1F9A">
        <w:rPr>
          <w:rFonts w:cs="Times New Roman"/>
          <w:lang w:val="en-GB"/>
        </w:rPr>
        <w:t xml:space="preserve"> </w:t>
      </w:r>
      <w:r w:rsidR="002A42C9" w:rsidRPr="009F1F9A">
        <w:rPr>
          <w:rFonts w:cs="Times New Roman"/>
          <w:lang w:val="en-GB"/>
        </w:rPr>
        <w:t>to have strengthened the bond between the glaze and ceramic body, especially when double firing was performed (Molera at al. 2020).</w:t>
      </w:r>
    </w:p>
    <w:p w14:paraId="1F1DD48F" w14:textId="0FD366DD" w:rsidR="002A42C9" w:rsidRPr="009F1F9A" w:rsidRDefault="002A42C9" w:rsidP="009F1F9A">
      <w:pPr>
        <w:spacing w:line="480" w:lineRule="auto"/>
        <w:jc w:val="both"/>
        <w:rPr>
          <w:rFonts w:cs="Times New Roman"/>
          <w:lang w:val="en-GB"/>
        </w:rPr>
      </w:pPr>
    </w:p>
    <w:p w14:paraId="616BAA05" w14:textId="6F8424F1" w:rsidR="007C7736" w:rsidRPr="009F1F9A" w:rsidRDefault="007C7736" w:rsidP="009F1F9A">
      <w:pPr>
        <w:pStyle w:val="ListParagraph"/>
        <w:numPr>
          <w:ilvl w:val="1"/>
          <w:numId w:val="1"/>
        </w:numPr>
        <w:spacing w:line="480" w:lineRule="auto"/>
        <w:jc w:val="both"/>
        <w:rPr>
          <w:rFonts w:cs="Times New Roman"/>
          <w:lang w:val="en-GB"/>
        </w:rPr>
      </w:pPr>
      <w:r w:rsidRPr="009F1F9A">
        <w:rPr>
          <w:rFonts w:cs="Times New Roman"/>
          <w:lang w:val="en-GB"/>
        </w:rPr>
        <w:t xml:space="preserve"> Glaze</w:t>
      </w:r>
    </w:p>
    <w:p w14:paraId="7A665F06" w14:textId="77777777" w:rsidR="007C7736" w:rsidRPr="009F1F9A" w:rsidRDefault="007C7736" w:rsidP="009F1F9A">
      <w:pPr>
        <w:pStyle w:val="ListParagraph"/>
        <w:numPr>
          <w:ilvl w:val="2"/>
          <w:numId w:val="1"/>
        </w:numPr>
        <w:spacing w:line="480" w:lineRule="auto"/>
        <w:jc w:val="both"/>
        <w:rPr>
          <w:rFonts w:cs="Times New Roman"/>
          <w:lang w:val="en-GB"/>
        </w:rPr>
      </w:pPr>
      <w:r w:rsidRPr="009F1F9A">
        <w:rPr>
          <w:rFonts w:cs="Times New Roman"/>
          <w:lang w:val="en-GB"/>
        </w:rPr>
        <w:t>Microstructure</w:t>
      </w:r>
    </w:p>
    <w:p w14:paraId="445867E2" w14:textId="7C7892DB" w:rsidR="007C7736" w:rsidRDefault="007C7736" w:rsidP="009F1F9A">
      <w:pPr>
        <w:spacing w:line="480" w:lineRule="auto"/>
        <w:jc w:val="both"/>
        <w:rPr>
          <w:rFonts w:cs="Times New Roman"/>
          <w:lang w:val="en-GB"/>
        </w:rPr>
      </w:pPr>
      <w:r w:rsidRPr="009F1F9A">
        <w:rPr>
          <w:rFonts w:cs="Times New Roman"/>
          <w:lang w:val="en-GB"/>
        </w:rPr>
        <w:t xml:space="preserve">The thickness </w:t>
      </w:r>
      <w:r w:rsidR="00FF0494">
        <w:rPr>
          <w:rFonts w:cs="Times New Roman"/>
          <w:lang w:val="en-GB"/>
        </w:rPr>
        <w:t xml:space="preserve">of the glaze </w:t>
      </w:r>
      <w:r w:rsidRPr="009F1F9A">
        <w:rPr>
          <w:rFonts w:cs="Times New Roman"/>
          <w:lang w:val="en-GB"/>
        </w:rPr>
        <w:t>varies</w:t>
      </w:r>
      <w:r w:rsidR="00FF0494">
        <w:rPr>
          <w:rFonts w:cs="Times New Roman"/>
          <w:lang w:val="en-GB"/>
        </w:rPr>
        <w:t xml:space="preserve"> across ware types and fabric groups (Table 4). </w:t>
      </w:r>
      <w:r w:rsidRPr="009F1F9A">
        <w:rPr>
          <w:rFonts w:cs="Times New Roman"/>
          <w:lang w:val="en-GB"/>
        </w:rPr>
        <w:t xml:space="preserve">All samples of the Amphibole-Serpentine Group have a thin interaction layer between the painted or slipped ceramic body and glaze, with </w:t>
      </w:r>
      <w:r w:rsidR="00C22BCD">
        <w:rPr>
          <w:rFonts w:cs="Times New Roman"/>
          <w:lang w:val="en-GB"/>
        </w:rPr>
        <w:t>a</w:t>
      </w:r>
      <w:r w:rsidR="006822A7" w:rsidRPr="009F1F9A">
        <w:rPr>
          <w:rFonts w:cs="Times New Roman"/>
          <w:lang w:val="en-GB"/>
        </w:rPr>
        <w:t xml:space="preserve"> few bright microparticles </w:t>
      </w:r>
      <w:r w:rsidR="00C22BCD">
        <w:rPr>
          <w:rFonts w:cs="Times New Roman"/>
          <w:lang w:val="en-GB"/>
        </w:rPr>
        <w:t>being</w:t>
      </w:r>
      <w:r w:rsidR="006822A7" w:rsidRPr="009F1F9A">
        <w:rPr>
          <w:rFonts w:cs="Times New Roman"/>
          <w:lang w:val="en-GB"/>
        </w:rPr>
        <w:t xml:space="preserve"> found to</w:t>
      </w:r>
      <w:r w:rsidR="00C22BCD">
        <w:rPr>
          <w:rFonts w:cs="Times New Roman"/>
          <w:lang w:val="en-GB"/>
        </w:rPr>
        <w:t xml:space="preserve"> have scattered</w:t>
      </w:r>
      <w:r w:rsidR="006822A7" w:rsidRPr="009F1F9A">
        <w:rPr>
          <w:rFonts w:cs="Times New Roman"/>
          <w:lang w:val="en-GB"/>
        </w:rPr>
        <w:t xml:space="preserve"> </w:t>
      </w:r>
      <w:r w:rsidR="00C22BCD">
        <w:rPr>
          <w:rFonts w:cs="Times New Roman"/>
          <w:lang w:val="en-GB"/>
        </w:rPr>
        <w:t>in the glaze of</w:t>
      </w:r>
      <w:r w:rsidR="006822A7" w:rsidRPr="009F1F9A">
        <w:rPr>
          <w:rFonts w:cs="Times New Roman"/>
          <w:lang w:val="en-GB"/>
        </w:rPr>
        <w:t xml:space="preserve"> </w:t>
      </w:r>
      <w:r w:rsidR="006822A7">
        <w:rPr>
          <w:rFonts w:cs="Times New Roman"/>
          <w:lang w:val="en-GB"/>
        </w:rPr>
        <w:t>some samples (</w:t>
      </w:r>
      <w:r w:rsidR="006822A7" w:rsidRPr="009F1F9A">
        <w:rPr>
          <w:rFonts w:cs="Times New Roman"/>
          <w:lang w:val="en-GB"/>
        </w:rPr>
        <w:t>PT04, PT11, PT14 and PT21</w:t>
      </w:r>
      <w:r w:rsidR="006822A7">
        <w:rPr>
          <w:rFonts w:cs="Times New Roman"/>
          <w:lang w:val="en-GB"/>
        </w:rPr>
        <w:t xml:space="preserve">) </w:t>
      </w:r>
      <w:r w:rsidR="006822A7" w:rsidRPr="009F1F9A">
        <w:rPr>
          <w:rFonts w:cs="Times New Roman"/>
          <w:lang w:val="en-GB"/>
        </w:rPr>
        <w:t>(</w:t>
      </w:r>
      <w:r w:rsidR="006822A7">
        <w:rPr>
          <w:rFonts w:cs="Times New Roman"/>
          <w:lang w:val="en-GB"/>
        </w:rPr>
        <w:t>see</w:t>
      </w:r>
      <w:r w:rsidR="00C22BCD">
        <w:rPr>
          <w:rFonts w:cs="Times New Roman"/>
          <w:lang w:val="en-GB"/>
        </w:rPr>
        <w:t xml:space="preserve"> </w:t>
      </w:r>
      <w:r w:rsidR="006822A7" w:rsidRPr="009F1F9A">
        <w:rPr>
          <w:rFonts w:cs="Times New Roman"/>
          <w:lang w:val="en-GB"/>
        </w:rPr>
        <w:t xml:space="preserve">Ting et al. 2019, Fig. 5c). </w:t>
      </w:r>
      <w:r w:rsidRPr="009F1F9A">
        <w:rPr>
          <w:rFonts w:cs="Times New Roman"/>
          <w:lang w:val="en-GB"/>
        </w:rPr>
        <w:t xml:space="preserve">A similar microstructure can be observed in the glaze of most samples </w:t>
      </w:r>
      <w:r w:rsidR="006822A7">
        <w:rPr>
          <w:rFonts w:cs="Times New Roman"/>
          <w:lang w:val="en-GB"/>
        </w:rPr>
        <w:t>of</w:t>
      </w:r>
      <w:r w:rsidR="006822A7" w:rsidRPr="009F1F9A">
        <w:rPr>
          <w:rFonts w:cs="Times New Roman"/>
          <w:lang w:val="en-GB"/>
        </w:rPr>
        <w:t xml:space="preserve"> </w:t>
      </w:r>
      <w:r w:rsidRPr="009F1F9A">
        <w:rPr>
          <w:rFonts w:cs="Times New Roman"/>
          <w:lang w:val="en-GB"/>
        </w:rPr>
        <w:t>the Micaceous and Mixed Carbonate Groups</w:t>
      </w:r>
      <w:r w:rsidR="001C78DB" w:rsidRPr="001C78DB">
        <w:rPr>
          <w:rFonts w:cs="Times New Roman"/>
          <w:lang w:val="en-GB"/>
        </w:rPr>
        <w:t xml:space="preserve"> </w:t>
      </w:r>
      <w:r w:rsidR="001C78DB">
        <w:rPr>
          <w:rFonts w:cs="Times New Roman"/>
          <w:lang w:val="en-GB"/>
        </w:rPr>
        <w:t>(Fig. 7a)</w:t>
      </w:r>
      <w:r w:rsidRPr="009F1F9A">
        <w:rPr>
          <w:rFonts w:cs="Times New Roman"/>
          <w:lang w:val="en-GB"/>
        </w:rPr>
        <w:t xml:space="preserve">, but with a few exceptions. The painted glazed samples of the Micaceous Group </w:t>
      </w:r>
      <w:r w:rsidR="00FF0494" w:rsidRPr="009F1F9A">
        <w:rPr>
          <w:rFonts w:cs="Times New Roman"/>
          <w:lang w:val="en-GB"/>
        </w:rPr>
        <w:t>(KF08, KF09, PS12, PS13, PS14, PS15, PS16)</w:t>
      </w:r>
      <w:r w:rsidR="00FF0494">
        <w:rPr>
          <w:rFonts w:cs="Times New Roman"/>
          <w:lang w:val="en-GB"/>
        </w:rPr>
        <w:t xml:space="preserve"> </w:t>
      </w:r>
      <w:r w:rsidRPr="009F1F9A">
        <w:rPr>
          <w:rFonts w:cs="Times New Roman"/>
          <w:lang w:val="en-GB"/>
        </w:rPr>
        <w:t xml:space="preserve">have needle-like and dark, equant microcrystallites, especially in the areas where the </w:t>
      </w:r>
      <w:r w:rsidR="006822A7">
        <w:rPr>
          <w:rFonts w:cs="Times New Roman"/>
          <w:lang w:val="en-GB"/>
        </w:rPr>
        <w:t xml:space="preserve">brown and green </w:t>
      </w:r>
      <w:r w:rsidRPr="009F1F9A">
        <w:rPr>
          <w:rFonts w:cs="Times New Roman"/>
          <w:lang w:val="en-GB"/>
        </w:rPr>
        <w:t>paint was applied (Fig. 7</w:t>
      </w:r>
      <w:r w:rsidR="00C22BCD">
        <w:rPr>
          <w:rFonts w:cs="Times New Roman"/>
          <w:lang w:val="en-GB"/>
        </w:rPr>
        <w:t>b</w:t>
      </w:r>
      <w:r w:rsidRPr="009F1F9A">
        <w:rPr>
          <w:rFonts w:cs="Times New Roman"/>
          <w:lang w:val="en-GB"/>
        </w:rPr>
        <w:t xml:space="preserve">). The glaze of </w:t>
      </w:r>
      <w:r w:rsidR="006822A7">
        <w:rPr>
          <w:rFonts w:cs="Times New Roman"/>
          <w:lang w:val="en-GB"/>
        </w:rPr>
        <w:t xml:space="preserve">the plain glazed samples of </w:t>
      </w:r>
      <w:r w:rsidRPr="009F1F9A">
        <w:rPr>
          <w:rFonts w:cs="Times New Roman"/>
          <w:lang w:val="en-GB"/>
        </w:rPr>
        <w:t xml:space="preserve">the Mixed Carbonate Group </w:t>
      </w:r>
      <w:r w:rsidR="006822A7">
        <w:rPr>
          <w:rFonts w:cs="Times New Roman"/>
          <w:lang w:val="en-GB"/>
        </w:rPr>
        <w:t>(</w:t>
      </w:r>
      <w:r w:rsidR="006822A7" w:rsidRPr="009F1F9A">
        <w:rPr>
          <w:rFonts w:cs="Times New Roman"/>
          <w:lang w:val="en-GB"/>
        </w:rPr>
        <w:t>AG18</w:t>
      </w:r>
      <w:r w:rsidR="006822A7">
        <w:rPr>
          <w:rFonts w:cs="Times New Roman"/>
          <w:lang w:val="en-GB"/>
        </w:rPr>
        <w:t>,</w:t>
      </w:r>
      <w:r w:rsidR="006822A7" w:rsidRPr="009F1F9A">
        <w:rPr>
          <w:rFonts w:cs="Times New Roman"/>
          <w:lang w:val="en-GB"/>
        </w:rPr>
        <w:t xml:space="preserve"> KF10</w:t>
      </w:r>
      <w:r w:rsidR="006822A7">
        <w:rPr>
          <w:rFonts w:cs="Times New Roman"/>
          <w:lang w:val="en-GB"/>
        </w:rPr>
        <w:t xml:space="preserve">) </w:t>
      </w:r>
      <w:r w:rsidRPr="009F1F9A">
        <w:rPr>
          <w:rFonts w:cs="Times New Roman"/>
          <w:lang w:val="en-GB"/>
        </w:rPr>
        <w:t>is characterised by dark, elongated and equant microcrystallites throughout (Fig. 7</w:t>
      </w:r>
      <w:r w:rsidR="00C22BCD">
        <w:rPr>
          <w:rFonts w:cs="Times New Roman"/>
          <w:lang w:val="en-GB"/>
        </w:rPr>
        <w:t>c</w:t>
      </w:r>
      <w:r w:rsidRPr="009F1F9A">
        <w:rPr>
          <w:rFonts w:cs="Times New Roman"/>
          <w:lang w:val="en-GB"/>
        </w:rPr>
        <w:t>). The glaze of KF10</w:t>
      </w:r>
      <w:r w:rsidR="00177F9E" w:rsidRPr="009F1F9A">
        <w:rPr>
          <w:rFonts w:cs="Times New Roman"/>
          <w:lang w:val="en-GB"/>
        </w:rPr>
        <w:t xml:space="preserve"> </w:t>
      </w:r>
      <w:r w:rsidRPr="009F1F9A">
        <w:rPr>
          <w:rFonts w:cs="Times New Roman"/>
          <w:lang w:val="en-GB"/>
        </w:rPr>
        <w:t xml:space="preserve">has bright microparticles (&lt;10 µm) concentrated at the glaze margin. These bright microparticles are also identified along the glaze margin of </w:t>
      </w:r>
      <w:r w:rsidR="006822A7">
        <w:rPr>
          <w:rFonts w:cs="Times New Roman"/>
          <w:lang w:val="en-GB"/>
        </w:rPr>
        <w:t>another plain glazed sample</w:t>
      </w:r>
      <w:r w:rsidR="00C22BCD">
        <w:rPr>
          <w:rFonts w:cs="Times New Roman"/>
          <w:lang w:val="en-GB"/>
        </w:rPr>
        <w:t xml:space="preserve"> of </w:t>
      </w:r>
      <w:r w:rsidR="006822A7">
        <w:rPr>
          <w:rFonts w:cs="Times New Roman"/>
          <w:lang w:val="en-GB"/>
        </w:rPr>
        <w:t xml:space="preserve">the </w:t>
      </w:r>
      <w:r w:rsidR="00C22BCD">
        <w:rPr>
          <w:rFonts w:cs="Times New Roman"/>
          <w:lang w:val="en-GB"/>
        </w:rPr>
        <w:t>same fabric group</w:t>
      </w:r>
      <w:r w:rsidR="006822A7">
        <w:rPr>
          <w:rFonts w:cs="Times New Roman"/>
          <w:lang w:val="en-GB"/>
        </w:rPr>
        <w:t xml:space="preserve"> (</w:t>
      </w:r>
      <w:r w:rsidRPr="009F1F9A">
        <w:rPr>
          <w:rFonts w:cs="Times New Roman"/>
          <w:lang w:val="en-GB"/>
        </w:rPr>
        <w:t>KF13</w:t>
      </w:r>
      <w:r w:rsidR="006822A7">
        <w:rPr>
          <w:rFonts w:cs="Times New Roman"/>
          <w:lang w:val="en-GB"/>
        </w:rPr>
        <w:t>)</w:t>
      </w:r>
      <w:r w:rsidRPr="009F1F9A">
        <w:rPr>
          <w:rFonts w:cs="Times New Roman"/>
          <w:lang w:val="en-GB"/>
        </w:rPr>
        <w:t>, resulting in the presence of double glaze layers (Fig. 7</w:t>
      </w:r>
      <w:r w:rsidR="00C22BCD">
        <w:rPr>
          <w:rFonts w:cs="Times New Roman"/>
          <w:lang w:val="en-GB"/>
        </w:rPr>
        <w:t>d</w:t>
      </w:r>
      <w:r w:rsidRPr="009F1F9A">
        <w:rPr>
          <w:rFonts w:cs="Times New Roman"/>
          <w:lang w:val="en-GB"/>
        </w:rPr>
        <w:t xml:space="preserve">). </w:t>
      </w:r>
    </w:p>
    <w:p w14:paraId="6E9CBB5B" w14:textId="77777777" w:rsidR="006822A7" w:rsidRPr="009F1F9A" w:rsidRDefault="006822A7" w:rsidP="009F1F9A">
      <w:pPr>
        <w:spacing w:line="480" w:lineRule="auto"/>
        <w:jc w:val="both"/>
        <w:rPr>
          <w:rFonts w:cs="Times New Roman"/>
          <w:lang w:val="en-GB"/>
        </w:rPr>
      </w:pPr>
    </w:p>
    <w:p w14:paraId="31AD3EE1" w14:textId="77777777" w:rsidR="007C7736" w:rsidRPr="009F1F9A" w:rsidRDefault="007C7736" w:rsidP="009F1F9A">
      <w:pPr>
        <w:pStyle w:val="ListParagraph"/>
        <w:numPr>
          <w:ilvl w:val="2"/>
          <w:numId w:val="1"/>
        </w:numPr>
        <w:spacing w:line="480" w:lineRule="auto"/>
        <w:jc w:val="both"/>
        <w:rPr>
          <w:rFonts w:cs="Times New Roman"/>
          <w:lang w:val="en-GB"/>
        </w:rPr>
      </w:pPr>
      <w:r w:rsidRPr="009F1F9A">
        <w:rPr>
          <w:rFonts w:cs="Times New Roman"/>
          <w:lang w:val="en-GB"/>
        </w:rPr>
        <w:t>Composition</w:t>
      </w:r>
    </w:p>
    <w:p w14:paraId="5E520059" w14:textId="3A67FF5B" w:rsidR="007C7736" w:rsidRPr="009F1F9A" w:rsidRDefault="007C7736" w:rsidP="009F1F9A">
      <w:pPr>
        <w:spacing w:line="480" w:lineRule="auto"/>
        <w:jc w:val="both"/>
        <w:rPr>
          <w:rFonts w:cs="Times New Roman"/>
          <w:lang w:val="en-GB"/>
        </w:rPr>
      </w:pPr>
      <w:r w:rsidRPr="009F1F9A">
        <w:rPr>
          <w:rFonts w:cs="Times New Roman"/>
          <w:lang w:val="en-GB"/>
        </w:rPr>
        <w:t>All samples</w:t>
      </w:r>
      <w:r w:rsidR="00C22BCD">
        <w:rPr>
          <w:rFonts w:cs="Times New Roman"/>
          <w:lang w:val="en-GB"/>
        </w:rPr>
        <w:t>, regardless of their ware types and fabric groups,</w:t>
      </w:r>
      <w:r w:rsidRPr="009F1F9A">
        <w:rPr>
          <w:rFonts w:cs="Times New Roman"/>
          <w:lang w:val="en-GB"/>
        </w:rPr>
        <w:t xml:space="preserve"> </w:t>
      </w:r>
      <w:r w:rsidR="00F47E18">
        <w:rPr>
          <w:rFonts w:cs="Times New Roman"/>
          <w:lang w:val="en-GB"/>
        </w:rPr>
        <w:t>are</w:t>
      </w:r>
      <w:r w:rsidRPr="009F1F9A">
        <w:rPr>
          <w:rFonts w:cs="Times New Roman"/>
          <w:lang w:val="en-GB"/>
        </w:rPr>
        <w:t xml:space="preserve"> lead glaze</w:t>
      </w:r>
      <w:r w:rsidR="00F47E18">
        <w:rPr>
          <w:rFonts w:cs="Times New Roman"/>
          <w:lang w:val="en-GB"/>
        </w:rPr>
        <w:t>s</w:t>
      </w:r>
      <w:r w:rsidRPr="009F1F9A">
        <w:rPr>
          <w:rFonts w:cs="Times New Roman"/>
          <w:lang w:val="en-GB"/>
        </w:rPr>
        <w:t>, with the majority having PbO concentration</w:t>
      </w:r>
      <w:r w:rsidR="00F47E18">
        <w:rPr>
          <w:rFonts w:cs="Times New Roman"/>
          <w:lang w:val="en-GB"/>
        </w:rPr>
        <w:t>s</w:t>
      </w:r>
      <w:r w:rsidRPr="009F1F9A">
        <w:rPr>
          <w:rFonts w:cs="Times New Roman"/>
          <w:lang w:val="en-GB"/>
        </w:rPr>
        <w:t xml:space="preserve"> over 50 wt% (Table </w:t>
      </w:r>
      <w:r w:rsidR="004079EF" w:rsidRPr="009F1F9A">
        <w:rPr>
          <w:rFonts w:cs="Times New Roman"/>
          <w:lang w:val="en-GB"/>
        </w:rPr>
        <w:t>4</w:t>
      </w:r>
      <w:r w:rsidRPr="009F1F9A">
        <w:rPr>
          <w:rFonts w:cs="Times New Roman"/>
          <w:lang w:val="en-GB"/>
        </w:rPr>
        <w:t xml:space="preserve">). Lower PbO concentration is detected in the glaze of the painted glazed samples of the Micaceous Group (KF08, KF09, PS12, PS13, PS14, PS15, PS16) and the green plain glazed samples of the Mixed Carbonate Group (AG18, KF10). </w:t>
      </w:r>
      <w:r w:rsidRPr="009F1F9A">
        <w:rPr>
          <w:rFonts w:cs="Times New Roman"/>
          <w:lang w:val="en-GB"/>
        </w:rPr>
        <w:lastRenderedPageBreak/>
        <w:t xml:space="preserve">These samples also have higher values of alumina, alkali, and alkaline earth oxides in the glaze (Fig. 8). The higher concentration of these oxides in the painted glazed samples was likely caused by an interaction with the clay-based paint, as revealed by the analysis of the paint of the biscuit-fired samples (PS17, PS18), resulting in the formation of wollastonite (dark, equant microcrystallites) and lead-feldspar (needle-like microcrystallites) in the painted areas. </w:t>
      </w:r>
      <w:r w:rsidR="00055502" w:rsidRPr="009F1F9A">
        <w:rPr>
          <w:rFonts w:cs="Times New Roman"/>
          <w:lang w:val="en-GB"/>
        </w:rPr>
        <w:t>For AG18 and K</w:t>
      </w:r>
      <w:r w:rsidR="009728CC" w:rsidRPr="009F1F9A">
        <w:rPr>
          <w:rFonts w:cs="Times New Roman"/>
          <w:lang w:val="en-GB"/>
        </w:rPr>
        <w:t>F10</w:t>
      </w:r>
      <w:r w:rsidRPr="009F1F9A">
        <w:rPr>
          <w:rFonts w:cs="Times New Roman"/>
          <w:lang w:val="en-GB"/>
        </w:rPr>
        <w:t>, there is a gradual decrease in MgO, Al</w:t>
      </w:r>
      <w:r w:rsidRPr="009F1F9A">
        <w:rPr>
          <w:rFonts w:cs="Times New Roman"/>
          <w:vertAlign w:val="subscript"/>
          <w:lang w:val="en-GB"/>
        </w:rPr>
        <w:t>2</w:t>
      </w:r>
      <w:r w:rsidRPr="009F1F9A">
        <w:rPr>
          <w:rFonts w:cs="Times New Roman"/>
          <w:lang w:val="en-GB"/>
        </w:rPr>
        <w:t>O</w:t>
      </w:r>
      <w:r w:rsidRPr="009F1F9A">
        <w:rPr>
          <w:rFonts w:cs="Times New Roman"/>
          <w:vertAlign w:val="subscript"/>
          <w:lang w:val="en-GB"/>
        </w:rPr>
        <w:t>3</w:t>
      </w:r>
      <w:r w:rsidRPr="009F1F9A">
        <w:rPr>
          <w:rFonts w:cs="Times New Roman"/>
          <w:lang w:val="en-GB"/>
        </w:rPr>
        <w:t>, CaO and Fe</w:t>
      </w:r>
      <w:r w:rsidRPr="009F1F9A">
        <w:rPr>
          <w:rFonts w:cs="Times New Roman"/>
          <w:vertAlign w:val="subscript"/>
          <w:lang w:val="en-GB"/>
        </w:rPr>
        <w:t>2</w:t>
      </w:r>
      <w:r w:rsidRPr="009F1F9A">
        <w:rPr>
          <w:rFonts w:cs="Times New Roman"/>
          <w:lang w:val="en-GB"/>
        </w:rPr>
        <w:t>O</w:t>
      </w:r>
      <w:r w:rsidRPr="009F1F9A">
        <w:rPr>
          <w:rFonts w:cs="Times New Roman"/>
          <w:vertAlign w:val="subscript"/>
          <w:lang w:val="en-GB"/>
        </w:rPr>
        <w:t>3</w:t>
      </w:r>
      <w:r w:rsidRPr="009F1F9A">
        <w:rPr>
          <w:rFonts w:cs="Times New Roman"/>
          <w:lang w:val="en-GB"/>
        </w:rPr>
        <w:t xml:space="preserve"> and increase of PbO concentration from the ceramic-glaze interface to the glaze margin (Supplementary Fig. 1). This compositional change, coupled with the thick interaction layer, suggests that the glaze was applied to an unfired ceramic body, stimulating the </w:t>
      </w:r>
      <w:r w:rsidR="00426FF6">
        <w:rPr>
          <w:rFonts w:cs="Times New Roman"/>
          <w:lang w:val="en-GB"/>
        </w:rPr>
        <w:t>partial absorption of</w:t>
      </w:r>
      <w:r w:rsidRPr="009F1F9A">
        <w:rPr>
          <w:rFonts w:cs="Times New Roman"/>
          <w:lang w:val="en-GB"/>
        </w:rPr>
        <w:t xml:space="preserve"> ceramic</w:t>
      </w:r>
      <w:r w:rsidR="00426FF6">
        <w:rPr>
          <w:rFonts w:cs="Times New Roman"/>
          <w:lang w:val="en-GB"/>
        </w:rPr>
        <w:t xml:space="preserve"> material</w:t>
      </w:r>
      <w:r w:rsidRPr="009F1F9A">
        <w:rPr>
          <w:rFonts w:cs="Times New Roman"/>
          <w:lang w:val="en-GB"/>
        </w:rPr>
        <w:t xml:space="preserve"> </w:t>
      </w:r>
      <w:r w:rsidR="00426FF6">
        <w:rPr>
          <w:rFonts w:cs="Times New Roman"/>
          <w:lang w:val="en-GB"/>
        </w:rPr>
        <w:t>in</w:t>
      </w:r>
      <w:r w:rsidRPr="009F1F9A">
        <w:rPr>
          <w:rFonts w:cs="Times New Roman"/>
          <w:lang w:val="en-GB"/>
        </w:rPr>
        <w:t xml:space="preserve">to the glaze. </w:t>
      </w:r>
    </w:p>
    <w:p w14:paraId="0AE44288" w14:textId="77777777" w:rsidR="007C7736" w:rsidRPr="009F1F9A" w:rsidRDefault="007C7736" w:rsidP="009F1F9A">
      <w:pPr>
        <w:spacing w:line="480" w:lineRule="auto"/>
        <w:jc w:val="both"/>
        <w:rPr>
          <w:rFonts w:cs="Times New Roman"/>
          <w:lang w:val="en-GB"/>
        </w:rPr>
      </w:pPr>
    </w:p>
    <w:p w14:paraId="71D919F8" w14:textId="39E63207" w:rsidR="007C7736" w:rsidRPr="009F1F9A" w:rsidRDefault="00426FF6" w:rsidP="009F1F9A">
      <w:pPr>
        <w:spacing w:line="480" w:lineRule="auto"/>
        <w:jc w:val="both"/>
        <w:rPr>
          <w:rFonts w:cs="Times New Roman"/>
          <w:lang w:val="en-GB"/>
        </w:rPr>
      </w:pPr>
      <w:r>
        <w:rPr>
          <w:rFonts w:cs="Times New Roman"/>
          <w:lang w:val="en-GB"/>
        </w:rPr>
        <w:t>In terms of</w:t>
      </w:r>
      <w:r w:rsidR="00C22BCD">
        <w:rPr>
          <w:rFonts w:cs="Times New Roman"/>
          <w:lang w:val="en-GB"/>
        </w:rPr>
        <w:t xml:space="preserve"> glaze colourants, t</w:t>
      </w:r>
      <w:r w:rsidR="007C7736" w:rsidRPr="009F1F9A">
        <w:rPr>
          <w:rFonts w:cs="Times New Roman"/>
          <w:lang w:val="en-GB"/>
        </w:rPr>
        <w:t>he green glaze is coloured by CuO, whereas most yellow and brown glazes have higher Fe</w:t>
      </w:r>
      <w:r w:rsidR="007C7736" w:rsidRPr="009F1F9A">
        <w:rPr>
          <w:rFonts w:cs="Times New Roman"/>
          <w:vertAlign w:val="subscript"/>
          <w:lang w:val="en-GB"/>
        </w:rPr>
        <w:t>2</w:t>
      </w:r>
      <w:r w:rsidR="007C7736" w:rsidRPr="009F1F9A">
        <w:rPr>
          <w:rFonts w:cs="Times New Roman"/>
          <w:lang w:val="en-GB"/>
        </w:rPr>
        <w:t>O</w:t>
      </w:r>
      <w:r w:rsidR="007C7736" w:rsidRPr="009F1F9A">
        <w:rPr>
          <w:rFonts w:cs="Times New Roman"/>
          <w:vertAlign w:val="subscript"/>
          <w:lang w:val="en-GB"/>
        </w:rPr>
        <w:t>3</w:t>
      </w:r>
      <w:r w:rsidR="007C7736" w:rsidRPr="009F1F9A">
        <w:rPr>
          <w:rFonts w:cs="Times New Roman"/>
          <w:lang w:val="en-GB"/>
        </w:rPr>
        <w:t xml:space="preserve"> concentration. Low SnO</w:t>
      </w:r>
      <w:r w:rsidR="007C7736" w:rsidRPr="009F1F9A">
        <w:rPr>
          <w:rFonts w:cs="Times New Roman"/>
          <w:vertAlign w:val="subscript"/>
          <w:lang w:val="en-GB"/>
        </w:rPr>
        <w:t>2</w:t>
      </w:r>
      <w:r w:rsidR="007C7736" w:rsidRPr="009F1F9A">
        <w:rPr>
          <w:rFonts w:cs="Times New Roman"/>
          <w:lang w:val="en-GB"/>
        </w:rPr>
        <w:t xml:space="preserve"> concentration (&lt;1.0 wt%) is </w:t>
      </w:r>
      <w:r w:rsidR="007164DD">
        <w:rPr>
          <w:rFonts w:cs="Times New Roman"/>
          <w:lang w:val="en-GB"/>
        </w:rPr>
        <w:t>detected</w:t>
      </w:r>
      <w:r w:rsidR="007164DD" w:rsidRPr="009F1F9A">
        <w:rPr>
          <w:rFonts w:cs="Times New Roman"/>
          <w:lang w:val="en-GB"/>
        </w:rPr>
        <w:t xml:space="preserve"> </w:t>
      </w:r>
      <w:r w:rsidR="007C7736" w:rsidRPr="009F1F9A">
        <w:rPr>
          <w:rFonts w:cs="Times New Roman"/>
          <w:lang w:val="en-GB"/>
        </w:rPr>
        <w:t>in PS13, PS16, PT04, PT11, PT14 and PT21, present as bright microcrystallites rich in PbO and SnO</w:t>
      </w:r>
      <w:r w:rsidR="007C7736" w:rsidRPr="009F1F9A">
        <w:rPr>
          <w:rFonts w:cs="Times New Roman"/>
          <w:vertAlign w:val="subscript"/>
          <w:lang w:val="en-GB"/>
        </w:rPr>
        <w:t>2</w:t>
      </w:r>
      <w:r w:rsidR="007C7736" w:rsidRPr="009F1F9A">
        <w:rPr>
          <w:rFonts w:cs="Times New Roman"/>
          <w:lang w:val="en-GB"/>
        </w:rPr>
        <w:t>. Judging from their shape and rare occurrence, it is likely that the SnO</w:t>
      </w:r>
      <w:r w:rsidR="007C7736" w:rsidRPr="009F1F9A">
        <w:rPr>
          <w:rFonts w:cs="Times New Roman"/>
          <w:vertAlign w:val="subscript"/>
          <w:lang w:val="en-GB"/>
        </w:rPr>
        <w:t>2</w:t>
      </w:r>
      <w:r w:rsidR="007C7736" w:rsidRPr="009F1F9A">
        <w:rPr>
          <w:rFonts w:cs="Times New Roman"/>
          <w:lang w:val="en-GB"/>
        </w:rPr>
        <w:t xml:space="preserve"> was incorporated as impurities associated with the flux. We have previously argued that Roman lead pipes and solders might have been used as flux for the glaze as natural lead ores are rare in Cyprus (Ting et al. 2019; see also Segal</w:t>
      </w:r>
      <w:r w:rsidR="00184376" w:rsidRPr="009F1F9A">
        <w:rPr>
          <w:rFonts w:cs="Times New Roman"/>
          <w:lang w:val="en-GB"/>
        </w:rPr>
        <w:t xml:space="preserve"> </w:t>
      </w:r>
      <w:r w:rsidR="007C7736" w:rsidRPr="009F1F9A">
        <w:rPr>
          <w:rFonts w:cs="Times New Roman"/>
          <w:lang w:val="en-GB"/>
        </w:rPr>
        <w:t>2015; Wyttenbach and Schubiger</w:t>
      </w:r>
      <w:r w:rsidR="00184376" w:rsidRPr="009F1F9A">
        <w:rPr>
          <w:rFonts w:cs="Times New Roman"/>
          <w:lang w:val="en-GB"/>
        </w:rPr>
        <w:t xml:space="preserve"> </w:t>
      </w:r>
      <w:r w:rsidR="007C7736" w:rsidRPr="009F1F9A">
        <w:rPr>
          <w:rFonts w:cs="Times New Roman"/>
          <w:lang w:val="en-GB"/>
        </w:rPr>
        <w:t xml:space="preserve">1973). </w:t>
      </w:r>
      <w:r w:rsidR="00184376" w:rsidRPr="009F1F9A">
        <w:rPr>
          <w:rFonts w:cs="Times New Roman"/>
          <w:lang w:val="en-GB"/>
        </w:rPr>
        <w:t>A</w:t>
      </w:r>
      <w:r w:rsidR="007C7736" w:rsidRPr="009F1F9A">
        <w:rPr>
          <w:rFonts w:cs="Times New Roman"/>
          <w:lang w:val="en-GB"/>
        </w:rPr>
        <w:t>round 2.0 wt% of Sb</w:t>
      </w:r>
      <w:r w:rsidR="007C7736" w:rsidRPr="009F1F9A">
        <w:rPr>
          <w:rFonts w:cs="Times New Roman"/>
          <w:vertAlign w:val="subscript"/>
          <w:lang w:val="en-GB"/>
        </w:rPr>
        <w:t>2</w:t>
      </w:r>
      <w:r w:rsidR="007C7736" w:rsidRPr="009F1F9A">
        <w:rPr>
          <w:rFonts w:cs="Times New Roman"/>
          <w:lang w:val="en-GB"/>
        </w:rPr>
        <w:t>O</w:t>
      </w:r>
      <w:r w:rsidR="007C7736" w:rsidRPr="009F1F9A">
        <w:rPr>
          <w:rFonts w:cs="Times New Roman"/>
          <w:vertAlign w:val="subscript"/>
          <w:lang w:val="en-GB"/>
        </w:rPr>
        <w:t>5</w:t>
      </w:r>
      <w:r w:rsidR="007C7736" w:rsidRPr="009F1F9A">
        <w:rPr>
          <w:rFonts w:cs="Times New Roman"/>
          <w:lang w:val="en-GB"/>
        </w:rPr>
        <w:t xml:space="preserve"> is present in </w:t>
      </w:r>
      <w:r w:rsidR="00C22BCD">
        <w:rPr>
          <w:rFonts w:cs="Times New Roman"/>
          <w:lang w:val="en-GB"/>
        </w:rPr>
        <w:t>the plain glazed samples of the Mixed Carbonate Group (</w:t>
      </w:r>
      <w:r w:rsidR="007C7736" w:rsidRPr="009F1F9A">
        <w:rPr>
          <w:rFonts w:cs="Times New Roman"/>
          <w:lang w:val="en-GB"/>
        </w:rPr>
        <w:t>KF10</w:t>
      </w:r>
      <w:r w:rsidR="00C22BCD">
        <w:rPr>
          <w:rFonts w:cs="Times New Roman"/>
          <w:lang w:val="en-GB"/>
        </w:rPr>
        <w:t xml:space="preserve">, </w:t>
      </w:r>
      <w:r w:rsidR="007C7736" w:rsidRPr="009F1F9A">
        <w:rPr>
          <w:rFonts w:cs="Times New Roman"/>
          <w:lang w:val="en-GB"/>
        </w:rPr>
        <w:t>KF13</w:t>
      </w:r>
      <w:r w:rsidR="00C22BCD">
        <w:rPr>
          <w:rFonts w:cs="Times New Roman"/>
          <w:lang w:val="en-GB"/>
        </w:rPr>
        <w:t>)</w:t>
      </w:r>
      <w:r w:rsidR="007C7736" w:rsidRPr="009F1F9A">
        <w:rPr>
          <w:rFonts w:cs="Times New Roman"/>
          <w:lang w:val="en-GB"/>
        </w:rPr>
        <w:t>, which contain bright microparticles rich in PbO and Sb</w:t>
      </w:r>
      <w:r w:rsidR="007C7736" w:rsidRPr="009F1F9A">
        <w:rPr>
          <w:rFonts w:cs="Times New Roman"/>
          <w:vertAlign w:val="subscript"/>
          <w:lang w:val="en-GB"/>
        </w:rPr>
        <w:t>2</w:t>
      </w:r>
      <w:r w:rsidR="007C7736" w:rsidRPr="009F1F9A">
        <w:rPr>
          <w:rFonts w:cs="Times New Roman"/>
          <w:lang w:val="en-GB"/>
        </w:rPr>
        <w:t>O</w:t>
      </w:r>
      <w:r w:rsidR="007C7736" w:rsidRPr="009F1F9A">
        <w:rPr>
          <w:rFonts w:cs="Times New Roman"/>
          <w:vertAlign w:val="subscript"/>
          <w:lang w:val="en-GB"/>
        </w:rPr>
        <w:t>5</w:t>
      </w:r>
      <w:r w:rsidR="007C7736" w:rsidRPr="009F1F9A">
        <w:rPr>
          <w:rFonts w:cs="Times New Roman"/>
          <w:lang w:val="en-GB"/>
        </w:rPr>
        <w:t xml:space="preserve">, leading to an intense yellow glaze of KF13. It is not </w:t>
      </w:r>
      <w:r w:rsidRPr="009F1F9A">
        <w:rPr>
          <w:rFonts w:cs="Times New Roman"/>
          <w:lang w:val="en-GB"/>
        </w:rPr>
        <w:t>c</w:t>
      </w:r>
      <w:r>
        <w:rPr>
          <w:rFonts w:cs="Times New Roman"/>
          <w:lang w:val="en-GB"/>
        </w:rPr>
        <w:t>lear</w:t>
      </w:r>
      <w:r w:rsidRPr="009F1F9A">
        <w:rPr>
          <w:rFonts w:cs="Times New Roman"/>
          <w:lang w:val="en-GB"/>
        </w:rPr>
        <w:t xml:space="preserve"> </w:t>
      </w:r>
      <w:r w:rsidR="007C7736" w:rsidRPr="009F1F9A">
        <w:rPr>
          <w:rFonts w:cs="Times New Roman"/>
          <w:lang w:val="en-GB"/>
        </w:rPr>
        <w:t xml:space="preserve">whether the lead antimonate was included intentionally to colour the glaze of KF10. The brown glaze seen in </w:t>
      </w:r>
      <w:r w:rsidR="007164DD">
        <w:rPr>
          <w:rFonts w:cs="Times New Roman"/>
          <w:lang w:val="en-GB"/>
        </w:rPr>
        <w:t>the plain glazed samples (</w:t>
      </w:r>
      <w:r w:rsidR="007164DD" w:rsidRPr="009F1F9A">
        <w:rPr>
          <w:rFonts w:cs="Times New Roman"/>
          <w:lang w:val="en-GB"/>
        </w:rPr>
        <w:t>AG05, AG10</w:t>
      </w:r>
      <w:r w:rsidR="007164DD">
        <w:rPr>
          <w:rFonts w:cs="Times New Roman"/>
          <w:lang w:val="en-GB"/>
        </w:rPr>
        <w:t>) and the slip-painted samples (</w:t>
      </w:r>
      <w:r w:rsidR="007164DD" w:rsidRPr="009F1F9A">
        <w:rPr>
          <w:rFonts w:cs="Times New Roman"/>
          <w:lang w:val="en-GB"/>
        </w:rPr>
        <w:t>PS09, PS10</w:t>
      </w:r>
      <w:r w:rsidR="007164DD">
        <w:rPr>
          <w:rFonts w:cs="Times New Roman"/>
          <w:lang w:val="en-GB"/>
        </w:rPr>
        <w:t>,</w:t>
      </w:r>
      <w:r w:rsidR="007164DD" w:rsidRPr="009F1F9A">
        <w:rPr>
          <w:rFonts w:cs="Times New Roman"/>
          <w:lang w:val="en-GB"/>
        </w:rPr>
        <w:t xml:space="preserve"> PS1</w:t>
      </w:r>
      <w:r w:rsidR="007164DD">
        <w:rPr>
          <w:rFonts w:cs="Times New Roman"/>
          <w:lang w:val="en-GB"/>
        </w:rPr>
        <w:t>1)</w:t>
      </w:r>
      <w:r w:rsidR="007164DD" w:rsidRPr="009F1F9A">
        <w:rPr>
          <w:rFonts w:cs="Times New Roman"/>
          <w:lang w:val="en-GB"/>
        </w:rPr>
        <w:t xml:space="preserve"> </w:t>
      </w:r>
      <w:r w:rsidR="007164DD">
        <w:rPr>
          <w:rFonts w:cs="Times New Roman"/>
          <w:lang w:val="en-GB"/>
        </w:rPr>
        <w:t>of the Mixed Carbonate Group</w:t>
      </w:r>
      <w:r w:rsidR="007C7736" w:rsidRPr="009F1F9A">
        <w:rPr>
          <w:rFonts w:cs="Times New Roman"/>
          <w:lang w:val="en-GB"/>
        </w:rPr>
        <w:t xml:space="preserve">, and the white glaze seen in </w:t>
      </w:r>
      <w:r w:rsidR="007164DD">
        <w:rPr>
          <w:rFonts w:cs="Times New Roman"/>
          <w:lang w:val="en-GB"/>
        </w:rPr>
        <w:t xml:space="preserve">the </w:t>
      </w:r>
      <w:r w:rsidR="00C22BCD">
        <w:rPr>
          <w:rFonts w:cs="Times New Roman"/>
          <w:lang w:val="en-GB"/>
        </w:rPr>
        <w:t>white-slipped samples of the Micaceous (</w:t>
      </w:r>
      <w:r w:rsidR="00C22BCD" w:rsidRPr="009F1F9A">
        <w:rPr>
          <w:rFonts w:cs="Times New Roman"/>
          <w:lang w:val="en-GB"/>
        </w:rPr>
        <w:t>AG19, AG20</w:t>
      </w:r>
      <w:r w:rsidR="00C22BCD">
        <w:rPr>
          <w:rFonts w:cs="Times New Roman"/>
          <w:lang w:val="en-GB"/>
        </w:rPr>
        <w:t>,</w:t>
      </w:r>
      <w:r w:rsidR="00C22BCD" w:rsidRPr="009F1F9A">
        <w:rPr>
          <w:rFonts w:cs="Times New Roman"/>
          <w:lang w:val="en-GB"/>
        </w:rPr>
        <w:t xml:space="preserve"> VS04</w:t>
      </w:r>
      <w:r w:rsidR="00C22BCD">
        <w:rPr>
          <w:rFonts w:cs="Times New Roman"/>
          <w:lang w:val="en-GB"/>
        </w:rPr>
        <w:t>) and Mixed Carbonate Groups (</w:t>
      </w:r>
      <w:r w:rsidR="007C7736" w:rsidRPr="009F1F9A">
        <w:rPr>
          <w:rFonts w:cs="Times New Roman"/>
          <w:lang w:val="en-GB"/>
        </w:rPr>
        <w:t>AG06</w:t>
      </w:r>
      <w:r w:rsidR="00C22BCD">
        <w:rPr>
          <w:rFonts w:cs="Times New Roman"/>
          <w:lang w:val="en-GB"/>
        </w:rPr>
        <w:t>)</w:t>
      </w:r>
      <w:r w:rsidR="007C7736" w:rsidRPr="009F1F9A">
        <w:rPr>
          <w:rFonts w:cs="Times New Roman"/>
          <w:lang w:val="en-GB"/>
        </w:rPr>
        <w:t xml:space="preserve"> were created through the application of transparent lead glaze over </w:t>
      </w:r>
      <w:r w:rsidR="007C7736" w:rsidRPr="009F1F9A">
        <w:rPr>
          <w:rFonts w:cs="Times New Roman"/>
          <w:lang w:val="en-GB"/>
        </w:rPr>
        <w:lastRenderedPageBreak/>
        <w:t xml:space="preserve">an iron-rich brown slip and quartz-laden white slip, respectively. Analysis of the painted and unpainted areas of </w:t>
      </w:r>
      <w:r w:rsidR="007164DD">
        <w:rPr>
          <w:rFonts w:cs="Times New Roman"/>
          <w:lang w:val="en-GB"/>
        </w:rPr>
        <w:t>painted glazed samples of the Micaceous Group (</w:t>
      </w:r>
      <w:r w:rsidR="007C7736" w:rsidRPr="009F1F9A">
        <w:rPr>
          <w:rFonts w:cs="Times New Roman"/>
          <w:lang w:val="en-GB"/>
        </w:rPr>
        <w:t>PS14</w:t>
      </w:r>
      <w:r w:rsidR="007164DD">
        <w:rPr>
          <w:rFonts w:cs="Times New Roman"/>
          <w:lang w:val="en-GB"/>
        </w:rPr>
        <w:t>,</w:t>
      </w:r>
      <w:r w:rsidR="007C7736" w:rsidRPr="009F1F9A">
        <w:rPr>
          <w:rFonts w:cs="Times New Roman"/>
          <w:lang w:val="en-GB"/>
        </w:rPr>
        <w:t xml:space="preserve"> PS16</w:t>
      </w:r>
      <w:r w:rsidR="007164DD">
        <w:rPr>
          <w:rFonts w:cs="Times New Roman"/>
          <w:lang w:val="en-GB"/>
        </w:rPr>
        <w:t>)</w:t>
      </w:r>
      <w:r w:rsidR="007C7736" w:rsidRPr="009F1F9A">
        <w:rPr>
          <w:rFonts w:cs="Times New Roman"/>
          <w:lang w:val="en-GB"/>
        </w:rPr>
        <w:t xml:space="preserve"> shows that </w:t>
      </w:r>
      <w:r w:rsidR="007164DD">
        <w:rPr>
          <w:rFonts w:cs="Times New Roman"/>
          <w:lang w:val="en-GB"/>
        </w:rPr>
        <w:t xml:space="preserve">a </w:t>
      </w:r>
      <w:r w:rsidR="007C7736" w:rsidRPr="009F1F9A">
        <w:rPr>
          <w:rFonts w:cs="Times New Roman"/>
          <w:lang w:val="en-GB"/>
        </w:rPr>
        <w:t>transparent glaze was also used to cover the painted glazed samples, but the interaction with the underlying paint resulted in the transferal of the oxides used as colourants (Fe</w:t>
      </w:r>
      <w:r w:rsidR="007C7736" w:rsidRPr="009F1F9A">
        <w:rPr>
          <w:rFonts w:cs="Times New Roman"/>
          <w:vertAlign w:val="subscript"/>
          <w:lang w:val="en-GB"/>
        </w:rPr>
        <w:t>2</w:t>
      </w:r>
      <w:r w:rsidR="007C7736" w:rsidRPr="009F1F9A">
        <w:rPr>
          <w:rFonts w:cs="Times New Roman"/>
          <w:lang w:val="en-GB"/>
        </w:rPr>
        <w:t>O</w:t>
      </w:r>
      <w:r w:rsidR="007C7736" w:rsidRPr="009F1F9A">
        <w:rPr>
          <w:rFonts w:cs="Times New Roman"/>
          <w:vertAlign w:val="subscript"/>
          <w:lang w:val="en-GB"/>
        </w:rPr>
        <w:t>3</w:t>
      </w:r>
      <w:r w:rsidR="007C7736" w:rsidRPr="009F1F9A">
        <w:rPr>
          <w:rFonts w:cs="Times New Roman"/>
          <w:lang w:val="en-GB"/>
        </w:rPr>
        <w:t xml:space="preserve"> and CuO) f</w:t>
      </w:r>
      <w:r w:rsidR="00E1120C">
        <w:rPr>
          <w:rFonts w:cs="Times New Roman"/>
          <w:lang w:val="en-GB"/>
        </w:rPr>
        <w:t>rom</w:t>
      </w:r>
      <w:r w:rsidR="007C7736" w:rsidRPr="009F1F9A">
        <w:rPr>
          <w:rFonts w:cs="Times New Roman"/>
          <w:lang w:val="en-GB"/>
        </w:rPr>
        <w:t xml:space="preserve"> the paint to the glaze.</w:t>
      </w:r>
    </w:p>
    <w:p w14:paraId="30C632A2" w14:textId="77777777" w:rsidR="007C7736" w:rsidRPr="009F1F9A" w:rsidRDefault="007C7736" w:rsidP="009F1F9A">
      <w:pPr>
        <w:spacing w:line="480" w:lineRule="auto"/>
        <w:jc w:val="both"/>
        <w:rPr>
          <w:rFonts w:cs="Times New Roman"/>
          <w:lang w:val="en-GB"/>
        </w:rPr>
      </w:pPr>
    </w:p>
    <w:p w14:paraId="3E914E4A" w14:textId="204B8542" w:rsidR="007C7736" w:rsidRPr="009F1F9A" w:rsidRDefault="007C7736" w:rsidP="009F1F9A">
      <w:pPr>
        <w:spacing w:line="480" w:lineRule="auto"/>
        <w:jc w:val="both"/>
        <w:rPr>
          <w:rFonts w:cs="Times New Roman"/>
          <w:lang w:val="en-GB"/>
        </w:rPr>
      </w:pPr>
      <w:r w:rsidRPr="009F1F9A">
        <w:rPr>
          <w:rFonts w:cs="Times New Roman"/>
          <w:lang w:val="en-GB"/>
        </w:rPr>
        <w:t>By removing the oxides relat</w:t>
      </w:r>
      <w:r w:rsidR="00177F9E" w:rsidRPr="009F1F9A">
        <w:rPr>
          <w:rFonts w:cs="Times New Roman"/>
          <w:lang w:val="en-GB"/>
        </w:rPr>
        <w:t>ing</w:t>
      </w:r>
      <w:r w:rsidRPr="009F1F9A">
        <w:rPr>
          <w:rFonts w:cs="Times New Roman"/>
          <w:lang w:val="en-GB"/>
        </w:rPr>
        <w:t xml:space="preserve"> to the flux and colorants from the glaze composition, and plotting the renormalised glaze and associated ceramic body or slip composition (Hurst and Freestone 1996; Walton and Tite 2010) (</w:t>
      </w:r>
      <w:r w:rsidR="00184376" w:rsidRPr="009F1F9A">
        <w:rPr>
          <w:rFonts w:cs="Times New Roman"/>
          <w:lang w:val="en-GB"/>
        </w:rPr>
        <w:t xml:space="preserve">Supplementary </w:t>
      </w:r>
      <w:r w:rsidRPr="009F1F9A">
        <w:rPr>
          <w:rFonts w:cs="Times New Roman"/>
          <w:lang w:val="en-GB"/>
        </w:rPr>
        <w:t>Fig. 2), the Micaceous Group samples fall on the unity slope line</w:t>
      </w:r>
      <w:r w:rsidR="009728CC" w:rsidRPr="009F1F9A">
        <w:rPr>
          <w:rFonts w:cs="Times New Roman"/>
          <w:lang w:val="en-GB"/>
        </w:rPr>
        <w:t>, whereas t</w:t>
      </w:r>
      <w:r w:rsidRPr="009F1F9A">
        <w:rPr>
          <w:rFonts w:cs="Times New Roman"/>
          <w:lang w:val="en-GB"/>
        </w:rPr>
        <w:t xml:space="preserve">he Mixed Carbonate Group samples deviate slightly from </w:t>
      </w:r>
      <w:r w:rsidR="009728CC" w:rsidRPr="009F1F9A">
        <w:rPr>
          <w:rFonts w:cs="Times New Roman"/>
          <w:lang w:val="en-GB"/>
        </w:rPr>
        <w:t>it</w:t>
      </w:r>
      <w:r w:rsidRPr="009F1F9A">
        <w:rPr>
          <w:rFonts w:cs="Times New Roman"/>
          <w:lang w:val="en-GB"/>
        </w:rPr>
        <w:t xml:space="preserve">. In contrast, the Amphibole-Serpentine Group samples do not fall on the unity slope line. Such patterning suggests that lead oxide was applied directly to the surface of the vessels of the Micaceous and some vessels of the Mixed Carbonate Groups to form the glaze, while a lead-silica mixture was used to make the glaze belonging to the Amphibole-Serpentine Group. </w:t>
      </w:r>
    </w:p>
    <w:p w14:paraId="3C1DE1C9" w14:textId="77777777" w:rsidR="007C7736" w:rsidRPr="009F1F9A" w:rsidRDefault="007C7736" w:rsidP="009F1F9A">
      <w:pPr>
        <w:spacing w:line="480" w:lineRule="auto"/>
        <w:jc w:val="both"/>
        <w:rPr>
          <w:rFonts w:cs="Times New Roman"/>
          <w:lang w:val="en-GB"/>
        </w:rPr>
      </w:pPr>
    </w:p>
    <w:p w14:paraId="1B7AFB8A" w14:textId="0C3801FB" w:rsidR="00184376" w:rsidRPr="009F1F9A" w:rsidRDefault="00184376" w:rsidP="009F1F9A">
      <w:pPr>
        <w:pStyle w:val="ListParagraph"/>
        <w:numPr>
          <w:ilvl w:val="0"/>
          <w:numId w:val="1"/>
        </w:numPr>
        <w:spacing w:line="480" w:lineRule="auto"/>
        <w:jc w:val="both"/>
        <w:rPr>
          <w:rFonts w:cs="Times New Roman"/>
          <w:b/>
          <w:lang w:val="en-GB"/>
        </w:rPr>
      </w:pPr>
      <w:r w:rsidRPr="009F1F9A">
        <w:rPr>
          <w:rFonts w:cs="Times New Roman"/>
          <w:b/>
          <w:lang w:val="en-GB"/>
        </w:rPr>
        <w:t>Discussion</w:t>
      </w:r>
    </w:p>
    <w:p w14:paraId="581095B4" w14:textId="77777777" w:rsidR="00184376" w:rsidRPr="009F1F9A" w:rsidRDefault="00184376" w:rsidP="009F1F9A">
      <w:pPr>
        <w:pStyle w:val="ListParagraph"/>
        <w:numPr>
          <w:ilvl w:val="1"/>
          <w:numId w:val="1"/>
        </w:numPr>
        <w:spacing w:line="480" w:lineRule="auto"/>
        <w:jc w:val="both"/>
        <w:rPr>
          <w:rFonts w:cs="Times New Roman"/>
          <w:lang w:val="en-GB"/>
        </w:rPr>
      </w:pPr>
      <w:r w:rsidRPr="009F1F9A">
        <w:rPr>
          <w:rFonts w:cs="Times New Roman"/>
          <w:lang w:val="en-GB"/>
        </w:rPr>
        <w:t xml:space="preserve"> Provenance determination of the compositional groups</w:t>
      </w:r>
    </w:p>
    <w:p w14:paraId="701F2ADE" w14:textId="42647C3E" w:rsidR="00184376" w:rsidRPr="009F1F9A" w:rsidRDefault="00184376" w:rsidP="009F1F9A">
      <w:pPr>
        <w:spacing w:line="480" w:lineRule="auto"/>
        <w:jc w:val="both"/>
        <w:rPr>
          <w:rFonts w:cs="Times New Roman"/>
          <w:lang w:val="en-GB"/>
        </w:rPr>
      </w:pPr>
      <w:r w:rsidRPr="009F1F9A">
        <w:rPr>
          <w:rFonts w:cs="Times New Roman"/>
          <w:lang w:val="en-GB"/>
        </w:rPr>
        <w:t xml:space="preserve">The mineralogy of the three fabric groups is consistent with the geology of </w:t>
      </w:r>
      <w:r w:rsidR="00DE3908">
        <w:rPr>
          <w:rFonts w:cs="Times New Roman"/>
          <w:lang w:val="en-GB"/>
        </w:rPr>
        <w:t xml:space="preserve">the Paphos, Famagusta, and Lapithos regions, </w:t>
      </w:r>
      <w:r w:rsidR="00426FF6">
        <w:rPr>
          <w:rFonts w:cs="Times New Roman"/>
          <w:lang w:val="en-GB"/>
        </w:rPr>
        <w:t xml:space="preserve">respectively, </w:t>
      </w:r>
      <w:r w:rsidR="00DE3908">
        <w:rPr>
          <w:rFonts w:cs="Times New Roman"/>
          <w:lang w:val="en-GB"/>
        </w:rPr>
        <w:t xml:space="preserve">which are hypothesised to have been the </w:t>
      </w:r>
      <w:r w:rsidR="00495765">
        <w:rPr>
          <w:rFonts w:cs="Times New Roman"/>
          <w:lang w:val="en-GB"/>
        </w:rPr>
        <w:t xml:space="preserve">main locations </w:t>
      </w:r>
      <w:r w:rsidR="00DE3908">
        <w:rPr>
          <w:rFonts w:cs="Times New Roman"/>
          <w:lang w:val="en-GB"/>
        </w:rPr>
        <w:t xml:space="preserve">where the Cypriot glazed ware productions </w:t>
      </w:r>
      <w:r w:rsidR="00495765">
        <w:rPr>
          <w:rFonts w:cs="Times New Roman"/>
          <w:lang w:val="en-GB"/>
        </w:rPr>
        <w:t xml:space="preserve">took place </w:t>
      </w:r>
      <w:r w:rsidR="00DE3908">
        <w:rPr>
          <w:rFonts w:cs="Times New Roman"/>
          <w:lang w:val="en-GB"/>
        </w:rPr>
        <w:t>based on the results of stylistic analysis</w:t>
      </w:r>
      <w:r w:rsidR="004A3CDF">
        <w:rPr>
          <w:rFonts w:cs="Times New Roman"/>
          <w:lang w:val="en-GB"/>
        </w:rPr>
        <w:t xml:space="preserve"> (</w:t>
      </w:r>
      <w:r w:rsidR="00F27BC1" w:rsidRPr="00CA4A26">
        <w:rPr>
          <w:rFonts w:cs="Times New Roman"/>
          <w:lang w:val="en-GB"/>
        </w:rPr>
        <w:t>du Plat Taylor and Megaw 1951; Papanikola-Bakirtzi 1989, 1996, 2012; Vallauri and François 2010; von Wartburg 1997; Waksman and von Wartburg 2006</w:t>
      </w:r>
      <w:r w:rsidR="00F27BC1">
        <w:rPr>
          <w:rFonts w:cs="Times New Roman"/>
          <w:lang w:val="en-GB"/>
        </w:rPr>
        <w:t>)</w:t>
      </w:r>
      <w:r w:rsidRPr="009F1F9A">
        <w:rPr>
          <w:rFonts w:cs="Times New Roman"/>
          <w:lang w:val="en-GB"/>
        </w:rPr>
        <w:t xml:space="preserve">. The Amphibole-Serpentine Group represents the production in Paphos at the western tip of the island, where serpentine is one of the main lithologies of the igneous and sedimentary rocks of the Mamonia Formation (Hadjistavrinou and Afrodisis 1977; Robertson and Woodcock 1979). </w:t>
      </w:r>
      <w:r w:rsidR="00495765">
        <w:rPr>
          <w:rFonts w:cs="Times New Roman"/>
          <w:lang w:val="en-GB"/>
        </w:rPr>
        <w:t xml:space="preserve">The </w:t>
      </w:r>
      <w:r w:rsidR="00495765">
        <w:rPr>
          <w:rFonts w:cs="Times New Roman"/>
          <w:lang w:val="en-GB"/>
        </w:rPr>
        <w:lastRenderedPageBreak/>
        <w:t>provenance of this fabric group is further confirmed by its similarity with</w:t>
      </w:r>
      <w:r w:rsidR="00DE3908">
        <w:rPr>
          <w:rFonts w:cs="Times New Roman"/>
          <w:lang w:val="en-GB"/>
        </w:rPr>
        <w:t xml:space="preserve"> the</w:t>
      </w:r>
      <w:r w:rsidR="00495765">
        <w:rPr>
          <w:rFonts w:cs="Times New Roman"/>
          <w:lang w:val="en-GB"/>
        </w:rPr>
        <w:t xml:space="preserve"> mineralogical</w:t>
      </w:r>
      <w:r w:rsidR="00DE3908">
        <w:rPr>
          <w:rFonts w:cs="Times New Roman"/>
          <w:lang w:val="en-GB"/>
        </w:rPr>
        <w:t xml:space="preserve"> description of the local </w:t>
      </w:r>
      <w:r w:rsidR="00495765">
        <w:rPr>
          <w:rFonts w:cs="Times New Roman"/>
          <w:lang w:val="en-GB"/>
        </w:rPr>
        <w:t xml:space="preserve">production of </w:t>
      </w:r>
      <w:r w:rsidR="00DE3908">
        <w:rPr>
          <w:rFonts w:cs="Times New Roman"/>
          <w:lang w:val="en-GB"/>
        </w:rPr>
        <w:t xml:space="preserve">Late Hellenistic colour-coated pottery </w:t>
      </w:r>
      <w:r w:rsidR="00495765">
        <w:rPr>
          <w:rFonts w:cs="Times New Roman"/>
          <w:lang w:val="en-GB"/>
        </w:rPr>
        <w:t>at</w:t>
      </w:r>
      <w:r w:rsidR="00DE3908">
        <w:rPr>
          <w:rFonts w:cs="Times New Roman"/>
          <w:lang w:val="en-GB"/>
        </w:rPr>
        <w:t xml:space="preserve"> Nea Paphos, </w:t>
      </w:r>
      <w:r w:rsidR="00495765">
        <w:rPr>
          <w:rFonts w:cs="Times New Roman"/>
          <w:lang w:val="en-GB"/>
        </w:rPr>
        <w:t>which was established through the comparison with</w:t>
      </w:r>
      <w:r w:rsidR="00DE3908">
        <w:rPr>
          <w:rFonts w:cs="Times New Roman"/>
          <w:lang w:val="en-GB"/>
        </w:rPr>
        <w:t xml:space="preserve"> the </w:t>
      </w:r>
      <w:r w:rsidR="00495765">
        <w:rPr>
          <w:rFonts w:cs="Times New Roman"/>
          <w:lang w:val="en-GB"/>
        </w:rPr>
        <w:t>sediments</w:t>
      </w:r>
      <w:r w:rsidR="00DE3908">
        <w:rPr>
          <w:rFonts w:cs="Times New Roman"/>
          <w:lang w:val="en-GB"/>
        </w:rPr>
        <w:t xml:space="preserve"> collected along the Ezousa River (Marzec et al. 2019). </w:t>
      </w:r>
      <w:r w:rsidRPr="009F1F9A">
        <w:rPr>
          <w:rFonts w:cs="Times New Roman"/>
          <w:lang w:val="en-GB"/>
        </w:rPr>
        <w:t>The dominance of biotite, quartz, and limestone of the Micaceous Group aligns with the geology of the Lapithos region, the potential provenance of this fabric. Situated at the northern coast, Lapithos is underlain by sediments from the Kyrenia Range, comprising marbles and limestones of the Hilarion Formation and metamorphic rocks of Troodos Pillow Lavas</w:t>
      </w:r>
      <w:r w:rsidR="00495765">
        <w:rPr>
          <w:rFonts w:cs="Times New Roman"/>
          <w:lang w:val="en-GB"/>
        </w:rPr>
        <w:t>.</w:t>
      </w:r>
      <w:r w:rsidRPr="009F1F9A">
        <w:rPr>
          <w:rFonts w:cs="Times New Roman"/>
          <w:lang w:val="en-GB"/>
        </w:rPr>
        <w:t xml:space="preserve"> </w:t>
      </w:r>
      <w:r w:rsidR="00495765">
        <w:rPr>
          <w:rFonts w:cs="Times New Roman"/>
          <w:lang w:val="en-GB"/>
        </w:rPr>
        <w:t>Lapithos is known to have</w:t>
      </w:r>
      <w:r w:rsidR="004A3CDF">
        <w:rPr>
          <w:rFonts w:cs="Times New Roman"/>
          <w:lang w:val="en-GB"/>
        </w:rPr>
        <w:t xml:space="preserve"> been</w:t>
      </w:r>
      <w:r w:rsidR="00495765">
        <w:rPr>
          <w:rFonts w:cs="Times New Roman"/>
          <w:lang w:val="en-GB"/>
        </w:rPr>
        <w:t xml:space="preserve"> involved in pottery production from Bronze Age until modern times. Whereas the recipes for the Bronze Age pottery are yet to be determined</w:t>
      </w:r>
      <w:r w:rsidR="004A3CDF">
        <w:rPr>
          <w:rFonts w:cs="Times New Roman"/>
          <w:lang w:val="en-GB"/>
        </w:rPr>
        <w:t xml:space="preserve"> as part of ongoing research by </w:t>
      </w:r>
      <w:r w:rsidR="004A3CDF" w:rsidRPr="009F1F9A">
        <w:rPr>
          <w:rFonts w:cs="Times New Roman"/>
          <w:lang w:val="en-GB"/>
        </w:rPr>
        <w:t xml:space="preserve">Dikomitou-Eliadou </w:t>
      </w:r>
      <w:r w:rsidR="004A3CDF">
        <w:rPr>
          <w:rFonts w:cs="Times New Roman"/>
          <w:lang w:val="en-GB"/>
        </w:rPr>
        <w:t xml:space="preserve">(2019), the mineralogy of the Micaceous Group seems to be consistent with the description of the Lapithos productions characterised by </w:t>
      </w:r>
      <w:r w:rsidRPr="009F1F9A">
        <w:rPr>
          <w:rFonts w:cs="Times New Roman"/>
          <w:lang w:val="en-GB"/>
        </w:rPr>
        <w:t xml:space="preserve">Constantinou and Panayides </w:t>
      </w:r>
      <w:r w:rsidR="004A3CDF">
        <w:rPr>
          <w:rFonts w:cs="Times New Roman"/>
          <w:lang w:val="en-GB"/>
        </w:rPr>
        <w:t>(</w:t>
      </w:r>
      <w:r w:rsidRPr="009F1F9A">
        <w:rPr>
          <w:rFonts w:cs="Times New Roman"/>
          <w:lang w:val="en-GB"/>
        </w:rPr>
        <w:t>2019)</w:t>
      </w:r>
      <w:r w:rsidR="004A3CDF">
        <w:rPr>
          <w:rFonts w:cs="Times New Roman"/>
          <w:lang w:val="en-GB"/>
        </w:rPr>
        <w:t xml:space="preserve"> drawing references to ethnographic and geological records</w:t>
      </w:r>
      <w:r w:rsidRPr="009F1F9A">
        <w:rPr>
          <w:rFonts w:cs="Times New Roman"/>
          <w:lang w:val="en-GB"/>
        </w:rPr>
        <w:t xml:space="preserve">. The micritic texture and the presence of different kinds of carbonate inclusions of the Mixed Carbonate Group point to the Famagusta region as its possible origin. Sandy marls, calcareous sands and bioclastic limestones of the Athalassa Formation cover the eastern coast where Famagusta is located (Bear 1963). </w:t>
      </w:r>
    </w:p>
    <w:p w14:paraId="15A0FC84" w14:textId="7882F080" w:rsidR="008F2228" w:rsidRPr="009F1F9A" w:rsidRDefault="008F2228" w:rsidP="009F1F9A">
      <w:pPr>
        <w:spacing w:line="480" w:lineRule="auto"/>
        <w:jc w:val="both"/>
        <w:rPr>
          <w:rFonts w:cs="Times New Roman"/>
          <w:lang w:val="en-GB"/>
        </w:rPr>
      </w:pPr>
    </w:p>
    <w:p w14:paraId="52516718" w14:textId="0A6E5350" w:rsidR="008F2228" w:rsidRPr="009F1F9A" w:rsidRDefault="008F2228" w:rsidP="009F1F9A">
      <w:pPr>
        <w:pStyle w:val="ListParagraph"/>
        <w:numPr>
          <w:ilvl w:val="1"/>
          <w:numId w:val="1"/>
        </w:numPr>
        <w:spacing w:line="480" w:lineRule="auto"/>
        <w:jc w:val="both"/>
        <w:rPr>
          <w:rFonts w:cs="Times New Roman"/>
          <w:lang w:val="en-GB"/>
        </w:rPr>
      </w:pPr>
      <w:r w:rsidRPr="009F1F9A">
        <w:rPr>
          <w:rFonts w:cs="Times New Roman"/>
          <w:lang w:val="en-GB"/>
        </w:rPr>
        <w:t xml:space="preserve"> Reconstruction of technical practices of different productions</w:t>
      </w:r>
    </w:p>
    <w:p w14:paraId="0C4EE2C5" w14:textId="77777777" w:rsidR="008F2228" w:rsidRPr="009F1F9A" w:rsidRDefault="008F2228" w:rsidP="009F1F9A">
      <w:pPr>
        <w:spacing w:line="480" w:lineRule="auto"/>
        <w:jc w:val="both"/>
        <w:rPr>
          <w:rFonts w:cs="Times New Roman"/>
          <w:i/>
          <w:lang w:val="en-GB"/>
        </w:rPr>
      </w:pPr>
      <w:r w:rsidRPr="009F1F9A">
        <w:rPr>
          <w:rFonts w:cs="Times New Roman"/>
          <w:i/>
          <w:lang w:val="en-GB"/>
        </w:rPr>
        <w:t>Paphos production</w:t>
      </w:r>
    </w:p>
    <w:p w14:paraId="495E4A20" w14:textId="71D4669E" w:rsidR="008F2228" w:rsidRPr="009F1F9A" w:rsidRDefault="008F2228" w:rsidP="009F1F9A">
      <w:pPr>
        <w:spacing w:line="480" w:lineRule="auto"/>
        <w:jc w:val="both"/>
        <w:rPr>
          <w:rFonts w:cs="Times New Roman"/>
          <w:lang w:val="en-GB"/>
        </w:rPr>
      </w:pPr>
      <w:r w:rsidRPr="009F1F9A">
        <w:rPr>
          <w:rFonts w:cs="Times New Roman"/>
          <w:lang w:val="en-GB"/>
        </w:rPr>
        <w:t>The glazed wares designated as the Paphos production, which include slip-painted, plain glazed, sgraffito, and sgraffito with slip-painted decoration, are dated to the 13</w:t>
      </w:r>
      <w:r w:rsidRPr="009F1F9A">
        <w:rPr>
          <w:rFonts w:cs="Times New Roman"/>
          <w:vertAlign w:val="superscript"/>
          <w:lang w:val="en-GB"/>
        </w:rPr>
        <w:t>th</w:t>
      </w:r>
      <w:r w:rsidRPr="009F1F9A">
        <w:rPr>
          <w:rFonts w:cs="Times New Roman"/>
          <w:lang w:val="en-GB"/>
        </w:rPr>
        <w:t xml:space="preserve"> century CE. These vessels were all made using the same recipes of the ceramic body, paint, slip and glaze, and following the same production sequence. Local clay was procured to form the ceramic body, which was then covered with white paint or slip. The paint was made of alumin</w:t>
      </w:r>
      <w:r w:rsidR="00F47E18">
        <w:rPr>
          <w:rFonts w:cs="Times New Roman"/>
          <w:lang w:val="en-GB"/>
        </w:rPr>
        <w:t>a</w:t>
      </w:r>
      <w:r w:rsidRPr="009F1F9A">
        <w:rPr>
          <w:rFonts w:cs="Times New Roman"/>
          <w:lang w:val="en-GB"/>
        </w:rPr>
        <w:t>-rich clay with little to no inclusions, whereas the slip was a mixture of alumin</w:t>
      </w:r>
      <w:r w:rsidR="00F47E18">
        <w:rPr>
          <w:rFonts w:cs="Times New Roman"/>
          <w:lang w:val="en-GB"/>
        </w:rPr>
        <w:t>a</w:t>
      </w:r>
      <w:r w:rsidRPr="009F1F9A">
        <w:rPr>
          <w:rFonts w:cs="Times New Roman"/>
          <w:lang w:val="en-GB"/>
        </w:rPr>
        <w:t xml:space="preserve">-rich clay and fine-grained </w:t>
      </w:r>
      <w:r w:rsidRPr="009F1F9A">
        <w:rPr>
          <w:rFonts w:cs="Times New Roman"/>
          <w:lang w:val="en-GB"/>
        </w:rPr>
        <w:lastRenderedPageBreak/>
        <w:t xml:space="preserve">quartz. The surface of sgraffito was further incised to expose the ceramic body underneath. All painted and slipped wares were fired before the glaze application, </w:t>
      </w:r>
      <w:r w:rsidR="00FF1387">
        <w:rPr>
          <w:rFonts w:cs="Times New Roman"/>
          <w:lang w:val="en-GB"/>
        </w:rPr>
        <w:t xml:space="preserve">which were subjected to a second firing, </w:t>
      </w:r>
      <w:r w:rsidRPr="009F1F9A">
        <w:rPr>
          <w:rFonts w:cs="Times New Roman"/>
          <w:lang w:val="en-GB"/>
        </w:rPr>
        <w:t xml:space="preserve">as indicated by the thin interaction layer between the glaze and </w:t>
      </w:r>
      <w:r w:rsidR="002815EB">
        <w:rPr>
          <w:rFonts w:cs="Times New Roman"/>
          <w:lang w:val="en-GB"/>
        </w:rPr>
        <w:t xml:space="preserve">slip or </w:t>
      </w:r>
      <w:r w:rsidRPr="009F1F9A">
        <w:rPr>
          <w:rFonts w:cs="Times New Roman"/>
          <w:lang w:val="en-GB"/>
        </w:rPr>
        <w:t xml:space="preserve">ceramic body. The glaze was a mixture of lead oxide and silica, coloured by copper and iron oxides. </w:t>
      </w:r>
    </w:p>
    <w:p w14:paraId="414E8E0F" w14:textId="77777777" w:rsidR="008F2228" w:rsidRPr="009F1F9A" w:rsidRDefault="008F2228" w:rsidP="009F1F9A">
      <w:pPr>
        <w:spacing w:line="480" w:lineRule="auto"/>
        <w:jc w:val="both"/>
        <w:rPr>
          <w:rFonts w:cs="Times New Roman"/>
          <w:lang w:val="en-GB"/>
        </w:rPr>
      </w:pPr>
    </w:p>
    <w:p w14:paraId="7DACA685" w14:textId="77777777" w:rsidR="008F2228" w:rsidRPr="009F1F9A" w:rsidRDefault="008F2228" w:rsidP="009F1F9A">
      <w:pPr>
        <w:spacing w:line="480" w:lineRule="auto"/>
        <w:jc w:val="both"/>
        <w:rPr>
          <w:rFonts w:cs="Times New Roman"/>
          <w:i/>
          <w:lang w:val="en-GB"/>
        </w:rPr>
      </w:pPr>
      <w:r w:rsidRPr="009F1F9A">
        <w:rPr>
          <w:rFonts w:cs="Times New Roman"/>
          <w:i/>
          <w:lang w:val="en-GB"/>
        </w:rPr>
        <w:t>Famagusta production</w:t>
      </w:r>
    </w:p>
    <w:p w14:paraId="637D2AAF" w14:textId="2B105F02" w:rsidR="008F2228" w:rsidRPr="009F1F9A" w:rsidRDefault="008F2228" w:rsidP="009F1F9A">
      <w:pPr>
        <w:spacing w:line="480" w:lineRule="auto"/>
        <w:jc w:val="both"/>
        <w:rPr>
          <w:rFonts w:cs="Times New Roman"/>
          <w:lang w:val="en-GB"/>
        </w:rPr>
      </w:pPr>
      <w:r w:rsidRPr="009F1F9A">
        <w:rPr>
          <w:rFonts w:cs="Times New Roman"/>
          <w:lang w:val="en-GB"/>
        </w:rPr>
        <w:t>The earliest evidence of the Famagusta production in this study are the plain glazed wares dated to the 13</w:t>
      </w:r>
      <w:r w:rsidRPr="009F1F9A">
        <w:rPr>
          <w:rFonts w:cs="Times New Roman"/>
          <w:vertAlign w:val="superscript"/>
          <w:lang w:val="en-GB"/>
        </w:rPr>
        <w:t>th</w:t>
      </w:r>
      <w:r w:rsidRPr="009F1F9A">
        <w:rPr>
          <w:rFonts w:cs="Times New Roman"/>
          <w:lang w:val="en-GB"/>
        </w:rPr>
        <w:t xml:space="preserve"> to 14</w:t>
      </w:r>
      <w:r w:rsidRPr="009F1F9A">
        <w:rPr>
          <w:rFonts w:cs="Times New Roman"/>
          <w:vertAlign w:val="superscript"/>
          <w:lang w:val="en-GB"/>
        </w:rPr>
        <w:t>th</w:t>
      </w:r>
      <w:r w:rsidRPr="009F1F9A">
        <w:rPr>
          <w:rFonts w:cs="Times New Roman"/>
          <w:lang w:val="en-GB"/>
        </w:rPr>
        <w:t xml:space="preserve"> centuries, which exhibit different technical practices. The green glaze was applied to an unfired, unslipped ceramic body, resulting in a thick interaction layer, and the chemical contribution of the ceramic body to the glaze. For the brown plain glazed wares, the ceramic body was covered with an iron-rich clay slip, which was fired before applying a layer of transparent lead glaze. This technique of covering the ceramic body with coloured slip and transparent glaze was also used to make the slip-painted wares dated to the 14</w:t>
      </w:r>
      <w:r w:rsidRPr="009F1F9A">
        <w:rPr>
          <w:rFonts w:cs="Times New Roman"/>
          <w:vertAlign w:val="superscript"/>
          <w:lang w:val="en-GB"/>
        </w:rPr>
        <w:t>th</w:t>
      </w:r>
      <w:r w:rsidRPr="009F1F9A">
        <w:rPr>
          <w:rFonts w:cs="Times New Roman"/>
          <w:lang w:val="en-GB"/>
        </w:rPr>
        <w:t xml:space="preserve"> to 15</w:t>
      </w:r>
      <w:r w:rsidRPr="009F1F9A">
        <w:rPr>
          <w:rFonts w:cs="Times New Roman"/>
          <w:vertAlign w:val="superscript"/>
          <w:lang w:val="en-GB"/>
        </w:rPr>
        <w:t>th</w:t>
      </w:r>
      <w:r w:rsidRPr="009F1F9A">
        <w:rPr>
          <w:rFonts w:cs="Times New Roman"/>
          <w:lang w:val="en-GB"/>
        </w:rPr>
        <w:t xml:space="preserve"> centuries. The slipped body was further decorated with white paint, which was made of alum</w:t>
      </w:r>
      <w:r w:rsidR="00F47E18">
        <w:rPr>
          <w:rFonts w:cs="Times New Roman"/>
          <w:lang w:val="en-GB"/>
        </w:rPr>
        <w:t>ina</w:t>
      </w:r>
      <w:r w:rsidRPr="009F1F9A">
        <w:rPr>
          <w:rFonts w:cs="Times New Roman"/>
          <w:lang w:val="en-GB"/>
        </w:rPr>
        <w:t xml:space="preserve">-rich clay and coarse-grained quartz. </w:t>
      </w:r>
    </w:p>
    <w:p w14:paraId="53DB6AD8" w14:textId="77777777" w:rsidR="008F2228" w:rsidRPr="009F1F9A" w:rsidRDefault="008F2228" w:rsidP="009F1F9A">
      <w:pPr>
        <w:spacing w:line="480" w:lineRule="auto"/>
        <w:jc w:val="both"/>
        <w:rPr>
          <w:rFonts w:cs="Times New Roman"/>
          <w:lang w:val="en-GB"/>
        </w:rPr>
      </w:pPr>
    </w:p>
    <w:p w14:paraId="239EB032" w14:textId="477181D0" w:rsidR="008F2228" w:rsidRPr="009F1F9A" w:rsidRDefault="008F2228" w:rsidP="009F1F9A">
      <w:pPr>
        <w:spacing w:line="480" w:lineRule="auto"/>
        <w:jc w:val="both"/>
        <w:rPr>
          <w:rFonts w:cs="Times New Roman"/>
          <w:lang w:val="en-GB"/>
        </w:rPr>
      </w:pPr>
      <w:r w:rsidRPr="009F1F9A">
        <w:rPr>
          <w:rFonts w:cs="Times New Roman"/>
          <w:lang w:val="en-GB"/>
        </w:rPr>
        <w:t>The Famagusta production appears to have continued during the 16</w:t>
      </w:r>
      <w:r w:rsidRPr="009F1F9A">
        <w:rPr>
          <w:rFonts w:cs="Times New Roman"/>
          <w:vertAlign w:val="superscript"/>
          <w:lang w:val="en-GB"/>
        </w:rPr>
        <w:t>th</w:t>
      </w:r>
      <w:r w:rsidRPr="009F1F9A">
        <w:rPr>
          <w:rFonts w:cs="Times New Roman"/>
          <w:lang w:val="en-GB"/>
        </w:rPr>
        <w:t xml:space="preserve"> and 17</w:t>
      </w:r>
      <w:r w:rsidRPr="009F1F9A">
        <w:rPr>
          <w:rFonts w:cs="Times New Roman"/>
          <w:vertAlign w:val="superscript"/>
          <w:lang w:val="en-GB"/>
        </w:rPr>
        <w:t>th</w:t>
      </w:r>
      <w:r w:rsidRPr="009F1F9A">
        <w:rPr>
          <w:rFonts w:cs="Times New Roman"/>
          <w:lang w:val="en-GB"/>
        </w:rPr>
        <w:t xml:space="preserve"> centuries, with new, more diverse technical practices being introduced to make sgraffito, white-slipped, and plain glazed wares. The slip of the sgraffito was made of alumin</w:t>
      </w:r>
      <w:r w:rsidR="00F47E18">
        <w:rPr>
          <w:rFonts w:cs="Times New Roman"/>
          <w:lang w:val="en-GB"/>
        </w:rPr>
        <w:t>a</w:t>
      </w:r>
      <w:r w:rsidRPr="009F1F9A">
        <w:rPr>
          <w:rFonts w:cs="Times New Roman"/>
          <w:lang w:val="en-GB"/>
        </w:rPr>
        <w:t>-rich clay with a few apatite inclusions and no quartz. The interior and exterior surfaces of the sgraffito were fully covered with white slip and coloured glaze rather than covering only the interior surface with slip and using coloured glazes to create splash decoration, as typical of other productions. It was also during this phase that the use of quartz-laden slip is recorded in the white-slipped ware. This production is further distinguished by the use of lead</w:t>
      </w:r>
      <w:r w:rsidR="00F47E18">
        <w:rPr>
          <w:rFonts w:cs="Times New Roman"/>
          <w:lang w:val="en-GB"/>
        </w:rPr>
        <w:t xml:space="preserve"> </w:t>
      </w:r>
      <w:r w:rsidRPr="009F1F9A">
        <w:rPr>
          <w:rFonts w:cs="Times New Roman"/>
          <w:lang w:val="en-GB"/>
        </w:rPr>
        <w:t xml:space="preserve">antimonate as colourant to create an intense yellow glaze for the plain glazed ware, which was not </w:t>
      </w:r>
      <w:r w:rsidR="00D42464" w:rsidRPr="009F1F9A">
        <w:rPr>
          <w:rFonts w:cs="Times New Roman"/>
          <w:lang w:val="en-GB"/>
        </w:rPr>
        <w:t>seen</w:t>
      </w:r>
      <w:r w:rsidRPr="009F1F9A">
        <w:rPr>
          <w:rFonts w:cs="Times New Roman"/>
          <w:lang w:val="en-GB"/>
        </w:rPr>
        <w:t xml:space="preserve"> in other Cypriot production</w:t>
      </w:r>
      <w:r w:rsidR="00177F9E" w:rsidRPr="009F1F9A">
        <w:rPr>
          <w:rFonts w:cs="Times New Roman"/>
          <w:lang w:val="en-GB"/>
        </w:rPr>
        <w:t>s</w:t>
      </w:r>
      <w:r w:rsidRPr="009F1F9A">
        <w:rPr>
          <w:rFonts w:cs="Times New Roman"/>
          <w:lang w:val="en-GB"/>
        </w:rPr>
        <w:t xml:space="preserve">. </w:t>
      </w:r>
    </w:p>
    <w:p w14:paraId="19DA2BD5" w14:textId="77777777" w:rsidR="008F2228" w:rsidRPr="009F1F9A" w:rsidRDefault="008F2228" w:rsidP="009F1F9A">
      <w:pPr>
        <w:spacing w:line="480" w:lineRule="auto"/>
        <w:jc w:val="both"/>
        <w:rPr>
          <w:rFonts w:cs="Times New Roman"/>
          <w:lang w:val="en-GB"/>
        </w:rPr>
      </w:pPr>
    </w:p>
    <w:p w14:paraId="61D050A9" w14:textId="77777777" w:rsidR="008F2228" w:rsidRPr="009F1F9A" w:rsidRDefault="008F2228" w:rsidP="009F1F9A">
      <w:pPr>
        <w:spacing w:line="480" w:lineRule="auto"/>
        <w:jc w:val="both"/>
        <w:rPr>
          <w:rFonts w:cs="Times New Roman"/>
          <w:i/>
          <w:lang w:val="en-GB"/>
        </w:rPr>
      </w:pPr>
      <w:r w:rsidRPr="009F1F9A">
        <w:rPr>
          <w:rFonts w:cs="Times New Roman"/>
          <w:i/>
          <w:lang w:val="en-GB"/>
        </w:rPr>
        <w:t>Lapithos production</w:t>
      </w:r>
    </w:p>
    <w:p w14:paraId="0FB34BC6" w14:textId="7B07472C" w:rsidR="008F2228" w:rsidRPr="009F1F9A" w:rsidRDefault="008F2228" w:rsidP="009F1F9A">
      <w:pPr>
        <w:spacing w:line="480" w:lineRule="auto"/>
        <w:jc w:val="both"/>
        <w:rPr>
          <w:rFonts w:cs="Times New Roman"/>
          <w:lang w:val="en-GB"/>
        </w:rPr>
      </w:pPr>
      <w:r w:rsidRPr="009F1F9A">
        <w:rPr>
          <w:rFonts w:cs="Times New Roman"/>
          <w:lang w:val="en-GB"/>
        </w:rPr>
        <w:t>The glazed wares identified as Lapithos production fall into two broad phases. The early phase is dominated by sgraffito, dated between the 14</w:t>
      </w:r>
      <w:r w:rsidRPr="009F1F9A">
        <w:rPr>
          <w:rFonts w:cs="Times New Roman"/>
          <w:vertAlign w:val="superscript"/>
          <w:lang w:val="en-GB"/>
        </w:rPr>
        <w:t>th</w:t>
      </w:r>
      <w:r w:rsidRPr="009F1F9A">
        <w:rPr>
          <w:rFonts w:cs="Times New Roman"/>
          <w:lang w:val="en-GB"/>
        </w:rPr>
        <w:t xml:space="preserve"> and 16</w:t>
      </w:r>
      <w:r w:rsidRPr="009F1F9A">
        <w:rPr>
          <w:rFonts w:cs="Times New Roman"/>
          <w:vertAlign w:val="superscript"/>
          <w:lang w:val="en-GB"/>
        </w:rPr>
        <w:t>th</w:t>
      </w:r>
      <w:r w:rsidRPr="009F1F9A">
        <w:rPr>
          <w:rFonts w:cs="Times New Roman"/>
          <w:lang w:val="en-GB"/>
        </w:rPr>
        <w:t xml:space="preserve"> centuries. Although the production sequence displayed by the sgraffito was similar to that of the Paphos production, variation exists in the slip and glaze preparation method. Alumin</w:t>
      </w:r>
      <w:r w:rsidR="00F47E18">
        <w:rPr>
          <w:rFonts w:cs="Times New Roman"/>
          <w:lang w:val="en-GB"/>
        </w:rPr>
        <w:t>a</w:t>
      </w:r>
      <w:r w:rsidRPr="009F1F9A">
        <w:rPr>
          <w:rFonts w:cs="Times New Roman"/>
          <w:lang w:val="en-GB"/>
        </w:rPr>
        <w:t>-rich or calcareous clays mixed with quartz of varying shapes, sizes and abundance were used to make the slip</w:t>
      </w:r>
      <w:r w:rsidR="006A23B6" w:rsidRPr="009F1F9A">
        <w:rPr>
          <w:rFonts w:cs="Times New Roman"/>
          <w:lang w:val="en-GB"/>
        </w:rPr>
        <w:t xml:space="preserve">, suggesting the co-existence of different potting groups in Lapithos. </w:t>
      </w:r>
      <w:r w:rsidRPr="009F1F9A">
        <w:rPr>
          <w:rFonts w:cs="Times New Roman"/>
          <w:lang w:val="en-GB"/>
        </w:rPr>
        <w:t xml:space="preserve">The glaze was formed by applying lead oxide directly to the fired ceramic body, as the renormalised glaze composition after removing the lead oxide value is similar to the </w:t>
      </w:r>
      <w:r w:rsidR="006A23B6" w:rsidRPr="009F1F9A">
        <w:rPr>
          <w:rFonts w:cs="Times New Roman"/>
          <w:lang w:val="en-GB"/>
        </w:rPr>
        <w:t>underlying slip</w:t>
      </w:r>
      <w:r w:rsidRPr="009F1F9A">
        <w:rPr>
          <w:rFonts w:cs="Times New Roman"/>
          <w:lang w:val="en-GB"/>
        </w:rPr>
        <w:t xml:space="preserve"> composition. </w:t>
      </w:r>
    </w:p>
    <w:p w14:paraId="6C6E9F61" w14:textId="77777777" w:rsidR="008F2228" w:rsidRPr="009F1F9A" w:rsidRDefault="008F2228" w:rsidP="009F1F9A">
      <w:pPr>
        <w:spacing w:line="480" w:lineRule="auto"/>
        <w:jc w:val="both"/>
        <w:rPr>
          <w:rFonts w:cs="Times New Roman"/>
          <w:lang w:val="en-GB"/>
        </w:rPr>
      </w:pPr>
    </w:p>
    <w:p w14:paraId="6AE52BC5" w14:textId="5C43186E" w:rsidR="008F2228" w:rsidRPr="009F1F9A" w:rsidRDefault="008F2228" w:rsidP="009F1F9A">
      <w:pPr>
        <w:spacing w:line="480" w:lineRule="auto"/>
        <w:jc w:val="both"/>
        <w:rPr>
          <w:rFonts w:cs="Times New Roman"/>
          <w:lang w:val="en-GB"/>
        </w:rPr>
      </w:pPr>
      <w:r w:rsidRPr="009F1F9A">
        <w:rPr>
          <w:rFonts w:cs="Times New Roman"/>
          <w:lang w:val="en-GB"/>
        </w:rPr>
        <w:t>Technological change occurred during the 16</w:t>
      </w:r>
      <w:r w:rsidRPr="009F1F9A">
        <w:rPr>
          <w:rFonts w:cs="Times New Roman"/>
          <w:vertAlign w:val="superscript"/>
          <w:lang w:val="en-GB"/>
        </w:rPr>
        <w:t>th</w:t>
      </w:r>
      <w:r w:rsidRPr="009F1F9A">
        <w:rPr>
          <w:rFonts w:cs="Times New Roman"/>
          <w:lang w:val="en-GB"/>
        </w:rPr>
        <w:t xml:space="preserve"> to 17</w:t>
      </w:r>
      <w:r w:rsidRPr="009F1F9A">
        <w:rPr>
          <w:rFonts w:cs="Times New Roman"/>
          <w:vertAlign w:val="superscript"/>
          <w:lang w:val="en-GB"/>
        </w:rPr>
        <w:t>th</w:t>
      </w:r>
      <w:r w:rsidRPr="009F1F9A">
        <w:rPr>
          <w:rFonts w:cs="Times New Roman"/>
          <w:lang w:val="en-GB"/>
        </w:rPr>
        <w:t xml:space="preserve"> centuries, evidenced by the introduction of painted glazed ware. Incision and splashing coloured glazes, which were commonly used to decorate sgraffito, were replaced by painting. </w:t>
      </w:r>
      <w:r w:rsidR="00A13155" w:rsidRPr="009F1F9A">
        <w:rPr>
          <w:rFonts w:cs="Times New Roman"/>
          <w:lang w:val="en-GB"/>
        </w:rPr>
        <w:t>The paint was a mixture of iron or copper oxide-enriched clay and lead oxide, different from the paint of the slip-painted ware of the Paphos and Famagusta productions.</w:t>
      </w:r>
      <w:r w:rsidR="00A13155">
        <w:rPr>
          <w:rFonts w:cs="Times New Roman"/>
          <w:lang w:val="en-GB"/>
        </w:rPr>
        <w:t xml:space="preserve"> The vessels were first fired, followed by the painting of p</w:t>
      </w:r>
      <w:r w:rsidRPr="009F1F9A">
        <w:rPr>
          <w:rFonts w:cs="Times New Roman"/>
          <w:lang w:val="en-GB"/>
        </w:rPr>
        <w:t xml:space="preserve">recise patterns </w:t>
      </w:r>
      <w:r w:rsidR="00A13155">
        <w:rPr>
          <w:rFonts w:cs="Times New Roman"/>
          <w:lang w:val="en-GB"/>
        </w:rPr>
        <w:t xml:space="preserve">on </w:t>
      </w:r>
      <w:r w:rsidRPr="009F1F9A">
        <w:rPr>
          <w:rFonts w:cs="Times New Roman"/>
          <w:lang w:val="en-GB"/>
        </w:rPr>
        <w:t>the</w:t>
      </w:r>
      <w:r w:rsidR="00A13155">
        <w:rPr>
          <w:rFonts w:cs="Times New Roman"/>
          <w:lang w:val="en-GB"/>
        </w:rPr>
        <w:t>ir</w:t>
      </w:r>
      <w:r w:rsidRPr="009F1F9A">
        <w:rPr>
          <w:rFonts w:cs="Times New Roman"/>
          <w:lang w:val="en-GB"/>
        </w:rPr>
        <w:t xml:space="preserve"> interior surface</w:t>
      </w:r>
      <w:r w:rsidR="00A13155">
        <w:rPr>
          <w:rFonts w:cs="Times New Roman"/>
          <w:lang w:val="en-GB"/>
        </w:rPr>
        <w:t xml:space="preserve"> and the application of </w:t>
      </w:r>
      <w:r w:rsidRPr="009F1F9A">
        <w:rPr>
          <w:rFonts w:cs="Times New Roman"/>
          <w:lang w:val="en-GB"/>
        </w:rPr>
        <w:t xml:space="preserve">a layer of transparent glaze. </w:t>
      </w:r>
      <w:r w:rsidR="00A13155">
        <w:rPr>
          <w:rFonts w:cs="Times New Roman"/>
          <w:lang w:val="en-GB"/>
        </w:rPr>
        <w:t xml:space="preserve">Such order of paint and glaze application is confirmed by the identification of the growth of </w:t>
      </w:r>
      <w:r w:rsidR="00223571">
        <w:rPr>
          <w:rFonts w:cs="Times New Roman"/>
          <w:lang w:val="en-GB"/>
        </w:rPr>
        <w:t xml:space="preserve">the </w:t>
      </w:r>
      <w:r w:rsidR="00A13155">
        <w:rPr>
          <w:rFonts w:cs="Times New Roman"/>
          <w:lang w:val="en-GB"/>
        </w:rPr>
        <w:t xml:space="preserve">newly formed wollastonite and lead-feldspar </w:t>
      </w:r>
      <w:r w:rsidR="00223571">
        <w:rPr>
          <w:rFonts w:cs="Times New Roman"/>
          <w:lang w:val="en-GB"/>
        </w:rPr>
        <w:t>micro</w:t>
      </w:r>
      <w:r w:rsidR="00A13155">
        <w:rPr>
          <w:rFonts w:cs="Times New Roman"/>
          <w:lang w:val="en-GB"/>
        </w:rPr>
        <w:t xml:space="preserve">crystallites specifically in the areas where the painted decorations were present. </w:t>
      </w:r>
      <w:r w:rsidRPr="009F1F9A">
        <w:rPr>
          <w:rFonts w:cs="Times New Roman"/>
          <w:lang w:val="en-GB"/>
        </w:rPr>
        <w:t>Despite the shift in decorative technique, the glaze preparation method remained constant, in which lead oxide rather than a lead-silica mixture was used.</w:t>
      </w:r>
    </w:p>
    <w:p w14:paraId="74CD152E" w14:textId="77777777" w:rsidR="008F2228" w:rsidRPr="009F1F9A" w:rsidRDefault="008F2228" w:rsidP="009F1F9A">
      <w:pPr>
        <w:spacing w:line="480" w:lineRule="auto"/>
        <w:jc w:val="both"/>
        <w:rPr>
          <w:rFonts w:cs="Times New Roman"/>
          <w:lang w:val="en-GB"/>
        </w:rPr>
      </w:pPr>
    </w:p>
    <w:p w14:paraId="1E8E6FA8" w14:textId="077E06BF" w:rsidR="008F2228" w:rsidRPr="009F1F9A" w:rsidRDefault="008F2228" w:rsidP="009F1F9A">
      <w:pPr>
        <w:pStyle w:val="ListParagraph"/>
        <w:numPr>
          <w:ilvl w:val="1"/>
          <w:numId w:val="1"/>
        </w:numPr>
        <w:spacing w:line="480" w:lineRule="auto"/>
        <w:jc w:val="both"/>
        <w:rPr>
          <w:rFonts w:cs="Times New Roman"/>
          <w:lang w:val="en-GB"/>
        </w:rPr>
      </w:pPr>
      <w:r w:rsidRPr="009F1F9A">
        <w:rPr>
          <w:rFonts w:cs="Times New Roman"/>
          <w:lang w:val="en-GB"/>
        </w:rPr>
        <w:t xml:space="preserve"> The developments of glazed ware productions in medieval and post-medieval Cyprus</w:t>
      </w:r>
    </w:p>
    <w:p w14:paraId="2DD3B33D" w14:textId="0D03F4CD" w:rsidR="008F2228" w:rsidRPr="009F1F9A" w:rsidRDefault="008F2228" w:rsidP="009F1F9A">
      <w:pPr>
        <w:spacing w:line="480" w:lineRule="auto"/>
        <w:jc w:val="both"/>
        <w:rPr>
          <w:rFonts w:cs="Times New Roman"/>
          <w:lang w:val="en-GB"/>
        </w:rPr>
      </w:pPr>
      <w:r w:rsidRPr="009F1F9A">
        <w:rPr>
          <w:rFonts w:cs="Times New Roman"/>
          <w:lang w:val="en-GB"/>
        </w:rPr>
        <w:lastRenderedPageBreak/>
        <w:t xml:space="preserve">Three major observations emerge by comparing the three productions. First, there is little overlap in technological repertoires and trajectories among them. Second, </w:t>
      </w:r>
      <w:r w:rsidR="00F47E18">
        <w:rPr>
          <w:rFonts w:cs="Times New Roman"/>
          <w:lang w:val="en-GB"/>
        </w:rPr>
        <w:t xml:space="preserve">over time, </w:t>
      </w:r>
      <w:r w:rsidRPr="009F1F9A">
        <w:rPr>
          <w:rFonts w:cs="Times New Roman"/>
          <w:lang w:val="en-GB"/>
        </w:rPr>
        <w:t xml:space="preserve">greater variety of technical practices appear to have </w:t>
      </w:r>
      <w:r w:rsidR="00F47E18">
        <w:rPr>
          <w:rFonts w:cs="Times New Roman"/>
          <w:lang w:val="en-GB"/>
        </w:rPr>
        <w:t>developed</w:t>
      </w:r>
      <w:r w:rsidRPr="009F1F9A">
        <w:rPr>
          <w:rFonts w:cs="Times New Roman"/>
          <w:lang w:val="en-GB"/>
        </w:rPr>
        <w:t xml:space="preserve"> in the Famagusta and Lapithos productions. Third, </w:t>
      </w:r>
      <w:r w:rsidR="001A3D76" w:rsidRPr="009F1F9A">
        <w:rPr>
          <w:rFonts w:cs="Times New Roman"/>
          <w:lang w:val="en-GB"/>
        </w:rPr>
        <w:t xml:space="preserve">while </w:t>
      </w:r>
      <w:r w:rsidRPr="009F1F9A">
        <w:rPr>
          <w:rFonts w:cs="Times New Roman"/>
          <w:lang w:val="en-GB"/>
        </w:rPr>
        <w:t>the Paphos production was a short-lived one, the Lapithos and Famagusta productions remained active for a much longer period</w:t>
      </w:r>
      <w:r w:rsidR="00F47E18">
        <w:rPr>
          <w:rFonts w:cs="Times New Roman"/>
          <w:lang w:val="en-GB"/>
        </w:rPr>
        <w:t>, and</w:t>
      </w:r>
      <w:r w:rsidRPr="009F1F9A">
        <w:rPr>
          <w:rFonts w:cs="Times New Roman"/>
          <w:lang w:val="en-GB"/>
        </w:rPr>
        <w:t xml:space="preserve"> underwent significant changes during the </w:t>
      </w:r>
      <w:r w:rsidR="001A3D76" w:rsidRPr="009F1F9A">
        <w:rPr>
          <w:rFonts w:cs="Times New Roman"/>
          <w:lang w:val="en-GB"/>
        </w:rPr>
        <w:t>16</w:t>
      </w:r>
      <w:r w:rsidR="001A3D76" w:rsidRPr="009F1F9A">
        <w:rPr>
          <w:rFonts w:cs="Times New Roman"/>
          <w:vertAlign w:val="superscript"/>
          <w:lang w:val="en-GB"/>
        </w:rPr>
        <w:t>th</w:t>
      </w:r>
      <w:r w:rsidR="001A3D76" w:rsidRPr="009F1F9A">
        <w:rPr>
          <w:rFonts w:cs="Times New Roman"/>
          <w:lang w:val="en-GB"/>
        </w:rPr>
        <w:t xml:space="preserve"> and 17</w:t>
      </w:r>
      <w:r w:rsidR="001A3D76" w:rsidRPr="009F1F9A">
        <w:rPr>
          <w:rFonts w:cs="Times New Roman"/>
          <w:vertAlign w:val="superscript"/>
          <w:lang w:val="en-GB"/>
        </w:rPr>
        <w:t>th</w:t>
      </w:r>
      <w:r w:rsidRPr="009F1F9A">
        <w:rPr>
          <w:rFonts w:cs="Times New Roman"/>
          <w:lang w:val="en-GB"/>
        </w:rPr>
        <w:t xml:space="preserve"> centuries. We argue that these developments are linked to the socio-political and economic developments in Cyprus and broader eastern Mediterranean of the time. </w:t>
      </w:r>
    </w:p>
    <w:p w14:paraId="2D8FFB1C" w14:textId="77777777" w:rsidR="008F2228" w:rsidRPr="009F1F9A" w:rsidRDefault="008F2228" w:rsidP="009F1F9A">
      <w:pPr>
        <w:spacing w:line="480" w:lineRule="auto"/>
        <w:jc w:val="both"/>
        <w:rPr>
          <w:rFonts w:cs="Times New Roman"/>
          <w:lang w:val="en-GB"/>
        </w:rPr>
      </w:pPr>
    </w:p>
    <w:p w14:paraId="07A133BF" w14:textId="61B12E7F" w:rsidR="008F2228" w:rsidRPr="009F1F9A" w:rsidRDefault="008F2228" w:rsidP="009F1F9A">
      <w:pPr>
        <w:spacing w:line="480" w:lineRule="auto"/>
        <w:jc w:val="both"/>
        <w:rPr>
          <w:rFonts w:cs="Times New Roman"/>
          <w:lang w:val="en-GB"/>
        </w:rPr>
      </w:pPr>
      <w:r w:rsidRPr="009F1F9A">
        <w:rPr>
          <w:rFonts w:cs="Times New Roman"/>
        </w:rPr>
        <w:t xml:space="preserve">Glazed ware production in Cyprus began </w:t>
      </w:r>
      <w:r w:rsidR="007F2D3B" w:rsidRPr="009F1F9A">
        <w:rPr>
          <w:rFonts w:cs="Times New Roman"/>
        </w:rPr>
        <w:t>in</w:t>
      </w:r>
      <w:r w:rsidRPr="009F1F9A">
        <w:rPr>
          <w:rFonts w:cs="Times New Roman"/>
        </w:rPr>
        <w:t xml:space="preserve"> the 13</w:t>
      </w:r>
      <w:r w:rsidRPr="009F1F9A">
        <w:rPr>
          <w:rFonts w:cs="Times New Roman"/>
          <w:vertAlign w:val="superscript"/>
        </w:rPr>
        <w:t>th</w:t>
      </w:r>
      <w:r w:rsidRPr="009F1F9A">
        <w:rPr>
          <w:rFonts w:cs="Times New Roman"/>
        </w:rPr>
        <w:t xml:space="preserve"> century, stimulated by the establishment of Frankish rule on the island (Cook 2014; von Wartburg 1997). The Franks’ involvement in the Crusader campaigns created demands for Cypriot goods, with ports such as Limassol and Paphos functioning as stopovers for pilgrims to refill supplies on their way to the Levant (Coureas 1995, 2005; Stern 2012). Accordingly, the vast majority of glazed wares that are stylistically typical of the Paphos production were recovered in the Levant (Boaz 1999; Stern 2014), with only a few being found in Cyprus; pointing to a targeted export to the Crusader States. This may explain why the Paphos production declined shortly after the collapse of the Crusader </w:t>
      </w:r>
      <w:r w:rsidR="006B6227">
        <w:rPr>
          <w:rFonts w:cs="Times New Roman"/>
        </w:rPr>
        <w:t>States in the East</w:t>
      </w:r>
      <w:r w:rsidRPr="009F1F9A">
        <w:rPr>
          <w:rFonts w:cs="Times New Roman"/>
        </w:rPr>
        <w:t xml:space="preserve">, following the fall of Acre in 1291 (Cook 2014; von Wartburg 1997). </w:t>
      </w:r>
    </w:p>
    <w:p w14:paraId="4E4AE04E" w14:textId="77777777" w:rsidR="008F2228" w:rsidRPr="009F1F9A" w:rsidRDefault="008F2228" w:rsidP="009F1F9A">
      <w:pPr>
        <w:spacing w:line="480" w:lineRule="auto"/>
        <w:jc w:val="both"/>
        <w:rPr>
          <w:rFonts w:cs="Times New Roman"/>
          <w:lang w:val="en-GB"/>
        </w:rPr>
      </w:pPr>
    </w:p>
    <w:p w14:paraId="298BF9D6" w14:textId="150D08EF" w:rsidR="008F2228" w:rsidRPr="009F1F9A" w:rsidRDefault="008F2228" w:rsidP="009F1F9A">
      <w:pPr>
        <w:spacing w:line="480" w:lineRule="auto"/>
        <w:jc w:val="both"/>
        <w:rPr>
          <w:rFonts w:cs="Times New Roman"/>
          <w:lang w:val="en-GB"/>
        </w:rPr>
      </w:pPr>
      <w:r w:rsidRPr="009F1F9A">
        <w:rPr>
          <w:rFonts w:cs="Times New Roman"/>
          <w:lang w:val="en-GB"/>
        </w:rPr>
        <w:t xml:space="preserve">Despite the loss of </w:t>
      </w:r>
      <w:r w:rsidR="001C1B2C">
        <w:rPr>
          <w:rFonts w:cs="Times New Roman"/>
          <w:lang w:val="en-GB"/>
        </w:rPr>
        <w:t xml:space="preserve">the </w:t>
      </w:r>
      <w:r w:rsidRPr="009F1F9A">
        <w:rPr>
          <w:rFonts w:cs="Times New Roman"/>
          <w:lang w:val="en-GB"/>
        </w:rPr>
        <w:t>Crusaders markets, production continued in the Famagusta and Lapithos region, with their products largely circulat</w:t>
      </w:r>
      <w:r w:rsidR="007F2D3B" w:rsidRPr="009F1F9A">
        <w:rPr>
          <w:rFonts w:cs="Times New Roman"/>
          <w:lang w:val="en-GB"/>
        </w:rPr>
        <w:t>ing</w:t>
      </w:r>
      <w:r w:rsidRPr="009F1F9A">
        <w:rPr>
          <w:rFonts w:cs="Times New Roman"/>
          <w:lang w:val="en-GB"/>
        </w:rPr>
        <w:t xml:space="preserve"> within Cyprus. The collapse of the Crusader </w:t>
      </w:r>
      <w:r w:rsidR="00426FF6">
        <w:rPr>
          <w:rFonts w:cs="Times New Roman"/>
          <w:lang w:val="en-GB"/>
        </w:rPr>
        <w:t xml:space="preserve">entities </w:t>
      </w:r>
      <w:r w:rsidRPr="009F1F9A">
        <w:rPr>
          <w:rFonts w:cs="Times New Roman"/>
          <w:lang w:val="en-GB"/>
        </w:rPr>
        <w:t>triggered the relocation of trading outposts from the Levant to Cyprus by the Western powers (Ashtor 1983; Edbury 1991), enabling its transformation to a regional and international trad</w:t>
      </w:r>
      <w:r w:rsidR="001A3D76" w:rsidRPr="009F1F9A">
        <w:rPr>
          <w:rFonts w:cs="Times New Roman"/>
          <w:lang w:val="en-GB"/>
        </w:rPr>
        <w:t>ing hub</w:t>
      </w:r>
      <w:r w:rsidRPr="009F1F9A">
        <w:rPr>
          <w:rFonts w:cs="Times New Roman"/>
          <w:lang w:val="en-GB"/>
        </w:rPr>
        <w:t xml:space="preserve"> (Coureas 2005; Day 2002; Edbury 1999; Özkutlu 2014). Historical records highlighted the pivotal role played by Famagusta in </w:t>
      </w:r>
      <w:r w:rsidR="007F2D3B" w:rsidRPr="009F1F9A">
        <w:rPr>
          <w:rFonts w:cs="Times New Roman"/>
          <w:lang w:val="en-GB"/>
        </w:rPr>
        <w:t xml:space="preserve">the </w:t>
      </w:r>
      <w:r w:rsidRPr="009F1F9A">
        <w:rPr>
          <w:rFonts w:cs="Times New Roman"/>
          <w:lang w:val="en-GB"/>
        </w:rPr>
        <w:t xml:space="preserve">pan-Mediterranean trade </w:t>
      </w:r>
      <w:r w:rsidR="007F2D3B" w:rsidRPr="009F1F9A">
        <w:rPr>
          <w:rFonts w:cs="Times New Roman"/>
          <w:lang w:val="en-GB"/>
        </w:rPr>
        <w:t xml:space="preserve">during </w:t>
      </w:r>
      <w:r w:rsidRPr="009F1F9A">
        <w:rPr>
          <w:rFonts w:cs="Times New Roman"/>
          <w:lang w:val="en-GB"/>
        </w:rPr>
        <w:t xml:space="preserve">the </w:t>
      </w:r>
      <w:r w:rsidRPr="009F1F9A">
        <w:rPr>
          <w:rFonts w:cs="Times New Roman"/>
          <w:lang w:val="en-GB"/>
        </w:rPr>
        <w:lastRenderedPageBreak/>
        <w:t>13</w:t>
      </w:r>
      <w:r w:rsidRPr="009F1F9A">
        <w:rPr>
          <w:rFonts w:cs="Times New Roman"/>
          <w:vertAlign w:val="superscript"/>
          <w:lang w:val="en-GB"/>
        </w:rPr>
        <w:t>th</w:t>
      </w:r>
      <w:r w:rsidRPr="009F1F9A">
        <w:rPr>
          <w:rFonts w:cs="Times New Roman"/>
          <w:lang w:val="en-GB"/>
        </w:rPr>
        <w:t xml:space="preserve"> </w:t>
      </w:r>
      <w:r w:rsidR="007F2D3B" w:rsidRPr="009F1F9A">
        <w:rPr>
          <w:rFonts w:cs="Times New Roman"/>
          <w:lang w:val="en-GB"/>
        </w:rPr>
        <w:t>to</w:t>
      </w:r>
      <w:r w:rsidR="00D4241A" w:rsidRPr="009F1F9A">
        <w:rPr>
          <w:rFonts w:cs="Times New Roman"/>
          <w:lang w:val="en-GB"/>
        </w:rPr>
        <w:t xml:space="preserve"> </w:t>
      </w:r>
      <w:r w:rsidRPr="009F1F9A">
        <w:rPr>
          <w:rFonts w:cs="Times New Roman"/>
          <w:lang w:val="en-GB"/>
        </w:rPr>
        <w:t>15</w:t>
      </w:r>
      <w:r w:rsidRPr="009F1F9A">
        <w:rPr>
          <w:rFonts w:cs="Times New Roman"/>
          <w:vertAlign w:val="superscript"/>
          <w:lang w:val="en-GB"/>
        </w:rPr>
        <w:t>th</w:t>
      </w:r>
      <w:r w:rsidRPr="009F1F9A">
        <w:rPr>
          <w:rFonts w:cs="Times New Roman"/>
          <w:lang w:val="en-GB"/>
        </w:rPr>
        <w:t xml:space="preserve"> centuries (Edbury 1999; Jacoby 1989; Philips 1995)</w:t>
      </w:r>
      <w:r w:rsidR="001A3D76" w:rsidRPr="009F1F9A">
        <w:rPr>
          <w:rFonts w:cs="Times New Roman"/>
          <w:lang w:val="en-GB"/>
        </w:rPr>
        <w:t xml:space="preserve">, whereas </w:t>
      </w:r>
      <w:r w:rsidR="001C1B2C">
        <w:rPr>
          <w:rFonts w:cs="Times New Roman"/>
          <w:lang w:val="en-GB"/>
        </w:rPr>
        <w:t xml:space="preserve">another </w:t>
      </w:r>
      <w:r w:rsidRPr="009F1F9A">
        <w:rPr>
          <w:rFonts w:cs="Times New Roman"/>
          <w:lang w:val="en-GB"/>
        </w:rPr>
        <w:t xml:space="preserve">trading settlement is said to have been built in Lapithos and its adjacent port in Kyrenia (Jacoby 1977). Such </w:t>
      </w:r>
      <w:r w:rsidR="00D4241A" w:rsidRPr="009F1F9A">
        <w:rPr>
          <w:rFonts w:cs="Times New Roman"/>
          <w:lang w:val="en-GB"/>
        </w:rPr>
        <w:t xml:space="preserve">a </w:t>
      </w:r>
      <w:r w:rsidRPr="009F1F9A">
        <w:rPr>
          <w:rFonts w:cs="Times New Roman"/>
          <w:lang w:val="en-GB"/>
        </w:rPr>
        <w:t xml:space="preserve">surge in commercial activities not only attracted merchants from the West, particularly the Genoese and Venetians, but also offered opportunities for local populations to get involved in trade and related activities. All these contributed to an overall elevation in wealth and social status within the Cypriot society, generating </w:t>
      </w:r>
      <w:r w:rsidR="001C1B2C">
        <w:rPr>
          <w:rFonts w:cs="Times New Roman"/>
          <w:lang w:val="en-GB"/>
        </w:rPr>
        <w:t>a</w:t>
      </w:r>
      <w:r w:rsidRPr="009F1F9A">
        <w:rPr>
          <w:rFonts w:cs="Times New Roman"/>
          <w:lang w:val="en-GB"/>
        </w:rPr>
        <w:t xml:space="preserve"> local demand for glazed wares. </w:t>
      </w:r>
    </w:p>
    <w:p w14:paraId="79FC56FD" w14:textId="77777777" w:rsidR="008F2228" w:rsidRPr="009F1F9A" w:rsidRDefault="008F2228" w:rsidP="009F1F9A">
      <w:pPr>
        <w:spacing w:line="480" w:lineRule="auto"/>
        <w:jc w:val="both"/>
        <w:rPr>
          <w:rFonts w:cs="Times New Roman"/>
          <w:lang w:val="en-GB"/>
        </w:rPr>
      </w:pPr>
    </w:p>
    <w:p w14:paraId="60A2165A" w14:textId="62C50FAE" w:rsidR="008F2228" w:rsidRPr="009F1F9A" w:rsidRDefault="008F2228" w:rsidP="009F1F9A">
      <w:pPr>
        <w:spacing w:line="480" w:lineRule="auto"/>
        <w:jc w:val="both"/>
        <w:rPr>
          <w:rFonts w:cs="Times New Roman"/>
          <w:lang w:val="en-GB"/>
        </w:rPr>
      </w:pPr>
      <w:r w:rsidRPr="009F1F9A">
        <w:rPr>
          <w:rFonts w:cs="Times New Roman"/>
          <w:lang w:val="en-GB"/>
        </w:rPr>
        <w:t>The technical practices used by the Famagusta and Lapithos potters deviated from the Paphos ones, but the ware types made by the three productions were broadly similar, represented by slip-painted, plain glaze, and sgraffito. These ware types bear close stylistic similarities with contemporaneous ceramics from the Levant, specifically evident in the Paphos and early Lapithos sgraffito</w:t>
      </w:r>
      <w:r w:rsidR="006B6227">
        <w:rPr>
          <w:rFonts w:cs="Times New Roman"/>
          <w:lang w:val="en-GB"/>
        </w:rPr>
        <w:t>,</w:t>
      </w:r>
      <w:r w:rsidRPr="009F1F9A">
        <w:rPr>
          <w:rFonts w:cs="Times New Roman"/>
          <w:lang w:val="en-GB"/>
        </w:rPr>
        <w:t xml:space="preserve"> and Port Saint Symeon Ware </w:t>
      </w:r>
      <w:r w:rsidR="006B6227">
        <w:rPr>
          <w:rFonts w:cs="Times New Roman"/>
          <w:lang w:val="en-GB"/>
        </w:rPr>
        <w:t xml:space="preserve">from the Frankish Principality of Antioch </w:t>
      </w:r>
      <w:r w:rsidRPr="009F1F9A">
        <w:rPr>
          <w:rFonts w:cs="Times New Roman"/>
          <w:lang w:val="en-GB"/>
        </w:rPr>
        <w:t xml:space="preserve">(Sanders 2003; Stern 2012; Vionis 2017). This may be explained on the basis of the intensive contacts between Cyprus and the Levant first through the trading of the Paphos products in the </w:t>
      </w:r>
      <w:r w:rsidR="00D4241A" w:rsidRPr="009F1F9A">
        <w:rPr>
          <w:rFonts w:cs="Times New Roman"/>
          <w:lang w:val="en-GB"/>
        </w:rPr>
        <w:t>13</w:t>
      </w:r>
      <w:r w:rsidR="00D4241A" w:rsidRPr="009F1F9A">
        <w:rPr>
          <w:rFonts w:cs="Times New Roman"/>
          <w:vertAlign w:val="superscript"/>
          <w:lang w:val="en-GB"/>
        </w:rPr>
        <w:t>th</w:t>
      </w:r>
      <w:r w:rsidRPr="009F1F9A">
        <w:rPr>
          <w:rFonts w:cs="Times New Roman"/>
          <w:lang w:val="en-GB"/>
        </w:rPr>
        <w:t xml:space="preserve"> century. Later on, after the fall of Acre, this influence in styles and technology accelerated after Christian populations fled from Syr</w:t>
      </w:r>
      <w:r w:rsidR="006B6227">
        <w:rPr>
          <w:rFonts w:cs="Times New Roman"/>
          <w:lang w:val="en-GB"/>
        </w:rPr>
        <w:t xml:space="preserve">ia and </w:t>
      </w:r>
      <w:r w:rsidRPr="009F1F9A">
        <w:rPr>
          <w:rFonts w:cs="Times New Roman"/>
          <w:lang w:val="en-GB"/>
        </w:rPr>
        <w:t xml:space="preserve">Palestine to Cyprus (Jacoby 2014), promoting the transferral of different bodies of technical knowledge and trends to the </w:t>
      </w:r>
      <w:r w:rsidR="00835D62">
        <w:rPr>
          <w:rFonts w:cs="Times New Roman"/>
          <w:lang w:val="en-GB"/>
        </w:rPr>
        <w:t>island, as evident in the technological variations of the Famagusta and Lapithos productions</w:t>
      </w:r>
      <w:r w:rsidRPr="009F1F9A">
        <w:rPr>
          <w:rFonts w:cs="Times New Roman"/>
          <w:lang w:val="en-GB"/>
        </w:rPr>
        <w:t xml:space="preserve">. However, </w:t>
      </w:r>
      <w:r w:rsidR="00426FF6">
        <w:rPr>
          <w:rFonts w:cs="Times New Roman"/>
          <w:lang w:val="en-GB"/>
        </w:rPr>
        <w:t xml:space="preserve">a </w:t>
      </w:r>
      <w:r w:rsidRPr="009F1F9A">
        <w:rPr>
          <w:rFonts w:cs="Times New Roman"/>
          <w:lang w:val="en-GB"/>
        </w:rPr>
        <w:t xml:space="preserve">full reconstruction of technical practices of different productions in the neighbouring regions as such is </w:t>
      </w:r>
      <w:r w:rsidR="00426FF6">
        <w:rPr>
          <w:rFonts w:cs="Times New Roman"/>
          <w:lang w:val="en-GB"/>
        </w:rPr>
        <w:t>still missing</w:t>
      </w:r>
      <w:r w:rsidRPr="009F1F9A">
        <w:rPr>
          <w:rFonts w:cs="Times New Roman"/>
          <w:lang w:val="en-GB"/>
        </w:rPr>
        <w:t xml:space="preserve">, </w:t>
      </w:r>
      <w:r w:rsidR="006B6227">
        <w:rPr>
          <w:rFonts w:cs="Times New Roman"/>
          <w:lang w:val="en-GB"/>
        </w:rPr>
        <w:t xml:space="preserve">thus, </w:t>
      </w:r>
      <w:r w:rsidRPr="009F1F9A">
        <w:rPr>
          <w:rFonts w:cs="Times New Roman"/>
          <w:lang w:val="en-GB"/>
        </w:rPr>
        <w:t xml:space="preserve">it is difficult to pinpoint exactly where the influences might have derived from.  </w:t>
      </w:r>
    </w:p>
    <w:p w14:paraId="45407102" w14:textId="77777777" w:rsidR="008F2228" w:rsidRPr="009F1F9A" w:rsidRDefault="008F2228" w:rsidP="009F1F9A">
      <w:pPr>
        <w:spacing w:line="480" w:lineRule="auto"/>
        <w:jc w:val="both"/>
        <w:rPr>
          <w:rFonts w:cs="Times New Roman"/>
          <w:lang w:val="en-GB"/>
        </w:rPr>
      </w:pPr>
    </w:p>
    <w:p w14:paraId="543C2C4C" w14:textId="3CF7849E" w:rsidR="008F2228" w:rsidRPr="009F1F9A" w:rsidRDefault="008F2228" w:rsidP="009F1F9A">
      <w:pPr>
        <w:spacing w:line="480" w:lineRule="auto"/>
        <w:jc w:val="both"/>
        <w:rPr>
          <w:rFonts w:cs="Times New Roman"/>
          <w:lang w:val="en-GB"/>
        </w:rPr>
      </w:pPr>
      <w:r w:rsidRPr="009F1F9A">
        <w:rPr>
          <w:rFonts w:cs="Times New Roman"/>
          <w:lang w:val="en-GB"/>
        </w:rPr>
        <w:t xml:space="preserve">Interestingly, little similarity exists between the technical practices used by the Famagusta and Lapithos productions, possibly because they were sponsored by competing merchant groups. </w:t>
      </w:r>
      <w:r w:rsidR="001A3D76" w:rsidRPr="009F1F9A">
        <w:rPr>
          <w:rFonts w:cs="Times New Roman"/>
          <w:lang w:val="en-GB"/>
        </w:rPr>
        <w:t>Being</w:t>
      </w:r>
      <w:r w:rsidRPr="009F1F9A">
        <w:rPr>
          <w:rFonts w:cs="Times New Roman"/>
          <w:lang w:val="en-GB"/>
        </w:rPr>
        <w:t xml:space="preserve"> the most prominent foreign merchants operating in Cyprus, the Genoese </w:t>
      </w:r>
      <w:r w:rsidR="001A3D76" w:rsidRPr="009F1F9A">
        <w:rPr>
          <w:rFonts w:cs="Times New Roman"/>
          <w:lang w:val="en-GB"/>
        </w:rPr>
        <w:t>were</w:t>
      </w:r>
      <w:r w:rsidRPr="009F1F9A">
        <w:rPr>
          <w:rFonts w:cs="Times New Roman"/>
          <w:lang w:val="en-GB"/>
        </w:rPr>
        <w:t xml:space="preserve"> granted </w:t>
      </w:r>
      <w:r w:rsidRPr="009F1F9A">
        <w:rPr>
          <w:rFonts w:cs="Times New Roman"/>
          <w:lang w:val="en-GB"/>
        </w:rPr>
        <w:lastRenderedPageBreak/>
        <w:t xml:space="preserve">the exclusive right to trade in Famagusta, </w:t>
      </w:r>
      <w:r w:rsidR="001A3D76" w:rsidRPr="009F1F9A">
        <w:rPr>
          <w:rFonts w:cs="Times New Roman"/>
          <w:lang w:val="en-GB"/>
        </w:rPr>
        <w:t>while</w:t>
      </w:r>
      <w:r w:rsidRPr="009F1F9A">
        <w:rPr>
          <w:rFonts w:cs="Times New Roman"/>
          <w:lang w:val="en-GB"/>
        </w:rPr>
        <w:t xml:space="preserve"> the Venetians ha</w:t>
      </w:r>
      <w:r w:rsidR="001A3D76" w:rsidRPr="009F1F9A">
        <w:rPr>
          <w:rFonts w:cs="Times New Roman"/>
          <w:lang w:val="en-GB"/>
        </w:rPr>
        <w:t>d</w:t>
      </w:r>
      <w:r w:rsidRPr="009F1F9A">
        <w:rPr>
          <w:rFonts w:cs="Times New Roman"/>
          <w:lang w:val="en-GB"/>
        </w:rPr>
        <w:t xml:space="preserve"> stronger influence in Kyrenia and other ports (Grivaud 1993; Özkutlu 2014)</w:t>
      </w:r>
      <w:r w:rsidR="001A3D76" w:rsidRPr="009F1F9A">
        <w:rPr>
          <w:rFonts w:cs="Times New Roman"/>
          <w:lang w:val="en-GB"/>
        </w:rPr>
        <w:t xml:space="preserve">; both </w:t>
      </w:r>
      <w:r w:rsidRPr="009F1F9A">
        <w:rPr>
          <w:rFonts w:cs="Times New Roman"/>
          <w:lang w:val="en-GB"/>
        </w:rPr>
        <w:t xml:space="preserve">are known to have </w:t>
      </w:r>
      <w:r w:rsidR="001A3D76" w:rsidRPr="009F1F9A">
        <w:rPr>
          <w:rFonts w:cs="Times New Roman"/>
          <w:lang w:val="en-GB"/>
        </w:rPr>
        <w:t>modified</w:t>
      </w:r>
      <w:r w:rsidRPr="009F1F9A">
        <w:rPr>
          <w:rFonts w:cs="Times New Roman"/>
          <w:lang w:val="en-GB"/>
        </w:rPr>
        <w:t xml:space="preserve"> the economic landscape of the regions </w:t>
      </w:r>
      <w:r w:rsidR="00835D62">
        <w:rPr>
          <w:rFonts w:cs="Times New Roman"/>
          <w:lang w:val="en-GB"/>
        </w:rPr>
        <w:t xml:space="preserve">where </w:t>
      </w:r>
      <w:r w:rsidRPr="009F1F9A">
        <w:rPr>
          <w:rFonts w:cs="Times New Roman"/>
          <w:lang w:val="en-GB"/>
        </w:rPr>
        <w:t xml:space="preserve">they settled (García Porras </w:t>
      </w:r>
      <w:r w:rsidR="00D4241A" w:rsidRPr="009F1F9A">
        <w:rPr>
          <w:rFonts w:cs="Times New Roman"/>
          <w:lang w:val="en-GB"/>
        </w:rPr>
        <w:t>and</w:t>
      </w:r>
      <w:r w:rsidRPr="009F1F9A">
        <w:rPr>
          <w:rFonts w:cs="Times New Roman"/>
          <w:lang w:val="en-GB"/>
        </w:rPr>
        <w:t xml:space="preserve"> Fábregas García 2010). Given the constant vying for power between the Genoese and Venetians, some kind of measures </w:t>
      </w:r>
      <w:r w:rsidR="001A3D76" w:rsidRPr="009F1F9A">
        <w:rPr>
          <w:rFonts w:cs="Times New Roman"/>
          <w:lang w:val="en-GB"/>
        </w:rPr>
        <w:t>might have been</w:t>
      </w:r>
      <w:r w:rsidRPr="009F1F9A">
        <w:rPr>
          <w:rFonts w:cs="Times New Roman"/>
          <w:lang w:val="en-GB"/>
        </w:rPr>
        <w:t xml:space="preserve"> </w:t>
      </w:r>
      <w:r w:rsidR="001A3D76" w:rsidRPr="009F1F9A">
        <w:rPr>
          <w:rFonts w:cs="Times New Roman"/>
          <w:lang w:val="en-GB"/>
        </w:rPr>
        <w:t>implemented</w:t>
      </w:r>
      <w:r w:rsidRPr="009F1F9A">
        <w:rPr>
          <w:rFonts w:cs="Times New Roman"/>
          <w:lang w:val="en-GB"/>
        </w:rPr>
        <w:t xml:space="preserve"> to prevent the exchange of technical knowledge between potters in Famagusta and Lapithos. Surviving notarial deeds recorded that novices were tied to </w:t>
      </w:r>
      <w:r w:rsidR="001A3D76" w:rsidRPr="009F1F9A">
        <w:rPr>
          <w:rFonts w:cs="Times New Roman"/>
          <w:lang w:val="en-GB"/>
        </w:rPr>
        <w:t xml:space="preserve">long-term </w:t>
      </w:r>
      <w:r w:rsidRPr="009F1F9A">
        <w:rPr>
          <w:rFonts w:cs="Times New Roman"/>
          <w:lang w:val="en-GB"/>
        </w:rPr>
        <w:t>apprenticeship</w:t>
      </w:r>
      <w:r w:rsidR="00426FF6">
        <w:rPr>
          <w:rFonts w:cs="Times New Roman"/>
          <w:lang w:val="en-GB"/>
        </w:rPr>
        <w:t>s</w:t>
      </w:r>
      <w:r w:rsidRPr="009F1F9A">
        <w:rPr>
          <w:rFonts w:cs="Times New Roman"/>
          <w:lang w:val="en-GB"/>
        </w:rPr>
        <w:t xml:space="preserve"> to learn crafts such as ship-building and woodworking (Coureas 2014), and it is reasonable to assume that similar schemes </w:t>
      </w:r>
      <w:r w:rsidR="001A3D76" w:rsidRPr="009F1F9A">
        <w:rPr>
          <w:rFonts w:cs="Times New Roman"/>
          <w:lang w:val="en-GB"/>
        </w:rPr>
        <w:t>were</w:t>
      </w:r>
      <w:r w:rsidRPr="009F1F9A">
        <w:rPr>
          <w:rFonts w:cs="Times New Roman"/>
          <w:lang w:val="en-GB"/>
        </w:rPr>
        <w:t xml:space="preserve"> applied to glazed ware production, too.</w:t>
      </w:r>
    </w:p>
    <w:p w14:paraId="237C3FE5" w14:textId="77777777" w:rsidR="008F2228" w:rsidRPr="009F1F9A" w:rsidRDefault="008F2228" w:rsidP="009F1F9A">
      <w:pPr>
        <w:spacing w:line="480" w:lineRule="auto"/>
        <w:jc w:val="both"/>
        <w:rPr>
          <w:rFonts w:cs="Times New Roman"/>
          <w:lang w:val="en-GB"/>
        </w:rPr>
      </w:pPr>
    </w:p>
    <w:p w14:paraId="70ABF753" w14:textId="6E9786C8" w:rsidR="008F2228" w:rsidRPr="009F1F9A" w:rsidRDefault="008F2228" w:rsidP="009F1F9A">
      <w:pPr>
        <w:spacing w:line="480" w:lineRule="auto"/>
        <w:jc w:val="both"/>
        <w:rPr>
          <w:rFonts w:cs="Times New Roman"/>
        </w:rPr>
      </w:pPr>
      <w:r w:rsidRPr="009F1F9A">
        <w:rPr>
          <w:rFonts w:cs="Times New Roman"/>
          <w:lang w:val="en-GB"/>
        </w:rPr>
        <w:t xml:space="preserve">The changes we identify in the Famagusta and Lapithos productions around the </w:t>
      </w:r>
      <w:r w:rsidR="00D4241A" w:rsidRPr="009F1F9A">
        <w:rPr>
          <w:rFonts w:cs="Times New Roman"/>
          <w:lang w:val="en-GB"/>
        </w:rPr>
        <w:t>16</w:t>
      </w:r>
      <w:r w:rsidR="00D4241A" w:rsidRPr="009F1F9A">
        <w:rPr>
          <w:rFonts w:cs="Times New Roman"/>
          <w:vertAlign w:val="superscript"/>
          <w:lang w:val="en-GB"/>
        </w:rPr>
        <w:t>th</w:t>
      </w:r>
      <w:r w:rsidRPr="009F1F9A">
        <w:rPr>
          <w:rFonts w:cs="Times New Roman"/>
          <w:lang w:val="en-GB"/>
        </w:rPr>
        <w:t xml:space="preserve"> and </w:t>
      </w:r>
      <w:r w:rsidR="00D4241A" w:rsidRPr="009F1F9A">
        <w:rPr>
          <w:rFonts w:cs="Times New Roman"/>
          <w:lang w:val="en-GB"/>
        </w:rPr>
        <w:t>17</w:t>
      </w:r>
      <w:r w:rsidR="00D4241A" w:rsidRPr="009F1F9A">
        <w:rPr>
          <w:rFonts w:cs="Times New Roman"/>
          <w:vertAlign w:val="superscript"/>
          <w:lang w:val="en-GB"/>
        </w:rPr>
        <w:t>th</w:t>
      </w:r>
      <w:r w:rsidRPr="009F1F9A">
        <w:rPr>
          <w:rFonts w:cs="Times New Roman"/>
          <w:lang w:val="en-GB"/>
        </w:rPr>
        <w:t xml:space="preserve"> centuries were not only limited to the technical practices, but also </w:t>
      </w:r>
      <w:r w:rsidR="006B6227">
        <w:rPr>
          <w:rFonts w:cs="Times New Roman"/>
          <w:lang w:val="en-GB"/>
        </w:rPr>
        <w:t xml:space="preserve">to </w:t>
      </w:r>
      <w:r w:rsidRPr="009F1F9A">
        <w:rPr>
          <w:rFonts w:cs="Times New Roman"/>
          <w:lang w:val="en-GB"/>
        </w:rPr>
        <w:t xml:space="preserve">the ware types produced (i.e. white-slipped and painted glazed wares), which we believe was stimulated by the Ottoman occupation of the island following the final capture of Famagusta in 1571. The initial years of Ottoman rule saw the expulsion of the Venetian rulers and the Western landholding classes, and the appointment of a new non-Western ruling class (Erdoğru 1997; Given 2000). In addition to restructuring the political order, drastic changes occurred to the socio-economic organisation. The reformation of the fiscal system, in particular, allowed agricultural taxes to be paid in cash rather than in kind, providing means for rural communities to accumulate wealth (Quataert 2000). </w:t>
      </w:r>
      <w:r w:rsidRPr="009F1F9A">
        <w:rPr>
          <w:rFonts w:cs="Times New Roman"/>
        </w:rPr>
        <w:t xml:space="preserve">As ceramic research in other regions under Ottoman rule has illustrated, pottery produced locally lost the refinement of shape and decoration that characterised ceramics of the preceding </w:t>
      </w:r>
      <w:r w:rsidR="00D4241A" w:rsidRPr="009F1F9A">
        <w:rPr>
          <w:rFonts w:cs="Times New Roman"/>
        </w:rPr>
        <w:t>l</w:t>
      </w:r>
      <w:r w:rsidRPr="009F1F9A">
        <w:rPr>
          <w:rFonts w:cs="Times New Roman"/>
        </w:rPr>
        <w:t xml:space="preserve">ate </w:t>
      </w:r>
      <w:r w:rsidR="00D4241A" w:rsidRPr="009F1F9A">
        <w:rPr>
          <w:rFonts w:cs="Times New Roman"/>
        </w:rPr>
        <w:t>m</w:t>
      </w:r>
      <w:r w:rsidRPr="009F1F9A">
        <w:rPr>
          <w:rFonts w:cs="Times New Roman"/>
        </w:rPr>
        <w:t xml:space="preserve">edieval period, but increased in volume, rendering it affordable for the </w:t>
      </w:r>
      <w:r w:rsidR="00835D62">
        <w:rPr>
          <w:rFonts w:cs="Times New Roman"/>
        </w:rPr>
        <w:t>less</w:t>
      </w:r>
      <w:r w:rsidRPr="009F1F9A">
        <w:rPr>
          <w:rFonts w:cs="Times New Roman"/>
        </w:rPr>
        <w:t>-affluent classes (Vionis 2016;</w:t>
      </w:r>
      <w:r w:rsidRPr="009F1F9A">
        <w:rPr>
          <w:rFonts w:cs="Times New Roman"/>
          <w:lang w:val="en-GB"/>
        </w:rPr>
        <w:t xml:space="preserve"> Walker 2009</w:t>
      </w:r>
      <w:r w:rsidRPr="009F1F9A">
        <w:rPr>
          <w:rFonts w:cs="Times New Roman"/>
        </w:rPr>
        <w:t xml:space="preserve">). </w:t>
      </w:r>
    </w:p>
    <w:p w14:paraId="103C21C4" w14:textId="77777777" w:rsidR="008F2228" w:rsidRPr="009F1F9A" w:rsidRDefault="008F2228" w:rsidP="009F1F9A">
      <w:pPr>
        <w:spacing w:line="480" w:lineRule="auto"/>
        <w:jc w:val="both"/>
        <w:rPr>
          <w:rFonts w:cs="Times New Roman"/>
          <w:lang w:val="en-GB"/>
        </w:rPr>
      </w:pPr>
    </w:p>
    <w:p w14:paraId="6DE8245B" w14:textId="4865468A" w:rsidR="008F2228" w:rsidRPr="009F1F9A" w:rsidRDefault="008F2228" w:rsidP="009F1F9A">
      <w:pPr>
        <w:spacing w:line="480" w:lineRule="auto"/>
        <w:jc w:val="both"/>
        <w:rPr>
          <w:rFonts w:cs="Times New Roman"/>
          <w:lang w:val="en-GB"/>
        </w:rPr>
      </w:pPr>
      <w:r w:rsidRPr="009F1F9A">
        <w:rPr>
          <w:rFonts w:cs="Times New Roman"/>
          <w:lang w:val="en-GB"/>
        </w:rPr>
        <w:lastRenderedPageBreak/>
        <w:t>The presence of Ottoman rule in Cyprus also induced forced migration of people, including artisans, from mainland Anatolia. It is argued that incoming artisans took over certain areas of craft production (Erdoğru 1997), but their involvement was not particularly obvious in pottery production, at least not among the glazed wares under study. Whereas the use of lead</w:t>
      </w:r>
      <w:r w:rsidR="00835D62">
        <w:rPr>
          <w:rFonts w:cs="Times New Roman"/>
          <w:lang w:val="en-GB"/>
        </w:rPr>
        <w:t xml:space="preserve"> </w:t>
      </w:r>
      <w:r w:rsidRPr="009F1F9A">
        <w:rPr>
          <w:rFonts w:cs="Times New Roman"/>
          <w:lang w:val="en-GB"/>
        </w:rPr>
        <w:t xml:space="preserve">antimonate as glaze colourant by the Famagusta production points to the possible exchange of influence or raw materials from Anatolia (Constantinescu et al. 2014), other technical aspects of the </w:t>
      </w:r>
      <w:r w:rsidR="00D4241A" w:rsidRPr="009F1F9A">
        <w:rPr>
          <w:rFonts w:cs="Times New Roman"/>
          <w:lang w:val="en-GB"/>
        </w:rPr>
        <w:t>16</w:t>
      </w:r>
      <w:r w:rsidR="00D4241A" w:rsidRPr="009F1F9A">
        <w:rPr>
          <w:rFonts w:cs="Times New Roman"/>
          <w:vertAlign w:val="superscript"/>
          <w:lang w:val="en-GB"/>
        </w:rPr>
        <w:t>th</w:t>
      </w:r>
      <w:r w:rsidR="006B6227">
        <w:rPr>
          <w:rFonts w:cs="Times New Roman"/>
          <w:lang w:val="en-GB"/>
        </w:rPr>
        <w:t>-</w:t>
      </w:r>
      <w:r w:rsidR="00D4241A" w:rsidRPr="009F1F9A">
        <w:rPr>
          <w:rFonts w:cs="Times New Roman"/>
          <w:lang w:val="en-GB"/>
        </w:rPr>
        <w:t xml:space="preserve"> and 17</w:t>
      </w:r>
      <w:r w:rsidR="00D4241A" w:rsidRPr="009F1F9A">
        <w:rPr>
          <w:rFonts w:cs="Times New Roman"/>
          <w:vertAlign w:val="superscript"/>
          <w:lang w:val="en-GB"/>
        </w:rPr>
        <w:t>th</w:t>
      </w:r>
      <w:r w:rsidR="006B6227">
        <w:rPr>
          <w:rFonts w:cs="Times New Roman"/>
          <w:lang w:val="en-GB"/>
        </w:rPr>
        <w:t>-</w:t>
      </w:r>
      <w:r w:rsidRPr="009F1F9A">
        <w:rPr>
          <w:rFonts w:cs="Times New Roman"/>
          <w:lang w:val="en-GB"/>
        </w:rPr>
        <w:t>centur</w:t>
      </w:r>
      <w:r w:rsidR="00D4241A" w:rsidRPr="009F1F9A">
        <w:rPr>
          <w:rFonts w:cs="Times New Roman"/>
          <w:lang w:val="en-GB"/>
        </w:rPr>
        <w:t>y</w:t>
      </w:r>
      <w:r w:rsidRPr="009F1F9A">
        <w:rPr>
          <w:rFonts w:cs="Times New Roman"/>
          <w:lang w:val="en-GB"/>
        </w:rPr>
        <w:t xml:space="preserve"> Famagusta and Lapithos productions seem to have had little in common with Iznik and Miletus wares, the better-known examples of Ottoman pottery (Burlot et al. 2020; Henderson 1989; Paynter et al. 2004; Tite et al. 2016). In fact, some technical practices exhibited certain extents of continuity, as seen in the glaze preparation method of the Lapithos production; suggesting that technological changes occurred gradually by mixing local practices with new elements, possibly inspired by external contacts.</w:t>
      </w:r>
    </w:p>
    <w:p w14:paraId="7DC7B42F" w14:textId="77777777" w:rsidR="008F2228" w:rsidRPr="009F1F9A" w:rsidRDefault="008F2228" w:rsidP="009F1F9A">
      <w:pPr>
        <w:spacing w:line="480" w:lineRule="auto"/>
        <w:jc w:val="both"/>
        <w:rPr>
          <w:rFonts w:cs="Times New Roman"/>
          <w:lang w:val="en-GB"/>
        </w:rPr>
      </w:pPr>
    </w:p>
    <w:p w14:paraId="71587C76" w14:textId="31B0C6E1" w:rsidR="008F2228" w:rsidRPr="009F1F9A" w:rsidRDefault="008F2228" w:rsidP="009F1F9A">
      <w:pPr>
        <w:pStyle w:val="ListParagraph"/>
        <w:numPr>
          <w:ilvl w:val="0"/>
          <w:numId w:val="1"/>
        </w:numPr>
        <w:spacing w:line="480" w:lineRule="auto"/>
        <w:jc w:val="both"/>
        <w:rPr>
          <w:rFonts w:cs="Times New Roman"/>
          <w:b/>
          <w:lang w:val="en-GB"/>
        </w:rPr>
      </w:pPr>
      <w:r w:rsidRPr="009F1F9A">
        <w:rPr>
          <w:rFonts w:cs="Times New Roman"/>
          <w:b/>
          <w:lang w:val="en-GB"/>
        </w:rPr>
        <w:t>Conclusion</w:t>
      </w:r>
    </w:p>
    <w:p w14:paraId="6AABB1C7" w14:textId="6DC13F8B" w:rsidR="008F2228" w:rsidRPr="009F1F9A" w:rsidRDefault="008F2228" w:rsidP="009F1F9A">
      <w:pPr>
        <w:spacing w:line="480" w:lineRule="auto"/>
        <w:jc w:val="both"/>
        <w:rPr>
          <w:rFonts w:cs="Times New Roman"/>
          <w:lang w:val="en-GB"/>
        </w:rPr>
      </w:pPr>
      <w:r w:rsidRPr="009F1F9A">
        <w:rPr>
          <w:rFonts w:cs="Times New Roman"/>
          <w:lang w:val="en-GB"/>
        </w:rPr>
        <w:t xml:space="preserve">Our study represents the first systematic characterisation of local glazed ware productions </w:t>
      </w:r>
      <w:r w:rsidR="00426FF6">
        <w:rPr>
          <w:rFonts w:cs="Times New Roman"/>
          <w:lang w:val="en-GB"/>
        </w:rPr>
        <w:t>across</w:t>
      </w:r>
      <w:r w:rsidR="00426FF6" w:rsidRPr="009F1F9A">
        <w:rPr>
          <w:rFonts w:cs="Times New Roman"/>
          <w:lang w:val="en-GB"/>
        </w:rPr>
        <w:t xml:space="preserve"> </w:t>
      </w:r>
      <w:r w:rsidRPr="009F1F9A">
        <w:rPr>
          <w:rFonts w:cs="Times New Roman"/>
          <w:lang w:val="en-GB"/>
        </w:rPr>
        <w:t xml:space="preserve">Cyprus. We identify three main regions – Paphos, Famagusta, and Lapithos – where production took place. </w:t>
      </w:r>
      <w:r w:rsidR="00835D62">
        <w:rPr>
          <w:rFonts w:cs="Times New Roman"/>
          <w:lang w:val="en-GB"/>
        </w:rPr>
        <w:t xml:space="preserve">Interpreting </w:t>
      </w:r>
      <w:r w:rsidRPr="009F1F9A">
        <w:rPr>
          <w:rFonts w:cs="Times New Roman"/>
          <w:lang w:val="en-GB"/>
        </w:rPr>
        <w:t xml:space="preserve">the results of </w:t>
      </w:r>
      <w:r w:rsidR="00835D62">
        <w:rPr>
          <w:rFonts w:cs="Times New Roman"/>
          <w:lang w:val="en-GB"/>
        </w:rPr>
        <w:t xml:space="preserve">macroscopic, </w:t>
      </w:r>
      <w:r w:rsidRPr="009F1F9A">
        <w:rPr>
          <w:rFonts w:cs="Times New Roman"/>
          <w:lang w:val="en-GB"/>
        </w:rPr>
        <w:t xml:space="preserve">petrographic and SEM-EDS analyses </w:t>
      </w:r>
      <w:r w:rsidR="00835D62">
        <w:rPr>
          <w:rFonts w:cs="Times New Roman"/>
          <w:lang w:val="en-GB"/>
        </w:rPr>
        <w:t xml:space="preserve">in combination </w:t>
      </w:r>
      <w:r w:rsidRPr="009F1F9A">
        <w:rPr>
          <w:rFonts w:cs="Times New Roman"/>
          <w:lang w:val="en-GB"/>
        </w:rPr>
        <w:t xml:space="preserve">with the </w:t>
      </w:r>
      <w:r w:rsidRPr="009F1F9A">
        <w:rPr>
          <w:rFonts w:cs="Times New Roman"/>
          <w:i/>
          <w:lang w:val="en-GB"/>
        </w:rPr>
        <w:t>chaîne opératoire</w:t>
      </w:r>
      <w:r w:rsidRPr="009F1F9A">
        <w:rPr>
          <w:rFonts w:cs="Times New Roman"/>
          <w:lang w:val="en-GB"/>
        </w:rPr>
        <w:t xml:space="preserve"> reveals that each production had distinctive sets of technical practices, and that the</w:t>
      </w:r>
      <w:r w:rsidR="00835D62">
        <w:rPr>
          <w:rFonts w:cs="Times New Roman"/>
          <w:lang w:val="en-GB"/>
        </w:rPr>
        <w:t>se</w:t>
      </w:r>
      <w:r w:rsidRPr="009F1F9A">
        <w:rPr>
          <w:rFonts w:cs="Times New Roman"/>
          <w:lang w:val="en-GB"/>
        </w:rPr>
        <w:t xml:space="preserve"> practices changed through time. We argue that the changes in technology and craft organisation were </w:t>
      </w:r>
      <w:r w:rsidR="00835D62">
        <w:rPr>
          <w:rFonts w:cs="Times New Roman"/>
          <w:lang w:val="en-GB"/>
        </w:rPr>
        <w:t xml:space="preserve">first </w:t>
      </w:r>
      <w:r w:rsidRPr="009F1F9A">
        <w:rPr>
          <w:rFonts w:cs="Times New Roman"/>
          <w:lang w:val="en-GB"/>
        </w:rPr>
        <w:t xml:space="preserve">linked to the rise and fall of the Crusader </w:t>
      </w:r>
      <w:r w:rsidR="006B6227">
        <w:rPr>
          <w:rFonts w:cs="Times New Roman"/>
          <w:lang w:val="en-GB"/>
        </w:rPr>
        <w:t>territories in the East</w:t>
      </w:r>
      <w:r w:rsidRPr="009F1F9A">
        <w:rPr>
          <w:rFonts w:cs="Times New Roman"/>
          <w:lang w:val="en-GB"/>
        </w:rPr>
        <w:t xml:space="preserve">, the emergence of local demands as a result of an intensification of commercial activities, and </w:t>
      </w:r>
      <w:r w:rsidR="00835D62">
        <w:rPr>
          <w:rFonts w:cs="Times New Roman"/>
          <w:lang w:val="en-GB"/>
        </w:rPr>
        <w:t xml:space="preserve">finally the </w:t>
      </w:r>
      <w:r w:rsidRPr="009F1F9A">
        <w:rPr>
          <w:rFonts w:cs="Times New Roman"/>
          <w:lang w:val="en-GB"/>
        </w:rPr>
        <w:t>restructuring of socio-political foundation</w:t>
      </w:r>
      <w:r w:rsidR="00835D62">
        <w:rPr>
          <w:rFonts w:cs="Times New Roman"/>
          <w:lang w:val="en-GB"/>
        </w:rPr>
        <w:t>s</w:t>
      </w:r>
      <w:r w:rsidRPr="009F1F9A">
        <w:rPr>
          <w:rFonts w:cs="Times New Roman"/>
          <w:lang w:val="en-GB"/>
        </w:rPr>
        <w:t xml:space="preserve"> brought by the Ottoman rule. </w:t>
      </w:r>
    </w:p>
    <w:p w14:paraId="57D00352" w14:textId="77777777" w:rsidR="008F2228" w:rsidRPr="009F1F9A" w:rsidRDefault="008F2228" w:rsidP="009F1F9A">
      <w:pPr>
        <w:spacing w:line="480" w:lineRule="auto"/>
        <w:jc w:val="both"/>
        <w:rPr>
          <w:rFonts w:cs="Times New Roman"/>
          <w:lang w:val="en-GB"/>
        </w:rPr>
      </w:pPr>
    </w:p>
    <w:p w14:paraId="621C4D6F" w14:textId="462E55A7" w:rsidR="008F2228" w:rsidRPr="009F1F9A" w:rsidRDefault="008F2228" w:rsidP="009F1F9A">
      <w:pPr>
        <w:spacing w:line="480" w:lineRule="auto"/>
        <w:jc w:val="both"/>
        <w:rPr>
          <w:rFonts w:cs="Times New Roman"/>
          <w:lang w:val="en-GB"/>
        </w:rPr>
      </w:pPr>
      <w:r w:rsidRPr="009F1F9A">
        <w:rPr>
          <w:rFonts w:cs="Times New Roman"/>
          <w:lang w:val="en-GB"/>
        </w:rPr>
        <w:lastRenderedPageBreak/>
        <w:t>These findings have important implications beyond their regional archaeological significance. We have painted a different</w:t>
      </w:r>
      <w:r w:rsidR="00835D62">
        <w:rPr>
          <w:rFonts w:cs="Times New Roman"/>
          <w:lang w:val="en-GB"/>
        </w:rPr>
        <w:t>iated</w:t>
      </w:r>
      <w:r w:rsidRPr="009F1F9A">
        <w:rPr>
          <w:rFonts w:cs="Times New Roman"/>
          <w:lang w:val="en-GB"/>
        </w:rPr>
        <w:t xml:space="preserve"> picture of the nature and characteristics of </w:t>
      </w:r>
      <w:r w:rsidR="00D4241A" w:rsidRPr="009F1F9A">
        <w:rPr>
          <w:rFonts w:cs="Times New Roman"/>
          <w:lang w:val="en-GB"/>
        </w:rPr>
        <w:t xml:space="preserve">non-opaque </w:t>
      </w:r>
      <w:r w:rsidRPr="009F1F9A">
        <w:rPr>
          <w:rFonts w:cs="Times New Roman"/>
          <w:lang w:val="en-GB"/>
        </w:rPr>
        <w:t>glazed ware productions</w:t>
      </w:r>
      <w:r w:rsidR="00835D62">
        <w:rPr>
          <w:rFonts w:cs="Times New Roman"/>
          <w:lang w:val="en-GB"/>
        </w:rPr>
        <w:t xml:space="preserve"> from the earlier assumptions, in which they are described to be</w:t>
      </w:r>
      <w:r w:rsidR="00D4241A" w:rsidRPr="009F1F9A">
        <w:rPr>
          <w:rFonts w:cs="Times New Roman"/>
          <w:lang w:val="en-GB"/>
        </w:rPr>
        <w:t xml:space="preserve"> technological stagna</w:t>
      </w:r>
      <w:r w:rsidR="00DC0735" w:rsidRPr="009F1F9A">
        <w:rPr>
          <w:rFonts w:cs="Times New Roman"/>
          <w:lang w:val="en-GB"/>
        </w:rPr>
        <w:t>nt</w:t>
      </w:r>
      <w:r w:rsidR="00D4241A" w:rsidRPr="009F1F9A">
        <w:rPr>
          <w:rFonts w:cs="Times New Roman"/>
          <w:lang w:val="en-GB"/>
        </w:rPr>
        <w:t xml:space="preserve"> </w:t>
      </w:r>
      <w:r w:rsidR="00426FF6">
        <w:rPr>
          <w:rFonts w:cs="Times New Roman"/>
          <w:lang w:val="en-GB"/>
        </w:rPr>
        <w:t xml:space="preserve">and </w:t>
      </w:r>
      <w:r w:rsidR="00D4241A" w:rsidRPr="009F1F9A">
        <w:rPr>
          <w:rFonts w:cs="Times New Roman"/>
          <w:lang w:val="en-GB"/>
        </w:rPr>
        <w:t>unsusceptible to broader socio-economic developments</w:t>
      </w:r>
      <w:r w:rsidRPr="009F1F9A">
        <w:rPr>
          <w:rFonts w:cs="Times New Roman"/>
          <w:lang w:val="en-GB"/>
        </w:rPr>
        <w:t>. Whereas it is likely that local productio</w:t>
      </w:r>
      <w:r w:rsidR="00426FF6">
        <w:rPr>
          <w:rFonts w:cs="Times New Roman"/>
          <w:lang w:val="en-GB"/>
        </w:rPr>
        <w:t>n centres</w:t>
      </w:r>
      <w:r w:rsidRPr="009F1F9A">
        <w:rPr>
          <w:rFonts w:cs="Times New Roman"/>
          <w:lang w:val="en-GB"/>
        </w:rPr>
        <w:t xml:space="preserve"> procured the same type of raw materials over time, it does not necessarily imply that how the raw materials were prepared and the steps involved in making the vessels remained the same. We have further demonstrated that the emergence of local productions w</w:t>
      </w:r>
      <w:r w:rsidR="00D4241A" w:rsidRPr="009F1F9A">
        <w:rPr>
          <w:rFonts w:cs="Times New Roman"/>
          <w:lang w:val="en-GB"/>
        </w:rPr>
        <w:t>as</w:t>
      </w:r>
      <w:r w:rsidRPr="009F1F9A">
        <w:rPr>
          <w:rFonts w:cs="Times New Roman"/>
          <w:lang w:val="en-GB"/>
        </w:rPr>
        <w:t xml:space="preserve"> stimulated by a wide array of </w:t>
      </w:r>
      <w:r w:rsidR="00D4241A" w:rsidRPr="009F1F9A">
        <w:rPr>
          <w:rFonts w:cs="Times New Roman"/>
          <w:lang w:val="en-GB"/>
        </w:rPr>
        <w:t>factors</w:t>
      </w:r>
      <w:r w:rsidRPr="009F1F9A">
        <w:rPr>
          <w:rFonts w:cs="Times New Roman"/>
          <w:lang w:val="en-GB"/>
        </w:rPr>
        <w:t xml:space="preserve">, largely context-specific. These new observations are made evident owing to the new research framework developed by our study, highlighting the importance of considering the whole production sequence rather than focusing on one or two technological aspects. This framework, which provides a structured way to organise and compare data, can be readily applied to identify other local productions in the eastern Mediterranean. Together, this will unlock a host of new evidence, enabling us to explore the dynamics of socio-cultural interactions that contributed to making glazed wares an essential part of our daily lives since </w:t>
      </w:r>
      <w:r w:rsidR="00D4241A" w:rsidRPr="009F1F9A">
        <w:rPr>
          <w:rFonts w:cs="Times New Roman"/>
          <w:lang w:val="en-GB"/>
        </w:rPr>
        <w:t>m</w:t>
      </w:r>
      <w:r w:rsidRPr="009F1F9A">
        <w:rPr>
          <w:rFonts w:cs="Times New Roman"/>
          <w:lang w:val="en-GB"/>
        </w:rPr>
        <w:t>edieval times.</w:t>
      </w:r>
    </w:p>
    <w:p w14:paraId="43FB715B" w14:textId="77777777" w:rsidR="00D1362C" w:rsidRPr="009F1F9A" w:rsidRDefault="00D1362C" w:rsidP="009F1F9A">
      <w:pPr>
        <w:spacing w:line="480" w:lineRule="auto"/>
        <w:jc w:val="both"/>
        <w:rPr>
          <w:rFonts w:cs="Times New Roman"/>
          <w:b/>
          <w:lang w:val="en-GB"/>
        </w:rPr>
      </w:pPr>
    </w:p>
    <w:p w14:paraId="433F9DAB" w14:textId="1264E6EB" w:rsidR="00D1362C" w:rsidRPr="009F1F9A" w:rsidRDefault="00D1362C" w:rsidP="009F1F9A">
      <w:pPr>
        <w:spacing w:line="480" w:lineRule="auto"/>
        <w:jc w:val="both"/>
        <w:rPr>
          <w:rFonts w:cs="Times New Roman"/>
          <w:b/>
          <w:lang w:val="en-GB"/>
        </w:rPr>
      </w:pPr>
      <w:r w:rsidRPr="009F1F9A">
        <w:rPr>
          <w:rFonts w:cs="Times New Roman"/>
          <w:b/>
          <w:lang w:val="en-GB"/>
        </w:rPr>
        <w:t>Acknowledgements</w:t>
      </w:r>
    </w:p>
    <w:p w14:paraId="65990C4F" w14:textId="77777777" w:rsidR="00426FF6" w:rsidRPr="009F1F9A" w:rsidRDefault="00D1362C" w:rsidP="00426FF6">
      <w:pPr>
        <w:spacing w:line="480" w:lineRule="auto"/>
        <w:jc w:val="both"/>
        <w:rPr>
          <w:rFonts w:cs="Times New Roman"/>
          <w:lang w:val="en-GB"/>
        </w:rPr>
      </w:pPr>
      <w:r w:rsidRPr="009F1F9A">
        <w:rPr>
          <w:rFonts w:cs="Times New Roman"/>
          <w:lang w:val="en-GB"/>
        </w:rPr>
        <w:t>This research was carried out as part of the MSCA-IF ‘GLAZE’ funded under the European Commission Horizon 2020 framework (H2020-MSCA-IF-2016; grant no.: 750904)</w:t>
      </w:r>
      <w:r w:rsidR="00AA7D3C" w:rsidRPr="009F1F9A">
        <w:rPr>
          <w:rFonts w:cs="Times New Roman"/>
          <w:lang w:val="en-GB"/>
        </w:rPr>
        <w:t>, based at the University of Cyprus</w:t>
      </w:r>
      <w:r w:rsidR="00835D62">
        <w:rPr>
          <w:rFonts w:cs="Times New Roman"/>
          <w:lang w:val="en-GB"/>
        </w:rPr>
        <w:t xml:space="preserve"> and including a secondment to the UCL Institute of Archaeology</w:t>
      </w:r>
      <w:r w:rsidR="00AA7D3C" w:rsidRPr="009F1F9A">
        <w:rPr>
          <w:rFonts w:cs="Times New Roman"/>
          <w:lang w:val="en-GB"/>
        </w:rPr>
        <w:t xml:space="preserve">. </w:t>
      </w:r>
      <w:r w:rsidRPr="009F1F9A">
        <w:rPr>
          <w:rFonts w:cs="Times New Roman"/>
          <w:lang w:val="en-GB"/>
        </w:rPr>
        <w:t xml:space="preserve">We are grateful to the Department of Antiquities of Cyprus for granting us permission to study and sample the materials for analysis. We are equally grateful to the participants of the field projects from which our materials were derived, specifically Craig Barker, Holly Cook, Veronique François, Smadar Gabrieli, Doria Nicolaou, Giorgos Papantoniou, Despina Pilides, and Lucy Vallauri. We would also like to thank Tom Gregory at the UCL Wolfson Archaeological </w:t>
      </w:r>
      <w:r w:rsidRPr="009F1F9A">
        <w:rPr>
          <w:rFonts w:cs="Times New Roman"/>
          <w:lang w:val="en-GB"/>
        </w:rPr>
        <w:lastRenderedPageBreak/>
        <w:t>Sciences Laboratories for his technical support</w:t>
      </w:r>
      <w:r w:rsidR="00426FF6">
        <w:rPr>
          <w:rFonts w:cs="Times New Roman"/>
          <w:lang w:val="en-GB"/>
        </w:rPr>
        <w:t>, and UCL Qatar for facilitating access to the JEOL SEM-EDS system in Doha; UCL Qatar was a department of UCL established in cooperation with Qatar Museums at Education City, generously funded through Qatar Foundation</w:t>
      </w:r>
      <w:r w:rsidR="00426FF6" w:rsidRPr="009F1F9A">
        <w:rPr>
          <w:rFonts w:cs="Times New Roman"/>
          <w:lang w:val="en-GB"/>
        </w:rPr>
        <w:t xml:space="preserve">. </w:t>
      </w:r>
    </w:p>
    <w:p w14:paraId="7A9071A6" w14:textId="56734275" w:rsidR="00D1362C" w:rsidRPr="009F1F9A" w:rsidRDefault="00D1362C" w:rsidP="009F1F9A">
      <w:pPr>
        <w:spacing w:line="480" w:lineRule="auto"/>
        <w:jc w:val="both"/>
        <w:rPr>
          <w:rFonts w:cs="Times New Roman"/>
          <w:lang w:val="en-GB"/>
        </w:rPr>
      </w:pPr>
    </w:p>
    <w:p w14:paraId="5FEE3FE4" w14:textId="49352405" w:rsidR="00A0753D" w:rsidRPr="009F1F9A" w:rsidRDefault="00A0753D" w:rsidP="009F1F9A">
      <w:pPr>
        <w:spacing w:line="480" w:lineRule="auto"/>
        <w:jc w:val="both"/>
        <w:rPr>
          <w:rFonts w:cs="Times New Roman"/>
          <w:lang w:val="en-GB"/>
        </w:rPr>
      </w:pPr>
    </w:p>
    <w:p w14:paraId="0408EF81" w14:textId="77777777" w:rsidR="00FE52B4" w:rsidRPr="009F1F9A" w:rsidRDefault="00FE52B4" w:rsidP="009F1F9A">
      <w:pPr>
        <w:spacing w:line="480" w:lineRule="auto"/>
        <w:jc w:val="both"/>
        <w:rPr>
          <w:rFonts w:cs="Times New Roman"/>
          <w:b/>
          <w:lang w:val="en-GB"/>
        </w:rPr>
      </w:pPr>
      <w:r w:rsidRPr="009F1F9A">
        <w:rPr>
          <w:rFonts w:cs="Times New Roman"/>
          <w:b/>
          <w:lang w:val="en-GB"/>
        </w:rPr>
        <w:t xml:space="preserve">References </w:t>
      </w:r>
    </w:p>
    <w:p w14:paraId="65D8D1E5"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Adlington LW (2017) The Corning archaeological reference glasses: New values for ‘old’ compositions. Papers from the Institute of Archaeology 27:1-8. https://doi.org/10.5334/pia-515</w:t>
      </w:r>
    </w:p>
    <w:p w14:paraId="49F93A92" w14:textId="77777777" w:rsidR="00FE52B4" w:rsidRPr="009F1F9A" w:rsidRDefault="00FE52B4" w:rsidP="009F1F9A">
      <w:pPr>
        <w:spacing w:line="480" w:lineRule="auto"/>
        <w:jc w:val="both"/>
        <w:rPr>
          <w:rFonts w:cs="Times New Roman"/>
          <w:lang w:val="en-GB"/>
        </w:rPr>
      </w:pPr>
    </w:p>
    <w:p w14:paraId="7E5A00AF" w14:textId="174627D1" w:rsidR="00860AE0" w:rsidRPr="009F1F9A" w:rsidRDefault="00FE52B4" w:rsidP="009F1F9A">
      <w:pPr>
        <w:spacing w:line="480" w:lineRule="auto"/>
        <w:jc w:val="both"/>
        <w:rPr>
          <w:rFonts w:cs="Times New Roman"/>
          <w:lang w:val="en-GB"/>
        </w:rPr>
      </w:pPr>
      <w:r w:rsidRPr="009F1F9A">
        <w:rPr>
          <w:rFonts w:cs="Times New Roman"/>
          <w:lang w:val="en-GB"/>
        </w:rPr>
        <w:t>Armstrong P, Hatcher H, Tite M (1997) Changes in Byzantine glazing technology from the 9</w:t>
      </w:r>
      <w:r w:rsidRPr="009F1F9A">
        <w:rPr>
          <w:rFonts w:cs="Times New Roman"/>
          <w:vertAlign w:val="superscript"/>
          <w:lang w:val="en-GB"/>
        </w:rPr>
        <w:t>th</w:t>
      </w:r>
      <w:r w:rsidRPr="009F1F9A">
        <w:rPr>
          <w:rFonts w:cs="Times New Roman"/>
          <w:lang w:val="en-GB"/>
        </w:rPr>
        <w:t xml:space="preserve"> to 13</w:t>
      </w:r>
      <w:r w:rsidRPr="009F1F9A">
        <w:rPr>
          <w:rFonts w:cs="Times New Roman"/>
          <w:vertAlign w:val="superscript"/>
          <w:lang w:val="en-GB"/>
        </w:rPr>
        <w:t>th</w:t>
      </w:r>
      <w:r w:rsidRPr="009F1F9A">
        <w:rPr>
          <w:rFonts w:cs="Times New Roman"/>
          <w:lang w:val="en-GB"/>
        </w:rPr>
        <w:t xml:space="preserve"> centuries. </w:t>
      </w:r>
      <w:r w:rsidR="00860AE0" w:rsidRPr="00861EC9">
        <w:rPr>
          <w:rFonts w:cs="Times New Roman"/>
          <w:lang w:val="fr-FR"/>
        </w:rPr>
        <w:t xml:space="preserve">In: Démians DG (ed) La Céramique Médiévale en Méditerrnée: Actes du Vle congrés l’AIECM2 Aix-en-Provence (13-18 Novembre 1995). </w:t>
      </w:r>
      <w:r w:rsidR="00860AE0" w:rsidRPr="009F1F9A">
        <w:rPr>
          <w:rFonts w:cs="Times New Roman"/>
          <w:lang w:val="en-GB"/>
        </w:rPr>
        <w:t>Narration Éditions, Aix-en-Provence, pp 225-29</w:t>
      </w:r>
    </w:p>
    <w:p w14:paraId="7BEB02BF" w14:textId="77777777" w:rsidR="00FE52B4" w:rsidRPr="009F1F9A" w:rsidRDefault="00FE52B4" w:rsidP="009F1F9A">
      <w:pPr>
        <w:spacing w:line="480" w:lineRule="auto"/>
        <w:jc w:val="both"/>
        <w:rPr>
          <w:rFonts w:cs="Times New Roman"/>
          <w:lang w:val="en-GB"/>
        </w:rPr>
      </w:pPr>
    </w:p>
    <w:p w14:paraId="01D56163" w14:textId="77777777" w:rsidR="00FE52B4" w:rsidRPr="009F1F9A" w:rsidRDefault="00FE52B4" w:rsidP="009F1F9A">
      <w:pPr>
        <w:spacing w:line="480" w:lineRule="auto"/>
        <w:jc w:val="both"/>
        <w:rPr>
          <w:rFonts w:cs="Times New Roman"/>
          <w:lang w:val="en-GB"/>
        </w:rPr>
      </w:pPr>
      <w:r w:rsidRPr="009F1F9A">
        <w:rPr>
          <w:rFonts w:cs="Times New Roman"/>
          <w:lang w:val="en-GB"/>
        </w:rPr>
        <w:t xml:space="preserve">Ashtor E (1983) Levant Trade in the Later Middle Ages. Princeton University Press, Princeton </w:t>
      </w:r>
    </w:p>
    <w:p w14:paraId="7205BA26" w14:textId="77777777" w:rsidR="00FE52B4" w:rsidRPr="009F1F9A" w:rsidRDefault="00FE52B4" w:rsidP="009F1F9A">
      <w:pPr>
        <w:spacing w:line="480" w:lineRule="auto"/>
        <w:contextualSpacing/>
        <w:jc w:val="both"/>
        <w:rPr>
          <w:rFonts w:cs="Times New Roman"/>
          <w:lang w:val="en-GB"/>
        </w:rPr>
      </w:pPr>
    </w:p>
    <w:p w14:paraId="42061427" w14:textId="77777777" w:rsidR="00860AE0" w:rsidRPr="0063089A" w:rsidRDefault="00860AE0" w:rsidP="00860AE0">
      <w:pPr>
        <w:spacing w:line="480" w:lineRule="auto"/>
        <w:contextualSpacing/>
        <w:jc w:val="both"/>
        <w:rPr>
          <w:rFonts w:eastAsia="Times New Roman" w:cs="Times New Roman"/>
          <w:color w:val="000000" w:themeColor="text1"/>
          <w:lang w:val="fr-FR"/>
        </w:rPr>
      </w:pPr>
      <w:r w:rsidRPr="009F1F9A">
        <w:rPr>
          <w:rFonts w:cs="Times New Roman"/>
          <w:color w:val="000000" w:themeColor="text1"/>
          <w:lang w:val="en-GB"/>
        </w:rPr>
        <w:t xml:space="preserve">Barker C (2016) The theatre precinct of Nea Paphos (Fabrika): Recent excavations by the Australian mission. </w:t>
      </w:r>
      <w:r w:rsidRPr="0063089A">
        <w:rPr>
          <w:rFonts w:cs="Times New Roman"/>
          <w:color w:val="000000" w:themeColor="text1"/>
          <w:lang w:val="fr-FR"/>
        </w:rPr>
        <w:t xml:space="preserve">In: Balandier C (ed) </w:t>
      </w:r>
      <w:r w:rsidRPr="0063089A">
        <w:rPr>
          <w:rFonts w:eastAsia="Times New Roman" w:cs="Times New Roman"/>
          <w:iCs/>
          <w:color w:val="000000" w:themeColor="text1"/>
          <w:lang w:val="fr-FR"/>
        </w:rPr>
        <w:t>Nea Paphos: Fondation et Développement Urbanistique d’une Ville Chypriote de l’Antiquité à nos Jours. Études Archéologiques, Historiques et Patrimoniales</w:t>
      </w:r>
      <w:r w:rsidRPr="0063089A">
        <w:rPr>
          <w:rFonts w:eastAsia="Times New Roman" w:cs="Times New Roman"/>
          <w:color w:val="000000" w:themeColor="text1"/>
          <w:lang w:val="fr-FR"/>
        </w:rPr>
        <w:t>. Ausonius, Bordeaux, pp 91-104</w:t>
      </w:r>
    </w:p>
    <w:p w14:paraId="3E12099B" w14:textId="77777777" w:rsidR="00FE52B4" w:rsidRPr="009F1F9A" w:rsidRDefault="00FE52B4" w:rsidP="009F1F9A">
      <w:pPr>
        <w:spacing w:line="480" w:lineRule="auto"/>
        <w:contextualSpacing/>
        <w:jc w:val="both"/>
        <w:rPr>
          <w:rFonts w:eastAsia="Times New Roman" w:cs="Times New Roman"/>
          <w:color w:val="000000" w:themeColor="text1"/>
          <w:lang w:val="en-GB"/>
        </w:rPr>
      </w:pPr>
    </w:p>
    <w:p w14:paraId="55075AB8"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Bear LM (1963) The mineral resources and mining industry of Cyprus. Bulletin No. 1. Geological Survey Department, Ministry of Commerce and Industry, Nicosia</w:t>
      </w:r>
    </w:p>
    <w:p w14:paraId="163035C3" w14:textId="77777777" w:rsidR="00FE52B4" w:rsidRPr="009F1F9A" w:rsidRDefault="00FE52B4" w:rsidP="009F1F9A">
      <w:pPr>
        <w:spacing w:line="480" w:lineRule="auto"/>
        <w:contextualSpacing/>
        <w:jc w:val="both"/>
        <w:rPr>
          <w:rFonts w:cs="Times New Roman"/>
          <w:lang w:val="en-GB"/>
        </w:rPr>
      </w:pPr>
    </w:p>
    <w:p w14:paraId="528B496A"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lastRenderedPageBreak/>
        <w:t>Boaz AJ (1999) Crusader Archaeology: The Material Culture of the Latin East. Routledge, London</w:t>
      </w:r>
    </w:p>
    <w:p w14:paraId="448C3D9A" w14:textId="77777777" w:rsidR="00FE52B4" w:rsidRPr="009F1F9A" w:rsidRDefault="00FE52B4" w:rsidP="009F1F9A">
      <w:pPr>
        <w:spacing w:line="480" w:lineRule="auto"/>
        <w:contextualSpacing/>
        <w:jc w:val="both"/>
        <w:rPr>
          <w:rFonts w:cs="Times New Roman"/>
          <w:lang w:val="en-GB"/>
        </w:rPr>
      </w:pPr>
    </w:p>
    <w:p w14:paraId="53240B78"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Burlot J, Waksman Y, Bellot-Gurlet L, Simsek G (2020) ‘Miletus Ware’: An early Ottoman marker of a ceramic technology transition in western Anatolia. J. Arch. Sci.: Reps 29, 102073:1-11. https://doi.org/10.1016/j.jasrep.2019.102073</w:t>
      </w:r>
    </w:p>
    <w:p w14:paraId="298B6E94" w14:textId="77777777" w:rsidR="006B6227" w:rsidRDefault="006B6227" w:rsidP="006B6227">
      <w:pPr>
        <w:spacing w:line="480" w:lineRule="auto"/>
        <w:contextualSpacing/>
        <w:jc w:val="both"/>
        <w:rPr>
          <w:rFonts w:cs="Times New Roman"/>
          <w:lang w:val="en-GB"/>
        </w:rPr>
      </w:pPr>
    </w:p>
    <w:p w14:paraId="793D50E6" w14:textId="651DDAC3" w:rsidR="006B6227" w:rsidRDefault="006B6227" w:rsidP="006B6227">
      <w:pPr>
        <w:spacing w:line="480" w:lineRule="auto"/>
        <w:contextualSpacing/>
        <w:jc w:val="both"/>
        <w:rPr>
          <w:rFonts w:cs="Times New Roman"/>
          <w:lang w:val="en-GB"/>
        </w:rPr>
      </w:pPr>
      <w:r>
        <w:rPr>
          <w:rFonts w:cs="Times New Roman"/>
          <w:lang w:val="en-GB"/>
        </w:rPr>
        <w:t xml:space="preserve">Charalambous AC (2014) Cypriot medieval glazed pottery: a study of provenance and manufacture. In: Papanikola-Bakirtzi D, </w:t>
      </w:r>
      <w:r w:rsidRPr="009F1F9A">
        <w:rPr>
          <w:rFonts w:cs="Times New Roman"/>
          <w:lang w:val="en-GB"/>
        </w:rPr>
        <w:t>Coureas N (ed) Cypriot medieval ceramics: Reconsiderations and new perspectives. The A.G. Leventis Foundation, Nicosia, pp 2</w:t>
      </w:r>
      <w:r>
        <w:rPr>
          <w:rFonts w:cs="Times New Roman"/>
          <w:lang w:val="en-GB"/>
        </w:rPr>
        <w:t>79-98</w:t>
      </w:r>
    </w:p>
    <w:p w14:paraId="28D8E239" w14:textId="77777777" w:rsidR="00FE52B4" w:rsidRPr="009F1F9A" w:rsidRDefault="00FE52B4" w:rsidP="009F1F9A">
      <w:pPr>
        <w:spacing w:line="480" w:lineRule="auto"/>
        <w:contextualSpacing/>
        <w:jc w:val="both"/>
        <w:rPr>
          <w:rFonts w:cs="Times New Roman"/>
          <w:lang w:val="en-GB"/>
        </w:rPr>
      </w:pPr>
    </w:p>
    <w:p w14:paraId="236B6034" w14:textId="77777777" w:rsidR="00FE52B4" w:rsidRPr="009F1F9A" w:rsidRDefault="00FE52B4" w:rsidP="009F1F9A">
      <w:pPr>
        <w:spacing w:line="480" w:lineRule="auto"/>
        <w:contextualSpacing/>
        <w:jc w:val="both"/>
        <w:rPr>
          <w:rFonts w:cs="Times New Roman"/>
        </w:rPr>
      </w:pPr>
      <w:r w:rsidRPr="009F1F9A">
        <w:rPr>
          <w:rFonts w:cs="Times New Roman"/>
        </w:rPr>
        <w:t>Charalambous AC, Sakalis AJ, Kantiranis NA, Papadopoulou LC, Tsirliganis C, Stratis JA (2010) Cypriot Byzantine glazed pottery: the study of Paphos workshops. Archaeometry 52:628-43. https://doi.org/10.1111/j.1475-4754.2009.00502.x</w:t>
      </w:r>
    </w:p>
    <w:p w14:paraId="695666E8" w14:textId="77777777" w:rsidR="00FE52B4" w:rsidRPr="009F1F9A" w:rsidRDefault="00FE52B4" w:rsidP="009F1F9A">
      <w:pPr>
        <w:spacing w:line="480" w:lineRule="auto"/>
        <w:contextualSpacing/>
        <w:jc w:val="both"/>
        <w:rPr>
          <w:rFonts w:cs="Times New Roman"/>
        </w:rPr>
      </w:pPr>
    </w:p>
    <w:p w14:paraId="32B6BF14" w14:textId="77777777" w:rsidR="00FE52B4" w:rsidRPr="009F1F9A" w:rsidRDefault="00FE52B4" w:rsidP="009F1F9A">
      <w:pPr>
        <w:spacing w:line="480" w:lineRule="auto"/>
        <w:contextualSpacing/>
        <w:jc w:val="both"/>
        <w:rPr>
          <w:rFonts w:cs="Times New Roman"/>
        </w:rPr>
      </w:pPr>
      <w:r w:rsidRPr="009F1F9A">
        <w:rPr>
          <w:rFonts w:cs="Times New Roman"/>
        </w:rPr>
        <w:t>Charalambous A, Charalambous E, Violaris Y, Kantiranis N, Stratis J (2012) Study of glazed ceramics from Lapithos and Nicosia by X-ray micro-fluorescence (µ-XRF) and X-ray diffraction (XRD). Report of the Department of Antiquities, Cyprus, 2010:537-50</w:t>
      </w:r>
    </w:p>
    <w:p w14:paraId="27CD3237" w14:textId="77777777" w:rsidR="00FE52B4" w:rsidRPr="009F1F9A" w:rsidRDefault="00FE52B4" w:rsidP="009F1F9A">
      <w:pPr>
        <w:spacing w:line="480" w:lineRule="auto"/>
        <w:contextualSpacing/>
        <w:jc w:val="both"/>
        <w:rPr>
          <w:rFonts w:cs="Times New Roman"/>
          <w:lang w:val="en-GB"/>
        </w:rPr>
      </w:pPr>
    </w:p>
    <w:p w14:paraId="060C3A8E"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 xml:space="preserve">Constantinescu B, Cristea-Stan D, Kovács I, Szökefalvi-Nagy Z (2014) External milli-beam PIXE analysis of the mineral pigments of glazed Iznik (Turkey) ceramics. Periodico di Mineralogia 83:159-69. </w:t>
      </w:r>
      <w:hyperlink r:id="rId7" w:history="1">
        <w:r w:rsidRPr="009F1F9A">
          <w:rPr>
            <w:rStyle w:val="Hyperlink"/>
            <w:rFonts w:cs="Times New Roman"/>
            <w:color w:val="000000" w:themeColor="text1"/>
            <w:lang w:val="en-GB"/>
          </w:rPr>
          <w:t>https://doi.org/10.2451/2013PM0009</w:t>
        </w:r>
      </w:hyperlink>
    </w:p>
    <w:p w14:paraId="1E2F1382" w14:textId="77777777" w:rsidR="00FE52B4" w:rsidRPr="009F1F9A" w:rsidRDefault="00FE52B4" w:rsidP="009F1F9A">
      <w:pPr>
        <w:spacing w:line="480" w:lineRule="auto"/>
        <w:contextualSpacing/>
        <w:jc w:val="both"/>
        <w:rPr>
          <w:rFonts w:cs="Times New Roman"/>
          <w:lang w:val="en-GB"/>
        </w:rPr>
      </w:pPr>
    </w:p>
    <w:p w14:paraId="0F0C255E"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 xml:space="preserve">Constantinou G, Panayides I (2019) The geological and physico-geographical environment of Lapithos and the materials for local ceramic production. In: Papanikola-Bakirtzi D (ed) </w:t>
      </w:r>
      <w:r w:rsidRPr="009F1F9A">
        <w:rPr>
          <w:rFonts w:cs="Times New Roman"/>
          <w:lang w:val="en-GB"/>
        </w:rPr>
        <w:lastRenderedPageBreak/>
        <w:t xml:space="preserve">Ceramic Art from the Soil of Lapithos, Leventis Municipal Museum of Nicosia and Lapithos Municipality, Nicosia, pp 17-39 </w:t>
      </w:r>
    </w:p>
    <w:p w14:paraId="60023108" w14:textId="77777777" w:rsidR="00FE52B4" w:rsidRPr="009F1F9A" w:rsidRDefault="00FE52B4" w:rsidP="009F1F9A">
      <w:pPr>
        <w:spacing w:line="480" w:lineRule="auto"/>
        <w:contextualSpacing/>
        <w:jc w:val="both"/>
        <w:rPr>
          <w:rFonts w:cs="Times New Roman"/>
          <w:lang w:val="en-GB"/>
        </w:rPr>
      </w:pPr>
    </w:p>
    <w:p w14:paraId="4F1FEE5A"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Cook HKA (2004) The Hellenistic theatre at Nea Paphos and its medieval players. Med. Arch. 17:275-85</w:t>
      </w:r>
    </w:p>
    <w:p w14:paraId="1707C27F" w14:textId="77777777" w:rsidR="00FE52B4" w:rsidRPr="009F1F9A" w:rsidRDefault="00FE52B4" w:rsidP="009F1F9A">
      <w:pPr>
        <w:spacing w:line="480" w:lineRule="auto"/>
        <w:contextualSpacing/>
        <w:jc w:val="both"/>
        <w:rPr>
          <w:rFonts w:cs="Times New Roman"/>
          <w:lang w:val="en-GB"/>
        </w:rPr>
      </w:pPr>
    </w:p>
    <w:p w14:paraId="1FBD46C6"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Cook H (2014) From boom to bust: the impact of the Crusades upon the glazed pottery Paphos, Cyprus, during the thirteenth and fourteenth centuries A.D. From the Theatre Workshop perspective. In: Papanikola-Bakirtzi D, Coureas N (ed) Cypriot medieval ceramics: Reconsiderations and new perspectives. The A.G. Leventis Foundation, Nicosia, pp 29-44</w:t>
      </w:r>
    </w:p>
    <w:p w14:paraId="3B50DC18" w14:textId="77777777" w:rsidR="00FE52B4" w:rsidRPr="009F1F9A" w:rsidRDefault="00FE52B4" w:rsidP="009F1F9A">
      <w:pPr>
        <w:spacing w:line="480" w:lineRule="auto"/>
        <w:contextualSpacing/>
        <w:jc w:val="both"/>
        <w:rPr>
          <w:rFonts w:cs="Times New Roman"/>
          <w:lang w:val="en-GB"/>
        </w:rPr>
      </w:pPr>
    </w:p>
    <w:p w14:paraId="2818471B"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Cook HKA, Green JR (2002) Medieval glazed wares from the Theatre site at Nea Paphos, Cyprus: Preliminary report. Report of the Department of Antiquities, Cyprus:413-26</w:t>
      </w:r>
    </w:p>
    <w:p w14:paraId="466CAE1A" w14:textId="77777777" w:rsidR="00FE52B4" w:rsidRPr="009F1F9A" w:rsidRDefault="00FE52B4" w:rsidP="009F1F9A">
      <w:pPr>
        <w:spacing w:line="480" w:lineRule="auto"/>
        <w:contextualSpacing/>
        <w:jc w:val="both"/>
        <w:rPr>
          <w:rFonts w:cs="Times New Roman"/>
          <w:lang w:val="en-GB"/>
        </w:rPr>
      </w:pPr>
    </w:p>
    <w:p w14:paraId="525FE65F" w14:textId="77777777" w:rsidR="00FE52B4" w:rsidRPr="009F1F9A" w:rsidRDefault="00FE52B4" w:rsidP="009F1F9A">
      <w:pPr>
        <w:spacing w:line="480" w:lineRule="auto"/>
        <w:contextualSpacing/>
        <w:jc w:val="both"/>
        <w:rPr>
          <w:rFonts w:cs="Times New Roman"/>
        </w:rPr>
      </w:pPr>
      <w:r w:rsidRPr="009F1F9A">
        <w:rPr>
          <w:rFonts w:cs="Times New Roman"/>
        </w:rPr>
        <w:t>Coureas N (1995) Western merchants in the ports of Cyprus up to 1291. In: Karageorghis V, Michaelides D (ed) Cyprus and the Sea. University of Cyprus, Nicosia, pp 255-61</w:t>
      </w:r>
    </w:p>
    <w:p w14:paraId="4415BCED" w14:textId="77777777" w:rsidR="00FE52B4" w:rsidRPr="009F1F9A" w:rsidRDefault="00FE52B4" w:rsidP="009F1F9A">
      <w:pPr>
        <w:spacing w:line="480" w:lineRule="auto"/>
        <w:contextualSpacing/>
        <w:jc w:val="both"/>
        <w:rPr>
          <w:rFonts w:cs="Times New Roman"/>
          <w:lang w:val="en-GB"/>
        </w:rPr>
      </w:pPr>
    </w:p>
    <w:p w14:paraId="10FDB7F4"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Coureas N (2005) Economy. In: Nicolaou-Konnari A, Schabel C (ed) Cyprus, Society and Culture 1191-1394. Brill, Leiden, pp 103-56</w:t>
      </w:r>
    </w:p>
    <w:p w14:paraId="7086B5AC" w14:textId="77777777" w:rsidR="00FE52B4" w:rsidRPr="009F1F9A" w:rsidRDefault="00FE52B4" w:rsidP="009F1F9A">
      <w:pPr>
        <w:spacing w:line="480" w:lineRule="auto"/>
        <w:contextualSpacing/>
        <w:jc w:val="both"/>
        <w:rPr>
          <w:rFonts w:cs="Times New Roman"/>
          <w:lang w:val="en-GB"/>
        </w:rPr>
      </w:pPr>
    </w:p>
    <w:p w14:paraId="7AF483DD"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Coureas N (2014) Apprentice artisans and craftsmen in Famagusta in the notarial deeds of Lamberto di Sambuceto and Giovanni da Rocha, 1296-1310. In: Walsh M, Kiss T, Coureas N (ed) The Harbour of all this Sea and Realm: Crusader to Venetian Famagusta. Central European University Press, Budapest, pp 69-75</w:t>
      </w:r>
    </w:p>
    <w:p w14:paraId="1173A335" w14:textId="77777777" w:rsidR="00FE52B4" w:rsidRPr="009F1F9A" w:rsidRDefault="00FE52B4" w:rsidP="009F1F9A">
      <w:pPr>
        <w:spacing w:line="480" w:lineRule="auto"/>
        <w:contextualSpacing/>
        <w:jc w:val="both"/>
        <w:rPr>
          <w:rFonts w:cs="Times New Roman"/>
          <w:lang w:val="en-GB"/>
        </w:rPr>
      </w:pPr>
    </w:p>
    <w:p w14:paraId="1C48EDB7"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lastRenderedPageBreak/>
        <w:t>Day J (2002) The Levant trade in the Middle Ages. In: Laiou AE (ed) The Economic History of Byzantium: From the Seventh through the Fifteenth Century. Dumbarton Oaks Library Collection, Washington D.C., pp 807-14</w:t>
      </w:r>
    </w:p>
    <w:p w14:paraId="34D44791" w14:textId="77777777" w:rsidR="00FE52B4" w:rsidRPr="009F1F9A" w:rsidRDefault="00FE52B4" w:rsidP="009F1F9A">
      <w:pPr>
        <w:spacing w:line="480" w:lineRule="auto"/>
        <w:contextualSpacing/>
        <w:jc w:val="both"/>
        <w:rPr>
          <w:rFonts w:cs="Times New Roman"/>
          <w:lang w:val="en-GB"/>
        </w:rPr>
      </w:pPr>
    </w:p>
    <w:p w14:paraId="4ECA6775" w14:textId="77777777" w:rsidR="00FE52B4" w:rsidRPr="009F1F9A" w:rsidRDefault="00FE52B4" w:rsidP="009F1F9A">
      <w:pPr>
        <w:spacing w:line="480" w:lineRule="auto"/>
        <w:contextualSpacing/>
        <w:jc w:val="both"/>
        <w:rPr>
          <w:rFonts w:cs="Times New Roman"/>
          <w:color w:val="000000" w:themeColor="text1"/>
          <w:lang w:val="en-GB"/>
        </w:rPr>
      </w:pPr>
    </w:p>
    <w:p w14:paraId="45EFCEEB" w14:textId="77777777" w:rsidR="00FE52B4" w:rsidRPr="009F1F9A" w:rsidRDefault="00FE52B4" w:rsidP="009F1F9A">
      <w:pPr>
        <w:spacing w:line="480" w:lineRule="auto"/>
        <w:contextualSpacing/>
        <w:jc w:val="both"/>
        <w:rPr>
          <w:rFonts w:cs="Times New Roman"/>
          <w:lang w:val="en-GB"/>
        </w:rPr>
      </w:pPr>
      <w:r w:rsidRPr="009F1F9A">
        <w:rPr>
          <w:rFonts w:cs="Times New Roman"/>
          <w:color w:val="000000" w:themeColor="text1"/>
          <w:lang w:val="en-GB"/>
        </w:rPr>
        <w:t xml:space="preserve">Dikomitou-Eliadou M (2019) A preliminary compositional study of Early and Middle Bronze Age pottery from Lapithos. In: </w:t>
      </w:r>
      <w:r w:rsidRPr="009F1F9A">
        <w:rPr>
          <w:rFonts w:cs="Times New Roman"/>
          <w:lang w:val="en-GB"/>
        </w:rPr>
        <w:t>Papanikola-Bakirtzi D (ed) Ceramic Art from the Soil of Lapithos, Leventis Municipal Museum of Nicosia and Lapithos Municipality, Nicosia, pp 57-75</w:t>
      </w:r>
    </w:p>
    <w:p w14:paraId="31139294" w14:textId="39F79CCC" w:rsidR="00FE52B4" w:rsidRPr="009F1F9A" w:rsidRDefault="00FE52B4" w:rsidP="009F1F9A">
      <w:pPr>
        <w:spacing w:line="480" w:lineRule="auto"/>
        <w:contextualSpacing/>
        <w:jc w:val="both"/>
        <w:rPr>
          <w:rFonts w:cs="Times New Roman"/>
          <w:color w:val="000000" w:themeColor="text1"/>
          <w:lang w:val="en-GB"/>
        </w:rPr>
      </w:pPr>
    </w:p>
    <w:p w14:paraId="56EB064A" w14:textId="77777777" w:rsidR="00FE52B4" w:rsidRPr="009F1F9A" w:rsidRDefault="00FE52B4" w:rsidP="009F1F9A">
      <w:pPr>
        <w:spacing w:line="480" w:lineRule="auto"/>
        <w:contextualSpacing/>
        <w:jc w:val="both"/>
        <w:rPr>
          <w:rFonts w:cs="Times New Roman"/>
          <w:color w:val="000000" w:themeColor="text1"/>
        </w:rPr>
      </w:pPr>
      <w:r w:rsidRPr="009F1F9A">
        <w:rPr>
          <w:rFonts w:cs="Times New Roman"/>
          <w:color w:val="000000" w:themeColor="text1"/>
        </w:rPr>
        <w:t>Edbury P (1991) The Kingdom of Cyprus and the Crusades, 1191-1374. Cambridge University Press, Cambridge</w:t>
      </w:r>
    </w:p>
    <w:p w14:paraId="115D2C83" w14:textId="77777777" w:rsidR="00FE52B4" w:rsidRPr="009F1F9A" w:rsidRDefault="00FE52B4" w:rsidP="009F1F9A">
      <w:pPr>
        <w:spacing w:line="480" w:lineRule="auto"/>
        <w:contextualSpacing/>
        <w:jc w:val="both"/>
        <w:rPr>
          <w:rFonts w:cs="Times New Roman"/>
          <w:color w:val="000000" w:themeColor="text1"/>
          <w:lang w:val="en-GB"/>
        </w:rPr>
      </w:pPr>
    </w:p>
    <w:p w14:paraId="3E815915" w14:textId="77777777" w:rsidR="00FE52B4" w:rsidRPr="009F1F9A" w:rsidRDefault="00FE52B4" w:rsidP="009F1F9A">
      <w:pPr>
        <w:spacing w:line="480" w:lineRule="auto"/>
        <w:contextualSpacing/>
        <w:jc w:val="both"/>
        <w:rPr>
          <w:rFonts w:cs="Times New Roman"/>
          <w:color w:val="000000" w:themeColor="text1"/>
          <w:lang w:val="en-GB"/>
        </w:rPr>
      </w:pPr>
      <w:r w:rsidRPr="009F1F9A">
        <w:rPr>
          <w:rFonts w:cs="Times New Roman"/>
          <w:color w:val="000000" w:themeColor="text1"/>
          <w:lang w:val="en-GB"/>
        </w:rPr>
        <w:t>Edbury P (1999) Kingdoms of the Crusaders: From Jerusalem to Cyprus. Ashgate, Aldershot</w:t>
      </w:r>
    </w:p>
    <w:p w14:paraId="03435D04" w14:textId="77777777" w:rsidR="00FE52B4" w:rsidRPr="009F1F9A" w:rsidRDefault="00FE52B4" w:rsidP="009F1F9A">
      <w:pPr>
        <w:spacing w:line="480" w:lineRule="auto"/>
        <w:contextualSpacing/>
        <w:jc w:val="both"/>
        <w:rPr>
          <w:rFonts w:cs="Times New Roman"/>
          <w:lang w:val="en-GB"/>
        </w:rPr>
      </w:pPr>
    </w:p>
    <w:p w14:paraId="14F09183" w14:textId="77777777" w:rsidR="00860AE0" w:rsidRPr="0063089A" w:rsidRDefault="00860AE0" w:rsidP="00860AE0">
      <w:pPr>
        <w:spacing w:line="480" w:lineRule="auto"/>
        <w:contextualSpacing/>
        <w:jc w:val="both"/>
        <w:rPr>
          <w:rFonts w:cs="Times New Roman"/>
          <w:color w:val="000000" w:themeColor="text1"/>
          <w:lang w:val="fr-FR"/>
        </w:rPr>
      </w:pPr>
      <w:r w:rsidRPr="009F1F9A">
        <w:rPr>
          <w:rFonts w:cs="Times New Roman"/>
          <w:lang w:val="en-GB"/>
        </w:rPr>
        <w:t xml:space="preserve">Erdoğru MA (1997) The servants and Venetian interest in Ottoman Cyprus in the late sixteenth and the early seventeenth centuries. </w:t>
      </w:r>
      <w:r w:rsidRPr="0063089A">
        <w:rPr>
          <w:rFonts w:cs="Times New Roman"/>
          <w:lang w:val="fr-FR"/>
        </w:rPr>
        <w:t>Quaderni di Studi Arabi, Suppl. no. 15:97-120</w:t>
      </w:r>
    </w:p>
    <w:p w14:paraId="13F19EA2" w14:textId="77777777" w:rsidR="00FE52B4" w:rsidRPr="009F1F9A" w:rsidRDefault="00FE52B4" w:rsidP="009F1F9A">
      <w:pPr>
        <w:spacing w:line="480" w:lineRule="auto"/>
        <w:contextualSpacing/>
        <w:jc w:val="both"/>
        <w:rPr>
          <w:rFonts w:cs="Times New Roman"/>
          <w:lang w:val="en-GB"/>
        </w:rPr>
      </w:pPr>
    </w:p>
    <w:p w14:paraId="375F7010" w14:textId="4E5AC36A" w:rsidR="00FE52B4" w:rsidRDefault="00FE52B4" w:rsidP="009F1F9A">
      <w:pPr>
        <w:spacing w:line="480" w:lineRule="auto"/>
        <w:contextualSpacing/>
        <w:jc w:val="both"/>
        <w:rPr>
          <w:rFonts w:cs="Times New Roman"/>
          <w:lang w:val="en-GB"/>
        </w:rPr>
      </w:pPr>
      <w:r w:rsidRPr="009F1F9A">
        <w:rPr>
          <w:rFonts w:cs="Times New Roman"/>
          <w:lang w:val="en-GB"/>
        </w:rPr>
        <w:t>François V, Vallauri L (2001) Production et consumation de céramiques à Potamia (Chypre) de l’époque franque à l’époque ottomane. Bulletin de Correspondance Hellénique 125:523-46. https://doi.org/10.3406/bch.2001.7151</w:t>
      </w:r>
    </w:p>
    <w:p w14:paraId="21EE2F34" w14:textId="77777777" w:rsidR="006B6227" w:rsidRDefault="006B6227" w:rsidP="006B6227">
      <w:pPr>
        <w:spacing w:line="480" w:lineRule="auto"/>
        <w:contextualSpacing/>
        <w:jc w:val="both"/>
        <w:rPr>
          <w:rFonts w:cs="Times New Roman"/>
          <w:lang w:val="en-GB"/>
        </w:rPr>
      </w:pPr>
    </w:p>
    <w:p w14:paraId="2AFF633E" w14:textId="77777777" w:rsidR="006B6227" w:rsidRDefault="006B6227" w:rsidP="006B6227">
      <w:pPr>
        <w:spacing w:line="480" w:lineRule="auto"/>
        <w:contextualSpacing/>
        <w:jc w:val="both"/>
        <w:rPr>
          <w:rFonts w:cs="Times New Roman"/>
          <w:lang w:val="en-GB"/>
        </w:rPr>
      </w:pPr>
      <w:r w:rsidRPr="00366972">
        <w:rPr>
          <w:rFonts w:cs="Times New Roman"/>
          <w:lang w:val="en-GB"/>
        </w:rPr>
        <w:t xml:space="preserve">François V, Vallauri L (2014) Ceramics from Potamia-Agios Sozomenos: new archaeological data on the ceramic production and trade in </w:t>
      </w:r>
      <w:r>
        <w:rPr>
          <w:rFonts w:cs="Times New Roman"/>
          <w:lang w:val="en-GB"/>
        </w:rPr>
        <w:t xml:space="preserve">Cyprus. In: Papanikola-Bakirtzi D, </w:t>
      </w:r>
      <w:r w:rsidRPr="009F1F9A">
        <w:rPr>
          <w:rFonts w:cs="Times New Roman"/>
          <w:lang w:val="en-GB"/>
        </w:rPr>
        <w:t xml:space="preserve">Coureas N (ed) </w:t>
      </w:r>
      <w:r w:rsidRPr="009F1F9A">
        <w:rPr>
          <w:rFonts w:cs="Times New Roman"/>
          <w:lang w:val="en-GB"/>
        </w:rPr>
        <w:lastRenderedPageBreak/>
        <w:t>Cypriot medieval ceramics: Reconsiderations and new perspectives. The A.G. Le</w:t>
      </w:r>
      <w:r>
        <w:rPr>
          <w:rFonts w:cs="Times New Roman"/>
          <w:lang w:val="en-GB"/>
        </w:rPr>
        <w:t>ventis Foundation, Nicosia, pp 45-55</w:t>
      </w:r>
    </w:p>
    <w:p w14:paraId="62F4E02D" w14:textId="77777777" w:rsidR="006B6227" w:rsidRDefault="006B6227" w:rsidP="006B6227">
      <w:pPr>
        <w:spacing w:line="480" w:lineRule="auto"/>
        <w:contextualSpacing/>
        <w:jc w:val="both"/>
        <w:rPr>
          <w:rFonts w:cs="Times New Roman"/>
          <w:color w:val="000000" w:themeColor="text1"/>
          <w:lang w:val="en-GB"/>
        </w:rPr>
      </w:pPr>
    </w:p>
    <w:p w14:paraId="2F75A177" w14:textId="77777777" w:rsidR="006B6227" w:rsidRDefault="006B6227" w:rsidP="009F1F9A">
      <w:pPr>
        <w:spacing w:line="480" w:lineRule="auto"/>
        <w:contextualSpacing/>
        <w:jc w:val="both"/>
        <w:rPr>
          <w:rFonts w:cs="Times New Roman"/>
          <w:lang w:val="en-GB"/>
        </w:rPr>
      </w:pPr>
      <w:r w:rsidRPr="009F1F9A">
        <w:rPr>
          <w:rFonts w:cs="Times New Roman"/>
          <w:color w:val="000000" w:themeColor="text1"/>
          <w:lang w:val="en-GB"/>
        </w:rPr>
        <w:t>du Plat</w:t>
      </w:r>
      <w:r>
        <w:rPr>
          <w:color w:val="000000" w:themeColor="text1"/>
          <w:lang w:val="en-GB"/>
        </w:rPr>
        <w:t>-</w:t>
      </w:r>
      <w:r w:rsidRPr="009F1F9A">
        <w:rPr>
          <w:rFonts w:cs="Times New Roman"/>
          <w:color w:val="000000" w:themeColor="text1"/>
          <w:lang w:val="en-GB"/>
        </w:rPr>
        <w:t>Taylor J, Megaw AHS (1951) Cypriot medieval glazed pottery – Notes for a preliminary classification. Reports of Department of Antiquities Cyprus, 1939:1-13</w:t>
      </w:r>
    </w:p>
    <w:p w14:paraId="3C760B13" w14:textId="77777777" w:rsidR="006B6227" w:rsidRDefault="006B6227" w:rsidP="009F1F9A">
      <w:pPr>
        <w:spacing w:line="480" w:lineRule="auto"/>
        <w:contextualSpacing/>
        <w:jc w:val="both"/>
        <w:rPr>
          <w:rFonts w:cs="Times New Roman"/>
          <w:lang w:val="en-GB"/>
        </w:rPr>
      </w:pPr>
    </w:p>
    <w:p w14:paraId="32440FDE" w14:textId="4EC025C6" w:rsidR="00FE52B4" w:rsidRPr="009F1F9A" w:rsidRDefault="00FE52B4" w:rsidP="009F1F9A">
      <w:pPr>
        <w:spacing w:line="480" w:lineRule="auto"/>
        <w:contextualSpacing/>
        <w:jc w:val="both"/>
        <w:rPr>
          <w:rFonts w:cs="Times New Roman"/>
          <w:lang w:val="en-GB"/>
        </w:rPr>
      </w:pPr>
      <w:r w:rsidRPr="009F1F9A">
        <w:rPr>
          <w:rFonts w:cs="Times New Roman"/>
          <w:lang w:val="en-GB"/>
        </w:rPr>
        <w:t>García Porras A, Fábregas García A (2010) Genoese trade networks in the southern Iberian Peninsula: Trade, transmission of technical knowledge and economic interactions. Mediterranean Historical Review 25:35-51. https://doi.org/10.1080/09518967.2020.494097</w:t>
      </w:r>
    </w:p>
    <w:p w14:paraId="782187D2" w14:textId="77777777" w:rsidR="00FE52B4" w:rsidRPr="009F1F9A" w:rsidRDefault="00FE52B4" w:rsidP="009F1F9A">
      <w:pPr>
        <w:spacing w:line="480" w:lineRule="auto"/>
        <w:contextualSpacing/>
        <w:jc w:val="both"/>
        <w:rPr>
          <w:rFonts w:cs="Times New Roman"/>
          <w:lang w:val="en-GB"/>
        </w:rPr>
      </w:pPr>
    </w:p>
    <w:p w14:paraId="39646AC4"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Given M (2000) Agriculture, settlement and landscape in Ottoman Cyprus. Levant 32:215-36</w:t>
      </w:r>
    </w:p>
    <w:p w14:paraId="5C60B532" w14:textId="77777777" w:rsidR="00FE52B4" w:rsidRPr="009F1F9A" w:rsidRDefault="00FE52B4" w:rsidP="009F1F9A">
      <w:pPr>
        <w:spacing w:line="480" w:lineRule="auto"/>
        <w:contextualSpacing/>
        <w:jc w:val="both"/>
        <w:rPr>
          <w:rFonts w:cs="Times New Roman"/>
          <w:lang w:val="en-GB"/>
        </w:rPr>
      </w:pPr>
    </w:p>
    <w:p w14:paraId="051430C2"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Gosselain OP (1998) Social and technical identity in a clay crystal ball. In: Stark MT (ed.) The Archaeology of Social Boundaries. The Smithsonian Institution, Washington D.C., pp 78-106</w:t>
      </w:r>
    </w:p>
    <w:p w14:paraId="729F4409" w14:textId="77777777" w:rsidR="00FE52B4" w:rsidRPr="009F1F9A" w:rsidRDefault="00FE52B4" w:rsidP="009F1F9A">
      <w:pPr>
        <w:spacing w:line="480" w:lineRule="auto"/>
        <w:contextualSpacing/>
        <w:jc w:val="both"/>
        <w:rPr>
          <w:rFonts w:cs="Times New Roman"/>
          <w:lang w:val="en-GB"/>
        </w:rPr>
      </w:pPr>
    </w:p>
    <w:p w14:paraId="63020AFF"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Green JR, Barker C, Gabrieli S (2011) Fabrika: An Ancient Theatre of Nea Paphos. The A.G. Leventis Foundation, Nicosia</w:t>
      </w:r>
    </w:p>
    <w:p w14:paraId="606CD10B" w14:textId="77777777" w:rsidR="00FE52B4" w:rsidRPr="009F1F9A" w:rsidRDefault="00FE52B4" w:rsidP="009F1F9A">
      <w:pPr>
        <w:spacing w:line="480" w:lineRule="auto"/>
        <w:contextualSpacing/>
        <w:jc w:val="both"/>
        <w:rPr>
          <w:rFonts w:cs="Times New Roman"/>
          <w:lang w:val="en-GB"/>
        </w:rPr>
      </w:pPr>
    </w:p>
    <w:p w14:paraId="26FFC0AE" w14:textId="77777777" w:rsidR="00860AE0" w:rsidRPr="0063089A" w:rsidRDefault="00860AE0" w:rsidP="00860AE0">
      <w:pPr>
        <w:spacing w:line="480" w:lineRule="auto"/>
        <w:contextualSpacing/>
        <w:jc w:val="both"/>
        <w:rPr>
          <w:rFonts w:cs="Times New Roman"/>
          <w:lang w:val="fr-FR"/>
        </w:rPr>
      </w:pPr>
      <w:r w:rsidRPr="009F1F9A">
        <w:rPr>
          <w:rFonts w:cs="Times New Roman"/>
          <w:lang w:val="en-GB"/>
        </w:rPr>
        <w:t xml:space="preserve">Green JR, Gabrieli RS, Cook HKA, Stern EJ, McCall B, Lazer E (2014) Paphos 8 August 1303: Snapshot of Destruction. </w:t>
      </w:r>
      <w:r w:rsidRPr="0063089A">
        <w:rPr>
          <w:rFonts w:cs="Times New Roman"/>
          <w:lang w:val="fr-FR"/>
        </w:rPr>
        <w:t>The A.G. Leventis Foundation, Nicosia</w:t>
      </w:r>
    </w:p>
    <w:p w14:paraId="162F840E" w14:textId="77777777" w:rsidR="00FE52B4" w:rsidRPr="009F1F9A" w:rsidRDefault="00FE52B4" w:rsidP="009F1F9A">
      <w:pPr>
        <w:spacing w:line="480" w:lineRule="auto"/>
        <w:contextualSpacing/>
        <w:jc w:val="both"/>
        <w:rPr>
          <w:rFonts w:cs="Times New Roman"/>
          <w:lang w:val="en-GB"/>
        </w:rPr>
      </w:pPr>
    </w:p>
    <w:p w14:paraId="37E9DAB6"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 xml:space="preserve">Grivaud G (1993) Sur le commerce Chypriote de l’époque Latine. In: Bryer AAM, Georghallides GS (ed) The Sweet Land of Cyprus, Papers given at the Twenty-fifth Jubilee Spring Symposium of Byzantine Studies, Birmingham, March 1991. Cyprus Research Centre for the Society for the Promotion of Byzantine Studies, Nicosia, pp 133-45 </w:t>
      </w:r>
    </w:p>
    <w:p w14:paraId="217858DA" w14:textId="77777777" w:rsidR="00FE52B4" w:rsidRPr="009F1F9A" w:rsidRDefault="00FE52B4" w:rsidP="009F1F9A">
      <w:pPr>
        <w:spacing w:line="480" w:lineRule="auto"/>
        <w:contextualSpacing/>
        <w:jc w:val="both"/>
        <w:rPr>
          <w:rFonts w:cs="Times New Roman"/>
          <w:lang w:val="en-GB"/>
        </w:rPr>
      </w:pPr>
    </w:p>
    <w:p w14:paraId="20F569C8"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Hadjistavrinou Y, Afrodisis S (1977) Geology and hydrogeology of the Paphos region. In: Hadjistavrinou Y (ed.) Bulletin no. 7 of the Geological Survey Department. Ministry of Agriculture and Natural Resources, Nicosia, pp 1-44</w:t>
      </w:r>
    </w:p>
    <w:p w14:paraId="01E7D52F" w14:textId="77777777" w:rsidR="00FE52B4" w:rsidRPr="009F1F9A" w:rsidRDefault="00FE52B4" w:rsidP="009F1F9A">
      <w:pPr>
        <w:spacing w:line="480" w:lineRule="auto"/>
        <w:contextualSpacing/>
        <w:jc w:val="both"/>
        <w:rPr>
          <w:rFonts w:cs="Times New Roman"/>
          <w:lang w:val="en-GB"/>
        </w:rPr>
      </w:pPr>
    </w:p>
    <w:p w14:paraId="35EA100A"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 xml:space="preserve">Henderson J (1989) Iznik ceramics: A technical examination. In: Atasoy N, Raby J (ed.) Iznik – The Pottery of Ottoman Turkey, Alexandria Press, London, pp 65-87 </w:t>
      </w:r>
    </w:p>
    <w:p w14:paraId="6F7630AA" w14:textId="77777777" w:rsidR="00FE52B4" w:rsidRPr="009F1F9A" w:rsidRDefault="00FE52B4" w:rsidP="009F1F9A">
      <w:pPr>
        <w:spacing w:line="480" w:lineRule="auto"/>
        <w:contextualSpacing/>
        <w:jc w:val="both"/>
        <w:rPr>
          <w:rFonts w:cs="Times New Roman"/>
          <w:lang w:val="en-GB"/>
        </w:rPr>
      </w:pPr>
    </w:p>
    <w:p w14:paraId="2435E338"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Hunt D (2014) Medieval Cyprus 1191-1571. In: Papanikola-Bakirtzi D (ed) Colours of Medieval Cyprus. The A.G. Leventis Foundation, Nicosia, pp 19-33</w:t>
      </w:r>
    </w:p>
    <w:p w14:paraId="425A9FC1" w14:textId="77777777" w:rsidR="00FE52B4" w:rsidRPr="009F1F9A" w:rsidRDefault="00FE52B4" w:rsidP="009F1F9A">
      <w:pPr>
        <w:spacing w:line="480" w:lineRule="auto"/>
        <w:contextualSpacing/>
        <w:jc w:val="both"/>
        <w:rPr>
          <w:rFonts w:cs="Times New Roman"/>
          <w:lang w:val="en-GB"/>
        </w:rPr>
      </w:pPr>
    </w:p>
    <w:p w14:paraId="29AF82BC"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Hurst D, Freestone I (1996) Lead glazing technique from a medieval kiln site at Hanley Swan, Worcestershire. Med. Ceram. 20:13-8</w:t>
      </w:r>
    </w:p>
    <w:p w14:paraId="4D37350C" w14:textId="77777777" w:rsidR="00FE52B4" w:rsidRPr="009F1F9A" w:rsidRDefault="00FE52B4" w:rsidP="009F1F9A">
      <w:pPr>
        <w:spacing w:line="480" w:lineRule="auto"/>
        <w:contextualSpacing/>
        <w:jc w:val="both"/>
        <w:rPr>
          <w:rFonts w:cs="Times New Roman"/>
          <w:lang w:val="en-GB"/>
        </w:rPr>
      </w:pPr>
    </w:p>
    <w:p w14:paraId="42BA19CC" w14:textId="77777777" w:rsidR="00B126E0" w:rsidRPr="0063089A" w:rsidRDefault="00B126E0" w:rsidP="00B126E0">
      <w:pPr>
        <w:spacing w:line="480" w:lineRule="auto"/>
        <w:contextualSpacing/>
        <w:jc w:val="both"/>
        <w:rPr>
          <w:rFonts w:cs="Times New Roman"/>
          <w:lang w:val="fr-FR"/>
        </w:rPr>
      </w:pPr>
      <w:r w:rsidRPr="009F1F9A">
        <w:rPr>
          <w:rFonts w:cs="Times New Roman"/>
          <w:lang w:val="en-GB"/>
        </w:rPr>
        <w:t xml:space="preserve">Jacoby D (1989) The Rise of </w:t>
      </w:r>
      <w:r>
        <w:rPr>
          <w:rFonts w:cs="Times New Roman"/>
          <w:lang w:val="en-GB"/>
        </w:rPr>
        <w:t>a</w:t>
      </w:r>
      <w:r w:rsidRPr="009F1F9A">
        <w:rPr>
          <w:rFonts w:cs="Times New Roman"/>
          <w:lang w:val="en-GB"/>
        </w:rPr>
        <w:t xml:space="preserve"> New Emporium in the eastern Mediterranean: Famagusta in the Late Thirteenth Century. </w:t>
      </w:r>
      <w:r w:rsidRPr="0063089A">
        <w:rPr>
          <w:rFonts w:cs="Times New Roman"/>
          <w:lang w:val="fr-FR"/>
        </w:rPr>
        <w:t>Variorum, Northampton</w:t>
      </w:r>
    </w:p>
    <w:p w14:paraId="08F7878A" w14:textId="77777777" w:rsidR="00FE52B4" w:rsidRPr="009F1F9A" w:rsidRDefault="00FE52B4" w:rsidP="009F1F9A">
      <w:pPr>
        <w:spacing w:line="480" w:lineRule="auto"/>
        <w:contextualSpacing/>
        <w:jc w:val="both"/>
        <w:rPr>
          <w:rFonts w:cs="Times New Roman"/>
          <w:lang w:val="en-GB"/>
        </w:rPr>
      </w:pPr>
    </w:p>
    <w:p w14:paraId="1B177647"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Jacoby D (1977) Citoyens, sujets et protégés de Venise et de Gênes en Chypre du XIIIe au XVe siècles. Byzantinische Forschungen 5:159-88</w:t>
      </w:r>
    </w:p>
    <w:p w14:paraId="6E213DA8" w14:textId="77777777" w:rsidR="00FE52B4" w:rsidRPr="009F1F9A" w:rsidRDefault="00FE52B4" w:rsidP="009F1F9A">
      <w:pPr>
        <w:spacing w:line="480" w:lineRule="auto"/>
        <w:contextualSpacing/>
        <w:jc w:val="both"/>
        <w:rPr>
          <w:rFonts w:cs="Times New Roman"/>
          <w:lang w:val="en-GB"/>
        </w:rPr>
      </w:pPr>
    </w:p>
    <w:p w14:paraId="0C475B42"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Jacoby D (2014) Refugees from Acre in Famagusta around 1300. In: Walsh M, Kiss T, Coureas M (ed) The Harbour of all this Sea and Realm: Crusader to Venetian Famagusta. Central European University Press, Budapest, pp 53-67</w:t>
      </w:r>
    </w:p>
    <w:p w14:paraId="2884A4F5" w14:textId="77777777" w:rsidR="00FE52B4" w:rsidRPr="009F1F9A" w:rsidRDefault="00FE52B4" w:rsidP="009F1F9A">
      <w:pPr>
        <w:spacing w:line="480" w:lineRule="auto"/>
        <w:contextualSpacing/>
        <w:jc w:val="both"/>
        <w:rPr>
          <w:rFonts w:cs="Times New Roman"/>
          <w:lang w:val="en-GB"/>
        </w:rPr>
      </w:pPr>
    </w:p>
    <w:p w14:paraId="126C2E44" w14:textId="77777777" w:rsidR="00B126E0" w:rsidRPr="0063089A" w:rsidRDefault="00B126E0" w:rsidP="00B126E0">
      <w:pPr>
        <w:spacing w:line="480" w:lineRule="auto"/>
        <w:contextualSpacing/>
        <w:jc w:val="both"/>
        <w:rPr>
          <w:rFonts w:cs="Times New Roman"/>
          <w:lang w:val="fr-FR"/>
        </w:rPr>
      </w:pPr>
      <w:r w:rsidRPr="009F1F9A">
        <w:rPr>
          <w:rFonts w:cs="Times New Roman"/>
          <w:lang w:val="en-GB"/>
        </w:rPr>
        <w:lastRenderedPageBreak/>
        <w:t xml:space="preserve">Lécuyer N, Grivaud G, Michaelides D, Nicolaïdes A, Amouric H, Decock L, Devillers B, François V, Hadjichristofi F, Loiseau M, Bernard S, Vallauri L (2002) Potamia-Agios Sozomenos (Chypre). </w:t>
      </w:r>
      <w:r w:rsidRPr="0063089A">
        <w:rPr>
          <w:rFonts w:cs="Times New Roman"/>
          <w:lang w:val="fr-FR"/>
        </w:rPr>
        <w:t xml:space="preserve">La constitution des paysages dans l’Orient Médiéval. Bulletin de Correspondance Hellénique 126:598-614 </w:t>
      </w:r>
    </w:p>
    <w:p w14:paraId="6BEA9C23" w14:textId="77777777" w:rsidR="00FE52B4" w:rsidRPr="009F1F9A" w:rsidRDefault="00FE52B4" w:rsidP="009F1F9A">
      <w:pPr>
        <w:spacing w:line="480" w:lineRule="auto"/>
        <w:contextualSpacing/>
        <w:jc w:val="both"/>
        <w:rPr>
          <w:rFonts w:cs="Times New Roman"/>
          <w:lang w:val="en-GB"/>
        </w:rPr>
      </w:pPr>
    </w:p>
    <w:p w14:paraId="2274D7D0"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Lécuyer N, Michaelides D (2004) Archaeological survey at Potamia-Ayios Sozomenos. British School at Athens Studies 11:139-49</w:t>
      </w:r>
    </w:p>
    <w:p w14:paraId="77880C05" w14:textId="77777777" w:rsidR="00FE52B4" w:rsidRPr="009F1F9A" w:rsidRDefault="00FE52B4" w:rsidP="009F1F9A">
      <w:pPr>
        <w:spacing w:line="480" w:lineRule="auto"/>
        <w:contextualSpacing/>
        <w:jc w:val="both"/>
        <w:rPr>
          <w:rFonts w:cs="Times New Roman"/>
          <w:lang w:val="en-GB"/>
        </w:rPr>
      </w:pPr>
    </w:p>
    <w:p w14:paraId="39420444"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Lemonnier P (1992) Elements for an Anthropology of Technology. The University of Michigan Press, Ann Arbor</w:t>
      </w:r>
    </w:p>
    <w:p w14:paraId="34AA86A3" w14:textId="77777777" w:rsidR="00FE52B4" w:rsidRPr="009F1F9A" w:rsidRDefault="00FE52B4" w:rsidP="009F1F9A">
      <w:pPr>
        <w:spacing w:line="480" w:lineRule="auto"/>
        <w:contextualSpacing/>
        <w:jc w:val="both"/>
        <w:rPr>
          <w:rFonts w:cs="Times New Roman"/>
          <w:lang w:val="en-GB"/>
        </w:rPr>
      </w:pPr>
    </w:p>
    <w:p w14:paraId="0CFBDE34" w14:textId="750E3506" w:rsidR="00FE52B4" w:rsidRPr="009F1F9A" w:rsidRDefault="00FE52B4" w:rsidP="009F1F9A">
      <w:pPr>
        <w:spacing w:line="480" w:lineRule="auto"/>
        <w:contextualSpacing/>
        <w:jc w:val="both"/>
        <w:rPr>
          <w:rFonts w:cs="Times New Roman"/>
          <w:lang w:val="en-GB"/>
        </w:rPr>
      </w:pPr>
      <w:r w:rsidRPr="009F1F9A">
        <w:rPr>
          <w:rFonts w:cs="Times New Roman"/>
          <w:lang w:val="en-GB"/>
        </w:rPr>
        <w:t>Marzec E, Kiriatzi E, Müller NS, Hein A (2019) An integrated typological, technological and provenance investigation of Late Hellenistic colour-coated pottery from Nea Paphos, Cyp</w:t>
      </w:r>
      <w:r w:rsidR="000206AE">
        <w:rPr>
          <w:rFonts w:cs="Times New Roman"/>
          <w:lang w:val="en-GB"/>
        </w:rPr>
        <w:t>r</w:t>
      </w:r>
      <w:r w:rsidRPr="009F1F9A">
        <w:rPr>
          <w:rFonts w:cs="Times New Roman"/>
          <w:lang w:val="en-GB"/>
        </w:rPr>
        <w:t>us. Arch. Anth. Sci. 11:4103-22. https://doi.org/10.1007/s12520-019-00786-8</w:t>
      </w:r>
    </w:p>
    <w:p w14:paraId="35883334" w14:textId="77777777" w:rsidR="00FE52B4" w:rsidRPr="009F1F9A" w:rsidRDefault="00FE52B4" w:rsidP="009F1F9A">
      <w:pPr>
        <w:spacing w:line="480" w:lineRule="auto"/>
        <w:contextualSpacing/>
        <w:jc w:val="both"/>
        <w:rPr>
          <w:rFonts w:cs="Times New Roman"/>
          <w:lang w:val="en-GB"/>
        </w:rPr>
      </w:pPr>
    </w:p>
    <w:p w14:paraId="45212237"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Mason R (1997) Medieval Syrian lustre-painted and associated wares: Typology in a multidisciplinary study. Levant 29:169-200. https://doi.org/10.1179/lev.1997.29.1.169</w:t>
      </w:r>
    </w:p>
    <w:p w14:paraId="232A6708" w14:textId="77777777" w:rsidR="00FE52B4" w:rsidRPr="009F1F9A" w:rsidRDefault="00FE52B4" w:rsidP="009F1F9A">
      <w:pPr>
        <w:spacing w:line="480" w:lineRule="auto"/>
        <w:contextualSpacing/>
        <w:jc w:val="both"/>
        <w:rPr>
          <w:rFonts w:cs="Times New Roman"/>
          <w:lang w:val="en-GB"/>
        </w:rPr>
      </w:pPr>
    </w:p>
    <w:p w14:paraId="2CBF6996" w14:textId="28C65D2D" w:rsidR="00FE52B4" w:rsidRPr="009F1F9A" w:rsidRDefault="00FE52B4" w:rsidP="009F1F9A">
      <w:pPr>
        <w:spacing w:line="480" w:lineRule="auto"/>
        <w:contextualSpacing/>
        <w:jc w:val="both"/>
        <w:rPr>
          <w:rFonts w:cs="Times New Roman"/>
          <w:lang w:val="en-GB"/>
        </w:rPr>
      </w:pPr>
      <w:r w:rsidRPr="009F1F9A">
        <w:rPr>
          <w:rFonts w:cs="Times New Roman"/>
          <w:lang w:val="en-GB"/>
        </w:rPr>
        <w:t>Mason R, Tite MS (1997) The beginnings of tin-opacification of pottery glazes. Archaeometry 39:41-58. https://doi.org/10.1111/j.1475-4754.1997.tb00789</w:t>
      </w:r>
      <w:r w:rsidR="000206AE">
        <w:rPr>
          <w:rFonts w:cs="Times New Roman"/>
          <w:lang w:val="en-GB"/>
        </w:rPr>
        <w:t>.x</w:t>
      </w:r>
    </w:p>
    <w:p w14:paraId="46426480" w14:textId="77777777" w:rsidR="00FE52B4" w:rsidRPr="009F1F9A" w:rsidRDefault="00FE52B4" w:rsidP="009F1F9A">
      <w:pPr>
        <w:spacing w:line="480" w:lineRule="auto"/>
        <w:contextualSpacing/>
        <w:jc w:val="both"/>
        <w:rPr>
          <w:rFonts w:cs="Times New Roman"/>
          <w:lang w:val="en-GB"/>
        </w:rPr>
      </w:pPr>
    </w:p>
    <w:p w14:paraId="7C166780"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Matin M, Tite M, Watson O (2018) On the origins of tin-opacified ceramic glazes: new evidence from early Islamic Egypt, the Levant, Mesopotamia, Iran, and Central Asia. J. Arch. Sci. 97:42-66. https://doi.org/10.1016/j.jas.2018.06.011</w:t>
      </w:r>
    </w:p>
    <w:p w14:paraId="028D9403" w14:textId="77777777" w:rsidR="00FE52B4" w:rsidRPr="009F1F9A" w:rsidRDefault="00FE52B4" w:rsidP="009F1F9A">
      <w:pPr>
        <w:spacing w:line="480" w:lineRule="auto"/>
        <w:contextualSpacing/>
        <w:jc w:val="both"/>
        <w:rPr>
          <w:rFonts w:cs="Times New Roman"/>
          <w:lang w:val="en-GB"/>
        </w:rPr>
      </w:pPr>
    </w:p>
    <w:p w14:paraId="0C73E9F8"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lastRenderedPageBreak/>
        <w:t>Matthews AJ, Woods AJ, Oliver C (1991) Spots before the eyes: new comparison charts for visual percentage estimation in archaeological material. In: Middleton A, Freestone I (ed) Recent Developments in Ceramic. British Museum Research Laboratory, London, pp 211-64</w:t>
      </w:r>
    </w:p>
    <w:p w14:paraId="55E38F62" w14:textId="77777777" w:rsidR="00FE52B4" w:rsidRPr="009F1F9A" w:rsidRDefault="00FE52B4" w:rsidP="009F1F9A">
      <w:pPr>
        <w:spacing w:line="480" w:lineRule="auto"/>
        <w:contextualSpacing/>
        <w:jc w:val="both"/>
        <w:rPr>
          <w:rFonts w:cs="Times New Roman"/>
          <w:lang w:val="en-GB"/>
        </w:rPr>
      </w:pPr>
    </w:p>
    <w:p w14:paraId="16008D98"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Molera J, Martines Ferreras V, Fusaro A, Gurt Esparraguera JM, Gaudenzi Asinelli M, Pidaev SR, Pradell T (2020) Islamic glazed wares from ancient Termez (south Uzbekistan). Raw materials and techniques. J. Arch. Sci.: Reps 29, 102169:1-11. https://doi.org/10.1016/j.jasrep.2019.102169</w:t>
      </w:r>
    </w:p>
    <w:p w14:paraId="2E44B319" w14:textId="77777777" w:rsidR="00FE52B4" w:rsidRPr="009F1F9A" w:rsidRDefault="00FE52B4" w:rsidP="009F1F9A">
      <w:pPr>
        <w:spacing w:line="480" w:lineRule="auto"/>
        <w:contextualSpacing/>
        <w:jc w:val="both"/>
        <w:rPr>
          <w:rFonts w:cs="Times New Roman"/>
          <w:lang w:val="en-GB"/>
        </w:rPr>
      </w:pPr>
    </w:p>
    <w:p w14:paraId="1C97865F"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Özkutlu S (2014) Medieval Famagusta: Socio-economic and Socio-cultural Dynamics (13</w:t>
      </w:r>
      <w:r w:rsidRPr="009F1F9A">
        <w:rPr>
          <w:rFonts w:cs="Times New Roman"/>
          <w:vertAlign w:val="superscript"/>
          <w:lang w:val="en-GB"/>
        </w:rPr>
        <w:t>th</w:t>
      </w:r>
      <w:r w:rsidRPr="009F1F9A">
        <w:rPr>
          <w:rFonts w:cs="Times New Roman"/>
          <w:lang w:val="en-GB"/>
        </w:rPr>
        <w:t xml:space="preserve"> to 15</w:t>
      </w:r>
      <w:r w:rsidRPr="009F1F9A">
        <w:rPr>
          <w:rFonts w:cs="Times New Roman"/>
          <w:vertAlign w:val="superscript"/>
          <w:lang w:val="en-GB"/>
        </w:rPr>
        <w:t>th</w:t>
      </w:r>
      <w:r w:rsidRPr="009F1F9A">
        <w:rPr>
          <w:rFonts w:cs="Times New Roman"/>
          <w:lang w:val="en-GB"/>
        </w:rPr>
        <w:t xml:space="preserve"> Centuries). Dissertation, University of Birmingham</w:t>
      </w:r>
    </w:p>
    <w:p w14:paraId="7C0ABE81" w14:textId="77777777" w:rsidR="00FE52B4" w:rsidRPr="009F1F9A" w:rsidRDefault="00FE52B4" w:rsidP="009F1F9A">
      <w:pPr>
        <w:spacing w:line="480" w:lineRule="auto"/>
        <w:contextualSpacing/>
        <w:jc w:val="both"/>
        <w:rPr>
          <w:rFonts w:cs="Times New Roman"/>
          <w:lang w:val="en-GB"/>
        </w:rPr>
      </w:pPr>
    </w:p>
    <w:p w14:paraId="5BF9E659" w14:textId="77777777" w:rsidR="00B126E0" w:rsidRPr="0063089A" w:rsidRDefault="00B126E0" w:rsidP="00B126E0">
      <w:pPr>
        <w:spacing w:line="480" w:lineRule="auto"/>
        <w:contextualSpacing/>
        <w:jc w:val="both"/>
        <w:rPr>
          <w:rFonts w:cs="Times New Roman"/>
          <w:lang w:val="fr-FR"/>
        </w:rPr>
      </w:pPr>
      <w:r w:rsidRPr="009F1F9A">
        <w:rPr>
          <w:rFonts w:cs="Times New Roman"/>
        </w:rPr>
        <w:t xml:space="preserve">Palamara E, Zacharias M, Xanthopoulou M, Kasztovszky Z, Kovács I, Palles D, Kamitsos EI (2016) Technology issues of Byzantine glazed pottery from Corinth, Greece. </w:t>
      </w:r>
      <w:r w:rsidRPr="0063089A">
        <w:rPr>
          <w:rFonts w:cs="Times New Roman"/>
          <w:lang w:val="fr-FR"/>
        </w:rPr>
        <w:t xml:space="preserve">J. Microchem. 129:137–50. </w:t>
      </w:r>
      <w:r w:rsidRPr="0063089A">
        <w:rPr>
          <w:rFonts w:cs="Times New Roman"/>
          <w:color w:val="000000" w:themeColor="text1"/>
          <w:lang w:val="fr-FR"/>
        </w:rPr>
        <w:t>https://doi.org.10.1016/j.microc.2016.06.008</w:t>
      </w:r>
    </w:p>
    <w:p w14:paraId="54F0E611" w14:textId="77777777" w:rsidR="00FE52B4" w:rsidRPr="009F1F9A" w:rsidRDefault="00FE52B4" w:rsidP="009F1F9A">
      <w:pPr>
        <w:spacing w:line="480" w:lineRule="auto"/>
        <w:contextualSpacing/>
        <w:jc w:val="both"/>
        <w:rPr>
          <w:rFonts w:cs="Times New Roman"/>
          <w:lang w:val="en-GB"/>
        </w:rPr>
      </w:pPr>
    </w:p>
    <w:p w14:paraId="38B6F18B"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Papanikola-Bakirtzi D (1989) Medieval pottery from Enkomi, Famagusta. In: Déroche V, Spieser J.-M. (ed) Recherches sur la Céramique Byzantine 18:233-46</w:t>
      </w:r>
    </w:p>
    <w:p w14:paraId="5D5D3364" w14:textId="77777777" w:rsidR="00FE52B4" w:rsidRPr="009F1F9A" w:rsidRDefault="00FE52B4" w:rsidP="009F1F9A">
      <w:pPr>
        <w:spacing w:line="480" w:lineRule="auto"/>
        <w:contextualSpacing/>
        <w:jc w:val="both"/>
        <w:rPr>
          <w:rFonts w:cs="Times New Roman"/>
          <w:lang w:val="en-GB"/>
        </w:rPr>
      </w:pPr>
    </w:p>
    <w:p w14:paraId="5B89719F"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Papanikola-Bakirtzi D (1996) Medieval Glazed Pottery from Cyprus: The Workshops of Paphos and Lapithos. The A.G. Leventis Foundation, Thessaloniki</w:t>
      </w:r>
    </w:p>
    <w:p w14:paraId="6EBABDA3" w14:textId="77777777" w:rsidR="006B6227" w:rsidRDefault="006B6227" w:rsidP="006B6227">
      <w:pPr>
        <w:spacing w:line="480" w:lineRule="auto"/>
        <w:contextualSpacing/>
        <w:jc w:val="both"/>
        <w:rPr>
          <w:rFonts w:cs="Times New Roman"/>
          <w:lang w:val="en-GB"/>
        </w:rPr>
      </w:pPr>
    </w:p>
    <w:p w14:paraId="559B9B52" w14:textId="4DA28450" w:rsidR="006B6227" w:rsidRPr="009F1F9A" w:rsidRDefault="006B6227" w:rsidP="006B6227">
      <w:pPr>
        <w:spacing w:line="480" w:lineRule="auto"/>
        <w:contextualSpacing/>
        <w:jc w:val="both"/>
        <w:rPr>
          <w:rFonts w:cs="Times New Roman"/>
          <w:lang w:val="en-GB"/>
        </w:rPr>
      </w:pPr>
      <w:r>
        <w:rPr>
          <w:rFonts w:cs="Times New Roman"/>
          <w:lang w:val="en-GB"/>
        </w:rPr>
        <w:t>Papanikola-Bakirtzi D (2004) Colours of Medieval Cyprus through the Medieval Ceramic Collection of the Leventis Municipal Museum of Nicosia. The Anastasios G. Leventis Foundation and The Leventis Municipal Museum, Nicosia</w:t>
      </w:r>
    </w:p>
    <w:p w14:paraId="42D8C8FD" w14:textId="77777777" w:rsidR="00FE52B4" w:rsidRPr="009F1F9A" w:rsidRDefault="00FE52B4" w:rsidP="009F1F9A">
      <w:pPr>
        <w:spacing w:line="480" w:lineRule="auto"/>
        <w:contextualSpacing/>
        <w:jc w:val="both"/>
        <w:rPr>
          <w:rFonts w:cs="Times New Roman"/>
          <w:lang w:val="en-GB"/>
        </w:rPr>
      </w:pPr>
    </w:p>
    <w:p w14:paraId="11A35ECA" w14:textId="36FC1618" w:rsidR="00FE52B4" w:rsidRDefault="00FE52B4" w:rsidP="009F1F9A">
      <w:pPr>
        <w:spacing w:line="480" w:lineRule="auto"/>
        <w:contextualSpacing/>
        <w:jc w:val="both"/>
        <w:rPr>
          <w:rFonts w:cs="Times New Roman"/>
          <w:lang w:val="en-GB"/>
        </w:rPr>
      </w:pPr>
      <w:r w:rsidRPr="009F1F9A">
        <w:rPr>
          <w:rFonts w:cs="Times New Roman"/>
          <w:lang w:val="en-GB"/>
        </w:rPr>
        <w:t>Papanikola-Bakirtzi D (2012) Colours of Medieval Cyprus. The A.G. Leventis Foundation, Nicosia</w:t>
      </w:r>
    </w:p>
    <w:p w14:paraId="7FE867DD" w14:textId="77777777" w:rsidR="006B6227" w:rsidRPr="009F1F9A" w:rsidRDefault="006B6227" w:rsidP="009F1F9A">
      <w:pPr>
        <w:spacing w:line="480" w:lineRule="auto"/>
        <w:contextualSpacing/>
        <w:jc w:val="both"/>
        <w:rPr>
          <w:rFonts w:cs="Times New Roman"/>
          <w:lang w:val="en-GB"/>
        </w:rPr>
      </w:pPr>
    </w:p>
    <w:p w14:paraId="54F430AC" w14:textId="77777777" w:rsidR="006B6227" w:rsidRDefault="006B6227" w:rsidP="006B6227">
      <w:pPr>
        <w:spacing w:line="480" w:lineRule="auto"/>
        <w:contextualSpacing/>
        <w:jc w:val="both"/>
        <w:rPr>
          <w:rFonts w:cs="Times New Roman"/>
          <w:lang w:val="en-GB"/>
        </w:rPr>
      </w:pPr>
      <w:r>
        <w:rPr>
          <w:rFonts w:cs="Times New Roman"/>
          <w:lang w:val="en-GB"/>
        </w:rPr>
        <w:t xml:space="preserve">Papanikola-Bakirtzi D (2019) Ceramic Art from the Soil of Lapithos. </w:t>
      </w:r>
      <w:r w:rsidRPr="009F1F9A">
        <w:rPr>
          <w:rFonts w:cs="Times New Roman"/>
          <w:lang w:val="en-GB"/>
        </w:rPr>
        <w:t>Leventis Municipal Museum of Nicosia and Lapithos Municipality, Nicosia, pp</w:t>
      </w:r>
      <w:r>
        <w:rPr>
          <w:rFonts w:cs="Times New Roman"/>
          <w:lang w:val="en-GB"/>
        </w:rPr>
        <w:t xml:space="preserve"> 105-125</w:t>
      </w:r>
    </w:p>
    <w:p w14:paraId="43782CCC" w14:textId="77777777" w:rsidR="00FE52B4" w:rsidRPr="009F1F9A" w:rsidRDefault="00FE52B4" w:rsidP="009F1F9A">
      <w:pPr>
        <w:spacing w:line="480" w:lineRule="auto"/>
        <w:contextualSpacing/>
        <w:jc w:val="both"/>
        <w:rPr>
          <w:rFonts w:cs="Times New Roman"/>
          <w:lang w:val="en-GB"/>
        </w:rPr>
      </w:pPr>
    </w:p>
    <w:p w14:paraId="745B5789" w14:textId="77777777" w:rsidR="00FE52B4" w:rsidRPr="009F1F9A" w:rsidRDefault="00FE52B4" w:rsidP="009F1F9A">
      <w:pPr>
        <w:spacing w:line="480" w:lineRule="auto"/>
        <w:contextualSpacing/>
        <w:jc w:val="both"/>
        <w:rPr>
          <w:rStyle w:val="Hyperlink"/>
          <w:rFonts w:cs="Times New Roman"/>
          <w:bCs/>
          <w:color w:val="000000" w:themeColor="text1"/>
          <w:shd w:val="clear" w:color="auto" w:fill="FFFFFF"/>
        </w:rPr>
      </w:pPr>
      <w:r w:rsidRPr="009F1F9A">
        <w:rPr>
          <w:rFonts w:cs="Times New Roman"/>
          <w:lang w:val="en-GB"/>
        </w:rPr>
        <w:t>Papantoniou G, Vionis AK (2018) The river as an economic asset: settlement and society in the Xeros valley in Cyprus. Land 7.4:157.</w:t>
      </w:r>
      <w:r w:rsidRPr="009F1F9A">
        <w:rPr>
          <w:rFonts w:cs="Times New Roman"/>
          <w:color w:val="000000" w:themeColor="text1"/>
          <w:lang w:val="en-GB"/>
        </w:rPr>
        <w:t xml:space="preserve"> </w:t>
      </w:r>
      <w:hyperlink r:id="rId8" w:history="1">
        <w:r w:rsidRPr="009F1F9A">
          <w:rPr>
            <w:rStyle w:val="Hyperlink"/>
            <w:rFonts w:cs="Times New Roman"/>
            <w:bCs/>
            <w:color w:val="000000" w:themeColor="text1"/>
            <w:u w:val="none"/>
            <w:shd w:val="clear" w:color="auto" w:fill="FFFFFF"/>
          </w:rPr>
          <w:t>https://doi.org/10.3390/land7040157</w:t>
        </w:r>
      </w:hyperlink>
    </w:p>
    <w:p w14:paraId="6F3A2345" w14:textId="77777777" w:rsidR="00FE52B4" w:rsidRPr="009F1F9A" w:rsidRDefault="00FE52B4" w:rsidP="009F1F9A">
      <w:pPr>
        <w:spacing w:line="480" w:lineRule="auto"/>
        <w:contextualSpacing/>
        <w:jc w:val="both"/>
        <w:rPr>
          <w:rFonts w:cs="Times New Roman"/>
          <w:lang w:val="en-GB"/>
        </w:rPr>
      </w:pPr>
    </w:p>
    <w:p w14:paraId="2467FBB0"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Paynter S, Okyar F, Wolf S, Tite MS (2004) The production of Iznik pottery – a reassessment. Archaeometry 46:421-47. https://doi.org/10.1111/j.1475-4754.2004.00166.x</w:t>
      </w:r>
    </w:p>
    <w:p w14:paraId="442F5EE3" w14:textId="77777777" w:rsidR="00FE52B4" w:rsidRPr="009F1F9A" w:rsidRDefault="00FE52B4" w:rsidP="009F1F9A">
      <w:pPr>
        <w:spacing w:line="480" w:lineRule="auto"/>
        <w:contextualSpacing/>
        <w:jc w:val="both"/>
        <w:rPr>
          <w:rFonts w:cs="Times New Roman"/>
        </w:rPr>
      </w:pPr>
    </w:p>
    <w:p w14:paraId="6857FD09" w14:textId="77777777" w:rsidR="00FE52B4" w:rsidRPr="009F1F9A" w:rsidRDefault="00FE52B4" w:rsidP="009F1F9A">
      <w:pPr>
        <w:spacing w:line="480" w:lineRule="auto"/>
        <w:contextualSpacing/>
        <w:jc w:val="both"/>
        <w:rPr>
          <w:rFonts w:cs="Times New Roman"/>
        </w:rPr>
      </w:pPr>
      <w:r w:rsidRPr="009F1F9A">
        <w:rPr>
          <w:rFonts w:cs="Times New Roman"/>
        </w:rPr>
        <w:t>Philips J (1995) The Latin East, 1098-1291. In: Riley-Smith J (ed) The Oxford Illustrated History of the Crusades. Oxford University Press, Oxford, pp 112-40</w:t>
      </w:r>
    </w:p>
    <w:p w14:paraId="1293228E" w14:textId="77777777" w:rsidR="00FE52B4" w:rsidRPr="009F1F9A" w:rsidRDefault="00FE52B4" w:rsidP="009F1F9A">
      <w:pPr>
        <w:spacing w:line="480" w:lineRule="auto"/>
        <w:contextualSpacing/>
        <w:jc w:val="both"/>
        <w:rPr>
          <w:rFonts w:cs="Times New Roman"/>
          <w:lang w:val="en-GB"/>
        </w:rPr>
      </w:pPr>
    </w:p>
    <w:p w14:paraId="31A164B9"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Pilides D (2003) Excavations at the Hill of Agios Georgios (PA.SY.D.Y.), Nicosia, 2002 season – Preliminary Report. Report of the Department of Antiquities, Cyprus:181-237</w:t>
      </w:r>
    </w:p>
    <w:p w14:paraId="17A1DD75" w14:textId="77777777" w:rsidR="00FE52B4" w:rsidRPr="009F1F9A" w:rsidRDefault="00FE52B4" w:rsidP="009F1F9A">
      <w:pPr>
        <w:spacing w:line="480" w:lineRule="auto"/>
        <w:contextualSpacing/>
        <w:jc w:val="both"/>
        <w:rPr>
          <w:rFonts w:cs="Times New Roman"/>
          <w:lang w:val="en-GB"/>
        </w:rPr>
      </w:pPr>
    </w:p>
    <w:p w14:paraId="37B99996"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Pilides D, Hermon S, Amico N, Chamberlain M, d’Andrea A, Iannone G, Ronzino P (2010) The Hill of Agios Georgios, Nicosia: 3D analysis of an on-going archaeological excavation. In: Melero FJ, Cano P, Revelles J (ed) Fusion of Cultures: Abstracts of the XXXVIII Conference on Computer Applications and Quantitative Methods in Archaeology, pp 325-28</w:t>
      </w:r>
    </w:p>
    <w:p w14:paraId="6645DF4A" w14:textId="77777777" w:rsidR="00FE52B4" w:rsidRPr="009F1F9A" w:rsidRDefault="00FE52B4" w:rsidP="009F1F9A">
      <w:pPr>
        <w:spacing w:line="480" w:lineRule="auto"/>
        <w:contextualSpacing/>
        <w:jc w:val="both"/>
        <w:rPr>
          <w:rFonts w:cs="Times New Roman"/>
          <w:lang w:val="en-GB"/>
        </w:rPr>
      </w:pPr>
    </w:p>
    <w:p w14:paraId="219404E2"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lastRenderedPageBreak/>
        <w:t>Pradell T, Molera J (2020) Ceramic technology. How to characterise ceramic glazes. Arch Anth. Sci. 12, 189:1-28. https://doi.org/10.1007/s12520-020-01136-9</w:t>
      </w:r>
    </w:p>
    <w:p w14:paraId="468C1443" w14:textId="77777777" w:rsidR="00FE52B4" w:rsidRPr="009F1F9A" w:rsidRDefault="00FE52B4" w:rsidP="009F1F9A">
      <w:pPr>
        <w:spacing w:line="480" w:lineRule="auto"/>
        <w:contextualSpacing/>
        <w:jc w:val="both"/>
        <w:rPr>
          <w:rFonts w:cs="Times New Roman"/>
          <w:lang w:val="en-GB"/>
        </w:rPr>
      </w:pPr>
    </w:p>
    <w:p w14:paraId="06F23718"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Quataert D (2000) Consumption Studies and the History of the Ottoman Empire, 1550-1922: An Introduction. State University of New York, Albany</w:t>
      </w:r>
    </w:p>
    <w:p w14:paraId="153844A6" w14:textId="77777777" w:rsidR="00FE52B4" w:rsidRPr="009F1F9A" w:rsidRDefault="00FE52B4" w:rsidP="009F1F9A">
      <w:pPr>
        <w:spacing w:line="480" w:lineRule="auto"/>
        <w:contextualSpacing/>
        <w:jc w:val="both"/>
        <w:rPr>
          <w:rFonts w:cs="Times New Roman"/>
          <w:lang w:val="en-GB"/>
        </w:rPr>
      </w:pPr>
    </w:p>
    <w:p w14:paraId="2AAE5F3C"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 xml:space="preserve">Robertson AHF, Woodcock NH (1979) Mamonia Complex, southwest Cyprus: Evolution and emplacement of a Mesozoic continental margin. GSA Bulletin 90(7):651-65 </w:t>
      </w:r>
    </w:p>
    <w:p w14:paraId="7E884CD8" w14:textId="77777777" w:rsidR="00FE52B4" w:rsidRPr="009F1F9A" w:rsidRDefault="00FE52B4" w:rsidP="009F1F9A">
      <w:pPr>
        <w:spacing w:line="480" w:lineRule="auto"/>
        <w:contextualSpacing/>
        <w:jc w:val="both"/>
        <w:rPr>
          <w:rFonts w:cs="Times New Roman"/>
          <w:lang w:val="en-GB"/>
        </w:rPr>
      </w:pPr>
    </w:p>
    <w:p w14:paraId="4DF908AF" w14:textId="77777777" w:rsidR="00FE52B4" w:rsidRPr="009F1F9A" w:rsidRDefault="00FE52B4" w:rsidP="009F1F9A">
      <w:pPr>
        <w:spacing w:line="480" w:lineRule="auto"/>
        <w:contextualSpacing/>
        <w:jc w:val="both"/>
        <w:rPr>
          <w:rFonts w:cs="Times New Roman"/>
          <w:lang w:val="en-GB"/>
        </w:rPr>
      </w:pPr>
      <w:r w:rsidRPr="009F1F9A">
        <w:rPr>
          <w:rFonts w:cs="Times New Roman"/>
          <w:lang w:val="en-GB"/>
        </w:rPr>
        <w:t>Salinas E, Pradell T, Matin M, Tite M (2019) From tin- to antimony-based yellow opacifiers in the early Islamic Egyptian glazes: Regional influences and ruling dynasties. J. Arch. Sci.: Reps 26, 101923:1-12. https://doi.org/10.1016/j/jasrep.2019.101923</w:t>
      </w:r>
    </w:p>
    <w:p w14:paraId="65CEF21F" w14:textId="77777777" w:rsidR="00FE52B4" w:rsidRPr="009F1F9A" w:rsidRDefault="00FE52B4" w:rsidP="009F1F9A">
      <w:pPr>
        <w:spacing w:line="480" w:lineRule="auto"/>
        <w:contextualSpacing/>
        <w:jc w:val="both"/>
        <w:rPr>
          <w:rFonts w:cs="Times New Roman"/>
        </w:rPr>
      </w:pPr>
    </w:p>
    <w:p w14:paraId="4F2B7337" w14:textId="77777777" w:rsidR="00FE52B4" w:rsidRPr="009F1F9A" w:rsidRDefault="00FE52B4" w:rsidP="009F1F9A">
      <w:pPr>
        <w:spacing w:line="480" w:lineRule="auto"/>
        <w:contextualSpacing/>
        <w:jc w:val="both"/>
        <w:rPr>
          <w:rFonts w:cs="Times New Roman"/>
        </w:rPr>
      </w:pPr>
      <w:r w:rsidRPr="009F1F9A">
        <w:rPr>
          <w:rFonts w:cs="Times New Roman"/>
        </w:rPr>
        <w:t>Sanders GDR (2003) Recent developments in the chronology of Byzantine Corinth. In: Williams CK, Bookidis N (ed) Corinth XX: The Centenary, 1896-1996. American School of Classical Studies at Athens, Princeton, pp 385-99</w:t>
      </w:r>
    </w:p>
    <w:p w14:paraId="50EFEAA8" w14:textId="77777777" w:rsidR="00FE52B4" w:rsidRPr="009F1F9A" w:rsidRDefault="00FE52B4" w:rsidP="009F1F9A">
      <w:pPr>
        <w:spacing w:line="480" w:lineRule="auto"/>
        <w:contextualSpacing/>
        <w:jc w:val="both"/>
        <w:rPr>
          <w:rFonts w:cs="Times New Roman"/>
        </w:rPr>
      </w:pPr>
    </w:p>
    <w:p w14:paraId="1F0A1B88" w14:textId="060B4BD9" w:rsidR="00FE52B4" w:rsidRPr="009F1F9A" w:rsidRDefault="00FE52B4" w:rsidP="009F1F9A">
      <w:pPr>
        <w:spacing w:line="480" w:lineRule="auto"/>
        <w:contextualSpacing/>
        <w:jc w:val="both"/>
        <w:rPr>
          <w:rFonts w:cs="Times New Roman"/>
        </w:rPr>
      </w:pPr>
      <w:r w:rsidRPr="009F1F9A">
        <w:rPr>
          <w:rFonts w:cs="Times New Roman"/>
        </w:rPr>
        <w:t xml:space="preserve">Segal I (2015) Chemical and isotopic study of lead-based objects from a Late Roman </w:t>
      </w:r>
      <w:r w:rsidR="00835D62">
        <w:rPr>
          <w:rFonts w:cs="Times New Roman"/>
        </w:rPr>
        <w:t>t</w:t>
      </w:r>
      <w:r w:rsidRPr="009F1F9A">
        <w:rPr>
          <w:rFonts w:cs="Times New Roman"/>
        </w:rPr>
        <w:t>omb on Sallah ed-Din Street, Jerusalem. Atiqot 80:133-38</w:t>
      </w:r>
    </w:p>
    <w:p w14:paraId="61CEE47B" w14:textId="77777777" w:rsidR="00FE52B4" w:rsidRPr="009F1F9A" w:rsidRDefault="00FE52B4" w:rsidP="009F1F9A">
      <w:pPr>
        <w:spacing w:line="480" w:lineRule="auto"/>
        <w:contextualSpacing/>
        <w:jc w:val="both"/>
        <w:rPr>
          <w:rFonts w:cs="Times New Roman"/>
        </w:rPr>
      </w:pPr>
    </w:p>
    <w:p w14:paraId="592025BD" w14:textId="77777777" w:rsidR="00FE52B4" w:rsidRPr="009F1F9A" w:rsidRDefault="00FE52B4" w:rsidP="009F1F9A">
      <w:pPr>
        <w:spacing w:line="480" w:lineRule="auto"/>
        <w:contextualSpacing/>
        <w:jc w:val="both"/>
        <w:rPr>
          <w:rFonts w:cs="Times New Roman"/>
          <w:lang w:val="en-GB"/>
        </w:rPr>
      </w:pPr>
      <w:r w:rsidRPr="009F1F9A">
        <w:rPr>
          <w:rFonts w:cs="Times New Roman"/>
        </w:rPr>
        <w:t>Stern EJ (2012) Akko I: The 1991-1998 Excavations. The Crusader-Period Pottery. Part 1: Text. Israel Antiquities Authority, Jerusalem</w:t>
      </w:r>
    </w:p>
    <w:p w14:paraId="4154A272" w14:textId="77777777" w:rsidR="00FE52B4" w:rsidRPr="009F1F9A" w:rsidRDefault="00FE52B4" w:rsidP="009F1F9A">
      <w:pPr>
        <w:pStyle w:val="NormalWeb"/>
        <w:spacing w:line="480" w:lineRule="auto"/>
        <w:contextualSpacing/>
        <w:jc w:val="both"/>
        <w:rPr>
          <w:lang w:val="en-GB"/>
        </w:rPr>
      </w:pPr>
    </w:p>
    <w:p w14:paraId="4A560DAA" w14:textId="77777777" w:rsidR="006B6227" w:rsidRDefault="00FE52B4" w:rsidP="006B6227">
      <w:pPr>
        <w:pStyle w:val="NormalWeb"/>
        <w:spacing w:line="480" w:lineRule="auto"/>
        <w:contextualSpacing/>
        <w:jc w:val="both"/>
        <w:rPr>
          <w:lang w:val="en-GB"/>
        </w:rPr>
      </w:pPr>
      <w:r w:rsidRPr="009F1F9A">
        <w:rPr>
          <w:lang w:val="en-GB"/>
        </w:rPr>
        <w:lastRenderedPageBreak/>
        <w:t>Stern EJ (2014) The Paphos glazed wares: Distribution and consumption in the Latin Kingdom of Jerusalem. In: Papanikola-Bakirtzi D, Coureas N (ed) Cypriot Medieval Ceramics: Reconsiderations and New pPrspectives. The A.G. Leventis Foundation, Nicosia, pp. 61-76</w:t>
      </w:r>
    </w:p>
    <w:p w14:paraId="2DFDA026" w14:textId="3A602C42" w:rsidR="006B6227" w:rsidRDefault="006B6227" w:rsidP="006B6227">
      <w:pPr>
        <w:pStyle w:val="NormalWeb"/>
        <w:spacing w:line="480" w:lineRule="auto"/>
        <w:contextualSpacing/>
        <w:jc w:val="both"/>
        <w:rPr>
          <w:lang w:val="en-GB"/>
        </w:rPr>
      </w:pPr>
    </w:p>
    <w:p w14:paraId="620CFC7B" w14:textId="23F94CA2" w:rsidR="00FE52B4" w:rsidRPr="009F1F9A" w:rsidRDefault="00FE52B4" w:rsidP="006B6227">
      <w:pPr>
        <w:pStyle w:val="NormalWeb"/>
        <w:spacing w:line="480" w:lineRule="auto"/>
        <w:contextualSpacing/>
        <w:jc w:val="both"/>
        <w:rPr>
          <w:lang w:val="en-GB"/>
        </w:rPr>
      </w:pPr>
      <w:r w:rsidRPr="009F1F9A">
        <w:rPr>
          <w:lang w:val="en-GB"/>
        </w:rPr>
        <w:t>Ting C, Vionis A, Rehren Th, Kassianidou V, Cook H, Barker B (2019) The beginning of glazed ware production in late medieval Cyprus. J. Arch. Sci.: Rep 27, 101963:1-13. https://doi.org/10.1016/j.jasrep.2019.101963</w:t>
      </w:r>
    </w:p>
    <w:p w14:paraId="273EEA8E" w14:textId="77777777" w:rsidR="00FE52B4" w:rsidRPr="009F1F9A" w:rsidRDefault="00FE52B4" w:rsidP="006B6227">
      <w:pPr>
        <w:pStyle w:val="NormalWeb"/>
        <w:spacing w:line="480" w:lineRule="auto"/>
        <w:contextualSpacing/>
        <w:jc w:val="both"/>
        <w:rPr>
          <w:lang w:val="en-GB"/>
        </w:rPr>
      </w:pPr>
    </w:p>
    <w:p w14:paraId="33B90455" w14:textId="77777777" w:rsidR="00FE52B4" w:rsidRPr="009F1F9A" w:rsidRDefault="00FE52B4" w:rsidP="006B6227">
      <w:pPr>
        <w:pStyle w:val="NormalWeb"/>
        <w:spacing w:line="480" w:lineRule="auto"/>
        <w:contextualSpacing/>
        <w:jc w:val="both"/>
        <w:rPr>
          <w:lang w:val="en-GB"/>
        </w:rPr>
      </w:pPr>
      <w:r w:rsidRPr="009F1F9A">
        <w:rPr>
          <w:lang w:val="en-GB"/>
        </w:rPr>
        <w:t>Tite MS, Shortland AJ, Schibille N, Degryse P (2016) New data on the soda flux used in the production of Iznik glazes and Byzantine glasses. Archaeometry 58:57-67. https://doi.org/10.1111/arcm.12156</w:t>
      </w:r>
    </w:p>
    <w:p w14:paraId="5BE7F3F0" w14:textId="77777777" w:rsidR="00FE52B4" w:rsidRPr="009F1F9A" w:rsidRDefault="00FE52B4" w:rsidP="009F1F9A">
      <w:pPr>
        <w:pStyle w:val="NormalWeb"/>
        <w:spacing w:line="480" w:lineRule="auto"/>
        <w:contextualSpacing/>
        <w:jc w:val="both"/>
        <w:rPr>
          <w:lang w:val="en-GB"/>
        </w:rPr>
      </w:pPr>
    </w:p>
    <w:p w14:paraId="6C862DD4" w14:textId="77777777" w:rsidR="00FE52B4" w:rsidRPr="009F1F9A" w:rsidRDefault="00FE52B4" w:rsidP="009F1F9A">
      <w:pPr>
        <w:pStyle w:val="NormalWeb"/>
        <w:spacing w:line="480" w:lineRule="auto"/>
        <w:contextualSpacing/>
        <w:jc w:val="both"/>
        <w:rPr>
          <w:lang w:val="en-GB"/>
        </w:rPr>
      </w:pPr>
      <w:r w:rsidRPr="009F1F9A">
        <w:rPr>
          <w:lang w:val="en-GB"/>
        </w:rPr>
        <w:t xml:space="preserve">Tite MS, Watson O, Pradell T, Matin M, Molina G, Domoney K, Bouquillon A (2015) Revisiting the beginnings of tin-opacified Islamic glazes. J. Arch. Sci. 57:80-91. </w:t>
      </w:r>
      <w:r w:rsidRPr="009F1F9A">
        <w:rPr>
          <w:color w:val="000000" w:themeColor="text1"/>
          <w:lang w:val="en-GB"/>
        </w:rPr>
        <w:t>http://dx.doi.org/10.1016/j.jas.2015.02.005</w:t>
      </w:r>
    </w:p>
    <w:p w14:paraId="72991094" w14:textId="77777777" w:rsidR="00FE52B4" w:rsidRPr="009F1F9A" w:rsidRDefault="00FE52B4" w:rsidP="009F1F9A">
      <w:pPr>
        <w:pStyle w:val="NormalWeb"/>
        <w:spacing w:line="480" w:lineRule="auto"/>
        <w:contextualSpacing/>
        <w:jc w:val="both"/>
        <w:rPr>
          <w:lang w:val="en-GB"/>
        </w:rPr>
      </w:pPr>
    </w:p>
    <w:p w14:paraId="751DF3A0" w14:textId="77777777" w:rsidR="00FE52B4" w:rsidRPr="009F1F9A" w:rsidRDefault="00FE52B4" w:rsidP="009F1F9A">
      <w:pPr>
        <w:pStyle w:val="NormalWeb"/>
        <w:spacing w:line="480" w:lineRule="auto"/>
        <w:contextualSpacing/>
        <w:jc w:val="both"/>
        <w:rPr>
          <w:lang w:val="en-GB"/>
        </w:rPr>
      </w:pPr>
      <w:r w:rsidRPr="009F1F9A">
        <w:rPr>
          <w:lang w:val="en-GB"/>
        </w:rPr>
        <w:t>Vallauri L (2004) Céramiques en usage à Potamia-Agios Sozomenos de l'époque médiévale à l'époque ottoman: nouvelles données. Cahiers du Centre d'Études Chypriotes 34:223-38</w:t>
      </w:r>
    </w:p>
    <w:p w14:paraId="191836B1" w14:textId="77777777" w:rsidR="00FE52B4" w:rsidRPr="009F1F9A" w:rsidRDefault="00FE52B4" w:rsidP="009F1F9A">
      <w:pPr>
        <w:pStyle w:val="NormalWeb"/>
        <w:spacing w:line="480" w:lineRule="auto"/>
        <w:contextualSpacing/>
        <w:jc w:val="both"/>
        <w:rPr>
          <w:lang w:val="en-GB"/>
        </w:rPr>
      </w:pPr>
    </w:p>
    <w:p w14:paraId="50F6D7A0" w14:textId="77777777" w:rsidR="00FE52B4" w:rsidRPr="009F1F9A" w:rsidRDefault="00FE52B4" w:rsidP="009F1F9A">
      <w:pPr>
        <w:pStyle w:val="NormalWeb"/>
        <w:spacing w:line="480" w:lineRule="auto"/>
        <w:contextualSpacing/>
        <w:jc w:val="both"/>
        <w:rPr>
          <w:lang w:val="en-GB"/>
        </w:rPr>
      </w:pPr>
      <w:r w:rsidRPr="009F1F9A">
        <w:rPr>
          <w:lang w:val="en-GB"/>
        </w:rPr>
        <w:t>Vallauri L, François V (2010) Famagouste: Indices d’une production de vaisselle à l’époque vénitienne. Cahiers du Centre d’Études Chypriotes 40:295-310</w:t>
      </w:r>
    </w:p>
    <w:p w14:paraId="28BAFF3A" w14:textId="77777777" w:rsidR="00FE52B4" w:rsidRPr="009F1F9A" w:rsidRDefault="00FE52B4" w:rsidP="009F1F9A">
      <w:pPr>
        <w:pStyle w:val="NormalWeb"/>
        <w:spacing w:line="480" w:lineRule="auto"/>
        <w:contextualSpacing/>
        <w:jc w:val="both"/>
        <w:rPr>
          <w:lang w:val="en-GB"/>
        </w:rPr>
      </w:pPr>
    </w:p>
    <w:p w14:paraId="28DE0F57" w14:textId="77777777" w:rsidR="00FE52B4" w:rsidRPr="009F1F9A" w:rsidRDefault="00FE52B4" w:rsidP="009F1F9A">
      <w:pPr>
        <w:pStyle w:val="NormalWeb"/>
        <w:spacing w:line="480" w:lineRule="auto"/>
        <w:contextualSpacing/>
        <w:jc w:val="both"/>
        <w:rPr>
          <w:lang w:val="en-GB"/>
        </w:rPr>
      </w:pPr>
      <w:r w:rsidRPr="009F1F9A">
        <w:rPr>
          <w:lang w:val="en-GB"/>
        </w:rPr>
        <w:t>Vionis AK (2016) A boom-bust cycle in Ottoman Greece and the ceramic legacy of two Boeotian villages. Journal of Greek Archaeology 1:353-84</w:t>
      </w:r>
    </w:p>
    <w:p w14:paraId="69FF4A14" w14:textId="77777777" w:rsidR="00FE52B4" w:rsidRPr="009F1F9A" w:rsidRDefault="00FE52B4" w:rsidP="009F1F9A">
      <w:pPr>
        <w:pStyle w:val="NormalWeb"/>
        <w:spacing w:line="480" w:lineRule="auto"/>
        <w:contextualSpacing/>
        <w:jc w:val="both"/>
        <w:rPr>
          <w:lang w:val="en-GB"/>
        </w:rPr>
      </w:pPr>
    </w:p>
    <w:p w14:paraId="01C9DA6E" w14:textId="77777777" w:rsidR="00FE52B4" w:rsidRPr="009F1F9A" w:rsidRDefault="00FE52B4" w:rsidP="009F1F9A">
      <w:pPr>
        <w:pStyle w:val="NormalWeb"/>
        <w:spacing w:line="480" w:lineRule="auto"/>
        <w:contextualSpacing/>
        <w:jc w:val="both"/>
        <w:rPr>
          <w:lang w:val="en-GB"/>
        </w:rPr>
      </w:pPr>
      <w:r w:rsidRPr="009F1F9A">
        <w:rPr>
          <w:lang w:val="en-GB"/>
        </w:rPr>
        <w:lastRenderedPageBreak/>
        <w:t xml:space="preserve">Vionis AK (2017) The Byzantine to Early Modern pottery from Thespiai. In: Bintliff JL, Farinetti E, Slapak B, Snodgrass AM (ed) Boeotia Project, Volume II: The City of Thespiai. Survey at a Complex Urban Site. McDonald Institute Monographs, Cambridge, pp 351-74 </w:t>
      </w:r>
    </w:p>
    <w:p w14:paraId="37CD566C" w14:textId="77777777" w:rsidR="00FE52B4" w:rsidRPr="009F1F9A" w:rsidRDefault="00FE52B4" w:rsidP="009F1F9A">
      <w:pPr>
        <w:pStyle w:val="NormalWeb"/>
        <w:spacing w:line="480" w:lineRule="auto"/>
        <w:contextualSpacing/>
        <w:jc w:val="both"/>
      </w:pPr>
    </w:p>
    <w:p w14:paraId="5B794A5F" w14:textId="77777777" w:rsidR="00FE52B4" w:rsidRPr="009F1F9A" w:rsidRDefault="00FE52B4" w:rsidP="009F1F9A">
      <w:pPr>
        <w:pStyle w:val="NormalWeb"/>
        <w:spacing w:line="480" w:lineRule="auto"/>
        <w:contextualSpacing/>
        <w:jc w:val="both"/>
      </w:pPr>
      <w:r w:rsidRPr="009F1F9A">
        <w:t>Vionis AK (2018) Settled and Sacred Landscapes of Cyprus: church and landscape in the Xeros valley during the Early Byzantine period. In: Horster M, Nicolaou D, Rogge S (ed) Church Building in Cyprus (Fourth to Seventh Centuries). A Mirror of Intercultural Contacts in the Eastern Mediterranean. Waxman Verlag, Münster, pp 45-70</w:t>
      </w:r>
    </w:p>
    <w:p w14:paraId="572706E3" w14:textId="77777777" w:rsidR="00FE52B4" w:rsidRPr="009F1F9A" w:rsidRDefault="00FE52B4" w:rsidP="009F1F9A">
      <w:pPr>
        <w:pStyle w:val="NormalWeb"/>
        <w:spacing w:line="480" w:lineRule="auto"/>
        <w:contextualSpacing/>
        <w:jc w:val="both"/>
        <w:rPr>
          <w:lang w:val="en-GB"/>
        </w:rPr>
      </w:pPr>
    </w:p>
    <w:p w14:paraId="0F400D48" w14:textId="3B14BC3F" w:rsidR="00FE52B4" w:rsidRPr="009F1F9A" w:rsidRDefault="000206AE" w:rsidP="009F1F9A">
      <w:pPr>
        <w:pStyle w:val="NormalWeb"/>
        <w:spacing w:line="480" w:lineRule="auto"/>
        <w:contextualSpacing/>
        <w:jc w:val="both"/>
        <w:rPr>
          <w:lang w:val="en-GB"/>
        </w:rPr>
      </w:pPr>
      <w:r>
        <w:rPr>
          <w:lang w:val="en-GB"/>
        </w:rPr>
        <w:t>v</w:t>
      </w:r>
      <w:r w:rsidR="00FE52B4" w:rsidRPr="009F1F9A">
        <w:rPr>
          <w:lang w:val="en-GB"/>
        </w:rPr>
        <w:t>on Wartburg M.-L. (1997) Lemba ware reconsidered. Report of the Department of Antiquities, Cyprus:323-45</w:t>
      </w:r>
    </w:p>
    <w:p w14:paraId="274A3C54" w14:textId="77777777" w:rsidR="00FE52B4" w:rsidRPr="009F1F9A" w:rsidRDefault="00FE52B4" w:rsidP="009F1F9A">
      <w:pPr>
        <w:pStyle w:val="NormalWeb"/>
        <w:spacing w:line="480" w:lineRule="auto"/>
        <w:contextualSpacing/>
        <w:jc w:val="both"/>
        <w:rPr>
          <w:lang w:val="en-GB"/>
        </w:rPr>
      </w:pPr>
    </w:p>
    <w:p w14:paraId="65F92CB1" w14:textId="77777777" w:rsidR="00FE52B4" w:rsidRPr="009F1F9A" w:rsidRDefault="00FE52B4" w:rsidP="009F1F9A">
      <w:pPr>
        <w:pStyle w:val="NormalWeb"/>
        <w:spacing w:line="480" w:lineRule="auto"/>
        <w:contextualSpacing/>
        <w:jc w:val="both"/>
        <w:rPr>
          <w:lang w:val="en-GB"/>
        </w:rPr>
      </w:pPr>
      <w:r w:rsidRPr="009F1F9A">
        <w:rPr>
          <w:lang w:val="en-GB"/>
        </w:rPr>
        <w:t>Waksman SY (2014) Archaeometric approaches to ceramic production and imports in medieval Cyprus. In: Papanikola-Bakirtzi D, Coureas N (ed) Cypriot Medieval Ceramics: Reconsiderations and New Perspectives. The A.G. Leventis Foundation, Nicosia, pp 257-78</w:t>
      </w:r>
    </w:p>
    <w:p w14:paraId="23347BC3" w14:textId="77777777" w:rsidR="00FE52B4" w:rsidRPr="009F1F9A" w:rsidRDefault="00FE52B4" w:rsidP="009F1F9A">
      <w:pPr>
        <w:pStyle w:val="NormalWeb"/>
        <w:spacing w:line="480" w:lineRule="auto"/>
        <w:contextualSpacing/>
        <w:jc w:val="both"/>
        <w:rPr>
          <w:color w:val="000000" w:themeColor="text1"/>
          <w:lang w:val="en-GB"/>
        </w:rPr>
      </w:pPr>
    </w:p>
    <w:p w14:paraId="2F7CAC2D" w14:textId="77777777" w:rsidR="00FE52B4" w:rsidRPr="009F1F9A" w:rsidRDefault="00FE52B4" w:rsidP="009F1F9A">
      <w:pPr>
        <w:pStyle w:val="NormalWeb"/>
        <w:spacing w:line="480" w:lineRule="auto"/>
        <w:contextualSpacing/>
        <w:jc w:val="both"/>
        <w:rPr>
          <w:color w:val="000000" w:themeColor="text1"/>
          <w:lang w:val="en-GB"/>
        </w:rPr>
      </w:pPr>
      <w:r w:rsidRPr="009F1F9A">
        <w:rPr>
          <w:color w:val="000000" w:themeColor="text1"/>
          <w:lang w:val="en-GB"/>
        </w:rPr>
        <w:t>Waksman Y, von Wartburg M.-L. (2006) ‘Fine-sgraffito ware’, ‘Aegean ware’, and other wares: New evidence for a major production of Byzantine ceramics. Reports of the Department of Antiquities Cyprus:368-88</w:t>
      </w:r>
    </w:p>
    <w:p w14:paraId="5CE606FF" w14:textId="77777777" w:rsidR="00FE52B4" w:rsidRPr="009F1F9A" w:rsidRDefault="00FE52B4" w:rsidP="009F1F9A">
      <w:pPr>
        <w:pStyle w:val="NormalWeb"/>
        <w:spacing w:line="480" w:lineRule="auto"/>
        <w:contextualSpacing/>
        <w:jc w:val="both"/>
        <w:rPr>
          <w:color w:val="000000" w:themeColor="text1"/>
          <w:lang w:val="en-GB"/>
        </w:rPr>
      </w:pPr>
    </w:p>
    <w:p w14:paraId="7FA75DDE" w14:textId="77777777" w:rsidR="00FE52B4" w:rsidRPr="009F1F9A" w:rsidRDefault="00FE52B4" w:rsidP="009F1F9A">
      <w:pPr>
        <w:pStyle w:val="NormalWeb"/>
        <w:spacing w:line="480" w:lineRule="auto"/>
        <w:contextualSpacing/>
        <w:jc w:val="both"/>
        <w:rPr>
          <w:color w:val="000000" w:themeColor="text1"/>
          <w:lang w:val="en-GB"/>
        </w:rPr>
      </w:pPr>
      <w:r w:rsidRPr="009F1F9A">
        <w:rPr>
          <w:color w:val="000000" w:themeColor="text1"/>
          <w:lang w:val="en-GB"/>
        </w:rPr>
        <w:t>Walker BJ (2009) Identifying the Late Islamic period ceramically: preliminary observations on Ottoman wares from Central and Northern Jordan. In: Walker BJ (ed) Reflections of Empires: Archaeological and Ethnographic Studies on the Pottery of the Ottoman Levant. The American Schools of Oriental Research, Massachusetts, pp 37-65</w:t>
      </w:r>
    </w:p>
    <w:p w14:paraId="52C909CE" w14:textId="77777777" w:rsidR="00FE52B4" w:rsidRPr="009F1F9A" w:rsidRDefault="00FE52B4" w:rsidP="009F1F9A">
      <w:pPr>
        <w:pStyle w:val="NormalWeb"/>
        <w:spacing w:line="480" w:lineRule="auto"/>
        <w:contextualSpacing/>
        <w:jc w:val="both"/>
        <w:rPr>
          <w:color w:val="000000" w:themeColor="text1"/>
          <w:lang w:val="en-GB"/>
        </w:rPr>
      </w:pPr>
    </w:p>
    <w:p w14:paraId="0589FCEE" w14:textId="77777777" w:rsidR="00FE52B4" w:rsidRPr="009F1F9A" w:rsidRDefault="00FE52B4" w:rsidP="009F1F9A">
      <w:pPr>
        <w:pStyle w:val="NormalWeb"/>
        <w:spacing w:line="480" w:lineRule="auto"/>
        <w:contextualSpacing/>
        <w:jc w:val="both"/>
        <w:rPr>
          <w:color w:val="000000" w:themeColor="text1"/>
          <w:lang w:val="en-GB"/>
        </w:rPr>
      </w:pPr>
      <w:r w:rsidRPr="009F1F9A">
        <w:rPr>
          <w:color w:val="000000" w:themeColor="text1"/>
          <w:lang w:val="en-GB"/>
        </w:rPr>
        <w:lastRenderedPageBreak/>
        <w:t>Walton MS, Tite MS (2010) Production technology of Roman lead-glazed pottery and its continuance into Late Antiquity. Archaeometry 52:733-59. https://doi.org/10.1111/j.1475-4754.2009.00506.x</w:t>
      </w:r>
    </w:p>
    <w:p w14:paraId="19B8E8D1" w14:textId="77777777" w:rsidR="00FE52B4" w:rsidRPr="009F1F9A" w:rsidRDefault="00FE52B4" w:rsidP="009F1F9A">
      <w:pPr>
        <w:pStyle w:val="NormalWeb"/>
        <w:spacing w:line="480" w:lineRule="auto"/>
        <w:contextualSpacing/>
        <w:jc w:val="both"/>
        <w:rPr>
          <w:lang w:val="en-GB"/>
        </w:rPr>
      </w:pPr>
    </w:p>
    <w:p w14:paraId="5E2AD09C" w14:textId="77777777" w:rsidR="00B126E0" w:rsidRPr="0063089A" w:rsidRDefault="00B126E0" w:rsidP="00B126E0">
      <w:pPr>
        <w:pStyle w:val="NormalWeb"/>
        <w:spacing w:line="480" w:lineRule="auto"/>
        <w:contextualSpacing/>
        <w:jc w:val="both"/>
        <w:rPr>
          <w:lang w:val="de-DE"/>
        </w:rPr>
      </w:pPr>
      <w:r w:rsidRPr="009F1F9A">
        <w:rPr>
          <w:lang w:val="en-GB"/>
        </w:rPr>
        <w:t xml:space="preserve">Watson O (2014) Revisiting Samarra: The rise of Islamic glazed pottery. </w:t>
      </w:r>
      <w:r w:rsidRPr="0063089A">
        <w:rPr>
          <w:lang w:val="de-DE"/>
        </w:rPr>
        <w:t>In: Gonnella J, Abdellatif R, Struth S (ed) Beiträge zur Islamischen Kunst und Archäologie 4:125-44</w:t>
      </w:r>
    </w:p>
    <w:p w14:paraId="50AA35F3" w14:textId="77777777" w:rsidR="00FE52B4" w:rsidRPr="009F1F9A" w:rsidRDefault="00FE52B4" w:rsidP="009F1F9A">
      <w:pPr>
        <w:pStyle w:val="NormalWeb"/>
        <w:spacing w:line="480" w:lineRule="auto"/>
        <w:contextualSpacing/>
        <w:jc w:val="both"/>
        <w:rPr>
          <w:lang w:val="en-GB"/>
        </w:rPr>
      </w:pPr>
    </w:p>
    <w:p w14:paraId="2CE49A3F" w14:textId="77777777" w:rsidR="00FE52B4" w:rsidRPr="009F1F9A" w:rsidRDefault="00FE52B4" w:rsidP="009F1F9A">
      <w:pPr>
        <w:pStyle w:val="NormalWeb"/>
        <w:spacing w:line="480" w:lineRule="auto"/>
        <w:contextualSpacing/>
        <w:jc w:val="both"/>
        <w:rPr>
          <w:lang w:val="en-GB"/>
        </w:rPr>
      </w:pPr>
      <w:r w:rsidRPr="009F1F9A">
        <w:rPr>
          <w:lang w:val="en-GB"/>
        </w:rPr>
        <w:t>White HE (2009) An Investigation of Production Technologies of Byzantine Glazed Pottery from Corinth, Greece in the 11</w:t>
      </w:r>
      <w:r w:rsidRPr="009F1F9A">
        <w:rPr>
          <w:vertAlign w:val="superscript"/>
          <w:lang w:val="en-GB"/>
        </w:rPr>
        <w:t>th</w:t>
      </w:r>
      <w:r w:rsidRPr="009F1F9A">
        <w:rPr>
          <w:lang w:val="en-GB"/>
        </w:rPr>
        <w:t xml:space="preserve"> to 13</w:t>
      </w:r>
      <w:r w:rsidRPr="009F1F9A">
        <w:rPr>
          <w:vertAlign w:val="superscript"/>
          <w:lang w:val="en-GB"/>
        </w:rPr>
        <w:t>th</w:t>
      </w:r>
      <w:r w:rsidRPr="009F1F9A">
        <w:rPr>
          <w:lang w:val="en-GB"/>
        </w:rPr>
        <w:t xml:space="preserve"> Centuries. Dissertation, University of Sheffield</w:t>
      </w:r>
    </w:p>
    <w:p w14:paraId="58FE3D19" w14:textId="77777777" w:rsidR="00FE52B4" w:rsidRPr="009F1F9A" w:rsidRDefault="00FE52B4" w:rsidP="009F1F9A">
      <w:pPr>
        <w:pStyle w:val="NormalWeb"/>
        <w:spacing w:line="480" w:lineRule="auto"/>
        <w:contextualSpacing/>
        <w:jc w:val="both"/>
        <w:rPr>
          <w:color w:val="000000" w:themeColor="text1"/>
          <w:lang w:val="en-GB"/>
        </w:rPr>
      </w:pPr>
    </w:p>
    <w:p w14:paraId="5FBE1F3B" w14:textId="0E2C7BD8" w:rsidR="00FE52B4" w:rsidRPr="009F1F9A" w:rsidRDefault="00FE52B4" w:rsidP="009F1F9A">
      <w:pPr>
        <w:pStyle w:val="NormalWeb"/>
        <w:spacing w:line="480" w:lineRule="auto"/>
        <w:contextualSpacing/>
        <w:jc w:val="both"/>
        <w:rPr>
          <w:color w:val="000000" w:themeColor="text1"/>
          <w:lang w:val="en-GB"/>
        </w:rPr>
      </w:pPr>
      <w:r w:rsidRPr="009F1F9A">
        <w:rPr>
          <w:color w:val="000000" w:themeColor="text1"/>
          <w:lang w:val="en-GB"/>
        </w:rPr>
        <w:t>Wyttenbach A, Schubiger PA (1973) Trace element content of Roman lead by neutron activation analysis. Archaeometry 15:199-207. https://doi.org/10.1111/j.1475-4754.1973.tb00090.x</w:t>
      </w:r>
    </w:p>
    <w:p w14:paraId="3071095A" w14:textId="77777777" w:rsidR="00FE52B4" w:rsidRPr="009F1F9A" w:rsidRDefault="00FE52B4" w:rsidP="009F1F9A">
      <w:pPr>
        <w:pStyle w:val="NormalWeb"/>
        <w:spacing w:line="480" w:lineRule="auto"/>
        <w:contextualSpacing/>
        <w:jc w:val="both"/>
        <w:rPr>
          <w:b/>
          <w:lang w:val="en-GB"/>
        </w:rPr>
      </w:pPr>
    </w:p>
    <w:p w14:paraId="5E493732" w14:textId="77777777" w:rsidR="00FE52B4" w:rsidRPr="009F1F9A" w:rsidRDefault="00D1362C" w:rsidP="009F1F9A">
      <w:pPr>
        <w:pStyle w:val="NormalWeb"/>
        <w:spacing w:line="480" w:lineRule="auto"/>
        <w:contextualSpacing/>
        <w:jc w:val="both"/>
        <w:rPr>
          <w:b/>
          <w:lang w:val="en-GB"/>
        </w:rPr>
      </w:pPr>
      <w:r w:rsidRPr="009F1F9A">
        <w:rPr>
          <w:b/>
          <w:lang w:val="en-GB"/>
        </w:rPr>
        <w:t>Figure captions</w:t>
      </w:r>
    </w:p>
    <w:p w14:paraId="65CCE42D" w14:textId="77777777" w:rsidR="00FE52B4" w:rsidRPr="009F1F9A" w:rsidRDefault="00D1362C" w:rsidP="009F1F9A">
      <w:pPr>
        <w:pStyle w:val="NormalWeb"/>
        <w:spacing w:line="480" w:lineRule="auto"/>
        <w:contextualSpacing/>
        <w:jc w:val="both"/>
        <w:rPr>
          <w:lang w:val="en-GB"/>
        </w:rPr>
      </w:pPr>
      <w:r w:rsidRPr="009F1F9A">
        <w:rPr>
          <w:b/>
          <w:lang w:val="en-GB"/>
        </w:rPr>
        <w:t>Fig. 1</w:t>
      </w:r>
      <w:r w:rsidRPr="009F1F9A">
        <w:rPr>
          <w:lang w:val="en-GB"/>
        </w:rPr>
        <w:t xml:space="preserve"> Selected glazed ware samples that are representative of each site. Reproduced at different scales</w:t>
      </w:r>
    </w:p>
    <w:p w14:paraId="2C1CCF43" w14:textId="77777777" w:rsidR="00FE52B4" w:rsidRPr="009F1F9A" w:rsidRDefault="00FE52B4" w:rsidP="009F1F9A">
      <w:pPr>
        <w:pStyle w:val="NormalWeb"/>
        <w:spacing w:line="480" w:lineRule="auto"/>
        <w:contextualSpacing/>
        <w:jc w:val="both"/>
        <w:rPr>
          <w:b/>
          <w:lang w:val="en-GB"/>
        </w:rPr>
      </w:pPr>
    </w:p>
    <w:p w14:paraId="7B968225" w14:textId="380EB9DE" w:rsidR="008D758C" w:rsidRDefault="008D758C" w:rsidP="008D758C">
      <w:pPr>
        <w:spacing w:line="480" w:lineRule="auto"/>
        <w:jc w:val="both"/>
        <w:rPr>
          <w:rFonts w:eastAsia="Times New Roman" w:cs="Times New Roman"/>
          <w:lang w:val="en-HK"/>
        </w:rPr>
      </w:pPr>
      <w:r w:rsidRPr="00BD5C00">
        <w:rPr>
          <w:rFonts w:cs="Times New Roman"/>
          <w:b/>
          <w:lang w:val="en-GB"/>
        </w:rPr>
        <w:t>Fig. 2</w:t>
      </w:r>
      <w:r w:rsidRPr="00BD5C00">
        <w:rPr>
          <w:rFonts w:cs="Times New Roman"/>
          <w:lang w:val="en-GB"/>
        </w:rPr>
        <w:t xml:space="preserve"> Map of Cyprus showing the sites mentioned in the text, produced with the digital geological data provided by the Cyprus Geological Survey. The DMS coordinates of the excavated sites are </w:t>
      </w:r>
      <w:r w:rsidRPr="00BD5C00">
        <w:rPr>
          <w:rFonts w:eastAsia="Times New Roman" w:cs="Times New Roman"/>
          <w:color w:val="000000"/>
          <w:shd w:val="clear" w:color="auto" w:fill="FFFFFF"/>
          <w:lang w:val="en-HK"/>
        </w:rPr>
        <w:t>35°09'58.8"N and 33°21'18.9"E for Agios Georgios Hill, 35°10'13.9"N and 33°22'15.6"E for Vitonos Street, and 34</w:t>
      </w:r>
      <w:r w:rsidRPr="00BD5C00">
        <w:rPr>
          <w:rFonts w:eastAsia="Times New Roman" w:cs="Times New Roman"/>
          <w:color w:val="000000"/>
          <w:bdr w:val="none" w:sz="0" w:space="0" w:color="auto" w:frame="1"/>
          <w:shd w:val="clear" w:color="auto" w:fill="FFFFFF"/>
          <w:lang w:val="en-HK"/>
        </w:rPr>
        <w:t xml:space="preserve">°45'39.50''N and 32°24'51.27''E for Paphos Theatre. </w:t>
      </w:r>
      <w:r>
        <w:rPr>
          <w:rFonts w:eastAsia="Times New Roman" w:cs="Times New Roman"/>
          <w:color w:val="000000"/>
          <w:bdr w:val="none" w:sz="0" w:space="0" w:color="auto" w:frame="1"/>
          <w:shd w:val="clear" w:color="auto" w:fill="FFFFFF"/>
          <w:lang w:val="en-HK"/>
        </w:rPr>
        <w:t xml:space="preserve">Noteworthy is that Agios Georgios Hill and Vitonos Street are represented in the map as ‘Nicosia’, given the close proximity of these two sites. </w:t>
      </w:r>
      <w:r w:rsidRPr="00BD5C00">
        <w:rPr>
          <w:rFonts w:eastAsia="Times New Roman" w:cs="Times New Roman"/>
          <w:color w:val="000000"/>
          <w:bdr w:val="none" w:sz="0" w:space="0" w:color="auto" w:frame="1"/>
          <w:shd w:val="clear" w:color="auto" w:fill="FFFFFF"/>
          <w:lang w:val="en-HK"/>
        </w:rPr>
        <w:t>The DMS coordinates of the surveyed sites are taken after the locations of the church in the area, which are</w:t>
      </w:r>
      <w:r>
        <w:rPr>
          <w:rFonts w:eastAsia="Times New Roman" w:cs="Times New Roman"/>
          <w:color w:val="000000"/>
          <w:bdr w:val="none" w:sz="0" w:space="0" w:color="auto" w:frame="1"/>
          <w:shd w:val="clear" w:color="auto" w:fill="FFFFFF"/>
          <w:lang w:val="en-HK"/>
        </w:rPr>
        <w:t xml:space="preserve"> </w:t>
      </w:r>
      <w:r w:rsidRPr="00BD5C00">
        <w:rPr>
          <w:rFonts w:eastAsia="Times New Roman" w:cs="Times New Roman"/>
          <w:color w:val="000000"/>
          <w:shd w:val="clear" w:color="auto" w:fill="FFFFFF"/>
          <w:lang w:val="en-HK"/>
        </w:rPr>
        <w:t>34</w:t>
      </w:r>
      <w:r w:rsidRPr="00BD5C00">
        <w:rPr>
          <w:rFonts w:eastAsia="Times New Roman" w:cs="Times New Roman"/>
          <w:color w:val="000000"/>
          <w:bdr w:val="none" w:sz="0" w:space="0" w:color="auto" w:frame="1"/>
          <w:shd w:val="clear" w:color="auto" w:fill="FFFFFF"/>
          <w:lang w:val="en-HK"/>
        </w:rPr>
        <w:t xml:space="preserve">°49'33.68''N and </w:t>
      </w:r>
      <w:r w:rsidRPr="00BD5C00">
        <w:rPr>
          <w:rFonts w:eastAsia="Times New Roman" w:cs="Times New Roman"/>
          <w:color w:val="000000"/>
          <w:bdr w:val="none" w:sz="0" w:space="0" w:color="auto" w:frame="1"/>
          <w:shd w:val="clear" w:color="auto" w:fill="FFFFFF"/>
          <w:lang w:val="en-HK"/>
        </w:rPr>
        <w:lastRenderedPageBreak/>
        <w:t xml:space="preserve">33°24'15.15''E for </w:t>
      </w:r>
      <w:r>
        <w:rPr>
          <w:rFonts w:eastAsia="Times New Roman" w:cs="Times New Roman"/>
          <w:color w:val="000000"/>
          <w:bdr w:val="none" w:sz="0" w:space="0" w:color="auto" w:frame="1"/>
          <w:shd w:val="clear" w:color="auto" w:fill="FFFFFF"/>
          <w:lang w:val="en-HK"/>
        </w:rPr>
        <w:t xml:space="preserve">the </w:t>
      </w:r>
      <w:r w:rsidRPr="00BD5C00">
        <w:rPr>
          <w:rFonts w:eastAsia="Times New Roman" w:cs="Times New Roman"/>
          <w:color w:val="000000"/>
          <w:bdr w:val="none" w:sz="0" w:space="0" w:color="auto" w:frame="1"/>
          <w:shd w:val="clear" w:color="auto" w:fill="FFFFFF"/>
          <w:lang w:val="en-HK"/>
        </w:rPr>
        <w:t xml:space="preserve">Kofinou Church of Panagia Odigitria, and </w:t>
      </w:r>
      <w:r w:rsidRPr="00BD5C00">
        <w:rPr>
          <w:rFonts w:eastAsia="Times New Roman" w:cs="Times New Roman"/>
          <w:color w:val="000000"/>
          <w:shd w:val="clear" w:color="auto" w:fill="FFFFFF"/>
          <w:lang w:val="en-HK"/>
        </w:rPr>
        <w:t>35</w:t>
      </w:r>
      <w:r w:rsidRPr="00BD5C00">
        <w:rPr>
          <w:rFonts w:eastAsia="Times New Roman" w:cs="Times New Roman"/>
          <w:color w:val="000000"/>
          <w:bdr w:val="none" w:sz="0" w:space="0" w:color="auto" w:frame="1"/>
          <w:shd w:val="clear" w:color="auto" w:fill="FFFFFF"/>
          <w:lang w:val="en-HK"/>
        </w:rPr>
        <w:t xml:space="preserve">°03'54.55''N and 33°26'20.18''E for Potamia-Agios Sozomenos. Lapithos, Kyrenia, and Famagusta are also mentioned in the text, although the exact sites of production </w:t>
      </w:r>
      <w:r>
        <w:rPr>
          <w:rFonts w:eastAsia="Times New Roman" w:cs="Times New Roman"/>
          <w:color w:val="000000"/>
          <w:bdr w:val="none" w:sz="0" w:space="0" w:color="auto" w:frame="1"/>
          <w:shd w:val="clear" w:color="auto" w:fill="FFFFFF"/>
          <w:lang w:val="en-HK"/>
        </w:rPr>
        <w:t xml:space="preserve">in these areas </w:t>
      </w:r>
      <w:r w:rsidRPr="00BD5C00">
        <w:rPr>
          <w:rFonts w:eastAsia="Times New Roman" w:cs="Times New Roman"/>
          <w:color w:val="000000"/>
          <w:bdr w:val="none" w:sz="0" w:space="0" w:color="auto" w:frame="1"/>
          <w:shd w:val="clear" w:color="auto" w:fill="FFFFFF"/>
          <w:lang w:val="en-HK"/>
        </w:rPr>
        <w:t xml:space="preserve">are yet to be found. The coordinates </w:t>
      </w:r>
      <w:r>
        <w:rPr>
          <w:rFonts w:eastAsia="Times New Roman" w:cs="Times New Roman"/>
          <w:color w:val="000000"/>
          <w:bdr w:val="none" w:sz="0" w:space="0" w:color="auto" w:frame="1"/>
          <w:shd w:val="clear" w:color="auto" w:fill="FFFFFF"/>
          <w:lang w:val="en-HK"/>
        </w:rPr>
        <w:t>f</w:t>
      </w:r>
      <w:r w:rsidRPr="00BD5C00">
        <w:rPr>
          <w:rFonts w:eastAsia="Times New Roman" w:cs="Times New Roman"/>
          <w:color w:val="000000"/>
          <w:bdr w:val="none" w:sz="0" w:space="0" w:color="auto" w:frame="1"/>
          <w:shd w:val="clear" w:color="auto" w:fill="FFFFFF"/>
          <w:lang w:val="en-HK"/>
        </w:rPr>
        <w:t xml:space="preserve">or these sites are based on the location of modern towns: </w:t>
      </w:r>
      <w:r w:rsidRPr="00BD5C00">
        <w:rPr>
          <w:rFonts w:cs="Times New Roman"/>
          <w:lang w:val="en-GB"/>
        </w:rPr>
        <w:t>35</w:t>
      </w:r>
      <w:r w:rsidRPr="00BD5C00">
        <w:rPr>
          <w:rFonts w:cs="Times New Roman"/>
          <w:vertAlign w:val="superscript"/>
          <w:lang w:val="en-GB"/>
        </w:rPr>
        <w:t>o</w:t>
      </w:r>
      <w:r w:rsidRPr="00BD5C00">
        <w:rPr>
          <w:rFonts w:cs="Times New Roman"/>
          <w:lang w:val="en-GB"/>
        </w:rPr>
        <w:t>24’55’’N and 33</w:t>
      </w:r>
      <w:r w:rsidRPr="00BD5C00">
        <w:rPr>
          <w:rFonts w:cs="Times New Roman"/>
          <w:vertAlign w:val="superscript"/>
          <w:lang w:val="en-GB"/>
        </w:rPr>
        <w:t>o</w:t>
      </w:r>
      <w:r w:rsidRPr="00BD5C00">
        <w:rPr>
          <w:rFonts w:cs="Times New Roman"/>
          <w:lang w:val="en-GB"/>
        </w:rPr>
        <w:t>36’66’’E for Lapithos, 35</w:t>
      </w:r>
      <w:r w:rsidRPr="00BD5C00">
        <w:rPr>
          <w:rFonts w:cs="Times New Roman"/>
          <w:vertAlign w:val="superscript"/>
          <w:lang w:val="en-GB"/>
        </w:rPr>
        <w:t>o</w:t>
      </w:r>
      <w:r w:rsidRPr="00BD5C00">
        <w:rPr>
          <w:rFonts w:cs="Times New Roman"/>
          <w:lang w:val="en-GB"/>
        </w:rPr>
        <w:t>14’10’’N and 33</w:t>
      </w:r>
      <w:r w:rsidRPr="00BD5C00">
        <w:rPr>
          <w:rFonts w:cs="Times New Roman"/>
          <w:vertAlign w:val="superscript"/>
          <w:lang w:val="en-GB"/>
        </w:rPr>
        <w:t>o</w:t>
      </w:r>
      <w:r w:rsidRPr="00BD5C00">
        <w:rPr>
          <w:rFonts w:cs="Times New Roman"/>
          <w:lang w:val="en-GB"/>
        </w:rPr>
        <w:t>35’24’’E for Kyrenia, 35</w:t>
      </w:r>
      <w:r w:rsidRPr="00BD5C00">
        <w:rPr>
          <w:rFonts w:cs="Times New Roman"/>
          <w:vertAlign w:val="superscript"/>
          <w:lang w:val="en-GB"/>
        </w:rPr>
        <w:t>o</w:t>
      </w:r>
      <w:r w:rsidRPr="00BD5C00">
        <w:rPr>
          <w:rFonts w:cs="Times New Roman"/>
          <w:lang w:val="en-GB"/>
        </w:rPr>
        <w:t>10’29’’N 35</w:t>
      </w:r>
      <w:r w:rsidRPr="00BD5C00">
        <w:rPr>
          <w:rFonts w:cs="Times New Roman"/>
          <w:vertAlign w:val="superscript"/>
          <w:lang w:val="en-GB"/>
        </w:rPr>
        <w:t>o</w:t>
      </w:r>
      <w:r w:rsidRPr="00BD5C00">
        <w:rPr>
          <w:rFonts w:cs="Times New Roman"/>
          <w:lang w:val="en-GB"/>
        </w:rPr>
        <w:t>10’18’’N and 34</w:t>
      </w:r>
      <w:r w:rsidRPr="00BD5C00">
        <w:rPr>
          <w:rFonts w:cs="Times New Roman"/>
          <w:vertAlign w:val="superscript"/>
          <w:lang w:val="en-GB"/>
        </w:rPr>
        <w:t>o</w:t>
      </w:r>
      <w:r w:rsidRPr="00BD5C00">
        <w:rPr>
          <w:rFonts w:cs="Times New Roman"/>
          <w:lang w:val="en-GB"/>
        </w:rPr>
        <w:t>8’22’’E for Famagusta</w:t>
      </w:r>
    </w:p>
    <w:p w14:paraId="53D89D13" w14:textId="77777777" w:rsidR="008D758C" w:rsidRPr="00BD5C00" w:rsidRDefault="008D758C" w:rsidP="008D758C">
      <w:pPr>
        <w:spacing w:line="480" w:lineRule="auto"/>
        <w:jc w:val="both"/>
        <w:rPr>
          <w:rFonts w:eastAsia="Times New Roman" w:cs="Times New Roman"/>
          <w:lang w:val="en-HK"/>
        </w:rPr>
      </w:pPr>
    </w:p>
    <w:p w14:paraId="4449813E" w14:textId="77777777" w:rsidR="008D758C" w:rsidRDefault="00D1362C" w:rsidP="008D758C">
      <w:pPr>
        <w:spacing w:line="480" w:lineRule="auto"/>
        <w:jc w:val="both"/>
        <w:rPr>
          <w:lang w:val="en-GB"/>
        </w:rPr>
      </w:pPr>
      <w:r w:rsidRPr="009F1F9A">
        <w:rPr>
          <w:b/>
          <w:lang w:val="en-GB"/>
        </w:rPr>
        <w:t>Fig. 3</w:t>
      </w:r>
      <w:r w:rsidRPr="009F1F9A">
        <w:rPr>
          <w:lang w:val="en-GB"/>
        </w:rPr>
        <w:t xml:space="preserve"> The </w:t>
      </w:r>
      <w:r w:rsidRPr="00835D62">
        <w:rPr>
          <w:i/>
          <w:lang w:val="en-GB"/>
        </w:rPr>
        <w:t>chaîne opératoire</w:t>
      </w:r>
      <w:r w:rsidRPr="009F1F9A">
        <w:rPr>
          <w:lang w:val="en-GB"/>
        </w:rPr>
        <w:t xml:space="preserve"> of glazed ware production. Steps in box with dashed line are optional</w:t>
      </w:r>
    </w:p>
    <w:p w14:paraId="5C06C33E" w14:textId="77777777" w:rsidR="008D758C" w:rsidRDefault="008D758C" w:rsidP="008D758C">
      <w:pPr>
        <w:spacing w:line="480" w:lineRule="auto"/>
        <w:jc w:val="both"/>
        <w:rPr>
          <w:b/>
          <w:lang w:val="en-GB"/>
        </w:rPr>
      </w:pPr>
    </w:p>
    <w:p w14:paraId="03B2B5FA" w14:textId="77777777" w:rsidR="008D758C" w:rsidRDefault="0021214C" w:rsidP="008D758C">
      <w:pPr>
        <w:spacing w:line="480" w:lineRule="auto"/>
        <w:jc w:val="both"/>
        <w:rPr>
          <w:lang w:val="en-GB"/>
        </w:rPr>
      </w:pPr>
      <w:r w:rsidRPr="009F1F9A">
        <w:rPr>
          <w:b/>
          <w:lang w:val="en-GB"/>
        </w:rPr>
        <w:t>Fig. 4</w:t>
      </w:r>
      <w:r w:rsidRPr="009F1F9A">
        <w:rPr>
          <w:lang w:val="en-GB"/>
        </w:rPr>
        <w:t xml:space="preserve"> Photomicrographs showing the fabric of (a) the Amphibole-Serpentine Group (Paphos production), (b) the Micaceous Group (Lapithos production), and (c) the Mixed Carbonate Group (Famagusta production). All photomicrographs were taken in cross polarisation at x50 magnification</w:t>
      </w:r>
    </w:p>
    <w:p w14:paraId="4DB5B45B" w14:textId="77777777" w:rsidR="008D758C" w:rsidRDefault="008D758C" w:rsidP="008D758C">
      <w:pPr>
        <w:spacing w:line="480" w:lineRule="auto"/>
        <w:jc w:val="both"/>
        <w:rPr>
          <w:b/>
          <w:lang w:val="en-GB"/>
        </w:rPr>
      </w:pPr>
    </w:p>
    <w:p w14:paraId="32E72C04" w14:textId="77777777" w:rsidR="008D758C" w:rsidRDefault="0081522A" w:rsidP="008D758C">
      <w:pPr>
        <w:spacing w:line="480" w:lineRule="auto"/>
        <w:jc w:val="both"/>
        <w:rPr>
          <w:lang w:val="en-GB"/>
        </w:rPr>
      </w:pPr>
      <w:r w:rsidRPr="009F1F9A">
        <w:rPr>
          <w:b/>
          <w:lang w:val="en-GB"/>
        </w:rPr>
        <w:t>Fig. 5</w:t>
      </w:r>
      <w:r w:rsidRPr="009F1F9A">
        <w:rPr>
          <w:lang w:val="en-GB"/>
        </w:rPr>
        <w:t xml:space="preserve"> BSE images showing the different microstructures exhibited by (a) the paint of a biscuit-fired slip-painted sample (PT23) of the Amphibole-Serpentine Group (Paphos production), </w:t>
      </w:r>
      <w:r w:rsidR="00B05583" w:rsidRPr="009F1F9A">
        <w:rPr>
          <w:lang w:val="en-GB"/>
        </w:rPr>
        <w:t>(</w:t>
      </w:r>
      <w:r w:rsidR="00B05583">
        <w:rPr>
          <w:lang w:val="en-GB"/>
        </w:rPr>
        <w:t>b</w:t>
      </w:r>
      <w:r w:rsidR="00B05583" w:rsidRPr="009F1F9A">
        <w:rPr>
          <w:lang w:val="en-GB"/>
        </w:rPr>
        <w:t>) the paint of a biscuit-fired brown-painted sample (PS17) of the Micaceous Group (Lapithos production)</w:t>
      </w:r>
      <w:r w:rsidRPr="009F1F9A">
        <w:rPr>
          <w:lang w:val="en-GB"/>
        </w:rPr>
        <w:t xml:space="preserve">, and </w:t>
      </w:r>
      <w:r w:rsidR="00B05583" w:rsidRPr="009F1F9A">
        <w:rPr>
          <w:lang w:val="en-GB"/>
        </w:rPr>
        <w:t>(</w:t>
      </w:r>
      <w:r w:rsidR="00B05583">
        <w:rPr>
          <w:lang w:val="en-GB"/>
        </w:rPr>
        <w:t>c</w:t>
      </w:r>
      <w:r w:rsidR="00B05583" w:rsidRPr="009F1F9A">
        <w:rPr>
          <w:lang w:val="en-GB"/>
        </w:rPr>
        <w:t>) the presence of an iron-rich slip and paint of the slip-painted sample (PS11) of the Mixed Carbonate Group (Famagusta production)</w:t>
      </w:r>
      <w:r w:rsidR="00B05583" w:rsidRPr="009F1F9A" w:rsidDel="00B05583">
        <w:rPr>
          <w:lang w:val="en-GB"/>
        </w:rPr>
        <w:t xml:space="preserve"> </w:t>
      </w:r>
    </w:p>
    <w:p w14:paraId="643E4B19" w14:textId="77777777" w:rsidR="008D758C" w:rsidRDefault="008D758C" w:rsidP="008D758C">
      <w:pPr>
        <w:spacing w:line="480" w:lineRule="auto"/>
        <w:jc w:val="both"/>
        <w:rPr>
          <w:b/>
          <w:lang w:val="en-GB"/>
        </w:rPr>
      </w:pPr>
    </w:p>
    <w:p w14:paraId="2C4A9CBB" w14:textId="77777777" w:rsidR="008D758C" w:rsidRDefault="002A2D83" w:rsidP="008D758C">
      <w:pPr>
        <w:spacing w:line="480" w:lineRule="auto"/>
        <w:jc w:val="both"/>
        <w:rPr>
          <w:lang w:val="en-GB"/>
        </w:rPr>
      </w:pPr>
      <w:r w:rsidRPr="009F1F9A">
        <w:rPr>
          <w:b/>
          <w:lang w:val="en-GB"/>
        </w:rPr>
        <w:t>Fig. 6</w:t>
      </w:r>
      <w:r w:rsidRPr="009F1F9A">
        <w:rPr>
          <w:lang w:val="en-GB"/>
        </w:rPr>
        <w:t xml:space="preserve"> BSE images showing the textural variation of the slip of the sgraffito samples (a) PS04, (b) PS06, and (c) KF04 of the Micaceous Group (Lapithos production), and (d) the quartz-laden slip specific to the white-slipped sample (VS03) of the Mixed Carbonate Group (Famagusta production)</w:t>
      </w:r>
    </w:p>
    <w:p w14:paraId="48908B9A" w14:textId="77777777" w:rsidR="008D758C" w:rsidRDefault="008D758C" w:rsidP="008D758C">
      <w:pPr>
        <w:spacing w:line="480" w:lineRule="auto"/>
        <w:jc w:val="both"/>
        <w:rPr>
          <w:b/>
          <w:lang w:val="en-GB"/>
        </w:rPr>
      </w:pPr>
    </w:p>
    <w:p w14:paraId="7D3C7E8A" w14:textId="77777777" w:rsidR="008D758C" w:rsidRPr="008D758C" w:rsidRDefault="000D06B7" w:rsidP="008D758C">
      <w:pPr>
        <w:spacing w:line="480" w:lineRule="auto"/>
        <w:jc w:val="both"/>
        <w:rPr>
          <w:lang w:val="en-GB"/>
        </w:rPr>
      </w:pPr>
      <w:r w:rsidRPr="009F1F9A">
        <w:rPr>
          <w:b/>
          <w:lang w:val="en-GB"/>
        </w:rPr>
        <w:t>Fig. 7</w:t>
      </w:r>
      <w:r w:rsidR="00CC7B8B" w:rsidRPr="009F1F9A">
        <w:rPr>
          <w:lang w:val="en-GB"/>
        </w:rPr>
        <w:t xml:space="preserve"> BSE images showing the presence of</w:t>
      </w:r>
      <w:r w:rsidR="001C78DB">
        <w:rPr>
          <w:lang w:val="en-GB"/>
        </w:rPr>
        <w:t xml:space="preserve"> </w:t>
      </w:r>
      <w:r w:rsidR="001C78DB" w:rsidRPr="009F1F9A">
        <w:rPr>
          <w:lang w:val="en-GB"/>
        </w:rPr>
        <w:t>(</w:t>
      </w:r>
      <w:r w:rsidR="001C78DB">
        <w:rPr>
          <w:lang w:val="en-GB"/>
        </w:rPr>
        <w:t>a</w:t>
      </w:r>
      <w:r w:rsidR="001C78DB" w:rsidRPr="009F1F9A">
        <w:rPr>
          <w:lang w:val="en-GB"/>
        </w:rPr>
        <w:t>) a few microcrystallites rich in lead and tin oxides in the glaze of sgraffito (PS03) of the Micaceous Group (Lapithos production)</w:t>
      </w:r>
      <w:r w:rsidR="001C78DB">
        <w:rPr>
          <w:lang w:val="en-GB"/>
        </w:rPr>
        <w:t>,</w:t>
      </w:r>
      <w:r w:rsidR="00CC7B8B" w:rsidRPr="009F1F9A">
        <w:rPr>
          <w:lang w:val="en-GB"/>
        </w:rPr>
        <w:t xml:space="preserve"> (</w:t>
      </w:r>
      <w:r w:rsidR="001C78DB">
        <w:rPr>
          <w:lang w:val="en-GB"/>
        </w:rPr>
        <w:t>b</w:t>
      </w:r>
      <w:r w:rsidR="00CC7B8B" w:rsidRPr="009F1F9A">
        <w:rPr>
          <w:lang w:val="en-GB"/>
        </w:rPr>
        <w:t>) needle-like microcrystallites rich in alumina, silica and lead oxide and equant microcrystallites rich in lime and silica in the glaze of the green-painted sample (PS15) of the Micaceous Group (Lapithos production), (</w:t>
      </w:r>
      <w:r w:rsidR="001C78DB">
        <w:rPr>
          <w:lang w:val="en-GB"/>
        </w:rPr>
        <w:t>c</w:t>
      </w:r>
      <w:r w:rsidR="00CC7B8B" w:rsidRPr="009F1F9A">
        <w:rPr>
          <w:lang w:val="en-GB"/>
        </w:rPr>
        <w:t>) a thick interaction layer and microcrystallites rich in lead</w:t>
      </w:r>
      <w:r w:rsidR="00835D62">
        <w:rPr>
          <w:lang w:val="en-GB"/>
        </w:rPr>
        <w:t xml:space="preserve"> </w:t>
      </w:r>
      <w:r w:rsidR="00CC7B8B" w:rsidRPr="009F1F9A">
        <w:rPr>
          <w:lang w:val="en-GB"/>
        </w:rPr>
        <w:t xml:space="preserve">antimonate in the glaze of the plain glazed sample (KF10) of the Mixed Carbonate Group (Famagusta </w:t>
      </w:r>
      <w:r w:rsidR="00CC7B8B" w:rsidRPr="008D758C">
        <w:rPr>
          <w:lang w:val="en-GB"/>
        </w:rPr>
        <w:t xml:space="preserve">production), </w:t>
      </w:r>
      <w:r w:rsidR="001C78DB" w:rsidRPr="008D758C">
        <w:rPr>
          <w:lang w:val="en-GB"/>
        </w:rPr>
        <w:t xml:space="preserve">and </w:t>
      </w:r>
      <w:r w:rsidR="00CC7B8B" w:rsidRPr="008D758C">
        <w:rPr>
          <w:lang w:val="en-GB"/>
        </w:rPr>
        <w:t>(</w:t>
      </w:r>
      <w:r w:rsidR="001C78DB" w:rsidRPr="008D758C">
        <w:rPr>
          <w:lang w:val="en-GB"/>
        </w:rPr>
        <w:t>d</w:t>
      </w:r>
      <w:r w:rsidR="00CC7B8B" w:rsidRPr="008D758C">
        <w:rPr>
          <w:lang w:val="en-GB"/>
        </w:rPr>
        <w:t>) microcrystallites rich in lead antimonate in the glaze of the bright, yellow plain glazed sample (KF13) of the Mixed Carbonate Group (Famagusta production)</w:t>
      </w:r>
    </w:p>
    <w:p w14:paraId="755B7CD0" w14:textId="77777777" w:rsidR="008D758C" w:rsidRPr="008D758C" w:rsidRDefault="008D758C" w:rsidP="008D758C">
      <w:pPr>
        <w:spacing w:line="480" w:lineRule="auto"/>
        <w:jc w:val="both"/>
        <w:rPr>
          <w:b/>
          <w:lang w:val="en-GB"/>
        </w:rPr>
      </w:pPr>
    </w:p>
    <w:p w14:paraId="21A6DD5B" w14:textId="77777777" w:rsidR="008D758C" w:rsidRPr="008D758C" w:rsidRDefault="00F82A94" w:rsidP="008D758C">
      <w:pPr>
        <w:spacing w:line="480" w:lineRule="auto"/>
        <w:jc w:val="both"/>
        <w:rPr>
          <w:lang w:val="en-GB"/>
        </w:rPr>
      </w:pPr>
      <w:r w:rsidRPr="008D758C">
        <w:rPr>
          <w:b/>
          <w:lang w:val="en-GB"/>
        </w:rPr>
        <w:t>Fig. 8</w:t>
      </w:r>
      <w:r w:rsidRPr="008D758C">
        <w:rPr>
          <w:lang w:val="en-GB"/>
        </w:rPr>
        <w:t xml:space="preserve"> Biplots showing that the glaze of the painted samples of the Micaceous Group (KF08-09, PS12-16) and the plain glazed samples of the Mixed Carbonate Group (AG18, KF10) deviate from other samples by having higher (a) MgO and K</w:t>
      </w:r>
      <w:r w:rsidRPr="008D758C">
        <w:rPr>
          <w:vertAlign w:val="subscript"/>
          <w:lang w:val="en-GB"/>
        </w:rPr>
        <w:t>2</w:t>
      </w:r>
      <w:r w:rsidRPr="008D758C">
        <w:rPr>
          <w:lang w:val="en-GB"/>
        </w:rPr>
        <w:t>O concentration, and (b) Al</w:t>
      </w:r>
      <w:r w:rsidRPr="008D758C">
        <w:rPr>
          <w:vertAlign w:val="subscript"/>
          <w:lang w:val="en-GB"/>
        </w:rPr>
        <w:t>2</w:t>
      </w:r>
      <w:r w:rsidRPr="008D758C">
        <w:rPr>
          <w:lang w:val="en-GB"/>
        </w:rPr>
        <w:t>O</w:t>
      </w:r>
      <w:r w:rsidRPr="008D758C">
        <w:rPr>
          <w:vertAlign w:val="subscript"/>
          <w:lang w:val="en-GB"/>
        </w:rPr>
        <w:t>3</w:t>
      </w:r>
      <w:r w:rsidRPr="008D758C">
        <w:rPr>
          <w:lang w:val="en-GB"/>
        </w:rPr>
        <w:t xml:space="preserve"> and CaO concentration. The blue samples represent the Amphibole-Serpentine Group (Paphos production), yellow samples the Micaceous Group (Lapithos production), and red samples the Mixed Carbonate Group (Famagusta production)</w:t>
      </w:r>
    </w:p>
    <w:p w14:paraId="6154A662" w14:textId="77777777" w:rsidR="008D758C" w:rsidRPr="008D758C" w:rsidRDefault="008D758C" w:rsidP="008D758C">
      <w:pPr>
        <w:spacing w:line="480" w:lineRule="auto"/>
        <w:jc w:val="both"/>
        <w:rPr>
          <w:b/>
          <w:lang w:val="en-GB"/>
        </w:rPr>
      </w:pPr>
    </w:p>
    <w:p w14:paraId="01AC54CA" w14:textId="77777777" w:rsidR="008D758C" w:rsidRPr="008D758C" w:rsidRDefault="00D60C72" w:rsidP="008D758C">
      <w:pPr>
        <w:spacing w:line="480" w:lineRule="auto"/>
        <w:jc w:val="both"/>
        <w:rPr>
          <w:b/>
          <w:lang w:val="en-GB"/>
        </w:rPr>
      </w:pPr>
      <w:r w:rsidRPr="008D758C">
        <w:rPr>
          <w:b/>
          <w:lang w:val="en-GB"/>
        </w:rPr>
        <w:t>Table captions</w:t>
      </w:r>
    </w:p>
    <w:p w14:paraId="424EFB81" w14:textId="77777777" w:rsidR="008D758C" w:rsidRPr="008D758C" w:rsidRDefault="005F454F" w:rsidP="008D758C">
      <w:pPr>
        <w:spacing w:line="480" w:lineRule="auto"/>
        <w:jc w:val="both"/>
        <w:rPr>
          <w:lang w:val="en-GB"/>
        </w:rPr>
      </w:pPr>
      <w:r w:rsidRPr="008D758C">
        <w:rPr>
          <w:b/>
          <w:lang w:val="en-GB"/>
        </w:rPr>
        <w:t>Table 1</w:t>
      </w:r>
      <w:r w:rsidRPr="008D758C">
        <w:rPr>
          <w:lang w:val="en-GB"/>
        </w:rPr>
        <w:t xml:space="preserve"> The site of recovery, ware type and date of the samples included in this study</w:t>
      </w:r>
    </w:p>
    <w:p w14:paraId="618B6DB9" w14:textId="77777777" w:rsidR="008D758C" w:rsidRPr="008D758C" w:rsidRDefault="008D758C" w:rsidP="008D758C">
      <w:pPr>
        <w:spacing w:line="480" w:lineRule="auto"/>
        <w:jc w:val="both"/>
        <w:rPr>
          <w:b/>
          <w:lang w:val="en-GB"/>
        </w:rPr>
      </w:pPr>
    </w:p>
    <w:p w14:paraId="7966DD9F" w14:textId="77777777" w:rsidR="008D758C" w:rsidRPr="008D758C" w:rsidRDefault="005F454F" w:rsidP="008D758C">
      <w:pPr>
        <w:spacing w:line="480" w:lineRule="auto"/>
        <w:jc w:val="both"/>
      </w:pPr>
      <w:r w:rsidRPr="008D758C">
        <w:rPr>
          <w:b/>
        </w:rPr>
        <w:t>Table 2</w:t>
      </w:r>
      <w:r w:rsidRPr="008D758C">
        <w:t xml:space="preserve"> The composition (wt%)</w:t>
      </w:r>
      <w:r w:rsidR="002E3BB9" w:rsidRPr="008D758C">
        <w:t>, mean, and standard deviation (st. dev.)</w:t>
      </w:r>
      <w:r w:rsidRPr="008D758C">
        <w:t xml:space="preserve"> of the ceramic body of all samples by SEM-EDS in accordance to the fabric groups. ‘-’ indicates not detected on analysis</w:t>
      </w:r>
    </w:p>
    <w:p w14:paraId="10F70DC4" w14:textId="77777777" w:rsidR="008D758C" w:rsidRPr="008D758C" w:rsidRDefault="008D758C" w:rsidP="008D758C">
      <w:pPr>
        <w:spacing w:line="480" w:lineRule="auto"/>
        <w:jc w:val="both"/>
        <w:rPr>
          <w:b/>
        </w:rPr>
      </w:pPr>
    </w:p>
    <w:p w14:paraId="6E5A2FD3" w14:textId="77777777" w:rsidR="008D758C" w:rsidRPr="008D758C" w:rsidRDefault="005F454F" w:rsidP="008D758C">
      <w:pPr>
        <w:spacing w:line="480" w:lineRule="auto"/>
        <w:jc w:val="both"/>
      </w:pPr>
      <w:r w:rsidRPr="008D758C">
        <w:rPr>
          <w:b/>
        </w:rPr>
        <w:lastRenderedPageBreak/>
        <w:t>Table 3</w:t>
      </w:r>
      <w:r w:rsidRPr="008D758C">
        <w:t xml:space="preserve"> The composition (wt%)</w:t>
      </w:r>
      <w:r w:rsidR="002E3BB9" w:rsidRPr="008D758C">
        <w:t>, mean, and standard deviation (st. dev.)</w:t>
      </w:r>
      <w:r w:rsidRPr="008D758C">
        <w:t xml:space="preserve"> of the paint (P) and slip (SL) of the samples by SEM-EDS. I: interior surface, E: exterior surface, B: bulk, and M: matrix. ‘-’ indicates not detected on analysis</w:t>
      </w:r>
    </w:p>
    <w:p w14:paraId="5FFAC2B0" w14:textId="77777777" w:rsidR="008D758C" w:rsidRPr="008D758C" w:rsidRDefault="008D758C" w:rsidP="008D758C">
      <w:pPr>
        <w:spacing w:line="480" w:lineRule="auto"/>
        <w:jc w:val="both"/>
        <w:rPr>
          <w:b/>
        </w:rPr>
      </w:pPr>
    </w:p>
    <w:p w14:paraId="5EBEFD5B" w14:textId="77777777" w:rsidR="008D758C" w:rsidRPr="008D758C" w:rsidRDefault="005F454F" w:rsidP="008D758C">
      <w:pPr>
        <w:spacing w:line="480" w:lineRule="auto"/>
        <w:jc w:val="both"/>
      </w:pPr>
      <w:r w:rsidRPr="008D758C">
        <w:rPr>
          <w:b/>
        </w:rPr>
        <w:t>Table 4</w:t>
      </w:r>
      <w:r w:rsidRPr="008D758C">
        <w:t xml:space="preserve"> The composition (wt%)</w:t>
      </w:r>
      <w:r w:rsidR="002E3BB9" w:rsidRPr="008D758C">
        <w:t>, mean, and standard deviation (st. dev.)</w:t>
      </w:r>
      <w:r w:rsidRPr="008D758C">
        <w:t xml:space="preserve"> of the glaze of the samples by SEM-EDS. I: interior surface, E: exterior surface, Y: yellow glaze, G: green glaze, Br: brown glaze, T: transparent glaze, B: bulk, and M: matrix. ‘-’ indicates not detected on analysis</w:t>
      </w:r>
    </w:p>
    <w:p w14:paraId="0C32E05D" w14:textId="77777777" w:rsidR="008D758C" w:rsidRPr="008D758C" w:rsidRDefault="008D758C" w:rsidP="008D758C">
      <w:pPr>
        <w:spacing w:line="480" w:lineRule="auto"/>
        <w:jc w:val="both"/>
        <w:rPr>
          <w:b/>
        </w:rPr>
      </w:pPr>
    </w:p>
    <w:p w14:paraId="25394B46" w14:textId="77777777" w:rsidR="008D758C" w:rsidRPr="008D758C" w:rsidRDefault="005F454F" w:rsidP="008D758C">
      <w:pPr>
        <w:spacing w:line="480" w:lineRule="auto"/>
        <w:jc w:val="both"/>
        <w:rPr>
          <w:b/>
        </w:rPr>
      </w:pPr>
      <w:r w:rsidRPr="008D758C">
        <w:rPr>
          <w:b/>
        </w:rPr>
        <w:t>Supplementary Material</w:t>
      </w:r>
    </w:p>
    <w:p w14:paraId="5D7B9BE4" w14:textId="77777777" w:rsidR="008D758C" w:rsidRPr="008D758C" w:rsidRDefault="005F454F" w:rsidP="008D758C">
      <w:pPr>
        <w:spacing w:line="480" w:lineRule="auto"/>
        <w:jc w:val="both"/>
        <w:rPr>
          <w:lang w:val="en-GB"/>
        </w:rPr>
      </w:pPr>
      <w:r w:rsidRPr="008D758C">
        <w:rPr>
          <w:b/>
        </w:rPr>
        <w:t>Supplementary Fig. 1</w:t>
      </w:r>
      <w:r w:rsidRPr="008D758C">
        <w:t xml:space="preserve"> </w:t>
      </w:r>
      <w:r w:rsidRPr="008D758C">
        <w:rPr>
          <w:lang w:val="en-GB"/>
        </w:rPr>
        <w:t>Biplots showing the PbO concentration in the glaze layers increases with distance from the ceramic body, while the Al</w:t>
      </w:r>
      <w:r w:rsidRPr="008D758C">
        <w:rPr>
          <w:vertAlign w:val="subscript"/>
          <w:lang w:val="en-GB"/>
        </w:rPr>
        <w:t>2</w:t>
      </w:r>
      <w:r w:rsidRPr="008D758C">
        <w:rPr>
          <w:lang w:val="en-GB"/>
        </w:rPr>
        <w:t>O</w:t>
      </w:r>
      <w:r w:rsidRPr="008D758C">
        <w:rPr>
          <w:vertAlign w:val="subscript"/>
          <w:lang w:val="en-GB"/>
        </w:rPr>
        <w:t>3</w:t>
      </w:r>
      <w:r w:rsidRPr="008D758C">
        <w:rPr>
          <w:lang w:val="en-GB"/>
        </w:rPr>
        <w:t>, CaO, MgO and Fe</w:t>
      </w:r>
      <w:r w:rsidRPr="008D758C">
        <w:rPr>
          <w:vertAlign w:val="subscript"/>
          <w:lang w:val="en-GB"/>
        </w:rPr>
        <w:t>2</w:t>
      </w:r>
      <w:r w:rsidRPr="008D758C">
        <w:rPr>
          <w:lang w:val="en-GB"/>
        </w:rPr>
        <w:t>O</w:t>
      </w:r>
      <w:r w:rsidRPr="008D758C">
        <w:rPr>
          <w:vertAlign w:val="subscript"/>
          <w:lang w:val="en-GB"/>
        </w:rPr>
        <w:t>3</w:t>
      </w:r>
      <w:r w:rsidRPr="008D758C">
        <w:rPr>
          <w:lang w:val="en-GB"/>
        </w:rPr>
        <w:t xml:space="preserve"> concentration decreases with distance from the ceramic body of the plain glazed samples (AG18 and KF10) of the Mixed Carbonate Group (Famagusta production)</w:t>
      </w:r>
    </w:p>
    <w:p w14:paraId="46CC6510" w14:textId="77777777" w:rsidR="008D758C" w:rsidRPr="008D758C" w:rsidRDefault="008D758C" w:rsidP="008D758C">
      <w:pPr>
        <w:spacing w:line="480" w:lineRule="auto"/>
        <w:jc w:val="both"/>
        <w:rPr>
          <w:b/>
          <w:lang w:val="en-GB"/>
        </w:rPr>
      </w:pPr>
    </w:p>
    <w:p w14:paraId="360AEDE7" w14:textId="77777777" w:rsidR="008D758C" w:rsidRPr="008D758C" w:rsidRDefault="005F454F" w:rsidP="008D758C">
      <w:pPr>
        <w:spacing w:line="480" w:lineRule="auto"/>
        <w:jc w:val="both"/>
        <w:rPr>
          <w:lang w:val="en-GB"/>
        </w:rPr>
      </w:pPr>
      <w:r w:rsidRPr="008D758C">
        <w:rPr>
          <w:b/>
        </w:rPr>
        <w:t>Supplementary Fig. 2</w:t>
      </w:r>
      <w:r w:rsidRPr="008D758C">
        <w:t xml:space="preserve"> </w:t>
      </w:r>
      <w:r w:rsidRPr="008D758C">
        <w:rPr>
          <w:lang w:val="en-GB"/>
        </w:rPr>
        <w:t>Biplots showing the correlation of SiO</w:t>
      </w:r>
      <w:r w:rsidRPr="008D758C">
        <w:rPr>
          <w:vertAlign w:val="subscript"/>
          <w:lang w:val="en-GB"/>
        </w:rPr>
        <w:t>2</w:t>
      </w:r>
      <w:r w:rsidRPr="008D758C">
        <w:rPr>
          <w:lang w:val="en-GB"/>
        </w:rPr>
        <w:t>, Al</w:t>
      </w:r>
      <w:r w:rsidRPr="008D758C">
        <w:rPr>
          <w:vertAlign w:val="subscript"/>
          <w:lang w:val="en-GB"/>
        </w:rPr>
        <w:t>2</w:t>
      </w:r>
      <w:r w:rsidRPr="008D758C">
        <w:rPr>
          <w:lang w:val="en-GB"/>
        </w:rPr>
        <w:t>O</w:t>
      </w:r>
      <w:r w:rsidRPr="008D758C">
        <w:rPr>
          <w:vertAlign w:val="subscript"/>
          <w:lang w:val="en-GB"/>
        </w:rPr>
        <w:t>3</w:t>
      </w:r>
      <w:r w:rsidRPr="008D758C">
        <w:rPr>
          <w:lang w:val="en-GB"/>
        </w:rPr>
        <w:t>, MgO, and CaO concentration between the glaze and associated slip and ceramic body. The blue samples represent the Amphibole-Serpentine (Paphos) Group, yellow samples the Micaceous (Lapithos) Group, and red samples the Mixed Carbonate (Famagusta) Group</w:t>
      </w:r>
    </w:p>
    <w:p w14:paraId="587161BA" w14:textId="77777777" w:rsidR="008D758C" w:rsidRPr="008D758C" w:rsidRDefault="008D758C" w:rsidP="008D758C">
      <w:pPr>
        <w:spacing w:line="480" w:lineRule="auto"/>
        <w:jc w:val="both"/>
        <w:rPr>
          <w:b/>
          <w:lang w:val="en-GB"/>
        </w:rPr>
      </w:pPr>
    </w:p>
    <w:p w14:paraId="4DF5F2E7" w14:textId="5C5588E3" w:rsidR="005F454F" w:rsidRPr="008D758C" w:rsidRDefault="005F454F" w:rsidP="008D758C">
      <w:pPr>
        <w:spacing w:line="480" w:lineRule="auto"/>
        <w:jc w:val="both"/>
        <w:rPr>
          <w:lang w:val="en-GB"/>
        </w:rPr>
      </w:pPr>
      <w:r w:rsidRPr="008D758C">
        <w:rPr>
          <w:b/>
        </w:rPr>
        <w:t>Supplementary Table 1</w:t>
      </w:r>
      <w:r w:rsidRPr="008D758C">
        <w:t xml:space="preserve"> Chemical composition of Corning C and BCR-2P standards as published (after Adlington 2017) and analysed in wt%. The Corning C standard was analysed by two different SEM suites. ‘-’ indicates not detected on analysis</w:t>
      </w:r>
    </w:p>
    <w:p w14:paraId="13E97A27" w14:textId="7A8C7D3A" w:rsidR="00B20D55" w:rsidRPr="00B20D55" w:rsidRDefault="00B20D55" w:rsidP="009F1F9A">
      <w:pPr>
        <w:spacing w:line="480" w:lineRule="auto"/>
        <w:rPr>
          <w:lang w:val="en-GB"/>
        </w:rPr>
      </w:pPr>
    </w:p>
    <w:sectPr w:rsidR="00B20D55" w:rsidRPr="00B20D55" w:rsidSect="001626AE">
      <w:footerReference w:type="even" r:id="rId9"/>
      <w:footerReference w:type="default" r:id="rId10"/>
      <w:pgSz w:w="11900" w:h="16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45CC7CB" w14:textId="77777777" w:rsidR="00BF72ED" w:rsidRDefault="00BF72ED" w:rsidP="00DC0735">
      <w:r>
        <w:separator/>
      </w:r>
    </w:p>
  </w:endnote>
  <w:endnote w:type="continuationSeparator" w:id="0">
    <w:p w14:paraId="792D6F8F" w14:textId="77777777" w:rsidR="00BF72ED" w:rsidRDefault="00BF72ED" w:rsidP="00DC073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PMingLiU">
    <w:altName w:val="新細明體"/>
    <w:panose1 w:val="02020500000000000000"/>
    <w:charset w:val="88"/>
    <w:family w:val="roman"/>
    <w:pitch w:val="variable"/>
    <w:sig w:usb0="A00002FF" w:usb1="28CFFCFA" w:usb2="00000016" w:usb3="00000000" w:csb0="00100001" w:csb1="00000000"/>
  </w:font>
  <w:font w:name="Times New Roman (Body CS)">
    <w:altName w:val="Times New Roman"/>
    <w:panose1 w:val="02020603050405020304"/>
    <w:charset w:val="00"/>
    <w:family w:val="roman"/>
    <w:pitch w:val="variable"/>
    <w:sig w:usb0="E0002AEF" w:usb1="C0007841"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136610835"/>
      <w:docPartObj>
        <w:docPartGallery w:val="Page Numbers (Bottom of Page)"/>
        <w:docPartUnique/>
      </w:docPartObj>
    </w:sdtPr>
    <w:sdtEndPr>
      <w:rPr>
        <w:rStyle w:val="PageNumber"/>
      </w:rPr>
    </w:sdtEndPr>
    <w:sdtContent>
      <w:p w14:paraId="1D3A24B5" w14:textId="21F07C5E" w:rsidR="00DF70C5" w:rsidRDefault="00DF70C5" w:rsidP="00A43AC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4EAEA699" w14:textId="77777777" w:rsidR="00DF70C5" w:rsidRDefault="00DF70C5">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236436508"/>
      <w:docPartObj>
        <w:docPartGallery w:val="Page Numbers (Bottom of Page)"/>
        <w:docPartUnique/>
      </w:docPartObj>
    </w:sdtPr>
    <w:sdtEndPr>
      <w:rPr>
        <w:rStyle w:val="PageNumber"/>
      </w:rPr>
    </w:sdtEndPr>
    <w:sdtContent>
      <w:p w14:paraId="7ECE0F93" w14:textId="04A75C01" w:rsidR="00DF70C5" w:rsidRDefault="00DF70C5" w:rsidP="00A43AC3">
        <w:pPr>
          <w:pStyle w:val="Footer"/>
          <w:framePr w:wrap="none" w:vAnchor="text" w:hAnchor="margin" w:xAlign="center"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7D8BFF4C" w14:textId="77777777" w:rsidR="00DF70C5" w:rsidRDefault="00DF70C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C0264B9" w14:textId="77777777" w:rsidR="00BF72ED" w:rsidRDefault="00BF72ED" w:rsidP="00DC0735">
      <w:r>
        <w:separator/>
      </w:r>
    </w:p>
  </w:footnote>
  <w:footnote w:type="continuationSeparator" w:id="0">
    <w:p w14:paraId="67844061" w14:textId="77777777" w:rsidR="00BF72ED" w:rsidRDefault="00BF72ED" w:rsidP="00DC073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A83AE9"/>
    <w:multiLevelType w:val="multilevel"/>
    <w:tmpl w:val="0D3650B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0D64592C"/>
    <w:multiLevelType w:val="multilevel"/>
    <w:tmpl w:val="E8A6C3B8"/>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A7E9D"/>
    <w:rsid w:val="0000621A"/>
    <w:rsid w:val="000206AE"/>
    <w:rsid w:val="00032223"/>
    <w:rsid w:val="0003285B"/>
    <w:rsid w:val="00036D09"/>
    <w:rsid w:val="00055502"/>
    <w:rsid w:val="00070D18"/>
    <w:rsid w:val="00097FB7"/>
    <w:rsid w:val="000B0B3B"/>
    <w:rsid w:val="000D06B7"/>
    <w:rsid w:val="000D53F5"/>
    <w:rsid w:val="000E1F40"/>
    <w:rsid w:val="00157CD9"/>
    <w:rsid w:val="001626AE"/>
    <w:rsid w:val="00167A55"/>
    <w:rsid w:val="00177F9E"/>
    <w:rsid w:val="001836B4"/>
    <w:rsid w:val="00184376"/>
    <w:rsid w:val="001907B8"/>
    <w:rsid w:val="001A3D76"/>
    <w:rsid w:val="001C1B2C"/>
    <w:rsid w:val="001C78DB"/>
    <w:rsid w:val="001F5CC4"/>
    <w:rsid w:val="0020263F"/>
    <w:rsid w:val="002118C6"/>
    <w:rsid w:val="0021214C"/>
    <w:rsid w:val="00223571"/>
    <w:rsid w:val="00230C5F"/>
    <w:rsid w:val="002504F0"/>
    <w:rsid w:val="00276636"/>
    <w:rsid w:val="002815EB"/>
    <w:rsid w:val="00286087"/>
    <w:rsid w:val="0029657F"/>
    <w:rsid w:val="002A2D83"/>
    <w:rsid w:val="002A42C9"/>
    <w:rsid w:val="002D6671"/>
    <w:rsid w:val="002E3BB9"/>
    <w:rsid w:val="002E5548"/>
    <w:rsid w:val="002F669E"/>
    <w:rsid w:val="00300B94"/>
    <w:rsid w:val="00315116"/>
    <w:rsid w:val="003215C3"/>
    <w:rsid w:val="00323F4E"/>
    <w:rsid w:val="00382240"/>
    <w:rsid w:val="003945FA"/>
    <w:rsid w:val="003B5085"/>
    <w:rsid w:val="003C02D3"/>
    <w:rsid w:val="003C1B2F"/>
    <w:rsid w:val="004079EF"/>
    <w:rsid w:val="00421DF3"/>
    <w:rsid w:val="00426FF6"/>
    <w:rsid w:val="00462932"/>
    <w:rsid w:val="00475ADD"/>
    <w:rsid w:val="004911AA"/>
    <w:rsid w:val="0049252A"/>
    <w:rsid w:val="00495765"/>
    <w:rsid w:val="004A3CDF"/>
    <w:rsid w:val="004A7A26"/>
    <w:rsid w:val="004C3A97"/>
    <w:rsid w:val="004F093B"/>
    <w:rsid w:val="005215F6"/>
    <w:rsid w:val="0055159D"/>
    <w:rsid w:val="0056090D"/>
    <w:rsid w:val="005B2541"/>
    <w:rsid w:val="005F454F"/>
    <w:rsid w:val="0060687F"/>
    <w:rsid w:val="0064018E"/>
    <w:rsid w:val="00640797"/>
    <w:rsid w:val="006678B9"/>
    <w:rsid w:val="00673602"/>
    <w:rsid w:val="00675161"/>
    <w:rsid w:val="006822A7"/>
    <w:rsid w:val="006A23B6"/>
    <w:rsid w:val="006B6227"/>
    <w:rsid w:val="006C0D6C"/>
    <w:rsid w:val="006C0E40"/>
    <w:rsid w:val="006D594A"/>
    <w:rsid w:val="006D7AD4"/>
    <w:rsid w:val="007164DD"/>
    <w:rsid w:val="00720E19"/>
    <w:rsid w:val="007602C0"/>
    <w:rsid w:val="00766354"/>
    <w:rsid w:val="007814F5"/>
    <w:rsid w:val="007C7736"/>
    <w:rsid w:val="007D2085"/>
    <w:rsid w:val="007D41D4"/>
    <w:rsid w:val="007E0911"/>
    <w:rsid w:val="007F2D3B"/>
    <w:rsid w:val="0081522A"/>
    <w:rsid w:val="00835D62"/>
    <w:rsid w:val="00860AE0"/>
    <w:rsid w:val="008865D2"/>
    <w:rsid w:val="00890148"/>
    <w:rsid w:val="008B1935"/>
    <w:rsid w:val="008C5463"/>
    <w:rsid w:val="008D12F7"/>
    <w:rsid w:val="008D758C"/>
    <w:rsid w:val="008F2228"/>
    <w:rsid w:val="009117D3"/>
    <w:rsid w:val="00954F8D"/>
    <w:rsid w:val="009728CC"/>
    <w:rsid w:val="009B1569"/>
    <w:rsid w:val="009D0487"/>
    <w:rsid w:val="009D5568"/>
    <w:rsid w:val="009F1F9A"/>
    <w:rsid w:val="00A01E5C"/>
    <w:rsid w:val="00A0753D"/>
    <w:rsid w:val="00A13155"/>
    <w:rsid w:val="00A20FF8"/>
    <w:rsid w:val="00A278FC"/>
    <w:rsid w:val="00A43AC3"/>
    <w:rsid w:val="00A5691D"/>
    <w:rsid w:val="00A60416"/>
    <w:rsid w:val="00A759CA"/>
    <w:rsid w:val="00A77A0C"/>
    <w:rsid w:val="00AA7D3C"/>
    <w:rsid w:val="00AB22A5"/>
    <w:rsid w:val="00AB75C8"/>
    <w:rsid w:val="00AF0A0C"/>
    <w:rsid w:val="00AF2F84"/>
    <w:rsid w:val="00AF51E8"/>
    <w:rsid w:val="00B05583"/>
    <w:rsid w:val="00B126E0"/>
    <w:rsid w:val="00B20302"/>
    <w:rsid w:val="00B20D55"/>
    <w:rsid w:val="00B26F6D"/>
    <w:rsid w:val="00B37CCC"/>
    <w:rsid w:val="00B43347"/>
    <w:rsid w:val="00B55216"/>
    <w:rsid w:val="00B57782"/>
    <w:rsid w:val="00BB042C"/>
    <w:rsid w:val="00BB6223"/>
    <w:rsid w:val="00BC67CD"/>
    <w:rsid w:val="00BD3491"/>
    <w:rsid w:val="00BF72ED"/>
    <w:rsid w:val="00C033F3"/>
    <w:rsid w:val="00C13ADE"/>
    <w:rsid w:val="00C207A2"/>
    <w:rsid w:val="00C22BCD"/>
    <w:rsid w:val="00C4323E"/>
    <w:rsid w:val="00C72932"/>
    <w:rsid w:val="00CC15D1"/>
    <w:rsid w:val="00CC3C19"/>
    <w:rsid w:val="00CC7B8B"/>
    <w:rsid w:val="00CD7E11"/>
    <w:rsid w:val="00CF1187"/>
    <w:rsid w:val="00CF59D5"/>
    <w:rsid w:val="00D04D26"/>
    <w:rsid w:val="00D1362C"/>
    <w:rsid w:val="00D2235B"/>
    <w:rsid w:val="00D4241A"/>
    <w:rsid w:val="00D42464"/>
    <w:rsid w:val="00D51FB3"/>
    <w:rsid w:val="00D60C72"/>
    <w:rsid w:val="00D90CBE"/>
    <w:rsid w:val="00DA1E3E"/>
    <w:rsid w:val="00DB04FA"/>
    <w:rsid w:val="00DC0735"/>
    <w:rsid w:val="00DC11BC"/>
    <w:rsid w:val="00DC2F4B"/>
    <w:rsid w:val="00DD3728"/>
    <w:rsid w:val="00DE3908"/>
    <w:rsid w:val="00DF70C5"/>
    <w:rsid w:val="00E1120C"/>
    <w:rsid w:val="00E211EF"/>
    <w:rsid w:val="00E440DB"/>
    <w:rsid w:val="00E474B5"/>
    <w:rsid w:val="00E77333"/>
    <w:rsid w:val="00E80F6B"/>
    <w:rsid w:val="00F238E2"/>
    <w:rsid w:val="00F27BC1"/>
    <w:rsid w:val="00F47E18"/>
    <w:rsid w:val="00F5391D"/>
    <w:rsid w:val="00F61F4B"/>
    <w:rsid w:val="00F82A94"/>
    <w:rsid w:val="00F844F1"/>
    <w:rsid w:val="00F95E54"/>
    <w:rsid w:val="00FA7E9D"/>
    <w:rsid w:val="00FB65D5"/>
    <w:rsid w:val="00FB7508"/>
    <w:rsid w:val="00FD5256"/>
    <w:rsid w:val="00FE2F0A"/>
    <w:rsid w:val="00FE52B4"/>
    <w:rsid w:val="00FE7555"/>
    <w:rsid w:val="00FF0494"/>
    <w:rsid w:val="00FF1387"/>
  </w:rsids>
  <m:mathPr>
    <m:mathFont m:val="Cambria Math"/>
    <m:brkBin m:val="before"/>
    <m:brkBinSub m:val="--"/>
    <m:smallFrac m:val="0"/>
    <m:dispDef/>
    <m:lMargin m:val="0"/>
    <m:rMargin m:val="0"/>
    <m:defJc m:val="centerGroup"/>
    <m:wrapIndent m:val="1440"/>
    <m:intLim m:val="subSup"/>
    <m:naryLim m:val="undOvr"/>
  </m:mathPr>
  <w:themeFontLang w:val="en-GB" w:eastAsia="zh-TW"/>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BD12104"/>
  <w14:defaultImageDpi w14:val="32767"/>
  <w15:chartTrackingRefBased/>
  <w15:docId w15:val="{7BD34DDA-89D2-9B49-9273-6A28915526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GB" w:eastAsia="zh-TW"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FA7E9D"/>
    <w:rPr>
      <w:rFonts w:ascii="Times New Roman" w:hAnsi="Times New Roman" w:cs="Times New Roman (Body CS)"/>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B20D55"/>
    <w:pPr>
      <w:ind w:left="720"/>
      <w:contextualSpacing/>
    </w:pPr>
  </w:style>
  <w:style w:type="character" w:styleId="Hyperlink">
    <w:name w:val="Hyperlink"/>
    <w:basedOn w:val="DefaultParagraphFont"/>
    <w:uiPriority w:val="99"/>
    <w:unhideWhenUsed/>
    <w:rsid w:val="00B57782"/>
    <w:rPr>
      <w:color w:val="0563C1" w:themeColor="hyperlink"/>
      <w:u w:val="single"/>
    </w:rPr>
  </w:style>
  <w:style w:type="character" w:styleId="UnresolvedMention">
    <w:name w:val="Unresolved Mention"/>
    <w:basedOn w:val="DefaultParagraphFont"/>
    <w:uiPriority w:val="99"/>
    <w:rsid w:val="00B57782"/>
    <w:rPr>
      <w:color w:val="605E5C"/>
      <w:shd w:val="clear" w:color="auto" w:fill="E1DFDD"/>
    </w:rPr>
  </w:style>
  <w:style w:type="character" w:styleId="PlaceholderText">
    <w:name w:val="Placeholder Text"/>
    <w:basedOn w:val="DefaultParagraphFont"/>
    <w:uiPriority w:val="99"/>
    <w:semiHidden/>
    <w:rsid w:val="00B43347"/>
    <w:rPr>
      <w:color w:val="808080"/>
    </w:rPr>
  </w:style>
  <w:style w:type="paragraph" w:styleId="Footer">
    <w:name w:val="footer"/>
    <w:basedOn w:val="Normal"/>
    <w:link w:val="FooterChar"/>
    <w:uiPriority w:val="99"/>
    <w:unhideWhenUsed/>
    <w:rsid w:val="00DC0735"/>
    <w:pPr>
      <w:tabs>
        <w:tab w:val="center" w:pos="4680"/>
        <w:tab w:val="right" w:pos="9360"/>
      </w:tabs>
    </w:pPr>
  </w:style>
  <w:style w:type="character" w:customStyle="1" w:styleId="FooterChar">
    <w:name w:val="Footer Char"/>
    <w:basedOn w:val="DefaultParagraphFont"/>
    <w:link w:val="Footer"/>
    <w:uiPriority w:val="99"/>
    <w:rsid w:val="00DC0735"/>
    <w:rPr>
      <w:rFonts w:ascii="Times New Roman" w:hAnsi="Times New Roman" w:cs="Times New Roman (Body CS)"/>
      <w:lang w:val="en-US"/>
    </w:rPr>
  </w:style>
  <w:style w:type="character" w:styleId="PageNumber">
    <w:name w:val="page number"/>
    <w:basedOn w:val="DefaultParagraphFont"/>
    <w:uiPriority w:val="99"/>
    <w:semiHidden/>
    <w:unhideWhenUsed/>
    <w:rsid w:val="00DC0735"/>
  </w:style>
  <w:style w:type="paragraph" w:styleId="Header">
    <w:name w:val="header"/>
    <w:basedOn w:val="Normal"/>
    <w:link w:val="HeaderChar"/>
    <w:uiPriority w:val="99"/>
    <w:unhideWhenUsed/>
    <w:rsid w:val="00DC0735"/>
    <w:pPr>
      <w:tabs>
        <w:tab w:val="center" w:pos="4680"/>
        <w:tab w:val="right" w:pos="9360"/>
      </w:tabs>
    </w:pPr>
  </w:style>
  <w:style w:type="character" w:customStyle="1" w:styleId="HeaderChar">
    <w:name w:val="Header Char"/>
    <w:basedOn w:val="DefaultParagraphFont"/>
    <w:link w:val="Header"/>
    <w:uiPriority w:val="99"/>
    <w:rsid w:val="00DC0735"/>
    <w:rPr>
      <w:rFonts w:ascii="Times New Roman" w:hAnsi="Times New Roman" w:cs="Times New Roman (Body CS)"/>
      <w:lang w:val="en-US"/>
    </w:rPr>
  </w:style>
  <w:style w:type="paragraph" w:styleId="NormalWeb">
    <w:name w:val="Normal (Web)"/>
    <w:basedOn w:val="Normal"/>
    <w:uiPriority w:val="99"/>
    <w:unhideWhenUsed/>
    <w:rsid w:val="00FE52B4"/>
    <w:pPr>
      <w:spacing w:before="100" w:beforeAutospacing="1" w:after="100" w:afterAutospacing="1"/>
    </w:pPr>
    <w:rPr>
      <w:rFonts w:eastAsia="Times New Roman" w:cs="Times New Roman"/>
      <w:lang w:val="en-HK"/>
    </w:rPr>
  </w:style>
  <w:style w:type="paragraph" w:styleId="BalloonText">
    <w:name w:val="Balloon Text"/>
    <w:basedOn w:val="Normal"/>
    <w:link w:val="BalloonTextChar"/>
    <w:uiPriority w:val="99"/>
    <w:semiHidden/>
    <w:unhideWhenUsed/>
    <w:rsid w:val="00F61F4B"/>
    <w:rPr>
      <w:rFonts w:cs="Times New Roman"/>
      <w:sz w:val="18"/>
      <w:szCs w:val="18"/>
    </w:rPr>
  </w:style>
  <w:style w:type="character" w:customStyle="1" w:styleId="BalloonTextChar">
    <w:name w:val="Balloon Text Char"/>
    <w:basedOn w:val="DefaultParagraphFont"/>
    <w:link w:val="BalloonText"/>
    <w:uiPriority w:val="99"/>
    <w:semiHidden/>
    <w:rsid w:val="00F61F4B"/>
    <w:rPr>
      <w:rFonts w:ascii="Times New Roman" w:hAnsi="Times New Roman" w:cs="Times New Roman"/>
      <w:sz w:val="18"/>
      <w:szCs w:val="18"/>
      <w:lang w:val="en-US"/>
    </w:rPr>
  </w:style>
  <w:style w:type="paragraph" w:styleId="Revision">
    <w:name w:val="Revision"/>
    <w:hidden/>
    <w:uiPriority w:val="99"/>
    <w:semiHidden/>
    <w:rsid w:val="000B0B3B"/>
    <w:rPr>
      <w:rFonts w:ascii="Times New Roman" w:hAnsi="Times New Roman" w:cs="Times New Roman (Body CS)"/>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390/land7040157" TargetMode="External"/><Relationship Id="rId3" Type="http://schemas.openxmlformats.org/officeDocument/2006/relationships/settings" Target="settings.xml"/><Relationship Id="rId7" Type="http://schemas.openxmlformats.org/officeDocument/2006/relationships/hyperlink" Target="https://doi.org/10.2451/2013PM0009"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25</TotalTime>
  <Pages>38</Pages>
  <Words>9911</Words>
  <Characters>54612</Characters>
  <Application>Microsoft Office Word</Application>
  <DocSecurity>0</DocSecurity>
  <Lines>1400</Lines>
  <Paragraphs>464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64059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Carmen Ting</dc:creator>
  <cp:keywords/>
  <dc:description/>
  <cp:lastModifiedBy>Carmen Ting</cp:lastModifiedBy>
  <cp:revision>9</cp:revision>
  <dcterms:created xsi:type="dcterms:W3CDTF">2020-12-01T12:10:00Z</dcterms:created>
  <dcterms:modified xsi:type="dcterms:W3CDTF">2020-12-02T09:04:00Z</dcterms:modified>
</cp:coreProperties>
</file>