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7E7FA98" w14:textId="77777777" w:rsidR="00EF1031" w:rsidRDefault="00EF1031" w:rsidP="00EF1031">
      <w:pPr>
        <w:spacing w:line="480" w:lineRule="auto"/>
        <w:jc w:val="center"/>
        <w:rPr>
          <w:b/>
        </w:rPr>
      </w:pPr>
      <w:r w:rsidRPr="002462CB">
        <w:rPr>
          <w:b/>
        </w:rPr>
        <w:t>‘My mother’s maids, when they did sew and spin’</w:t>
      </w:r>
      <w:r>
        <w:rPr>
          <w:b/>
        </w:rPr>
        <w:t>:</w:t>
      </w:r>
    </w:p>
    <w:p w14:paraId="29857562" w14:textId="77777777" w:rsidR="00EF1031" w:rsidRDefault="00EF1031" w:rsidP="00EF1031">
      <w:pPr>
        <w:spacing w:line="480" w:lineRule="auto"/>
        <w:jc w:val="center"/>
        <w:rPr>
          <w:b/>
        </w:rPr>
      </w:pPr>
      <w:proofErr w:type="gramStart"/>
      <w:r w:rsidRPr="002462CB">
        <w:rPr>
          <w:b/>
        </w:rPr>
        <w:t>staging</w:t>
      </w:r>
      <w:proofErr w:type="gramEnd"/>
      <w:r w:rsidRPr="002462CB">
        <w:rPr>
          <w:b/>
        </w:rPr>
        <w:t xml:space="preserve"> sewing, telling tales</w:t>
      </w:r>
      <w:r>
        <w:rPr>
          <w:rStyle w:val="FootnoteReference"/>
          <w:b/>
        </w:rPr>
        <w:footnoteReference w:id="1"/>
      </w:r>
    </w:p>
    <w:p w14:paraId="7FF4F41C" w14:textId="77777777" w:rsidR="00EF1031" w:rsidRPr="002462CB" w:rsidRDefault="00EF1031" w:rsidP="00EF1031">
      <w:pPr>
        <w:spacing w:line="480" w:lineRule="auto"/>
        <w:jc w:val="center"/>
      </w:pPr>
      <w:r w:rsidRPr="002462CB">
        <w:t>Hester Lees-Jeffries</w:t>
      </w:r>
    </w:p>
    <w:p w14:paraId="7345C942" w14:textId="77777777" w:rsidR="00EF1031" w:rsidRPr="00834E5B" w:rsidRDefault="00EF1031" w:rsidP="00EF1031">
      <w:pPr>
        <w:spacing w:line="480" w:lineRule="auto"/>
      </w:pPr>
    </w:p>
    <w:p w14:paraId="5746E92E" w14:textId="77777777" w:rsidR="00EF1031" w:rsidRPr="00834E5B" w:rsidRDefault="00EF1031" w:rsidP="00EF1031">
      <w:pPr>
        <w:spacing w:line="480" w:lineRule="auto"/>
      </w:pPr>
      <w:r w:rsidRPr="00834E5B">
        <w:t>Thomas Wyatt’s poem, of which the first line</w:t>
      </w:r>
      <w:r>
        <w:t xml:space="preserve"> is quoted here</w:t>
      </w:r>
      <w:r w:rsidRPr="00834E5B">
        <w:t>, has nothing to do wit</w:t>
      </w:r>
      <w:r>
        <w:t xml:space="preserve">h sewing or spinning. Its sources are </w:t>
      </w:r>
      <w:proofErr w:type="gramStart"/>
      <w:r>
        <w:t>well-known</w:t>
      </w:r>
      <w:proofErr w:type="gramEnd"/>
      <w:r>
        <w:t xml:space="preserve">, primarily Horace’s </w:t>
      </w:r>
      <w:r w:rsidRPr="00077CAA">
        <w:rPr>
          <w:i/>
        </w:rPr>
        <w:t>Satire</w:t>
      </w:r>
      <w:r>
        <w:t xml:space="preserve"> 2.6, but also Aesop and many subsequent reworkings. </w:t>
      </w:r>
      <w:r w:rsidRPr="00834E5B">
        <w:t>Although it is usually termed a satire, it is also slyly dramatic in its construction: the reader, or hearer, may well first picture a nostalgic scene of feminine domestic labour,</w:t>
      </w:r>
      <w:r>
        <w:rPr>
          <w:rStyle w:val="FootnoteReference"/>
        </w:rPr>
        <w:footnoteReference w:id="2"/>
      </w:r>
      <w:r w:rsidRPr="00834E5B">
        <w:t xml:space="preserve"> but then must attend to the first person utterances of two anthropomorphised rodents and their moralising narrator, and, in the poem’s last third or so, reconfigure </w:t>
      </w:r>
      <w:proofErr w:type="gramStart"/>
      <w:r w:rsidRPr="00834E5B">
        <w:lastRenderedPageBreak/>
        <w:t>their</w:t>
      </w:r>
      <w:proofErr w:type="gramEnd"/>
      <w:r w:rsidRPr="00834E5B">
        <w:t xml:space="preserve"> attentiveness to the poem and its voices to include (perhaps even to become?) </w:t>
      </w:r>
      <w:proofErr w:type="gramStart"/>
      <w:r w:rsidRPr="00834E5B">
        <w:t>Wyatt’s familiar interlocutor, John Poynz.</w:t>
      </w:r>
      <w:proofErr w:type="gramEnd"/>
      <w:r w:rsidRPr="00834E5B">
        <w:t xml:space="preserve"> This essay thinks about the relationship between the evocation and, especially, the staging of scenes of textile making by women, and what might be termed traditional stories, broadly interpreted. It suggests that such moments can occasion reflection on the processes of literary and dramatic making, and of performance, positing multiple models of poetic and dramatic construction. </w:t>
      </w:r>
    </w:p>
    <w:p w14:paraId="566C5B75" w14:textId="77777777" w:rsidR="00EF1031" w:rsidRPr="00834E5B" w:rsidRDefault="00EF1031" w:rsidP="00EF1031">
      <w:pPr>
        <w:spacing w:line="480" w:lineRule="auto"/>
      </w:pPr>
    </w:p>
    <w:p w14:paraId="15FD77DD" w14:textId="77777777" w:rsidR="00EF1031" w:rsidRPr="00834E5B" w:rsidRDefault="00EF1031" w:rsidP="00EF1031">
      <w:pPr>
        <w:spacing w:line="480" w:lineRule="auto"/>
      </w:pPr>
      <w:r w:rsidRPr="00834E5B">
        <w:t xml:space="preserve">The connections between spinning, weaving, sewing and other forms of textile labour and writing are axiomatic and, especially since Rozsika Parker’s </w:t>
      </w:r>
      <w:r w:rsidRPr="00834E5B">
        <w:rPr>
          <w:i/>
        </w:rPr>
        <w:t>The Subversive Stitch</w:t>
      </w:r>
      <w:r w:rsidRPr="00834E5B">
        <w:rPr>
          <w:rStyle w:val="FootnoteReference"/>
        </w:rPr>
        <w:footnoteReference w:id="3"/>
      </w:r>
      <w:r w:rsidRPr="00834E5B">
        <w:t xml:space="preserve"> and more recently Susan Frye’s </w:t>
      </w:r>
      <w:r w:rsidRPr="00834E5B">
        <w:rPr>
          <w:i/>
        </w:rPr>
        <w:t>Pens and Needles</w:t>
      </w:r>
      <w:r w:rsidRPr="00834E5B">
        <w:t>,</w:t>
      </w:r>
      <w:r w:rsidRPr="00834E5B">
        <w:rPr>
          <w:rStyle w:val="FootnoteReference"/>
        </w:rPr>
        <w:footnoteReference w:id="4"/>
      </w:r>
      <w:r w:rsidRPr="00834E5B">
        <w:t xml:space="preserve"> the idea of needlework as a form of women’s textuality has become familiar. The discussion here builds on much work in the field of early modern textile culture, especially by Natasha Korda, Catherine Richardson, Peter Stallybrass and Ann Rosalind Jones; recent work by Chloe Porter and Jonathan Gil Harris has also influenced it, although less visibly.</w:t>
      </w:r>
      <w:r w:rsidRPr="00834E5B">
        <w:rPr>
          <w:rStyle w:val="FootnoteReference"/>
        </w:rPr>
        <w:footnoteReference w:id="5"/>
      </w:r>
      <w:r w:rsidRPr="00834E5B">
        <w:t xml:space="preserve"> Nearly twenty years ago, Lena Cowen Orlin’s ‘Three ways to be invisible in the Renaissance’ forcefully set out what it termed ‘a cultural ideology of the everyday occupation of needlework’.</w:t>
      </w:r>
      <w:r w:rsidRPr="00834E5B">
        <w:rPr>
          <w:rStyle w:val="FootnoteReference"/>
        </w:rPr>
        <w:footnoteReference w:id="6"/>
      </w:r>
      <w:r w:rsidRPr="00834E5B">
        <w:t xml:space="preserve"> This essay both makes a case for the particularity of textile scenes and references in drama and resists too neat an equivalence of sewing and writing, which sees needlework above all as women’s self-expression. Such an equivalence flattens out the distinctiveness of needlework, not as product so much as process: that it is very communal and collaborative, that its materiality is constituted in extended temporalities, that it could be pieced together in terms of both its sources and its actual material, by many hands. The singular line of the thread, the voice of the shuttle (it might be termed) is a seductive conceit. But all too easily, it can suggest and become elided with the linear narrative or the single author, or with a teleological drive to a moment of reading and unified interpretation: even Philomel’s sampler can become tedious (</w:t>
      </w:r>
      <w:r w:rsidRPr="00834E5B">
        <w:rPr>
          <w:i/>
        </w:rPr>
        <w:t>Titus Andronicus</w:t>
      </w:r>
      <w:r w:rsidRPr="00834E5B">
        <w:t xml:space="preserve"> 2.4.39). Fascinating work has been done on printed pattern books,</w:t>
      </w:r>
      <w:r w:rsidRPr="00834E5B">
        <w:rPr>
          <w:rStyle w:val="FootnoteReference"/>
        </w:rPr>
        <w:footnoteReference w:id="7"/>
      </w:r>
      <w:r w:rsidRPr="00834E5B">
        <w:t xml:space="preserve"> but needlework was still quite literally </w:t>
      </w:r>
      <w:r w:rsidRPr="00834E5B">
        <w:rPr>
          <w:i/>
        </w:rPr>
        <w:t>handi</w:t>
      </w:r>
      <w:r w:rsidRPr="00834E5B">
        <w:t xml:space="preserve">work. And it also remained thoroughly embedded in oral culture, not least because it was so strongly associated with songs and with </w:t>
      </w:r>
      <w:proofErr w:type="gramStart"/>
      <w:r w:rsidRPr="00834E5B">
        <w:t>story-telling</w:t>
      </w:r>
      <w:proofErr w:type="gramEnd"/>
      <w:r w:rsidRPr="00834E5B">
        <w:t>. As Adam Fox observes, ‘</w:t>
      </w:r>
      <w:r w:rsidRPr="00834E5B">
        <w:rPr>
          <w:rFonts w:cs="Times"/>
          <w:lang w:val="en-US"/>
        </w:rPr>
        <w:t>Most of the oral culture which can be recovered from sixteenth- and seventeenth-century England is adult male culture’</w:t>
      </w:r>
      <w:r w:rsidRPr="00834E5B">
        <w:t>.</w:t>
      </w:r>
      <w:r w:rsidRPr="00834E5B">
        <w:rPr>
          <w:rStyle w:val="FootnoteReference"/>
        </w:rPr>
        <w:footnoteReference w:id="8"/>
      </w:r>
      <w:r w:rsidRPr="00834E5B">
        <w:t xml:space="preserve"> Textile artefacts can therefore be material traces of the rich oral cultures of women, even if they are no longer fully or easily legible. In addition, and especially in a dramatic context, they can signify and evoke as activities as well as things. </w:t>
      </w:r>
    </w:p>
    <w:p w14:paraId="37EC2364" w14:textId="77777777" w:rsidR="00EF1031" w:rsidRPr="00834E5B" w:rsidRDefault="00EF1031" w:rsidP="00EF1031">
      <w:pPr>
        <w:spacing w:line="480" w:lineRule="auto"/>
      </w:pPr>
    </w:p>
    <w:p w14:paraId="79167F74" w14:textId="77777777" w:rsidR="00EF1031" w:rsidRPr="00834E5B" w:rsidRDefault="00EF1031" w:rsidP="00EF1031">
      <w:pPr>
        <w:spacing w:line="480" w:lineRule="auto"/>
      </w:pPr>
      <w:r w:rsidRPr="00834E5B">
        <w:t xml:space="preserve">In 2.4 of </w:t>
      </w:r>
      <w:r w:rsidRPr="00834E5B">
        <w:rPr>
          <w:i/>
        </w:rPr>
        <w:t>Twelfth Night</w:t>
      </w:r>
      <w:r w:rsidRPr="00834E5B">
        <w:t>, Orsino calls for music, a song that he first describes to Cesario as ‘old and antic’</w:t>
      </w:r>
      <w:r>
        <w:t xml:space="preserve"> (2.4.3)</w:t>
      </w:r>
      <w:r w:rsidRPr="00834E5B">
        <w:t>. When Feste appears to sing it, Orsino comments further:</w:t>
      </w:r>
    </w:p>
    <w:p w14:paraId="6F2473F5" w14:textId="77777777" w:rsidR="00EF1031" w:rsidRPr="00834E5B" w:rsidRDefault="00EF1031" w:rsidP="00EF1031">
      <w:pPr>
        <w:spacing w:line="480" w:lineRule="auto"/>
      </w:pPr>
    </w:p>
    <w:p w14:paraId="648170B8" w14:textId="77777777" w:rsidR="00EF1031" w:rsidRPr="00834E5B" w:rsidRDefault="00EF1031" w:rsidP="00EF1031">
      <w:pPr>
        <w:widowControl w:val="0"/>
        <w:autoSpaceDE w:val="0"/>
        <w:autoSpaceDN w:val="0"/>
        <w:adjustRightInd w:val="0"/>
        <w:spacing w:line="480" w:lineRule="auto"/>
        <w:ind w:left="709"/>
        <w:rPr>
          <w:rFonts w:cs="Times New Roman"/>
          <w:lang w:val="en-US"/>
        </w:rPr>
      </w:pPr>
      <w:proofErr w:type="gramStart"/>
      <w:r w:rsidRPr="00834E5B">
        <w:rPr>
          <w:rFonts w:cs="Times New Roman"/>
          <w:lang w:val="en-US"/>
        </w:rPr>
        <w:t>Mark it</w:t>
      </w:r>
      <w:r>
        <w:rPr>
          <w:rFonts w:cs="Times New Roman"/>
          <w:lang w:val="en-US"/>
        </w:rPr>
        <w:t>,</w:t>
      </w:r>
      <w:r w:rsidRPr="00834E5B">
        <w:rPr>
          <w:rFonts w:cs="Times New Roman"/>
          <w:lang w:val="en-US"/>
        </w:rPr>
        <w:t xml:space="preserve"> Cesario</w:t>
      </w:r>
      <w:proofErr w:type="gramEnd"/>
      <w:r w:rsidRPr="00834E5B">
        <w:rPr>
          <w:rFonts w:cs="Times New Roman"/>
          <w:lang w:val="en-US"/>
        </w:rPr>
        <w:t xml:space="preserve">, </w:t>
      </w:r>
      <w:proofErr w:type="gramStart"/>
      <w:r w:rsidRPr="00834E5B">
        <w:rPr>
          <w:rFonts w:cs="Times New Roman"/>
          <w:lang w:val="en-US"/>
        </w:rPr>
        <w:t>it is old and plain</w:t>
      </w:r>
      <w:proofErr w:type="gramEnd"/>
      <w:r w:rsidRPr="00834E5B">
        <w:rPr>
          <w:rFonts w:cs="Times New Roman"/>
          <w:lang w:val="en-US"/>
        </w:rPr>
        <w:t>.</w:t>
      </w:r>
    </w:p>
    <w:p w14:paraId="54CE2047" w14:textId="77777777" w:rsidR="00EF1031" w:rsidRPr="00834E5B" w:rsidRDefault="00EF1031" w:rsidP="00EF1031">
      <w:pPr>
        <w:widowControl w:val="0"/>
        <w:autoSpaceDE w:val="0"/>
        <w:autoSpaceDN w:val="0"/>
        <w:adjustRightInd w:val="0"/>
        <w:spacing w:line="480" w:lineRule="auto"/>
        <w:ind w:left="709"/>
        <w:rPr>
          <w:rFonts w:cs="Times New Roman"/>
          <w:lang w:val="en-US"/>
        </w:rPr>
      </w:pPr>
      <w:r w:rsidRPr="00834E5B">
        <w:rPr>
          <w:rFonts w:cs="Times New Roman"/>
          <w:lang w:val="en-US"/>
        </w:rPr>
        <w:t>The spinsters</w:t>
      </w:r>
      <w:r>
        <w:rPr>
          <w:rFonts w:cs="Times New Roman"/>
          <w:lang w:val="en-US"/>
        </w:rPr>
        <w:t>,</w:t>
      </w:r>
      <w:r w:rsidRPr="00834E5B">
        <w:rPr>
          <w:rFonts w:cs="Times New Roman"/>
          <w:lang w:val="en-US"/>
        </w:rPr>
        <w:t xml:space="preserve"> and the knitters in the sun,</w:t>
      </w:r>
    </w:p>
    <w:p w14:paraId="02B9310B" w14:textId="77777777" w:rsidR="00EF1031" w:rsidRPr="00834E5B" w:rsidRDefault="00EF1031" w:rsidP="00EF1031">
      <w:pPr>
        <w:widowControl w:val="0"/>
        <w:autoSpaceDE w:val="0"/>
        <w:autoSpaceDN w:val="0"/>
        <w:adjustRightInd w:val="0"/>
        <w:spacing w:line="480" w:lineRule="auto"/>
        <w:ind w:left="709"/>
        <w:rPr>
          <w:rFonts w:cs="Times New Roman"/>
          <w:lang w:val="en-US"/>
        </w:rPr>
      </w:pPr>
      <w:r w:rsidRPr="00834E5B">
        <w:rPr>
          <w:rFonts w:cs="Times New Roman"/>
          <w:lang w:val="en-US"/>
        </w:rPr>
        <w:t>And the free maids that weave their thread with bones,</w:t>
      </w:r>
    </w:p>
    <w:p w14:paraId="159B2008" w14:textId="77777777" w:rsidR="00EF1031" w:rsidRPr="00834E5B" w:rsidRDefault="00EF1031" w:rsidP="00EF1031">
      <w:pPr>
        <w:widowControl w:val="0"/>
        <w:autoSpaceDE w:val="0"/>
        <w:autoSpaceDN w:val="0"/>
        <w:adjustRightInd w:val="0"/>
        <w:spacing w:line="480" w:lineRule="auto"/>
        <w:ind w:left="709"/>
        <w:rPr>
          <w:rFonts w:cs="Times New Roman"/>
          <w:lang w:val="en-US"/>
        </w:rPr>
      </w:pPr>
      <w:r w:rsidRPr="00834E5B">
        <w:rPr>
          <w:rFonts w:cs="Times New Roman"/>
          <w:lang w:val="en-US"/>
        </w:rPr>
        <w:t>Do use to chant it. It is silly sooth,</w:t>
      </w:r>
    </w:p>
    <w:p w14:paraId="7B288CC0" w14:textId="77777777" w:rsidR="00EF1031" w:rsidRPr="00834E5B" w:rsidRDefault="00EF1031" w:rsidP="00EF1031">
      <w:pPr>
        <w:widowControl w:val="0"/>
        <w:autoSpaceDE w:val="0"/>
        <w:autoSpaceDN w:val="0"/>
        <w:adjustRightInd w:val="0"/>
        <w:spacing w:line="480" w:lineRule="auto"/>
        <w:ind w:left="709"/>
        <w:rPr>
          <w:rFonts w:cs="Times New Roman"/>
          <w:lang w:val="en-US"/>
        </w:rPr>
      </w:pPr>
      <w:r w:rsidRPr="00834E5B">
        <w:rPr>
          <w:rFonts w:cs="Times New Roman"/>
          <w:lang w:val="en-US"/>
        </w:rPr>
        <w:t>And dallies with the innocence of love,</w:t>
      </w:r>
    </w:p>
    <w:p w14:paraId="5DAC9B48" w14:textId="77777777" w:rsidR="00EF1031" w:rsidRPr="00834E5B" w:rsidRDefault="00EF1031" w:rsidP="00EF1031">
      <w:pPr>
        <w:spacing w:line="480" w:lineRule="auto"/>
        <w:ind w:left="709"/>
        <w:rPr>
          <w:rFonts w:cs="Times New Roman"/>
          <w:lang w:val="en-US"/>
        </w:rPr>
      </w:pPr>
      <w:proofErr w:type="gramStart"/>
      <w:r w:rsidRPr="00834E5B">
        <w:rPr>
          <w:rFonts w:cs="Times New Roman"/>
          <w:lang w:val="en-US"/>
        </w:rPr>
        <w:t>Like the old age.</w:t>
      </w:r>
      <w:proofErr w:type="gramEnd"/>
      <w:r>
        <w:rPr>
          <w:rFonts w:cs="Times New Roman"/>
          <w:lang w:val="en-US"/>
        </w:rPr>
        <w:t xml:space="preserve"> (2.4.42-7)</w:t>
      </w:r>
    </w:p>
    <w:p w14:paraId="41CE0AF9" w14:textId="77777777" w:rsidR="00EF1031" w:rsidRPr="00834E5B" w:rsidRDefault="00EF1031" w:rsidP="00EF1031">
      <w:pPr>
        <w:spacing w:line="480" w:lineRule="auto"/>
        <w:ind w:left="709"/>
        <w:rPr>
          <w:rFonts w:cs="Times New Roman"/>
          <w:lang w:val="en-US"/>
        </w:rPr>
      </w:pPr>
    </w:p>
    <w:p w14:paraId="1887C8ED" w14:textId="77777777" w:rsidR="00EF1031" w:rsidRPr="00834E5B" w:rsidRDefault="00EF1031" w:rsidP="00EF1031">
      <w:pPr>
        <w:spacing w:line="480" w:lineRule="auto"/>
        <w:rPr>
          <w:rFonts w:cs="Times New Roman"/>
          <w:lang w:val="en-US"/>
        </w:rPr>
      </w:pPr>
      <w:r w:rsidRPr="00834E5B">
        <w:rPr>
          <w:rFonts w:cs="Times New Roman"/>
          <w:lang w:val="en-US"/>
        </w:rPr>
        <w:t xml:space="preserve">Writing about poor women in Shakespeare, Fiona McNeill points out that the lacemakers evoked by Orsino, who are making bone or bobbin lace, are chanting because lacemaking involves complicated counting; work songs have strong rhythms and </w:t>
      </w:r>
      <w:proofErr w:type="gramStart"/>
      <w:r w:rsidRPr="00834E5B">
        <w:rPr>
          <w:rFonts w:cs="Times New Roman"/>
          <w:lang w:val="en-US"/>
        </w:rPr>
        <w:t>repetitions which</w:t>
      </w:r>
      <w:proofErr w:type="gramEnd"/>
      <w:r w:rsidRPr="00834E5B">
        <w:rPr>
          <w:rFonts w:cs="Times New Roman"/>
          <w:lang w:val="en-US"/>
        </w:rPr>
        <w:t xml:space="preserve"> facilitate this. Yet, as McNeill also notes, the song that Feste eventually sings, ‘Come away, death’, doesn’t seem to be a lacemakers’ counting song or ‘tell’, as they were known, at all.</w:t>
      </w:r>
      <w:r w:rsidRPr="00834E5B">
        <w:rPr>
          <w:rStyle w:val="FootnoteReference"/>
          <w:rFonts w:cs="Times New Roman"/>
          <w:lang w:val="en-US"/>
        </w:rPr>
        <w:footnoteReference w:id="9"/>
      </w:r>
      <w:r w:rsidRPr="00834E5B">
        <w:rPr>
          <w:rFonts w:cs="Times New Roman"/>
          <w:lang w:val="en-US"/>
        </w:rPr>
        <w:t xml:space="preserve"> The socio-economic history that she elucidates is fascinating and important, but it doesn’t tell us much directly about the work that this song, and especially the way in which it is introduced and framed by Orsino, is doing in this scene. </w:t>
      </w:r>
    </w:p>
    <w:p w14:paraId="2C33F71A" w14:textId="77777777" w:rsidR="00EF1031" w:rsidRPr="00834E5B" w:rsidRDefault="00EF1031" w:rsidP="00EF1031">
      <w:pPr>
        <w:spacing w:line="480" w:lineRule="auto"/>
        <w:rPr>
          <w:rFonts w:cs="Times New Roman"/>
          <w:lang w:val="en-US"/>
        </w:rPr>
      </w:pPr>
    </w:p>
    <w:p w14:paraId="609B7377" w14:textId="77777777" w:rsidR="00EF1031" w:rsidRPr="00834E5B" w:rsidRDefault="00EF1031" w:rsidP="00EF1031">
      <w:pPr>
        <w:spacing w:line="480" w:lineRule="auto"/>
        <w:rPr>
          <w:rFonts w:cs="Times New Roman"/>
          <w:lang w:val="en-US"/>
        </w:rPr>
      </w:pPr>
      <w:r w:rsidRPr="00834E5B">
        <w:rPr>
          <w:rFonts w:cs="Times New Roman"/>
          <w:lang w:val="en-US"/>
        </w:rPr>
        <w:t>Like Wyatt’s poem, Orsino’s speech conjures a nostalgic scene of female making as the context for son</w:t>
      </w:r>
      <w:r>
        <w:rPr>
          <w:rFonts w:cs="Times New Roman"/>
          <w:lang w:val="en-US"/>
        </w:rPr>
        <w:t>g or tale. Unlike Wyatt’s poem</w:t>
      </w:r>
      <w:r w:rsidRPr="00834E5B">
        <w:rPr>
          <w:rFonts w:cs="Times New Roman"/>
          <w:lang w:val="en-US"/>
        </w:rPr>
        <w:t xml:space="preserve">, the </w:t>
      </w:r>
      <w:proofErr w:type="gramStart"/>
      <w:r w:rsidRPr="00834E5B">
        <w:rPr>
          <w:rFonts w:cs="Times New Roman"/>
          <w:lang w:val="en-US"/>
        </w:rPr>
        <w:t>song which follows</w:t>
      </w:r>
      <w:proofErr w:type="gramEnd"/>
      <w:r w:rsidRPr="00834E5B">
        <w:rPr>
          <w:rFonts w:cs="Times New Roman"/>
          <w:lang w:val="en-US"/>
        </w:rPr>
        <w:t xml:space="preserve"> is not a </w:t>
      </w:r>
      <w:r>
        <w:rPr>
          <w:rFonts w:cs="Times New Roman"/>
          <w:lang w:val="en-US"/>
        </w:rPr>
        <w:t>fable or a satire,</w:t>
      </w:r>
      <w:r w:rsidRPr="00834E5B">
        <w:rPr>
          <w:rFonts w:cs="Times New Roman"/>
          <w:lang w:val="en-US"/>
        </w:rPr>
        <w:t xml:space="preserve"> </w:t>
      </w:r>
      <w:r>
        <w:rPr>
          <w:rFonts w:cs="Times New Roman"/>
          <w:lang w:val="en-US"/>
        </w:rPr>
        <w:t xml:space="preserve">yet </w:t>
      </w:r>
      <w:r w:rsidRPr="00834E5B">
        <w:rPr>
          <w:rFonts w:cs="Times New Roman"/>
          <w:lang w:val="en-US"/>
        </w:rPr>
        <w:t>it does not fit or reflect the terms in which it has been introduced</w:t>
      </w:r>
      <w:r>
        <w:rPr>
          <w:rFonts w:cs="Times New Roman"/>
          <w:lang w:val="en-US"/>
        </w:rPr>
        <w:t xml:space="preserve"> either</w:t>
      </w:r>
      <w:r w:rsidRPr="00834E5B">
        <w:rPr>
          <w:rFonts w:cs="Times New Roman"/>
          <w:lang w:val="en-US"/>
        </w:rPr>
        <w:t xml:space="preserve">. </w:t>
      </w:r>
      <w:proofErr w:type="gramStart"/>
      <w:r w:rsidRPr="00834E5B">
        <w:rPr>
          <w:rFonts w:cs="Times New Roman"/>
          <w:lang w:val="en-US"/>
        </w:rPr>
        <w:t>Its lyric content ventriloquises the narcissistic Orsino, melodramatically ‘slain by a fair cruel maid’</w:t>
      </w:r>
      <w:r>
        <w:rPr>
          <w:rFonts w:cs="Times New Roman"/>
          <w:lang w:val="en-US"/>
        </w:rPr>
        <w:t xml:space="preserve"> (2.4.53)</w:t>
      </w:r>
      <w:r w:rsidRPr="00834E5B">
        <w:rPr>
          <w:rFonts w:cs="Times New Roman"/>
          <w:lang w:val="en-US"/>
        </w:rPr>
        <w:t>.</w:t>
      </w:r>
      <w:proofErr w:type="gramEnd"/>
      <w:r w:rsidRPr="00834E5B">
        <w:rPr>
          <w:rFonts w:cs="Times New Roman"/>
          <w:lang w:val="en-US"/>
        </w:rPr>
        <w:t xml:space="preserve"> What the scene will go on to do, however, is invoke and then suppress another woman’s story, that of Cesario’s sister, who both is and is not Viola, who ‘never told her love’, whose history remained ‘a blank’</w:t>
      </w:r>
      <w:r>
        <w:rPr>
          <w:rFonts w:cs="Times New Roman"/>
          <w:lang w:val="en-US"/>
        </w:rPr>
        <w:t xml:space="preserve"> (2.4.110)</w:t>
      </w:r>
      <w:r w:rsidRPr="00834E5B">
        <w:rPr>
          <w:rFonts w:cs="Times New Roman"/>
          <w:lang w:val="en-US"/>
        </w:rPr>
        <w:t xml:space="preserve">. One of the things that Orsino’s frame does is to introduce and then frustrate or occlude a feminine mode of making and telling stories, anticipating the scene’s later and more poignant female absent presence. Orsino’s household is apparently an entirely male one, and one which, for all its music and lyricism, privileges the individual – no one has ever loved like me, says Orsino – over the communal: there seems to be no room here for an alternative model of female speaking and subjective narration which might enable Cesario’s sister to tell. And, as editors point out, although Orsino’s companion Curio is identified by name in the dialogue, his colleague Valentine is only named as such in the speech prefixes. It’s easy to find Ovid in </w:t>
      </w:r>
      <w:r w:rsidRPr="00834E5B">
        <w:rPr>
          <w:rFonts w:cs="Times New Roman"/>
          <w:i/>
          <w:lang w:val="en-US"/>
        </w:rPr>
        <w:t>Twelfth Night</w:t>
      </w:r>
      <w:r w:rsidRPr="00834E5B">
        <w:rPr>
          <w:rFonts w:cs="Times New Roman"/>
          <w:lang w:val="en-US"/>
        </w:rPr>
        <w:t>,</w:t>
      </w:r>
      <w:r w:rsidRPr="00834E5B">
        <w:rPr>
          <w:rStyle w:val="FootnoteReference"/>
          <w:rFonts w:cs="Times New Roman"/>
          <w:lang w:val="en-US"/>
        </w:rPr>
        <w:footnoteReference w:id="10"/>
      </w:r>
      <w:r w:rsidRPr="00834E5B">
        <w:rPr>
          <w:rFonts w:cs="Times New Roman"/>
          <w:lang w:val="en-US"/>
        </w:rPr>
        <w:t xml:space="preserve"> but Valentine and Orsino-Orson,</w:t>
      </w:r>
      <w:r w:rsidRPr="00834E5B">
        <w:rPr>
          <w:rStyle w:val="FootnoteReference"/>
          <w:rFonts w:cs="Times New Roman"/>
          <w:lang w:val="en-US"/>
        </w:rPr>
        <w:footnoteReference w:id="11"/>
      </w:r>
      <w:r w:rsidRPr="00834E5B">
        <w:rPr>
          <w:rFonts w:cs="Times New Roman"/>
          <w:lang w:val="en-US"/>
        </w:rPr>
        <w:t xml:space="preserve"> like Wyatt’s mice, also belong, at least in name, to the more folkloric world of the lacemakers, the knitters and the spinsters.</w:t>
      </w:r>
      <w:r w:rsidRPr="00834E5B">
        <w:rPr>
          <w:rStyle w:val="FootnoteReference"/>
          <w:rFonts w:cs="Times New Roman"/>
          <w:lang w:val="en-US"/>
        </w:rPr>
        <w:footnoteReference w:id="12"/>
      </w:r>
    </w:p>
    <w:p w14:paraId="46A97FF6" w14:textId="77777777" w:rsidR="00EF1031" w:rsidRPr="00834E5B" w:rsidRDefault="00EF1031" w:rsidP="00EF1031">
      <w:pPr>
        <w:spacing w:line="480" w:lineRule="auto"/>
        <w:rPr>
          <w:rFonts w:cs="Times New Roman"/>
          <w:lang w:val="en-US"/>
        </w:rPr>
      </w:pPr>
    </w:p>
    <w:p w14:paraId="6F9ED123" w14:textId="77777777" w:rsidR="00EF1031" w:rsidRPr="00834E5B" w:rsidRDefault="00EF1031" w:rsidP="00EF1031">
      <w:pPr>
        <w:spacing w:line="480" w:lineRule="auto"/>
      </w:pPr>
      <w:r w:rsidRPr="00834E5B">
        <w:t>Sewing is one of the very few forms of making that can readily be staged. It doesn’t require fire, or heavy equipment; unlike cooking, it’s not messy. (Also unlike cooking, it can be indefinitely extended as a staged process, rather than performing an action which must be completed in order to signify fully: a garland must be fully woven; a bow tie tied, claret decanted, sandwich made. With sewing, timing is usually not an issue.)</w:t>
      </w:r>
      <w:r w:rsidRPr="00834E5B">
        <w:rPr>
          <w:rStyle w:val="FootnoteReference"/>
        </w:rPr>
        <w:footnoteReference w:id="13"/>
      </w:r>
      <w:r w:rsidRPr="00834E5B">
        <w:t xml:space="preserve"> Staged needlework could have a novelty value, especially in plays performed by the children’s companies: Lois Potter cites </w:t>
      </w:r>
      <w:r w:rsidRPr="00834E5B">
        <w:rPr>
          <w:i/>
        </w:rPr>
        <w:t>Ralph Roister Doister</w:t>
      </w:r>
      <w:r w:rsidRPr="00834E5B">
        <w:t>, probably written by Nicholas Udall, probably for performance by schoolboys, in the mid 1550s, which includes</w:t>
      </w:r>
    </w:p>
    <w:p w14:paraId="3ACA2493" w14:textId="77777777" w:rsidR="00EF1031" w:rsidRPr="00834E5B" w:rsidRDefault="00EF1031" w:rsidP="00EF1031">
      <w:pPr>
        <w:spacing w:line="480" w:lineRule="auto"/>
      </w:pPr>
    </w:p>
    <w:p w14:paraId="77E9F4CA" w14:textId="77777777" w:rsidR="00EF1031" w:rsidRPr="00834E5B" w:rsidRDefault="00EF1031" w:rsidP="00EF1031">
      <w:pPr>
        <w:spacing w:line="480" w:lineRule="auto"/>
        <w:ind w:left="709"/>
      </w:pPr>
      <w:proofErr w:type="gramStart"/>
      <w:r w:rsidRPr="00834E5B">
        <w:t>a</w:t>
      </w:r>
      <w:proofErr w:type="gramEnd"/>
      <w:r w:rsidRPr="00834E5B">
        <w:t>[n] … elaborate scene in which the maidservants – Madge Mumblecrust, Tib Talkapace and Annot Alyface – sing while performing three different female occupations, sewing, spinning and knitting (“So shall we pleasantly bothe the tyme beguile now, | And eke dispatche all our works ere we can tell how.”). The resulting song for three voices, the most popular form in this period, shows the women competing to see who can work fastest (“Sewe Tibet, knitte Anot, spinne Margerie, | Let us see who shall winne the victorie”: lines 314-15).</w:t>
      </w:r>
      <w:r w:rsidRPr="00834E5B">
        <w:rPr>
          <w:rStyle w:val="FootnoteReference"/>
        </w:rPr>
        <w:footnoteReference w:id="14"/>
      </w:r>
    </w:p>
    <w:p w14:paraId="6560DDF8" w14:textId="77777777" w:rsidR="00EF1031" w:rsidRPr="00834E5B" w:rsidRDefault="00EF1031" w:rsidP="00EF1031">
      <w:pPr>
        <w:spacing w:line="480" w:lineRule="auto"/>
        <w:ind w:left="709"/>
      </w:pPr>
    </w:p>
    <w:p w14:paraId="50306535" w14:textId="77777777" w:rsidR="00EF1031" w:rsidRPr="00834E5B" w:rsidRDefault="00EF1031" w:rsidP="00EF1031">
      <w:pPr>
        <w:spacing w:line="480" w:lineRule="auto"/>
      </w:pPr>
      <w:r w:rsidRPr="00834E5B">
        <w:t>She suggests that ‘This scene of manual labor by boys playing women must have looked as charming to spectators as it does to Ralph R</w:t>
      </w:r>
      <w:r>
        <w:t>oister Doister, who watches it’.</w:t>
      </w:r>
      <w:r w:rsidRPr="00834E5B">
        <w:t xml:space="preserve"> </w:t>
      </w:r>
      <w:r>
        <w:t>She</w:t>
      </w:r>
      <w:r w:rsidRPr="00834E5B">
        <w:t xml:space="preserve"> also notes Bunch the Botcher, played by the clown, in </w:t>
      </w:r>
      <w:r w:rsidRPr="00834E5B">
        <w:rPr>
          <w:i/>
        </w:rPr>
        <w:t>The Weakest Goeth to the Wall</w:t>
      </w:r>
      <w:r w:rsidRPr="00834E5B">
        <w:t>, perhaps performed by the Earl of Oxford’s boys in 1599 (and printed in 1600). The clown enters ‘with a paire of sheares, a handbasket with a crossebottome of thread, three or foure paire of old stockings, peeces of fustian and cloath, &amp;c,’ and proceeds to mend a stocking as he sings, so ‘imitat[ing] the kind of basic mending that many men probably did themselves’.</w:t>
      </w:r>
      <w:r w:rsidRPr="00834E5B">
        <w:rPr>
          <w:rStyle w:val="FootnoteReference"/>
        </w:rPr>
        <w:footnoteReference w:id="15"/>
      </w:r>
      <w:r w:rsidRPr="00834E5B">
        <w:t xml:space="preserve"> Potter suggests that Dekker’s </w:t>
      </w:r>
      <w:r w:rsidRPr="00834E5B">
        <w:rPr>
          <w:i/>
        </w:rPr>
        <w:t>Shoemakers’ Holiday</w:t>
      </w:r>
      <w:r w:rsidRPr="00834E5B">
        <w:t>, with its workshop scenes, may have spawned imitators: Dekker himself made his Patient Grissil one of a family of basket-weavers, and included a scene of such weaving: ‘</w:t>
      </w:r>
      <w:r w:rsidRPr="00834E5B">
        <w:rPr>
          <w:rFonts w:cs="Times"/>
          <w:lang w:val="en-US"/>
        </w:rPr>
        <w:t>The task is partly symbolic: the easily bending osier stands for social and marital obedience</w:t>
      </w:r>
      <w:r w:rsidRPr="00834E5B">
        <w:t>’.</w:t>
      </w:r>
      <w:r w:rsidRPr="00834E5B">
        <w:rPr>
          <w:rStyle w:val="FootnoteReference"/>
        </w:rPr>
        <w:footnoteReference w:id="16"/>
      </w:r>
    </w:p>
    <w:p w14:paraId="6BA79498" w14:textId="77777777" w:rsidR="00EF1031" w:rsidRPr="00834E5B" w:rsidRDefault="00EF1031" w:rsidP="00EF1031">
      <w:pPr>
        <w:spacing w:line="480" w:lineRule="auto"/>
      </w:pPr>
    </w:p>
    <w:p w14:paraId="16FC6C1B" w14:textId="77777777" w:rsidR="00EF1031" w:rsidRPr="00834E5B" w:rsidRDefault="00EF1031" w:rsidP="00EF1031">
      <w:pPr>
        <w:spacing w:line="480" w:lineRule="auto"/>
      </w:pPr>
      <w:r w:rsidRPr="00834E5B">
        <w:t xml:space="preserve">Needlework can economically establish both setting (the private domestic interior, as in the examples discussed below) and character (the good, sometimes dull, woman: ‘In </w:t>
      </w:r>
      <w:r w:rsidRPr="00834E5B">
        <w:rPr>
          <w:i/>
        </w:rPr>
        <w:t>Eastward Ho</w:t>
      </w:r>
      <w:r w:rsidRPr="00834E5B">
        <w:t>, stitchery is stage shorthand to establish character: the unassuming Mildred is first seen “</w:t>
      </w:r>
      <w:r w:rsidRPr="00834E5B">
        <w:rPr>
          <w:i/>
        </w:rPr>
        <w:t>sewing</w:t>
      </w:r>
      <w:r w:rsidRPr="00834E5B">
        <w:t>”’).</w:t>
      </w:r>
      <w:r w:rsidRPr="00834E5B">
        <w:rPr>
          <w:rStyle w:val="FootnoteReference"/>
        </w:rPr>
        <w:footnoteReference w:id="17"/>
      </w:r>
      <w:r w:rsidRPr="00834E5B">
        <w:t xml:space="preserve"> And needlework, and textile work more generally, can also focus attention on process, the making rather than the made. On stage, the stitches cannot easily be seen, but the activity, and the repeated </w:t>
      </w:r>
      <w:proofErr w:type="gramStart"/>
      <w:r w:rsidRPr="00834E5B">
        <w:t>movements which</w:t>
      </w:r>
      <w:proofErr w:type="gramEnd"/>
      <w:r w:rsidRPr="00834E5B">
        <w:t xml:space="preserve"> constitute it, can be made visible. Even more than letters and other papers, staged or invocated sewing can act as a focusing mechanism for the audience: it demands a particular kind of real or imaginative attention, to small or even invisible things and the precise and delicate movement of the hands. More than simply being the visual equivalent of asking characters or audience to listen, it can itself signal that request, and one of the things to which it perhaps invites more careful attention is a plurality of voices, and the stories that don’t necessarily get heard or written down. For an early modern audience in particular, sewing scenes might readily be associated with attentive listening. Frye notes women recording what they heard read aloud as they sewed in their diaries: Elizabeth Hoby noted Foxe, Latimer’s </w:t>
      </w:r>
      <w:r w:rsidRPr="00834E5B">
        <w:rPr>
          <w:i/>
        </w:rPr>
        <w:t>Sermons</w:t>
      </w:r>
      <w:r w:rsidRPr="00834E5B">
        <w:t xml:space="preserve">, and Bright’s </w:t>
      </w:r>
      <w:r w:rsidRPr="00834E5B">
        <w:rPr>
          <w:i/>
        </w:rPr>
        <w:t>Melancholy</w:t>
      </w:r>
      <w:r w:rsidRPr="00834E5B">
        <w:t>, as well as other Protestant works, but Anne Clifford heard Ovid, Spenser, and Montaigne.</w:t>
      </w:r>
      <w:r w:rsidRPr="00834E5B">
        <w:rPr>
          <w:rStyle w:val="FootnoteReference"/>
        </w:rPr>
        <w:footnoteReference w:id="18"/>
      </w:r>
    </w:p>
    <w:p w14:paraId="6CCBF609" w14:textId="77777777" w:rsidR="00EF1031" w:rsidRPr="00834E5B" w:rsidRDefault="00EF1031" w:rsidP="00EF1031">
      <w:pPr>
        <w:spacing w:line="480" w:lineRule="auto"/>
        <w:rPr>
          <w:rFonts w:cs="Times New Roman"/>
          <w:lang w:val="en-US"/>
        </w:rPr>
      </w:pPr>
    </w:p>
    <w:p w14:paraId="67AABA3E" w14:textId="77777777" w:rsidR="00EF1031" w:rsidRPr="00834E5B" w:rsidRDefault="00EF1031" w:rsidP="00EF1031">
      <w:pPr>
        <w:spacing w:line="480" w:lineRule="auto"/>
      </w:pPr>
      <w:r w:rsidRPr="00834E5B">
        <w:t>Ophelia has been sewing in her closet when she is visited and frightened by the apparently mad Hamlet, in the episode she describes to her father in 2.1. Orlin describes this as her ‘moment of greatest innocence’, noting that ‘Sewing scenes are often strategically employed in the interest of heightened dramatic contrast, to establish a woman’s impregnable purity just before it is assailed or before she encounters some other form of jeopardy’.</w:t>
      </w:r>
      <w:r w:rsidRPr="00834E5B">
        <w:rPr>
          <w:rStyle w:val="FootnoteReference"/>
        </w:rPr>
        <w:footnoteReference w:id="19"/>
      </w:r>
      <w:r w:rsidRPr="00834E5B">
        <w:t xml:space="preserve"> In early modern dress at least it would not be incongruous for Ophelia still to be clutching her work when she describes the episode to Polonius, and it would underscore that this can also be one of Ophelia’s moments of quasi-dramaturgical power in the play, vividly describing and perhaps even performing Hamlet’s appearance, gestures, and actions. She is a maker, unfolding a tale (the textile metaphor resonates) analogous to that promised by the Ghost, who has, perhaps, </w:t>
      </w:r>
      <w:proofErr w:type="gramStart"/>
      <w:r w:rsidRPr="00834E5B">
        <w:t>himself</w:t>
      </w:r>
      <w:proofErr w:type="gramEnd"/>
      <w:r w:rsidRPr="00834E5B">
        <w:t xml:space="preserve"> been loosed out of hell. This moment’s negative counterpart can be found in her mad scenes, her performance of ballad fragments, </w:t>
      </w:r>
      <w:proofErr w:type="gramStart"/>
      <w:r w:rsidRPr="00834E5B">
        <w:t>scraps</w:t>
      </w:r>
      <w:proofErr w:type="gramEnd"/>
      <w:r w:rsidRPr="00834E5B">
        <w:t xml:space="preserve"> of feminine oral culture.</w:t>
      </w:r>
      <w:r w:rsidRPr="00834E5B">
        <w:rPr>
          <w:rStyle w:val="FootnoteReference"/>
        </w:rPr>
        <w:footnoteReference w:id="20"/>
      </w:r>
      <w:r w:rsidRPr="00834E5B">
        <w:t xml:space="preserve"> The herbs and flowers that she distributes, if they were staged as such, could also recall such embroidery, and specifically the ‘slips’, the individual motifs, frequently floral, which were one of the most common forms of embroidery worked by elite women. ‘Once worked in a canvas ground, these slips could be cut out and sewn onto a woven fabric such as velvet, and they are found adorning all types of furnishings and clothing in the period, from gloves to wall hangings and bed curtains’.</w:t>
      </w:r>
      <w:r w:rsidRPr="00834E5B">
        <w:rPr>
          <w:rStyle w:val="FootnoteReference"/>
        </w:rPr>
        <w:footnoteReference w:id="21"/>
      </w:r>
      <w:r w:rsidRPr="00834E5B">
        <w:t xml:space="preserve"> When sent by her father and the king to intercept Hamlet in the lobby, however, Ophelia is given a book as camouflage. The book marks her solitariness as much as her needlework might stand for her participation in an unseen community of women,</w:t>
      </w:r>
      <w:r w:rsidRPr="00834E5B">
        <w:rPr>
          <w:rStyle w:val="FootnoteReference"/>
        </w:rPr>
        <w:footnoteReference w:id="22"/>
      </w:r>
      <w:r w:rsidRPr="00834E5B">
        <w:t xml:space="preserve"> but it also marks her inscription and incorporation into patriarchal narratives of paternal and political control. </w:t>
      </w:r>
    </w:p>
    <w:p w14:paraId="1BB7C9D9" w14:textId="77777777" w:rsidR="00EF1031" w:rsidRPr="00834E5B" w:rsidRDefault="00EF1031" w:rsidP="00EF1031">
      <w:pPr>
        <w:spacing w:line="480" w:lineRule="auto"/>
        <w:rPr>
          <w:rFonts w:cs="Times New Roman"/>
          <w:lang w:val="en-US"/>
        </w:rPr>
      </w:pPr>
    </w:p>
    <w:p w14:paraId="74C73DD4" w14:textId="77777777" w:rsidR="00EF1031" w:rsidRPr="00834E5B" w:rsidRDefault="00EF1031" w:rsidP="00EF1031">
      <w:pPr>
        <w:spacing w:line="480" w:lineRule="auto"/>
      </w:pPr>
      <w:r w:rsidRPr="00834E5B">
        <w:t>Early modern education was strongly gendered, and further marked by the considerations of social class: Latin, especially Ovid, connoted public, masculine literacy; needlework evoked feminine private oracy.</w:t>
      </w:r>
      <w:r w:rsidRPr="00834E5B">
        <w:rPr>
          <w:rStyle w:val="FootnoteReference"/>
        </w:rPr>
        <w:footnoteReference w:id="23"/>
      </w:r>
      <w:r w:rsidRPr="00834E5B">
        <w:t xml:space="preserve"> Wendy Wall cites Anthony Munday’s </w:t>
      </w:r>
      <w:r w:rsidRPr="00834E5B">
        <w:rPr>
          <w:i/>
        </w:rPr>
        <w:t>Fedele and Fortunio</w:t>
      </w:r>
      <w:r w:rsidRPr="00834E5B">
        <w:t xml:space="preserve"> (1585), at the end of which Pedante proposes to Medusa with the suggestion</w:t>
      </w:r>
    </w:p>
    <w:p w14:paraId="1A9BF078" w14:textId="77777777" w:rsidR="00EF1031" w:rsidRPr="00834E5B" w:rsidRDefault="00EF1031" w:rsidP="00EF1031">
      <w:pPr>
        <w:spacing w:line="480" w:lineRule="auto"/>
      </w:pPr>
    </w:p>
    <w:p w14:paraId="6B64E835" w14:textId="77777777" w:rsidR="00EF1031" w:rsidRPr="00834E5B" w:rsidRDefault="00EF1031" w:rsidP="00EF1031">
      <w:pPr>
        <w:spacing w:line="480" w:lineRule="auto"/>
        <w:ind w:left="709"/>
      </w:pPr>
      <w:r w:rsidRPr="00834E5B">
        <w:t>I’ll set up a great grammar schoole by and by,</w:t>
      </w:r>
    </w:p>
    <w:p w14:paraId="192D3770" w14:textId="77777777" w:rsidR="00EF1031" w:rsidRPr="00834E5B" w:rsidRDefault="00EF1031" w:rsidP="00EF1031">
      <w:pPr>
        <w:spacing w:line="480" w:lineRule="auto"/>
        <w:ind w:left="709"/>
      </w:pPr>
      <w:proofErr w:type="gramStart"/>
      <w:r w:rsidRPr="00834E5B">
        <w:t>We shall thrive well enough</w:t>
      </w:r>
      <w:proofErr w:type="gramEnd"/>
      <w:r w:rsidRPr="00834E5B">
        <w:t xml:space="preserve">, </w:t>
      </w:r>
      <w:proofErr w:type="gramStart"/>
      <w:r w:rsidRPr="00834E5B">
        <w:t>it will tumble in roundly</w:t>
      </w:r>
      <w:proofErr w:type="gramEnd"/>
      <w:r w:rsidRPr="00834E5B">
        <w:t>.</w:t>
      </w:r>
    </w:p>
    <w:p w14:paraId="76B472AA" w14:textId="77777777" w:rsidR="00EF1031" w:rsidRPr="00834E5B" w:rsidRDefault="00EF1031" w:rsidP="00EF1031">
      <w:pPr>
        <w:spacing w:line="480" w:lineRule="auto"/>
        <w:ind w:left="709"/>
      </w:pPr>
      <w:r w:rsidRPr="00834E5B">
        <w:t>I’ll teach boyes the Latin tongue, to write and to read,</w:t>
      </w:r>
    </w:p>
    <w:p w14:paraId="039FDFB1" w14:textId="77777777" w:rsidR="00EF1031" w:rsidRPr="00834E5B" w:rsidRDefault="00EF1031" w:rsidP="00EF1031">
      <w:pPr>
        <w:spacing w:line="480" w:lineRule="auto"/>
        <w:ind w:left="709"/>
      </w:pPr>
      <w:r w:rsidRPr="00834E5B">
        <w:t>And thou, little wenches, their needle and thread,</w:t>
      </w:r>
    </w:p>
    <w:p w14:paraId="27554D90" w14:textId="77777777" w:rsidR="00EF1031" w:rsidRPr="00834E5B" w:rsidRDefault="00EF1031" w:rsidP="00EF1031">
      <w:pPr>
        <w:spacing w:line="480" w:lineRule="auto"/>
      </w:pPr>
    </w:p>
    <w:p w14:paraId="0E8D5300" w14:textId="77777777" w:rsidR="00EF1031" w:rsidRPr="00834E5B" w:rsidRDefault="00EF1031" w:rsidP="00EF1031">
      <w:pPr>
        <w:spacing w:line="480" w:lineRule="auto"/>
      </w:pPr>
      <w:proofErr w:type="gramStart"/>
      <w:r w:rsidRPr="00834E5B">
        <w:t>suggesting</w:t>
      </w:r>
      <w:proofErr w:type="gramEnd"/>
      <w:r w:rsidRPr="00834E5B">
        <w:t xml:space="preserve"> that he ‘dwells on needles as a sign of segregated schooling’.</w:t>
      </w:r>
      <w:r w:rsidRPr="00834E5B">
        <w:rPr>
          <w:rStyle w:val="FootnoteReference"/>
        </w:rPr>
        <w:footnoteReference w:id="24"/>
      </w:r>
      <w:r w:rsidRPr="00834E5B">
        <w:t xml:space="preserve"> Girls were trained in needlework because it offered them a means of earning an independent living, albeit an impoverished one, as well as contributing to a household economy. </w:t>
      </w:r>
      <w:r>
        <w:t xml:space="preserve">And plain sewing skills were needed for the manufacture of family clothing and household linens; all housewives needed to have basic embroidery skills so as to be able to mark their linens if they were being sent out for laundering, as was often the case. </w:t>
      </w:r>
      <w:r w:rsidRPr="00834E5B">
        <w:t>Amy Louise Erickson notes that</w:t>
      </w:r>
    </w:p>
    <w:p w14:paraId="5EB5D7A0" w14:textId="77777777" w:rsidR="00EF1031" w:rsidRPr="00834E5B" w:rsidRDefault="00EF1031" w:rsidP="00EF1031">
      <w:pPr>
        <w:spacing w:line="480" w:lineRule="auto"/>
      </w:pPr>
    </w:p>
    <w:p w14:paraId="011E10E9" w14:textId="77777777" w:rsidR="00EF1031" w:rsidRPr="00834E5B" w:rsidRDefault="00EF1031" w:rsidP="00EF1031">
      <w:pPr>
        <w:spacing w:line="480" w:lineRule="auto"/>
        <w:ind w:left="709"/>
      </w:pPr>
      <w:r w:rsidRPr="00834E5B">
        <w:t xml:space="preserve">Needlework alone—without reading—was available to very poor girls. Widows on poor relief in Ipswich at the end of the sixteenth century had daughters of between 7 and 11 who were at ‘skoole to knyt’ or who ‘goeth to knitting schole’. An accomplished knitter could make 2s. </w:t>
      </w:r>
      <w:proofErr w:type="gramStart"/>
      <w:r w:rsidRPr="00834E5B">
        <w:t>a</w:t>
      </w:r>
      <w:proofErr w:type="gramEnd"/>
      <w:r w:rsidRPr="00834E5B">
        <w:t xml:space="preserve"> week, whereas these girls’ mothers picked oakum for 4d., or made bone lace for 9d. </w:t>
      </w:r>
      <w:proofErr w:type="gramStart"/>
      <w:r w:rsidRPr="00834E5B">
        <w:t>a</w:t>
      </w:r>
      <w:proofErr w:type="gramEnd"/>
      <w:r w:rsidRPr="00834E5B">
        <w:t xml:space="preserve"> week.</w:t>
      </w:r>
      <w:r w:rsidRPr="00834E5B">
        <w:rPr>
          <w:rStyle w:val="FootnoteReference"/>
        </w:rPr>
        <w:footnoteReference w:id="25"/>
      </w:r>
    </w:p>
    <w:p w14:paraId="797B70D1" w14:textId="77777777" w:rsidR="00EF1031" w:rsidRPr="00834E5B" w:rsidRDefault="00EF1031" w:rsidP="00EF1031">
      <w:pPr>
        <w:spacing w:line="480" w:lineRule="auto"/>
      </w:pPr>
    </w:p>
    <w:p w14:paraId="0FA3E848" w14:textId="77777777" w:rsidR="00EF1031" w:rsidRPr="00834E5B" w:rsidRDefault="00EF1031" w:rsidP="00EF1031">
      <w:pPr>
        <w:spacing w:line="480" w:lineRule="auto"/>
      </w:pPr>
      <w:r w:rsidRPr="00834E5B">
        <w:t>For these women, it was a means of survival, not simply a domestic or more ornamental accomplishment.</w:t>
      </w:r>
    </w:p>
    <w:p w14:paraId="1E12D5D2" w14:textId="77777777" w:rsidR="00EF1031" w:rsidRPr="00834E5B" w:rsidRDefault="00EF1031" w:rsidP="00EF1031">
      <w:pPr>
        <w:spacing w:line="480" w:lineRule="auto"/>
      </w:pPr>
    </w:p>
    <w:p w14:paraId="53A18D97" w14:textId="77777777" w:rsidR="00EF1031" w:rsidRPr="00834E5B" w:rsidRDefault="00EF1031" w:rsidP="00EF1031">
      <w:pPr>
        <w:spacing w:line="480" w:lineRule="auto"/>
      </w:pPr>
      <w:r w:rsidRPr="00834E5B">
        <w:t xml:space="preserve">In </w:t>
      </w:r>
      <w:r w:rsidRPr="00834E5B">
        <w:rPr>
          <w:i/>
        </w:rPr>
        <w:t>Midsummer Night’s Dream</w:t>
      </w:r>
      <w:r w:rsidRPr="00834E5B">
        <w:t>, Helena’s memories of her long friendship with Hermia are grounded in a similar identification of women’s education with needlework, albeit in a much more elite context:</w:t>
      </w:r>
    </w:p>
    <w:p w14:paraId="77C1AB73" w14:textId="77777777" w:rsidR="00EF1031" w:rsidRPr="00834E5B" w:rsidRDefault="00EF1031" w:rsidP="00EF1031">
      <w:pPr>
        <w:spacing w:line="480" w:lineRule="auto"/>
      </w:pPr>
    </w:p>
    <w:p w14:paraId="5BDB538F" w14:textId="77777777" w:rsidR="00EF1031" w:rsidRPr="00834E5B" w:rsidRDefault="00EF1031" w:rsidP="00EF1031">
      <w:pPr>
        <w:widowControl w:val="0"/>
        <w:autoSpaceDE w:val="0"/>
        <w:autoSpaceDN w:val="0"/>
        <w:adjustRightInd w:val="0"/>
        <w:spacing w:line="480" w:lineRule="auto"/>
        <w:ind w:left="709"/>
        <w:rPr>
          <w:rFonts w:cs="Times New Roman"/>
          <w:color w:val="1B1B1B"/>
          <w:lang w:val="en-US"/>
        </w:rPr>
      </w:pPr>
      <w:r w:rsidRPr="00834E5B">
        <w:rPr>
          <w:rFonts w:cs="Times New Roman"/>
          <w:color w:val="1B1B1B"/>
          <w:lang w:val="en-US"/>
        </w:rPr>
        <w:t>O, is all quite forgot?</w:t>
      </w:r>
    </w:p>
    <w:p w14:paraId="08218DAA" w14:textId="77777777" w:rsidR="00EF1031" w:rsidRPr="00834E5B" w:rsidRDefault="00EF1031" w:rsidP="00EF1031">
      <w:pPr>
        <w:widowControl w:val="0"/>
        <w:autoSpaceDE w:val="0"/>
        <w:autoSpaceDN w:val="0"/>
        <w:adjustRightInd w:val="0"/>
        <w:spacing w:line="480" w:lineRule="auto"/>
        <w:ind w:left="709"/>
        <w:rPr>
          <w:rFonts w:cs="Times New Roman"/>
          <w:color w:val="1B1B1B"/>
          <w:lang w:val="en-US"/>
        </w:rPr>
      </w:pPr>
      <w:proofErr w:type="gramStart"/>
      <w:r w:rsidRPr="00834E5B">
        <w:rPr>
          <w:rFonts w:cs="Times New Roman"/>
          <w:color w:val="1B1B1B"/>
          <w:lang w:val="en-US"/>
        </w:rPr>
        <w:t>All schooldays’ friendship, childhood innocence?</w:t>
      </w:r>
      <w:proofErr w:type="gramEnd"/>
    </w:p>
    <w:p w14:paraId="0A4457C7" w14:textId="77777777" w:rsidR="00EF1031" w:rsidRPr="00834E5B" w:rsidRDefault="00EF1031" w:rsidP="00EF1031">
      <w:pPr>
        <w:widowControl w:val="0"/>
        <w:autoSpaceDE w:val="0"/>
        <w:autoSpaceDN w:val="0"/>
        <w:adjustRightInd w:val="0"/>
        <w:spacing w:line="480" w:lineRule="auto"/>
        <w:ind w:left="709"/>
        <w:rPr>
          <w:rFonts w:cs="Times New Roman"/>
          <w:color w:val="1B1B1B"/>
          <w:lang w:val="en-US"/>
        </w:rPr>
      </w:pPr>
      <w:r w:rsidRPr="00834E5B">
        <w:rPr>
          <w:rFonts w:cs="Times New Roman"/>
          <w:color w:val="1B1B1B"/>
          <w:lang w:val="en-US"/>
        </w:rPr>
        <w:t>We, Hermia, like two artificial gods</w:t>
      </w:r>
    </w:p>
    <w:p w14:paraId="7AE8166D" w14:textId="77777777" w:rsidR="00EF1031" w:rsidRPr="00834E5B" w:rsidRDefault="00EF1031" w:rsidP="00EF1031">
      <w:pPr>
        <w:widowControl w:val="0"/>
        <w:autoSpaceDE w:val="0"/>
        <w:autoSpaceDN w:val="0"/>
        <w:adjustRightInd w:val="0"/>
        <w:spacing w:line="480" w:lineRule="auto"/>
        <w:ind w:left="709"/>
        <w:rPr>
          <w:rFonts w:cs="Times New Roman"/>
          <w:color w:val="1B1B1B"/>
          <w:lang w:val="en-US"/>
        </w:rPr>
      </w:pPr>
      <w:r w:rsidRPr="00834E5B">
        <w:rPr>
          <w:rFonts w:cs="Times New Roman"/>
          <w:color w:val="1B1B1B"/>
          <w:lang w:val="en-US"/>
        </w:rPr>
        <w:t>Have with our needles created both one flower,</w:t>
      </w:r>
    </w:p>
    <w:p w14:paraId="34B14916" w14:textId="77777777" w:rsidR="00EF1031" w:rsidRPr="00834E5B" w:rsidRDefault="00EF1031" w:rsidP="00EF1031">
      <w:pPr>
        <w:widowControl w:val="0"/>
        <w:autoSpaceDE w:val="0"/>
        <w:autoSpaceDN w:val="0"/>
        <w:adjustRightInd w:val="0"/>
        <w:spacing w:line="480" w:lineRule="auto"/>
        <w:ind w:left="709"/>
        <w:rPr>
          <w:rFonts w:cs="Times New Roman"/>
          <w:color w:val="1B1B1B"/>
          <w:lang w:val="en-US"/>
        </w:rPr>
      </w:pPr>
      <w:r w:rsidRPr="00834E5B">
        <w:rPr>
          <w:rFonts w:cs="Times New Roman"/>
          <w:color w:val="1B1B1B"/>
          <w:lang w:val="en-US"/>
        </w:rPr>
        <w:t>Both on one sampler, sitting on one cushion,</w:t>
      </w:r>
    </w:p>
    <w:p w14:paraId="104DA3A4" w14:textId="77777777" w:rsidR="00EF1031" w:rsidRPr="00834E5B" w:rsidRDefault="00EF1031" w:rsidP="00EF1031">
      <w:pPr>
        <w:widowControl w:val="0"/>
        <w:autoSpaceDE w:val="0"/>
        <w:autoSpaceDN w:val="0"/>
        <w:adjustRightInd w:val="0"/>
        <w:spacing w:line="480" w:lineRule="auto"/>
        <w:ind w:left="709"/>
        <w:rPr>
          <w:rFonts w:cs="Times New Roman"/>
          <w:color w:val="1B1B1B"/>
          <w:lang w:val="en-US"/>
        </w:rPr>
      </w:pPr>
      <w:r w:rsidRPr="00834E5B">
        <w:rPr>
          <w:rFonts w:cs="Times New Roman"/>
          <w:color w:val="1B1B1B"/>
          <w:lang w:val="en-US"/>
        </w:rPr>
        <w:t>Both warbling of one song, both in one key,</w:t>
      </w:r>
    </w:p>
    <w:p w14:paraId="0D8B8B78" w14:textId="77777777" w:rsidR="00EF1031" w:rsidRPr="00834E5B" w:rsidRDefault="00EF1031" w:rsidP="00EF1031">
      <w:pPr>
        <w:widowControl w:val="0"/>
        <w:autoSpaceDE w:val="0"/>
        <w:autoSpaceDN w:val="0"/>
        <w:adjustRightInd w:val="0"/>
        <w:spacing w:line="480" w:lineRule="auto"/>
        <w:ind w:left="709"/>
        <w:rPr>
          <w:rFonts w:cs="Times New Roman"/>
          <w:color w:val="1B1B1B"/>
          <w:lang w:val="en-US"/>
        </w:rPr>
      </w:pPr>
      <w:r w:rsidRPr="00834E5B">
        <w:rPr>
          <w:rFonts w:cs="Times New Roman"/>
          <w:color w:val="1B1B1B"/>
          <w:lang w:val="en-US"/>
        </w:rPr>
        <w:t>As if our hands, our sides, voices, and minds</w:t>
      </w:r>
    </w:p>
    <w:p w14:paraId="3D72399C" w14:textId="77777777" w:rsidR="00EF1031" w:rsidRPr="00834E5B" w:rsidRDefault="00EF1031" w:rsidP="00EF1031">
      <w:pPr>
        <w:widowControl w:val="0"/>
        <w:autoSpaceDE w:val="0"/>
        <w:autoSpaceDN w:val="0"/>
        <w:adjustRightInd w:val="0"/>
        <w:spacing w:line="480" w:lineRule="auto"/>
        <w:ind w:left="709"/>
        <w:rPr>
          <w:rFonts w:cs="Times New Roman"/>
          <w:color w:val="1B1B1B"/>
          <w:lang w:val="en-US"/>
        </w:rPr>
      </w:pPr>
      <w:r w:rsidRPr="00834E5B">
        <w:rPr>
          <w:rFonts w:cs="Times New Roman"/>
          <w:color w:val="1B1B1B"/>
          <w:lang w:val="en-US"/>
        </w:rPr>
        <w:t xml:space="preserve">Had been incorporate … </w:t>
      </w:r>
    </w:p>
    <w:p w14:paraId="6218E64B" w14:textId="77777777" w:rsidR="00EF1031" w:rsidRPr="00834E5B" w:rsidRDefault="00EF1031" w:rsidP="00EF1031">
      <w:pPr>
        <w:widowControl w:val="0"/>
        <w:autoSpaceDE w:val="0"/>
        <w:autoSpaceDN w:val="0"/>
        <w:adjustRightInd w:val="0"/>
        <w:spacing w:line="480" w:lineRule="auto"/>
        <w:ind w:firstLine="709"/>
        <w:rPr>
          <w:rFonts w:cs="Times New Roman"/>
          <w:color w:val="1B1B1B"/>
          <w:lang w:val="en-US"/>
        </w:rPr>
      </w:pPr>
      <w:r w:rsidRPr="00834E5B">
        <w:rPr>
          <w:rFonts w:cs="Times New Roman"/>
          <w:color w:val="1B1B1B"/>
          <w:lang w:val="en-US"/>
        </w:rPr>
        <w:t>And will you rend our ancient love asunder,</w:t>
      </w:r>
    </w:p>
    <w:p w14:paraId="7047B62B" w14:textId="77777777" w:rsidR="00EF1031" w:rsidRPr="00834E5B" w:rsidRDefault="00EF1031" w:rsidP="00EF1031">
      <w:pPr>
        <w:spacing w:line="480" w:lineRule="auto"/>
        <w:ind w:left="709"/>
        <w:rPr>
          <w:rFonts w:cs="Times New Roman"/>
          <w:color w:val="1B1B1B"/>
          <w:lang w:val="en-US"/>
        </w:rPr>
      </w:pPr>
      <w:proofErr w:type="gramStart"/>
      <w:r w:rsidRPr="00834E5B">
        <w:rPr>
          <w:rFonts w:cs="Times New Roman"/>
          <w:color w:val="1B1B1B"/>
          <w:lang w:val="en-US"/>
        </w:rPr>
        <w:t>To join with men in scorning your poor friend?</w:t>
      </w:r>
      <w:proofErr w:type="gramEnd"/>
      <w:r>
        <w:rPr>
          <w:rFonts w:cs="Times New Roman"/>
          <w:color w:val="1B1B1B"/>
          <w:lang w:val="en-US"/>
        </w:rPr>
        <w:t xml:space="preserve"> (3.2.202-9, 216-7)</w:t>
      </w:r>
    </w:p>
    <w:p w14:paraId="0A24712E" w14:textId="77777777" w:rsidR="00EF1031" w:rsidRPr="00834E5B" w:rsidRDefault="00EF1031" w:rsidP="00EF1031">
      <w:pPr>
        <w:spacing w:line="480" w:lineRule="auto"/>
        <w:rPr>
          <w:rFonts w:cs="Times New Roman"/>
          <w:color w:val="1B1B1B"/>
          <w:lang w:val="en-US"/>
        </w:rPr>
      </w:pPr>
    </w:p>
    <w:p w14:paraId="3316B85F" w14:textId="77777777" w:rsidR="00EF1031" w:rsidRPr="00834E5B" w:rsidRDefault="00EF1031" w:rsidP="00EF1031">
      <w:pPr>
        <w:spacing w:line="480" w:lineRule="auto"/>
        <w:rPr>
          <w:rFonts w:cs="Times New Roman"/>
          <w:color w:val="1B1B1B"/>
          <w:lang w:val="en-US"/>
        </w:rPr>
      </w:pPr>
      <w:r w:rsidRPr="00834E5B">
        <w:rPr>
          <w:rFonts w:cs="Times New Roman"/>
          <w:color w:val="1B1B1B"/>
          <w:lang w:val="en-US"/>
        </w:rPr>
        <w:t>Elsewhere in the play, Hermia and Helena’s friendship has been characterized as one shaped by shared confidences and conversations; their history is an oral one. And here, Helena parallels that with the recollection of shared embroidery: the women have grown up together in and through their shared production of needlework; they have sewn, sung, spoken their intertwined identities as women into existence. Stallybrass and Jones point out the speech’s celebration of the ‘inventive power’ of the needleworkers, ‘artificial gods’ engaged in quasi-divine acts of creation, and the language of bodily incorporation which recalls the marriage service.</w:t>
      </w:r>
      <w:r w:rsidRPr="00834E5B">
        <w:rPr>
          <w:rStyle w:val="FootnoteReference"/>
          <w:rFonts w:cs="Times New Roman"/>
          <w:color w:val="1B1B1B"/>
          <w:lang w:val="en-US"/>
        </w:rPr>
        <w:footnoteReference w:id="26"/>
      </w:r>
      <w:r w:rsidRPr="00834E5B">
        <w:rPr>
          <w:rFonts w:cs="Times New Roman"/>
          <w:color w:val="1B1B1B"/>
          <w:lang w:val="en-US"/>
        </w:rPr>
        <w:t xml:space="preserve"> The ancient love being ‘rent’ is at least residually that sampler, destroying not simply a beautiful thing but the shared project and process, in time, of its creation. </w:t>
      </w:r>
    </w:p>
    <w:p w14:paraId="09ABD301" w14:textId="77777777" w:rsidR="00EF1031" w:rsidRPr="00834E5B" w:rsidRDefault="00EF1031" w:rsidP="00EF1031">
      <w:pPr>
        <w:spacing w:line="480" w:lineRule="auto"/>
        <w:rPr>
          <w:rFonts w:cs="Times New Roman"/>
          <w:color w:val="1B1B1B"/>
          <w:lang w:val="en-US"/>
        </w:rPr>
      </w:pPr>
    </w:p>
    <w:p w14:paraId="1FCA9393" w14:textId="77777777" w:rsidR="00EF1031" w:rsidRPr="00834E5B" w:rsidRDefault="00EF1031" w:rsidP="00EF1031">
      <w:pPr>
        <w:spacing w:line="480" w:lineRule="auto"/>
      </w:pPr>
      <w:r w:rsidRPr="00834E5B">
        <w:t xml:space="preserve">What Helena is specifically remembering is probably a spot sampler, described by Frye as akin to a commonplace book, a way of recording and, more importantly, of sharing patterns and </w:t>
      </w:r>
      <w:proofErr w:type="gramStart"/>
      <w:r w:rsidRPr="00834E5B">
        <w:t>motifs which</w:t>
      </w:r>
      <w:proofErr w:type="gramEnd"/>
      <w:r w:rsidRPr="00834E5B">
        <w:t>, she suggests, ‘manifest lifetimes of connection among women’.</w:t>
      </w:r>
      <w:r w:rsidRPr="00834E5B">
        <w:rPr>
          <w:rStyle w:val="FootnoteReference"/>
        </w:rPr>
        <w:footnoteReference w:id="27"/>
      </w:r>
      <w:r w:rsidRPr="00834E5B">
        <w:t xml:space="preserve"> The sampler is a reminder that the traditional is that which is literally passed on, and which, crucially, concerns process as well as product, skill as much as content. As Elizabeth Spiller puts it, discussing early modern making more generally, </w:t>
      </w:r>
      <w:r w:rsidRPr="00834E5B">
        <w:rPr>
          <w:rFonts w:cs="Times"/>
          <w:lang w:val="en-US"/>
        </w:rPr>
        <w:t>‘being able to make something was an act of knowledge; knowing something involved knowing how to make it’; she describes the work of early modern artisans as ‘an alternative knowledge tradition’.</w:t>
      </w:r>
      <w:r w:rsidRPr="00834E5B">
        <w:rPr>
          <w:rStyle w:val="FootnoteReference"/>
          <w:rFonts w:cs="Times"/>
          <w:lang w:val="en-US"/>
        </w:rPr>
        <w:footnoteReference w:id="28"/>
      </w:r>
      <w:r w:rsidRPr="00834E5B">
        <w:rPr>
          <w:rFonts w:cs="Times"/>
          <w:lang w:val="en-US"/>
        </w:rPr>
        <w:t xml:space="preserve"> Although she does not discuss women’s making in these term, the suggestion that women’s textile work is less the opposite of masculine Latinity, or of a particular kind of narrative mode, defined as such by its (non) textuality, and more an alternative form of knowledge is an appealing one.</w:t>
      </w:r>
    </w:p>
    <w:p w14:paraId="398C2972" w14:textId="77777777" w:rsidR="00EF1031" w:rsidRPr="00834E5B" w:rsidRDefault="00EF1031" w:rsidP="00EF1031">
      <w:pPr>
        <w:spacing w:line="480" w:lineRule="auto"/>
      </w:pPr>
    </w:p>
    <w:p w14:paraId="511ED959" w14:textId="77777777" w:rsidR="00EF1031" w:rsidRPr="00834E5B" w:rsidRDefault="00EF1031" w:rsidP="00EF1031">
      <w:pPr>
        <w:spacing w:line="480" w:lineRule="auto"/>
        <w:rPr>
          <w:rFonts w:cs="Times New Roman"/>
          <w:lang w:val="en-US"/>
        </w:rPr>
      </w:pPr>
      <w:r w:rsidRPr="00834E5B">
        <w:t xml:space="preserve">The connection between women, the construction of feminine identity, especially virtuous femininity, and needlework is a strong one in early modern literature and culture. </w:t>
      </w:r>
      <w:r w:rsidRPr="00834E5B">
        <w:rPr>
          <w:rFonts w:cs="Times New Roman"/>
          <w:lang w:val="en-US"/>
        </w:rPr>
        <w:t>In the Bisham entertainment, staged for Elizabeth I in 1592, Elizabeth Russell’s daughters Isabella and Sibylla converted Pan to virtue and the service of the queen by describing the samplers that they were working on as they spoke: the samplers depicted ‘the follies of the Gods, who became beastes, for their affections … The honour of Virgins who became Goddesses for their chastity’, with ‘Mens tongues, wrought all with double stitch’ and ‘Roses, Egle</w:t>
      </w:r>
      <w:r w:rsidRPr="00834E5B">
        <w:rPr>
          <w:rFonts w:cs="Times New Roman"/>
          <w:i/>
          <w:lang w:val="en-US"/>
        </w:rPr>
        <w:t>n</w:t>
      </w:r>
      <w:r w:rsidRPr="00834E5B">
        <w:rPr>
          <w:rFonts w:cs="Times New Roman"/>
          <w:lang w:val="en-US"/>
        </w:rPr>
        <w:t>tine, harts-ease, wrought with Queenes stitch, and all right’.</w:t>
      </w:r>
      <w:r w:rsidRPr="00834E5B">
        <w:rPr>
          <w:rStyle w:val="FootnoteReference"/>
          <w:rFonts w:cs="Times New Roman"/>
          <w:lang w:val="en-US"/>
        </w:rPr>
        <w:footnoteReference w:id="29"/>
      </w:r>
      <w:r w:rsidRPr="00834E5B">
        <w:rPr>
          <w:rFonts w:cs="Times New Roman"/>
          <w:lang w:val="en-US"/>
        </w:rPr>
        <w:t xml:space="preserve"> As Sara Mueller has suggested, ‘</w:t>
      </w:r>
      <w:r w:rsidRPr="00834E5B">
        <w:t>The girls demonstrate their mastery not only of different kinds of stitches, hence displaying their sound education and hard work at mastering their craft, but they also reveal their mastery of the precepts of feminine virtue</w:t>
      </w:r>
      <w:r w:rsidRPr="00834E5B">
        <w:rPr>
          <w:rFonts w:cs="Times New Roman"/>
          <w:lang w:val="en-US"/>
        </w:rPr>
        <w:t>’.</w:t>
      </w:r>
      <w:r w:rsidRPr="00834E5B">
        <w:rPr>
          <w:rStyle w:val="FootnoteReference"/>
          <w:rFonts w:cs="Times New Roman"/>
          <w:lang w:val="en-US"/>
        </w:rPr>
        <w:footnoteReference w:id="30"/>
      </w:r>
      <w:r w:rsidRPr="00834E5B">
        <w:rPr>
          <w:rFonts w:cs="Times New Roman"/>
          <w:lang w:val="en-US"/>
        </w:rPr>
        <w:t xml:space="preserve"> </w:t>
      </w:r>
      <w:r w:rsidRPr="00834E5B">
        <w:t>In the poem’s ‘argument’, Shakespeare’s Lucrece is ‘spinning amongst her maids’; in the poem, Tarquin is given momentary pa</w:t>
      </w:r>
      <w:r>
        <w:t>use by ‘Lucretia’s glove</w:t>
      </w:r>
      <w:r w:rsidRPr="00834E5B">
        <w:t xml:space="preserve"> wherein her needle sticks’ (317), on his way to her chamber: the needle pricks his finger as he picks up the (conventionally er</w:t>
      </w:r>
      <w:r>
        <w:t>otic) glove, ‘as who should say</w:t>
      </w:r>
      <w:r w:rsidRPr="00834E5B">
        <w:t xml:space="preserve"> “This glove t</w:t>
      </w:r>
      <w:r>
        <w:t>o wanton tricks | Is not inured. Return again in haste.</w:t>
      </w:r>
      <w:r w:rsidRPr="00834E5B">
        <w:t xml:space="preserve"> | Thou seest our mistress’ ornaments are chaste”’ (320-22). </w:t>
      </w:r>
      <w:r w:rsidRPr="00834E5B">
        <w:rPr>
          <w:rFonts w:cs="Times New Roman"/>
          <w:lang w:val="en-US"/>
        </w:rPr>
        <w:t xml:space="preserve">Later in the period, </w:t>
      </w:r>
      <w:r w:rsidRPr="00834E5B">
        <w:t>Orlin cites Ford’s incestuous Annabella calling for her work when she is alerted to the approach of her father, enabling her to strike ‘a recognised pose of virtuous industry’; it is a ‘talisman’ or ‘badge’ of virtue.</w:t>
      </w:r>
      <w:r w:rsidRPr="00834E5B">
        <w:rPr>
          <w:rStyle w:val="FootnoteReference"/>
        </w:rPr>
        <w:footnoteReference w:id="31"/>
      </w:r>
      <w:r w:rsidRPr="00834E5B">
        <w:t xml:space="preserve"> In </w:t>
      </w:r>
      <w:r w:rsidRPr="00834E5B">
        <w:rPr>
          <w:i/>
        </w:rPr>
        <w:t>Pericles</w:t>
      </w:r>
      <w:r w:rsidRPr="00834E5B">
        <w:t xml:space="preserve">, Marina’s virtue is indeed attested by her textile skills: </w:t>
      </w:r>
    </w:p>
    <w:p w14:paraId="27850A7E" w14:textId="77777777" w:rsidR="00EF1031" w:rsidRPr="00834E5B" w:rsidRDefault="00EF1031" w:rsidP="00EF1031">
      <w:pPr>
        <w:spacing w:line="480" w:lineRule="auto"/>
      </w:pPr>
    </w:p>
    <w:p w14:paraId="35F0517A" w14:textId="77777777" w:rsidR="00EF1031" w:rsidRPr="00834E5B" w:rsidRDefault="00EF1031" w:rsidP="00EF1031">
      <w:pPr>
        <w:widowControl w:val="0"/>
        <w:autoSpaceDE w:val="0"/>
        <w:autoSpaceDN w:val="0"/>
        <w:adjustRightInd w:val="0"/>
        <w:spacing w:line="480" w:lineRule="auto"/>
        <w:ind w:left="709"/>
        <w:rPr>
          <w:rFonts w:cs="Times New Roman"/>
          <w:color w:val="1B1B1B"/>
          <w:lang w:val="en-US"/>
        </w:rPr>
      </w:pPr>
      <w:r>
        <w:rPr>
          <w:rFonts w:cs="Times New Roman"/>
          <w:color w:val="1B1B1B"/>
          <w:lang w:val="en-US"/>
        </w:rPr>
        <w:t>[</w:t>
      </w:r>
      <w:proofErr w:type="gramStart"/>
      <w:r w:rsidRPr="00834E5B">
        <w:rPr>
          <w:rFonts w:cs="Times New Roman"/>
          <w:color w:val="1B1B1B"/>
          <w:lang w:val="en-US"/>
        </w:rPr>
        <w:t>she</w:t>
      </w:r>
      <w:proofErr w:type="gramEnd"/>
      <w:r>
        <w:rPr>
          <w:rFonts w:cs="Times New Roman"/>
          <w:color w:val="1B1B1B"/>
          <w:lang w:val="en-US"/>
        </w:rPr>
        <w:t>]</w:t>
      </w:r>
      <w:r w:rsidRPr="00834E5B">
        <w:rPr>
          <w:rFonts w:cs="Times New Roman"/>
          <w:color w:val="1B1B1B"/>
          <w:lang w:val="en-US"/>
        </w:rPr>
        <w:t xml:space="preserve"> weaved the sleided silk</w:t>
      </w:r>
    </w:p>
    <w:p w14:paraId="5F7276A8" w14:textId="77777777" w:rsidR="00EF1031" w:rsidRPr="00834E5B" w:rsidRDefault="00EF1031" w:rsidP="00EF1031">
      <w:pPr>
        <w:widowControl w:val="0"/>
        <w:autoSpaceDE w:val="0"/>
        <w:autoSpaceDN w:val="0"/>
        <w:adjustRightInd w:val="0"/>
        <w:spacing w:line="480" w:lineRule="auto"/>
        <w:ind w:left="709"/>
        <w:rPr>
          <w:rFonts w:cs="Times New Roman"/>
          <w:color w:val="1B1B1B"/>
          <w:lang w:val="en-US"/>
        </w:rPr>
      </w:pPr>
      <w:r w:rsidRPr="00834E5B">
        <w:rPr>
          <w:rFonts w:cs="Times New Roman"/>
          <w:color w:val="1B1B1B"/>
          <w:lang w:val="en-US"/>
        </w:rPr>
        <w:t xml:space="preserve">With fingers long, small, </w:t>
      </w:r>
      <w:proofErr w:type="gramStart"/>
      <w:r w:rsidRPr="00834E5B">
        <w:rPr>
          <w:rFonts w:cs="Times New Roman"/>
          <w:color w:val="1B1B1B"/>
          <w:lang w:val="en-US"/>
        </w:rPr>
        <w:t>white</w:t>
      </w:r>
      <w:proofErr w:type="gramEnd"/>
      <w:r w:rsidRPr="00834E5B">
        <w:rPr>
          <w:rFonts w:cs="Times New Roman"/>
          <w:color w:val="1B1B1B"/>
          <w:lang w:val="en-US"/>
        </w:rPr>
        <w:t xml:space="preserve"> as milk;</w:t>
      </w:r>
    </w:p>
    <w:p w14:paraId="453EF3DB" w14:textId="77777777" w:rsidR="00EF1031" w:rsidRPr="00834E5B" w:rsidRDefault="00EF1031" w:rsidP="00EF1031">
      <w:pPr>
        <w:widowControl w:val="0"/>
        <w:autoSpaceDE w:val="0"/>
        <w:autoSpaceDN w:val="0"/>
        <w:adjustRightInd w:val="0"/>
        <w:spacing w:line="480" w:lineRule="auto"/>
        <w:ind w:left="709"/>
        <w:rPr>
          <w:rFonts w:cs="Times New Roman"/>
          <w:color w:val="1B1B1B"/>
          <w:lang w:val="en-US"/>
        </w:rPr>
      </w:pPr>
      <w:r w:rsidRPr="00834E5B">
        <w:rPr>
          <w:rFonts w:cs="Times New Roman"/>
          <w:color w:val="1B1B1B"/>
          <w:lang w:val="en-US"/>
        </w:rPr>
        <w:t>O</w:t>
      </w:r>
      <w:r>
        <w:rPr>
          <w:rFonts w:cs="Times New Roman"/>
          <w:color w:val="1B1B1B"/>
          <w:lang w:val="en-US"/>
        </w:rPr>
        <w:t>r when she would with sharp nee’</w:t>
      </w:r>
      <w:r w:rsidRPr="00834E5B">
        <w:rPr>
          <w:rFonts w:cs="Times New Roman"/>
          <w:color w:val="1B1B1B"/>
          <w:lang w:val="en-US"/>
        </w:rPr>
        <w:t>le wound</w:t>
      </w:r>
    </w:p>
    <w:p w14:paraId="1B1DF6D2" w14:textId="77777777" w:rsidR="00EF1031" w:rsidRPr="00834E5B" w:rsidRDefault="00EF1031" w:rsidP="00EF1031">
      <w:pPr>
        <w:spacing w:line="480" w:lineRule="auto"/>
        <w:ind w:left="709"/>
        <w:rPr>
          <w:rFonts w:cs="Times New Roman"/>
          <w:color w:val="1B1B1B"/>
          <w:lang w:val="en-US"/>
        </w:rPr>
      </w:pPr>
      <w:r w:rsidRPr="00834E5B">
        <w:rPr>
          <w:rFonts w:cs="Times New Roman"/>
          <w:color w:val="1B1B1B"/>
          <w:lang w:val="en-US"/>
        </w:rPr>
        <w:t>The cambric…</w:t>
      </w:r>
      <w:r>
        <w:rPr>
          <w:rFonts w:cs="Times New Roman"/>
          <w:color w:val="1B1B1B"/>
          <w:lang w:val="en-US"/>
        </w:rPr>
        <w:t xml:space="preserve"> (15.21-4)</w:t>
      </w:r>
    </w:p>
    <w:p w14:paraId="67929D18" w14:textId="77777777" w:rsidR="00EF1031" w:rsidRPr="00834E5B" w:rsidRDefault="00EF1031" w:rsidP="00EF1031">
      <w:pPr>
        <w:spacing w:line="480" w:lineRule="auto"/>
        <w:ind w:left="709"/>
        <w:rPr>
          <w:rFonts w:cs="Times New Roman"/>
          <w:color w:val="1B1B1B"/>
          <w:lang w:val="en-US"/>
        </w:rPr>
      </w:pPr>
    </w:p>
    <w:p w14:paraId="7EA19481" w14:textId="5DD9E7AD" w:rsidR="00EF1031" w:rsidRPr="00834E5B" w:rsidRDefault="00EF1031" w:rsidP="00EF1031">
      <w:pPr>
        <w:spacing w:line="480" w:lineRule="auto"/>
        <w:rPr>
          <w:rFonts w:cs="Times New Roman"/>
          <w:color w:val="1B1B1B"/>
          <w:lang w:val="en-US"/>
        </w:rPr>
      </w:pPr>
      <w:r w:rsidRPr="00834E5B">
        <w:rPr>
          <w:rFonts w:cs="Times New Roman"/>
          <w:color w:val="1B1B1B"/>
          <w:lang w:val="en-US"/>
        </w:rPr>
        <w:t>Both her sewing and her singing are vastly superior to her rival Philoten, and it is her combination of musical and embroidery skills that enable</w:t>
      </w:r>
      <w:r w:rsidR="000632C9">
        <w:rPr>
          <w:rFonts w:cs="Times New Roman"/>
          <w:color w:val="1B1B1B"/>
          <w:lang w:val="en-US"/>
        </w:rPr>
        <w:t>s</w:t>
      </w:r>
      <w:r w:rsidRPr="00834E5B">
        <w:rPr>
          <w:rFonts w:cs="Times New Roman"/>
          <w:color w:val="1B1B1B"/>
          <w:lang w:val="en-US"/>
        </w:rPr>
        <w:t xml:space="preserve"> her to escape the brothel and earn an honest living teaching others (as</w:t>
      </w:r>
      <w:bookmarkStart w:id="0" w:name="_GoBack"/>
      <w:bookmarkEnd w:id="0"/>
      <w:r w:rsidRPr="00834E5B">
        <w:rPr>
          <w:rFonts w:cs="Times New Roman"/>
          <w:color w:val="1B1B1B"/>
          <w:lang w:val="en-US"/>
        </w:rPr>
        <w:t xml:space="preserve"> well as silencing the voices of educated masculine authority):</w:t>
      </w:r>
    </w:p>
    <w:p w14:paraId="17CB238F" w14:textId="77777777" w:rsidR="00EF1031" w:rsidRPr="00834E5B" w:rsidRDefault="00EF1031" w:rsidP="00EF1031">
      <w:pPr>
        <w:spacing w:line="480" w:lineRule="auto"/>
        <w:rPr>
          <w:rFonts w:cs="Times New Roman"/>
          <w:color w:val="1B1B1B"/>
          <w:lang w:val="en-US"/>
        </w:rPr>
      </w:pPr>
    </w:p>
    <w:p w14:paraId="671FE0D1" w14:textId="77777777" w:rsidR="00EF1031" w:rsidRPr="00834E5B" w:rsidRDefault="00EF1031" w:rsidP="00EF1031">
      <w:pPr>
        <w:widowControl w:val="0"/>
        <w:autoSpaceDE w:val="0"/>
        <w:autoSpaceDN w:val="0"/>
        <w:adjustRightInd w:val="0"/>
        <w:spacing w:line="480" w:lineRule="auto"/>
        <w:ind w:left="709"/>
        <w:rPr>
          <w:rFonts w:cs="Times New Roman"/>
          <w:lang w:val="en-US"/>
        </w:rPr>
      </w:pPr>
      <w:r w:rsidRPr="00834E5B">
        <w:rPr>
          <w:rFonts w:cs="Times New Roman"/>
          <w:lang w:val="en-US"/>
        </w:rPr>
        <w:t>Deep clerks she dumbs, and with her nee’le composes</w:t>
      </w:r>
    </w:p>
    <w:p w14:paraId="4D0090C9" w14:textId="77777777" w:rsidR="00EF1031" w:rsidRPr="00834E5B" w:rsidRDefault="00EF1031" w:rsidP="00EF1031">
      <w:pPr>
        <w:widowControl w:val="0"/>
        <w:autoSpaceDE w:val="0"/>
        <w:autoSpaceDN w:val="0"/>
        <w:adjustRightInd w:val="0"/>
        <w:spacing w:line="480" w:lineRule="auto"/>
        <w:ind w:left="709"/>
        <w:rPr>
          <w:rFonts w:cs="Times New Roman"/>
          <w:lang w:val="en-US"/>
        </w:rPr>
      </w:pPr>
      <w:r w:rsidRPr="00834E5B">
        <w:rPr>
          <w:rFonts w:cs="Times New Roman"/>
          <w:lang w:val="en-US"/>
        </w:rPr>
        <w:t>Nature’s own shape</w:t>
      </w:r>
      <w:r>
        <w:rPr>
          <w:rFonts w:cs="Times New Roman"/>
          <w:lang w:val="en-US"/>
        </w:rPr>
        <w:t>,</w:t>
      </w:r>
      <w:r w:rsidRPr="00834E5B">
        <w:rPr>
          <w:rFonts w:cs="Times New Roman"/>
          <w:lang w:val="en-US"/>
        </w:rPr>
        <w:t xml:space="preserve"> of bud, bird, branch, or berry,</w:t>
      </w:r>
    </w:p>
    <w:p w14:paraId="29BF4736" w14:textId="77777777" w:rsidR="00EF1031" w:rsidRPr="00834E5B" w:rsidRDefault="00EF1031" w:rsidP="00EF1031">
      <w:pPr>
        <w:widowControl w:val="0"/>
        <w:autoSpaceDE w:val="0"/>
        <w:autoSpaceDN w:val="0"/>
        <w:adjustRightInd w:val="0"/>
        <w:spacing w:line="480" w:lineRule="auto"/>
        <w:ind w:left="709"/>
        <w:rPr>
          <w:rFonts w:cs="Times New Roman"/>
          <w:lang w:val="en-US"/>
        </w:rPr>
      </w:pPr>
      <w:proofErr w:type="gramStart"/>
      <w:r>
        <w:rPr>
          <w:rFonts w:cs="Times New Roman"/>
          <w:lang w:val="en-US"/>
        </w:rPr>
        <w:t>That e’</w:t>
      </w:r>
      <w:r w:rsidRPr="00834E5B">
        <w:rPr>
          <w:rFonts w:cs="Times New Roman"/>
          <w:lang w:val="en-US"/>
        </w:rPr>
        <w:t>en her art sisters the natural roses.</w:t>
      </w:r>
      <w:proofErr w:type="gramEnd"/>
    </w:p>
    <w:p w14:paraId="2A1BB471" w14:textId="77777777" w:rsidR="00EF1031" w:rsidRPr="00834E5B" w:rsidRDefault="00EF1031" w:rsidP="00EF1031">
      <w:pPr>
        <w:widowControl w:val="0"/>
        <w:autoSpaceDE w:val="0"/>
        <w:autoSpaceDN w:val="0"/>
        <w:adjustRightInd w:val="0"/>
        <w:spacing w:line="480" w:lineRule="auto"/>
        <w:ind w:left="709"/>
        <w:rPr>
          <w:rFonts w:cs="Times New Roman"/>
          <w:lang w:val="en-US"/>
        </w:rPr>
      </w:pPr>
      <w:r w:rsidRPr="00834E5B">
        <w:rPr>
          <w:rFonts w:cs="Times New Roman"/>
          <w:lang w:val="en-US"/>
        </w:rPr>
        <w:t>Her inkle, si</w:t>
      </w:r>
      <w:r>
        <w:rPr>
          <w:rFonts w:cs="Times New Roman"/>
          <w:lang w:val="en-US"/>
        </w:rPr>
        <w:t>lk, twin with the rubied cherry</w:t>
      </w:r>
      <w:proofErr w:type="gramStart"/>
      <w:r>
        <w:rPr>
          <w:rFonts w:cs="Times New Roman"/>
          <w:lang w:val="en-US"/>
        </w:rPr>
        <w:t>;</w:t>
      </w:r>
      <w:proofErr w:type="gramEnd"/>
    </w:p>
    <w:p w14:paraId="03E61405" w14:textId="77777777" w:rsidR="00EF1031" w:rsidRPr="00834E5B" w:rsidRDefault="00EF1031" w:rsidP="00EF1031">
      <w:pPr>
        <w:spacing w:line="480" w:lineRule="auto"/>
        <w:ind w:left="709"/>
        <w:rPr>
          <w:rFonts w:cs="Times New Roman"/>
          <w:lang w:val="en-US"/>
        </w:rPr>
      </w:pPr>
      <w:r w:rsidRPr="00834E5B">
        <w:rPr>
          <w:rFonts w:cs="Times New Roman"/>
          <w:lang w:val="en-US"/>
        </w:rPr>
        <w:t>That pupils lacks she none of noble race…</w:t>
      </w:r>
      <w:r>
        <w:rPr>
          <w:rFonts w:cs="Times New Roman"/>
          <w:lang w:val="en-US"/>
        </w:rPr>
        <w:t xml:space="preserve"> (20.5-9)</w:t>
      </w:r>
    </w:p>
    <w:p w14:paraId="2C9AA370" w14:textId="77777777" w:rsidR="00EF1031" w:rsidRPr="00834E5B" w:rsidRDefault="00EF1031" w:rsidP="00EF1031">
      <w:pPr>
        <w:spacing w:line="480" w:lineRule="auto"/>
        <w:ind w:left="709"/>
        <w:rPr>
          <w:rFonts w:cs="Times New Roman"/>
          <w:lang w:val="en-US"/>
        </w:rPr>
      </w:pPr>
    </w:p>
    <w:p w14:paraId="437CCC30" w14:textId="77777777" w:rsidR="00EF1031" w:rsidRPr="00834E5B" w:rsidRDefault="00EF1031" w:rsidP="00EF1031">
      <w:pPr>
        <w:spacing w:line="480" w:lineRule="auto"/>
      </w:pPr>
      <w:r w:rsidRPr="00834E5B">
        <w:rPr>
          <w:rFonts w:cs="Times New Roman"/>
          <w:lang w:val="en-US"/>
        </w:rPr>
        <w:t xml:space="preserve">Of course, </w:t>
      </w:r>
      <w:r w:rsidRPr="00834E5B">
        <w:rPr>
          <w:rFonts w:cs="Times New Roman"/>
          <w:i/>
          <w:lang w:val="en-US"/>
        </w:rPr>
        <w:t>Pericles</w:t>
      </w:r>
      <w:r w:rsidRPr="00834E5B">
        <w:rPr>
          <w:rFonts w:cs="Times New Roman"/>
          <w:lang w:val="en-US"/>
        </w:rPr>
        <w:t xml:space="preserve"> itself is ‘a song that old was sung’; its virtuous heroine, who sings and stitches, operates as a kind of romance </w:t>
      </w:r>
      <w:r w:rsidRPr="00834E5B">
        <w:rPr>
          <w:rFonts w:cs="Times New Roman"/>
          <w:i/>
          <w:lang w:val="en-US"/>
        </w:rPr>
        <w:t>mis</w:t>
      </w:r>
      <w:r>
        <w:rPr>
          <w:rFonts w:cs="Times New Roman"/>
          <w:i/>
          <w:lang w:val="en-US"/>
        </w:rPr>
        <w:t>e en abî</w:t>
      </w:r>
      <w:r w:rsidRPr="00834E5B">
        <w:rPr>
          <w:rFonts w:cs="Times New Roman"/>
          <w:i/>
          <w:lang w:val="en-US"/>
        </w:rPr>
        <w:t>me</w:t>
      </w:r>
      <w:r w:rsidRPr="00834E5B">
        <w:rPr>
          <w:rFonts w:cs="Times New Roman"/>
          <w:lang w:val="en-US"/>
        </w:rPr>
        <w:t xml:space="preserve"> if it is imagined that she too sings the old songs as she sews. </w:t>
      </w:r>
      <w:r w:rsidRPr="00834E5B">
        <w:t>One way of reading Gertrude’s account of Ophelia’s death might be as a further act not so much of ekphrastic reinscription but of a kind of embroidery which isn’t just rhetorical,</w:t>
      </w:r>
      <w:r w:rsidRPr="00834E5B">
        <w:rPr>
          <w:rStyle w:val="FootnoteReference"/>
        </w:rPr>
        <w:footnoteReference w:id="32"/>
      </w:r>
      <w:r w:rsidRPr="00834E5B">
        <w:t xml:space="preserve"> embroidery which reincorporates both Ophelia and Gertrude herself into the familiar textile narratives of decorative female virtue, which make such songs acceptable, or bearable. Gertrude, as it were, assembles the slips; she ornaments even as she conceals a solitary, sad little death.</w:t>
      </w:r>
    </w:p>
    <w:p w14:paraId="25B238BD" w14:textId="77777777" w:rsidR="00EF1031" w:rsidRPr="00834E5B" w:rsidRDefault="00EF1031" w:rsidP="00EF1031">
      <w:pPr>
        <w:spacing w:line="480" w:lineRule="auto"/>
      </w:pPr>
    </w:p>
    <w:p w14:paraId="41376255" w14:textId="77777777" w:rsidR="00EF1031" w:rsidRPr="00834E5B" w:rsidRDefault="00EF1031" w:rsidP="00EF1031">
      <w:pPr>
        <w:spacing w:line="480" w:lineRule="auto"/>
        <w:jc w:val="center"/>
      </w:pPr>
      <w:r w:rsidRPr="00834E5B">
        <w:t>*</w:t>
      </w:r>
      <w:r w:rsidRPr="00834E5B">
        <w:tab/>
        <w:t>*</w:t>
      </w:r>
      <w:r w:rsidRPr="00834E5B">
        <w:tab/>
        <w:t>*</w:t>
      </w:r>
    </w:p>
    <w:p w14:paraId="04C42F26" w14:textId="77777777" w:rsidR="00EF1031" w:rsidRPr="00834E5B" w:rsidRDefault="00EF1031" w:rsidP="00EF1031">
      <w:pPr>
        <w:spacing w:line="480" w:lineRule="auto"/>
      </w:pPr>
    </w:p>
    <w:p w14:paraId="7551773A" w14:textId="77777777" w:rsidR="00EF1031" w:rsidRPr="00834E5B" w:rsidRDefault="00EF1031" w:rsidP="00EF1031">
      <w:pPr>
        <w:spacing w:line="480" w:lineRule="auto"/>
      </w:pPr>
      <w:r w:rsidRPr="00834E5B">
        <w:t>Orlin explores the way in which textile work itself makes women invisible, and needlework itself is so closely identified with the feminine, especially the admirable feminine, that it becomes unremarkable; it doesn’t need to be referred to directly, let alone to be made explicit in stage directions, for its onstage presence to be inferred. It could perhaps more readily be assumed that pairs or groups of women in Shakespeare’s plays are sewing, or carrying their needlework, and therefore that the silent, unremarked presence of that work itself can sometimes perform work in narrative and dramaturgical terms. Needlework scenes focus attention on the making and telling of both stories and plays in performance, and on the status of both plays and stories as dynamic made things.</w:t>
      </w:r>
    </w:p>
    <w:p w14:paraId="5157F5A3" w14:textId="77777777" w:rsidR="00EF1031" w:rsidRPr="00834E5B" w:rsidRDefault="00EF1031" w:rsidP="00EF1031">
      <w:pPr>
        <w:spacing w:line="480" w:lineRule="auto"/>
      </w:pPr>
    </w:p>
    <w:p w14:paraId="36775AF0" w14:textId="77777777" w:rsidR="00EF1031" w:rsidRPr="00834E5B" w:rsidRDefault="00EF1031" w:rsidP="00EF1031">
      <w:pPr>
        <w:spacing w:line="480" w:lineRule="auto"/>
      </w:pPr>
      <w:r w:rsidRPr="00834E5B">
        <w:t xml:space="preserve">The two sewing </w:t>
      </w:r>
      <w:proofErr w:type="gramStart"/>
      <w:r w:rsidRPr="00834E5B">
        <w:t>scenes which Shakespeare definitely stages</w:t>
      </w:r>
      <w:proofErr w:type="gramEnd"/>
      <w:r w:rsidRPr="00834E5B">
        <w:t xml:space="preserve"> are in </w:t>
      </w:r>
      <w:r w:rsidRPr="00834E5B">
        <w:rPr>
          <w:i/>
        </w:rPr>
        <w:t>Coriolanus</w:t>
      </w:r>
      <w:r w:rsidRPr="00834E5B">
        <w:t xml:space="preserve"> and </w:t>
      </w:r>
      <w:r w:rsidRPr="00834E5B">
        <w:rPr>
          <w:i/>
        </w:rPr>
        <w:t>Henry VIII</w:t>
      </w:r>
      <w:r w:rsidRPr="00834E5B">
        <w:t xml:space="preserve">. The </w:t>
      </w:r>
      <w:r w:rsidRPr="00834E5B">
        <w:rPr>
          <w:i/>
        </w:rPr>
        <w:t>Coriolanus</w:t>
      </w:r>
      <w:r w:rsidRPr="00834E5B">
        <w:t xml:space="preserve"> scene straightforwardly reflects classical models of domestic virtue, and includes a usefully full stage direction: </w:t>
      </w:r>
    </w:p>
    <w:p w14:paraId="1BE8722C" w14:textId="77777777" w:rsidR="00EF1031" w:rsidRPr="00834E5B" w:rsidRDefault="00EF1031" w:rsidP="00EF1031">
      <w:pPr>
        <w:spacing w:line="480" w:lineRule="auto"/>
      </w:pPr>
    </w:p>
    <w:p w14:paraId="3F70B250" w14:textId="77777777" w:rsidR="00EF1031" w:rsidRPr="00834E5B" w:rsidRDefault="00EF1031" w:rsidP="00EF1031">
      <w:pPr>
        <w:widowControl w:val="0"/>
        <w:autoSpaceDE w:val="0"/>
        <w:autoSpaceDN w:val="0"/>
        <w:adjustRightInd w:val="0"/>
        <w:spacing w:line="480" w:lineRule="auto"/>
        <w:rPr>
          <w:rFonts w:cs="Times New Roman"/>
          <w:iCs/>
          <w:lang w:val="en-US"/>
        </w:rPr>
      </w:pPr>
      <w:r w:rsidRPr="00834E5B">
        <w:rPr>
          <w:rFonts w:cs="Times New Roman"/>
          <w:i/>
          <w:iCs/>
          <w:lang w:val="en-US"/>
        </w:rPr>
        <w:t>Enter Volumnia and Virgilia, mother and wife to Martius. They set them down on two low stools and sew</w:t>
      </w:r>
      <w:r w:rsidRPr="00834E5B">
        <w:rPr>
          <w:rFonts w:cs="Times New Roman"/>
          <w:iCs/>
          <w:lang w:val="en-US"/>
        </w:rPr>
        <w:t xml:space="preserve"> (1.3.0)</w:t>
      </w:r>
    </w:p>
    <w:p w14:paraId="617586F8" w14:textId="77777777" w:rsidR="00EF1031" w:rsidRPr="00834E5B" w:rsidRDefault="00EF1031" w:rsidP="00EF1031">
      <w:pPr>
        <w:spacing w:line="480" w:lineRule="auto"/>
      </w:pPr>
    </w:p>
    <w:p w14:paraId="74C7C51D" w14:textId="77777777" w:rsidR="00EF1031" w:rsidRPr="00834E5B" w:rsidRDefault="00EF1031" w:rsidP="00EF1031">
      <w:pPr>
        <w:spacing w:line="480" w:lineRule="auto"/>
      </w:pPr>
      <w:r w:rsidRPr="00834E5B">
        <w:t xml:space="preserve">It is both the activity and the low stools that make this scene domestic: the actors would presumably carry their stool in one hand and their work in the other, and their proximity to the ground and to each other narrows the focus of the scene. It creates a tableau of domestic harmony and virtuous feminine industry, albeit one that is immediately distorted by Volumnia. (An early modern audience might note the contrast with </w:t>
      </w:r>
      <w:r w:rsidRPr="00834E5B">
        <w:rPr>
          <w:i/>
        </w:rPr>
        <w:t>Antony and Cleopatra</w:t>
      </w:r>
      <w:r w:rsidRPr="00834E5B">
        <w:t xml:space="preserve"> 2.5, in which, awaiting news of Antony, Cleopatra calls first for music, then suggests billiards, then angling. Antony’s first wife Fulvia is, presumably, an able </w:t>
      </w:r>
      <w:proofErr w:type="gramStart"/>
      <w:r w:rsidRPr="00834E5B">
        <w:t>seamstress,</w:t>
      </w:r>
      <w:proofErr w:type="gramEnd"/>
      <w:r w:rsidRPr="00834E5B">
        <w:t xml:space="preserve"> if Enobarbus’s extended textile metaphor on hearing news of her death in 1.2.</w:t>
      </w:r>
      <w:r>
        <w:t>155-60</w:t>
      </w:r>
      <w:r w:rsidRPr="00834E5B">
        <w:t xml:space="preserve"> is any indication.)</w:t>
      </w:r>
    </w:p>
    <w:p w14:paraId="2EE1CE64" w14:textId="77777777" w:rsidR="00EF1031" w:rsidRPr="00834E5B" w:rsidRDefault="00EF1031" w:rsidP="00EF1031">
      <w:pPr>
        <w:spacing w:line="480" w:lineRule="auto"/>
      </w:pPr>
    </w:p>
    <w:p w14:paraId="27B798B0" w14:textId="77777777" w:rsidR="00EF1031" w:rsidRPr="00834E5B" w:rsidRDefault="00EF1031" w:rsidP="00EF1031">
      <w:pPr>
        <w:spacing w:line="480" w:lineRule="auto"/>
      </w:pPr>
      <w:r w:rsidRPr="00834E5B">
        <w:t xml:space="preserve">The scene in </w:t>
      </w:r>
      <w:r w:rsidRPr="00834E5B">
        <w:rPr>
          <w:i/>
        </w:rPr>
        <w:t>Henry VIII</w:t>
      </w:r>
      <w:r w:rsidRPr="00834E5B">
        <w:t xml:space="preserve"> is more interesting. The stage direction is briefer:</w:t>
      </w:r>
    </w:p>
    <w:p w14:paraId="496960EB" w14:textId="77777777" w:rsidR="00EF1031" w:rsidRPr="00834E5B" w:rsidRDefault="00EF1031" w:rsidP="00EF1031">
      <w:pPr>
        <w:spacing w:line="480" w:lineRule="auto"/>
      </w:pPr>
    </w:p>
    <w:p w14:paraId="6AB7EE10" w14:textId="77777777" w:rsidR="00EF1031" w:rsidRPr="00450D6B" w:rsidRDefault="00EF1031" w:rsidP="00EF1031">
      <w:pPr>
        <w:widowControl w:val="0"/>
        <w:autoSpaceDE w:val="0"/>
        <w:autoSpaceDN w:val="0"/>
        <w:adjustRightInd w:val="0"/>
        <w:spacing w:line="480" w:lineRule="auto"/>
        <w:jc w:val="center"/>
        <w:rPr>
          <w:rFonts w:cs="Times New Roman"/>
          <w:lang w:val="en-US"/>
        </w:rPr>
      </w:pPr>
      <w:r w:rsidRPr="00834E5B">
        <w:rPr>
          <w:rFonts w:cs="Times New Roman"/>
          <w:i/>
          <w:iCs/>
          <w:lang w:val="en-US"/>
        </w:rPr>
        <w:t>Enter Queen Katherine and her women, as at work</w:t>
      </w:r>
      <w:r>
        <w:rPr>
          <w:rFonts w:cs="Times New Roman"/>
          <w:iCs/>
          <w:lang w:val="en-US"/>
        </w:rPr>
        <w:t xml:space="preserve"> (3.1.0)</w:t>
      </w:r>
    </w:p>
    <w:p w14:paraId="2D34BBB9" w14:textId="77777777" w:rsidR="00EF1031" w:rsidRPr="00834E5B" w:rsidRDefault="00EF1031" w:rsidP="00EF1031">
      <w:pPr>
        <w:widowControl w:val="0"/>
        <w:autoSpaceDE w:val="0"/>
        <w:autoSpaceDN w:val="0"/>
        <w:adjustRightInd w:val="0"/>
        <w:spacing w:line="480" w:lineRule="auto"/>
        <w:jc w:val="center"/>
        <w:rPr>
          <w:rFonts w:cs="Times New Roman"/>
          <w:lang w:val="en-US"/>
        </w:rPr>
      </w:pPr>
    </w:p>
    <w:p w14:paraId="5B126EDD" w14:textId="77777777" w:rsidR="00EF1031" w:rsidRPr="00834E5B" w:rsidRDefault="00EF1031" w:rsidP="00EF1031">
      <w:pPr>
        <w:widowControl w:val="0"/>
        <w:autoSpaceDE w:val="0"/>
        <w:autoSpaceDN w:val="0"/>
        <w:adjustRightInd w:val="0"/>
        <w:spacing w:line="480" w:lineRule="auto"/>
        <w:rPr>
          <w:rFonts w:cs="Times New Roman"/>
          <w:lang w:val="en-US"/>
        </w:rPr>
      </w:pPr>
      <w:proofErr w:type="gramStart"/>
      <w:r w:rsidRPr="00834E5B">
        <w:rPr>
          <w:rFonts w:cs="Times New Roman"/>
          <w:lang w:val="en-US"/>
        </w:rPr>
        <w:t>but</w:t>
      </w:r>
      <w:proofErr w:type="gramEnd"/>
      <w:r w:rsidRPr="00834E5B">
        <w:rPr>
          <w:rFonts w:cs="Times New Roman"/>
          <w:lang w:val="en-US"/>
        </w:rPr>
        <w:t xml:space="preserve"> with the </w:t>
      </w:r>
      <w:r w:rsidRPr="00834E5B">
        <w:rPr>
          <w:rFonts w:cs="Times New Roman"/>
          <w:i/>
          <w:lang w:val="en-US"/>
        </w:rPr>
        <w:t>Coriolanus</w:t>
      </w:r>
      <w:r w:rsidRPr="00834E5B">
        <w:rPr>
          <w:rFonts w:cs="Times New Roman"/>
          <w:lang w:val="en-US"/>
        </w:rPr>
        <w:t xml:space="preserve"> example in mind, it can be inferred that the women at least have stools, with perhaps a chair for the queen. The scene has Holinshed as its starting point, wherein the queen is described as having ‘</w:t>
      </w:r>
      <w:r w:rsidRPr="00834E5B">
        <w:rPr>
          <w:rFonts w:cs="Verdana"/>
          <w:lang w:val="en-US"/>
        </w:rPr>
        <w:t>a skeine of white thred about hir necke</w:t>
      </w:r>
      <w:r w:rsidRPr="00834E5B">
        <w:rPr>
          <w:rFonts w:cs="Times New Roman"/>
          <w:lang w:val="en-US"/>
        </w:rPr>
        <w:t>’,</w:t>
      </w:r>
      <w:r w:rsidRPr="00834E5B">
        <w:rPr>
          <w:rStyle w:val="FootnoteReference"/>
          <w:rFonts w:cs="Times New Roman"/>
          <w:lang w:val="en-US"/>
        </w:rPr>
        <w:footnoteReference w:id="33"/>
      </w:r>
      <w:r w:rsidRPr="00834E5B">
        <w:rPr>
          <w:rFonts w:cs="Times New Roman"/>
          <w:lang w:val="en-US"/>
        </w:rPr>
        <w:t xml:space="preserve"> apparently sewing in her privy chamber. (There were excellent examples of needlework scenes, featuring both Katherine of Aragon and Anne Boleyn, in the BBC adaptation of Hilary Mantel’s </w:t>
      </w:r>
      <w:r w:rsidRPr="00834E5B">
        <w:rPr>
          <w:rFonts w:cs="Times New Roman"/>
          <w:i/>
          <w:lang w:val="en-US"/>
        </w:rPr>
        <w:t>Wolf Hall</w:t>
      </w:r>
      <w:r w:rsidRPr="00834E5B">
        <w:rPr>
          <w:rFonts w:cs="Times New Roman"/>
          <w:lang w:val="en-US"/>
        </w:rPr>
        <w:t xml:space="preserve"> and </w:t>
      </w:r>
      <w:r w:rsidRPr="00834E5B">
        <w:rPr>
          <w:rFonts w:cs="Times New Roman"/>
          <w:i/>
          <w:lang w:val="en-US"/>
        </w:rPr>
        <w:t>Bring up the bodies</w:t>
      </w:r>
      <w:r w:rsidRPr="00834E5B">
        <w:rPr>
          <w:rFonts w:cs="Times New Roman"/>
          <w:lang w:val="en-US"/>
        </w:rPr>
        <w:t xml:space="preserve"> [2015]). </w:t>
      </w:r>
    </w:p>
    <w:p w14:paraId="6D33F923" w14:textId="77777777" w:rsidR="00EF1031" w:rsidRPr="00834E5B" w:rsidRDefault="00EF1031" w:rsidP="00EF1031">
      <w:pPr>
        <w:spacing w:line="480" w:lineRule="auto"/>
        <w:rPr>
          <w:rFonts w:cs="Times New Roman"/>
          <w:lang w:val="en-US"/>
        </w:rPr>
      </w:pPr>
    </w:p>
    <w:p w14:paraId="7DE9A048" w14:textId="77777777" w:rsidR="00EF1031" w:rsidRPr="00834E5B" w:rsidRDefault="00EF1031" w:rsidP="00EF1031">
      <w:pPr>
        <w:widowControl w:val="0"/>
        <w:autoSpaceDE w:val="0"/>
        <w:autoSpaceDN w:val="0"/>
        <w:adjustRightInd w:val="0"/>
        <w:spacing w:line="480" w:lineRule="auto"/>
        <w:rPr>
          <w:rFonts w:cs="Times New Roman"/>
          <w:lang w:val="en-US"/>
        </w:rPr>
      </w:pPr>
      <w:r w:rsidRPr="00834E5B">
        <w:rPr>
          <w:rFonts w:cs="Times New Roman"/>
          <w:lang w:val="en-US"/>
        </w:rPr>
        <w:t>Katherine asks that their needlework be accompanied by music:</w:t>
      </w:r>
    </w:p>
    <w:p w14:paraId="06B6F201" w14:textId="77777777" w:rsidR="00EF1031" w:rsidRPr="00834E5B" w:rsidRDefault="00EF1031" w:rsidP="00EF1031">
      <w:pPr>
        <w:widowControl w:val="0"/>
        <w:autoSpaceDE w:val="0"/>
        <w:autoSpaceDN w:val="0"/>
        <w:adjustRightInd w:val="0"/>
        <w:spacing w:line="480" w:lineRule="auto"/>
        <w:rPr>
          <w:rFonts w:cs="Times New Roman"/>
          <w:lang w:val="en-US"/>
        </w:rPr>
      </w:pPr>
    </w:p>
    <w:p w14:paraId="336ECFFA" w14:textId="77777777" w:rsidR="00EF1031" w:rsidRPr="00834E5B" w:rsidRDefault="00EF1031" w:rsidP="00EF1031">
      <w:pPr>
        <w:widowControl w:val="0"/>
        <w:autoSpaceDE w:val="0"/>
        <w:autoSpaceDN w:val="0"/>
        <w:adjustRightInd w:val="0"/>
        <w:spacing w:line="480" w:lineRule="auto"/>
        <w:ind w:left="709"/>
        <w:rPr>
          <w:rFonts w:cs="Times New Roman"/>
          <w:lang w:val="en-US"/>
        </w:rPr>
      </w:pPr>
      <w:proofErr w:type="gramStart"/>
      <w:r w:rsidRPr="00834E5B">
        <w:rPr>
          <w:rFonts w:cs="Times New Roman"/>
          <w:lang w:val="en-US"/>
        </w:rPr>
        <w:t>Take thy lute</w:t>
      </w:r>
      <w:proofErr w:type="gramEnd"/>
      <w:r w:rsidRPr="00834E5B">
        <w:rPr>
          <w:rFonts w:cs="Times New Roman"/>
          <w:lang w:val="en-US"/>
        </w:rPr>
        <w:t xml:space="preserve">, </w:t>
      </w:r>
      <w:proofErr w:type="gramStart"/>
      <w:r w:rsidRPr="00834E5B">
        <w:rPr>
          <w:rFonts w:cs="Times New Roman"/>
          <w:lang w:val="en-US"/>
        </w:rPr>
        <w:t>wench</w:t>
      </w:r>
      <w:proofErr w:type="gramEnd"/>
      <w:r w:rsidRPr="00834E5B">
        <w:rPr>
          <w:rFonts w:cs="Times New Roman"/>
          <w:lang w:val="en-US"/>
        </w:rPr>
        <w:t>. My soul grows sad with troubles.</w:t>
      </w:r>
    </w:p>
    <w:p w14:paraId="3D2D8BD4" w14:textId="77777777" w:rsidR="00EF1031" w:rsidRPr="00834E5B" w:rsidRDefault="00EF1031" w:rsidP="00EF1031">
      <w:pPr>
        <w:spacing w:line="480" w:lineRule="auto"/>
        <w:ind w:left="709"/>
        <w:rPr>
          <w:rFonts w:cs="Times New Roman"/>
          <w:lang w:val="en-US"/>
        </w:rPr>
      </w:pPr>
      <w:r w:rsidRPr="00834E5B">
        <w:rPr>
          <w:rFonts w:cs="Times New Roman"/>
          <w:lang w:val="en-US"/>
        </w:rPr>
        <w:t xml:space="preserve">Sing, and disperse ’em if thou canst. Leave working. </w:t>
      </w:r>
    </w:p>
    <w:p w14:paraId="175A0DF9" w14:textId="77777777" w:rsidR="00EF1031" w:rsidRPr="00834E5B" w:rsidRDefault="00EF1031" w:rsidP="00EF1031">
      <w:pPr>
        <w:spacing w:line="480" w:lineRule="auto"/>
        <w:rPr>
          <w:rFonts w:cs="Times New Roman"/>
          <w:lang w:val="en-US"/>
        </w:rPr>
      </w:pPr>
    </w:p>
    <w:p w14:paraId="74D6C7A5" w14:textId="77777777" w:rsidR="00EF1031" w:rsidRPr="00834E5B" w:rsidRDefault="00EF1031" w:rsidP="00EF1031">
      <w:pPr>
        <w:spacing w:line="480" w:lineRule="auto"/>
      </w:pPr>
      <w:r w:rsidRPr="00834E5B">
        <w:t>The song begins thus:</w:t>
      </w:r>
    </w:p>
    <w:p w14:paraId="6EB5FC00" w14:textId="77777777" w:rsidR="00EF1031" w:rsidRPr="00834E5B" w:rsidRDefault="00EF1031" w:rsidP="00EF1031">
      <w:pPr>
        <w:spacing w:line="480" w:lineRule="auto"/>
      </w:pPr>
    </w:p>
    <w:p w14:paraId="56917DF7" w14:textId="77777777" w:rsidR="00EF1031" w:rsidRPr="00834E5B" w:rsidRDefault="00EF1031" w:rsidP="00EF1031">
      <w:pPr>
        <w:widowControl w:val="0"/>
        <w:autoSpaceDE w:val="0"/>
        <w:autoSpaceDN w:val="0"/>
        <w:adjustRightInd w:val="0"/>
        <w:spacing w:line="480" w:lineRule="auto"/>
        <w:jc w:val="center"/>
        <w:rPr>
          <w:rFonts w:cs="Times New Roman"/>
          <w:lang w:val="en-US"/>
        </w:rPr>
      </w:pPr>
      <w:r w:rsidRPr="00834E5B">
        <w:rPr>
          <w:rFonts w:cs="Times New Roman"/>
          <w:lang w:val="en-US"/>
        </w:rPr>
        <w:t>Orpheus with his lute made trees</w:t>
      </w:r>
      <w:r>
        <w:rPr>
          <w:rFonts w:cs="Times New Roman"/>
          <w:lang w:val="en-US"/>
        </w:rPr>
        <w:t>,</w:t>
      </w:r>
    </w:p>
    <w:p w14:paraId="269A5136" w14:textId="77777777" w:rsidR="00EF1031" w:rsidRPr="00834E5B" w:rsidRDefault="00EF1031" w:rsidP="00EF1031">
      <w:pPr>
        <w:widowControl w:val="0"/>
        <w:autoSpaceDE w:val="0"/>
        <w:autoSpaceDN w:val="0"/>
        <w:adjustRightInd w:val="0"/>
        <w:spacing w:line="480" w:lineRule="auto"/>
        <w:jc w:val="center"/>
        <w:rPr>
          <w:rFonts w:cs="Times New Roman"/>
          <w:lang w:val="en-US"/>
        </w:rPr>
      </w:pPr>
      <w:r w:rsidRPr="00834E5B">
        <w:rPr>
          <w:rFonts w:cs="Times New Roman"/>
          <w:lang w:val="en-US"/>
        </w:rPr>
        <w:t>And the mountain tops that freeze</w:t>
      </w:r>
      <w:r>
        <w:rPr>
          <w:rFonts w:cs="Times New Roman"/>
          <w:lang w:val="en-US"/>
        </w:rPr>
        <w:t>,</w:t>
      </w:r>
    </w:p>
    <w:p w14:paraId="092A4E5A" w14:textId="77777777" w:rsidR="00EF1031" w:rsidRPr="00834E5B" w:rsidRDefault="00EF1031" w:rsidP="00EF1031">
      <w:pPr>
        <w:widowControl w:val="0"/>
        <w:autoSpaceDE w:val="0"/>
        <w:autoSpaceDN w:val="0"/>
        <w:adjustRightInd w:val="0"/>
        <w:spacing w:line="480" w:lineRule="auto"/>
        <w:jc w:val="center"/>
        <w:rPr>
          <w:rFonts w:cs="Times New Roman"/>
          <w:lang w:val="en-US"/>
        </w:rPr>
      </w:pPr>
      <w:r w:rsidRPr="00834E5B">
        <w:rPr>
          <w:rFonts w:cs="Times New Roman"/>
          <w:lang w:val="en-US"/>
        </w:rPr>
        <w:t xml:space="preserve">Bow </w:t>
      </w:r>
      <w:proofErr w:type="gramStart"/>
      <w:r w:rsidRPr="00834E5B">
        <w:rPr>
          <w:rFonts w:cs="Times New Roman"/>
          <w:lang w:val="en-US"/>
        </w:rPr>
        <w:t>themselves</w:t>
      </w:r>
      <w:proofErr w:type="gramEnd"/>
      <w:r w:rsidRPr="00834E5B">
        <w:rPr>
          <w:rFonts w:cs="Times New Roman"/>
          <w:lang w:val="en-US"/>
        </w:rPr>
        <w:t xml:space="preserve"> when he did sing.</w:t>
      </w:r>
    </w:p>
    <w:p w14:paraId="370C7BFB" w14:textId="77777777" w:rsidR="00EF1031" w:rsidRPr="00834E5B" w:rsidRDefault="00EF1031" w:rsidP="00EF1031">
      <w:pPr>
        <w:widowControl w:val="0"/>
        <w:autoSpaceDE w:val="0"/>
        <w:autoSpaceDN w:val="0"/>
        <w:adjustRightInd w:val="0"/>
        <w:spacing w:line="480" w:lineRule="auto"/>
        <w:jc w:val="center"/>
        <w:rPr>
          <w:rFonts w:cs="Times New Roman"/>
          <w:lang w:val="en-US"/>
        </w:rPr>
      </w:pPr>
      <w:r w:rsidRPr="00834E5B">
        <w:rPr>
          <w:rFonts w:cs="Times New Roman"/>
          <w:lang w:val="en-US"/>
        </w:rPr>
        <w:t>To his music plants and flowers</w:t>
      </w:r>
    </w:p>
    <w:p w14:paraId="74FD293E" w14:textId="77777777" w:rsidR="00EF1031" w:rsidRPr="00834E5B" w:rsidRDefault="00EF1031" w:rsidP="00EF1031">
      <w:pPr>
        <w:widowControl w:val="0"/>
        <w:autoSpaceDE w:val="0"/>
        <w:autoSpaceDN w:val="0"/>
        <w:adjustRightInd w:val="0"/>
        <w:spacing w:line="480" w:lineRule="auto"/>
        <w:jc w:val="center"/>
        <w:rPr>
          <w:rFonts w:cs="Times New Roman"/>
          <w:lang w:val="en-US"/>
        </w:rPr>
      </w:pPr>
      <w:r w:rsidRPr="00834E5B">
        <w:rPr>
          <w:rFonts w:cs="Times New Roman"/>
          <w:lang w:val="en-US"/>
        </w:rPr>
        <w:t>Ever sprung, as sun and showers</w:t>
      </w:r>
    </w:p>
    <w:p w14:paraId="2F24204B" w14:textId="77777777" w:rsidR="00EF1031" w:rsidRPr="00834E5B" w:rsidRDefault="00EF1031" w:rsidP="00EF1031">
      <w:pPr>
        <w:widowControl w:val="0"/>
        <w:autoSpaceDE w:val="0"/>
        <w:autoSpaceDN w:val="0"/>
        <w:adjustRightInd w:val="0"/>
        <w:spacing w:line="480" w:lineRule="auto"/>
        <w:jc w:val="center"/>
        <w:rPr>
          <w:rFonts w:cs="Times New Roman"/>
          <w:lang w:val="en-US"/>
        </w:rPr>
      </w:pPr>
      <w:r w:rsidRPr="00834E5B">
        <w:rPr>
          <w:rFonts w:cs="Times New Roman"/>
          <w:lang w:val="en-US"/>
        </w:rPr>
        <w:t>There had made a lasting spring.</w:t>
      </w:r>
      <w:r>
        <w:rPr>
          <w:rFonts w:cs="Times New Roman"/>
          <w:lang w:val="en-US"/>
        </w:rPr>
        <w:t xml:space="preserve"> (3.1.1-8)</w:t>
      </w:r>
    </w:p>
    <w:p w14:paraId="17F79EF6" w14:textId="77777777" w:rsidR="00EF1031" w:rsidRPr="00834E5B" w:rsidRDefault="00EF1031" w:rsidP="00EF1031">
      <w:pPr>
        <w:spacing w:line="480" w:lineRule="auto"/>
        <w:rPr>
          <w:rFonts w:cs="Times New Roman"/>
          <w:lang w:val="en-US"/>
        </w:rPr>
      </w:pPr>
    </w:p>
    <w:p w14:paraId="119A024F" w14:textId="77777777" w:rsidR="00EF1031" w:rsidRPr="00834E5B" w:rsidRDefault="00EF1031" w:rsidP="00EF1031">
      <w:pPr>
        <w:spacing w:line="480" w:lineRule="auto"/>
        <w:rPr>
          <w:rFonts w:cs="Times New Roman"/>
          <w:lang w:val="en-US"/>
        </w:rPr>
      </w:pPr>
      <w:r w:rsidRPr="00834E5B">
        <w:t>This scene of textile making is accompanied by a classical lyric extolling other forms of aesthetic creation. The periodic syntax suggestively delays the verb so that, in its opening, the song announces that ‘Orpheus with his lute made trees, and the mountain tops’. The ‘plants and flowers’ ‘ever sprung’ and the ‘sun and showers … made a lasting spring’ suggest a moment frozen in time, image rather than text or melody. Orpheus was a frequent subject in early modern needlework.</w:t>
      </w:r>
      <w:r w:rsidRPr="00834E5B">
        <w:rPr>
          <w:rStyle w:val="FootnoteReference"/>
        </w:rPr>
        <w:footnoteReference w:id="34"/>
      </w:r>
      <w:r w:rsidRPr="00834E5B">
        <w:t xml:space="preserve"> The scene is interrupted first by a gentleman and then by the two cardinals, Wolsey and Campeius. As in Holinshed, Wolsey begins in Latin, but Katherine exhorts him to speak in English, and in the hearing of her attendants. </w:t>
      </w:r>
    </w:p>
    <w:p w14:paraId="5C575A5A" w14:textId="77777777" w:rsidR="00EF1031" w:rsidRPr="00834E5B" w:rsidRDefault="00EF1031" w:rsidP="00EF1031">
      <w:pPr>
        <w:spacing w:line="480" w:lineRule="auto"/>
      </w:pPr>
    </w:p>
    <w:p w14:paraId="1E321DBE" w14:textId="77777777" w:rsidR="00EF1031" w:rsidRPr="00834E5B" w:rsidRDefault="00EF1031" w:rsidP="00EF1031">
      <w:pPr>
        <w:spacing w:line="480" w:lineRule="auto"/>
      </w:pPr>
      <w:r w:rsidRPr="00834E5B">
        <w:t xml:space="preserve">This scene is therefore one of competing and conjoined discourses and narratives, and this is reinforced by its </w:t>
      </w:r>
      <w:r>
        <w:t>also being a sewing scene</w:t>
      </w:r>
      <w:r w:rsidRPr="00834E5B">
        <w:t xml:space="preserve">. It matters that the joins, the processes of making, show, as public is set against private, domestic against political, Latin against English, masculine against feminine. The inset lyric, the invocation of Ovid, the closeness of the chronicle source, emphasise the madeness of this dramatic artefact, as does the general editorial agreement that this is a Fletcher scene, and the song’s recycling from another of Fletcher’s plays. </w:t>
      </w:r>
      <w:r w:rsidRPr="00834E5B">
        <w:rPr>
          <w:i/>
        </w:rPr>
        <w:t>Henry VIII</w:t>
      </w:r>
      <w:r w:rsidRPr="00834E5B">
        <w:t xml:space="preserve"> often draws attention to its own strangeness and hybridity, mingling masque and versified chronicle, pageant, prophecy, and myth. A sewing scene, no matter how closely based in historical fact, is one way of staging the possibility of different kinds of story and different kinds of story-telling, and here, also, the insufficiency of the textual, the Latin, the public. </w:t>
      </w:r>
    </w:p>
    <w:p w14:paraId="03ABBCD9" w14:textId="77777777" w:rsidR="00EF1031" w:rsidRPr="00834E5B" w:rsidRDefault="00EF1031" w:rsidP="00EF1031">
      <w:pPr>
        <w:spacing w:line="480" w:lineRule="auto"/>
      </w:pPr>
    </w:p>
    <w:p w14:paraId="6E78747F" w14:textId="77777777" w:rsidR="00EF1031" w:rsidRPr="00834E5B" w:rsidRDefault="00EF1031" w:rsidP="00EF1031">
      <w:pPr>
        <w:spacing w:line="480" w:lineRule="auto"/>
      </w:pPr>
      <w:r w:rsidRPr="00834E5B">
        <w:t xml:space="preserve">Paralleling the sewing scene in </w:t>
      </w:r>
      <w:r w:rsidRPr="00834E5B">
        <w:rPr>
          <w:i/>
        </w:rPr>
        <w:t>Henry VIII</w:t>
      </w:r>
      <w:r w:rsidRPr="00834E5B">
        <w:t xml:space="preserve">, an implicit sewing scene in another late play can be posited. In many contemporary productions of </w:t>
      </w:r>
      <w:r w:rsidRPr="00834E5B">
        <w:rPr>
          <w:i/>
        </w:rPr>
        <w:t>The Winter’s Tale</w:t>
      </w:r>
      <w:r w:rsidRPr="00834E5B">
        <w:t>, 2.1, in which Hermione is accused and arrested by Leontes, is staged as if Hermione and her ladies are putting the child Mamillius to bed, presumably because the idea of the bedtime story still inheres with affective nostalgia in the way that a sewing scene does not, especially if Mamillius (as seems almost compulsory) wears blue-striped pyjamas.</w:t>
      </w:r>
      <w:r w:rsidRPr="00834E5B">
        <w:rPr>
          <w:rStyle w:val="FootnoteReference"/>
        </w:rPr>
        <w:footnoteReference w:id="35"/>
      </w:r>
      <w:r w:rsidRPr="00834E5B">
        <w:t xml:space="preserve"> But there is nothing in the text to suggest that bedtime setting: rather, a domestic </w:t>
      </w:r>
      <w:r w:rsidRPr="00834E5B">
        <w:rPr>
          <w:i/>
        </w:rPr>
        <w:t>mise en scene</w:t>
      </w:r>
      <w:r w:rsidRPr="00834E5B">
        <w:t xml:space="preserve"> of stools and chair seems more likely, an intimate, harmonious, benign world of women and children into which Leontes and his lords intrude. This could be very easily reinforced in a performance in early modern dress by having Hermione and her ladies sewing; such a context would be entirely logical for the </w:t>
      </w:r>
      <w:proofErr w:type="gramStart"/>
      <w:r w:rsidRPr="00834E5B">
        <w:t>tale-telling</w:t>
      </w:r>
      <w:proofErr w:type="gramEnd"/>
      <w:r w:rsidRPr="00834E5B">
        <w:t xml:space="preserve"> promised by Mamillius. A sewing scene would </w:t>
      </w:r>
      <w:r>
        <w:t>give a material form to</w:t>
      </w:r>
      <w:r w:rsidRPr="00834E5B">
        <w:t xml:space="preserve"> the play’s interest in fabrication, both narrative and aesthetic, and is perhaps further indicated by Hermione’s instruction to her s</w:t>
      </w:r>
      <w:r>
        <w:t>on, ‘Pray sit you by us’ (2.1.23</w:t>
      </w:r>
      <w:r w:rsidRPr="00834E5B">
        <w:t>): Hermione at least is sitting down, and presumably her women too. In modern dress a bedtime setting can succeed very well in affective terms, but any sense of women’s making and of craft is lost.</w:t>
      </w:r>
    </w:p>
    <w:p w14:paraId="1E1A17A9" w14:textId="77777777" w:rsidR="00EF1031" w:rsidRPr="00834E5B" w:rsidRDefault="00EF1031" w:rsidP="00EF1031">
      <w:pPr>
        <w:spacing w:line="480" w:lineRule="auto"/>
      </w:pPr>
    </w:p>
    <w:p w14:paraId="6A0A7B0B" w14:textId="77777777" w:rsidR="00EF1031" w:rsidRPr="00834E5B" w:rsidRDefault="00EF1031" w:rsidP="00EF1031">
      <w:pPr>
        <w:spacing w:line="480" w:lineRule="auto"/>
      </w:pPr>
      <w:r w:rsidRPr="00834E5B">
        <w:t>There were many men involved in textile trades: most tailors were men, as were most professional embroiderers. Henslowe’s accounts suggest that running repairs and at least some costume making or alteration was undertaken by the in-house tireman.</w:t>
      </w:r>
      <w:r w:rsidRPr="00834E5B">
        <w:rPr>
          <w:rStyle w:val="FootnoteReference"/>
        </w:rPr>
        <w:footnoteReference w:id="36"/>
      </w:r>
      <w:r w:rsidRPr="00834E5B">
        <w:t xml:space="preserve"> Most people, men or women, would have been able to mend their own clothes, at the level of sewing on a point or applying a patch. </w:t>
      </w:r>
      <w:r>
        <w:t>The needlework imagined and perhaps staged in these scenes</w:t>
      </w:r>
      <w:r w:rsidRPr="00834E5B">
        <w:t>, however, was one of the defining accomplishments of socially elite women. To speak of the performance of gender and of gender itself as performative is unremarkable: needlework is a very particular kind of performativity, and one that, as an activity of making, draws a particular kind of attention to itself as both performative and constitutive. In thinking about boy actors, it has become usual to dwell, as Stallybrass and Jones have suggested, on the body beneath;</w:t>
      </w:r>
      <w:r w:rsidRPr="00834E5B">
        <w:rPr>
          <w:rStyle w:val="FootnoteReference"/>
        </w:rPr>
        <w:footnoteReference w:id="37"/>
      </w:r>
      <w:r w:rsidRPr="00834E5B">
        <w:t xml:space="preserve"> or perhaps to think about their musical abilities, recalling contemporary accounts of the musical skills of the children’s companies, the Willow Song and other lyrics apparently performed by boys in the adult companies,</w:t>
      </w:r>
      <w:r w:rsidRPr="00834E5B">
        <w:rPr>
          <w:rStyle w:val="FootnoteReference"/>
        </w:rPr>
        <w:footnoteReference w:id="38"/>
      </w:r>
      <w:r w:rsidRPr="00834E5B">
        <w:t xml:space="preserve"> or even the enduring fetishisation of the boy soprano. In watching adolescent boys performing women’s parts, in companies such as Edward’s Boys,</w:t>
      </w:r>
      <w:r w:rsidRPr="00834E5B">
        <w:rPr>
          <w:rStyle w:val="FootnoteReference"/>
        </w:rPr>
        <w:footnoteReference w:id="39"/>
      </w:r>
      <w:r w:rsidRPr="00834E5B">
        <w:t xml:space="preserve"> one’s attention is sometimes drawn to the tendency to gangly wristiness and awkward outsize hands (not as easily concealed as outsize feet) that can characterize boys in their mid teens. But what about what those hands had to do? Did boys playing women’s parts </w:t>
      </w:r>
      <w:r w:rsidRPr="00834E5B">
        <w:rPr>
          <w:i/>
        </w:rPr>
        <w:t>commonly</w:t>
      </w:r>
      <w:r w:rsidRPr="00834E5B">
        <w:t xml:space="preserve"> sew on stage, in the same way as they wore wigs and painted their faces, and to the same end, the performance of a simulacrum of femininity? It seems not unlikely: if they could do it, mandated by stage directions in </w:t>
      </w:r>
      <w:r w:rsidRPr="00834E5B">
        <w:rPr>
          <w:i/>
        </w:rPr>
        <w:t>Coriolanus</w:t>
      </w:r>
      <w:r w:rsidRPr="00834E5B">
        <w:t xml:space="preserve"> and </w:t>
      </w:r>
      <w:r w:rsidRPr="00834E5B">
        <w:rPr>
          <w:i/>
        </w:rPr>
        <w:t>Henry VIII</w:t>
      </w:r>
      <w:r w:rsidRPr="00834E5B">
        <w:t xml:space="preserve">, they could do it in </w:t>
      </w:r>
      <w:r w:rsidRPr="00834E5B">
        <w:rPr>
          <w:i/>
        </w:rPr>
        <w:t>The Winter’s Tale</w:t>
      </w:r>
      <w:r w:rsidRPr="00834E5B">
        <w:t xml:space="preserve"> (and elsewhere).</w:t>
      </w:r>
      <w:r w:rsidRPr="00834E5B">
        <w:rPr>
          <w:rStyle w:val="FootnoteReference"/>
        </w:rPr>
        <w:footnoteReference w:id="40"/>
      </w:r>
      <w:r w:rsidRPr="00834E5B">
        <w:t xml:space="preserve"> </w:t>
      </w:r>
    </w:p>
    <w:p w14:paraId="2F1F4E3B" w14:textId="77777777" w:rsidR="00EF1031" w:rsidRPr="00834E5B" w:rsidRDefault="00EF1031" w:rsidP="00EF1031">
      <w:pPr>
        <w:spacing w:line="480" w:lineRule="auto"/>
      </w:pPr>
    </w:p>
    <w:p w14:paraId="5F09033A" w14:textId="77777777" w:rsidR="00EF1031" w:rsidRPr="00834E5B" w:rsidRDefault="00EF1031" w:rsidP="00EF1031">
      <w:pPr>
        <w:spacing w:line="480" w:lineRule="auto"/>
      </w:pPr>
      <w:r w:rsidRPr="00834E5B">
        <w:t xml:space="preserve">Like the story of Cesario’s sister, Mamillius’s winter’s tale, with its fairytale promise of sprites and goblins, remains unheard. When, at the play’s conclusion, Paulina fears that any account of Hermione’s being alive might well be ‘hooted at | Like an old tale’ </w:t>
      </w:r>
      <w:r>
        <w:t xml:space="preserve">(5.3.117-8) </w:t>
      </w:r>
      <w:r w:rsidRPr="00834E5B">
        <w:t>without the material proof of the thing itself, she overlays such a tale with the Pygmalion narrative, and with Biblical narratives of resurrection.</w:t>
      </w:r>
      <w:r w:rsidRPr="00834E5B">
        <w:rPr>
          <w:rStyle w:val="FootnoteReference"/>
        </w:rPr>
        <w:footnoteReference w:id="41"/>
      </w:r>
      <w:r w:rsidRPr="00834E5B">
        <w:t xml:space="preserve"> Both the putative sewing scene and the statue scene stage different ways of telling and narrating, and different kinds of making and made-ness, material and theatrical. The statue scene does not come out of nowhere: it is partly anticipated by this earlier scene of a tale that has to be taken on trust by both actors and audience, whispered by a child in his mother’s ear, and the needlework with which the good queen and her maids might </w:t>
      </w:r>
      <w:r>
        <w:t>hypothetically</w:t>
      </w:r>
      <w:r w:rsidRPr="00834E5B">
        <w:t xml:space="preserve">, but legitimately, be equipped. </w:t>
      </w:r>
    </w:p>
    <w:p w14:paraId="77CDA115" w14:textId="77777777" w:rsidR="00EF1031" w:rsidRPr="00834E5B" w:rsidRDefault="00EF1031" w:rsidP="00EF1031">
      <w:pPr>
        <w:spacing w:line="480" w:lineRule="auto"/>
      </w:pPr>
    </w:p>
    <w:p w14:paraId="26A99ABE" w14:textId="77777777" w:rsidR="00EF1031" w:rsidRPr="00834E5B" w:rsidRDefault="00EF1031" w:rsidP="00EF1031">
      <w:pPr>
        <w:spacing w:line="480" w:lineRule="auto"/>
        <w:rPr>
          <w:rFonts w:cs="Times"/>
          <w:lang w:val="en-US"/>
        </w:rPr>
      </w:pPr>
      <w:r w:rsidRPr="00834E5B">
        <w:rPr>
          <w:rFonts w:cs="Times New Roman"/>
          <w:lang w:val="en-US"/>
        </w:rPr>
        <w:t>Left only with the products of women’s textile labour, it is all too easy to treat them as texts, to go source hunting, and to read them as finished expressions of identity and ideology. Literary critics have tended to privilege elite textile productions, often with narrative content drawn from the bible or from Ovid, frequently via the intermediary of Dutch engravings. Yet the sampler, the cushion, the hanging, even if it is as elaborate as those created by Bess of Har</w:t>
      </w:r>
      <w:r w:rsidR="00F265B8">
        <w:rPr>
          <w:rFonts w:cs="Times New Roman"/>
          <w:lang w:val="en-US"/>
        </w:rPr>
        <w:t>d</w:t>
      </w:r>
      <w:r w:rsidRPr="00834E5B">
        <w:rPr>
          <w:rFonts w:cs="Times New Roman"/>
          <w:lang w:val="en-US"/>
        </w:rPr>
        <w:t xml:space="preserve">wick, Mary Queen of Scots and their women, is only </w:t>
      </w:r>
      <w:r>
        <w:rPr>
          <w:rFonts w:cs="Times New Roman"/>
          <w:lang w:val="en-US"/>
        </w:rPr>
        <w:t>part of</w:t>
      </w:r>
      <w:r w:rsidRPr="00834E5B">
        <w:rPr>
          <w:rFonts w:cs="Times New Roman"/>
          <w:lang w:val="en-US"/>
        </w:rPr>
        <w:t xml:space="preserve"> the story. It is the </w:t>
      </w:r>
      <w:r>
        <w:rPr>
          <w:rFonts w:cs="Times New Roman"/>
          <w:lang w:val="en-US"/>
        </w:rPr>
        <w:t>static finished product</w:t>
      </w:r>
      <w:r w:rsidRPr="00834E5B">
        <w:rPr>
          <w:rFonts w:cs="Times New Roman"/>
          <w:lang w:val="en-US"/>
        </w:rPr>
        <w:t>, not the process</w:t>
      </w:r>
      <w:r>
        <w:rPr>
          <w:rFonts w:cs="Times New Roman"/>
          <w:lang w:val="en-US"/>
        </w:rPr>
        <w:t xml:space="preserve"> or the scene</w:t>
      </w:r>
      <w:r w:rsidRPr="00834E5B">
        <w:rPr>
          <w:rFonts w:cs="Times New Roman"/>
          <w:lang w:val="en-US"/>
        </w:rPr>
        <w:t xml:space="preserve"> of making; it is the printed text rather than the play in performance, dynamic, plastic, collaborative, spatio-temporally constituted. Something like a hanging made from ‘slips’, ‘</w:t>
      </w:r>
      <w:r w:rsidRPr="00834E5B">
        <w:rPr>
          <w:rFonts w:cs="Times"/>
          <w:lang w:val="en-US"/>
        </w:rPr>
        <w:t>a play was pieced together out of a collection of odds and ends: it was not a single whole entity’;</w:t>
      </w:r>
      <w:r w:rsidRPr="00834E5B">
        <w:rPr>
          <w:rStyle w:val="FootnoteReference"/>
          <w:rFonts w:cs="Times"/>
          <w:lang w:val="en-US"/>
        </w:rPr>
        <w:footnoteReference w:id="42"/>
      </w:r>
      <w:r w:rsidRPr="00834E5B">
        <w:rPr>
          <w:rFonts w:cs="Times"/>
          <w:lang w:val="en-US"/>
        </w:rPr>
        <w:t xml:space="preserve"> as Chloe Porter has pointed out, to ‘piece’, as it is used in the Prologue to </w:t>
      </w:r>
      <w:r w:rsidRPr="00834E5B">
        <w:rPr>
          <w:rFonts w:cs="Times"/>
          <w:i/>
          <w:lang w:val="en-US"/>
        </w:rPr>
        <w:t>Henry V</w:t>
      </w:r>
      <w:r w:rsidRPr="00834E5B">
        <w:rPr>
          <w:rFonts w:cs="Times"/>
          <w:lang w:val="en-US"/>
        </w:rPr>
        <w:t>, for example (‘piece out our imperfections with your thoughts’</w:t>
      </w:r>
      <w:r>
        <w:rPr>
          <w:rFonts w:cs="Times"/>
          <w:lang w:val="en-US"/>
        </w:rPr>
        <w:t>, 23</w:t>
      </w:r>
      <w:r w:rsidRPr="00834E5B">
        <w:rPr>
          <w:rFonts w:cs="Times"/>
          <w:lang w:val="en-US"/>
        </w:rPr>
        <w:t>) is at least partly textile in its referents.</w:t>
      </w:r>
      <w:r w:rsidRPr="00834E5B">
        <w:rPr>
          <w:rStyle w:val="FootnoteReference"/>
          <w:rFonts w:cs="Times"/>
          <w:lang w:val="en-US"/>
        </w:rPr>
        <w:footnoteReference w:id="43"/>
      </w:r>
      <w:r w:rsidRPr="00834E5B">
        <w:rPr>
          <w:rFonts w:cs="Times"/>
          <w:lang w:val="en-US"/>
        </w:rPr>
        <w:t xml:space="preserve"> The chorus invites the audience to </w:t>
      </w:r>
      <w:r w:rsidRPr="00834E5B">
        <w:rPr>
          <w:rFonts w:cs="Times"/>
          <w:i/>
          <w:lang w:val="en-US"/>
        </w:rPr>
        <w:t>make</w:t>
      </w:r>
      <w:r w:rsidRPr="00834E5B">
        <w:rPr>
          <w:rFonts w:cs="Times"/>
          <w:lang w:val="en-US"/>
        </w:rPr>
        <w:t xml:space="preserve"> with him. </w:t>
      </w:r>
    </w:p>
    <w:p w14:paraId="53A22518" w14:textId="77777777" w:rsidR="00EF1031" w:rsidRPr="00834E5B" w:rsidRDefault="00EF1031" w:rsidP="00EF1031">
      <w:pPr>
        <w:spacing w:line="480" w:lineRule="auto"/>
      </w:pPr>
    </w:p>
    <w:p w14:paraId="0E75DACB" w14:textId="77777777" w:rsidR="00EF1031" w:rsidRPr="00834E5B" w:rsidRDefault="00EF1031" w:rsidP="00EF1031">
      <w:pPr>
        <w:spacing w:line="480" w:lineRule="auto"/>
      </w:pPr>
      <w:r w:rsidRPr="00834E5B">
        <w:t xml:space="preserve">The associations between textile labour, especially needlework, the fashioning of femininity, and different forms of story, often primarily oral and traditional, are therefore mutually reinforcing in Shakespeare’s plays. Needlework is marked by time, by song, by story, even before it becomes (in Jones and Stallybrass’s resonant term) the materials of memory. Textile work marks time more than writing does, whether through its nostalgic evocation of the past, or because it is rhythmically made. It need not have figurative content, to be ‘story work’, so-called, to be the material trace of a lost world of story and song. Like the stories that are not necessarily found in Holinshed, or Plutarch, or Ovid, needlework is dynamic, communal, memetic, handed down, not always written down. And it is certainly not to dismiss the customary equivalence between writing and needlework to suggest that dramatic writing might be a particularly dense instantiation of this: performed and experienced in time and space, an embodied practice, a communal activity. Like stories and like theatre itself, textile making is grounded in the possibility of remaking and recycling, of continuing future activity, retelling, </w:t>
      </w:r>
      <w:proofErr w:type="gramStart"/>
      <w:r w:rsidRPr="00834E5B">
        <w:t>re</w:t>
      </w:r>
      <w:proofErr w:type="gramEnd"/>
      <w:r w:rsidRPr="00834E5B">
        <w:t xml:space="preserve">-creation. </w:t>
      </w:r>
    </w:p>
    <w:p w14:paraId="5A5765C0" w14:textId="77777777" w:rsidR="00EF1031" w:rsidRPr="00834E5B" w:rsidRDefault="00EF1031" w:rsidP="00EF1031">
      <w:pPr>
        <w:spacing w:line="480" w:lineRule="auto"/>
      </w:pPr>
    </w:p>
    <w:p w14:paraId="65E765F1" w14:textId="77777777" w:rsidR="00EF1031" w:rsidRPr="00834E5B" w:rsidRDefault="00EF1031" w:rsidP="00EF1031">
      <w:pPr>
        <w:spacing w:line="480" w:lineRule="auto"/>
      </w:pPr>
    </w:p>
    <w:p w14:paraId="793EBDAB" w14:textId="77777777" w:rsidR="00EF1031" w:rsidRPr="00834E5B" w:rsidRDefault="00EF1031" w:rsidP="00EF1031">
      <w:pPr>
        <w:spacing w:line="480" w:lineRule="auto"/>
      </w:pPr>
    </w:p>
    <w:p w14:paraId="76FF3145" w14:textId="77777777" w:rsidR="00EF1031" w:rsidRPr="00834E5B" w:rsidRDefault="00EF1031" w:rsidP="00EF1031">
      <w:pPr>
        <w:spacing w:line="480" w:lineRule="auto"/>
      </w:pPr>
    </w:p>
    <w:p w14:paraId="3712107D" w14:textId="77777777" w:rsidR="00EF1031" w:rsidRDefault="00EF1031" w:rsidP="00EF1031">
      <w:pPr>
        <w:spacing w:line="480" w:lineRule="auto"/>
      </w:pPr>
    </w:p>
    <w:p w14:paraId="4B0F5EF4" w14:textId="77777777" w:rsidR="00EF1031" w:rsidRPr="00834E5B" w:rsidRDefault="00EF1031" w:rsidP="00EF1031">
      <w:pPr>
        <w:spacing w:line="480" w:lineRule="auto"/>
      </w:pPr>
    </w:p>
    <w:p w14:paraId="27BAA4C9" w14:textId="77777777" w:rsidR="00665937" w:rsidRDefault="00665937"/>
    <w:sectPr w:rsidR="00665937" w:rsidSect="000632C9">
      <w:headerReference w:type="even" r:id="rId7"/>
      <w:headerReference w:type="default" r:id="rId8"/>
      <w:pgSz w:w="11900" w:h="16840"/>
      <w:pgMar w:top="1440" w:right="1800" w:bottom="1440" w:left="1800" w:header="708" w:footer="708" w:gutter="0"/>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A08DE86" w14:textId="77777777" w:rsidR="000632C9" w:rsidRDefault="000632C9" w:rsidP="00EF1031">
      <w:r>
        <w:separator/>
      </w:r>
    </w:p>
  </w:endnote>
  <w:endnote w:type="continuationSeparator" w:id="0">
    <w:p w14:paraId="14EEEA88" w14:textId="77777777" w:rsidR="000632C9" w:rsidRDefault="000632C9" w:rsidP="00EF10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Times New Roman">
    <w:panose1 w:val="02020603050405020304"/>
    <w:charset w:val="00"/>
    <w:family w:val="auto"/>
    <w:pitch w:val="variable"/>
    <w:sig w:usb0="00000003" w:usb1="00000000" w:usb2="00000000" w:usb3="00000000" w:csb0="00000001" w:csb1="00000000"/>
  </w:font>
  <w:font w:name="Times">
    <w:panose1 w:val="02000500000000000000"/>
    <w:charset w:val="00"/>
    <w:family w:val="auto"/>
    <w:pitch w:val="variable"/>
    <w:sig w:usb0="00000003" w:usb1="00000000" w:usb2="00000000" w:usb3="00000000" w:csb0="00000001" w:csb1="00000000"/>
  </w:font>
  <w:font w:name="Verdana">
    <w:panose1 w:val="020B060403050404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00000003" w:usb1="00000000" w:usb2="00000000" w:usb3="00000000" w:csb0="00000001"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E508D4F" w14:textId="77777777" w:rsidR="000632C9" w:rsidRDefault="000632C9" w:rsidP="00EF1031">
      <w:r>
        <w:separator/>
      </w:r>
    </w:p>
  </w:footnote>
  <w:footnote w:type="continuationSeparator" w:id="0">
    <w:p w14:paraId="34DC0CF4" w14:textId="77777777" w:rsidR="000632C9" w:rsidRDefault="000632C9" w:rsidP="00EF1031">
      <w:r>
        <w:continuationSeparator/>
      </w:r>
    </w:p>
  </w:footnote>
  <w:footnote w:id="1">
    <w:p w14:paraId="7989AC39" w14:textId="77777777" w:rsidR="000632C9" w:rsidRPr="00326F58" w:rsidRDefault="000632C9" w:rsidP="00EF1031">
      <w:pPr>
        <w:pStyle w:val="FootnoteText"/>
        <w:spacing w:line="480" w:lineRule="auto"/>
        <w:rPr>
          <w:lang w:val="en-US"/>
        </w:rPr>
      </w:pPr>
      <w:r>
        <w:rPr>
          <w:rStyle w:val="FootnoteReference"/>
        </w:rPr>
        <w:footnoteRef/>
      </w:r>
      <w:r>
        <w:t xml:space="preserve"> </w:t>
      </w:r>
      <w:r>
        <w:rPr>
          <w:lang w:val="en-US"/>
        </w:rPr>
        <w:t>I am grateful to Helen Cooper for inviting me to participate in the panel on ‘Shakespeare and traditional stories’ at the WSC, and for her generous comments on the revised version of my paper.</w:t>
      </w:r>
    </w:p>
  </w:footnote>
  <w:footnote w:id="2">
    <w:p w14:paraId="31A1014A" w14:textId="77777777" w:rsidR="000632C9" w:rsidRPr="00077CAA" w:rsidRDefault="000632C9" w:rsidP="00EF1031">
      <w:pPr>
        <w:pStyle w:val="FootnoteText"/>
        <w:spacing w:line="480" w:lineRule="auto"/>
        <w:rPr>
          <w:lang w:val="en-US"/>
        </w:rPr>
      </w:pPr>
      <w:r>
        <w:rPr>
          <w:rStyle w:val="FootnoteReference"/>
        </w:rPr>
        <w:footnoteRef/>
      </w:r>
      <w:r>
        <w:t xml:space="preserve"> </w:t>
      </w:r>
      <w:r>
        <w:rPr>
          <w:lang w:val="en-US"/>
        </w:rPr>
        <w:t xml:space="preserve">Greg Walker is unusual in not simply noting its Horatian source, but also emphasizing that it is ‘a work song, a </w:t>
      </w:r>
      <w:r w:rsidRPr="00077CAA">
        <w:rPr>
          <w:i/>
          <w:lang w:val="en-US"/>
        </w:rPr>
        <w:t>chanson de toile</w:t>
      </w:r>
      <w:r>
        <w:rPr>
          <w:lang w:val="en-US"/>
        </w:rPr>
        <w:t xml:space="preserve">, recalled from [Wyatt’s] childhood’; he suggests that it begins ‘with a series of effects which problematize its connection to [Wyatt’s] own inventive mind … seek[ing] to disguise the originality of the work, and downplay its claims to literary authority’. </w:t>
      </w:r>
      <w:r w:rsidRPr="00077CAA">
        <w:rPr>
          <w:i/>
          <w:lang w:val="en-US"/>
        </w:rPr>
        <w:t>Writing under tyranny: English literature and the Henrician Reformation</w:t>
      </w:r>
      <w:r>
        <w:rPr>
          <w:lang w:val="en-US"/>
        </w:rPr>
        <w:t xml:space="preserve"> (Oxford, 2005), p. 308. Editors tend not to comment on its domestic frame; Patricia Thomson (who does) notes that ‘The hypothetical song could not possibly account for the form and structure of “My mothers maydes”, which is an unsonglike narrative and moral satire’. </w:t>
      </w:r>
      <w:proofErr w:type="gramStart"/>
      <w:r w:rsidRPr="00E13F5E">
        <w:rPr>
          <w:i/>
          <w:lang w:val="en-US"/>
        </w:rPr>
        <w:t>Sir Thomas Wyatt and his background</w:t>
      </w:r>
      <w:r>
        <w:rPr>
          <w:lang w:val="en-US"/>
        </w:rPr>
        <w:t xml:space="preserve"> (London, 1964), p. 267.</w:t>
      </w:r>
      <w:proofErr w:type="gramEnd"/>
    </w:p>
  </w:footnote>
  <w:footnote w:id="3">
    <w:p w14:paraId="08BB5405" w14:textId="77777777" w:rsidR="000632C9" w:rsidRPr="00A117B1" w:rsidRDefault="000632C9" w:rsidP="00EF1031">
      <w:pPr>
        <w:pStyle w:val="FootnoteText"/>
        <w:spacing w:line="480" w:lineRule="auto"/>
        <w:rPr>
          <w:lang w:val="en-US"/>
        </w:rPr>
      </w:pPr>
      <w:r>
        <w:rPr>
          <w:rStyle w:val="FootnoteReference"/>
        </w:rPr>
        <w:footnoteRef/>
      </w:r>
      <w:r>
        <w:t xml:space="preserve"> </w:t>
      </w:r>
      <w:r>
        <w:rPr>
          <w:lang w:val="en-US"/>
        </w:rPr>
        <w:t xml:space="preserve">Rozsika Parker, </w:t>
      </w:r>
      <w:r w:rsidRPr="008B1E02">
        <w:rPr>
          <w:i/>
          <w:lang w:val="en-US"/>
        </w:rPr>
        <w:t xml:space="preserve">The subversive stitch: embroidery and the making of the feminine </w:t>
      </w:r>
      <w:r>
        <w:rPr>
          <w:lang w:val="en-US"/>
        </w:rPr>
        <w:t>(London, 1984, 1996, 2010).</w:t>
      </w:r>
    </w:p>
  </w:footnote>
  <w:footnote w:id="4">
    <w:p w14:paraId="1592F905" w14:textId="77777777" w:rsidR="000632C9" w:rsidRPr="00933794" w:rsidRDefault="000632C9" w:rsidP="00EF1031">
      <w:pPr>
        <w:spacing w:line="480" w:lineRule="auto"/>
      </w:pPr>
      <w:r>
        <w:rPr>
          <w:rStyle w:val="FootnoteReference"/>
        </w:rPr>
        <w:footnoteRef/>
      </w:r>
      <w:r>
        <w:t xml:space="preserve"> Susan Frye, </w:t>
      </w:r>
      <w:r w:rsidRPr="00A117B1">
        <w:rPr>
          <w:i/>
        </w:rPr>
        <w:t>Pens and needles: women’s textualities in early modern England</w:t>
      </w:r>
      <w:r>
        <w:t xml:space="preserve"> (Philadelphia, 2010)</w:t>
      </w:r>
    </w:p>
  </w:footnote>
  <w:footnote w:id="5">
    <w:p w14:paraId="4267E6F2" w14:textId="77777777" w:rsidR="000632C9" w:rsidRPr="00933794" w:rsidRDefault="000632C9" w:rsidP="00EF1031">
      <w:pPr>
        <w:widowControl w:val="0"/>
        <w:autoSpaceDE w:val="0"/>
        <w:autoSpaceDN w:val="0"/>
        <w:adjustRightInd w:val="0"/>
        <w:spacing w:line="480" w:lineRule="auto"/>
        <w:rPr>
          <w:rFonts w:cs="Times"/>
          <w:lang w:val="en-US"/>
        </w:rPr>
      </w:pPr>
      <w:r>
        <w:rPr>
          <w:rStyle w:val="FootnoteReference"/>
        </w:rPr>
        <w:footnoteRef/>
      </w:r>
      <w:r>
        <w:t xml:space="preserve"> Natasha Korda, </w:t>
      </w:r>
      <w:r w:rsidRPr="002974A9">
        <w:rPr>
          <w:i/>
        </w:rPr>
        <w:t>Labors lost: women’s work and the early modern English stage</w:t>
      </w:r>
      <w:r>
        <w:t xml:space="preserve"> (Philadelphia, 2011); Catherine Richardson, </w:t>
      </w:r>
      <w:r w:rsidRPr="00A117B1">
        <w:rPr>
          <w:i/>
        </w:rPr>
        <w:t>Shakespeare and material culture</w:t>
      </w:r>
      <w:r>
        <w:t xml:space="preserve"> (Oxford, 2011); Ann Rosalind Jones and Peter Stallybrass, </w:t>
      </w:r>
      <w:r w:rsidRPr="00A117B1">
        <w:rPr>
          <w:i/>
        </w:rPr>
        <w:t>Renaissance clothing and the materials of memory</w:t>
      </w:r>
      <w:r>
        <w:t xml:space="preserve"> (Cambridge, 2000); </w:t>
      </w:r>
      <w:r>
        <w:rPr>
          <w:rFonts w:cs="Times"/>
          <w:lang w:val="en-US"/>
        </w:rPr>
        <w:t xml:space="preserve">Chloe Porter, </w:t>
      </w:r>
      <w:r w:rsidRPr="00A117B1">
        <w:rPr>
          <w:rFonts w:cs="Times"/>
          <w:i/>
          <w:lang w:val="en-US"/>
        </w:rPr>
        <w:t>Making and unmaking in early modern English drama: spectators, aesthetics and incompletion</w:t>
      </w:r>
      <w:r>
        <w:rPr>
          <w:rFonts w:cs="Times"/>
          <w:lang w:val="en-US"/>
        </w:rPr>
        <w:t xml:space="preserve"> (Manchester, 2013); </w:t>
      </w:r>
      <w:r>
        <w:t xml:space="preserve">Jonathan Gil Harris, </w:t>
      </w:r>
      <w:r w:rsidRPr="00AF6471">
        <w:rPr>
          <w:i/>
        </w:rPr>
        <w:t>Untimely matter in the time of Shakespeare</w:t>
      </w:r>
      <w:r>
        <w:t xml:space="preserve"> (Philadelphia, 2009).</w:t>
      </w:r>
    </w:p>
  </w:footnote>
  <w:footnote w:id="6">
    <w:p w14:paraId="2713993F" w14:textId="77777777" w:rsidR="000632C9" w:rsidRPr="00025476" w:rsidRDefault="000632C9" w:rsidP="00EF1031">
      <w:pPr>
        <w:spacing w:line="480" w:lineRule="auto"/>
      </w:pPr>
      <w:r>
        <w:rPr>
          <w:rStyle w:val="FootnoteReference"/>
        </w:rPr>
        <w:footnoteRef/>
      </w:r>
      <w:r>
        <w:t xml:space="preserve"> Lena Cowen Orlin, ‘Three ways to be invisible in the Renaissance: sex, reputation, and stitchery’, in Patricia Fumerton and Simon Hunt, </w:t>
      </w:r>
      <w:r w:rsidRPr="00933794">
        <w:rPr>
          <w:i/>
        </w:rPr>
        <w:t>Renaissance culture and the everyday</w:t>
      </w:r>
      <w:r>
        <w:t xml:space="preserve"> (Philadelphia, 1999), 183-203 (184). Orlin’s essay began as a paper at the World Shakespeare Congress in 1996.</w:t>
      </w:r>
    </w:p>
  </w:footnote>
  <w:footnote w:id="7">
    <w:p w14:paraId="35EADCBB" w14:textId="77777777" w:rsidR="000632C9" w:rsidRPr="00365DB4" w:rsidRDefault="000632C9" w:rsidP="00EF1031">
      <w:pPr>
        <w:pStyle w:val="FootnoteText"/>
        <w:spacing w:line="480" w:lineRule="auto"/>
        <w:rPr>
          <w:lang w:val="en-US"/>
        </w:rPr>
      </w:pPr>
      <w:r>
        <w:rPr>
          <w:rStyle w:val="FootnoteReference"/>
        </w:rPr>
        <w:footnoteRef/>
      </w:r>
      <w:r>
        <w:t xml:space="preserve"> </w:t>
      </w:r>
      <w:r>
        <w:rPr>
          <w:lang w:val="en-US"/>
        </w:rPr>
        <w:t>See, for example, ‘</w:t>
      </w:r>
      <w:proofErr w:type="gramStart"/>
      <w:r>
        <w:rPr>
          <w:lang w:val="en-US"/>
        </w:rPr>
        <w:t>The</w:t>
      </w:r>
      <w:proofErr w:type="gramEnd"/>
      <w:r>
        <w:rPr>
          <w:lang w:val="en-US"/>
        </w:rPr>
        <w:t xml:space="preserve"> needle and the pen: needlework and the appropriation of printed texts’, in Jones and Stallybrass, </w:t>
      </w:r>
      <w:r w:rsidRPr="00CB24EA">
        <w:rPr>
          <w:i/>
          <w:lang w:val="en-US"/>
        </w:rPr>
        <w:t>Renaissance clothing and the materials of memory</w:t>
      </w:r>
      <w:r>
        <w:rPr>
          <w:lang w:val="en-US"/>
        </w:rPr>
        <w:t>, passim.</w:t>
      </w:r>
    </w:p>
  </w:footnote>
  <w:footnote w:id="8">
    <w:p w14:paraId="0E22B96B" w14:textId="77777777" w:rsidR="000632C9" w:rsidRPr="004A5F52" w:rsidRDefault="000632C9" w:rsidP="00EF1031">
      <w:pPr>
        <w:widowControl w:val="0"/>
        <w:autoSpaceDE w:val="0"/>
        <w:autoSpaceDN w:val="0"/>
        <w:adjustRightInd w:val="0"/>
        <w:spacing w:line="480" w:lineRule="auto"/>
        <w:rPr>
          <w:rFonts w:cs="Times"/>
          <w:lang w:val="en-US"/>
        </w:rPr>
      </w:pPr>
      <w:r>
        <w:rPr>
          <w:rStyle w:val="FootnoteReference"/>
        </w:rPr>
        <w:footnoteRef/>
      </w:r>
      <w:r>
        <w:t xml:space="preserve"> </w:t>
      </w:r>
      <w:r w:rsidRPr="00900E13">
        <w:rPr>
          <w:rFonts w:cs="Times"/>
          <w:lang w:val="en-US"/>
        </w:rPr>
        <w:t xml:space="preserve">Adam Fox, </w:t>
      </w:r>
      <w:r w:rsidRPr="00365DB4">
        <w:rPr>
          <w:rFonts w:cs="Times"/>
          <w:i/>
          <w:lang w:val="en-US"/>
        </w:rPr>
        <w:t>Oral and literate culture in England, 1500-1700</w:t>
      </w:r>
      <w:r>
        <w:rPr>
          <w:rFonts w:cs="Times"/>
          <w:lang w:val="en-US"/>
        </w:rPr>
        <w:t xml:space="preserve"> (Oxford</w:t>
      </w:r>
      <w:r w:rsidRPr="00900E13">
        <w:rPr>
          <w:rFonts w:cs="Times"/>
          <w:lang w:val="en-US"/>
        </w:rPr>
        <w:t>, 2000)</w:t>
      </w:r>
      <w:r>
        <w:rPr>
          <w:rFonts w:cs="Times"/>
          <w:lang w:val="en-US"/>
        </w:rPr>
        <w:t>, p. 173.</w:t>
      </w:r>
    </w:p>
  </w:footnote>
  <w:footnote w:id="9">
    <w:p w14:paraId="652FFC49" w14:textId="77777777" w:rsidR="000632C9" w:rsidRPr="004A5F52" w:rsidRDefault="000632C9" w:rsidP="00EF1031">
      <w:pPr>
        <w:pStyle w:val="FootnoteText"/>
        <w:spacing w:line="480" w:lineRule="auto"/>
        <w:rPr>
          <w:lang w:val="en-US"/>
        </w:rPr>
      </w:pPr>
      <w:r>
        <w:rPr>
          <w:rStyle w:val="FootnoteReference"/>
        </w:rPr>
        <w:footnoteRef/>
      </w:r>
      <w:r>
        <w:t xml:space="preserve"> Fiona McNeill, </w:t>
      </w:r>
      <w:r w:rsidRPr="004A5F52">
        <w:rPr>
          <w:i/>
        </w:rPr>
        <w:t>Poor women in Shakespeare</w:t>
      </w:r>
      <w:r>
        <w:t xml:space="preserve"> (Cambridge, 2007), pp. 48-51.</w:t>
      </w:r>
    </w:p>
  </w:footnote>
  <w:footnote w:id="10">
    <w:p w14:paraId="7CEE621E" w14:textId="77777777" w:rsidR="000632C9" w:rsidRPr="004A5F52" w:rsidRDefault="000632C9" w:rsidP="00EF1031">
      <w:pPr>
        <w:pStyle w:val="FootnoteText"/>
        <w:spacing w:line="480" w:lineRule="auto"/>
        <w:rPr>
          <w:lang w:val="en-US"/>
        </w:rPr>
      </w:pPr>
      <w:r>
        <w:rPr>
          <w:rStyle w:val="FootnoteReference"/>
        </w:rPr>
        <w:footnoteRef/>
      </w:r>
      <w:r>
        <w:t xml:space="preserve"> </w:t>
      </w:r>
      <w:r>
        <w:rPr>
          <w:lang w:val="en-US"/>
        </w:rPr>
        <w:t xml:space="preserve">See Jonathan Bate, </w:t>
      </w:r>
      <w:r w:rsidRPr="00B81AD8">
        <w:rPr>
          <w:i/>
          <w:lang w:val="en-US"/>
        </w:rPr>
        <w:t>Shakespeare and Ovid</w:t>
      </w:r>
      <w:r>
        <w:rPr>
          <w:lang w:val="en-US"/>
        </w:rPr>
        <w:t xml:space="preserve"> (Oxford, 1993), pp. 144-51 and my discussion of the play in </w:t>
      </w:r>
      <w:r w:rsidRPr="00246975">
        <w:rPr>
          <w:i/>
          <w:lang w:val="en-US"/>
        </w:rPr>
        <w:t>Shakespeare and memory</w:t>
      </w:r>
      <w:r>
        <w:rPr>
          <w:lang w:val="en-US"/>
        </w:rPr>
        <w:t xml:space="preserve"> (Oxford, 2013), pp. 122-4.</w:t>
      </w:r>
    </w:p>
  </w:footnote>
  <w:footnote w:id="11">
    <w:p w14:paraId="603724CA" w14:textId="77777777" w:rsidR="000632C9" w:rsidRPr="004A5F52" w:rsidRDefault="000632C9" w:rsidP="00EF1031">
      <w:pPr>
        <w:pStyle w:val="FootnoteText"/>
        <w:spacing w:line="480" w:lineRule="auto"/>
        <w:rPr>
          <w:lang w:val="en-US"/>
        </w:rPr>
      </w:pPr>
      <w:r>
        <w:rPr>
          <w:rStyle w:val="FootnoteReference"/>
        </w:rPr>
        <w:footnoteRef/>
      </w:r>
      <w:r>
        <w:t xml:space="preserve"> </w:t>
      </w:r>
      <w:r>
        <w:rPr>
          <w:lang w:val="en-US"/>
        </w:rPr>
        <w:t xml:space="preserve">‘Valentine and Orson’ is a story of separated twins, the former raised as a knight at court, the latter in the forest by bears. It was probably French in origin, but there were versions in many other European vernacular languages, and an English version was printed in 1550; there was a play of the name performed in 1598. On the popularity of Valentine and Orson, see Helen Cooper, </w:t>
      </w:r>
      <w:r w:rsidRPr="00456936">
        <w:rPr>
          <w:i/>
          <w:lang w:val="en-US"/>
        </w:rPr>
        <w:t>The English romance in time: transforming motifs from Geoffrey of Monmouth to the death of Shakespeare</w:t>
      </w:r>
      <w:r>
        <w:rPr>
          <w:lang w:val="en-US"/>
        </w:rPr>
        <w:t xml:space="preserve"> (Oxford, 2004), especially pp. 1, 36, 428-9.</w:t>
      </w:r>
    </w:p>
  </w:footnote>
  <w:footnote w:id="12">
    <w:p w14:paraId="3E8B3805" w14:textId="77777777" w:rsidR="000632C9" w:rsidRPr="009A3D4E" w:rsidRDefault="000632C9" w:rsidP="00EF1031">
      <w:pPr>
        <w:pStyle w:val="FootnoteText"/>
        <w:spacing w:line="480" w:lineRule="auto"/>
        <w:rPr>
          <w:lang w:val="en-US"/>
        </w:rPr>
      </w:pPr>
      <w:r>
        <w:rPr>
          <w:rStyle w:val="FootnoteReference"/>
        </w:rPr>
        <w:footnoteRef/>
      </w:r>
      <w:r>
        <w:t xml:space="preserve"> ‘</w:t>
      </w:r>
      <w:r w:rsidRPr="00900E13">
        <w:rPr>
          <w:rFonts w:cs="Times"/>
          <w:lang w:val="en-US"/>
        </w:rPr>
        <w:t>Tales of the supernatural were just some among the repertoire of yarns woven by wives and mothers as they sat and worked or sewed around the evening hearth. The Elizabethan, John Florio,</w:t>
      </w:r>
      <w:r>
        <w:rPr>
          <w:rFonts w:cs="Times"/>
          <w:lang w:val="en-US"/>
        </w:rPr>
        <w:t xml:space="preserve"> was dismissive of the kind of “</w:t>
      </w:r>
      <w:r w:rsidRPr="00900E13">
        <w:rPr>
          <w:rFonts w:cs="Times"/>
          <w:lang w:val="en-US"/>
        </w:rPr>
        <w:t>flim-flam tale, as wo</w:t>
      </w:r>
      <w:r>
        <w:rPr>
          <w:rFonts w:cs="Times"/>
          <w:lang w:val="en-US"/>
        </w:rPr>
        <w:t>men tell when they shale peason”, or “</w:t>
      </w:r>
      <w:r w:rsidRPr="00900E13">
        <w:rPr>
          <w:rFonts w:cs="Times"/>
          <w:lang w:val="en-US"/>
        </w:rPr>
        <w:t>ould wiues tales</w:t>
      </w:r>
      <w:r>
        <w:rPr>
          <w:rFonts w:cs="Times"/>
          <w:lang w:val="en-US"/>
        </w:rPr>
        <w:t xml:space="preserve"> as they tell when they spinne”…</w:t>
      </w:r>
      <w:proofErr w:type="gramStart"/>
      <w:r>
        <w:rPr>
          <w:rFonts w:cs="Times"/>
          <w:lang w:val="en-US"/>
        </w:rPr>
        <w:t>’,</w:t>
      </w:r>
      <w:proofErr w:type="gramEnd"/>
      <w:r>
        <w:rPr>
          <w:rFonts w:cs="Times"/>
          <w:lang w:val="en-US"/>
        </w:rPr>
        <w:t xml:space="preserve"> Fox, </w:t>
      </w:r>
      <w:r w:rsidRPr="00B34F76">
        <w:rPr>
          <w:rFonts w:cs="Times"/>
          <w:i/>
          <w:lang w:val="en-US"/>
        </w:rPr>
        <w:t>Oral and literate culture</w:t>
      </w:r>
      <w:r>
        <w:rPr>
          <w:rFonts w:cs="Times"/>
          <w:lang w:val="en-US"/>
        </w:rPr>
        <w:t>, p. 189. ‘Yarn’, meaning ‘story’ seems to be nineteenth-century and possibly nautical in origin (OED yarn 2a).</w:t>
      </w:r>
    </w:p>
  </w:footnote>
  <w:footnote w:id="13">
    <w:p w14:paraId="7DF0DB19" w14:textId="77777777" w:rsidR="000632C9" w:rsidRPr="00C44357" w:rsidRDefault="000632C9" w:rsidP="00EF1031">
      <w:pPr>
        <w:pStyle w:val="FootnoteText"/>
        <w:spacing w:line="480" w:lineRule="auto"/>
        <w:rPr>
          <w:lang w:val="en-US"/>
        </w:rPr>
      </w:pPr>
      <w:r>
        <w:rPr>
          <w:rStyle w:val="FootnoteReference"/>
        </w:rPr>
        <w:footnoteRef/>
      </w:r>
      <w:r>
        <w:t xml:space="preserve"> </w:t>
      </w:r>
      <w:r>
        <w:rPr>
          <w:lang w:val="en-US"/>
        </w:rPr>
        <w:t xml:space="preserve">These examples are drawn from Rupert Goold’s production of </w:t>
      </w:r>
      <w:r w:rsidRPr="00340843">
        <w:rPr>
          <w:i/>
          <w:lang w:val="en-US"/>
        </w:rPr>
        <w:t>Macbeth</w:t>
      </w:r>
      <w:r>
        <w:rPr>
          <w:lang w:val="en-US"/>
        </w:rPr>
        <w:t xml:space="preserve">, with Patrick Stewart (Chichester, London, New York, from 2007), filmed for BBC4 in 2010. </w:t>
      </w:r>
    </w:p>
  </w:footnote>
  <w:footnote w:id="14">
    <w:p w14:paraId="1C1252A2" w14:textId="77777777" w:rsidR="000632C9" w:rsidRPr="008812E9" w:rsidRDefault="000632C9" w:rsidP="00EF1031">
      <w:pPr>
        <w:spacing w:line="480" w:lineRule="auto"/>
      </w:pPr>
      <w:r>
        <w:rPr>
          <w:rStyle w:val="FootnoteReference"/>
        </w:rPr>
        <w:footnoteRef/>
      </w:r>
      <w:r>
        <w:t xml:space="preserve"> </w:t>
      </w:r>
      <w:proofErr w:type="gramStart"/>
      <w:r>
        <w:t xml:space="preserve">Lois Potter, ‘Skills, qualities, and practice’, </w:t>
      </w:r>
      <w:r w:rsidRPr="00503CF2">
        <w:rPr>
          <w:i/>
        </w:rPr>
        <w:t>Shakespeare Studies</w:t>
      </w:r>
      <w:r>
        <w:t xml:space="preserve"> 43 (2015), pp. 27-34 (p. 29).</w:t>
      </w:r>
      <w:proofErr w:type="gramEnd"/>
    </w:p>
  </w:footnote>
  <w:footnote w:id="15">
    <w:p w14:paraId="05F8D0C5" w14:textId="77777777" w:rsidR="000632C9" w:rsidRPr="00632A73" w:rsidRDefault="000632C9" w:rsidP="00EF1031">
      <w:pPr>
        <w:pStyle w:val="FootnoteText"/>
        <w:spacing w:line="480" w:lineRule="auto"/>
        <w:rPr>
          <w:lang w:val="en-US"/>
        </w:rPr>
      </w:pPr>
      <w:r>
        <w:rPr>
          <w:rStyle w:val="FootnoteReference"/>
        </w:rPr>
        <w:footnoteRef/>
      </w:r>
      <w:r>
        <w:t xml:space="preserve"> </w:t>
      </w:r>
      <w:proofErr w:type="gramStart"/>
      <w:r>
        <w:rPr>
          <w:lang w:val="en-US"/>
        </w:rPr>
        <w:t xml:space="preserve">Potter, </w:t>
      </w:r>
      <w:r>
        <w:t>‘Skills, qualities, and practice’, p. 30.</w:t>
      </w:r>
      <w:proofErr w:type="gramEnd"/>
    </w:p>
  </w:footnote>
  <w:footnote w:id="16">
    <w:p w14:paraId="356DC6B8" w14:textId="77777777" w:rsidR="000632C9" w:rsidRPr="003632DE" w:rsidRDefault="000632C9" w:rsidP="00EF1031">
      <w:pPr>
        <w:pStyle w:val="FootnoteText"/>
        <w:spacing w:line="480" w:lineRule="auto"/>
        <w:rPr>
          <w:lang w:val="en-US"/>
        </w:rPr>
      </w:pPr>
      <w:r>
        <w:rPr>
          <w:rStyle w:val="FootnoteReference"/>
        </w:rPr>
        <w:footnoteRef/>
      </w:r>
      <w:r>
        <w:t xml:space="preserve"> </w:t>
      </w:r>
      <w:proofErr w:type="gramStart"/>
      <w:r>
        <w:rPr>
          <w:lang w:val="en-US"/>
        </w:rPr>
        <w:t xml:space="preserve">Potter, </w:t>
      </w:r>
      <w:r>
        <w:t>‘Skills, qualities, and practice’, p. 30.</w:t>
      </w:r>
      <w:proofErr w:type="gramEnd"/>
      <w:r>
        <w:t xml:space="preserve"> See also the discussion of the basket-weaving scene by Tom Rutter, </w:t>
      </w:r>
      <w:r w:rsidRPr="0008683B">
        <w:rPr>
          <w:i/>
        </w:rPr>
        <w:t>Work and play on the Shakespearean stage</w:t>
      </w:r>
      <w:r>
        <w:t xml:space="preserve"> (Cambridge, 2008), pp. 112-13; he discusses </w:t>
      </w:r>
      <w:r w:rsidRPr="0008683B">
        <w:rPr>
          <w:i/>
        </w:rPr>
        <w:t>The Shoemakers’ Holiday</w:t>
      </w:r>
      <w:r>
        <w:t xml:space="preserve"> at length. </w:t>
      </w:r>
    </w:p>
  </w:footnote>
  <w:footnote w:id="17">
    <w:p w14:paraId="4F6D60AD" w14:textId="77777777" w:rsidR="000632C9" w:rsidRPr="00203155" w:rsidRDefault="000632C9" w:rsidP="00EF1031">
      <w:pPr>
        <w:pStyle w:val="FootnoteText"/>
        <w:spacing w:line="480" w:lineRule="auto"/>
        <w:rPr>
          <w:lang w:val="en-US"/>
        </w:rPr>
      </w:pPr>
      <w:r>
        <w:rPr>
          <w:rStyle w:val="FootnoteReference"/>
        </w:rPr>
        <w:footnoteRef/>
      </w:r>
      <w:r>
        <w:t xml:space="preserve"> </w:t>
      </w:r>
      <w:proofErr w:type="gramStart"/>
      <w:r>
        <w:rPr>
          <w:lang w:val="en-US"/>
        </w:rPr>
        <w:t>Orlin, ‘Three ways to be invisible’, p. 192.</w:t>
      </w:r>
      <w:proofErr w:type="gramEnd"/>
    </w:p>
  </w:footnote>
  <w:footnote w:id="18">
    <w:p w14:paraId="3222B2E7" w14:textId="77777777" w:rsidR="000632C9" w:rsidRPr="00BF16BF" w:rsidRDefault="000632C9" w:rsidP="00EF1031">
      <w:pPr>
        <w:pStyle w:val="FootnoteText"/>
        <w:spacing w:line="480" w:lineRule="auto"/>
        <w:rPr>
          <w:lang w:val="en-US"/>
        </w:rPr>
      </w:pPr>
      <w:r>
        <w:rPr>
          <w:rStyle w:val="FootnoteReference"/>
        </w:rPr>
        <w:footnoteRef/>
      </w:r>
      <w:r>
        <w:t xml:space="preserve"> </w:t>
      </w:r>
      <w:proofErr w:type="gramStart"/>
      <w:r>
        <w:rPr>
          <w:lang w:val="en-US"/>
        </w:rPr>
        <w:t xml:space="preserve">Frye, </w:t>
      </w:r>
      <w:r w:rsidRPr="00BF16BF">
        <w:rPr>
          <w:i/>
          <w:lang w:val="en-US"/>
        </w:rPr>
        <w:t>Pens and needles</w:t>
      </w:r>
      <w:r>
        <w:rPr>
          <w:lang w:val="en-US"/>
        </w:rPr>
        <w:t>, pp. 123-5.</w:t>
      </w:r>
      <w:proofErr w:type="gramEnd"/>
    </w:p>
  </w:footnote>
  <w:footnote w:id="19">
    <w:p w14:paraId="78360A87" w14:textId="77777777" w:rsidR="000632C9" w:rsidRPr="006046D2" w:rsidRDefault="000632C9" w:rsidP="00EF1031">
      <w:pPr>
        <w:pStyle w:val="FootnoteText"/>
        <w:spacing w:line="480" w:lineRule="auto"/>
        <w:rPr>
          <w:lang w:val="en-US"/>
        </w:rPr>
      </w:pPr>
      <w:r>
        <w:rPr>
          <w:rStyle w:val="FootnoteReference"/>
        </w:rPr>
        <w:footnoteRef/>
      </w:r>
      <w:r>
        <w:t xml:space="preserve"> </w:t>
      </w:r>
      <w:proofErr w:type="gramStart"/>
      <w:r>
        <w:rPr>
          <w:lang w:val="en-US"/>
        </w:rPr>
        <w:t>Orlin, ‘Three ways to be invisible’, pp. 192-3.</w:t>
      </w:r>
      <w:proofErr w:type="gramEnd"/>
    </w:p>
  </w:footnote>
  <w:footnote w:id="20">
    <w:p w14:paraId="4C3EC93D" w14:textId="77777777" w:rsidR="000632C9" w:rsidRPr="00403934" w:rsidRDefault="000632C9" w:rsidP="00EF1031">
      <w:pPr>
        <w:pStyle w:val="FootnoteText"/>
        <w:spacing w:line="480" w:lineRule="auto"/>
        <w:rPr>
          <w:lang w:val="en-US"/>
        </w:rPr>
      </w:pPr>
      <w:r>
        <w:rPr>
          <w:rStyle w:val="FootnoteReference"/>
        </w:rPr>
        <w:footnoteRef/>
      </w:r>
      <w:r>
        <w:t xml:space="preserve"> </w:t>
      </w:r>
      <w:r>
        <w:rPr>
          <w:lang w:val="en-US"/>
        </w:rPr>
        <w:t xml:space="preserve">See my discussion of Ophelia’s madness as fragmentation and collection in </w:t>
      </w:r>
      <w:r w:rsidRPr="008812E9">
        <w:rPr>
          <w:i/>
          <w:lang w:val="en-US"/>
        </w:rPr>
        <w:t>Shakespeare and memory</w:t>
      </w:r>
      <w:r>
        <w:rPr>
          <w:lang w:val="en-US"/>
        </w:rPr>
        <w:t>, pp. 163-9.</w:t>
      </w:r>
    </w:p>
  </w:footnote>
  <w:footnote w:id="21">
    <w:p w14:paraId="1FBB0E17" w14:textId="77777777" w:rsidR="000632C9" w:rsidRPr="00A243A6" w:rsidRDefault="000632C9" w:rsidP="00EF1031">
      <w:pPr>
        <w:pStyle w:val="FootnoteText"/>
        <w:spacing w:line="480" w:lineRule="auto"/>
        <w:rPr>
          <w:lang w:val="en-US"/>
        </w:rPr>
      </w:pPr>
      <w:r>
        <w:rPr>
          <w:rStyle w:val="FootnoteReference"/>
        </w:rPr>
        <w:footnoteRef/>
      </w:r>
      <w:r>
        <w:t xml:space="preserve"> </w:t>
      </w:r>
      <w:r>
        <w:rPr>
          <w:lang w:val="en-US"/>
        </w:rPr>
        <w:t xml:space="preserve">Whitney Trettien, ‘Isabella Whitney’s slips: textile labor, gendered authorship, and the early modern miscellany’, </w:t>
      </w:r>
      <w:r w:rsidRPr="00A243A6">
        <w:rPr>
          <w:i/>
          <w:lang w:val="en-US"/>
        </w:rPr>
        <w:t>Journal of Medieval and Early Modern Studies</w:t>
      </w:r>
      <w:r>
        <w:rPr>
          <w:lang w:val="en-US"/>
        </w:rPr>
        <w:t xml:space="preserve"> 45 (2015), pp. 505-21 (p. 506).</w:t>
      </w:r>
    </w:p>
  </w:footnote>
  <w:footnote w:id="22">
    <w:p w14:paraId="66185588" w14:textId="77777777" w:rsidR="000632C9" w:rsidRPr="006046D2" w:rsidRDefault="000632C9" w:rsidP="00EF1031">
      <w:pPr>
        <w:pStyle w:val="FootnoteText"/>
        <w:spacing w:line="480" w:lineRule="auto"/>
        <w:rPr>
          <w:lang w:val="en-US"/>
        </w:rPr>
      </w:pPr>
      <w:r>
        <w:rPr>
          <w:rStyle w:val="FootnoteReference"/>
        </w:rPr>
        <w:footnoteRef/>
      </w:r>
      <w:r>
        <w:t xml:space="preserve"> ‘Only in </w:t>
      </w:r>
      <w:r w:rsidRPr="006046D2">
        <w:rPr>
          <w:i/>
        </w:rPr>
        <w:t>All Fools</w:t>
      </w:r>
      <w:r>
        <w:t xml:space="preserve">, </w:t>
      </w:r>
      <w:r w:rsidRPr="006046D2">
        <w:rPr>
          <w:i/>
        </w:rPr>
        <w:t>1 Edward IV</w:t>
      </w:r>
      <w:r>
        <w:t xml:space="preserve">, </w:t>
      </w:r>
      <w:r w:rsidRPr="006046D2">
        <w:rPr>
          <w:i/>
        </w:rPr>
        <w:t>The Launching of the Mary</w:t>
      </w:r>
      <w:r>
        <w:t xml:space="preserve">, </w:t>
      </w:r>
      <w:r w:rsidRPr="006046D2">
        <w:rPr>
          <w:i/>
        </w:rPr>
        <w:t>The Shoemaker’s Holiday</w:t>
      </w:r>
      <w:r>
        <w:t xml:space="preserve">, </w:t>
      </w:r>
      <w:r w:rsidRPr="006046D2">
        <w:rPr>
          <w:i/>
        </w:rPr>
        <w:t>The Wisdom of Doctor Dodypoll</w:t>
      </w:r>
      <w:r>
        <w:t xml:space="preserve">, and </w:t>
      </w:r>
      <w:r w:rsidRPr="006046D2">
        <w:rPr>
          <w:i/>
        </w:rPr>
        <w:t>A Woman is a Weathercock</w:t>
      </w:r>
      <w:r>
        <w:t xml:space="preserve"> does a woman sit alone to sew … Elsewhere, however, the group [sewing] scenes of the moralists are the rule.’ </w:t>
      </w:r>
      <w:proofErr w:type="gramStart"/>
      <w:r>
        <w:t>Orlin, ‘Three ways to be invisible’, p. 193.</w:t>
      </w:r>
      <w:proofErr w:type="gramEnd"/>
    </w:p>
  </w:footnote>
  <w:footnote w:id="23">
    <w:p w14:paraId="4E961FB1" w14:textId="77777777" w:rsidR="000632C9" w:rsidRPr="00EB0CE0" w:rsidRDefault="000632C9" w:rsidP="00EF1031">
      <w:pPr>
        <w:spacing w:line="480" w:lineRule="auto"/>
      </w:pPr>
      <w:r>
        <w:rPr>
          <w:rStyle w:val="FootnoteReference"/>
        </w:rPr>
        <w:footnoteRef/>
      </w:r>
      <w:r>
        <w:t xml:space="preserve"> </w:t>
      </w:r>
      <w:r>
        <w:rPr>
          <w:lang w:val="en-US"/>
        </w:rPr>
        <w:t xml:space="preserve">Frye sets out the problems with the interpretation of this as a straightforward binary: </w:t>
      </w:r>
      <w:r>
        <w:t>‘The first misconception is that only women were associated with the needle and only men with the pen—a misconception held despite repeated attempts to complicate this binary by scholars as well as by early modern people themselves. The second misconception is that the needle was only associated with drudgery, while the pen was only associated with intellectual work. To a certain extent the needle represented women’s obedience to a rigid insistence on sexual difference, but it is an unstable signifier and, as an object, it is small but phallic, penetrating as well as penetrable, conveying activity, even violence, as well as creativity’ (</w:t>
      </w:r>
      <w:r w:rsidRPr="00203155">
        <w:rPr>
          <w:i/>
        </w:rPr>
        <w:t>Pens and needles</w:t>
      </w:r>
      <w:r>
        <w:t>, p. 16).</w:t>
      </w:r>
    </w:p>
  </w:footnote>
  <w:footnote w:id="24">
    <w:p w14:paraId="704AA89B" w14:textId="77777777" w:rsidR="000632C9" w:rsidRPr="00403934" w:rsidRDefault="000632C9" w:rsidP="00EF1031">
      <w:pPr>
        <w:pStyle w:val="FootnoteText"/>
        <w:spacing w:line="480" w:lineRule="auto"/>
        <w:rPr>
          <w:lang w:val="en-US"/>
        </w:rPr>
      </w:pPr>
      <w:r>
        <w:rPr>
          <w:rStyle w:val="FootnoteReference"/>
        </w:rPr>
        <w:footnoteRef/>
      </w:r>
      <w:r>
        <w:t xml:space="preserve"> Wendy Wall, </w:t>
      </w:r>
      <w:r w:rsidRPr="00403934">
        <w:rPr>
          <w:i/>
        </w:rPr>
        <w:t>Staging domesticity: household work and English identity in early modern drama</w:t>
      </w:r>
      <w:r>
        <w:t xml:space="preserve"> (Cambridge, 2002), p. 65.</w:t>
      </w:r>
    </w:p>
  </w:footnote>
  <w:footnote w:id="25">
    <w:p w14:paraId="7B33444E" w14:textId="77777777" w:rsidR="000632C9" w:rsidRPr="00E20034" w:rsidRDefault="000632C9" w:rsidP="00EF1031">
      <w:pPr>
        <w:spacing w:line="480" w:lineRule="auto"/>
      </w:pPr>
      <w:r>
        <w:rPr>
          <w:rStyle w:val="FootnoteReference"/>
        </w:rPr>
        <w:footnoteRef/>
      </w:r>
      <w:r>
        <w:t xml:space="preserve"> Amy Louise Erickson, </w:t>
      </w:r>
      <w:r w:rsidRPr="00BB2448">
        <w:rPr>
          <w:i/>
        </w:rPr>
        <w:t>Women and property in early modern England</w:t>
      </w:r>
      <w:r>
        <w:t xml:space="preserve"> (London, 1995), p. 58, citing </w:t>
      </w:r>
      <w:r w:rsidRPr="002577E6">
        <w:t xml:space="preserve">John Webb (ed.) </w:t>
      </w:r>
      <w:r w:rsidRPr="00BB2448">
        <w:rPr>
          <w:i/>
        </w:rPr>
        <w:t>Poor Relief in Elizabethan Ipswich</w:t>
      </w:r>
      <w:r w:rsidRPr="002577E6">
        <w:t xml:space="preserve"> (</w:t>
      </w:r>
      <w:r>
        <w:t xml:space="preserve">Ipswich, </w:t>
      </w:r>
      <w:r w:rsidRPr="002577E6">
        <w:t>1966) pp. 126, 128, 133–5, 138.</w:t>
      </w:r>
    </w:p>
  </w:footnote>
  <w:footnote w:id="26">
    <w:p w14:paraId="78D06A3B" w14:textId="77777777" w:rsidR="000632C9" w:rsidRPr="00E20034" w:rsidRDefault="000632C9" w:rsidP="00EF1031">
      <w:pPr>
        <w:spacing w:line="480" w:lineRule="auto"/>
      </w:pPr>
      <w:r>
        <w:rPr>
          <w:rStyle w:val="FootnoteReference"/>
        </w:rPr>
        <w:footnoteRef/>
      </w:r>
      <w:r>
        <w:t xml:space="preserve"> </w:t>
      </w:r>
      <w:proofErr w:type="gramStart"/>
      <w:r>
        <w:t xml:space="preserve">Jones and Stallybrass, </w:t>
      </w:r>
      <w:r w:rsidRPr="00E20034">
        <w:rPr>
          <w:i/>
        </w:rPr>
        <w:t>Renaissance clothing and the materials of memory</w:t>
      </w:r>
      <w:r>
        <w:t>, p. 153.</w:t>
      </w:r>
      <w:proofErr w:type="gramEnd"/>
      <w:r>
        <w:t xml:space="preserve"> </w:t>
      </w:r>
    </w:p>
  </w:footnote>
  <w:footnote w:id="27">
    <w:p w14:paraId="6E884A0C" w14:textId="77777777" w:rsidR="000632C9" w:rsidRPr="00403934" w:rsidRDefault="000632C9" w:rsidP="00EF1031">
      <w:pPr>
        <w:pStyle w:val="FootnoteText"/>
        <w:spacing w:line="480" w:lineRule="auto"/>
        <w:rPr>
          <w:lang w:val="en-US"/>
        </w:rPr>
      </w:pPr>
      <w:r>
        <w:rPr>
          <w:rStyle w:val="FootnoteReference"/>
        </w:rPr>
        <w:footnoteRef/>
      </w:r>
      <w:r>
        <w:t xml:space="preserve"> </w:t>
      </w:r>
      <w:proofErr w:type="gramStart"/>
      <w:r>
        <w:rPr>
          <w:lang w:val="en-US"/>
        </w:rPr>
        <w:t xml:space="preserve">Frye, </w:t>
      </w:r>
      <w:r w:rsidRPr="00403934">
        <w:rPr>
          <w:i/>
          <w:lang w:val="en-US"/>
        </w:rPr>
        <w:t>Pens and needles</w:t>
      </w:r>
      <w:r>
        <w:rPr>
          <w:lang w:val="en-US"/>
        </w:rPr>
        <w:t>, p. 126.</w:t>
      </w:r>
      <w:proofErr w:type="gramEnd"/>
    </w:p>
  </w:footnote>
  <w:footnote w:id="28">
    <w:p w14:paraId="7D8DAEDC" w14:textId="77777777" w:rsidR="000632C9" w:rsidRPr="0017310E" w:rsidRDefault="000632C9" w:rsidP="00EF1031">
      <w:pPr>
        <w:pStyle w:val="FootnoteText"/>
        <w:spacing w:line="480" w:lineRule="auto"/>
        <w:rPr>
          <w:lang w:val="en-US"/>
        </w:rPr>
      </w:pPr>
      <w:r>
        <w:rPr>
          <w:rStyle w:val="FootnoteReference"/>
        </w:rPr>
        <w:footnoteRef/>
      </w:r>
      <w:r>
        <w:t xml:space="preserve"> </w:t>
      </w:r>
      <w:r>
        <w:rPr>
          <w:lang w:val="en-US"/>
        </w:rPr>
        <w:t xml:space="preserve">Elizabeth Spiller, ‘Shakespeare and the making of early modern science: resituating Prospero’s art’, </w:t>
      </w:r>
      <w:r w:rsidRPr="0017310E">
        <w:rPr>
          <w:i/>
          <w:lang w:val="en-US"/>
        </w:rPr>
        <w:t>South Central Review</w:t>
      </w:r>
      <w:r>
        <w:rPr>
          <w:lang w:val="en-US"/>
        </w:rPr>
        <w:t xml:space="preserve"> 26 (2009), pp. 24-41 (p. 27), cited by Porter, p.33.</w:t>
      </w:r>
    </w:p>
  </w:footnote>
  <w:footnote w:id="29">
    <w:p w14:paraId="3F7A1B8B" w14:textId="77777777" w:rsidR="000632C9" w:rsidRPr="00AB7D0D" w:rsidRDefault="000632C9" w:rsidP="00EF1031">
      <w:pPr>
        <w:pStyle w:val="FootnoteText"/>
        <w:spacing w:line="480" w:lineRule="auto"/>
        <w:rPr>
          <w:lang w:val="en-US"/>
        </w:rPr>
      </w:pPr>
      <w:r>
        <w:rPr>
          <w:rStyle w:val="FootnoteReference"/>
        </w:rPr>
        <w:footnoteRef/>
      </w:r>
      <w:r>
        <w:t xml:space="preserve"> </w:t>
      </w:r>
      <w:r w:rsidRPr="00F21C2A">
        <w:rPr>
          <w:i/>
        </w:rPr>
        <w:t>Speeches delivered to her maiestie this last progresse, at the right honourable the Lady Russels, at Bissham</w:t>
      </w:r>
      <w:r>
        <w:t>… (1592)</w:t>
      </w:r>
      <w:proofErr w:type="gramStart"/>
      <w:r>
        <w:t xml:space="preserve">, </w:t>
      </w:r>
      <w:r>
        <w:rPr>
          <w:lang w:val="en-US"/>
        </w:rPr>
        <w:t>A3.</w:t>
      </w:r>
      <w:proofErr w:type="gramEnd"/>
    </w:p>
  </w:footnote>
  <w:footnote w:id="30">
    <w:p w14:paraId="4A7F7372" w14:textId="77777777" w:rsidR="000632C9" w:rsidRPr="00F21C2A" w:rsidRDefault="000632C9" w:rsidP="00EF1031">
      <w:pPr>
        <w:spacing w:line="480" w:lineRule="auto"/>
      </w:pPr>
      <w:r>
        <w:rPr>
          <w:rStyle w:val="FootnoteReference"/>
        </w:rPr>
        <w:footnoteRef/>
      </w:r>
      <w:r>
        <w:t xml:space="preserve"> Sara Mueller, ‘Domestic work in progress entertainments’, in </w:t>
      </w:r>
      <w:proofErr w:type="gramStart"/>
      <w:r w:rsidRPr="0046412D">
        <w:rPr>
          <w:i/>
        </w:rPr>
        <w:t>Working</w:t>
      </w:r>
      <w:proofErr w:type="gramEnd"/>
      <w:r w:rsidRPr="0046412D">
        <w:rPr>
          <w:i/>
        </w:rPr>
        <w:t xml:space="preserve"> subjects in early modern English drama</w:t>
      </w:r>
      <w:r>
        <w:t>, ed. Michelle M. Dowd and Natasha Korda (Farnham, 2011) pp. 145-59 (p. 152).</w:t>
      </w:r>
    </w:p>
  </w:footnote>
  <w:footnote w:id="31">
    <w:p w14:paraId="167CAEFD" w14:textId="77777777" w:rsidR="000632C9" w:rsidRPr="0079294C" w:rsidRDefault="000632C9" w:rsidP="00EF1031">
      <w:pPr>
        <w:pStyle w:val="FootnoteText"/>
        <w:spacing w:line="480" w:lineRule="auto"/>
        <w:rPr>
          <w:lang w:val="en-US"/>
        </w:rPr>
      </w:pPr>
      <w:r>
        <w:rPr>
          <w:rStyle w:val="FootnoteReference"/>
        </w:rPr>
        <w:footnoteRef/>
      </w:r>
      <w:r>
        <w:t xml:space="preserve"> </w:t>
      </w:r>
      <w:proofErr w:type="gramStart"/>
      <w:r>
        <w:rPr>
          <w:lang w:val="en-US"/>
        </w:rPr>
        <w:t>Orlin, ‘Three ways to be invisible’, pp. 183, 184, 185.</w:t>
      </w:r>
      <w:proofErr w:type="gramEnd"/>
    </w:p>
  </w:footnote>
  <w:footnote w:id="32">
    <w:p w14:paraId="4851D9D4" w14:textId="77777777" w:rsidR="000632C9" w:rsidRPr="008812E9" w:rsidRDefault="000632C9" w:rsidP="00EF1031">
      <w:pPr>
        <w:pStyle w:val="FootnoteText"/>
        <w:spacing w:line="480" w:lineRule="auto"/>
        <w:rPr>
          <w:lang w:val="en-US"/>
        </w:rPr>
      </w:pPr>
      <w:r>
        <w:rPr>
          <w:rStyle w:val="FootnoteReference"/>
        </w:rPr>
        <w:footnoteRef/>
      </w:r>
      <w:r>
        <w:t xml:space="preserve"> </w:t>
      </w:r>
      <w:r>
        <w:rPr>
          <w:lang w:val="en-US"/>
        </w:rPr>
        <w:t xml:space="preserve">To ‘embroider’ in a narrative sense, embellishing or elaborating a story in the </w:t>
      </w:r>
      <w:proofErr w:type="gramStart"/>
      <w:r>
        <w:rPr>
          <w:lang w:val="en-US"/>
        </w:rPr>
        <w:t>telling,</w:t>
      </w:r>
      <w:proofErr w:type="gramEnd"/>
      <w:r>
        <w:rPr>
          <w:lang w:val="en-US"/>
        </w:rPr>
        <w:t xml:space="preserve"> is just emerging at this time. </w:t>
      </w:r>
      <w:proofErr w:type="gramStart"/>
      <w:r>
        <w:rPr>
          <w:lang w:val="en-US"/>
        </w:rPr>
        <w:t>OED ‘embroider’ 2b, 2c.</w:t>
      </w:r>
      <w:proofErr w:type="gramEnd"/>
    </w:p>
  </w:footnote>
  <w:footnote w:id="33">
    <w:p w14:paraId="071E8385" w14:textId="77777777" w:rsidR="000632C9" w:rsidRPr="0079294C" w:rsidRDefault="000632C9" w:rsidP="00EF1031">
      <w:pPr>
        <w:pStyle w:val="FootnoteText"/>
        <w:spacing w:line="480" w:lineRule="auto"/>
        <w:rPr>
          <w:lang w:val="en-US"/>
        </w:rPr>
      </w:pPr>
      <w:r>
        <w:rPr>
          <w:rStyle w:val="FootnoteReference"/>
        </w:rPr>
        <w:footnoteRef/>
      </w:r>
      <w:r>
        <w:t xml:space="preserve"> Raphael </w:t>
      </w:r>
      <w:r>
        <w:rPr>
          <w:lang w:val="en-US"/>
        </w:rPr>
        <w:t xml:space="preserve">Holinshed, </w:t>
      </w:r>
      <w:r w:rsidRPr="007208D0">
        <w:rPr>
          <w:i/>
          <w:lang w:val="en-US"/>
        </w:rPr>
        <w:t>The third volume of chronicles</w:t>
      </w:r>
      <w:r>
        <w:rPr>
          <w:lang w:val="en-US"/>
        </w:rPr>
        <w:t xml:space="preserve"> (1586), sig. Rrrr2v.</w:t>
      </w:r>
    </w:p>
  </w:footnote>
  <w:footnote w:id="34">
    <w:p w14:paraId="38A82F34" w14:textId="77777777" w:rsidR="000632C9" w:rsidRPr="00AF0BF1" w:rsidRDefault="000632C9" w:rsidP="00EF1031">
      <w:pPr>
        <w:pStyle w:val="FootnoteText"/>
        <w:spacing w:line="480" w:lineRule="auto"/>
        <w:rPr>
          <w:lang w:val="en-US"/>
        </w:rPr>
      </w:pPr>
      <w:r>
        <w:rPr>
          <w:rStyle w:val="FootnoteReference"/>
        </w:rPr>
        <w:footnoteRef/>
      </w:r>
      <w:r>
        <w:t xml:space="preserve"> </w:t>
      </w:r>
      <w:r>
        <w:rPr>
          <w:lang w:val="en-US"/>
        </w:rPr>
        <w:t xml:space="preserve">See above for Ovid’s </w:t>
      </w:r>
      <w:r w:rsidRPr="00AF0BF1">
        <w:rPr>
          <w:i/>
          <w:lang w:val="en-US"/>
        </w:rPr>
        <w:t>Metamorphoses</w:t>
      </w:r>
      <w:r>
        <w:rPr>
          <w:lang w:val="en-US"/>
        </w:rPr>
        <w:t xml:space="preserve"> being read aloud while women sewed.</w:t>
      </w:r>
    </w:p>
  </w:footnote>
  <w:footnote w:id="35">
    <w:p w14:paraId="2727A5F9" w14:textId="77777777" w:rsidR="000632C9" w:rsidRPr="0079294C" w:rsidRDefault="000632C9" w:rsidP="00EF1031">
      <w:pPr>
        <w:pStyle w:val="FootnoteText"/>
        <w:spacing w:line="480" w:lineRule="auto"/>
        <w:rPr>
          <w:lang w:val="en-US"/>
        </w:rPr>
      </w:pPr>
      <w:r>
        <w:rPr>
          <w:rStyle w:val="FootnoteReference"/>
        </w:rPr>
        <w:footnoteRef/>
      </w:r>
      <w:r>
        <w:t xml:space="preserve"> </w:t>
      </w:r>
      <w:proofErr w:type="gramStart"/>
      <w:r>
        <w:rPr>
          <w:lang w:val="en-US"/>
        </w:rPr>
        <w:t>In the Propeller production (dir. Edward Hall, 2005, 2011-12), and at the RSC in 2006 (dir. Dominic Cooke) and 2009 (dir. David Farr).</w:t>
      </w:r>
      <w:proofErr w:type="gramEnd"/>
    </w:p>
  </w:footnote>
  <w:footnote w:id="36">
    <w:p w14:paraId="37171142" w14:textId="77777777" w:rsidR="000632C9" w:rsidRPr="0079294C" w:rsidRDefault="000632C9" w:rsidP="00EF1031">
      <w:pPr>
        <w:pStyle w:val="FootnoteText"/>
        <w:spacing w:line="480" w:lineRule="auto"/>
        <w:rPr>
          <w:lang w:val="en-US"/>
        </w:rPr>
      </w:pPr>
      <w:r>
        <w:rPr>
          <w:rStyle w:val="FootnoteReference"/>
        </w:rPr>
        <w:footnoteRef/>
      </w:r>
      <w:r>
        <w:t xml:space="preserve"> See Jean MacIntyre, </w:t>
      </w:r>
      <w:r w:rsidRPr="001B6D55">
        <w:rPr>
          <w:i/>
        </w:rPr>
        <w:t>Costumes and scripts in the Elizabethan theatre</w:t>
      </w:r>
      <w:r>
        <w:t xml:space="preserve"> (Edmonton, 1992), pp. 96-7.</w:t>
      </w:r>
    </w:p>
  </w:footnote>
  <w:footnote w:id="37">
    <w:p w14:paraId="0AFDD59D" w14:textId="77777777" w:rsidR="000632C9" w:rsidRPr="001B6D55" w:rsidRDefault="000632C9" w:rsidP="00EF1031">
      <w:pPr>
        <w:pStyle w:val="FootnoteText"/>
        <w:spacing w:line="480" w:lineRule="auto"/>
        <w:rPr>
          <w:lang w:val="en-US"/>
        </w:rPr>
      </w:pPr>
      <w:r>
        <w:rPr>
          <w:rStyle w:val="FootnoteReference"/>
        </w:rPr>
        <w:footnoteRef/>
      </w:r>
      <w:r>
        <w:t xml:space="preserve"> </w:t>
      </w:r>
      <w:r>
        <w:rPr>
          <w:lang w:val="en-US"/>
        </w:rPr>
        <w:t xml:space="preserve">Jones and Stallybrass, ‘Transvestism and the “body beneath”: speculating on the boy actor’, in </w:t>
      </w:r>
      <w:r w:rsidRPr="00CB24EA">
        <w:rPr>
          <w:i/>
          <w:lang w:val="en-US"/>
        </w:rPr>
        <w:t>Renaissance clothing and the materials of memory</w:t>
      </w:r>
      <w:r>
        <w:rPr>
          <w:lang w:val="en-US"/>
        </w:rPr>
        <w:t>, pp. 207-219.</w:t>
      </w:r>
    </w:p>
  </w:footnote>
  <w:footnote w:id="38">
    <w:p w14:paraId="46F8AA32" w14:textId="77777777" w:rsidR="000632C9" w:rsidRPr="001B6D55" w:rsidRDefault="000632C9" w:rsidP="00EF1031">
      <w:pPr>
        <w:pStyle w:val="FootnoteText"/>
        <w:spacing w:line="480" w:lineRule="auto"/>
        <w:rPr>
          <w:lang w:val="en-US"/>
        </w:rPr>
      </w:pPr>
      <w:r>
        <w:rPr>
          <w:rStyle w:val="FootnoteReference"/>
        </w:rPr>
        <w:footnoteRef/>
      </w:r>
      <w:r>
        <w:t xml:space="preserve"> </w:t>
      </w:r>
      <w:r>
        <w:rPr>
          <w:lang w:val="en-US"/>
        </w:rPr>
        <w:t xml:space="preserve">For example, ‘Take, O </w:t>
      </w:r>
      <w:proofErr w:type="gramStart"/>
      <w:r>
        <w:rPr>
          <w:lang w:val="en-US"/>
        </w:rPr>
        <w:t>take</w:t>
      </w:r>
      <w:proofErr w:type="gramEnd"/>
      <w:r>
        <w:rPr>
          <w:lang w:val="en-US"/>
        </w:rPr>
        <w:t xml:space="preserve"> those lips away’ in </w:t>
      </w:r>
      <w:r w:rsidRPr="008B1E02">
        <w:rPr>
          <w:i/>
          <w:lang w:val="en-US"/>
        </w:rPr>
        <w:t>Measure</w:t>
      </w:r>
      <w:r>
        <w:rPr>
          <w:lang w:val="en-US"/>
        </w:rPr>
        <w:t xml:space="preserve"> 4.1, where the singer is ‘Boy’.</w:t>
      </w:r>
    </w:p>
  </w:footnote>
  <w:footnote w:id="39">
    <w:p w14:paraId="4CA628EA" w14:textId="77777777" w:rsidR="000632C9" w:rsidRPr="00A513C5" w:rsidRDefault="000632C9" w:rsidP="00EF1031">
      <w:pPr>
        <w:pStyle w:val="FootnoteText"/>
        <w:spacing w:line="480" w:lineRule="auto"/>
        <w:rPr>
          <w:lang w:val="en-US"/>
        </w:rPr>
      </w:pPr>
      <w:r>
        <w:rPr>
          <w:rStyle w:val="FootnoteReference"/>
        </w:rPr>
        <w:footnoteRef/>
      </w:r>
      <w:r>
        <w:t xml:space="preserve"> </w:t>
      </w:r>
      <w:r>
        <w:rPr>
          <w:lang w:val="en-US"/>
        </w:rPr>
        <w:t>Edward’s Boys is an ensemble of students from King Edward VI School in Stratford-upon-</w:t>
      </w:r>
      <w:proofErr w:type="gramStart"/>
      <w:r>
        <w:rPr>
          <w:lang w:val="en-US"/>
        </w:rPr>
        <w:t>Avon which</w:t>
      </w:r>
      <w:proofErr w:type="gramEnd"/>
      <w:r>
        <w:rPr>
          <w:lang w:val="en-US"/>
        </w:rPr>
        <w:t>, since 2005, has performed plays written for the boys’ companies under the direction of Perry Mills. See www.edwardsboys.org</w:t>
      </w:r>
    </w:p>
  </w:footnote>
  <w:footnote w:id="40">
    <w:p w14:paraId="1D7C704D" w14:textId="77777777" w:rsidR="000632C9" w:rsidRPr="00A631D2" w:rsidRDefault="000632C9" w:rsidP="00EF1031">
      <w:pPr>
        <w:pStyle w:val="FootnoteText"/>
        <w:spacing w:line="480" w:lineRule="auto"/>
        <w:rPr>
          <w:lang w:val="en-US"/>
        </w:rPr>
      </w:pPr>
      <w:r>
        <w:rPr>
          <w:rStyle w:val="FootnoteReference"/>
        </w:rPr>
        <w:footnoteRef/>
      </w:r>
      <w:r>
        <w:t xml:space="preserve"> </w:t>
      </w:r>
      <w:r>
        <w:rPr>
          <w:lang w:val="en-US"/>
        </w:rPr>
        <w:t xml:space="preserve">In a longer version of this essay (in progress), I explore the possibility that the ‘English lesson’ scene in </w:t>
      </w:r>
      <w:r w:rsidRPr="00A631D2">
        <w:rPr>
          <w:i/>
          <w:lang w:val="en-US"/>
        </w:rPr>
        <w:t>Henry V</w:t>
      </w:r>
      <w:r>
        <w:rPr>
          <w:lang w:val="en-US"/>
        </w:rPr>
        <w:t>, 3.4, is also a sewing scene.</w:t>
      </w:r>
    </w:p>
  </w:footnote>
  <w:footnote w:id="41">
    <w:p w14:paraId="49ED04E7" w14:textId="77777777" w:rsidR="000632C9" w:rsidRPr="00EC4224" w:rsidRDefault="000632C9" w:rsidP="00EF1031">
      <w:pPr>
        <w:pStyle w:val="FootnoteText"/>
        <w:spacing w:line="480" w:lineRule="auto"/>
        <w:rPr>
          <w:lang w:val="en-US"/>
        </w:rPr>
      </w:pPr>
      <w:r>
        <w:rPr>
          <w:rStyle w:val="FootnoteReference"/>
        </w:rPr>
        <w:footnoteRef/>
      </w:r>
      <w:r>
        <w:t xml:space="preserve"> </w:t>
      </w:r>
      <w:r>
        <w:rPr>
          <w:lang w:val="en-US"/>
        </w:rPr>
        <w:t xml:space="preserve">See, for example, </w:t>
      </w:r>
      <w:r w:rsidRPr="00733DE2">
        <w:rPr>
          <w:i/>
          <w:lang w:val="en-US"/>
        </w:rPr>
        <w:t>Shakespeare and memory</w:t>
      </w:r>
      <w:r>
        <w:rPr>
          <w:lang w:val="en-US"/>
        </w:rPr>
        <w:t>, pp. 193-5.</w:t>
      </w:r>
    </w:p>
  </w:footnote>
  <w:footnote w:id="42">
    <w:p w14:paraId="24E1DDF9" w14:textId="77777777" w:rsidR="000632C9" w:rsidRPr="00C253DC" w:rsidRDefault="000632C9" w:rsidP="00EF1031">
      <w:pPr>
        <w:pStyle w:val="FootnoteText"/>
        <w:spacing w:line="480" w:lineRule="auto"/>
        <w:rPr>
          <w:lang w:val="en-US"/>
        </w:rPr>
      </w:pPr>
      <w:r>
        <w:rPr>
          <w:rStyle w:val="FootnoteReference"/>
        </w:rPr>
        <w:footnoteRef/>
      </w:r>
      <w:r>
        <w:t xml:space="preserve"> Tiffany </w:t>
      </w:r>
      <w:proofErr w:type="gramStart"/>
      <w:r>
        <w:rPr>
          <w:lang w:val="en-US"/>
        </w:rPr>
        <w:t>Stern,</w:t>
      </w:r>
      <w:proofErr w:type="gramEnd"/>
      <w:r>
        <w:rPr>
          <w:lang w:val="en-US"/>
        </w:rPr>
        <w:t xml:space="preserve"> </w:t>
      </w:r>
      <w:r w:rsidRPr="007208D0">
        <w:rPr>
          <w:i/>
          <w:lang w:val="en-US"/>
        </w:rPr>
        <w:t>Documents of performance in early modern England</w:t>
      </w:r>
      <w:r>
        <w:rPr>
          <w:lang w:val="en-US"/>
        </w:rPr>
        <w:t xml:space="preserve"> (Cambridge, 2009), p. 1.</w:t>
      </w:r>
    </w:p>
  </w:footnote>
  <w:footnote w:id="43">
    <w:p w14:paraId="080D5AF3" w14:textId="77777777" w:rsidR="000632C9" w:rsidRPr="00C253DC" w:rsidRDefault="000632C9" w:rsidP="00EF1031">
      <w:pPr>
        <w:pStyle w:val="FootnoteText"/>
        <w:spacing w:line="480" w:lineRule="auto"/>
        <w:rPr>
          <w:lang w:val="en-US"/>
        </w:rPr>
      </w:pPr>
      <w:r>
        <w:rPr>
          <w:rStyle w:val="FootnoteReference"/>
        </w:rPr>
        <w:footnoteRef/>
      </w:r>
      <w:r>
        <w:t xml:space="preserve"> </w:t>
      </w:r>
      <w:r>
        <w:rPr>
          <w:lang w:val="en-US"/>
        </w:rPr>
        <w:t xml:space="preserve">See Chloe Porter, </w:t>
      </w:r>
      <w:r w:rsidRPr="000A1DD8">
        <w:rPr>
          <w:rFonts w:cs="Times"/>
          <w:i/>
          <w:lang w:val="en-US"/>
        </w:rPr>
        <w:t>Making and unmaking in early modern English drama: spectators, aesthetics and incompletion</w:t>
      </w:r>
      <w:r>
        <w:rPr>
          <w:rFonts w:cs="Times"/>
          <w:lang w:val="en-US"/>
        </w:rPr>
        <w:t xml:space="preserve"> (Manchester, 2013),</w:t>
      </w:r>
      <w:r>
        <w:rPr>
          <w:lang w:val="en-US"/>
        </w:rPr>
        <w:t xml:space="preserve"> pp. 28-30.</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82B946" w14:textId="77777777" w:rsidR="000632C9" w:rsidRDefault="000632C9" w:rsidP="000632C9">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D0A9A77" w14:textId="77777777" w:rsidR="000632C9" w:rsidRDefault="000632C9" w:rsidP="000632C9">
    <w:pPr>
      <w:pStyle w:val="Header"/>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47726A" w14:textId="77777777" w:rsidR="000632C9" w:rsidRPr="007C72A7" w:rsidRDefault="000632C9" w:rsidP="000632C9">
    <w:pPr>
      <w:pStyle w:val="Header"/>
      <w:framePr w:wrap="around" w:vAnchor="text" w:hAnchor="margin" w:xAlign="right" w:y="1"/>
      <w:rPr>
        <w:rStyle w:val="PageNumber"/>
        <w:color w:val="7F7F7F" w:themeColor="text1" w:themeTint="80"/>
      </w:rPr>
    </w:pPr>
    <w:r w:rsidRPr="007C72A7">
      <w:rPr>
        <w:rStyle w:val="PageNumber"/>
        <w:color w:val="7F7F7F" w:themeColor="text1" w:themeTint="80"/>
      </w:rPr>
      <w:fldChar w:fldCharType="begin"/>
    </w:r>
    <w:r w:rsidRPr="007C72A7">
      <w:rPr>
        <w:rStyle w:val="PageNumber"/>
        <w:color w:val="7F7F7F" w:themeColor="text1" w:themeTint="80"/>
      </w:rPr>
      <w:instrText xml:space="preserve">PAGE  </w:instrText>
    </w:r>
    <w:r w:rsidRPr="007C72A7">
      <w:rPr>
        <w:rStyle w:val="PageNumber"/>
        <w:color w:val="7F7F7F" w:themeColor="text1" w:themeTint="80"/>
      </w:rPr>
      <w:fldChar w:fldCharType="separate"/>
    </w:r>
    <w:r w:rsidR="0099233C">
      <w:rPr>
        <w:rStyle w:val="PageNumber"/>
        <w:noProof/>
        <w:color w:val="7F7F7F" w:themeColor="text1" w:themeTint="80"/>
      </w:rPr>
      <w:t>25</w:t>
    </w:r>
    <w:r w:rsidRPr="007C72A7">
      <w:rPr>
        <w:rStyle w:val="PageNumber"/>
        <w:color w:val="7F7F7F" w:themeColor="text1" w:themeTint="80"/>
      </w:rPr>
      <w:fldChar w:fldCharType="end"/>
    </w:r>
  </w:p>
  <w:p w14:paraId="45FD340F" w14:textId="77777777" w:rsidR="000632C9" w:rsidRPr="007C72A7" w:rsidRDefault="000632C9" w:rsidP="000632C9">
    <w:pPr>
      <w:pStyle w:val="Header"/>
      <w:ind w:right="360"/>
      <w:jc w:val="right"/>
      <w:rPr>
        <w:i/>
        <w:color w:val="7F7F7F" w:themeColor="text1" w:themeTint="8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1031"/>
    <w:rsid w:val="000632C9"/>
    <w:rsid w:val="006637B0"/>
    <w:rsid w:val="00665937"/>
    <w:rsid w:val="0099233C"/>
    <w:rsid w:val="00EF1031"/>
    <w:rsid w:val="00EF4AAA"/>
    <w:rsid w:val="00F265B8"/>
    <w:rsid w:val="00F430B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68460A2F"/>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F1031"/>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F1031"/>
    <w:pPr>
      <w:tabs>
        <w:tab w:val="center" w:pos="4320"/>
        <w:tab w:val="right" w:pos="8640"/>
      </w:tabs>
    </w:pPr>
  </w:style>
  <w:style w:type="character" w:customStyle="1" w:styleId="HeaderChar">
    <w:name w:val="Header Char"/>
    <w:basedOn w:val="DefaultParagraphFont"/>
    <w:link w:val="Header"/>
    <w:uiPriority w:val="99"/>
    <w:rsid w:val="00EF1031"/>
    <w:rPr>
      <w:lang w:val="en-GB"/>
    </w:rPr>
  </w:style>
  <w:style w:type="character" w:styleId="PageNumber">
    <w:name w:val="page number"/>
    <w:basedOn w:val="DefaultParagraphFont"/>
    <w:uiPriority w:val="99"/>
    <w:semiHidden/>
    <w:unhideWhenUsed/>
    <w:rsid w:val="00EF1031"/>
  </w:style>
  <w:style w:type="paragraph" w:styleId="FootnoteText">
    <w:name w:val="footnote text"/>
    <w:basedOn w:val="Normal"/>
    <w:link w:val="FootnoteTextChar"/>
    <w:uiPriority w:val="99"/>
    <w:unhideWhenUsed/>
    <w:rsid w:val="00EF1031"/>
  </w:style>
  <w:style w:type="character" w:customStyle="1" w:styleId="FootnoteTextChar">
    <w:name w:val="Footnote Text Char"/>
    <w:basedOn w:val="DefaultParagraphFont"/>
    <w:link w:val="FootnoteText"/>
    <w:uiPriority w:val="99"/>
    <w:rsid w:val="00EF1031"/>
    <w:rPr>
      <w:lang w:val="en-GB"/>
    </w:rPr>
  </w:style>
  <w:style w:type="character" w:styleId="FootnoteReference">
    <w:name w:val="footnote reference"/>
    <w:basedOn w:val="DefaultParagraphFont"/>
    <w:uiPriority w:val="99"/>
    <w:unhideWhenUsed/>
    <w:rsid w:val="00EF1031"/>
    <w:rPr>
      <w:vertAlign w:val="superscript"/>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F1031"/>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F1031"/>
    <w:pPr>
      <w:tabs>
        <w:tab w:val="center" w:pos="4320"/>
        <w:tab w:val="right" w:pos="8640"/>
      </w:tabs>
    </w:pPr>
  </w:style>
  <w:style w:type="character" w:customStyle="1" w:styleId="HeaderChar">
    <w:name w:val="Header Char"/>
    <w:basedOn w:val="DefaultParagraphFont"/>
    <w:link w:val="Header"/>
    <w:uiPriority w:val="99"/>
    <w:rsid w:val="00EF1031"/>
    <w:rPr>
      <w:lang w:val="en-GB"/>
    </w:rPr>
  </w:style>
  <w:style w:type="character" w:styleId="PageNumber">
    <w:name w:val="page number"/>
    <w:basedOn w:val="DefaultParagraphFont"/>
    <w:uiPriority w:val="99"/>
    <w:semiHidden/>
    <w:unhideWhenUsed/>
    <w:rsid w:val="00EF1031"/>
  </w:style>
  <w:style w:type="paragraph" w:styleId="FootnoteText">
    <w:name w:val="footnote text"/>
    <w:basedOn w:val="Normal"/>
    <w:link w:val="FootnoteTextChar"/>
    <w:uiPriority w:val="99"/>
    <w:unhideWhenUsed/>
    <w:rsid w:val="00EF1031"/>
  </w:style>
  <w:style w:type="character" w:customStyle="1" w:styleId="FootnoteTextChar">
    <w:name w:val="Footnote Text Char"/>
    <w:basedOn w:val="DefaultParagraphFont"/>
    <w:link w:val="FootnoteText"/>
    <w:uiPriority w:val="99"/>
    <w:rsid w:val="00EF1031"/>
    <w:rPr>
      <w:lang w:val="en-GB"/>
    </w:rPr>
  </w:style>
  <w:style w:type="character" w:styleId="FootnoteReference">
    <w:name w:val="footnote reference"/>
    <w:basedOn w:val="DefaultParagraphFont"/>
    <w:uiPriority w:val="99"/>
    <w:unhideWhenUsed/>
    <w:rsid w:val="00EF103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eader" Target="header1.xml"/><Relationship Id="rId8" Type="http://schemas.openxmlformats.org/officeDocument/2006/relationships/header" Target="header2.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17</TotalTime>
  <Pages>25</Pages>
  <Words>4444</Words>
  <Characters>25333</Characters>
  <Application>Microsoft Macintosh Word</Application>
  <DocSecurity>0</DocSecurity>
  <Lines>211</Lines>
  <Paragraphs>59</Paragraphs>
  <ScaleCrop>false</ScaleCrop>
  <Company>St Catharine's College</Company>
  <LinksUpToDate>false</LinksUpToDate>
  <CharactersWithSpaces>29718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Hester Lees-Jeffries</dc:creator>
  <cp:keywords/>
  <dc:description/>
  <cp:lastModifiedBy>Hester Lees-Jeffries</cp:lastModifiedBy>
  <cp:revision>6</cp:revision>
  <dcterms:created xsi:type="dcterms:W3CDTF">2016-11-29T18:32:00Z</dcterms:created>
  <dcterms:modified xsi:type="dcterms:W3CDTF">2017-07-05T15:38:00Z</dcterms:modified>
</cp:coreProperties>
</file>