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7E19C6" w14:textId="685DBA60" w:rsidR="004B2DF2" w:rsidRDefault="00C77487" w:rsidP="001536D4">
      <w:pPr>
        <w:spacing w:after="220" w:line="360" w:lineRule="auto"/>
        <w:jc w:val="both"/>
        <w:rPr>
          <w:rFonts w:ascii="Arial" w:hAnsi="Arial"/>
          <w:b/>
          <w:bCs/>
          <w:color w:val="484848"/>
          <w:sz w:val="28"/>
          <w:szCs w:val="28"/>
        </w:rPr>
      </w:pPr>
      <w:bookmarkStart w:id="0" w:name="_GoBack"/>
      <w:bookmarkEnd w:id="0"/>
      <w:r w:rsidRPr="00C77487">
        <w:rPr>
          <w:rFonts w:ascii="Arial" w:hAnsi="Arial" w:cs="Arial"/>
          <w:b/>
          <w:color w:val="484848"/>
          <w:sz w:val="28"/>
          <w:szCs w:val="28"/>
          <w:lang w:val="en-US"/>
        </w:rPr>
        <w:t>Predicting treatment resistance and relapse through circulating DNA</w:t>
      </w:r>
      <w:r>
        <w:rPr>
          <w:rFonts w:ascii="Arial" w:hAnsi="Arial" w:cs="Arial"/>
          <w:b/>
          <w:color w:val="484848"/>
          <w:sz w:val="28"/>
          <w:szCs w:val="28"/>
          <w:lang w:val="en-US"/>
        </w:rPr>
        <w:t>.</w:t>
      </w:r>
    </w:p>
    <w:p w14:paraId="73CC9973" w14:textId="77777777" w:rsidR="00C77487" w:rsidRPr="00C77487" w:rsidRDefault="00C77487" w:rsidP="001536D4">
      <w:pPr>
        <w:spacing w:after="220" w:line="360" w:lineRule="auto"/>
        <w:jc w:val="both"/>
        <w:rPr>
          <w:rFonts w:ascii="Arial" w:hAnsi="Arial"/>
          <w:b/>
          <w:bCs/>
          <w:color w:val="484848"/>
          <w:sz w:val="28"/>
          <w:szCs w:val="28"/>
        </w:rPr>
      </w:pPr>
    </w:p>
    <w:p w14:paraId="54FAD5F5" w14:textId="70CB88F8" w:rsidR="004B2DF2" w:rsidRPr="00C70DFA" w:rsidRDefault="004B2DF2" w:rsidP="001536D4">
      <w:pPr>
        <w:spacing w:after="220" w:line="360" w:lineRule="auto"/>
        <w:jc w:val="both"/>
        <w:rPr>
          <w:rFonts w:ascii="Arial" w:hAnsi="Arial"/>
          <w:bCs/>
          <w:color w:val="000000"/>
          <w:sz w:val="22"/>
          <w:szCs w:val="22"/>
        </w:rPr>
      </w:pPr>
      <w:r w:rsidRPr="004B2DF2">
        <w:rPr>
          <w:rFonts w:ascii="Arial" w:hAnsi="Arial"/>
          <w:bCs/>
          <w:color w:val="000000"/>
          <w:sz w:val="22"/>
          <w:szCs w:val="22"/>
        </w:rPr>
        <w:t>Emma Beddowes</w:t>
      </w:r>
      <w:r w:rsidR="00C70DFA">
        <w:rPr>
          <w:rFonts w:ascii="Arial" w:hAnsi="Arial"/>
          <w:bCs/>
          <w:color w:val="000000"/>
          <w:sz w:val="22"/>
          <w:szCs w:val="22"/>
          <w:vertAlign w:val="superscript"/>
        </w:rPr>
        <w:t>1</w:t>
      </w:r>
      <w:r w:rsidRPr="004B2DF2">
        <w:rPr>
          <w:rFonts w:ascii="Arial" w:hAnsi="Arial"/>
          <w:bCs/>
          <w:color w:val="000000"/>
          <w:sz w:val="22"/>
          <w:szCs w:val="22"/>
        </w:rPr>
        <w:t xml:space="preserve">, </w:t>
      </w:r>
      <w:r w:rsidR="00B145F5">
        <w:rPr>
          <w:rFonts w:ascii="Arial" w:hAnsi="Arial"/>
          <w:bCs/>
          <w:color w:val="000000"/>
          <w:sz w:val="22"/>
          <w:szCs w:val="22"/>
        </w:rPr>
        <w:t>Stephen J Sammut</w:t>
      </w:r>
      <w:r w:rsidR="00C70DFA">
        <w:rPr>
          <w:rFonts w:ascii="Arial" w:hAnsi="Arial"/>
          <w:bCs/>
          <w:color w:val="000000"/>
          <w:sz w:val="22"/>
          <w:szCs w:val="22"/>
          <w:vertAlign w:val="superscript"/>
        </w:rPr>
        <w:t>1</w:t>
      </w:r>
      <w:r w:rsidR="00B145F5">
        <w:rPr>
          <w:rFonts w:ascii="Arial" w:hAnsi="Arial"/>
          <w:bCs/>
          <w:color w:val="000000"/>
          <w:sz w:val="22"/>
          <w:szCs w:val="22"/>
        </w:rPr>
        <w:t>, Meiling Gao</w:t>
      </w:r>
      <w:r w:rsidR="00C70DFA">
        <w:rPr>
          <w:rFonts w:ascii="Arial" w:hAnsi="Arial"/>
          <w:bCs/>
          <w:color w:val="000000"/>
          <w:sz w:val="22"/>
          <w:szCs w:val="22"/>
          <w:vertAlign w:val="superscript"/>
        </w:rPr>
        <w:t>1</w:t>
      </w:r>
      <w:r w:rsidRPr="004B2DF2">
        <w:rPr>
          <w:rFonts w:ascii="Arial" w:hAnsi="Arial"/>
          <w:bCs/>
          <w:color w:val="000000"/>
          <w:sz w:val="22"/>
          <w:szCs w:val="22"/>
        </w:rPr>
        <w:t xml:space="preserve"> and Carlos Caldas</w:t>
      </w:r>
      <w:r w:rsidR="00C70DFA">
        <w:rPr>
          <w:rFonts w:ascii="Arial" w:hAnsi="Arial"/>
          <w:bCs/>
          <w:color w:val="000000"/>
          <w:sz w:val="22"/>
          <w:szCs w:val="22"/>
          <w:vertAlign w:val="superscript"/>
        </w:rPr>
        <w:t>1</w:t>
      </w:r>
      <w:r w:rsidR="00C70DFA">
        <w:rPr>
          <w:rFonts w:ascii="Arial" w:hAnsi="Arial"/>
          <w:bCs/>
          <w:color w:val="000000"/>
          <w:sz w:val="22"/>
          <w:szCs w:val="22"/>
        </w:rPr>
        <w:t>.</w:t>
      </w:r>
    </w:p>
    <w:p w14:paraId="1F9A7A9A" w14:textId="77777777" w:rsidR="004B2DF2" w:rsidRPr="004B2DF2" w:rsidRDefault="004B2DF2" w:rsidP="001536D4">
      <w:pPr>
        <w:spacing w:after="220" w:line="360" w:lineRule="auto"/>
        <w:jc w:val="both"/>
        <w:rPr>
          <w:rFonts w:ascii="Arial" w:hAnsi="Arial"/>
          <w:bCs/>
          <w:color w:val="000000"/>
          <w:sz w:val="22"/>
          <w:szCs w:val="22"/>
        </w:rPr>
      </w:pPr>
    </w:p>
    <w:p w14:paraId="2B0795A2" w14:textId="77777777" w:rsidR="004B2DF2" w:rsidRPr="004B2DF2" w:rsidRDefault="004B2DF2" w:rsidP="001536D4">
      <w:pPr>
        <w:spacing w:after="220" w:line="360" w:lineRule="auto"/>
        <w:jc w:val="both"/>
        <w:rPr>
          <w:rFonts w:ascii="Arial" w:hAnsi="Arial"/>
          <w:bCs/>
          <w:color w:val="000000"/>
          <w:sz w:val="22"/>
          <w:szCs w:val="22"/>
        </w:rPr>
      </w:pPr>
    </w:p>
    <w:p w14:paraId="03FD7BA5" w14:textId="77777777" w:rsidR="004B2DF2" w:rsidRPr="004B2DF2" w:rsidRDefault="004B2DF2" w:rsidP="001536D4">
      <w:pPr>
        <w:spacing w:after="220" w:line="360" w:lineRule="auto"/>
        <w:jc w:val="both"/>
        <w:rPr>
          <w:rFonts w:ascii="Arial" w:hAnsi="Arial"/>
          <w:bCs/>
          <w:color w:val="000000"/>
          <w:sz w:val="22"/>
          <w:szCs w:val="22"/>
        </w:rPr>
      </w:pPr>
    </w:p>
    <w:p w14:paraId="34838634" w14:textId="37845939" w:rsidR="006E42A5" w:rsidRDefault="00C70DFA" w:rsidP="001536D4">
      <w:pPr>
        <w:spacing w:after="220" w:line="360" w:lineRule="auto"/>
        <w:jc w:val="both"/>
        <w:rPr>
          <w:rFonts w:ascii="Arial" w:hAnsi="Arial"/>
          <w:bCs/>
          <w:color w:val="000000"/>
          <w:sz w:val="22"/>
          <w:szCs w:val="22"/>
        </w:rPr>
      </w:pPr>
      <w:r>
        <w:rPr>
          <w:rFonts w:ascii="Arial" w:hAnsi="Arial"/>
          <w:bCs/>
          <w:color w:val="000000"/>
          <w:sz w:val="22"/>
          <w:szCs w:val="22"/>
          <w:vertAlign w:val="superscript"/>
        </w:rPr>
        <w:t>1</w:t>
      </w:r>
      <w:r w:rsidR="004B2DF2" w:rsidRPr="004B2DF2">
        <w:rPr>
          <w:rFonts w:ascii="Arial" w:hAnsi="Arial"/>
          <w:bCs/>
          <w:color w:val="000000"/>
          <w:sz w:val="22"/>
          <w:szCs w:val="22"/>
        </w:rPr>
        <w:t>Department of Oncology, University of Cambridge, and Cancer Research UK Cambridge Institute, Li Ka Shing Centre, Cambridge CB2 0RE</w:t>
      </w:r>
      <w:r>
        <w:rPr>
          <w:rFonts w:ascii="Arial" w:hAnsi="Arial"/>
          <w:bCs/>
          <w:color w:val="000000"/>
          <w:sz w:val="22"/>
          <w:szCs w:val="22"/>
        </w:rPr>
        <w:t>.</w:t>
      </w:r>
    </w:p>
    <w:p w14:paraId="47BAE170" w14:textId="77777777" w:rsidR="006E42A5" w:rsidRDefault="006E42A5">
      <w:pPr>
        <w:rPr>
          <w:rFonts w:ascii="Arial" w:hAnsi="Arial"/>
          <w:bCs/>
          <w:color w:val="000000"/>
          <w:sz w:val="22"/>
          <w:szCs w:val="22"/>
        </w:rPr>
      </w:pPr>
      <w:r>
        <w:rPr>
          <w:rFonts w:ascii="Arial" w:hAnsi="Arial"/>
          <w:bCs/>
          <w:color w:val="000000"/>
          <w:sz w:val="22"/>
          <w:szCs w:val="22"/>
        </w:rPr>
        <w:br w:type="page"/>
      </w:r>
    </w:p>
    <w:p w14:paraId="533B36D5" w14:textId="4DAB99B9" w:rsidR="006E42A5" w:rsidRDefault="00A82446" w:rsidP="001536D4">
      <w:pPr>
        <w:spacing w:after="220" w:line="360" w:lineRule="auto"/>
        <w:jc w:val="both"/>
        <w:rPr>
          <w:rFonts w:ascii="Arial" w:hAnsi="Arial" w:cs="Arial"/>
          <w:b/>
          <w:sz w:val="28"/>
          <w:szCs w:val="28"/>
        </w:rPr>
      </w:pPr>
      <w:r w:rsidRPr="00A82446">
        <w:rPr>
          <w:rFonts w:ascii="Arial" w:hAnsi="Arial" w:cs="Arial"/>
          <w:b/>
          <w:sz w:val="28"/>
          <w:szCs w:val="28"/>
        </w:rPr>
        <w:lastRenderedPageBreak/>
        <w:t xml:space="preserve">Abstract </w:t>
      </w:r>
    </w:p>
    <w:p w14:paraId="50E446A1" w14:textId="2873BA40" w:rsidR="00533E9A" w:rsidRPr="008A4246" w:rsidRDefault="00A82446" w:rsidP="001536D4">
      <w:pPr>
        <w:spacing w:after="220" w:line="360" w:lineRule="auto"/>
        <w:jc w:val="both"/>
        <w:rPr>
          <w:rFonts w:ascii="Arial" w:hAnsi="Arial" w:cs="Arial"/>
          <w:sz w:val="24"/>
          <w:szCs w:val="24"/>
        </w:rPr>
      </w:pPr>
      <w:r w:rsidRPr="008A4246">
        <w:rPr>
          <w:rFonts w:ascii="Arial" w:hAnsi="Arial" w:cs="Arial"/>
          <w:sz w:val="24"/>
          <w:szCs w:val="24"/>
        </w:rPr>
        <w:t>The use of circulating DNA</w:t>
      </w:r>
      <w:r w:rsidR="00533E9A" w:rsidRPr="008A4246">
        <w:rPr>
          <w:rFonts w:ascii="Arial" w:hAnsi="Arial" w:cs="Arial"/>
          <w:sz w:val="24"/>
          <w:szCs w:val="24"/>
        </w:rPr>
        <w:t>(ctDNA)</w:t>
      </w:r>
      <w:r w:rsidRPr="008A4246">
        <w:rPr>
          <w:rFonts w:ascii="Arial" w:hAnsi="Arial" w:cs="Arial"/>
          <w:sz w:val="24"/>
          <w:szCs w:val="24"/>
        </w:rPr>
        <w:t xml:space="preserve"> to provide a non-invasive, personalised genomic snapshot of a patients</w:t>
      </w:r>
      <w:r w:rsidR="00D83805" w:rsidRPr="008A4246">
        <w:rPr>
          <w:rFonts w:ascii="Arial" w:hAnsi="Arial" w:cs="Arial"/>
          <w:sz w:val="24"/>
          <w:szCs w:val="24"/>
        </w:rPr>
        <w:t>’</w:t>
      </w:r>
      <w:r w:rsidRPr="008A4246">
        <w:rPr>
          <w:rFonts w:ascii="Arial" w:hAnsi="Arial" w:cs="Arial"/>
          <w:sz w:val="24"/>
          <w:szCs w:val="24"/>
        </w:rPr>
        <w:t xml:space="preserve"> tumour has huge potential. Over the past five years this area of research has gained huge momentum</w:t>
      </w:r>
      <w:r w:rsidR="00533E9A" w:rsidRPr="008A4246">
        <w:rPr>
          <w:rFonts w:ascii="Arial" w:hAnsi="Arial" w:cs="Arial"/>
          <w:sz w:val="24"/>
          <w:szCs w:val="24"/>
        </w:rPr>
        <w:t>. A number of studies in metastatic breast cancer have shown the potential of ctDNA to predict prognosis and treatment response using ctDNA. Further developments have included deeper sequencing using whole exome and shallow whole genome approaches which has the potential to identify new mutations and chromosomal copy number changes which appear upon resistanc</w:t>
      </w:r>
      <w:r w:rsidR="00426B06" w:rsidRPr="008A4246">
        <w:rPr>
          <w:rFonts w:ascii="Arial" w:hAnsi="Arial" w:cs="Arial"/>
          <w:sz w:val="24"/>
          <w:szCs w:val="24"/>
        </w:rPr>
        <w:t>e to treatment. In early breast cancer</w:t>
      </w:r>
      <w:r w:rsidR="008A4246">
        <w:rPr>
          <w:rFonts w:ascii="Arial" w:hAnsi="Arial" w:cs="Arial"/>
          <w:sz w:val="24"/>
          <w:szCs w:val="24"/>
        </w:rPr>
        <w:t>,</w:t>
      </w:r>
      <w:r w:rsidR="00533E9A" w:rsidRPr="008A4246">
        <w:rPr>
          <w:rFonts w:ascii="Arial" w:hAnsi="Arial" w:cs="Arial"/>
          <w:sz w:val="24"/>
          <w:szCs w:val="24"/>
        </w:rPr>
        <w:t xml:space="preserve"> recent work utilising personalised </w:t>
      </w:r>
      <w:r w:rsidR="00426B06" w:rsidRPr="008A4246">
        <w:rPr>
          <w:rFonts w:ascii="Arial" w:hAnsi="Arial" w:cs="Arial"/>
          <w:sz w:val="24"/>
          <w:szCs w:val="24"/>
        </w:rPr>
        <w:t xml:space="preserve">digital PCR probes has shown huge potential in predicting disease relapse and the detection of micrometastatic disease which could lead to </w:t>
      </w:r>
      <w:r w:rsidR="00D83805" w:rsidRPr="008A4246">
        <w:rPr>
          <w:rFonts w:ascii="Arial" w:hAnsi="Arial" w:cs="Arial"/>
          <w:sz w:val="24"/>
          <w:szCs w:val="24"/>
        </w:rPr>
        <w:t>improved treatment and outcome for these patients. Specific pathways of resistance can also be monitored and liquid biopsy approaches for the detection of E</w:t>
      </w:r>
      <w:r w:rsidR="008A4246">
        <w:rPr>
          <w:rFonts w:ascii="Arial" w:hAnsi="Arial" w:cs="Arial"/>
          <w:sz w:val="24"/>
          <w:szCs w:val="24"/>
        </w:rPr>
        <w:t>SR1 mutations have been used which</w:t>
      </w:r>
      <w:r w:rsidR="00D83805" w:rsidRPr="008A4246">
        <w:rPr>
          <w:rFonts w:ascii="Arial" w:hAnsi="Arial" w:cs="Arial"/>
          <w:sz w:val="24"/>
          <w:szCs w:val="24"/>
        </w:rPr>
        <w:t xml:space="preserve"> could identify patients who have become resistant to particular </w:t>
      </w:r>
      <w:r w:rsidR="008A4246">
        <w:rPr>
          <w:rFonts w:ascii="Arial" w:hAnsi="Arial" w:cs="Arial"/>
          <w:sz w:val="24"/>
          <w:szCs w:val="24"/>
        </w:rPr>
        <w:t>endocrine therapies</w:t>
      </w:r>
      <w:r w:rsidR="00D83805" w:rsidRPr="008A4246">
        <w:rPr>
          <w:rFonts w:ascii="Arial" w:hAnsi="Arial" w:cs="Arial"/>
          <w:sz w:val="24"/>
          <w:szCs w:val="24"/>
        </w:rPr>
        <w:t xml:space="preserve">. The identification of PIK3CA mutations in plasma has also been shown to predict a higher response rate to </w:t>
      </w:r>
      <w:r w:rsidR="00C70DFA">
        <w:rPr>
          <w:rFonts w:ascii="Arial" w:hAnsi="Arial" w:cs="Arial"/>
          <w:sz w:val="24"/>
          <w:szCs w:val="24"/>
        </w:rPr>
        <w:t xml:space="preserve">specific </w:t>
      </w:r>
      <w:r w:rsidR="00D83805" w:rsidRPr="008A4246">
        <w:rPr>
          <w:rFonts w:ascii="Arial" w:hAnsi="Arial" w:cs="Arial"/>
          <w:sz w:val="24"/>
          <w:szCs w:val="24"/>
        </w:rPr>
        <w:t>PI3K inhibitors and could</w:t>
      </w:r>
      <w:r w:rsidR="00541F68" w:rsidRPr="008A4246">
        <w:rPr>
          <w:rFonts w:ascii="Arial" w:hAnsi="Arial" w:cs="Arial"/>
          <w:sz w:val="24"/>
          <w:szCs w:val="24"/>
        </w:rPr>
        <w:t xml:space="preserve"> be used as a non-invasive screening tool prior to treatment.</w:t>
      </w:r>
      <w:r w:rsidR="008A4246">
        <w:rPr>
          <w:rFonts w:ascii="Arial" w:hAnsi="Arial" w:cs="Arial"/>
          <w:sz w:val="24"/>
          <w:szCs w:val="24"/>
        </w:rPr>
        <w:t xml:space="preserve"> Further work on the detection of exosomal miRNA and hypermethylated DNA</w:t>
      </w:r>
      <w:r w:rsidR="00C70DFA">
        <w:rPr>
          <w:rFonts w:ascii="Arial" w:hAnsi="Arial" w:cs="Arial"/>
          <w:sz w:val="24"/>
          <w:szCs w:val="24"/>
        </w:rPr>
        <w:t xml:space="preserve"> in plasma have </w:t>
      </w:r>
      <w:r w:rsidR="008A4246">
        <w:rPr>
          <w:rFonts w:ascii="Arial" w:hAnsi="Arial" w:cs="Arial"/>
          <w:sz w:val="24"/>
          <w:szCs w:val="24"/>
        </w:rPr>
        <w:t>shown</w:t>
      </w:r>
      <w:r w:rsidR="00C70DFA">
        <w:rPr>
          <w:rFonts w:ascii="Arial" w:hAnsi="Arial" w:cs="Arial"/>
          <w:sz w:val="24"/>
          <w:szCs w:val="24"/>
        </w:rPr>
        <w:t xml:space="preserve"> promise in terms of specificity for early breast cancer detection and could be used to monitor treatment response.</w:t>
      </w:r>
      <w:r w:rsidR="00C77487">
        <w:rPr>
          <w:rFonts w:ascii="Arial" w:hAnsi="Arial" w:cs="Arial"/>
          <w:sz w:val="24"/>
          <w:szCs w:val="24"/>
        </w:rPr>
        <w:t xml:space="preserve"> This review will focus on technological advances in the field, early detection of relapse and the detection of tumour-specific genomc alterations which could predict treatment response and resistance in patients with breast cancer.</w:t>
      </w:r>
    </w:p>
    <w:p w14:paraId="3DE26EA2" w14:textId="77777777" w:rsidR="006E42A5" w:rsidRDefault="006E42A5">
      <w:pPr>
        <w:rPr>
          <w:rFonts w:ascii="Arial" w:hAnsi="Arial"/>
          <w:bCs/>
          <w:color w:val="000000"/>
          <w:sz w:val="22"/>
          <w:szCs w:val="22"/>
        </w:rPr>
      </w:pPr>
      <w:r>
        <w:rPr>
          <w:rFonts w:ascii="Arial" w:hAnsi="Arial"/>
          <w:bCs/>
          <w:color w:val="000000"/>
          <w:sz w:val="22"/>
          <w:szCs w:val="22"/>
        </w:rPr>
        <w:br w:type="page"/>
      </w:r>
    </w:p>
    <w:p w14:paraId="3DF653CE" w14:textId="2680FFCF" w:rsidR="001536D4" w:rsidRPr="00103B00" w:rsidRDefault="00CB4014" w:rsidP="001536D4">
      <w:pPr>
        <w:spacing w:after="220" w:line="360" w:lineRule="auto"/>
        <w:jc w:val="both"/>
        <w:rPr>
          <w:rFonts w:ascii="Times" w:hAnsi="Times"/>
          <w:b/>
          <w:sz w:val="24"/>
          <w:szCs w:val="24"/>
        </w:rPr>
      </w:pPr>
      <w:r w:rsidRPr="00103B00">
        <w:rPr>
          <w:rFonts w:ascii="Arial" w:hAnsi="Arial"/>
          <w:b/>
          <w:bCs/>
          <w:color w:val="000000"/>
          <w:sz w:val="24"/>
          <w:szCs w:val="24"/>
        </w:rPr>
        <w:lastRenderedPageBreak/>
        <w:t>Int</w:t>
      </w:r>
      <w:r w:rsidR="001536D4" w:rsidRPr="00103B00">
        <w:rPr>
          <w:rFonts w:ascii="Arial" w:hAnsi="Arial"/>
          <w:b/>
          <w:bCs/>
          <w:color w:val="000000"/>
          <w:sz w:val="24"/>
          <w:szCs w:val="24"/>
        </w:rPr>
        <w:t>roduction</w:t>
      </w:r>
    </w:p>
    <w:p w14:paraId="659F462C" w14:textId="638E624B"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 xml:space="preserve">It has been known since the 1970’s that </w:t>
      </w:r>
      <w:r w:rsidR="006E42A5">
        <w:rPr>
          <w:rFonts w:ascii="Arial" w:hAnsi="Arial"/>
          <w:color w:val="000000"/>
          <w:sz w:val="22"/>
          <w:szCs w:val="22"/>
        </w:rPr>
        <w:t>cell-free</w:t>
      </w:r>
      <w:r w:rsidRPr="004B2DF2">
        <w:rPr>
          <w:rFonts w:ascii="Arial" w:hAnsi="Arial"/>
          <w:color w:val="000000"/>
          <w:sz w:val="22"/>
          <w:szCs w:val="22"/>
        </w:rPr>
        <w:t xml:space="preserve"> DNA (cfDNA) is shed into the circulation and elevated levels are seen in numerous disease processes including cancer</w:t>
      </w:r>
      <w:r w:rsidRPr="004B2DF2">
        <w:rPr>
          <w:rFonts w:ascii="Arial" w:hAnsi="Arial"/>
          <w:color w:val="000000"/>
          <w:sz w:val="22"/>
          <w:szCs w:val="22"/>
          <w:vertAlign w:val="superscript"/>
        </w:rPr>
        <w:t>1</w:t>
      </w:r>
      <w:r w:rsidRPr="004B2DF2">
        <w:rPr>
          <w:rFonts w:ascii="Arial" w:hAnsi="Arial"/>
          <w:color w:val="000000"/>
          <w:sz w:val="22"/>
          <w:szCs w:val="22"/>
        </w:rPr>
        <w:t xml:space="preserve">. </w:t>
      </w:r>
      <w:r w:rsidR="00532C22" w:rsidRPr="004B2DF2">
        <w:rPr>
          <w:rFonts w:ascii="Arial" w:hAnsi="Arial"/>
          <w:color w:val="000000"/>
          <w:sz w:val="22"/>
          <w:szCs w:val="22"/>
        </w:rPr>
        <w:t>Despite this,</w:t>
      </w:r>
      <w:r w:rsidRPr="004B2DF2">
        <w:rPr>
          <w:rFonts w:ascii="Arial" w:hAnsi="Arial"/>
          <w:color w:val="000000"/>
          <w:sz w:val="22"/>
          <w:szCs w:val="22"/>
        </w:rPr>
        <w:t xml:space="preserve"> total </w:t>
      </w:r>
      <w:r w:rsidR="00764CD1" w:rsidRPr="004B2DF2">
        <w:rPr>
          <w:rFonts w:ascii="Arial" w:hAnsi="Arial"/>
          <w:color w:val="000000"/>
          <w:sz w:val="22"/>
          <w:szCs w:val="22"/>
        </w:rPr>
        <w:t xml:space="preserve">blood </w:t>
      </w:r>
      <w:r w:rsidRPr="004B2DF2">
        <w:rPr>
          <w:rFonts w:ascii="Arial" w:hAnsi="Arial"/>
          <w:color w:val="000000"/>
          <w:sz w:val="22"/>
          <w:szCs w:val="22"/>
        </w:rPr>
        <w:t>cfDNA</w:t>
      </w:r>
      <w:r w:rsidR="00532C22" w:rsidRPr="004B2DF2">
        <w:rPr>
          <w:rFonts w:ascii="Arial" w:hAnsi="Arial"/>
          <w:color w:val="000000"/>
          <w:sz w:val="22"/>
          <w:szCs w:val="22"/>
        </w:rPr>
        <w:t xml:space="preserve"> concentration</w:t>
      </w:r>
      <w:r w:rsidRPr="004B2DF2">
        <w:rPr>
          <w:rFonts w:ascii="Arial" w:hAnsi="Arial"/>
          <w:color w:val="000000"/>
          <w:sz w:val="22"/>
          <w:szCs w:val="22"/>
        </w:rPr>
        <w:t xml:space="preserve"> has not been shown to perform well as a biomarker</w:t>
      </w:r>
      <w:r w:rsidR="00764CD1" w:rsidRPr="004B2DF2">
        <w:rPr>
          <w:rFonts w:ascii="Arial" w:hAnsi="Arial"/>
          <w:color w:val="000000"/>
          <w:sz w:val="22"/>
          <w:szCs w:val="22"/>
        </w:rPr>
        <w:t xml:space="preserve"> in cancer</w:t>
      </w:r>
      <w:r w:rsidRPr="004B2DF2">
        <w:rPr>
          <w:rFonts w:ascii="Arial" w:hAnsi="Arial"/>
          <w:color w:val="000000"/>
          <w:sz w:val="22"/>
          <w:szCs w:val="22"/>
        </w:rPr>
        <w:t xml:space="preserve">, </w:t>
      </w:r>
      <w:r w:rsidR="00D80D30" w:rsidRPr="004B2DF2">
        <w:rPr>
          <w:rFonts w:ascii="Arial" w:hAnsi="Arial"/>
          <w:color w:val="000000"/>
          <w:sz w:val="22"/>
          <w:szCs w:val="22"/>
        </w:rPr>
        <w:t xml:space="preserve">mostly </w:t>
      </w:r>
      <w:r w:rsidR="00764CD1" w:rsidRPr="004B2DF2">
        <w:rPr>
          <w:rFonts w:ascii="Arial" w:hAnsi="Arial"/>
          <w:color w:val="000000"/>
          <w:sz w:val="22"/>
          <w:szCs w:val="22"/>
        </w:rPr>
        <w:t xml:space="preserve">due to the </w:t>
      </w:r>
      <w:r w:rsidR="00366B7B" w:rsidRPr="004B2DF2">
        <w:rPr>
          <w:rFonts w:ascii="Arial" w:hAnsi="Arial"/>
          <w:color w:val="000000"/>
          <w:sz w:val="22"/>
          <w:szCs w:val="22"/>
        </w:rPr>
        <w:t>variable</w:t>
      </w:r>
      <w:r w:rsidR="00764CD1" w:rsidRPr="004B2DF2">
        <w:rPr>
          <w:rFonts w:ascii="Arial" w:hAnsi="Arial"/>
          <w:color w:val="000000"/>
          <w:sz w:val="22"/>
          <w:szCs w:val="22"/>
        </w:rPr>
        <w:t xml:space="preserve"> contribution of DNA from normal</w:t>
      </w:r>
      <w:r w:rsidR="00366B7B" w:rsidRPr="004B2DF2">
        <w:rPr>
          <w:rFonts w:ascii="Arial" w:hAnsi="Arial"/>
          <w:color w:val="000000"/>
          <w:sz w:val="22"/>
          <w:szCs w:val="22"/>
        </w:rPr>
        <w:t xml:space="preserve"> and </w:t>
      </w:r>
      <w:r w:rsidR="00764CD1" w:rsidRPr="004B2DF2">
        <w:rPr>
          <w:rFonts w:ascii="Arial" w:hAnsi="Arial"/>
          <w:color w:val="000000"/>
          <w:sz w:val="22"/>
          <w:szCs w:val="22"/>
        </w:rPr>
        <w:t xml:space="preserve">malignant tissue. </w:t>
      </w:r>
      <w:r w:rsidR="00366B7B" w:rsidRPr="004B2DF2">
        <w:rPr>
          <w:rFonts w:ascii="Arial" w:hAnsi="Arial"/>
          <w:color w:val="000000"/>
          <w:sz w:val="22"/>
          <w:szCs w:val="22"/>
        </w:rPr>
        <w:t xml:space="preserve">Hence, methods were </w:t>
      </w:r>
      <w:r w:rsidR="00292DED" w:rsidRPr="004B2DF2">
        <w:rPr>
          <w:rFonts w:ascii="Arial" w:hAnsi="Arial"/>
          <w:color w:val="000000"/>
          <w:sz w:val="22"/>
          <w:szCs w:val="22"/>
        </w:rPr>
        <w:t xml:space="preserve">developed to </w:t>
      </w:r>
      <w:r w:rsidR="00366B7B" w:rsidRPr="004B2DF2">
        <w:rPr>
          <w:rFonts w:ascii="Arial" w:hAnsi="Arial"/>
          <w:color w:val="000000"/>
          <w:sz w:val="22"/>
          <w:szCs w:val="22"/>
        </w:rPr>
        <w:t>quantify</w:t>
      </w:r>
      <w:r w:rsidR="00292DED" w:rsidRPr="004B2DF2">
        <w:rPr>
          <w:rFonts w:ascii="Arial" w:hAnsi="Arial"/>
          <w:color w:val="000000"/>
          <w:sz w:val="22"/>
          <w:szCs w:val="22"/>
        </w:rPr>
        <w:t xml:space="preserve"> the tumour fraction (c</w:t>
      </w:r>
      <w:r w:rsidRPr="004B2DF2">
        <w:rPr>
          <w:rFonts w:ascii="Arial" w:hAnsi="Arial"/>
          <w:color w:val="000000"/>
          <w:sz w:val="22"/>
          <w:szCs w:val="22"/>
        </w:rPr>
        <w:t xml:space="preserve">irculating tumour DNA </w:t>
      </w:r>
      <w:r w:rsidR="00292DED" w:rsidRPr="004B2DF2">
        <w:rPr>
          <w:rFonts w:ascii="Arial" w:hAnsi="Arial"/>
          <w:color w:val="000000"/>
          <w:sz w:val="22"/>
          <w:szCs w:val="22"/>
        </w:rPr>
        <w:t xml:space="preserve">- </w:t>
      </w:r>
      <w:r w:rsidRPr="004B2DF2">
        <w:rPr>
          <w:rFonts w:ascii="Arial" w:hAnsi="Arial"/>
          <w:color w:val="000000"/>
          <w:sz w:val="22"/>
          <w:szCs w:val="22"/>
        </w:rPr>
        <w:t xml:space="preserve">ctDNA), </w:t>
      </w:r>
      <w:r w:rsidR="00292DED" w:rsidRPr="004B2DF2">
        <w:rPr>
          <w:rFonts w:ascii="Arial" w:hAnsi="Arial"/>
          <w:color w:val="000000"/>
          <w:sz w:val="22"/>
          <w:szCs w:val="22"/>
        </w:rPr>
        <w:t>by d</w:t>
      </w:r>
      <w:r w:rsidRPr="004B2DF2">
        <w:rPr>
          <w:rFonts w:ascii="Arial" w:hAnsi="Arial"/>
          <w:color w:val="000000"/>
          <w:sz w:val="22"/>
          <w:szCs w:val="22"/>
        </w:rPr>
        <w:t>etecti</w:t>
      </w:r>
      <w:r w:rsidR="00292DED" w:rsidRPr="004B2DF2">
        <w:rPr>
          <w:rFonts w:ascii="Arial" w:hAnsi="Arial"/>
          <w:color w:val="000000"/>
          <w:sz w:val="22"/>
          <w:szCs w:val="22"/>
        </w:rPr>
        <w:t xml:space="preserve">ng </w:t>
      </w:r>
      <w:r w:rsidRPr="004B2DF2">
        <w:rPr>
          <w:rFonts w:ascii="Arial" w:hAnsi="Arial"/>
          <w:color w:val="000000"/>
          <w:sz w:val="22"/>
          <w:szCs w:val="22"/>
        </w:rPr>
        <w:t>somatic mutations</w:t>
      </w:r>
      <w:r w:rsidRPr="004B2DF2">
        <w:rPr>
          <w:rFonts w:ascii="Arial" w:hAnsi="Arial"/>
          <w:color w:val="000000"/>
          <w:sz w:val="22"/>
          <w:szCs w:val="22"/>
          <w:vertAlign w:val="superscript"/>
        </w:rPr>
        <w:t>2</w:t>
      </w:r>
      <w:r w:rsidRPr="004B2DF2">
        <w:rPr>
          <w:rFonts w:ascii="Arial" w:hAnsi="Arial"/>
          <w:color w:val="000000"/>
          <w:sz w:val="22"/>
          <w:szCs w:val="22"/>
        </w:rPr>
        <w:t xml:space="preserve">. For breast cancer, seminal work over the past </w:t>
      </w:r>
      <w:r w:rsidR="00EB34D0" w:rsidRPr="004B2DF2">
        <w:rPr>
          <w:rFonts w:ascii="Arial" w:hAnsi="Arial"/>
          <w:color w:val="000000"/>
          <w:sz w:val="22"/>
          <w:szCs w:val="22"/>
        </w:rPr>
        <w:t>few</w:t>
      </w:r>
      <w:r w:rsidRPr="004B2DF2">
        <w:rPr>
          <w:rFonts w:ascii="Arial" w:hAnsi="Arial"/>
          <w:color w:val="000000"/>
          <w:sz w:val="22"/>
          <w:szCs w:val="22"/>
        </w:rPr>
        <w:t xml:space="preserve"> years has shown ctDNA to be an accurate and dynamic biomarker for patients with metastatic breast cancer, and moreover </w:t>
      </w:r>
      <w:r w:rsidR="001362A8" w:rsidRPr="004B2DF2">
        <w:rPr>
          <w:rFonts w:ascii="Arial" w:hAnsi="Arial"/>
          <w:color w:val="000000"/>
          <w:sz w:val="22"/>
          <w:szCs w:val="22"/>
        </w:rPr>
        <w:t xml:space="preserve">it </w:t>
      </w:r>
      <w:r w:rsidRPr="004B2DF2">
        <w:rPr>
          <w:rFonts w:ascii="Arial" w:hAnsi="Arial"/>
          <w:color w:val="000000"/>
          <w:sz w:val="22"/>
          <w:szCs w:val="22"/>
        </w:rPr>
        <w:t>has recently been used as an accurate way of predicting relapse in patients with early breast cancer</w:t>
      </w:r>
      <w:r w:rsidRPr="004B2DF2">
        <w:rPr>
          <w:rFonts w:ascii="Arial" w:hAnsi="Arial"/>
          <w:color w:val="000000"/>
          <w:sz w:val="22"/>
          <w:szCs w:val="22"/>
          <w:vertAlign w:val="superscript"/>
        </w:rPr>
        <w:t>3,4</w:t>
      </w:r>
      <w:r w:rsidRPr="004B2DF2">
        <w:rPr>
          <w:rFonts w:ascii="Arial" w:hAnsi="Arial"/>
          <w:color w:val="000000"/>
          <w:sz w:val="22"/>
          <w:szCs w:val="22"/>
        </w:rPr>
        <w:t>.</w:t>
      </w:r>
      <w:r w:rsidR="008347EC" w:rsidRPr="004B2DF2">
        <w:rPr>
          <w:rFonts w:ascii="Arial" w:hAnsi="Arial"/>
          <w:color w:val="000000"/>
          <w:sz w:val="22"/>
          <w:szCs w:val="22"/>
        </w:rPr>
        <w:t xml:space="preserve"> </w:t>
      </w:r>
      <w:r w:rsidRPr="004B2DF2">
        <w:rPr>
          <w:rFonts w:ascii="Arial" w:hAnsi="Arial"/>
          <w:color w:val="000000"/>
          <w:sz w:val="22"/>
          <w:szCs w:val="22"/>
        </w:rPr>
        <w:t>Other potential applications of liquid biopsies include identifying specific somatic mutations that confer sensitivity or resistance to treatment, in addition to identifying genomic mechanisms of resistance. This review will assess the current evidence on the use of ctDNA to predict treatment res</w:t>
      </w:r>
      <w:r w:rsidR="00CB4014" w:rsidRPr="004B2DF2">
        <w:rPr>
          <w:rFonts w:ascii="Arial" w:hAnsi="Arial"/>
          <w:color w:val="000000"/>
          <w:sz w:val="22"/>
          <w:szCs w:val="22"/>
        </w:rPr>
        <w:t>ponse or resistance</w:t>
      </w:r>
      <w:r w:rsidRPr="004B2DF2">
        <w:rPr>
          <w:rFonts w:ascii="Arial" w:hAnsi="Arial"/>
          <w:color w:val="000000"/>
          <w:sz w:val="22"/>
          <w:szCs w:val="22"/>
        </w:rPr>
        <w:t xml:space="preserve"> and discuss the implications for future treatment.</w:t>
      </w:r>
    </w:p>
    <w:p w14:paraId="3D7A2F42" w14:textId="77777777" w:rsidR="001536D4" w:rsidRPr="004B2DF2" w:rsidRDefault="001536D4" w:rsidP="001536D4">
      <w:pPr>
        <w:spacing w:line="360" w:lineRule="auto"/>
        <w:jc w:val="both"/>
        <w:rPr>
          <w:rFonts w:ascii="Times" w:hAnsi="Times"/>
          <w:sz w:val="22"/>
          <w:szCs w:val="22"/>
        </w:rPr>
      </w:pPr>
    </w:p>
    <w:p w14:paraId="2A5400A5" w14:textId="77777777" w:rsidR="001536D4" w:rsidRPr="00103B00" w:rsidRDefault="001536D4" w:rsidP="001536D4">
      <w:pPr>
        <w:spacing w:line="360" w:lineRule="auto"/>
        <w:jc w:val="both"/>
        <w:rPr>
          <w:rFonts w:ascii="Times" w:hAnsi="Times"/>
          <w:b/>
          <w:sz w:val="24"/>
          <w:szCs w:val="24"/>
        </w:rPr>
      </w:pPr>
      <w:r w:rsidRPr="00103B00">
        <w:rPr>
          <w:rFonts w:ascii="Arial" w:hAnsi="Arial"/>
          <w:b/>
          <w:bCs/>
          <w:color w:val="000000"/>
          <w:sz w:val="24"/>
          <w:szCs w:val="24"/>
        </w:rPr>
        <w:t>Methodology advances in the detection of circulating tumour DNA</w:t>
      </w:r>
    </w:p>
    <w:p w14:paraId="73A97AAD" w14:textId="7A960F6F"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 xml:space="preserve">The detection of ctDNA predominantly relies on the identification of DNA molecules containing tumour specific </w:t>
      </w:r>
      <w:r w:rsidR="0018151A" w:rsidRPr="004B2DF2">
        <w:rPr>
          <w:rFonts w:ascii="Arial" w:hAnsi="Arial"/>
          <w:color w:val="000000"/>
          <w:sz w:val="22"/>
          <w:szCs w:val="22"/>
        </w:rPr>
        <w:t xml:space="preserve">aberrations </w:t>
      </w:r>
      <w:r w:rsidRPr="004B2DF2">
        <w:rPr>
          <w:rFonts w:ascii="Arial" w:hAnsi="Arial"/>
          <w:color w:val="000000"/>
          <w:sz w:val="22"/>
          <w:szCs w:val="22"/>
        </w:rPr>
        <w:t>amongst a higher concentration of germ-line cfDNA. Various techniques have been employed to identify such mutations: by far the most sensitive is digital PCR (dPCR), in which DNA samples are partitioned across multiple compartments, and in each compartment a traditional PCR reaction is carried out</w:t>
      </w:r>
      <w:r w:rsidRPr="004B2DF2">
        <w:rPr>
          <w:rFonts w:ascii="Arial" w:hAnsi="Arial"/>
          <w:color w:val="000000"/>
          <w:sz w:val="22"/>
          <w:szCs w:val="22"/>
          <w:vertAlign w:val="superscript"/>
        </w:rPr>
        <w:t>5</w:t>
      </w:r>
      <w:r w:rsidRPr="004B2DF2">
        <w:rPr>
          <w:rFonts w:ascii="Arial" w:hAnsi="Arial"/>
          <w:color w:val="000000"/>
          <w:sz w:val="22"/>
          <w:szCs w:val="22"/>
        </w:rPr>
        <w:t>. Compartments containing the sequence of interest are then detected by fluorescence, and Poisson statistical analyses used to perform absolute quantitation of the target sequence. The use of dPCR has also been shown to be an effective way of detecting ctDNA containing sequences at chromosomal breakpoints</w:t>
      </w:r>
      <w:r w:rsidR="006D360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"10.15252/emmm", "abstract" : "Metastatic breast cancer is usually diagnosed after becoming symptomatic, at which point it is rarely curable. Cell-free circulat-ing tumor DNA (ctDNA) contains tumor-specific chromosomal rear-rangements that may be interrogated in blood plasma. We evaluated serial monitoring of ctDNA for earlier detection of metas-tasis in a retrospective study of 20 patients diagnosed with primary breast cancer and long follow-up. Using an approach combining low-coverage whole-genome sequencing of primary tumors and quantification of tumor-specific rearrangements in plasma by drop-let digital PCR, we identify for the first time that ctDNA monitoring is highly accurate for postsurgical discrimination between patients with (93%) and without (100%) eventual clinically detected recur-rence. ctDNA-based detection preceded clinical detection of metas-tasis in 86% of patients with an average lead time of 11 months (range 0\u201337 months), whereas patients with long-term disease-free survival had undetectable ctDNA postoperatively. ctDNA quantity was predictive of poor survival. These findings establish the ratio-nale for larger validation studies in early breast cancer to evaluate ctDNA as a monitoring tool for early metastasis detection, therapy modification, and to aid in avoidance of overtreatment.", "author" : [ { "dropping-particle" : "", "family" : "Olsson", "given" : "Eleonor", "non-dropping-particle" : "", "parse-names" : false, "suffix" : "" }, { "dropping-particle" : "", "family" : "Winter", "given" : "Christof", "non-dropping-particle" : "", "parse-names" : false, "suffix" : "" }, { "dropping-particle" : "", "family" : "George", "given" : "Anthony", "non-dropping-particle" : "", "parse-names" : false, "suffix" : "" }, { "dropping-particle" : "", "family" : "Chen", "given" : "Yilun", "non-dropping-particle" : "", "parse-names" : false, "suffix" : "" }, { "dropping-particle" : "", "family" : "Howlin", "given" : "Jillian", "non-dropping-particle" : "", "parse-names" : false, "suffix" : "" }, { "dropping-particle" : "", "family" : "Eric Tang", "given" : "Man-Hung", "non-dropping-particle" : "", "parse-names" : false, "suffix" : "" }, { "dropping-particle" : "", "family" : "Dahlgren", "given" : "Malin", "non-dropping-particle" : "", "parse-names" : false, "suffix" : "" }, { "dropping-particle" : "", "family" : "Schulz", "given" : "Ralph", "non-dropping-particle" : "", "parse-names" : false, "suffix" : "" }, { "dropping-particle" : "", "family" : "Grabau", "given" : "Dorthe", "non-dropping-particle" : "", "parse-names" : false, "suffix" : "" }, { "dropping-particle" : "", "family" : "Westen", "given" : "Danielle", "non-dropping-particle" : "van", "parse-names" : false, "suffix" : "" }, { "dropping-particle" : "", "family" : "Fern\u00f6", "given" : "M\u00e5rten", "non-dropping-particle" : "", "parse-names" : false, "suffix" : "" }, { "dropping-particle" : "", "family" : "Ingvar", "given" : "Christian", "non-dropping-particle" : "", "parse-names" : false, "suffix" : "" }, { "dropping-particle" : "", "family" : "Rose", "given" : "Carsten", "non-dropping-particle" : "", "parse-names" : false, "suffix" : "" }, { "dropping-particle" : "", "family" : "Bendahl", "given" : "P\u00e4r-Ola", "non-dropping-particle" : "", "parse-names" : false, "suffix" : "" }, { "dropping-particle" : "", "family" : "Ryd\u00e9n", "given" : "Lisa", "non-dropping-particle" : "", "parse-names" : false, "suffix" : "" }, { "dropping-particle" : "", "family" : "Borg", "given" : "\u00c5ke", "non-dropping-particle" : "", "parse-names" : false, "suffix" : "" }, { "dropping-particle" : "", "family" : "Gruvberger-Saal", "given" : "Sofia K", "non-dropping-particle" : "", "parse-names" : false, "suffix" : "" }, { "dropping-particle" : "", "family" : "Jernstr\u00f6m", "given" : "Helena", "non-dropping-particle" : "", "parse-names" : false, "suffix" : "" }, { "dropping-particle" : "", "family" : "Saal", "given" : "Lao H", "non-dropping-particle" : "", "parse-names" : false, "suffix" : "" } ], "container-title" : "EMBO Mol Med", "id" : "ITEM-1", "issued" : { "date-parts" : [ [ "2015" ] ] }, "page" : "1034-1047", "title" : "Serial monitoring of circulating tumor DNA in patients with primary breast cancer for detection of occult metastatic disease", "type" : "article-journal", "volume" : "7" }, "uris" : [ "http://www.mendeley.com/documents/?uuid=98e2da19-c430-4e6a-abb1-f30e58d3f66b" ] } ], "mendeley" : { "formattedCitation" : "(1)", "plainTextFormattedCitation" : "(1)", "previouslyFormattedCitation" : "(1)" }, "properties" : { "noteIndex" : 0 }, "schema" : "https://github.com/citation-style-language/schema/raw/master/csl-citation.json" }</w:instrText>
      </w:r>
      <w:r w:rsidR="006D3604" w:rsidRPr="004B2DF2">
        <w:rPr>
          <w:rFonts w:ascii="Arial" w:hAnsi="Arial"/>
          <w:color w:val="000000"/>
          <w:sz w:val="22"/>
          <w:szCs w:val="22"/>
        </w:rPr>
        <w:fldChar w:fldCharType="separate"/>
      </w:r>
      <w:r w:rsidR="008D1593" w:rsidRPr="008D1593">
        <w:rPr>
          <w:rFonts w:ascii="Arial" w:hAnsi="Arial"/>
          <w:noProof/>
          <w:color w:val="000000"/>
          <w:sz w:val="22"/>
          <w:szCs w:val="22"/>
        </w:rPr>
        <w:t>(1)</w:t>
      </w:r>
      <w:r w:rsidR="006D3604" w:rsidRPr="004B2DF2">
        <w:rPr>
          <w:rFonts w:ascii="Arial" w:hAnsi="Arial"/>
          <w:color w:val="000000"/>
          <w:sz w:val="22"/>
          <w:szCs w:val="22"/>
        </w:rPr>
        <w:fldChar w:fldCharType="end"/>
      </w:r>
      <w:r w:rsidR="006D3604" w:rsidRPr="004B2DF2">
        <w:rPr>
          <w:rFonts w:ascii="Arial" w:hAnsi="Arial"/>
          <w:color w:val="000000"/>
          <w:sz w:val="22"/>
          <w:szCs w:val="22"/>
        </w:rPr>
        <w:t xml:space="preserve">. </w:t>
      </w:r>
      <w:r w:rsidRPr="004B2DF2">
        <w:rPr>
          <w:rFonts w:ascii="Arial" w:hAnsi="Arial"/>
          <w:color w:val="000000"/>
          <w:sz w:val="22"/>
          <w:szCs w:val="22"/>
        </w:rPr>
        <w:t>While being highly sensitive, dPCR does not scale well when it comes to identifying multiple somatic mutations, and relies on a-priori knowledge of the mutations present within the tumour.</w:t>
      </w:r>
    </w:p>
    <w:p w14:paraId="47D43CA7" w14:textId="4F99E123"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To overcome this limitation, new techniques were developed that rely on massively parallel sequencing to identify mutations within larger regions within the genome</w:t>
      </w:r>
      <w:r w:rsidR="006D360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"10.1126/scitranslmed.3003726", "ISBN" : "1946-6242 (Electronic)\\r1946-6234 (Linking)", "ISSN" : "1946-6234", "PMID" : "22649089", "abstract" : "Plasma of cancer patients contains cell-free tumor DNA that carries information on tumor mutations and tumor burden. Individual mutations have been probed using allele-specific assays, but sequencing of entire genes to detect cancer mutations in circulating DNA has not been demonstrated. We developed a method for tagged-amplicon deep sequencing (TAm-Seq) and screened 5995 genomic bases for low-frequency mutations. Using this method, we identified cancer mutations present in circulating DNA at allele frequencies as low as 2%, with sensitivity and specificity of &gt;97%. We identified mutations throughout the tumor suppressor gene TP53 in circulating DNA from 46 plasma samples of advanced ovarian cancer patients. We demonstrated use of TAm-Seq to noninvasively identify the origin of metastatic relapse in a patient with multiple primary tumors. In another case, we identified in plasma an EGFR mutation not found in an initial ovarian biopsy. We further used TAm-Seq to monitor tumor dynamics, and tracked 10 concomitant mutations in plasma of a metastatic breast cancer patient over 16 months. This low-cost, high-throughput method could facilitate analysis of circulating DNA as a noninvasive \"liquid biopsy\" for personalized cancer genomics.", "author" : [ { "dropping-particle" : "", "family" : "Forshew", "given" : "Tim", "non-dropping-particle" : "", "parse-names" : false, "suffix" : "" }, { "dropping-particle" : "", "family" : "Murtaza", "given" : "Muhammed", "non-dropping-particle" : "", "parse-names" : false, "suffix" : "" }, { "dropping-particle" : "", "family" : "Parkinson", "given" : "Christine", "non-dropping-particle" : "", "parse-names" : false, "suffix" : "" }, { "dropping-particle" : "", "family" : "Gale", "given" : "Davina", "non-dropping-particle" : "", "parse-names" : false, "suffix" : "" }, { "dropping-particle" : "", "family" : "Tsui", "given" : "Dana W. Y.", "non-dropping-particle" : "", "parse-names" : false, "suffix" : "" }, { "dropping-particle" : "", "family" : "Kaper", "given" : "Fiona", "non-dropping-particle" : "", "parse-names" : false, "suffix" : "" }, { "dropping-particle" : "", "family" : "Dawson", "given" : "Sarah-Jane S.-J.", "non-dropping-particle" : "", "parse-names" : false, "suffix" : "" }, { "dropping-particle" : "", "family" : "Piskorz", "given" : "Anna M.", "non-dropping-particle" : "", "parse-names" : false, "suffix" : "" }, { "dropping-particle" : "", "family" : "Jimenez-Linan", "given" : "Mercedes", "non-dropping-particle" : "", "parse-names" : false, "suffix" : "" }, { "dropping-particle" : "", "family" : "Bentley", "given" : "David", "non-dropping-particle" : "", "parse-names" : false, "suffix" : "" }, { "dropping-particle" : "", "family" : "Hadfield", "given" : "James", "non-dropping-particle" : "", "parse-names" : false, "suffix" : "" }, { "dropping-particle" : "", "family" : "May", "given" : "Andrew P.", "non-dropping-particle" : "", "parse-names" : false, "suffix" : "" }, { "dropping-particle" : "", "family" : "Caldas", "given" : "Carlos", "non-dropping-particle" : "", "parse-names" : false, "suffix" : "" }, { "dropping-particle" : "", "family" : "Brenton", "given" : "James D.", "non-dropping-particle" : "", "parse-names" : false, "suffix" : "" }, { "dropping-particle" : "", "family" : "Rosenfeld", "given" : "Nitzan", "non-dropping-particle" : "", "parse-names" : false, "suffix" : "" }, { "dropping-particle" : "", "family" : "Forshew", "given" : "Tim", "non-dropping-particle" : "", "parse-names" : false, "suffix" : "" }, { "dropping-particle" : "", "family" : "Gale", "given" : "Davina", "non-dropping-particle" : "", "parse-names" : false, "suffix" : "" }, { "dropping-particle" : "", "family" : "Jimenez-Linan", "given" : "Mercedes", "non-dropping-particle" : "", "parse-names" : false, "suffix" : "" }, { "dropping-particle" : "", "family" : "Piskorz", "given" : "Anna M.", "non-dropping-particle" : "", "parse-names" : false, "suffix" : "" }, { "dropping-particle" : "", "family" : "Hadfield", "given" : "James", "non-dropping-particle" : "", "parse-names" : false, "suffix" : "" }, { "dropping-particle" : "", "family" : "Caldas", "given" : "Carlos", "non-dropping-particle" : "", "parse-names" : false, "suffix" : "" }, { "dropping-particle" : "", "family" : "Murtaza", "given" : "Muhammed", "non-dropping-particle" : "", "parse-names" : false, "suffix" : "" }, { "dropping-particle" : "", "family" : "Dawson", "given" : "Sarah-Jane S.-J.", "non-dropping-particle" : "", "parse-names" : false, "suffix" : "" }, { "dropping-particle" : "", "family" : "Rosenfeld", "given" : "Nitzan", "non-dropping-particle" : "", "parse-names" : false, "suffix" : "" }, { "dropping-particle" : "", "family" : "Kaper", "given" : "Fiona", "non-dropping-particle" : "", "parse-names" : false, "suffix" : "" }, { "dropping-particle" : "", "family" : "Bentley", "given" : "David", "non-dropping-particle" : "", "parse-names" : false, "suffix" : "" }, { "dropping-particle" : "", "family" : "Parkinson", "given" : "Christine", "non-dropping-particle" : "", "parse-names" : false, "suffix" : "" }, { "dropping-particle" : "", "family" : "May", "given" : "Andrew P.", "non-dropping-particle" : "", "parse-names" : false, "suffix" : "" }, { "dropping-particle" : "", "family" : "Brenton", "given" : "James D.", "non-dropping-particle" : "", "parse-names" : false, "suffix" : "" } ], "container-title" : "Science Translational Medicine", "id" : "ITEM-1", "issue" : "136", "issued" : { "date-parts" : [ [ "2012" ] ] }, "page" : "136ra68-136ra68", "title" : "Noninvasive Identification and Monitoring of Cancer Mutations by Targeted Deep Sequencing of Plasma DNA", "type" : "article-journal", "volume" : "4" }, "uris" : [ "http://www.mendeley.com/documents/?uuid=3f8b8f54-d6fc-4620-92ad-e98c7235fcb8", "http://www.mendeley.com/documents/?uuid=5cea9892-c634-4de6-88e5-079f3d92bc6e" ] } ], "mendeley" : { "formattedCitation" : "(2)", "plainTextFormattedCitation" : "(2)", "previouslyFormattedCitation" : "(2)" }, "properties" : { "noteIndex" : 0 }, "schema" : "https://github.com/citation-style-language/schema/raw/master/csl-citation.json" }</w:instrText>
      </w:r>
      <w:r w:rsidR="006D3604" w:rsidRPr="004B2DF2">
        <w:rPr>
          <w:rFonts w:ascii="Arial" w:hAnsi="Arial"/>
          <w:color w:val="000000"/>
          <w:sz w:val="22"/>
          <w:szCs w:val="22"/>
        </w:rPr>
        <w:fldChar w:fldCharType="separate"/>
      </w:r>
      <w:r w:rsidR="008D1593" w:rsidRPr="008D1593">
        <w:rPr>
          <w:rFonts w:ascii="Arial" w:hAnsi="Arial"/>
          <w:noProof/>
          <w:color w:val="000000"/>
          <w:sz w:val="22"/>
          <w:szCs w:val="22"/>
        </w:rPr>
        <w:t>(2)</w:t>
      </w:r>
      <w:r w:rsidR="006D3604" w:rsidRPr="004B2DF2">
        <w:rPr>
          <w:rFonts w:ascii="Arial" w:hAnsi="Arial"/>
          <w:color w:val="000000"/>
          <w:sz w:val="22"/>
          <w:szCs w:val="22"/>
        </w:rPr>
        <w:fldChar w:fldCharType="end"/>
      </w:r>
      <w:r w:rsidR="006D3604" w:rsidRPr="004B2DF2">
        <w:rPr>
          <w:rFonts w:ascii="Arial" w:hAnsi="Arial"/>
          <w:color w:val="000000"/>
          <w:sz w:val="22"/>
          <w:szCs w:val="22"/>
          <w:vertAlign w:val="superscript"/>
        </w:rPr>
        <w:t>,</w:t>
      </w:r>
      <w:r w:rsidR="006D360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"10.1038/nm.3519", "ISSN" : "1546-170X", "PMID" : "24705333", "abstract" : "Circulating tumor DNA (ctDNA) is a promising biomarker for noninvasive assessment of cancer burden, but existing ctDNA detection methods have insufficient sensitivity or patient coverage for broad clinical applicability. Here we introduce cancer personalized profiling by deep sequencing (CAPP-Seq), an economical and ultrasensitive method for quantifying ctDNA. We implemented CAPP-Seq for non-small-cell lung cancer (NSCLC) with a design covering multiple classes of somatic alterations that identified mutations in &gt;95% of tumors. We detected ctDNA in 100% of patients with stage II-IV NSCLC and in 50% of patients with stage I, with 96% specificity for mutant allele fractions down to \u223c0.02%. Levels of ctDNA were highly correlated with tumor volume and distinguished between residual disease and treatment-related imaging changes, and measurement of ctDNA levels allowed for earlier response assessment than radiographic approaches. Finally, we evaluated biopsy-free tumor screening and genotyping with CAPP-Seq. We envision that CAPP-Seq could be routinely applied clinically to detect and monitor diverse malignancies, thus facilitating personalized cancer therapy.", "author" : [ { "dropping-particle" : "", "family" : "Newman", "given" : "Aaron M", "non-dropping-particle" : "", "parse-names" : false, "suffix" : "" }, { "dropping-particle" : "V", "family" : "Bratman", "given" : "Scott", "non-dropping-particle" : "", "parse-names" : false, "suffix" : "" }, { "dropping-particle" : "", "family" : "To", "given" : "Jacqueline", "non-dropping-particle" : "", "parse-names" : false, "suffix" : "" }, { "dropping-particle" : "", "family" : "Wynne", "given" : "Jacob F", "non-dropping-particle" : "", "parse-names" : false, "suffix" : "" }, { "dropping-particle" : "", "family" : "Eclov", "given" : "Neville C W", "non-dropping-particle" : "", "parse-names" : false, "suffix" : "" }, { "dropping-particle" : "", "family" : "Modlin", "given" : "Leslie A", "non-dropping-particle" : "", "parse-names" : false, "suffix" : "" }, { "dropping-particle" : "", "family" : "Liu", "given" : "Chih Long", "non-dropping-particle" : "", "parse-names" : false, "suffix" : "" }, { "dropping-particle" : "", "family" : "Neal", "given" : "Joel W", "non-dropping-particle" : "", "parse-names" : false, "suffix" : "" }, { "dropping-particle" : "", "family" : "Wakelee", "given" : "Heather A", "non-dropping-particle" : "", "parse-names" : false, "suffix" : "" }, { "dropping-particle" : "", "family" : "Merritt", "given" : "Robert E", "non-dropping-particle" : "", "parse-names" : false, "suffix" : "" }, { "dropping-particle" : "", "family" : "Shrager", "given" : "Joseph B", "non-dropping-particle" : "", "parse-names" : false, "suffix" : "" }, { "dropping-particle" : "", "family" : "Loo", "given" : "Billy W", "non-dropping-particle" : "", "parse-names" : false, "suffix" : "" }, { "dropping-particle" : "", "family" : "Alizadeh", "given" : "Ash A", "non-dropping-particle" : "", "parse-names" : false, "suffix" : "" }, { "dropping-particle" : "", "family" : "Diehn", "given" : "Maximilian", "non-dropping-particle" : "", "parse-names" : false, "suffix" : "" } ], "container-title" : "Nature medicine", "id" : "ITEM-1", "issue" : "5", "issued" : { "date-parts" : [ [ "2014", "5" ] ] }, "page" : "548-54", "publisher" : "Nature Publishing Group, a division of Macmillan Publishers Limited. All Rights Reserved.", "title" : "An ultrasensitive method for quantitating circulating tumor DNA with broad patient coverage.", "title-short" : "Nat Med", "type" : "article-journal", "volume" : "20" }, "uris" : [ "http://www.mendeley.com/documents/?uuid=c6b70af3-4a8a-4c1a-9b29-5e9422450587" ] } ], "mendeley" : { "formattedCitation" : "(3)", "plainTextFormattedCitation" : "(3)", "previouslyFormattedCitation" : "(3)" }, "properties" : { "noteIndex" : 0 }, "schema" : "https://github.com/citation-style-language/schema/raw/master/csl-citation.json" }</w:instrText>
      </w:r>
      <w:r w:rsidR="006D3604" w:rsidRPr="004B2DF2">
        <w:rPr>
          <w:rFonts w:ascii="Arial" w:hAnsi="Arial"/>
          <w:color w:val="000000"/>
          <w:sz w:val="22"/>
          <w:szCs w:val="22"/>
        </w:rPr>
        <w:fldChar w:fldCharType="separate"/>
      </w:r>
      <w:r w:rsidR="008D1593" w:rsidRPr="008D1593">
        <w:rPr>
          <w:rFonts w:ascii="Arial" w:hAnsi="Arial"/>
          <w:noProof/>
          <w:color w:val="000000"/>
          <w:sz w:val="22"/>
          <w:szCs w:val="22"/>
        </w:rPr>
        <w:t>(3)</w:t>
      </w:r>
      <w:r w:rsidR="006D3604" w:rsidRPr="004B2DF2">
        <w:rPr>
          <w:rFonts w:ascii="Arial" w:hAnsi="Arial"/>
          <w:color w:val="000000"/>
          <w:sz w:val="22"/>
          <w:szCs w:val="22"/>
        </w:rPr>
        <w:fldChar w:fldCharType="end"/>
      </w:r>
      <w:r w:rsidRPr="004B2DF2">
        <w:rPr>
          <w:rFonts w:ascii="Arial" w:hAnsi="Arial"/>
          <w:color w:val="000000"/>
          <w:sz w:val="22"/>
          <w:szCs w:val="22"/>
        </w:rPr>
        <w:t xml:space="preserve">. Rather than relying on the detection of mutations within single regions, multiplexed amplicon sequencing over commonly mutated regions interrogates larger regions of the genome at very high </w:t>
      </w:r>
      <w:r w:rsidR="00CB4014" w:rsidRPr="004B2DF2">
        <w:rPr>
          <w:rFonts w:ascii="Arial" w:hAnsi="Arial"/>
          <w:color w:val="000000"/>
          <w:sz w:val="22"/>
          <w:szCs w:val="22"/>
        </w:rPr>
        <w:t>depth</w:t>
      </w:r>
      <w:r w:rsidRPr="004B2DF2">
        <w:rPr>
          <w:rFonts w:ascii="Arial" w:hAnsi="Arial"/>
          <w:color w:val="000000"/>
          <w:sz w:val="22"/>
          <w:szCs w:val="22"/>
        </w:rPr>
        <w:t>, significantly increasing the power of</w:t>
      </w:r>
      <w:r w:rsidR="00CB4014" w:rsidRPr="004B2DF2">
        <w:rPr>
          <w:rFonts w:ascii="Arial" w:hAnsi="Arial"/>
          <w:color w:val="000000"/>
          <w:sz w:val="22"/>
          <w:szCs w:val="22"/>
        </w:rPr>
        <w:t xml:space="preserve"> detection of mutations at </w:t>
      </w:r>
      <w:r w:rsidRPr="004B2DF2">
        <w:rPr>
          <w:rFonts w:ascii="Arial" w:hAnsi="Arial"/>
          <w:color w:val="000000"/>
          <w:sz w:val="22"/>
          <w:szCs w:val="22"/>
        </w:rPr>
        <w:t xml:space="preserve">low allelic frequencies. Larger amplicon and capture panels have been used successfully, and whole exome sequencing of </w:t>
      </w:r>
      <w:r w:rsidRPr="004B2DF2">
        <w:rPr>
          <w:rFonts w:ascii="Arial" w:hAnsi="Arial"/>
          <w:color w:val="000000"/>
          <w:sz w:val="22"/>
          <w:szCs w:val="22"/>
        </w:rPr>
        <w:lastRenderedPageBreak/>
        <w:t xml:space="preserve">plasma (WES) has been shown to </w:t>
      </w:r>
      <w:r w:rsidR="006E42A5">
        <w:rPr>
          <w:rFonts w:ascii="Arial" w:hAnsi="Arial"/>
          <w:color w:val="000000"/>
          <w:sz w:val="22"/>
          <w:szCs w:val="22"/>
        </w:rPr>
        <w:t xml:space="preserve">be </w:t>
      </w:r>
      <w:r w:rsidRPr="004B2DF2">
        <w:rPr>
          <w:rFonts w:ascii="Arial" w:hAnsi="Arial"/>
          <w:color w:val="000000"/>
          <w:sz w:val="22"/>
          <w:szCs w:val="22"/>
        </w:rPr>
        <w:t>effective in detec</w:t>
      </w:r>
      <w:r w:rsidR="00D456EC" w:rsidRPr="004B2DF2">
        <w:rPr>
          <w:rFonts w:ascii="Arial" w:hAnsi="Arial"/>
          <w:color w:val="000000"/>
          <w:sz w:val="22"/>
          <w:szCs w:val="22"/>
        </w:rPr>
        <w:t>ting ctDNA</w:t>
      </w:r>
      <w:r w:rsidR="00D456EC"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"10.1038/ncomms9760", "abstract" : "Circulating tumour DNA analysis can be used to track tumour burden and analyse cancer genomes non-invasively but the extent to which it represents metastatic heterogeneity is unknown. Here we follow a patient with metastatic ER-positive and HER2-positive breast cancer receiving two lines of targeted therapy over 3 years. We characterize genomic architecture and infer clonal evolution in eight tumour biopsies and nine plasma samples collected over 1,193 days of clinical follow-up using exome and targeted amplicon sequencing. Mutation levels in the plasma samples reflect the clonal hierarchy inferred from sequencing of tumour biopsies. Serial changes in circulating levels of sub-clonal private mutations correlate with different treatment responses between metastatic sites. This comparison of biopsy and plasma samples in a single patient with metastatic breast cancer shows that circulating tumour DNA can allow real-time sampling of multifocal clonal evolution.", "author" : [ { "dropping-particle" : "", "family" : "Murtaza", "given" : "Muhammed", "non-dropping-particle" : "", "parse-names" : false, "suffix" : "" }, { "dropping-particle" : "", "family" : "Dawson", "given" : "Sarah-Jane", "non-dropping-particle" : "", "parse-names" : false, "suffix" : "" }, { "dropping-particle" : "", "family" : "Pogrebniak", "given" : "Katherine", "non-dropping-particle" : "", "parse-names" : false, "suffix" : "" }, { "dropping-particle" : "", "family" : "Rueda", "given" : "Oscar M", "non-dropping-particle" : "", "parse-names" : false, "suffix" : "" }, { "dropping-particle" : "", "family" : "Provenzano", "given" : "Elena", "non-dropping-particle" : "", "parse-names" : false, "suffix" : "" }, { "dropping-particle" : "", "family" : "Grant", "given" : "John", "non-dropping-particle" : "", "parse-names" : false, "suffix" : "" }, { "dropping-particle" : "", "family" : "Chin", "given" : "Suet-Feung", "non-dropping-particle" : "", "parse-names" : false, "suffix" : "" }, { "dropping-particle" : "", "family" : "Tsui", "given" : "Dana W Y", "non-dropping-particle" : "", "parse-names" : false, "suffix" : "" }, { "dropping-particle" : "", "family" : "Marass", "given" : "Francesco", "non-dropping-particle" : "", "parse-names" : false, "suffix" : "" }, { "dropping-particle" : "", "family" : "Gale", "given" : "Davina", "non-dropping-particle" : "", "parse-names" : false, "suffix" : "" }, { "dropping-particle" : "", "family" : "Ali", "given" : "H Raza", "non-dropping-particle" : "", "parse-names" : false, "suffix" : "" }, { "dropping-particle" : "", "family" : "Shah", "given" : "Pankti", "non-dropping-particle" : "", "parse-names" : false, "suffix" : "" }, { "dropping-particle" : "", "family" : "Contente-Cuomo", "given" : "Tania", "non-dropping-particle" : "", "parse-names" : false, "suffix" : "" }, { "dropping-particle" : "", "family" : "Farahani", "given" : "Hossein", "non-dropping-particle" : "", "parse-names" : false, "suffix" : "" }, { "dropping-particle" : "", "family" : "Shumansky", "given" : "Karey", "non-dropping-particle" : "", "parse-names" : false, "suffix" : "" }, { "dropping-particle" : "", "family" : "Kingsbury", "given" : "Zoya", "non-dropping-particle" : "", "parse-names" : false, "suffix" : "" }, { "dropping-particle" : "", "family" : "Humphray", "given" : "Sean", "non-dropping-particle" : "", "parse-names" : false, "suffix" : "" }, { "dropping-particle" : "", "family" : "Bentley", "given" : "David", "non-dropping-particle" : "", "parse-names" : false, "suffix" : "" }, { "dropping-particle" : "", "family" : "Shah", "given" : "Sohrab P", "non-dropping-particle" : "", "parse-names" : false, "suffix" : "" }, { "dropping-particle" : "", "family" : "Wallis", "given" : "Matthew", "non-dropping-particle" : "", "parse-names" : false, "suffix" : "" }, { "dropping-particle" : "", "family" : "Rosenfeld", "given" : "Nitzan", "non-dropping-particle" : "", "parse-names" : false, "suffix" : "" }, { "dropping-particle" : "", "family" : "Caldas", "given" : "Carlos", "non-dropping-particle" : "", "parse-names" : false, "suffix" : "" } ], "container-title" : "Nature Communications", "id" : "ITEM-1", "issued" : { "date-parts" : [ [ "2015" ] ] }, "title" : "ARTICLE Multifocal clonal evolution characterized using circulating tumour DNA in a case of metastatic breast cancer", "type" : "article-journal", "volume" : "6" }, "uris" : [ "http://www.mendeley.com/documents/?uuid=74fcdca7-b7e9-420d-90c0-65452729e50f" ] } ], "mendeley" : { "formattedCitation" : "(4)", "plainTextFormattedCitation" : "(4)", "previouslyFormattedCitation" : "(4)" }, "properties" : { "noteIndex" : 0 }, "schema" : "https://github.com/citation-style-language/schema/raw/master/csl-citation.json" }</w:instrText>
      </w:r>
      <w:r w:rsidR="00D456EC" w:rsidRPr="004B2DF2">
        <w:rPr>
          <w:rFonts w:ascii="Arial" w:hAnsi="Arial"/>
          <w:color w:val="000000"/>
          <w:sz w:val="22"/>
          <w:szCs w:val="22"/>
        </w:rPr>
        <w:fldChar w:fldCharType="separate"/>
      </w:r>
      <w:r w:rsidR="008D1593" w:rsidRPr="008D1593">
        <w:rPr>
          <w:rFonts w:ascii="Arial" w:hAnsi="Arial"/>
          <w:noProof/>
          <w:color w:val="000000"/>
          <w:sz w:val="22"/>
          <w:szCs w:val="22"/>
        </w:rPr>
        <w:t>(4)</w:t>
      </w:r>
      <w:r w:rsidR="00D456EC" w:rsidRPr="004B2DF2">
        <w:rPr>
          <w:rFonts w:ascii="Arial" w:hAnsi="Arial"/>
          <w:color w:val="000000"/>
          <w:sz w:val="22"/>
          <w:szCs w:val="22"/>
        </w:rPr>
        <w:fldChar w:fldCharType="end"/>
      </w:r>
      <w:r w:rsidRPr="004B2DF2">
        <w:rPr>
          <w:rFonts w:ascii="Arial" w:hAnsi="Arial"/>
          <w:color w:val="000000"/>
          <w:sz w:val="22"/>
          <w:szCs w:val="22"/>
        </w:rPr>
        <w:t xml:space="preserve">. It is worth noting that, as the breadth of the sequencing panel increases, the ability to detect mutations over more loci increases, however this comes at the cost of decreasing sensitivity, as the effect of </w:t>
      </w:r>
      <w:r w:rsidR="006E42A5">
        <w:rPr>
          <w:rFonts w:ascii="Arial" w:hAnsi="Arial"/>
          <w:color w:val="000000"/>
          <w:sz w:val="22"/>
          <w:szCs w:val="22"/>
        </w:rPr>
        <w:t xml:space="preserve">‘contaminating’ </w:t>
      </w:r>
      <w:r w:rsidRPr="004B2DF2">
        <w:rPr>
          <w:rFonts w:ascii="Arial" w:hAnsi="Arial"/>
          <w:color w:val="000000"/>
          <w:sz w:val="22"/>
          <w:szCs w:val="22"/>
        </w:rPr>
        <w:t xml:space="preserve">normal DNA at low sequencing depths becomes more difficult to </w:t>
      </w:r>
      <w:r w:rsidR="00DC7AE0" w:rsidRPr="004B2DF2">
        <w:rPr>
          <w:rFonts w:ascii="Arial" w:hAnsi="Arial"/>
          <w:color w:val="000000"/>
          <w:sz w:val="22"/>
          <w:szCs w:val="22"/>
        </w:rPr>
        <w:t>distinguish</w:t>
      </w:r>
      <w:r w:rsidRPr="004B2DF2">
        <w:rPr>
          <w:rFonts w:ascii="Arial" w:hAnsi="Arial"/>
          <w:color w:val="000000"/>
          <w:sz w:val="22"/>
          <w:szCs w:val="22"/>
        </w:rPr>
        <w:t>. At the far end of the spectrum, whole genome sequencing</w:t>
      </w:r>
      <w:r w:rsidR="00DC7AE0" w:rsidRPr="004B2DF2">
        <w:rPr>
          <w:rFonts w:ascii="Arial" w:hAnsi="Arial"/>
          <w:color w:val="000000"/>
          <w:sz w:val="22"/>
          <w:szCs w:val="22"/>
        </w:rPr>
        <w:t xml:space="preserve"> of plasma</w:t>
      </w:r>
      <w:r w:rsidRPr="004B2DF2">
        <w:rPr>
          <w:rFonts w:ascii="Arial" w:hAnsi="Arial"/>
          <w:color w:val="000000"/>
          <w:sz w:val="22"/>
          <w:szCs w:val="22"/>
        </w:rPr>
        <w:t xml:space="preserve"> has also proved to be of </w:t>
      </w:r>
      <w:r w:rsidR="00EB34D0" w:rsidRPr="004B2DF2">
        <w:rPr>
          <w:rFonts w:ascii="Arial" w:hAnsi="Arial"/>
          <w:color w:val="000000"/>
          <w:sz w:val="22"/>
          <w:szCs w:val="22"/>
        </w:rPr>
        <w:t xml:space="preserve">clinical </w:t>
      </w:r>
      <w:r w:rsidRPr="004B2DF2">
        <w:rPr>
          <w:rFonts w:ascii="Arial" w:hAnsi="Arial"/>
          <w:color w:val="000000"/>
          <w:sz w:val="22"/>
          <w:szCs w:val="22"/>
        </w:rPr>
        <w:t>utility</w:t>
      </w:r>
      <w:r w:rsidR="00541508" w:rsidRPr="004B2DF2">
        <w:rPr>
          <w:rFonts w:ascii="Arial" w:hAnsi="Arial"/>
          <w:color w:val="000000"/>
          <w:sz w:val="22"/>
          <w:szCs w:val="22"/>
        </w:rPr>
        <w:t xml:space="preserve"> </w:t>
      </w:r>
      <w:r w:rsidR="00EB34D0" w:rsidRPr="004B2DF2">
        <w:rPr>
          <w:rFonts w:ascii="Arial" w:hAnsi="Arial"/>
          <w:color w:val="000000"/>
          <w:sz w:val="22"/>
          <w:szCs w:val="22"/>
        </w:rPr>
        <w:t>in prostate cancer</w:t>
      </w:r>
      <w:r w:rsidR="00EB34D0"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"10.1126/scitranslmed.3004742", "author" : [ { "dropping-particle" : "", "family" : "Leary", "given" : "Rebecca J.", "non-dropping-particle" : "", "parse-names" : false, "suffix" : "" }, { "dropping-particle" : "", "family" : "Sausen", "given" : "Mark", "non-dropping-particle" : "", "parse-names" : false, "suffix" : "" }, { "dropping-particle" : "", "family" : "Kinde", "given" : "Isaac", "non-dropping-particle" : "", "parse-names" : false, "suffix" : "" }, { "dropping-particle" : "", "family" : "Papadopoulos", "given" : "Nickolas", "non-dropping-particle" : "", "parse-names" : false, "suffix" : "" }, { "dropping-particle" : "", "family" : "Carpten", "given" : "John D.", "non-dropping-particle" : "", "parse-names" : false, "suffix" : "" }, { "dropping-particle" : "", "family" : "Craig", "given" : "David", "non-dropping-particle" : "", "parse-names" : false, "suffix" : "" }, { "dropping-particle" : "", "family" : "O\u2019Shaughnessy", "given" : "Joyce", "non-dropping-particle" : "", "parse-names" : false, "suffix" : "" }, { "dropping-particle" : "", "family" : "Kinzler", "given" : "Kenneth W.", "non-dropping-particle" : "", "parse-names" : false, "suffix" : "" }, { "dropping-particle" : "", "family" : "Parmigiani", "given" : "Giovanni", "non-dropping-particle" : "", "parse-names" : false, "suffix" : "" }, { "dropping-particle" : "", "family" : "Vogelstein", "given" : "Bert", "non-dropping-particle" : "", "parse-names" : false, "suffix" : "" }, { "dropping-particle" : "", "family" : "Diaz", "given" : "Luis A.", "non-dropping-particle" : "", "parse-names" : false, "suffix" : "" }, { "dropping-particle" : "", "family" : "Velculescu", "given" : "Victor E.", "non-dropping-particle" : "", "parse-names" : false, "suffix" : "" }, { "dropping-particle" : "", "family" : "O 'shaughnessy", "given" : "Joyce", "non-dropping-particle" : "", "parse-names" : false, "suffix" : "" }, { "dropping-particle" : "", "family" : "Kinzler", "given" : "Kenneth W.", "non-dropping-particle" : "", "parse-names" : false, "suffix" : "" }, { "dropping-particle" : "", "family" : "Parmigiani", "given" : "Giovanni", "non-dropping-particle" : "", "parse-names" : false, "suffix" : "" }, { "dropping-particle" : "", "family" : "Vogelstein", "given" : "Bert", "non-dropping-particle" : "", "parse-names" : false, "suffix" : "" }, { "dropping-particle" : "", "family" : "Diaz", "given" : "Luis A.", "non-dropping-particle" : "", "parse-names" : false, "suffix" : "" }, { "dropping-particle" : "", "family" : "Velculescu", "given" : "Victor E.", "non-dropping-particle" : "", "parse-names" : false, "suffix" : "" }, { "dropping-particle" : "", "family" : "O\u2019Shaughnessy", "given" : "Joyce", "non-dropping-particle" : "", "parse-names" : false, "suffix" : "" }, { "dropping-particle" : "", "family" : "Kinzler", "given" : "Kenneth W.", "non-dropping-particle" : "", "parse-names" : false, "suffix" : "" }, { "dropping-particle" : "", "family" : "Parmigiani", "given" : "Giovanni", "non-dropping-particle" : "", "parse-names" : false, "suffix" : "" }, { "dropping-particle" : "", "family" : "Vogelstein", "given" : "Bert", "non-dropping-particle" : "", "parse-names" : false, "suffix" : "" }, { "dropping-particle" : "", "family" : "Diaz", "given" : "Luis A.", "non-dropping-particle" : "", "parse-names" : false, "suffix" : "" }, { "dropping-particle" : "", "family" : "Velculescu", "given" : "Victor E.", "non-dropping-particle" : "", "parse-names" : false, "suffix" : "" }, { "dropping-particle" : "", "family" : "Shaughnessy", "given" : "Joyce O '", "non-dropping-particle" : "", "parse-names" : false, "suffix" : "" }, { "dropping-particle" : "", "family" : "Kinzler", "given" : "Kenneth W.", "non-dropping-particle" : "", "parse-names" : false, "suffix" : "" }, { "dropping-particle" : "", "family" : "Parmigiani", "given" : "Giovanni", "non-dropping-particle" : "", "parse-names" : false, "suffix" : "" }, { "dropping-particle" : "", "family" : "Vogelstein", "given" : "Bert", "non-dropping-particle" : "", "parse-names" : false, "suffix" : "" }, { "dropping-particle" : "", "family" : "Diaz", "given" : "Luis A.", "non-dropping-particle" : "", "parse-names" : false, "suffix" : "" }, { "dropping-particle" : "", "family" : "Velculescu", "given" : "Victor E.", "non-dropping-particle" : "", "parse-names" : false, "suffix" : "" } ], "container-title" : "Science Translational Medicine", "id" : "ITEM-1", "issue" : "162", "issued" : { "date-parts" : [ [ "2012" ] ] }, "page" : "162-154", "title" : "Detection of Chromosomal Alterations in the Circulation of Cancer Patients with Whole-Genome Sequencing", "type" : "article-journal", "volume" : "4" }, "uris" : [ "http://www.mendeley.com/documents/?uuid=c9171e69-05c6-42e5-a6f9-dc387359aefb", "http://www.mendeley.com/documents/?uuid=5ad45321-c514-4024-99e1-4ff4cad622a4" ] }, { "id" : "ITEM-2", "itemData" : { "DOI" : "10.1186/s13058-014-0421-y", "abstract" : "Introduction: The management of metastatic breast cancer needs improvement. As clinical evaluation is not very accurate in determining the progression of disease, the analysis of circulating tumor DNA (ctDNA) has evolved to a promising noninvasive marker of disease evolution. Indeed, ctDNA was reported to represent a highly sensitive biomarker of metastatic cancer disease directly reflecting tumor burden and dynamics. However, at present little is known about the dynamic range of ctDNA in patients with metastatic breast cancer. Methods: In this study, 74 plasma DNA samples from 58 patients with metastasized breast cancer were analyzed with a microfluidic device to determine the plasma DNA size distribution and copy number changes in the plasma were identified by whole-genome sequencing (plasma-Seq). Furthermore, in an index patient we conducted whole-genome, exome, or targeted deep sequencing of the primary tumor, metastases, and circulating tumor cells (CTCs). Deep sequencing was done to accurately determine the allele fraction (AFs) of mutated DNA fragments. Results: Although all patients had metastatic disease, plasma analyses demonstrated highly variable AFs of mutant fragments. We analyzed an index patient with more than 100,000 CTCs in detail. We first conducted whole-genome, exome, or targeted deep sequencing of four different regions from the primary tumor and three metastatic lymph node regions, which enabled us to establish the phylogenetic relationships of these lesions, which were consistent with a genetically homogeneous cancer. Subsequent analyses of 551 CTCs confirmed the genetically homogeneous cancer in three serial blood analyses. However, the AFs of ctDNA were only 2% to 3% in each analysis, neither reflecting the tumor burden nor the dynamics of this progressive disease. These results together with high-resolution plasma DNA fragment sizing suggested that differences in phagocytosis and DNA degradation mechanisms likely explain the variable occurrence of mutated DNA fragments in the blood of patients with cancer. Conclusions: The dynamic range of ctDNA varies substantially in patients with metastatic breast cancer. This has important implications for the use of ctDNA as a predictive and prognostic biomarker.", "author" : [ { "dropping-particle" : "", "family" : "Heidary", "given" : "Maryam", "non-dropping-particle" : "", "parse-names" : false, "suffix" : "" }, { "dropping-particle" : "", "family" : "Auer", "given" : "Martina", "non-dropping-particle" : "", "parse-names" : false, "suffix" : "" }, { "dropping-particle" : "", "family" : "Ulz", "given" : "Peter", "non-dropping-particle" : "", "parse-names" : false, "suffix" : "" }, { "dropping-particle" : "", "family" : "Heitzer", "given" : "Ellen", "non-dropping-particle" : "", "parse-names" : false, "suffix" : "" }, { "dropping-particle" : "", "family" : "Petru", "given" : "Edgar", "non-dropping-particle" : "", "parse-names" : false, "suffix" : "" }, { "dropping-particle" : "", "family" : "Gasch", "given" : "Christin", "non-dropping-particle" : "", "parse-names" : false, "suffix" : "" }, { "dropping-particle" : "", "family" : "Riethdorf", "given" : "Sabine", "non-dropping-particle" : "", "parse-names" : false, "suffix" : "" }, { "dropping-particle" : "", "family" : "Mauermann", "given" : "Oliver", "non-dropping-particle" : "", "parse-names" : false, "suffix" : "" }, { "dropping-particle" : "", "family" : "Lafer", "given" : "Ingrid", "non-dropping-particle" : "", "parse-names" : false, "suffix" : "" }, { "dropping-particle" : "", "family" : "Pristauz", "given" : "Gunda", "non-dropping-particle" : "", "parse-names" : false, "suffix" : "" }, { "dropping-particle" : "", "family" : "Lax", "given" : "Sigurd", "non-dropping-particle" : "", "parse-names" : false, "suffix" : "" }, { "dropping-particle" : "", "family" : "Pantel", "given" : "Klaus", "non-dropping-particle" : "", "parse-names" : false, "suffix" : "" }, { "dropping-particle" : "", "family" : "Geigl", "given" : "Jochen B", "non-dropping-particle" : "", "parse-names" : false, "suffix" : "" }, { "dropping-particle" : "", "family" : "Speicher", "given" : "Michael R", "non-dropping-particle" : "", "parse-names" : false, "suffix" : "" } ], "id" : "ITEM-2", "issued" : { "date-parts" : [ [ "2014" ] ] }, "title" : "The dynamic range of circulating tumor DNA in metastatic breast cancer", "type" : "article-journal" }, "uris" : [ "http://www.mendeley.com/documents/?uuid=f4fb3ea0-5c48-494d-bd14-7e323ec5da1b" ] }, { "id" : "ITEM-3", "itemData" : { "abstract" : "Genomic alterations in metastatic prostate cancer remain incompletely characterized. Here we analyse 493 prostate cancer cases from the TCGA database and perform whole-genome plasma sequencing on 95 plasma samples derived from 43 patients with metastatic prostate cancer. From these samples, we identify established driver aberrations in a cancer-related gene in nearly all cases (97.7%), including driver gene fusions (TMPRSS2:ERG), driver focal deletions (PTEN, RYBP and SHQ1) and driver amplifications (AR and MYC). In serial plasma analyses, we observe changes in focal amplifications in 40% of cases. The mean time interval between new amplifications was 26.4 weeks (range: 5\u201352 weeks), suggesting that they represent rapid adaptations to selection pressure. An increase in neuron-specific enolase is accompanied by clonal pattern changes in the tumour genome, most consistent with subclonal diversification of the tumour. Our findings suggest a high plasticity of prostate cancer genomes with newly occurring focal amplifications as a driving force in progression.", "author" : [ { "dropping-particle" : "", "family" : "Ulz", "given" : "Peter", "non-dropping-particle" : "", "parse-names" : false, "suffix" : "" }, { "dropping-particle" : "", "family" : "Belic", "given" : "Jelena", "non-dropping-particle" : "", "parse-names" : false, "suffix" : "" }, { "dropping-particle" : "", "family" : "Graf", "given" : "Ricarda", "non-dropping-particle" : "", "parse-names" : false, "suffix" : "" }, { "dropping-particle" : "", "family" : "Auer", "given" : "Martina", "non-dropping-particle" : "", "parse-names" : false, "suffix" : "" }, { "dropping-particle" : "", "family" : "Lafer", "given" : "Ingrid", "non-dropping-particle" : "", "parse-names" : false, "suffix" : "" }, { "dropping-particle" : "", "family" : "Fischereder", "given" : "Katja", "non-dropping-particle" : "", "parse-names" : false, "suffix" : "" }, { "dropping-particle" : "", "family" : "Webersinke", "given" : "Gerald", "non-dropping-particle" : "", "parse-names" : false, "suffix" : "" }, { "dropping-particle" : "", "family" : "Pummer", "given" : "Karl", "non-dropping-particle" : "", "parse-names" : false, "suffix" : "" }, { "dropping-particle" : "", "family" : "Augustin", "given" : "Herbert", "non-dropping-particle" : "", "parse-names" : false, "suffix" : "" }, { "dropping-particle" : "", "family" : "Pichler", "given" : "Martin", "non-dropping-particle" : "", "parse-names" : false, "suffix" : "" }, { "dropping-particle" : "", "family" : "Hoefler", "given" : "Gerald", "non-dropping-particle" : "", "parse-names" : false, "suffix" : "" }, { "dropping-particle" : "", "family" : "Bauernhofer", "given" : "Thomas", "non-dropping-particle" : "", "parse-names" : false, "suffix" : "" }, { "dropping-particle" : "", "family" : "Geigl", "given" : "Jochen B", "non-dropping-particle" : "", "parse-names" : false, "suffix" : "" }, { "dropping-particle" : "", "family" : "Heitzer", "given" : "Ellen", "non-dropping-particle" : "", "parse-names" : false, "suffix" : "" }, { "dropping-particle" : "", "family" : "Speicher", "given" : "Michael R", "non-dropping-particle" : "", "parse-names" : false, "suffix" : "" } ], "container-title" : "Nature Communications", "id" : "ITEM-3", "issue" : "May", "issued" : { "date-parts" : [ [ "2016" ] ] }, "page" : "12008", "publisher" : "Nature Publishing Group", "title" : "Whole-genome plasma sequencing reveals focal amplifications as a driving force in metastatic prostate cancer", "type" : "article-journal", "volume" : "7" }, "uris" : [ "http://www.mendeley.com/documents/?uuid=799a2086-f548-47bd-b59d-331ec85e9a80" ] } ], "mendeley" : { "formattedCitation" : "(5\u20137)", "plainTextFormattedCitation" : "(5\u20137)", "previouslyFormattedCitation" : "(5\u20137)" }, "properties" : { "noteIndex" : 0 }, "schema" : "https://github.com/citation-style-language/schema/raw/master/csl-citation.json" }</w:instrText>
      </w:r>
      <w:r w:rsidR="00EB34D0" w:rsidRPr="004B2DF2">
        <w:rPr>
          <w:rFonts w:ascii="Arial" w:hAnsi="Arial"/>
          <w:color w:val="000000"/>
          <w:sz w:val="22"/>
          <w:szCs w:val="22"/>
        </w:rPr>
        <w:fldChar w:fldCharType="separate"/>
      </w:r>
      <w:r w:rsidR="008D1593" w:rsidRPr="008D1593">
        <w:rPr>
          <w:rFonts w:ascii="Arial" w:hAnsi="Arial"/>
          <w:noProof/>
          <w:color w:val="000000"/>
          <w:sz w:val="22"/>
          <w:szCs w:val="22"/>
        </w:rPr>
        <w:t>(5–7)</w:t>
      </w:r>
      <w:r w:rsidR="00EB34D0" w:rsidRPr="004B2DF2">
        <w:rPr>
          <w:rFonts w:ascii="Arial" w:hAnsi="Arial"/>
          <w:color w:val="000000"/>
          <w:sz w:val="22"/>
          <w:szCs w:val="22"/>
        </w:rPr>
        <w:fldChar w:fldCharType="end"/>
      </w:r>
      <w:r w:rsidR="00EB34D0" w:rsidRPr="004B2DF2">
        <w:rPr>
          <w:rFonts w:ascii="Arial" w:hAnsi="Arial"/>
          <w:color w:val="000000"/>
          <w:sz w:val="22"/>
          <w:szCs w:val="22"/>
        </w:rPr>
        <w:t xml:space="preserve"> </w:t>
      </w:r>
      <w:r w:rsidR="00DC7AE0" w:rsidRPr="004B2DF2">
        <w:rPr>
          <w:rFonts w:ascii="Arial" w:hAnsi="Arial"/>
          <w:color w:val="000000"/>
          <w:sz w:val="22"/>
          <w:szCs w:val="22"/>
        </w:rPr>
        <w:t>via</w:t>
      </w:r>
      <w:r w:rsidRPr="004B2DF2">
        <w:rPr>
          <w:rFonts w:ascii="Arial" w:hAnsi="Arial"/>
          <w:color w:val="000000"/>
          <w:sz w:val="22"/>
          <w:szCs w:val="22"/>
        </w:rPr>
        <w:t xml:space="preserve"> the identification of copy number alterations</w:t>
      </w:r>
      <w:r w:rsidR="00DC7AE0" w:rsidRPr="004B2DF2">
        <w:rPr>
          <w:rFonts w:ascii="Arial" w:hAnsi="Arial"/>
          <w:color w:val="000000"/>
          <w:sz w:val="22"/>
          <w:szCs w:val="22"/>
        </w:rPr>
        <w:t>.</w:t>
      </w:r>
    </w:p>
    <w:p w14:paraId="73CD7085" w14:textId="77777777" w:rsidR="00541508" w:rsidRPr="004B2DF2" w:rsidRDefault="00541508" w:rsidP="001536D4">
      <w:pPr>
        <w:spacing w:line="360" w:lineRule="auto"/>
        <w:jc w:val="both"/>
        <w:rPr>
          <w:rFonts w:ascii="Times" w:hAnsi="Times"/>
          <w:sz w:val="22"/>
          <w:szCs w:val="22"/>
        </w:rPr>
      </w:pPr>
    </w:p>
    <w:p w14:paraId="03A00182" w14:textId="77777777" w:rsidR="008347EC" w:rsidRPr="00103B00" w:rsidRDefault="008347EC" w:rsidP="008347EC">
      <w:pPr>
        <w:spacing w:after="220" w:line="360" w:lineRule="auto"/>
        <w:jc w:val="both"/>
        <w:rPr>
          <w:rFonts w:ascii="Times" w:hAnsi="Times"/>
          <w:b/>
          <w:sz w:val="24"/>
          <w:szCs w:val="24"/>
        </w:rPr>
      </w:pPr>
      <w:r w:rsidRPr="00103B00">
        <w:rPr>
          <w:rFonts w:ascii="Arial" w:hAnsi="Arial"/>
          <w:b/>
          <w:bCs/>
          <w:color w:val="000000"/>
          <w:sz w:val="24"/>
          <w:szCs w:val="24"/>
        </w:rPr>
        <w:t>Early Breast Cancer and Relapse</w:t>
      </w:r>
    </w:p>
    <w:p w14:paraId="767770A2" w14:textId="6A9273D4" w:rsidR="008347EC" w:rsidRPr="004B2DF2" w:rsidRDefault="00EB34D0" w:rsidP="008347EC">
      <w:pPr>
        <w:spacing w:after="220" w:line="360" w:lineRule="auto"/>
        <w:jc w:val="both"/>
        <w:rPr>
          <w:rFonts w:ascii="Times" w:hAnsi="Times"/>
          <w:sz w:val="22"/>
          <w:szCs w:val="22"/>
        </w:rPr>
      </w:pPr>
      <w:r w:rsidRPr="004B2DF2">
        <w:rPr>
          <w:rFonts w:ascii="Arial" w:hAnsi="Arial"/>
          <w:color w:val="000000"/>
          <w:sz w:val="22"/>
          <w:szCs w:val="22"/>
        </w:rPr>
        <w:t>A</w:t>
      </w:r>
      <w:r w:rsidR="008347EC" w:rsidRPr="004B2DF2">
        <w:rPr>
          <w:rFonts w:ascii="Arial" w:hAnsi="Arial"/>
          <w:color w:val="000000"/>
          <w:sz w:val="22"/>
          <w:szCs w:val="22"/>
        </w:rPr>
        <w:t xml:space="preserve"> recent </w:t>
      </w:r>
      <w:r w:rsidRPr="004B2DF2">
        <w:rPr>
          <w:rFonts w:ascii="Arial" w:hAnsi="Arial"/>
          <w:color w:val="000000"/>
          <w:sz w:val="22"/>
          <w:szCs w:val="22"/>
        </w:rPr>
        <w:t>study</w:t>
      </w:r>
      <w:r w:rsidR="008347EC" w:rsidRPr="004B2DF2">
        <w:rPr>
          <w:rFonts w:ascii="Arial" w:hAnsi="Arial"/>
          <w:color w:val="000000"/>
          <w:sz w:val="22"/>
          <w:szCs w:val="22"/>
        </w:rPr>
        <w:t xml:space="preserve"> by Turner et.al., (2015) in early-stage breast cancer</w:t>
      </w:r>
      <w:r w:rsidRPr="004B2DF2">
        <w:rPr>
          <w:rFonts w:ascii="Arial" w:hAnsi="Arial"/>
          <w:color w:val="000000"/>
          <w:sz w:val="22"/>
          <w:szCs w:val="22"/>
        </w:rPr>
        <w:t>,</w:t>
      </w:r>
      <w:r w:rsidR="008347EC" w:rsidRPr="004B2DF2">
        <w:rPr>
          <w:rFonts w:ascii="Arial" w:hAnsi="Arial"/>
          <w:color w:val="000000"/>
          <w:sz w:val="22"/>
          <w:szCs w:val="22"/>
        </w:rPr>
        <w:t xml:space="preserve"> has shown the ability of plasma ctDNA to predict relapse following neoadjuvant chemotherapy and surgery</w:t>
      </w:r>
      <w:r w:rsidR="008347EC" w:rsidRPr="004B2DF2">
        <w:rPr>
          <w:rFonts w:ascii="Arial" w:hAnsi="Arial"/>
          <w:color w:val="000000"/>
          <w:sz w:val="22"/>
          <w:szCs w:val="22"/>
          <w:vertAlign w:val="superscript"/>
        </w:rPr>
        <w:t>4</w:t>
      </w:r>
      <w:r w:rsidR="008347EC" w:rsidRPr="004B2DF2">
        <w:rPr>
          <w:rFonts w:ascii="Arial" w:hAnsi="Arial"/>
          <w:color w:val="000000"/>
          <w:sz w:val="22"/>
          <w:szCs w:val="22"/>
        </w:rPr>
        <w:t>. In this study 55 patients with early breast cancer were enrolled, and the primary tumour was sequenced using a customized targeted gene panel. 78% of patients had identifiable somatic mutations and these mutations were utilised to design patient-specific digital PCR probes, which were then used to track disease course. Using this approach the authors were able to predict 12 out of 15 relapses with a median lead</w:t>
      </w:r>
      <w:r w:rsidRPr="004B2DF2">
        <w:rPr>
          <w:rFonts w:ascii="Arial" w:hAnsi="Arial"/>
          <w:color w:val="000000"/>
          <w:sz w:val="22"/>
          <w:szCs w:val="22"/>
        </w:rPr>
        <w:t>-</w:t>
      </w:r>
      <w:r w:rsidR="008347EC" w:rsidRPr="004B2DF2">
        <w:rPr>
          <w:rFonts w:ascii="Arial" w:hAnsi="Arial"/>
          <w:color w:val="000000"/>
          <w:sz w:val="22"/>
          <w:szCs w:val="22"/>
        </w:rPr>
        <w:t>time of 7.9 months over conventional imaging. All of the patients not detected by serial ctDNA monitoring had brain metastases (for which plasma ctDNA is not likely to be sensitive). One patient that had detectable ctDNA post-surgery was currently still well and without relapse, potentially indicating a 10% false positive rate, although at the time of reporting the patients had only been</w:t>
      </w:r>
      <w:r w:rsidR="00DC7AE0" w:rsidRPr="004B2DF2">
        <w:rPr>
          <w:rFonts w:ascii="Arial" w:hAnsi="Arial"/>
          <w:color w:val="000000"/>
          <w:sz w:val="22"/>
          <w:szCs w:val="22"/>
        </w:rPr>
        <w:t xml:space="preserve"> in follow up for two years.</w:t>
      </w:r>
      <w:r w:rsidR="008347EC" w:rsidRPr="004B2DF2">
        <w:rPr>
          <w:rFonts w:ascii="Arial" w:hAnsi="Arial"/>
          <w:color w:val="000000"/>
          <w:sz w:val="22"/>
          <w:szCs w:val="22"/>
        </w:rPr>
        <w:t xml:space="preserve"> In a retrospective study by Olsson et.al., </w:t>
      </w:r>
      <w:r w:rsidR="00DC7AE0" w:rsidRPr="004B2DF2">
        <w:rPr>
          <w:rFonts w:ascii="Arial" w:hAnsi="Arial"/>
          <w:color w:val="000000"/>
          <w:sz w:val="22"/>
          <w:szCs w:val="22"/>
        </w:rPr>
        <w:t xml:space="preserve">in </w:t>
      </w:r>
      <w:r w:rsidR="008347EC" w:rsidRPr="004B2DF2">
        <w:rPr>
          <w:rFonts w:ascii="Arial" w:hAnsi="Arial"/>
          <w:color w:val="000000"/>
          <w:sz w:val="22"/>
          <w:szCs w:val="22"/>
        </w:rPr>
        <w:t>20 patients with early breast cancer, positive post-surgical levels of ctDNA predicted relapse with a sensitivity of 93%</w:t>
      </w:r>
      <w:r w:rsidR="008347EC" w:rsidRPr="004B2DF2">
        <w:rPr>
          <w:rFonts w:ascii="Arial" w:hAnsi="Arial"/>
          <w:color w:val="000000"/>
          <w:sz w:val="22"/>
          <w:szCs w:val="22"/>
          <w:vertAlign w:val="superscript"/>
        </w:rPr>
        <w:t>7</w:t>
      </w:r>
      <w:r w:rsidR="008347EC" w:rsidRPr="004B2DF2">
        <w:rPr>
          <w:rFonts w:ascii="Arial" w:hAnsi="Arial"/>
          <w:color w:val="000000"/>
          <w:sz w:val="22"/>
          <w:szCs w:val="22"/>
        </w:rPr>
        <w:t>. They used a similar approach with low coverage whole genome sequencing of primary tumours and subsequent digital PCR probe design for ctDNA plasma monitoring. All patients who had no detectable ctDNA post-surgery had not relapsed at the point of reporting thus again illustrating the potential sensitivity of ctDNA in predicting treatment failure.</w:t>
      </w:r>
    </w:p>
    <w:p w14:paraId="3427AB9C" w14:textId="77777777" w:rsidR="001536D4" w:rsidRPr="00103B00" w:rsidRDefault="001536D4" w:rsidP="001536D4">
      <w:pPr>
        <w:spacing w:after="220" w:line="360" w:lineRule="auto"/>
        <w:jc w:val="both"/>
        <w:rPr>
          <w:rFonts w:ascii="Times" w:hAnsi="Times"/>
          <w:b/>
          <w:sz w:val="24"/>
          <w:szCs w:val="24"/>
        </w:rPr>
      </w:pPr>
      <w:r w:rsidRPr="00103B00">
        <w:rPr>
          <w:rFonts w:ascii="Arial" w:hAnsi="Arial"/>
          <w:b/>
          <w:bCs/>
          <w:color w:val="000000"/>
          <w:sz w:val="24"/>
          <w:szCs w:val="24"/>
        </w:rPr>
        <w:t>Correlation of ctDNA with treatment response in metastatic breast cancer  </w:t>
      </w:r>
    </w:p>
    <w:p w14:paraId="70EF4A73" w14:textId="7B32E1C1" w:rsidR="001536D4" w:rsidRPr="004B2DF2" w:rsidRDefault="001536D4" w:rsidP="001536D4">
      <w:pPr>
        <w:spacing w:after="220" w:line="360" w:lineRule="auto"/>
        <w:jc w:val="both"/>
        <w:rPr>
          <w:rFonts w:ascii="Arial" w:hAnsi="Arial"/>
          <w:color w:val="000000"/>
          <w:sz w:val="22"/>
          <w:szCs w:val="22"/>
        </w:rPr>
      </w:pPr>
      <w:r w:rsidRPr="004B2DF2">
        <w:rPr>
          <w:rFonts w:ascii="Arial" w:hAnsi="Arial"/>
          <w:color w:val="000000"/>
          <w:sz w:val="22"/>
          <w:szCs w:val="22"/>
        </w:rPr>
        <w:t xml:space="preserve">A seminal </w:t>
      </w:r>
      <w:r w:rsidR="002A6BE6" w:rsidRPr="004B2DF2">
        <w:rPr>
          <w:rFonts w:ascii="Arial" w:hAnsi="Arial"/>
          <w:color w:val="000000"/>
          <w:sz w:val="22"/>
          <w:szCs w:val="22"/>
        </w:rPr>
        <w:t xml:space="preserve">study </w:t>
      </w:r>
      <w:r w:rsidRPr="004B2DF2">
        <w:rPr>
          <w:rFonts w:ascii="Arial" w:hAnsi="Arial"/>
          <w:color w:val="000000"/>
          <w:sz w:val="22"/>
          <w:szCs w:val="22"/>
        </w:rPr>
        <w:t xml:space="preserve">in 2013 involving the recruitment of 52 metastatic breast cancer patients has shown that tracking somatic tumour mutations </w:t>
      </w:r>
      <w:r w:rsidR="00DF21BC" w:rsidRPr="004B2DF2">
        <w:rPr>
          <w:rFonts w:ascii="Arial" w:hAnsi="Arial"/>
          <w:color w:val="000000"/>
          <w:sz w:val="22"/>
          <w:szCs w:val="22"/>
        </w:rPr>
        <w:t xml:space="preserve">in plasma </w:t>
      </w:r>
      <w:r w:rsidRPr="004B2DF2">
        <w:rPr>
          <w:rFonts w:ascii="Arial" w:hAnsi="Arial"/>
          <w:color w:val="000000"/>
          <w:sz w:val="22"/>
          <w:szCs w:val="22"/>
        </w:rPr>
        <w:t>can give detailed information on prognosis and has the ability to track treatment response</w:t>
      </w:r>
      <w:r w:rsidR="00541508"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"PMID" : "23484797", "abstract" : "BACKGROUND: The management of metastatic breast cancer requires monitoring of the tumor burden to determine the response to treatment, and improved biomarkers are needed. Biomarkers such as cancer antigen 15-3 (CA 15-3) and circulating tumor cells have been widely studied. However, circulating cell-free DNA carrying tumor-specific alterations (circulating tumor DNA) has not been extensively investigated or compared with other circulating biomarkers in breast cancer. METHODS: We compared the radiographic imaging of tumors with the assay of circulating tumor DNA, CA 15-3, and circulating tumor cells in 30 women with metastatic breast cancer who were receiving systemic therapy. We used targeted or whole-genome sequencing to identify somatic genomic alterations and designed personalized assays to quantify circulating tumor DNA in serially collected plasma specimens. CA 15-3 levels and numbers of circulating tumor cells were measured at identical time points. RESULTS: Circulating tumor DNA was successfully detected in 29 of the 30 women (97%) in whom somatic genomic alterations were identified; CA 15-3 and circulating tumor cells were detected in 21 of 27 women (78%) and 26 of 30 women (87%), respectively. Circulating tumor DNA levels showed a greater dynamic range, and greater correlation with changes in tumor burden, than did CA 15-3 or circulating tumor cells. Among the measures tested, circulating tumor DNA provided the earliest measure of treatment response in 10 of 19 women (53%). CONCLUSIONS: This proof-of-concept analysis showed that circulating tumor DNA is an informative, inherently specific, and highly sensitive biomarker of metastatic breast cancer. (Funded by Cancer Research UK and others.).", "author" : [ { "dropping-particle" : "", "family" : "Dawson", "given" : "Sarah-Jane", "non-dropping-particle" : "", "parse-names" : false, "suffix" : "" }, { "dropping-particle" : "", "family" : "Tsui", "given" : "Dana W Y", "non-dropping-particle" : "", "parse-names" : false, "suffix" : "" }, { "dropping-particle" : "", "family" : "Murtaza", "given" : "Muhammed", "non-dropping-particle" : "", "parse-names" : false, "suffix" : "" }, { "dropping-particle" : "", "family" : "Biggs", "given" : "Heather", "non-dropping-particle" : "", "parse-names" : false, "suffix" : "" }, { "dropping-particle" : "", "family" : "Rueda", "given" : "Oscar M", "non-dropping-particle" : "", "parse-names" : false, "suffix" : "" }, { "dropping-particle" : "", "family" : "Chin", "given" : "Suet-Feung", "non-dropping-particle" : "", "parse-names" : false, "suffix" : "" }, { "dropping-particle" : "", "family" : "Dunning", "given" : "Mark J", "non-dropping-particle" : "", "parse-names" : false, "suffix" : "" }, { "dropping-particle" : "", "family" : "Gale", "given" : "Davina", "non-dropping-particle" : "", "parse-names" : false, "suffix" : "" }, { "dropping-particle" : "", "family" : "Forshew", "given" : "Tim", "non-dropping-particle" : "", "parse-names" : false, "suffix" : "" }, { "dropping-particle" : "", "family" : "Mahler-Araujo", "given" : "Betania", "non-dropping-particle" : "", "parse-names" : false, "suffix" : "" }, { "dropping-particle" : "", "family" : "Rajan", "given" : "Sabrina", "non-dropping-particle" : "", "parse-names" : false, "suffix" : "" }, { "dropping-particle" : "", "family" : "Humphray", "given" : "Sean", "non-dropping-particle" : "", "parse-names" : false, "suffix" : "" }, { "dropping-particle" : "", "family" : "Becq", "given" : "Jennifer", "non-dropping-particle" : "", "parse-names" : false, "suffix" : "" }, { "dropping-particle" : "", "family" : "Halsall", "given" : "David", "non-dropping-particle" : "", "parse-names" : false, "suffix" : "" }, { "dropping-particle" : "", "family" : "Wallis", "given" : "Matthew", "non-dropping-particle" : "", "parse-names" : false, "suffix" : "" }, { "dropping-particle" : "", "family" : "Bentley", "given" : "David", "non-dropping-particle" : "", "parse-names" : false, "suffix" : "" }, { "dropping-particle" : "", "family" : "Caldas", "given" : "Carlos", "non-dropping-particle" : "", "parse-names" : false, "suffix" : "" }, { "dropping-particle" : "", "family" : "Rosenfeld", "given" : "Nitzan", "non-dropping-particle" : "", "parse-names" : false, "suffix" : "" }, { "dropping-particle" : "", "family" : "Sc", "given" : "B", "non-dropping-particle" : "", "parse-names" : false, "suffix" : "" }, { "dropping-particle" : "", "family" : "Ph", "given" : "D", "non-dropping-particle" : "", "parse-names" : false, "suffix" : "" }, { "dropping-particle" : "", "family" : "Path", "given" : "M R C", "non-dropping-particle" : "", "parse-names" : false, "suffix" : "" }, { "dropping-particle" : "", "family" : "Ch", "given" : "B", "non-dropping-particle" : "", "parse-names" : false, "suffix" : "" }, { "dropping-particle" : "", "family" : "Phil", "given" : "D", "non-dropping-particle" : "", "parse-names" : false, "suffix" : "" }, { "dropping-particle" : "", "family" : "Sci", "given" : "F Med", "non-dropping-particle" : "", "parse-names" : false, "suffix" : "" } ], "container-title" : "The New England journal of medicine", "id" : "ITEM-1", "issue" : "13", "issued" : { "date-parts" : [ [ "2013" ] ] }, "page" : "1199-209", "title" : "Analysis of circulating tumor DNA to monitor metastatic breast cancer.", "type" : "article-journal", "volume" : "368" }, "uris" : [ "http://www.mendeley.com/documents/?uuid=fa851a3b-0214-4122-b663-92bdfe25cd5d" ] } ], "mendeley" : { "formattedCitation" : "(8)", "plainTextFormattedCitation" : "(8)", "previouslyFormattedCitation" : "(8)" }, "properties" : { "noteIndex" : 0 }, "schema" : "https://github.com/citation-style-language/schema/raw/master/csl-citation.json" }</w:instrText>
      </w:r>
      <w:r w:rsidR="00541508" w:rsidRPr="004B2DF2">
        <w:rPr>
          <w:rFonts w:ascii="Arial" w:hAnsi="Arial"/>
          <w:color w:val="000000"/>
          <w:sz w:val="22"/>
          <w:szCs w:val="22"/>
        </w:rPr>
        <w:fldChar w:fldCharType="separate"/>
      </w:r>
      <w:r w:rsidR="008D1593" w:rsidRPr="008D1593">
        <w:rPr>
          <w:rFonts w:ascii="Arial" w:hAnsi="Arial"/>
          <w:noProof/>
          <w:color w:val="000000"/>
          <w:sz w:val="22"/>
          <w:szCs w:val="22"/>
        </w:rPr>
        <w:t>(8)</w:t>
      </w:r>
      <w:r w:rsidR="00541508" w:rsidRPr="004B2DF2">
        <w:rPr>
          <w:rFonts w:ascii="Arial" w:hAnsi="Arial"/>
          <w:color w:val="000000"/>
          <w:sz w:val="22"/>
          <w:szCs w:val="22"/>
        </w:rPr>
        <w:fldChar w:fldCharType="end"/>
      </w:r>
      <w:r w:rsidRPr="004B2DF2">
        <w:rPr>
          <w:rFonts w:ascii="Arial" w:hAnsi="Arial"/>
          <w:color w:val="000000"/>
          <w:sz w:val="22"/>
          <w:szCs w:val="22"/>
        </w:rPr>
        <w:t>.</w:t>
      </w:r>
      <w:r w:rsidR="004F3A52" w:rsidRPr="004B2DF2">
        <w:rPr>
          <w:rFonts w:ascii="Arial" w:hAnsi="Arial"/>
          <w:color w:val="000000"/>
          <w:sz w:val="22"/>
          <w:szCs w:val="22"/>
        </w:rPr>
        <w:t xml:space="preserve"> This was done by performing </w:t>
      </w:r>
      <w:r w:rsidRPr="004B2DF2">
        <w:rPr>
          <w:rFonts w:ascii="Arial" w:hAnsi="Arial"/>
          <w:color w:val="000000"/>
          <w:sz w:val="22"/>
          <w:szCs w:val="22"/>
        </w:rPr>
        <w:t xml:space="preserve">targeted amplicon sequencing of </w:t>
      </w:r>
      <w:r w:rsidRPr="00EF2B89">
        <w:rPr>
          <w:rFonts w:ascii="Arial" w:hAnsi="Arial"/>
          <w:i/>
          <w:color w:val="000000"/>
          <w:sz w:val="22"/>
          <w:szCs w:val="22"/>
        </w:rPr>
        <w:t xml:space="preserve">PIK3CA </w:t>
      </w:r>
      <w:r w:rsidRPr="004B2DF2">
        <w:rPr>
          <w:rFonts w:ascii="Arial" w:hAnsi="Arial"/>
          <w:color w:val="000000"/>
          <w:sz w:val="22"/>
          <w:szCs w:val="22"/>
        </w:rPr>
        <w:t xml:space="preserve">and </w:t>
      </w:r>
      <w:r w:rsidRPr="00EF2B89">
        <w:rPr>
          <w:rFonts w:ascii="Arial" w:hAnsi="Arial"/>
          <w:i/>
          <w:color w:val="000000"/>
          <w:sz w:val="22"/>
          <w:szCs w:val="22"/>
        </w:rPr>
        <w:t>TP53</w:t>
      </w:r>
      <w:r w:rsidR="004F3A52" w:rsidRPr="004B2DF2">
        <w:rPr>
          <w:rFonts w:ascii="Arial" w:hAnsi="Arial"/>
          <w:color w:val="000000"/>
          <w:sz w:val="22"/>
          <w:szCs w:val="22"/>
        </w:rPr>
        <w:t xml:space="preserve">, </w:t>
      </w:r>
      <w:r w:rsidRPr="004B2DF2">
        <w:rPr>
          <w:rFonts w:ascii="Arial" w:hAnsi="Arial"/>
          <w:color w:val="000000"/>
          <w:sz w:val="22"/>
          <w:szCs w:val="22"/>
        </w:rPr>
        <w:t>in addition to whole genome sequencin</w:t>
      </w:r>
      <w:r w:rsidR="00541508" w:rsidRPr="004B2DF2">
        <w:rPr>
          <w:rFonts w:ascii="Arial" w:hAnsi="Arial"/>
          <w:color w:val="000000"/>
          <w:sz w:val="22"/>
          <w:szCs w:val="22"/>
        </w:rPr>
        <w:t xml:space="preserve">g on samples found not to have </w:t>
      </w:r>
      <w:r w:rsidR="00863252" w:rsidRPr="004B2DF2">
        <w:rPr>
          <w:rFonts w:ascii="Arial" w:hAnsi="Arial"/>
          <w:color w:val="000000"/>
          <w:sz w:val="22"/>
          <w:szCs w:val="22"/>
        </w:rPr>
        <w:t xml:space="preserve">somatic </w:t>
      </w:r>
      <w:r w:rsidR="00093891" w:rsidRPr="004B2DF2">
        <w:rPr>
          <w:rFonts w:ascii="Arial" w:hAnsi="Arial"/>
          <w:color w:val="000000"/>
          <w:sz w:val="22"/>
          <w:szCs w:val="22"/>
        </w:rPr>
        <w:lastRenderedPageBreak/>
        <w:t xml:space="preserve">mutations in these driver genes. </w:t>
      </w:r>
      <w:r w:rsidRPr="004B2DF2">
        <w:rPr>
          <w:rFonts w:ascii="Arial" w:hAnsi="Arial"/>
          <w:color w:val="000000"/>
          <w:sz w:val="22"/>
          <w:szCs w:val="22"/>
        </w:rPr>
        <w:t xml:space="preserve">30 of </w:t>
      </w:r>
      <w:r w:rsidR="00954658" w:rsidRPr="004B2DF2">
        <w:rPr>
          <w:rFonts w:ascii="Arial" w:hAnsi="Arial"/>
          <w:color w:val="000000"/>
          <w:sz w:val="22"/>
          <w:szCs w:val="22"/>
        </w:rPr>
        <w:t xml:space="preserve">the </w:t>
      </w:r>
      <w:r w:rsidRPr="004B2DF2">
        <w:rPr>
          <w:rFonts w:ascii="Arial" w:hAnsi="Arial"/>
          <w:color w:val="000000"/>
          <w:sz w:val="22"/>
          <w:szCs w:val="22"/>
        </w:rPr>
        <w:t xml:space="preserve">52 patients </w:t>
      </w:r>
      <w:r w:rsidR="00954658" w:rsidRPr="004B2DF2">
        <w:rPr>
          <w:rFonts w:ascii="Arial" w:hAnsi="Arial"/>
          <w:color w:val="000000"/>
          <w:sz w:val="22"/>
          <w:szCs w:val="22"/>
        </w:rPr>
        <w:t xml:space="preserve">sequenced </w:t>
      </w:r>
      <w:r w:rsidRPr="004B2DF2">
        <w:rPr>
          <w:rFonts w:ascii="Arial" w:hAnsi="Arial"/>
          <w:color w:val="000000"/>
          <w:sz w:val="22"/>
          <w:szCs w:val="22"/>
        </w:rPr>
        <w:t xml:space="preserve">had somatic mutations </w:t>
      </w:r>
      <w:r w:rsidR="006E42A5">
        <w:rPr>
          <w:rFonts w:ascii="Arial" w:hAnsi="Arial"/>
          <w:color w:val="000000"/>
          <w:sz w:val="22"/>
          <w:szCs w:val="22"/>
        </w:rPr>
        <w:t>identified</w:t>
      </w:r>
      <w:r w:rsidR="00103B00">
        <w:rPr>
          <w:rFonts w:ascii="Arial" w:hAnsi="Arial"/>
          <w:color w:val="000000"/>
          <w:sz w:val="22"/>
          <w:szCs w:val="22"/>
        </w:rPr>
        <w:t xml:space="preserve"> in the available tumour tissue</w:t>
      </w:r>
      <w:r w:rsidR="006E42A5" w:rsidRPr="004B2DF2">
        <w:rPr>
          <w:rFonts w:ascii="Arial" w:hAnsi="Arial"/>
          <w:color w:val="000000"/>
          <w:sz w:val="22"/>
          <w:szCs w:val="22"/>
        </w:rPr>
        <w:t xml:space="preserve"> </w:t>
      </w:r>
      <w:r w:rsidRPr="004B2DF2">
        <w:rPr>
          <w:rFonts w:ascii="Arial" w:hAnsi="Arial"/>
          <w:color w:val="000000"/>
          <w:sz w:val="22"/>
          <w:szCs w:val="22"/>
        </w:rPr>
        <w:t xml:space="preserve">and </w:t>
      </w:r>
      <w:r w:rsidR="006E42A5">
        <w:rPr>
          <w:rFonts w:ascii="Arial" w:hAnsi="Arial"/>
          <w:color w:val="000000"/>
          <w:sz w:val="22"/>
          <w:szCs w:val="22"/>
        </w:rPr>
        <w:t>in</w:t>
      </w:r>
      <w:r w:rsidR="006E42A5" w:rsidRPr="004B2DF2">
        <w:rPr>
          <w:rFonts w:ascii="Arial" w:hAnsi="Arial"/>
          <w:color w:val="000000"/>
          <w:sz w:val="22"/>
          <w:szCs w:val="22"/>
        </w:rPr>
        <w:t xml:space="preserve"> </w:t>
      </w:r>
      <w:r w:rsidRPr="004B2DF2">
        <w:rPr>
          <w:rFonts w:ascii="Arial" w:hAnsi="Arial"/>
          <w:color w:val="000000"/>
          <w:sz w:val="22"/>
          <w:szCs w:val="22"/>
        </w:rPr>
        <w:t>29 out of 30 patients these</w:t>
      </w:r>
      <w:r w:rsidR="006E42A5">
        <w:rPr>
          <w:rFonts w:ascii="Arial" w:hAnsi="Arial"/>
          <w:color w:val="000000"/>
          <w:sz w:val="22"/>
          <w:szCs w:val="22"/>
        </w:rPr>
        <w:t xml:space="preserve"> mutations</w:t>
      </w:r>
      <w:r w:rsidRPr="004B2DF2">
        <w:rPr>
          <w:rFonts w:ascii="Arial" w:hAnsi="Arial"/>
          <w:color w:val="000000"/>
          <w:sz w:val="22"/>
          <w:szCs w:val="22"/>
        </w:rPr>
        <w:t xml:space="preserve"> could be tracked in plasma </w:t>
      </w:r>
      <w:r w:rsidR="006E42A5">
        <w:rPr>
          <w:rFonts w:ascii="Arial" w:hAnsi="Arial"/>
          <w:color w:val="000000"/>
          <w:sz w:val="22"/>
          <w:szCs w:val="22"/>
        </w:rPr>
        <w:t xml:space="preserve">ctDNA </w:t>
      </w:r>
      <w:r w:rsidRPr="004B2DF2">
        <w:rPr>
          <w:rFonts w:ascii="Arial" w:hAnsi="Arial"/>
          <w:color w:val="000000"/>
          <w:sz w:val="22"/>
          <w:szCs w:val="22"/>
        </w:rPr>
        <w:t xml:space="preserve">using either </w:t>
      </w:r>
      <w:r w:rsidR="00B94C85" w:rsidRPr="004B2DF2">
        <w:rPr>
          <w:rFonts w:ascii="Arial" w:hAnsi="Arial"/>
          <w:color w:val="000000"/>
          <w:sz w:val="22"/>
          <w:szCs w:val="22"/>
        </w:rPr>
        <w:t>digital</w:t>
      </w:r>
      <w:r w:rsidRPr="004B2DF2">
        <w:rPr>
          <w:rFonts w:ascii="Arial" w:hAnsi="Arial"/>
          <w:color w:val="000000"/>
          <w:sz w:val="22"/>
          <w:szCs w:val="22"/>
        </w:rPr>
        <w:t xml:space="preserve"> PCR or targeted amplicon sequencing. Disease progression was detected in plasma in 89% of patients</w:t>
      </w:r>
      <w:r w:rsidR="00BB43CF" w:rsidRPr="004B2DF2">
        <w:rPr>
          <w:rFonts w:ascii="Arial" w:hAnsi="Arial"/>
          <w:color w:val="000000"/>
          <w:sz w:val="22"/>
          <w:szCs w:val="22"/>
        </w:rPr>
        <w:t>, and in</w:t>
      </w:r>
      <w:r w:rsidRPr="004B2DF2">
        <w:rPr>
          <w:rFonts w:ascii="Arial" w:hAnsi="Arial"/>
          <w:color w:val="000000"/>
          <w:sz w:val="22"/>
          <w:szCs w:val="22"/>
        </w:rPr>
        <w:t xml:space="preserve"> 53% of these patients ctDNA </w:t>
      </w:r>
      <w:r w:rsidR="00BB43CF" w:rsidRPr="004B2DF2">
        <w:rPr>
          <w:rFonts w:ascii="Arial" w:hAnsi="Arial"/>
          <w:color w:val="000000"/>
          <w:sz w:val="22"/>
          <w:szCs w:val="22"/>
        </w:rPr>
        <w:t>levels</w:t>
      </w:r>
      <w:r w:rsidR="00ED4234" w:rsidRPr="004B2DF2">
        <w:rPr>
          <w:rFonts w:ascii="Arial" w:hAnsi="Arial"/>
          <w:color w:val="000000"/>
          <w:sz w:val="22"/>
          <w:szCs w:val="22"/>
        </w:rPr>
        <w:t xml:space="preserve"> increased </w:t>
      </w:r>
      <w:r w:rsidR="00BC1E20" w:rsidRPr="004B2DF2">
        <w:rPr>
          <w:rFonts w:ascii="Arial" w:hAnsi="Arial"/>
          <w:color w:val="000000"/>
          <w:sz w:val="22"/>
          <w:szCs w:val="22"/>
        </w:rPr>
        <w:t>at</w:t>
      </w:r>
      <w:r w:rsidR="00ED4234" w:rsidRPr="004B2DF2">
        <w:rPr>
          <w:rFonts w:ascii="Arial" w:hAnsi="Arial"/>
          <w:color w:val="000000"/>
          <w:sz w:val="22"/>
          <w:szCs w:val="22"/>
        </w:rPr>
        <w:t xml:space="preserve"> </w:t>
      </w:r>
      <w:r w:rsidRPr="004B2DF2">
        <w:rPr>
          <w:rFonts w:ascii="Arial" w:hAnsi="Arial"/>
          <w:color w:val="000000"/>
          <w:sz w:val="22"/>
          <w:szCs w:val="22"/>
        </w:rPr>
        <w:t>two consecutive time points</w:t>
      </w:r>
      <w:r w:rsidR="00166DA8" w:rsidRPr="004B2DF2">
        <w:rPr>
          <w:rFonts w:ascii="Arial" w:hAnsi="Arial"/>
          <w:color w:val="000000"/>
          <w:sz w:val="22"/>
          <w:szCs w:val="22"/>
        </w:rPr>
        <w:t xml:space="preserve"> </w:t>
      </w:r>
      <w:r w:rsidRPr="004B2DF2">
        <w:rPr>
          <w:rFonts w:ascii="Arial" w:hAnsi="Arial"/>
          <w:color w:val="000000"/>
          <w:sz w:val="22"/>
          <w:szCs w:val="22"/>
        </w:rPr>
        <w:t xml:space="preserve">between 2 and 9 months prior to radiological progression. </w:t>
      </w:r>
      <w:r w:rsidR="00BF1BA8" w:rsidRPr="004B2DF2">
        <w:rPr>
          <w:rFonts w:ascii="Arial" w:hAnsi="Arial"/>
          <w:color w:val="000000"/>
          <w:sz w:val="22"/>
          <w:szCs w:val="22"/>
        </w:rPr>
        <w:t xml:space="preserve">Moreover, </w:t>
      </w:r>
      <w:r w:rsidR="00BC1E20" w:rsidRPr="004B2DF2">
        <w:rPr>
          <w:rFonts w:ascii="Arial" w:hAnsi="Arial"/>
          <w:color w:val="000000"/>
          <w:sz w:val="22"/>
          <w:szCs w:val="22"/>
        </w:rPr>
        <w:t xml:space="preserve">ctDNA was shown to be more sensitive and </w:t>
      </w:r>
      <w:r w:rsidR="00166DA8" w:rsidRPr="004B2DF2">
        <w:rPr>
          <w:rFonts w:ascii="Arial" w:hAnsi="Arial"/>
          <w:color w:val="000000"/>
          <w:sz w:val="22"/>
          <w:szCs w:val="22"/>
        </w:rPr>
        <w:t>dynamic compared to</w:t>
      </w:r>
      <w:r w:rsidR="00BC1E20" w:rsidRPr="004B2DF2">
        <w:rPr>
          <w:rFonts w:ascii="Arial" w:hAnsi="Arial"/>
          <w:color w:val="000000"/>
          <w:sz w:val="22"/>
          <w:szCs w:val="22"/>
        </w:rPr>
        <w:t xml:space="preserve"> either the tumour marker </w:t>
      </w:r>
      <w:r w:rsidRPr="004B2DF2">
        <w:rPr>
          <w:rFonts w:ascii="Arial" w:hAnsi="Arial"/>
          <w:color w:val="000000"/>
          <w:sz w:val="22"/>
          <w:szCs w:val="22"/>
        </w:rPr>
        <w:t xml:space="preserve">CA 15-3 </w:t>
      </w:r>
      <w:r w:rsidR="00BC1E20" w:rsidRPr="004B2DF2">
        <w:rPr>
          <w:rFonts w:ascii="Arial" w:hAnsi="Arial"/>
          <w:color w:val="000000"/>
          <w:sz w:val="22"/>
          <w:szCs w:val="22"/>
        </w:rPr>
        <w:t xml:space="preserve">or </w:t>
      </w:r>
      <w:r w:rsidR="00166DA8" w:rsidRPr="004B2DF2">
        <w:rPr>
          <w:rFonts w:ascii="Arial" w:hAnsi="Arial"/>
          <w:color w:val="000000"/>
          <w:sz w:val="22"/>
          <w:szCs w:val="22"/>
        </w:rPr>
        <w:t xml:space="preserve">numbers of </w:t>
      </w:r>
      <w:r w:rsidR="00BC1E20" w:rsidRPr="004B2DF2">
        <w:rPr>
          <w:rFonts w:ascii="Arial" w:hAnsi="Arial"/>
          <w:color w:val="000000"/>
          <w:sz w:val="22"/>
          <w:szCs w:val="22"/>
        </w:rPr>
        <w:t>circulating tumour cells (</w:t>
      </w:r>
      <w:r w:rsidRPr="004B2DF2">
        <w:rPr>
          <w:rFonts w:ascii="Arial" w:hAnsi="Arial"/>
          <w:color w:val="000000"/>
          <w:sz w:val="22"/>
          <w:szCs w:val="22"/>
        </w:rPr>
        <w:t>CTC’s</w:t>
      </w:r>
      <w:r w:rsidR="00BC1E20" w:rsidRPr="004B2DF2">
        <w:rPr>
          <w:rFonts w:ascii="Arial" w:hAnsi="Arial"/>
          <w:color w:val="000000"/>
          <w:sz w:val="22"/>
          <w:szCs w:val="22"/>
        </w:rPr>
        <w:t>)</w:t>
      </w:r>
      <w:r w:rsidRPr="004B2DF2">
        <w:rPr>
          <w:rFonts w:ascii="Arial" w:hAnsi="Arial"/>
          <w:color w:val="000000"/>
          <w:sz w:val="22"/>
          <w:szCs w:val="22"/>
        </w:rPr>
        <w:t xml:space="preserve">. </w:t>
      </w:r>
      <w:r w:rsidR="00041BB6" w:rsidRPr="004B2DF2">
        <w:rPr>
          <w:rFonts w:ascii="Arial" w:hAnsi="Arial"/>
          <w:color w:val="000000"/>
          <w:sz w:val="22"/>
          <w:szCs w:val="22"/>
        </w:rPr>
        <w:t>I</w:t>
      </w:r>
      <w:r w:rsidRPr="004B2DF2">
        <w:rPr>
          <w:rFonts w:ascii="Arial" w:hAnsi="Arial"/>
          <w:color w:val="000000"/>
          <w:sz w:val="22"/>
          <w:szCs w:val="22"/>
        </w:rPr>
        <w:t>n</w:t>
      </w:r>
      <w:r w:rsidR="00041BB6" w:rsidRPr="004B2DF2">
        <w:rPr>
          <w:rFonts w:ascii="Arial" w:hAnsi="Arial"/>
          <w:color w:val="000000"/>
          <w:sz w:val="22"/>
          <w:szCs w:val="22"/>
        </w:rPr>
        <w:t xml:space="preserve"> contrast, </w:t>
      </w:r>
      <w:r w:rsidR="00166DA8" w:rsidRPr="004B2DF2">
        <w:rPr>
          <w:rFonts w:ascii="Arial" w:hAnsi="Arial"/>
          <w:color w:val="000000"/>
          <w:sz w:val="22"/>
          <w:szCs w:val="22"/>
        </w:rPr>
        <w:t xml:space="preserve">in </w:t>
      </w:r>
      <w:r w:rsidR="00041BB6" w:rsidRPr="004B2DF2">
        <w:rPr>
          <w:rFonts w:ascii="Arial" w:hAnsi="Arial"/>
          <w:color w:val="000000"/>
          <w:sz w:val="22"/>
          <w:szCs w:val="22"/>
        </w:rPr>
        <w:t>a</w:t>
      </w:r>
      <w:r w:rsidRPr="004B2DF2">
        <w:rPr>
          <w:rFonts w:ascii="Arial" w:hAnsi="Arial"/>
          <w:color w:val="000000"/>
          <w:sz w:val="22"/>
          <w:szCs w:val="22"/>
        </w:rPr>
        <w:t xml:space="preserve"> </w:t>
      </w:r>
      <w:r w:rsidR="00444827" w:rsidRPr="004B2DF2">
        <w:rPr>
          <w:rFonts w:ascii="Arial" w:hAnsi="Arial"/>
          <w:color w:val="000000"/>
          <w:sz w:val="22"/>
          <w:szCs w:val="22"/>
        </w:rPr>
        <w:t xml:space="preserve">different </w:t>
      </w:r>
      <w:r w:rsidRPr="004B2DF2">
        <w:rPr>
          <w:rFonts w:ascii="Arial" w:hAnsi="Arial"/>
          <w:color w:val="000000"/>
          <w:sz w:val="22"/>
          <w:szCs w:val="22"/>
        </w:rPr>
        <w:t xml:space="preserve">study </w:t>
      </w:r>
      <w:r w:rsidR="00444827" w:rsidRPr="004B2DF2">
        <w:rPr>
          <w:rFonts w:ascii="Arial" w:hAnsi="Arial"/>
          <w:color w:val="000000"/>
          <w:sz w:val="22"/>
          <w:szCs w:val="22"/>
        </w:rPr>
        <w:t xml:space="preserve">that analysed </w:t>
      </w:r>
      <w:r w:rsidRPr="004B2DF2">
        <w:rPr>
          <w:rFonts w:ascii="Arial" w:hAnsi="Arial"/>
          <w:color w:val="000000"/>
          <w:sz w:val="22"/>
          <w:szCs w:val="22"/>
        </w:rPr>
        <w:t xml:space="preserve">both CTC’s and plasma ctDNA, the allele fractions of ctDNA were found to be highly variable, and in one patient ctDNA was only present </w:t>
      </w:r>
      <w:r w:rsidR="00166DA8" w:rsidRPr="004B2DF2">
        <w:rPr>
          <w:rFonts w:ascii="Arial" w:hAnsi="Arial"/>
          <w:color w:val="000000"/>
          <w:sz w:val="22"/>
          <w:szCs w:val="22"/>
        </w:rPr>
        <w:t>at</w:t>
      </w:r>
      <w:r w:rsidRPr="004B2DF2">
        <w:rPr>
          <w:rFonts w:ascii="Arial" w:hAnsi="Arial"/>
          <w:color w:val="000000"/>
          <w:sz w:val="22"/>
          <w:szCs w:val="22"/>
        </w:rPr>
        <w:t xml:space="preserve"> very low levels despite the presence of 100,000 CTC’s/ml in the blood stream</w:t>
      </w:r>
      <w:r w:rsidR="00BD6EA3">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"10.1186/s13058-014-0421-y", "abstract" : "Introduction: The management of metastatic breast cancer needs improvement. As clinical evaluation is not very accurate in determining the progression of disease, the analysis of circulating tumor DNA (ctDNA) has evolved to a promising noninvasive marker of disease evolution. Indeed, ctDNA was reported to represent a highly sensitive biomarker of metastatic cancer disease directly reflecting tumor burden and dynamics. However, at present little is known about the dynamic range of ctDNA in patients with metastatic breast cancer. Methods: In this study, 74 plasma DNA samples from 58 patients with metastasized breast cancer were analyzed with a microfluidic device to determine the plasma DNA size distribution and copy number changes in the plasma were identified by whole-genome sequencing (plasma-Seq). Furthermore, in an index patient we conducted whole-genome, exome, or targeted deep sequencing of the primary tumor, metastases, and circulating tumor cells (CTCs). Deep sequencing was done to accurately determine the allele fraction (AFs) of mutated DNA fragments. Results: Although all patients had metastatic disease, plasma analyses demonstrated highly variable AFs of mutant fragments. We analyzed an index patient with more than 100,000 CTCs in detail. We first conducted whole-genome, exome, or targeted deep sequencing of four different regions from the primary tumor and three metastatic lymph node regions, which enabled us to establish the phylogenetic relationships of these lesions, which were consistent with a genetically homogeneous cancer. Subsequent analyses of 551 CTCs confirmed the genetically homogeneous cancer in three serial blood analyses. However, the AFs of ctDNA were only 2% to 3% in each analysis, neither reflecting the tumor burden nor the dynamics of this progressive disease. These results together with high-resolution plasma DNA fragment sizing suggested that differences in phagocytosis and DNA degradation mechanisms likely explain the variable occurrence of mutated DNA fragments in the blood of patients with cancer. Conclusions: The dynamic range of ctDNA varies substantially in patients with metastatic breast cancer. This has important implications for the use of ctDNA as a predictive and prognostic biomarker.", "author" : [ { "dropping-particle" : "", "family" : "Heidary", "given" : "Maryam", "non-dropping-particle" : "", "parse-names" : false, "suffix" : "" }, { "dropping-particle" : "", "family" : "Auer", "given" : "Martina", "non-dropping-particle" : "", "parse-names" : false, "suffix" : "" }, { "dropping-particle" : "", "family" : "Ulz", "given" : "Peter", "non-dropping-particle" : "", "parse-names" : false, "suffix" : "" }, { "dropping-particle" : "", "family" : "Heitzer", "given" : "Ellen", "non-dropping-particle" : "", "parse-names" : false, "suffix" : "" }, { "dropping-particle" : "", "family" : "Petru", "given" : "Edgar", "non-dropping-particle" : "", "parse-names" : false, "suffix" : "" }, { "dropping-particle" : "", "family" : "Gasch", "given" : "Christin", "non-dropping-particle" : "", "parse-names" : false, "suffix" : "" }, { "dropping-particle" : "", "family" : "Riethdorf", "given" : "Sabine", "non-dropping-particle" : "", "parse-names" : false, "suffix" : "" }, { "dropping-particle" : "", "family" : "Mauermann", "given" : "Oliver", "non-dropping-particle" : "", "parse-names" : false, "suffix" : "" }, { "dropping-particle" : "", "family" : "Lafer", "given" : "Ingrid", "non-dropping-particle" : "", "parse-names" : false, "suffix" : "" }, { "dropping-particle" : "", "family" : "Pristauz", "given" : "Gunda", "non-dropping-particle" : "", "parse-names" : false, "suffix" : "" }, { "dropping-particle" : "", "family" : "Lax", "given" : "Sigurd", "non-dropping-particle" : "", "parse-names" : false, "suffix" : "" }, { "dropping-particle" : "", "family" : "Pantel", "given" : "Klaus", "non-dropping-particle" : "", "parse-names" : false, "suffix" : "" }, { "dropping-particle" : "", "family" : "Geigl", "given" : "Jochen B", "non-dropping-particle" : "", "parse-names" : false, "suffix" : "" }, { "dropping-particle" : "", "family" : "Speicher", "given" : "Michael R", "non-dropping-particle" : "", "parse-names" : false, "suffix" : "" } ], "id" : "ITEM-1", "issued" : { "date-parts" : [ [ "2014" ] ] }, "title" : "The dynamic range of circulating tumor DNA in metastatic breast cancer", "type" : "article-journal" }, "uris" : [ "http://www.mendeley.com/documents/?uuid=f4fb3ea0-5c48-494d-bd14-7e323ec5da1b" ] } ], "mendeley" : { "formattedCitation" : "(6)", "plainTextFormattedCitation" : "(6)", "previouslyFormattedCitation" : "(6)" }, "properties" : { "noteIndex" : 0 }, "schema" : "https://github.com/citation-style-language/schema/raw/master/csl-citation.json" }</w:instrText>
      </w:r>
      <w:r w:rsidR="00BD6EA3">
        <w:rPr>
          <w:rFonts w:ascii="Arial" w:hAnsi="Arial"/>
          <w:color w:val="000000"/>
          <w:sz w:val="22"/>
          <w:szCs w:val="22"/>
        </w:rPr>
        <w:fldChar w:fldCharType="separate"/>
      </w:r>
      <w:r w:rsidR="008D1593" w:rsidRPr="008D1593">
        <w:rPr>
          <w:rFonts w:ascii="Arial" w:hAnsi="Arial"/>
          <w:noProof/>
          <w:color w:val="000000"/>
          <w:sz w:val="22"/>
          <w:szCs w:val="22"/>
        </w:rPr>
        <w:t>(6)</w:t>
      </w:r>
      <w:r w:rsidR="00BD6EA3">
        <w:rPr>
          <w:rFonts w:ascii="Arial" w:hAnsi="Arial"/>
          <w:color w:val="000000"/>
          <w:sz w:val="22"/>
          <w:szCs w:val="22"/>
        </w:rPr>
        <w:fldChar w:fldCharType="end"/>
      </w:r>
      <w:r w:rsidRPr="004B2DF2">
        <w:rPr>
          <w:rFonts w:ascii="Arial" w:hAnsi="Arial"/>
          <w:color w:val="000000"/>
          <w:sz w:val="22"/>
          <w:szCs w:val="22"/>
        </w:rPr>
        <w:t>.   </w:t>
      </w:r>
    </w:p>
    <w:p w14:paraId="794B67C7" w14:textId="17C37246" w:rsidR="001536D4" w:rsidRPr="004B2DF2" w:rsidRDefault="00514454" w:rsidP="001536D4">
      <w:pPr>
        <w:spacing w:after="220" w:line="360" w:lineRule="auto"/>
        <w:jc w:val="both"/>
        <w:rPr>
          <w:rFonts w:ascii="Arial" w:hAnsi="Arial"/>
          <w:color w:val="000000"/>
          <w:sz w:val="22"/>
          <w:szCs w:val="22"/>
        </w:rPr>
      </w:pPr>
      <w:r w:rsidRPr="004B2DF2">
        <w:rPr>
          <w:rFonts w:ascii="Arial" w:hAnsi="Arial"/>
          <w:color w:val="000000"/>
          <w:sz w:val="22"/>
          <w:szCs w:val="22"/>
        </w:rPr>
        <w:t xml:space="preserve">Successful discovery and tracking of mutations in ctDNA in order to </w:t>
      </w:r>
      <w:r w:rsidR="006E42A5">
        <w:rPr>
          <w:rFonts w:ascii="Arial" w:hAnsi="Arial"/>
          <w:color w:val="000000"/>
          <w:sz w:val="22"/>
          <w:szCs w:val="22"/>
        </w:rPr>
        <w:t>monitor</w:t>
      </w:r>
      <w:r w:rsidR="006E42A5" w:rsidRPr="004B2DF2">
        <w:rPr>
          <w:rFonts w:ascii="Arial" w:hAnsi="Arial"/>
          <w:color w:val="000000"/>
          <w:sz w:val="22"/>
          <w:szCs w:val="22"/>
        </w:rPr>
        <w:t xml:space="preserve"> </w:t>
      </w:r>
      <w:r w:rsidRPr="004B2DF2">
        <w:rPr>
          <w:rFonts w:ascii="Arial" w:hAnsi="Arial"/>
          <w:color w:val="000000"/>
          <w:sz w:val="22"/>
          <w:szCs w:val="22"/>
        </w:rPr>
        <w:t xml:space="preserve">treatment response in metastatic breast cancer has also been possible using </w:t>
      </w:r>
      <w:r w:rsidR="001536D4" w:rsidRPr="004B2DF2">
        <w:rPr>
          <w:rFonts w:ascii="Arial" w:hAnsi="Arial"/>
          <w:color w:val="000000"/>
          <w:sz w:val="22"/>
          <w:szCs w:val="22"/>
        </w:rPr>
        <w:t>WES</w:t>
      </w:r>
      <w:r w:rsidRPr="004B2DF2">
        <w:rPr>
          <w:rFonts w:ascii="Arial" w:hAnsi="Arial"/>
          <w:color w:val="000000"/>
          <w:sz w:val="22"/>
          <w:szCs w:val="22"/>
        </w:rPr>
        <w:t xml:space="preserve">, although this was limited to </w:t>
      </w:r>
      <w:r w:rsidR="001536D4" w:rsidRPr="004B2DF2">
        <w:rPr>
          <w:rFonts w:ascii="Arial" w:hAnsi="Arial"/>
          <w:color w:val="000000"/>
          <w:sz w:val="22"/>
          <w:szCs w:val="22"/>
        </w:rPr>
        <w:t>patients with high allelic fractions of tumour DNA</w:t>
      </w:r>
      <w:r w:rsidR="00677CE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"10.1038/nature12065", "ISSN" : "1476-4687", "PMID" : "23563269", "abstract" : "Cancers acquire resistance to systemic treatment as a result of clonal evolution and selection. Repeat biopsies to study genomic evolution as a result of therapy are difficult, invasive and may be confounded by intra-tumour heterogeneity. Recent studies have shown that genomic alterations in solid cancers can be characterized by massively parallel sequencing of circulating cell-free tumour DNA released from cancer cells into plasma, representing a non-invasive liquid biopsy. Here we report sequencing of cancer exomes in serial plasma samples to track genomic evolution of metastatic cancers in response to therapy. Six patients with advanced breast, ovarian and lung cancers were followed over 1-2 years. For each case, exome sequencing was performed on 2-5 plasma samples (19 in total) spanning multiple courses of treatment, at selected time points when the allele fraction of tumour mutations in plasma was high, allowing improved sensitivity. For two cases, synchronous biopsies were also analysed, confirming genome-wide representation of the tumour genome in plasma. Quantification of allele fractions in plasma identified increased representation of mutant alleles in association with emergence of therapy resistance. These included an activating mutation in PIK3CA (phosphatidylinositol-4,5-bisphosphate 3-kinase, catalytic subunit alpha) following treatment with paclitaxel; a truncating mutation in RB1 (retinoblastoma 1) following treatment with cisplatin; a truncating mutation in MED1 (mediator complex subunit 1) following treatment with tamoxifen and trastuzumab, and following subsequent treatment with lapatinib, a splicing mutation in GAS6 (growth arrest-specific 6) in the same patient; and a resistance-conferring mutation in EGFR (epidermal growth factor receptor; T790M) following treatment with gefitinib. These results establish proof of principle that exome-wide analysis of circulating tumour DNA could complement current invasive biopsy approaches to identify mutations associated with acquired drug resistance in advanced cancers. Serial analysis of cancer genomes in plasma constitutes a new paradigm for the study of clonal evolution in human cancers.", "author" : [ { "dropping-particle" : "", "family" : "Murtaza", "given" : "Muhammed", "non-dropping-particle" : "", "parse-names" : false, "suffix" : "" }, { "dropping-particle" : "", "family" : "Dawson", "given" : "Sarah-Jane", "non-dropping-particle" : "", "parse-names" : false, "suffix" : "" }, { "dropping-particle" : "", "family" : "Tsui", "given" : "Dana W Y", "non-dropping-particle" : "", "parse-names" : false, "suffix" : "" }, { "dropping-particle" : "", "family" : "Gale", "given" : "Davina", "non-dropping-particle" : "", "parse-names" : false, "suffix" : "" }, { "dropping-particle" : "", "family" : "Forshew", "given" : "Tim", "non-dropping-particle" : "", "parse-names" : false, "suffix" : "" }, { "dropping-particle" : "", "family" : "Piskorz", "given" : "Anna M", "non-dropping-particle" : "", "parse-names" : false, "suffix" : "" }, { "dropping-particle" : "", "family" : "Parkinson", "given" : "Christine", "non-dropping-particle" : "", "parse-names" : false, "suffix" : "" }, { "dropping-particle" : "", "family" : "Chin", "given" : "Suet-Feung", "non-dropping-particle" : "", "parse-names" : false, "suffix" : "" }, { "dropping-particle" : "", "family" : "Kingsbury", "given" : "Zoya", "non-dropping-particle" : "", "parse-names" : false, "suffix" : "" }, { "dropping-particle" : "", "family" : "Wong", "given" : "Alvin S C", "non-dropping-particle" : "", "parse-names" : false, "suffix" : "" }, { "dropping-particle" : "", "family" : "Marass", "given" : "Francesco", "non-dropping-particle" : "", "parse-names" : false, "suffix" : "" }, { "dropping-particle" : "", "family" : "Humphray", "given" : "Sean", "non-dropping-particle" : "", "parse-names" : false, "suffix" : "" }, { "dropping-particle" : "", "family" : "Hadfield", "given" : "James", "non-dropping-particle" : "", "parse-names" : false, "suffix" : "" }, { "dropping-particle" : "", "family" : "Bentley", "given" : "David", "non-dropping-particle" : "", "parse-names" : false, "suffix" : "" }, { "dropping-particle" : "", "family" : "Chin", "given" : "Tan Min", "non-dropping-particle" : "", "parse-names" : false, "suffix" : "" }, { "dropping-particle" : "", "family" : "Brenton", "given" : "James D", "non-dropping-particle" : "", "parse-names" : false, "suffix" : "" }, { "dropping-particle" : "", "family" : "Caldas", "given" : "Carlos", "non-dropping-particle" : "", "parse-names" : false, "suffix" : "" }, { "dropping-particle" : "", "family" : "Rosenfeld", "given" : "Nitzan", "non-dropping-particle" : "", "parse-names" : false, "suffix" : "" } ], "container-title" : "Nature", "id" : "ITEM-1", "issue" : "7447", "issued" : { "date-parts" : [ [ "2013", "5" ] ] }, "page" : "108-12", "publisher" : "Nature Publishing Group, a division of Macmillan Publishers Limited. All Rights Reserved.", "title" : "Non-invasive analysis of acquired resistance to cancer therapy by sequencing of plasma DNA.", "title-short" : "Nature", "type" : "article-journal", "volume" : "497" }, "uris" : [ "http://www.mendeley.com/documents/?uuid=dc4d78db-51a5-463f-b12b-56ff7b59833c" ] } ], "mendeley" : { "formattedCitation" : "(9)", "plainTextFormattedCitation" : "(9)", "previouslyFormattedCitation" : "(9)" }, "properties" : { "noteIndex" : 0 }, "schema" : "https://github.com/citation-style-language/schema/raw/master/csl-citation.json" }</w:instrText>
      </w:r>
      <w:r w:rsidR="00677CE1" w:rsidRPr="004B2DF2">
        <w:rPr>
          <w:rFonts w:ascii="Arial" w:hAnsi="Arial"/>
          <w:color w:val="000000"/>
          <w:sz w:val="22"/>
          <w:szCs w:val="22"/>
        </w:rPr>
        <w:fldChar w:fldCharType="separate"/>
      </w:r>
      <w:r w:rsidR="008D1593" w:rsidRPr="008D1593">
        <w:rPr>
          <w:rFonts w:ascii="Arial" w:hAnsi="Arial"/>
          <w:noProof/>
          <w:color w:val="000000"/>
          <w:sz w:val="22"/>
          <w:szCs w:val="22"/>
        </w:rPr>
        <w:t>(9)</w:t>
      </w:r>
      <w:r w:rsidR="00677CE1" w:rsidRPr="004B2DF2">
        <w:rPr>
          <w:rFonts w:ascii="Arial" w:hAnsi="Arial"/>
          <w:color w:val="000000"/>
          <w:sz w:val="22"/>
          <w:szCs w:val="22"/>
        </w:rPr>
        <w:fldChar w:fldCharType="end"/>
      </w:r>
      <w:r w:rsidR="001536D4" w:rsidRPr="004B2DF2">
        <w:rPr>
          <w:rFonts w:ascii="Arial" w:hAnsi="Arial"/>
          <w:color w:val="000000"/>
          <w:sz w:val="22"/>
          <w:szCs w:val="22"/>
        </w:rPr>
        <w:t xml:space="preserve">. </w:t>
      </w:r>
      <w:r w:rsidR="00600D92" w:rsidRPr="004B2DF2">
        <w:rPr>
          <w:rFonts w:ascii="Arial" w:hAnsi="Arial"/>
          <w:color w:val="000000"/>
          <w:sz w:val="22"/>
          <w:szCs w:val="22"/>
        </w:rPr>
        <w:t xml:space="preserve">The benefits of using broader capture panels, compared to targeted amplicon sequencing, is that more information can be obtained </w:t>
      </w:r>
      <w:r w:rsidR="001536D4" w:rsidRPr="004B2DF2">
        <w:rPr>
          <w:rFonts w:ascii="Arial" w:hAnsi="Arial"/>
          <w:color w:val="000000"/>
          <w:sz w:val="22"/>
          <w:szCs w:val="22"/>
        </w:rPr>
        <w:t>regarding the emergence of</w:t>
      </w:r>
      <w:r w:rsidR="00DD475D" w:rsidRPr="004B2DF2">
        <w:rPr>
          <w:rFonts w:ascii="Arial" w:hAnsi="Arial"/>
          <w:color w:val="000000"/>
          <w:sz w:val="22"/>
          <w:szCs w:val="22"/>
        </w:rPr>
        <w:t xml:space="preserve"> de novo mutatio</w:t>
      </w:r>
      <w:r w:rsidR="00B347DB" w:rsidRPr="004B2DF2">
        <w:rPr>
          <w:rFonts w:ascii="Arial" w:hAnsi="Arial"/>
          <w:color w:val="000000"/>
          <w:sz w:val="22"/>
          <w:szCs w:val="22"/>
        </w:rPr>
        <w:t>ns</w:t>
      </w:r>
      <w:r w:rsidR="00A95F55" w:rsidRPr="004B2DF2">
        <w:rPr>
          <w:rFonts w:ascii="Arial" w:hAnsi="Arial"/>
          <w:color w:val="000000"/>
          <w:sz w:val="22"/>
          <w:szCs w:val="22"/>
        </w:rPr>
        <w:t>.</w:t>
      </w:r>
      <w:r w:rsidR="001536D4" w:rsidRPr="004B2DF2">
        <w:rPr>
          <w:rFonts w:ascii="Arial" w:hAnsi="Arial"/>
          <w:color w:val="000000"/>
          <w:sz w:val="22"/>
          <w:szCs w:val="22"/>
        </w:rPr>
        <w:t xml:space="preserve"> </w:t>
      </w:r>
      <w:r w:rsidR="00F359A7" w:rsidRPr="004B2DF2">
        <w:rPr>
          <w:rFonts w:ascii="Arial" w:hAnsi="Arial"/>
          <w:color w:val="000000"/>
          <w:sz w:val="22"/>
          <w:szCs w:val="22"/>
        </w:rPr>
        <w:t xml:space="preserve">Indeed, </w:t>
      </w:r>
      <w:r w:rsidR="001536D4" w:rsidRPr="004B2DF2">
        <w:rPr>
          <w:rFonts w:ascii="Arial" w:hAnsi="Arial"/>
          <w:color w:val="000000"/>
          <w:sz w:val="22"/>
          <w:szCs w:val="22"/>
        </w:rPr>
        <w:t xml:space="preserve">recent </w:t>
      </w:r>
      <w:r w:rsidR="00707A70" w:rsidRPr="004B2DF2">
        <w:rPr>
          <w:rFonts w:ascii="Arial" w:hAnsi="Arial"/>
          <w:color w:val="000000"/>
          <w:sz w:val="22"/>
          <w:szCs w:val="22"/>
        </w:rPr>
        <w:t xml:space="preserve">studies of </w:t>
      </w:r>
      <w:r w:rsidR="00F359A7" w:rsidRPr="004B2DF2">
        <w:rPr>
          <w:rFonts w:ascii="Arial" w:hAnsi="Arial"/>
          <w:color w:val="000000"/>
          <w:sz w:val="22"/>
          <w:szCs w:val="22"/>
        </w:rPr>
        <w:t>WES of</w:t>
      </w:r>
      <w:r w:rsidR="001536D4" w:rsidRPr="004B2DF2">
        <w:rPr>
          <w:rFonts w:ascii="Arial" w:hAnsi="Arial"/>
          <w:color w:val="000000"/>
          <w:sz w:val="22"/>
          <w:szCs w:val="22"/>
        </w:rPr>
        <w:t xml:space="preserve"> plasma ha</w:t>
      </w:r>
      <w:r w:rsidR="00707A70" w:rsidRPr="004B2DF2">
        <w:rPr>
          <w:rFonts w:ascii="Arial" w:hAnsi="Arial"/>
          <w:color w:val="000000"/>
          <w:sz w:val="22"/>
          <w:szCs w:val="22"/>
        </w:rPr>
        <w:t>ve</w:t>
      </w:r>
      <w:r w:rsidR="001536D4" w:rsidRPr="004B2DF2">
        <w:rPr>
          <w:rFonts w:ascii="Arial" w:hAnsi="Arial"/>
          <w:color w:val="000000"/>
          <w:sz w:val="22"/>
          <w:szCs w:val="22"/>
        </w:rPr>
        <w:t xml:space="preserve"> shown the detection of mutations distinct to the primary tumour, including potentially actionable mutations in PIK3CA and ESR1</w:t>
      </w:r>
      <w:r w:rsidR="00CB4E5F">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"10.1371/journal.pone.0136407", "abstract" : "The identification of the molecular drivers of cancer by sequencing is the backbone of preci-sion medicine and the basis of personalized therapy; however, biopsies of primary tumors provide only a snapshot of the evolution of the disease and may miss potential therapeutic targets, especially in the metastatic setting. A liquid biopsy, in the form of cell-free DNA (cfDNA) sequencing, has the potential to capture the inter-and intra-tumoral heterogeneity present in metastatic disease, and, through serial blood draws, track the evolution of the tumor genome. In order to determine the clinical utility of cfDNA sequencing we performed whole-exome sequencing on cfDNA and tumor DNA from two patients with metastatic disease; only minor modifications to our sequencing and analysis pipelines were required for sequencing and mutation calling of cfDNA. The first patient had metastatic sarcoma and 47 of 48 mutations present in the primary tumor were also found in the cell-free DNA. The second patient had metastatic breast cancer and sequencing identified an ESR1 mutation in the cfDNA and metastatic site, but not in the primary tumor. This likely explains tumor progression on Ana-strozole. Significant heterogeneity between the primary and metastatic tumors, with cfDNA reflecting the metastases, suggested separation from the primary lesion early in tumor evolution. This is best illustrated by an activating PIK3CA mutation (H1047R) which was clonal in the primary tumor, but completely absent from either the metastasis or cfDNA. Here we show that cfDNA sequencing supplies clinically actionable information with mini-mal risks compared to metastatic biopsies. This study demonstrates the utility of whole-exome sequencing of cell-free DNA from patients with metastatic disease. cfDNA sequenc-ing identified an ESR1 mutation, potentially explaining a patient's resistance to aromatase inhibition, and gave insight into how metastatic lesions differ from the primary tumor.", "author" : [ { "dropping-particle" : "", "family" : "Butler", "given" : "Timothy M", "non-dropping-particle" : "", "parse-names" : false, "suffix" : "" }, { "dropping-particle" : "", "family" : "Johnson-Camacho", "given" : "Katherine", "non-dropping-particle" : "", "parse-names" : false, "suffix" : "" }, { "dropping-particle" : "", "family" : "Peto", "given" : "Myron", "non-dropping-particle" : "", "parse-names" : false, "suffix" : "" }, { "dropping-particle" : "", "family" : "Wang", "given" : "Nicholas J", "non-dropping-particle" : "", "parse-names" : false, "suffix" : "" }, { "dropping-particle" : "", "family" : "Macey", "given" : "Tara A", "non-dropping-particle" : "", "parse-names" : false, "suffix" : "" }, { "dropping-particle" : "", "family" : "Korkola", "given" : "James E", "non-dropping-particle" : "", "parse-names" : false, "suffix" : "" }, { "dropping-particle" : "", "family" : "Koppie", "given" : "Theresa M", "non-dropping-particle" : "", "parse-names" : false, "suffix" : "" }, { "dropping-particle" : "", "family" : "Corless", "given" : "Christopher L", "non-dropping-particle" : "", "parse-names" : false, "suffix" : "" }, { "dropping-particle" : "", "family" : "Gray", "given" : "Joe W", "non-dropping-particle" : "", "parse-names" : false, "suffix" : "" }, { "dropping-particle" : "", "family" : "Spellman", "given" : "Paul T", "non-dropping-particle" : "", "parse-names" : false, "suffix" : "" }, { "dropping-particle" : "", "family" : "Richards", "given" : "Kristy L", "non-dropping-particle" : "", "parse-names" : false, "suffix" : "" } ], "id" : "ITEM-1", "issued" : { "date-parts" : [ [ "2015" ] ] }, "title" : "Exome Sequencing of Cell-Free DNA from Metastatic Cancer Patients Identifies Clinically Actionable Mutations Distinct from Primary Disease", "type" : "article-journal" }, "uris" : [ "http://www.mendeley.com/documents/?uuid=f01eefb9-7184-4831-a405-faecd4ac5fc9" ] } ], "mendeley" : { "formattedCitation" : "(10)", "plainTextFormattedCitation" : "(10)", "previouslyFormattedCitation" : "(10)" }, "properties" : { "noteIndex" : 0 }, "schema" : "https://github.com/citation-style-language/schema/raw/master/csl-citation.json" }</w:instrText>
      </w:r>
      <w:r w:rsidR="00CB4E5F">
        <w:rPr>
          <w:rFonts w:ascii="Arial" w:hAnsi="Arial"/>
          <w:color w:val="000000"/>
          <w:sz w:val="22"/>
          <w:szCs w:val="22"/>
        </w:rPr>
        <w:fldChar w:fldCharType="separate"/>
      </w:r>
      <w:r w:rsidR="008D1593" w:rsidRPr="008D1593">
        <w:rPr>
          <w:rFonts w:ascii="Arial" w:hAnsi="Arial"/>
          <w:noProof/>
          <w:color w:val="000000"/>
          <w:sz w:val="22"/>
          <w:szCs w:val="22"/>
        </w:rPr>
        <w:t>(10)</w:t>
      </w:r>
      <w:r w:rsidR="00CB4E5F">
        <w:rPr>
          <w:rFonts w:ascii="Arial" w:hAnsi="Arial"/>
          <w:color w:val="000000"/>
          <w:sz w:val="22"/>
          <w:szCs w:val="22"/>
        </w:rPr>
        <w:fldChar w:fldCharType="end"/>
      </w:r>
      <w:r w:rsidR="00677CE1" w:rsidRPr="004B2DF2">
        <w:rPr>
          <w:rFonts w:ascii="Arial" w:hAnsi="Arial"/>
          <w:color w:val="000000"/>
          <w:sz w:val="22"/>
          <w:szCs w:val="22"/>
        </w:rPr>
        <w:t>.</w:t>
      </w:r>
      <w:r w:rsidR="00707A70" w:rsidRPr="004B2DF2">
        <w:rPr>
          <w:rFonts w:ascii="Arial" w:hAnsi="Arial"/>
          <w:color w:val="000000"/>
          <w:sz w:val="22"/>
          <w:szCs w:val="22"/>
        </w:rPr>
        <w:t xml:space="preserve"> </w:t>
      </w:r>
      <w:r w:rsidR="001536D4" w:rsidRPr="004B2DF2">
        <w:rPr>
          <w:rFonts w:ascii="Arial" w:hAnsi="Arial"/>
          <w:color w:val="000000"/>
          <w:sz w:val="22"/>
          <w:szCs w:val="22"/>
        </w:rPr>
        <w:t>For patients with brain metastases, ctDNA is n</w:t>
      </w:r>
      <w:r w:rsidR="00E90870" w:rsidRPr="004B2DF2">
        <w:rPr>
          <w:rFonts w:ascii="Arial" w:hAnsi="Arial"/>
          <w:color w:val="000000"/>
          <w:sz w:val="22"/>
          <w:szCs w:val="22"/>
        </w:rPr>
        <w:t>ot</w:t>
      </w:r>
      <w:r w:rsidR="001536D4" w:rsidRPr="004B2DF2">
        <w:rPr>
          <w:rFonts w:ascii="Arial" w:hAnsi="Arial"/>
          <w:color w:val="000000"/>
          <w:sz w:val="22"/>
          <w:szCs w:val="22"/>
        </w:rPr>
        <w:t xml:space="preserve"> optimally represented in the plasma</w:t>
      </w:r>
      <w:r w:rsidR="00041BB6" w:rsidRPr="004B2DF2">
        <w:rPr>
          <w:rFonts w:ascii="Arial" w:hAnsi="Arial"/>
          <w:color w:val="000000"/>
          <w:sz w:val="22"/>
          <w:szCs w:val="22"/>
        </w:rPr>
        <w:t>.</w:t>
      </w:r>
      <w:r w:rsidR="00E136F8" w:rsidRPr="004B2DF2">
        <w:rPr>
          <w:rFonts w:ascii="Arial" w:hAnsi="Arial"/>
          <w:color w:val="000000"/>
          <w:sz w:val="22"/>
          <w:szCs w:val="22"/>
        </w:rPr>
        <w:t xml:space="preserve"> </w:t>
      </w:r>
      <w:r w:rsidR="00041BB6" w:rsidRPr="004B2DF2">
        <w:rPr>
          <w:rFonts w:ascii="Arial" w:hAnsi="Arial"/>
          <w:color w:val="000000"/>
          <w:sz w:val="22"/>
          <w:szCs w:val="22"/>
        </w:rPr>
        <w:t xml:space="preserve">This was </w:t>
      </w:r>
      <w:r w:rsidR="00E136F8" w:rsidRPr="004B2DF2">
        <w:rPr>
          <w:rFonts w:ascii="Arial" w:hAnsi="Arial"/>
          <w:color w:val="000000"/>
          <w:sz w:val="22"/>
          <w:szCs w:val="22"/>
        </w:rPr>
        <w:t xml:space="preserve">shown in </w:t>
      </w:r>
      <w:r w:rsidR="001536D4" w:rsidRPr="004B2DF2">
        <w:rPr>
          <w:rFonts w:ascii="Arial" w:hAnsi="Arial"/>
          <w:color w:val="000000"/>
          <w:sz w:val="22"/>
          <w:szCs w:val="22"/>
        </w:rPr>
        <w:t xml:space="preserve">a recent </w:t>
      </w:r>
      <w:r w:rsidR="00A15150" w:rsidRPr="004B2DF2">
        <w:rPr>
          <w:rFonts w:ascii="Arial" w:hAnsi="Arial"/>
          <w:color w:val="000000"/>
          <w:sz w:val="22"/>
          <w:szCs w:val="22"/>
        </w:rPr>
        <w:t>study where</w:t>
      </w:r>
      <w:r w:rsidR="00041BB6" w:rsidRPr="004B2DF2">
        <w:rPr>
          <w:rFonts w:ascii="Arial" w:hAnsi="Arial"/>
          <w:color w:val="000000"/>
          <w:sz w:val="22"/>
          <w:szCs w:val="22"/>
        </w:rPr>
        <w:t>by</w:t>
      </w:r>
      <w:r w:rsidR="00102483" w:rsidRPr="004B2DF2">
        <w:rPr>
          <w:rFonts w:ascii="Arial" w:hAnsi="Arial"/>
          <w:color w:val="000000"/>
          <w:sz w:val="22"/>
          <w:szCs w:val="22"/>
        </w:rPr>
        <w:t>, in</w:t>
      </w:r>
      <w:r w:rsidR="00CB4014" w:rsidRPr="004B2DF2">
        <w:rPr>
          <w:rFonts w:ascii="Arial" w:hAnsi="Arial"/>
          <w:color w:val="000000"/>
          <w:sz w:val="22"/>
          <w:szCs w:val="22"/>
        </w:rPr>
        <w:t xml:space="preserve"> 6 patients where</w:t>
      </w:r>
      <w:r w:rsidR="001536D4" w:rsidRPr="004B2DF2">
        <w:rPr>
          <w:rFonts w:ascii="Arial" w:hAnsi="Arial"/>
          <w:color w:val="000000"/>
          <w:sz w:val="22"/>
          <w:szCs w:val="22"/>
        </w:rPr>
        <w:t xml:space="preserve"> </w:t>
      </w:r>
      <w:r w:rsidR="00CB4014" w:rsidRPr="004B2DF2">
        <w:rPr>
          <w:rFonts w:ascii="Arial" w:hAnsi="Arial"/>
          <w:color w:val="000000"/>
          <w:sz w:val="22"/>
          <w:szCs w:val="22"/>
        </w:rPr>
        <w:t>breast cancer had metastasised to the brain</w:t>
      </w:r>
      <w:r w:rsidR="001536D4" w:rsidRPr="004B2DF2">
        <w:rPr>
          <w:rFonts w:ascii="Arial" w:hAnsi="Arial"/>
          <w:color w:val="000000"/>
          <w:sz w:val="22"/>
          <w:szCs w:val="22"/>
        </w:rPr>
        <w:t xml:space="preserve">, </w:t>
      </w:r>
      <w:r w:rsidR="00D9370C" w:rsidRPr="004B2DF2">
        <w:rPr>
          <w:rFonts w:ascii="Arial" w:hAnsi="Arial"/>
          <w:color w:val="000000"/>
          <w:sz w:val="22"/>
          <w:szCs w:val="22"/>
        </w:rPr>
        <w:t xml:space="preserve">tumour </w:t>
      </w:r>
      <w:r w:rsidR="001536D4" w:rsidRPr="004B2DF2">
        <w:rPr>
          <w:rFonts w:ascii="Arial" w:hAnsi="Arial"/>
          <w:color w:val="000000"/>
          <w:sz w:val="22"/>
          <w:szCs w:val="22"/>
        </w:rPr>
        <w:t xml:space="preserve">DNA could be detected in the CSF for all patients but was only found in the plasma </w:t>
      </w:r>
      <w:r w:rsidR="00CB4014" w:rsidRPr="004B2DF2">
        <w:rPr>
          <w:rFonts w:ascii="Arial" w:hAnsi="Arial"/>
          <w:color w:val="000000"/>
          <w:sz w:val="22"/>
          <w:szCs w:val="22"/>
        </w:rPr>
        <w:t>when there was</w:t>
      </w:r>
      <w:r w:rsidR="001536D4" w:rsidRPr="004B2DF2">
        <w:rPr>
          <w:rFonts w:ascii="Arial" w:hAnsi="Arial"/>
          <w:color w:val="000000"/>
          <w:sz w:val="22"/>
          <w:szCs w:val="22"/>
        </w:rPr>
        <w:t xml:space="preserve"> significant extracranial disease</w:t>
      </w:r>
      <w:r w:rsidR="00D83653"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"10.1038/ncomms9839", "ISSN" : "2041-1723", "author" : [ { "dropping-particle" : "", "family" : "Mattos-Arruda", "given" : "Leticia", "non-dropping-particle" : "De", "parse-names" : false, "suffix" : "" }, { "dropping-particle" : "", "family" : "Mayor", "given" : "Regina", "non-dropping-particle" : "", "parse-names" : false, "suffix" : "" }, { "dropping-particle" : "", "family" : "Ng", "given" : "Charlotte K. Y.", "non-dropping-particle" : "", "parse-names" : false, "suffix" : "" }, { "dropping-particle" : "", "family" : "Weigelt", "given" : "Britta", "non-dropping-particle" : "", "parse-names" : false, "suffix" : "" }, { "dropping-particle" : "", "family" : "Mart\u00ednez-Ricarte", "given" : "Francisco", "non-dropping-particle" : "", "parse-names" : false, "suffix" : "" }, { "dropping-particle" : "", "family" : "Torrejon", "given" : "Davis", "non-dropping-particle" : "", "parse-names" : false, "suffix" : "" }, { "dropping-particle" : "", "family" : "Oliveira", "given" : "Mafalda", "non-dropping-particle" : "", "parse-names" : false, "suffix" : "" }, { "dropping-particle" : "", "family" : "Arias", "given" : "Alexandra", "non-dropping-particle" : "", "parse-names" : false, "suffix" : "" }, { "dropping-particle" : "", "family" : "Raventos", "given" : "Carolina", "non-dropping-particle" : "", "parse-names" : false, "suffix" : "" }, { "dropping-particle" : "", "family" : "Tang", "given" : "Jiabin", "non-dropping-particle" : "", "parse-names" : false, "suffix" : "" }, { "dropping-particle" : "", "family" : "Guerini-Rocco", "given" : "Elena", "non-dropping-particle" : "", "parse-names" : false, "suffix" : "" }, { "dropping-particle" : "", "family" : "Mart\u00ednez-S\u00e1ez", "given" : "Elena", "non-dropping-particle" : "", "parse-names" : false, "suffix" : "" }, { "dropping-particle" : "", "family" : "Lois", "given" : "Sergio", "non-dropping-particle" : "", "parse-names" : false, "suffix" : "" }, { "dropping-particle" : "", "family" : "Mar\u00edn", "given" : "Oscar", "non-dropping-particle" : "", "parse-names" : false, "suffix" : "" }, { "dropping-particle" : "", "family" : "la Cruz", "given" : "Xavier", "non-dropping-particle" : "de", "parse-names" : false, "suffix" : "" }, { "dropping-particle" : "", "family" : "Piscuoglio", "given" : "Salvatore", "non-dropping-particle" : "", "parse-names" : false, "suffix" : "" }, { "dropping-particle" : "", "family" : "Towers", "given" : "Russel", "non-dropping-particle" : "", "parse-names" : false, "suffix" : "" }, { "dropping-particle" : "", "family" : "Vivancos", "given" : "Ana", "non-dropping-particle" : "", "parse-names" : false, "suffix" : "" }, { "dropping-particle" : "", "family" : "Peg", "given" : "Vicente", "non-dropping-particle" : "", "parse-names" : false, "suffix" : "" }, { "dropping-particle" : "", "family" : "Cajal", "given" : "Santiago Ramon y", "non-dropping-particle" : "", "parse-names" : false, "suffix" : "" }, { "dropping-particle" : "", "family" : "Carles", "given" : "Joan", "non-dropping-particle" : "", "parse-names" : false, "suffix" : "" }, { "dropping-particle" : "", "family" : "Rodon", "given" : "Jordi", "non-dropping-particle" : "", "parse-names" : false, "suffix" : "" }, { "dropping-particle" : "", "family" : "Gonz\u00e1lez-Cao", "given" : "Mar\u00eda", "non-dropping-particle" : "", "parse-names" : false, "suffix" : "" }, { "dropping-particle" : "", "family" : "Tabernero", "given" : "Josep", "non-dropping-particle" : "", "parse-names" : false, "suffix" : "" }, { "dropping-particle" : "", "family" : "Felip", "given" : "Enriqueta", "non-dropping-particle" : "", "parse-names" : false, "suffix" : "" }, { "dropping-particle" : "", "family" : "Sahuquillo", "given" : "Joan", "non-dropping-particle" : "", "parse-names" : false, "suffix" : "" }, { "dropping-particle" : "", "family" : "Berger", "given" : "Michael F.", "non-dropping-particle" : "", "parse-names" : false, "suffix" : "" }, { "dropping-particle" : "", "family" : "Cortes", "given" : "Javier", "non-dropping-particle" : "", "parse-names" : false, "suffix" : "" }, { "dropping-particle" : "", "family" : "Reis-Filho", "given" : "Jorge S.", "non-dropping-particle" : "", "parse-names" : false, "suffix" : "" }, { "dropping-particle" : "", "family" : "Seoane", "given" : "Joan", "non-dropping-particle" : "", "parse-names" : false, "suffix" : "" }, { "dropping-particle" : "", "family" : "Gerlinger", "given" : "M.", "non-dropping-particle" : "", "parse-names" : false, "suffix" : "" }, { "dropping-particle" : "", "family" : "Sottoriva", "given" : "A.", "non-dropping-particle" : "", "parse-names" : false, "suffix" : "" }, { "dropping-particle" : "", "family" : "Omuro", "given" : "A.", "non-dropping-particle" : "", "parse-names" : false, "suffix" : "" }, { "dropping-particle" : "", "family" : "DeAngelis", "given" : "L. M.", "non-dropping-particle" : "", "parse-names" : false, "suffix" : "" }, { "dropping-particle" : "", "family" : "Murtaza", "given" : "M.", "non-dropping-particle" : "", "parse-names" : false, "suffix" : "" }, { "dropping-particle" : "", "family" : "Dawson", "given" : "S. J.", "non-dropping-particle" : "", "parse-names" : false, "suffix" : "" }, { "dropping-particle" : "De", "family" : "Mattos-Arruda", "given" : "L.", "non-dropping-particle" : "", "parse-names" : false, "suffix" : "" }, { "dropping-particle" : "", "family" : "Bettegowda", "given" : "C.", "non-dropping-particle" : "", "parse-names" : false, "suffix" : "" }, { "dropping-particle" : "", "family" : "Segal", "given" : "M. B.", "non-dropping-particle" : "", "parse-names" : false, "suffix" : "" }, { "dropping-particle" : "", "family" : "Pan", "given" : "W.", "non-dropping-particle" : "", "parse-names" : false, "suffix" : "" }, { "dropping-particle" : "", "family" : "Gu", "given" : "W.", "non-dropping-particle" : "", "parse-names" : false, "suffix" : "" }, { "dropping-particle" : "", "family" : "Nagpal", "given" : "S.", "non-dropping-particle" : "", "parse-names" : false, "suffix" : "" }, { "dropping-particle" : "", "family" : "Gephart", "given" : "M. H.", "non-dropping-particle" : "", "parse-names" : false, "suffix" : "" }, { "dropping-particle" : "", "family" : "Quake", "given" : "S. R.", "non-dropping-particle" : "", "parse-names" : false, "suffix" : "" }, { "dropping-particle" : "", "family" : "Cheng", "given" : "D. T.", "non-dropping-particle" : "", "parse-names" : false, "suffix" : "" }, { "dropping-particle" : "", "family" : "Brastianos", "given" : "P. K.", "non-dropping-particle" : "", "parse-names" : false, "suffix" : "" }, { "dropping-particle" : "", "family" : "Johnson", "given" : "B. E.", "non-dropping-particle" : "", "parse-names" : false, "suffix" : "" }, { "dropping-particle" : "", "family" : "Ding", "given" : "L.", "non-dropping-particle" : "", "parse-names" : false, "suffix" : "" }, { "dropping-particle" : "", "family" : "Saunus", "given" : "J. M.", "non-dropping-particle" : "", "parse-names" : false, "suffix" : "" }, { "dropping-particle" : "", "family" : "Paik", "given" : "P. K.", "non-dropping-particle" : "", "parse-names" : false, "suffix" : "" }, { "dropping-particle" : "", "family" : "Hernandez", "given" : "L.", "non-dropping-particle" : "", "parse-names" : false, "suffix" : "" }, { "dropping-particle" : "", "family" : "Won", "given" : "H. H.", "non-dropping-particle" : "", "parse-names" : false, "suffix" : "" }, { "dropping-particle" : "", "family" : "Scott", "given" : "S. N.", "non-dropping-particle" : "", "parse-names" : false, "suffix" : "" }, { "dropping-particle" : "", "family" : "Brannon", "given" : "A. R.", "non-dropping-particle" : "", "parse-names" : false, "suffix" : "" }, { "dropping-particle" : "", "family" : "Shah", "given" : "R. H.", "non-dropping-particle" : "", "parse-names" : false, "suffix" : "" }, { "dropping-particle" : "", "family" : "Berger", "given" : "M. F.", "non-dropping-particle" : "", "parse-names" : false, "suffix" : "" }, { "dropping-particle" : "", "family" : "Natrajan", "given" : "R.", "non-dropping-particle" : "", "parse-names" : false, "suffix" : "" }, { "dropping-particle" : "", "family" : "Li", "given" : "H.", "non-dropping-particle" : "", "parse-names" : false, "suffix" : "" }, { "dropping-particle" : "", "family" : "Durbin", "given" : "R.", "non-dropping-particle" : "", "parse-names" : false, "suffix" : "" }, { "dropping-particle" : "", "family" : "DePristo", "given" : "M. A.", "non-dropping-particle" : "", "parse-names" : false, "suffix" : "" }, { "dropping-particle" : "", "family" : "Cibulskis", "given" : "K.", "non-dropping-particle" : "", "parse-names" : false, "suffix" : "" }, { "dropping-particle" : "", "family" : "Saunders", "given" : "C. T.", "non-dropping-particle" : "", "parse-names" : false, "suffix" : "" }, { "dropping-particle" : "", "family" : "Koboldt", "given" : "D. C.", "non-dropping-particle" : "", "parse-names" : false, "suffix" : "" }, { "dropping-particle" : "", "family" : "Robinson", "given" : "J. T.", "non-dropping-particle" : "", "parse-names" : false, "suffix" : "" }, { "dropping-particle" : "", "family" : "Lamble", "given" : "S.", "non-dropping-particle" : "", "parse-names" : false, "suffix" : "" }, { "dropping-particle" : "", "family" : "Forshew", "given" : "T.", "non-dropping-particle" : "", "parse-names" : false, "suffix" : "" } ], "container-title" : "Nature Communications", "id" : "ITEM-1", "issued" : { "date-parts" : [ [ "2015", "11" ] ] }, "page" : "8839", "publisher" : "Nature Publishing Group", "title" : "Cerebrospinal fluid-derived circulating tumour DNA better represents the genomic alterations of brain tumours than plasma", "type" : "article-journal", "volume" : "6" }, "uris" : [ "http://www.mendeley.com/documents/?uuid=ae4113fe-7569-335e-9168-75a3b8456de7", "http://www.mendeley.com/documents/?uuid=4b558f55-77c8-44a4-aded-cc73ccb6a1e2" ] } ], "mendeley" : { "formattedCitation" : "(11)", "plainTextFormattedCitation" : "(11)", "previouslyFormattedCitation" : "(11)" }, "properties" : { "noteIndex" : 0 }, "schema" : "https://github.com/citation-style-language/schema/raw/master/csl-citation.json" }</w:instrText>
      </w:r>
      <w:r w:rsidR="00D83653" w:rsidRPr="004B2DF2">
        <w:rPr>
          <w:rFonts w:ascii="Arial" w:hAnsi="Arial"/>
          <w:color w:val="000000"/>
          <w:sz w:val="22"/>
          <w:szCs w:val="22"/>
        </w:rPr>
        <w:fldChar w:fldCharType="separate"/>
      </w:r>
      <w:r w:rsidR="008D1593" w:rsidRPr="008D1593">
        <w:rPr>
          <w:rFonts w:ascii="Arial" w:hAnsi="Arial"/>
          <w:noProof/>
          <w:color w:val="000000"/>
          <w:sz w:val="22"/>
          <w:szCs w:val="22"/>
        </w:rPr>
        <w:t>(11)</w:t>
      </w:r>
      <w:r w:rsidR="00D83653" w:rsidRPr="004B2DF2">
        <w:rPr>
          <w:rFonts w:ascii="Arial" w:hAnsi="Arial"/>
          <w:color w:val="000000"/>
          <w:sz w:val="22"/>
          <w:szCs w:val="22"/>
        </w:rPr>
        <w:fldChar w:fldCharType="end"/>
      </w:r>
      <w:r w:rsidR="001536D4" w:rsidRPr="004B2DF2">
        <w:rPr>
          <w:rFonts w:ascii="Arial" w:hAnsi="Arial"/>
          <w:color w:val="000000"/>
          <w:sz w:val="22"/>
          <w:szCs w:val="22"/>
        </w:rPr>
        <w:t>.</w:t>
      </w:r>
    </w:p>
    <w:p w14:paraId="74522E5C" w14:textId="77777777" w:rsidR="001536D4" w:rsidRPr="00103B00" w:rsidRDefault="001536D4" w:rsidP="001536D4">
      <w:pPr>
        <w:spacing w:line="360" w:lineRule="auto"/>
        <w:jc w:val="both"/>
        <w:rPr>
          <w:rFonts w:ascii="Times" w:hAnsi="Times"/>
          <w:b/>
          <w:sz w:val="24"/>
          <w:szCs w:val="24"/>
        </w:rPr>
      </w:pPr>
      <w:r w:rsidRPr="00103B00">
        <w:rPr>
          <w:rFonts w:ascii="Arial" w:hAnsi="Arial"/>
          <w:b/>
          <w:bCs/>
          <w:color w:val="000000"/>
          <w:sz w:val="24"/>
          <w:szCs w:val="24"/>
        </w:rPr>
        <w:t>Specific resistance mechanisms</w:t>
      </w:r>
    </w:p>
    <w:p w14:paraId="0FC96F98" w14:textId="77777777" w:rsidR="001536D4" w:rsidRPr="004B2DF2" w:rsidRDefault="001536D4" w:rsidP="001536D4">
      <w:pPr>
        <w:spacing w:line="360" w:lineRule="auto"/>
        <w:jc w:val="both"/>
        <w:rPr>
          <w:rFonts w:ascii="Times" w:hAnsi="Times"/>
          <w:sz w:val="22"/>
          <w:szCs w:val="22"/>
        </w:rPr>
      </w:pPr>
      <w:r w:rsidRPr="00EF2B89">
        <w:rPr>
          <w:rFonts w:ascii="Arial" w:hAnsi="Arial"/>
          <w:b/>
          <w:bCs/>
          <w:color w:val="000000"/>
          <w:sz w:val="22"/>
          <w:szCs w:val="22"/>
        </w:rPr>
        <w:t>The PIK3CA pathway</w:t>
      </w:r>
      <w:r w:rsidRPr="004B2DF2">
        <w:rPr>
          <w:rFonts w:ascii="Arial" w:hAnsi="Arial"/>
          <w:bCs/>
          <w:color w:val="000000"/>
          <w:sz w:val="22"/>
          <w:szCs w:val="22"/>
        </w:rPr>
        <w:t xml:space="preserve">   </w:t>
      </w:r>
    </w:p>
    <w:p w14:paraId="29D75337" w14:textId="5585CA41" w:rsidR="001E59E0"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 xml:space="preserve">Analysis of the genomic landscape of breast cancer shows that </w:t>
      </w:r>
      <w:r w:rsidRPr="00EF2B89">
        <w:rPr>
          <w:rFonts w:ascii="Arial" w:hAnsi="Arial"/>
          <w:i/>
          <w:color w:val="000000"/>
          <w:sz w:val="22"/>
          <w:szCs w:val="22"/>
        </w:rPr>
        <w:t>PIK3CA</w:t>
      </w:r>
      <w:r w:rsidRPr="004B2DF2">
        <w:rPr>
          <w:rFonts w:ascii="Arial" w:hAnsi="Arial"/>
          <w:color w:val="000000"/>
          <w:sz w:val="22"/>
          <w:szCs w:val="22"/>
        </w:rPr>
        <w:t xml:space="preserve"> is one of the most commonly mutated genes in all subtypes of the disease and is a well known </w:t>
      </w:r>
      <w:r w:rsidR="00EB34D0" w:rsidRPr="004B2DF2">
        <w:rPr>
          <w:rFonts w:ascii="Arial" w:hAnsi="Arial"/>
          <w:color w:val="000000"/>
          <w:sz w:val="22"/>
          <w:szCs w:val="22"/>
        </w:rPr>
        <w:t xml:space="preserve">oncogenic </w:t>
      </w:r>
      <w:r w:rsidRPr="004B2DF2">
        <w:rPr>
          <w:rFonts w:ascii="Arial" w:hAnsi="Arial"/>
          <w:color w:val="000000"/>
          <w:sz w:val="22"/>
          <w:szCs w:val="22"/>
        </w:rPr>
        <w:t>driver gene</w:t>
      </w:r>
      <w:r w:rsidR="006327D2"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"All cancers carry somatic mutations in their genomes. A subset, known as driver mutations, confer clonal selective advantage on cancer cells and are causally implicated in oncogenesis, and the remainder are passenger mutations. The driver mutations and mutational processes operative in breast cancer have not yet been comprehensively explored. Here we examine the genomes of 100 tumours for somatic copy number changes and mutations in the coding exons of protein-coding genes. The number of somatic mutations varied markedly between individual tumours. We found strong correlations between mutation number, age at which cancer was diagnosed and cancer histological grade, and observed multiple mutational signatures, including one present in about ten per cent of tumours characterized by numerous mutations of cytosine at TpC dinucleotides. Driver mutations were identified in several new cancer genes including AKT2, ARID1B, CASP8, CDKN1B, MAP3K1, MAP3K13, NCOR1, SMARCD1 and TBX3. Among the 100 tumours, we found driver mutations in at least 40 cancer genes and 73 different combinations of mutated cancer genes. The results highlight the substantial genetic diversity underlying this common disease.", "author" : [ { "dropping-particle" : "", "family" : "Stephens", "given" : "Philip J", "non-dropping-particle" : "", "parse-names" : false, "suffix" : "" }, { "dropping-particle" : "", "family" : "Tarpey", "given" : "Patrick S", "non-dropping-particle" : "", "parse-names" : false, "suffix" : "" }, { "dropping-particle" : "", "family" : "Davies", "given" : "Helen", "non-dropping-particle" : "", "parse-names" : false, "suffix" : "" }, { "dropping-particle" : "", "family" : "Loo", "given" : "Peter", "non-dropping-particle" : "Van", "parse-names" : false, "suffix" : "" }, { "dropping-particle" : "", "family" : "Greenman", "given" : "Chris", "non-dropping-particle" : "", "parse-names" : false, "suffix" : "" }, { "dropping-particle" : "", "family" : "Wedge", "given" : "David C", "non-dropping-particle" : "", "parse-names" : false, "suffix" : "" }, { "dropping-particle" : "", "family" : "Nik-Zainal", "given" : "Serena", "non-dropping-particle" : "", "parse-names" : false, "suffix" : "" }, { "dropping-particle" : "", "family" : "Martin", "given" : "Sancha", "non-dropping-particle" : "", "parse-names" : false, "suffix" : "" }, { "dropping-particle" : "", "family" : "Varela", "given" : "Ignacio", "non-dropping-particle" : "", "parse-names" : false, "suffix" : "" }, { "dropping-particle" : "", "family" : "Bignell", "given" : "Graham R", "non-dropping-particle" : "", "parse-names" : false, "suffix" : "" }, { "dropping-particle" : "", "family" : "Yates", "given" : "Lucy R", "non-dropping-particle" : "", "parse-names" : false, "suffix" : "" }, { "dropping-particle" : "", "family" : "Papaemmanuil", "given" : "Elli", "non-dropping-particle" : "", "parse-names" : false, "suffix" : "" }, { "dropping-particle" : "", "family" : "Beare", "given" : "David", "non-dropping-particle" : "", "parse-names" : false, "suffix" : "" }, { "dropping-particle" : "", "family" : "Butler", "given" : "Adam", "non-dropping-particle" : "", "parse-names" : false, "suffix" : "" }, { "dropping-particle" : "", "family" : "Cheverton", "given" : "Angela", "non-dropping-particle" : "", "parse-names" : false, "suffix" : "" }, { "dropping-particle" : "", "family" : "Gamble", "given" : "John", "non-dropping-particle" : "", "parse-names" : false, "suffix" : "" }, { "dropping-particle" : "", "family" : "Hinton", "given" : "Jonathan", "non-dropping-particle" : "", "parse-names" : false, "suffix" : "" }, { "dropping-particle" : "", "family" : "Jia", "given" : "Mingming", "non-dropping-particle" : "", "parse-names" : false, "suffix" : "" }, { "dropping-particle" : "", "family" : "Jayakumar", "given" : "Alagu", "non-dropping-particle" : "", "parse-names" : false, "suffix" : "" }, { "dropping-particle" : "", "family" : "Jones", "given" : "David", "non-dropping-particle" : "", "parse-names" : false, "suffix" : "" }, { "dropping-particle" : "", "family" : "Latimer", "given" : "Calli", "non-dropping-particle" : "", "parse-names" : false, "suffix" : "" }, { "dropping-particle" : "", "family" : "Lau", "given" : "King Wai", "non-dropping-particle" : "", "parse-names" : false, "suffix" : "" }, { "dropping-particle" : "", "family" : "McLaren", "given" : "Stuart", "non-dropping-particle" : "", "parse-names" : false, "suffix" : "" }, { "dropping-particle" : "", "family" : "McBride", "given" : "David J", "non-dropping-particle" : "", "parse-names" : false, "suffix" : "" }, { "dropping-particle" : "", "family" : "Menzies", "given" : "Andrew", "non-dropping-particle" : "", "parse-names" : false, "suffix" : "" }, { "dropping-particle" : "", "family" : "Mudie", "given" : "Laura", "non-dropping-particle" : "", "parse-names" : false, "suffix" : "" }, { "dropping-particle" : "", "family" : "Raine", "given" : "Keiran", "non-dropping-particle" : "", "parse-names" : false, "suffix" : "" }, { "dropping-particle" : "", "family" : "Rad", "given" : "Roland", "non-dropping-particle" : "", "parse-names" : false, "suffix" : "" }, { "dropping-particle" : "", "family" : "Chapman", "given" : "Michael Spencer", "non-dropping-particle" : "", "parse-names" : false, "suffix" : "" }, { "dropping-particle" : "", "family" : "Teague", "given" : "Jon", "non-dropping-particle" : "", "parse-names" : false, "suffix" : "" }, { "dropping-particle" : "", "family" : "Easton", "given" : "Douglas", "non-dropping-particle" : "", "parse-names" : false, "suffix" : "" }, { "dropping-particle" : "", "family" : "Langer\u00f8d", "given" : "Anita", "non-dropping-particle" : "", "parse-names" : false, "suffix" : "" }, { "dropping-particle" : "", "family" : "Lee", "given" : "Ming Ta Michael", "non-dropping-particle" : "", "parse-names" : false, "suffix" : "" }, { "dropping-particle" : "", "family" : "Shen", "given" : "Chen-Yang", "non-dropping-particle" : "", "parse-names" : false, "suffix" : "" }, { "dropping-particle" : "", "family" : "Tee", "given" : "Benita Tan Kiat", "non-dropping-particle" : "", "parse-names" : false, "suffix" : "" }, { "dropping-particle" : "", "family" : "Huimin", "given" : "Bernice Wong", "non-dropping-particle" : "", "parse-names" : false, "suffix" : "" }, { "dropping-particle" : "", "family" : "Broeks", "given" : "Annegien", "non-dropping-particle" : "", "parse-names" : false, "suffix" : "" }, { "dropping-particle" : "", "family" : "Vargas", "given" : "Ana Cristina", "non-dropping-particle" : "", "parse-names" : false, "suffix" : "" }, { "dropping-particle" : "", "family" : "Turashvili", "given" : "Gulisa", "non-dropping-particle" : "", "parse-names" : false, "suffix" : "" }, { "dropping-particle" : "", "family" : "Martens", "given" : "John", "non-dropping-particle" : "", "parse-names" : false, "suffix" : "" }, { "dropping-particle" : "", "family" : "Fatima", "given" : "Aquila", "non-dropping-particle" : "", "parse-names" : false, "suffix" : "" }, { "dropping-particle" : "", "family" : "Miron", "given" : "Penelope", "non-dropping-particle" : "", "parse-names" : false, "suffix" : "" }, { "dropping-particle" : "", "family" : "Chin", "given" : "Suet-Feung", "non-dropping-particle" : "", "parse-names" : false, "suffix" : "" }, { "dropping-particle" : "", "family" : "Thomas", "given" : "Gilles", "non-dropping-particle" : "", "parse-names" : false, "suffix" : "" }, { "dropping-particle" : "", "family" : "Boyault", "given" : "Sandrine", "non-dropping-particle" : "", "parse-names" : false, "suffix" : "" }, { "dropping-particle" : "", "family" : "Mariani", "given" : "Odette", "non-dropping-particle" : "", "parse-names" : false, "suffix" : "" }, { "dropping-particle" : "", "family" : "Lakhani", "given" : "Sunil R", "non-dropping-particle" : "", "parse-names" : false, "suffix" : "" }, { "dropping-particle" : "", "family" : "Vijver", "given" : "Marc", "non-dropping-particle" : "van de", "parse-names" : false, "suffix" : "" }, { "dropping-particle" : "", "family" : "'t Veer", "given" : "Laura", "non-dropping-particle" : "van", "parse-names" : false, "suffix" : "" }, { "dropping-particle" : "", "family" : "Foekens", "given" : "John", "non-dropping-particle" : "", "parse-names" : false, "suffix" : "" }, { "dropping-particle" : "", "family" : "Desmedt", "given" : "Christine", "non-dropping-particle" : "", "parse-names" : false, "suffix" : "" }, { "dropping-particle" : "", "family" : "Sotiriou", "given" : "Christos", "non-dropping-particle" : "", "parse-names" : false, "suffix" : "" }, { "dropping-particle" : "", "family" : "Tutt", "given" : "Andrew", "non-dropping-particle" : "", "parse-names" : false, "suffix" : "" }, { "dropping-particle" : "", "family" : "Caldas", "given" : "Carlos", "non-dropping-particle" : "", "parse-names" : false, "suffix" : "" }, { "dropping-particle" : "", "family" : "Reis-Filho", "given" : "Jorge S", "non-dropping-particle" : "", "parse-names" : false, "suffix" : "" }, { "dropping-particle" : "", "family" : "Aparicio", "given" : "Samuel A J R", "non-dropping-particle" : "", "parse-names" : false, "suffix" : "" }, { "dropping-particle" : "", "family" : "Salomon", "given" : "Anne Vincent", "non-dropping-particle" : "", "parse-names" : false, "suffix" : "" }, { "dropping-particle" : "", "family" : "B\u00f8rresen-Dale", "given" : "Anne-Lise", "non-dropping-particle" : "", "parse-names" : false, "suffix" : "" }, { "dropping-particle" : "", "family" : "Richardson", "given" : "Andrea L", "non-dropping-particle" : "", "parse-names" : false, "suffix" : "" }, { "dropping-particle" : "", "family" : "Campbell", "given" : "Peter J", "non-dropping-particle" : "", "parse-names" : false, "suffix" : "" }, { "dropping-particle" : "", "family" : "Futreal", "given" : "P Andrew", "non-dropping-particle" : "", "parse-names" : false, "suffix" : "" }, { "dropping-particle" : "", "family" : "Stratton", "given" : "Michael R", "non-dropping-particle" : "", "parse-names" : false, "suffix" : "" } ], "container-title" : "Nature", "id" : "ITEM-1", "issue" : "7403", "issued" : { "date-parts" : [ [ "2012" ] ] }, "page" : "400-4", "title" : "The landscape of cancer genes and mutational processes in breast cancer.", "type" : "article-journal", "volume" : "486" }, "uris" : [ "http://www.mendeley.com/documents/?uuid=752773c8-d5da-4bac-bb7f-464002329500" ] }, { "id" : "ITEM-2", "itemData" : { "abstract" : "The genomic landscape of breast cancer is complex, and inter- and intra-tumour heterogeneity are important challenges in treating the disease. In this study, we sequence 173 genes in 2,433 primary breast tumours that have copy number aberration (CNA), gene expression and long-term clinical follow-up data. We identify 40 mutation-driver (Mut-driver) genes, and determine associations between mutations, driver CNA profiles, clinical-pathological parameters and survival. We assess the clonal states of Mut-driver mutations, and estimate levels of intra-tumour heterogeneity using mutant-allele fractions. Associations between PIK3CA mutations and reduced survival are identified in three subgroups of ER-positive cancer (defined by amplification of 17q23, 11q13\u201314 or 8q24). High levels of intra-tumour heterogeneity are in general associated with a worse outcome, but highly aggressive tumours with 11q13\u201314 amplification have low levels of intra-tumour heterogeneity. These results emphasize the importance of genome-based stratification of breast cancer, and have important implications for designing therapeutic strategies.", "author" : [ { "dropping-particle" : "", "family" : "Pereira", "given" : "Bernard", "non-dropping-particle" : "", "parse-names" : false, "suffix" : "" }, { "dropping-particle" : "", "family" : "Chin", "given" : "Suet-Feung", "non-dropping-particle" : "", "parse-names" : false, "suffix" : "" }, { "dropping-particle" : "", "family" : "Rueda", "given" : "Oscar M.", "non-dropping-particle" : "", "parse-names" : false, "suffix" : "" }, { "dropping-particle" : "", "family" : "Vollan", "given" : "Hans-Kristian Moen", "non-dropping-particle" : "", "parse-names" : false, "suffix" : "" }, { "dropping-particle" : "", "family" : "Provenzano", "given" : "Elena", "non-dropping-particle" : "", "parse-names" : false, "suffix" : "" }, { "dropping-particle" : "", "family" : "Bardwell", "given" : "Helen A.", "non-dropping-particle" : "", "parse-names" : false, "suffix" : "" }, { "dropping-particle" : "", "family" : "Pugh", "given" : "Michelle", "non-dropping-particle" : "", "parse-names" : false, "suffix" : "" }, { "dropping-particle" : "", "family" : "Jones", "given" : "Linda", "non-dropping-particle" : "", "parse-names" : false, "suffix" : "" }, { "dropping-particle" : "", "family" : "Russell", "given" : "Roslin", "non-dropping-particle" : "", "parse-names" : false, "suffix" : "" }, { "dropping-particle" : "", "family" : "Sammut", "given" : "Stephen-John", "non-dropping-particle" : "", "parse-names" : false, "suffix" : "" }, { "dropping-particle" : "", "family" : "Tsui", "given" : "Dana W. Y.", "non-dropping-particle" : "", "parse-names" : false, "suffix" : "" }, { "dropping-particle" : "", "family" : "Liu", "given" : "Bin", "non-dropping-particle" : "", "parse-names" : false, "suffix" : "" }, { "dropping-particle" : "", "family" : "Dawson", "given" : "Sarah-Jane", "non-dropping-particle" : "", "parse-names" : false, "suffix" : "" }, { "dropping-particle" : "", "family" : "Abraham", "given" : "Jean", "non-dropping-particle" : "", "parse-names" : false, "suffix" : "" }, { "dropping-particle" : "", "family" : "Northen", "given" : "Helen", "non-dropping-particle" : "", "parse-names" : false, "suffix" : "" }, { "dropping-particle" : "", "family" : "Peden", "given" : "John F.", "non-dropping-particle" : "", "parse-names" : false, "suffix" : "" }, { "dropping-particle" : "", "family" : "Mukherjee", "given" : "Abhik", "non-dropping-particle" : "", "parse-names" : false, "suffix" : "" }, { "dropping-particle" : "", "family" : "Turashvili", "given" : "Gulisa", "non-dropping-particle" : "", "parse-names" : false, "suffix" : "" }, { "dropping-particle" : "", "family" : "Green", "given" : "Andrew R.", "non-dropping-particle" : "", "parse-names" : false, "suffix" : "" }, { "dropping-particle" : "", "family" : "McKinney", "given" : "Steve", "non-dropping-particle" : "", "parse-names" : false, "suffix" : "" }, { "dropping-particle" : "", "family" : "Oloumi", "given" : "Arusha", "non-dropping-particle" : "", "parse-names" : false, "suffix" : "" }, { "dropping-particle" : "", "family" : "Shah", "given" : "Sohrab", "non-dropping-particle" : "", "parse-names" : false, "suffix" : "" }, { "dropping-particle" : "", "family" : "Rosenfeld", "given" : "Nitzan", "non-dropping-particle" : "", "parse-names" : false, "suffix" : "" }, { "dropping-particle" : "", "family" : "Murphy", "given" : "Leigh", "non-dropping-particle" : "", "parse-names" : false, "suffix" : "" }, { "dropping-particle" : "", "family" : "Bentley", "given" : "David R.", "non-dropping-particle" : "", "parse-names" : false, "suffix" : "" }, { "dropping-particle" : "", "family" : "Ellis", "given" : "Ian O.", "non-dropping-particle" : "", "parse-names" : false, "suffix" : "" }, { "dropping-particle" : "", "family" : "Purushotham", "given" : "Arnie", "non-dropping-particle" : "", "parse-names" : false, "suffix" : "" }, { "dropping-particle" : "", "family" : "Pinder", "given" : "Sarah E.", "non-dropping-particle" : "", "parse-names" : false, "suffix" : "" }, { "dropping-particle" : "", "family" : "B\u00f8rresen-Dale", "given" : "Anne-Lise", "non-dropping-particle" : "", "parse-names" : false, "suffix" : "" }, { "dropping-particle" : "", "family" : "Earl", "given" : "Helena M.", "non-dropping-particle" : "", "parse-names" : false, "suffix" : "" }, { "dropping-particle" : "", "family" : "Pharoah", "given" : "Paul D.", "non-dropping-particle" : "", "parse-names" : false, "suffix" : "" }, { "dropping-particle" : "", "family" : "Ross", "given" : "Mark T.", "non-dropping-particle" : "", "parse-names" : false, "suffix" : "" }, { "dropping-particle" : "", "family" : "Aparicio", "given" : "Samuel", "non-dropping-particle" : "", "parse-names" : false, "suffix" : "" }, { "dropping-particle" : "", "family" : "Caldas", "given" : "Carlos", "non-dropping-particle" : "", "parse-names" : false, "suffix" : "" } ], "container-title" : "Nature Communications", "id" : "ITEM-2", "issue" : "May", "issued" : { "date-parts" : [ [ "2016" ] ] }, "page" : "11479", "title" : "The somatic mutation profiles of 2,433 breast cancers refines their genomic and transcriptomic landscapes", "type" : "article-journal", "volume" : "7" }, "uris" : [ "http://www.mendeley.com/documents/?uuid=c527f539-57d2-47c3-8a6d-1f447c38d840" ] }, { "id" : "ITEM-3", "itemData" : { "DOI" : "10.1038/nature11412.Comprehensive", "ISBN" : "1476-4687 (Electronic)\\r0028-0836 (Linking)", "ISSN" : "1476-4687", "PMID" : "23000897", "abstract" : "We analysed primary breast cancers by genomic DNA copy number arrays, DNA methylation, exome sequencing, messenger RNA arrays, microRNA sequencing and reverse-phase protein arrays. Our ability to integrate information across platforms provided key insights into previously defined gene expression subtypes and demonstrated the existence of four main breast cancer classes when combining data from five platforms, each of which shows significant molecular heterogeneity. Somatic mutations in only three genes (TP53, PIK3CA and GATA3) occurred at &gt;10% incidence across all breast cancers; however, there were numerous subtype-associated and novel gene mutations including the enrichment of specific mutations in GATA3, PIK3CA and MAP3K1 with the luminal A subtype. We identified two novel protein-expression-defined subgroups, possibly produced by stromal/microenvironmental elements, and integrated analyses identified specific signalling pathways dominant in each molecular subtype including a HER2/phosphorylated HER2/EGFR/phosphorylated EGFR signature within the HER2-enriched expression subtype. Comparison of basal-like breast tumours with high-grade serous ovarian tumours showed many molecular commonalities, indicating a related aetiology and similar therapeutic opportunities. The biological finding of the four main breast cancer subtypes caused by different subsets of genetic and epigenetic abnormalities raises the hypothesis that much of the clinically observable plasticity and heterogeneity occurs within, and not across, these major biological subtypes of breast cancer.", "author" : [ { "dropping-particle" : "", "family" : "Network", "given" : "The Cancer Genome Atlas", "non-dropping-particle" : "", "parse-names" : false, "suffix" : "" } ], "container-title" : "Nature", "id" : "ITEM-3", "issue" : "7418", "issued" : { "date-parts" : [ [ "2012", "10" ] ] }, "page" : "61-70", "title" : "Comprehensive molecular portraits of human breast tumors", "type" : "article-journal", "volume" : "490" }, "uris" : [ "http://www.mendeley.com/documents/?uuid=543202e6-93b7-4760-8a24-173064715e46", "http://www.mendeley.com/documents/?uuid=9187ca90-bd8b-4104-bfab-a2a46e4bece2" ] } ], "mendeley" : { "formattedCitation" : "(12\u201314)", "plainTextFormattedCitation" : "(12\u201314)", "previouslyFormattedCitation" : "(12\u201314)" }, "properties" : { "noteIndex" : 0 }, "schema" : "https://github.com/citation-style-language/schema/raw/master/csl-citation.json" }</w:instrText>
      </w:r>
      <w:r w:rsidR="006327D2" w:rsidRPr="004B2DF2">
        <w:rPr>
          <w:rFonts w:ascii="Arial" w:hAnsi="Arial"/>
          <w:color w:val="000000"/>
          <w:sz w:val="22"/>
          <w:szCs w:val="22"/>
        </w:rPr>
        <w:fldChar w:fldCharType="separate"/>
      </w:r>
      <w:r w:rsidR="008D1593" w:rsidRPr="008D1593">
        <w:rPr>
          <w:rFonts w:ascii="Arial" w:hAnsi="Arial"/>
          <w:noProof/>
          <w:color w:val="000000"/>
          <w:sz w:val="22"/>
          <w:szCs w:val="22"/>
        </w:rPr>
        <w:t>(12–14)</w:t>
      </w:r>
      <w:r w:rsidR="006327D2" w:rsidRPr="004B2DF2">
        <w:rPr>
          <w:rFonts w:ascii="Arial" w:hAnsi="Arial"/>
          <w:color w:val="000000"/>
          <w:sz w:val="22"/>
          <w:szCs w:val="22"/>
        </w:rPr>
        <w:fldChar w:fldCharType="end"/>
      </w:r>
      <w:r w:rsidRPr="004B2DF2">
        <w:rPr>
          <w:rFonts w:ascii="Arial" w:hAnsi="Arial"/>
          <w:color w:val="000000"/>
          <w:sz w:val="22"/>
          <w:szCs w:val="22"/>
        </w:rPr>
        <w:t xml:space="preserve">. </w:t>
      </w:r>
      <w:r w:rsidR="00041BB6" w:rsidRPr="004B2DF2">
        <w:rPr>
          <w:rFonts w:ascii="Arial" w:hAnsi="Arial"/>
          <w:color w:val="000000"/>
          <w:sz w:val="22"/>
          <w:szCs w:val="22"/>
        </w:rPr>
        <w:t>A</w:t>
      </w:r>
      <w:r w:rsidRPr="004B2DF2">
        <w:rPr>
          <w:rFonts w:ascii="Arial" w:hAnsi="Arial"/>
          <w:color w:val="000000"/>
          <w:sz w:val="22"/>
          <w:szCs w:val="22"/>
        </w:rPr>
        <w:t xml:space="preserve">ctivation of the PI3KCA pathway leads to increased growth and proliferation and can be activated by ligands such as Insulin Growth Factor 1 (IGFR1) </w:t>
      </w:r>
      <w:r w:rsidR="00404BAA" w:rsidRPr="004B2DF2">
        <w:rPr>
          <w:rFonts w:ascii="Arial" w:hAnsi="Arial"/>
          <w:color w:val="000000"/>
          <w:sz w:val="22"/>
          <w:szCs w:val="22"/>
        </w:rPr>
        <w:t xml:space="preserve">and </w:t>
      </w:r>
      <w:r w:rsidRPr="004B2DF2">
        <w:rPr>
          <w:rFonts w:ascii="Arial" w:hAnsi="Arial"/>
          <w:color w:val="000000"/>
          <w:sz w:val="22"/>
          <w:szCs w:val="22"/>
        </w:rPr>
        <w:t xml:space="preserve">also by </w:t>
      </w:r>
      <w:r w:rsidR="006C2CB5" w:rsidRPr="004B2DF2">
        <w:rPr>
          <w:rFonts w:ascii="Arial" w:hAnsi="Arial"/>
          <w:color w:val="000000"/>
          <w:sz w:val="22"/>
          <w:szCs w:val="22"/>
        </w:rPr>
        <w:t xml:space="preserve">activating </w:t>
      </w:r>
      <w:r w:rsidRPr="004B2DF2">
        <w:rPr>
          <w:rFonts w:ascii="Arial" w:hAnsi="Arial"/>
          <w:color w:val="000000"/>
          <w:sz w:val="22"/>
          <w:szCs w:val="22"/>
        </w:rPr>
        <w:t>mutations in the PIK3CA receptor. There is also evidence of cross talk between the PI3K pathway and ER signalling, thus PIK3CA activation is thought to play a role in endocrine resistance via ligand-independent activation of ER-mediated transcription (see Figure 1)</w:t>
      </w:r>
      <w:r w:rsidR="008E7E53">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"10.1074/jbc.M010840200", "ISBN" : "0021-9258 (Print)\\n0021-9258 (Linking)", "ISSN" : "00219258", "PMID" : "11139588", "abstract" : "Estrogen receptors (ERs) mediate most of the biological effects of estrogen in mammary and uterine epithelial cells by binding to estrogen response elements in the promoter region of target genes or through protein-protein interactions. Anti-estrogens such as tamoxifen inhibit the growth of ER-positive breast cancers by reducing the expression of estrogen-regulated genes. However, anti-estrogen-resistant growth of ER-positive tumors remains a significant clinical problem. Here we show that phosphatidylinositol (PI) 3-kinase and AKT activate ERalpha in the absence of estrogen. Although PI 3-kinase increased the activity of both estrogen-independent activation function 1 (AF-1) and estrogen-dependent activation function 2 (AF-2) of ERalpha, AKT increased the activity of only AF-1. PTEN and a catalytically inactive AKT decreased PI 3-kinase-induced AF-1 activity, suggesting that PI 3-kinase utilizes AKT-dependent and AKT-independent pathways in activating ERalpha. The consensus AKT phosphorylation site Ser-167 of ERalpha is required for phosphorylation and activation by AKT. In addition, LY294002, a specific inhibitor of the PI 3-kinase/AKT pathway, reduced phosphorylation of ERalpha in vivo. Moreover, AKT overexpression led to up-regulation of estrogen-regulated pS2 gene, Bcl-2, and macrophage inhibitory cytokine 1. We demonstrate that AKT protects breast cancer cells from tamoxifen-induced apoptosis. Taken together, these results define a molecular link between activation of the PI 3-kinase/AKT survival pathways, hormone-independent activation of ERalpha, and inhibition of tamoxifen-induced apoptotic regression.", "author" : [ { "dropping-particle" : "", "family" : "Campbell", "given" : "Robert A.", "non-dropping-particle" : "", "parse-names" : false, "suffix" : "" }, { "dropping-particle" : "", "family" : "Bhat-Nakshatri", "given" : "Poornima", "non-dropping-particle" : "", "parse-names" : false, "suffix" : "" }, { "dropping-particle" : "", "family" : "Patel", "given" : "Nikhil M.", "non-dropping-particle" : "", "parse-names" : false, "suffix" : "" }, { "dropping-particle" : "", "family" : "Constantinidou", "given" : "Demetra", "non-dropping-particle" : "", "parse-names" : false, "suffix" : "" }, { "dropping-particle" : "", "family" : "Ali", "given" : "Simak", "non-dropping-particle" : "", "parse-names" : false, "suffix" : "" }, { "dropping-particle" : "", "family" : "Nakshatri", "given" : "Harikrishna", "non-dropping-particle" : "", "parse-names" : false, "suffix" : "" } ], "container-title" : "Journal of Biological Chemistry", "id" : "ITEM-1", "issue" : "13", "issued" : { "date-parts" : [ [ "2001" ] ] }, "page" : "9817-9824", "title" : "Phosphatidylinositol 3-kinase/AKT-mediated activation of estrogen receptor ??: A new model for anti-estrogen resistance", "type" : "article-journal", "volume" : "276" }, "uris" : [ "http://www.mendeley.com/documents/?uuid=36a383e4-b11a-3d53-be19-2e32f5e5e089", "http://www.mendeley.com/documents/?uuid=cf38f990-a69f-41b8-9945-e397a0b7d018" ] } ], "mendeley" : { "formattedCitation" : "(15)", "plainTextFormattedCitation" : "(15)", "previouslyFormattedCitation" : "(15)" }, "properties" : { "noteIndex" : 0 }, "schema" : "https://github.com/citation-style-language/schema/raw/master/csl-citation.json" }</w:instrText>
      </w:r>
      <w:r w:rsidR="008E7E53">
        <w:rPr>
          <w:rFonts w:ascii="Arial" w:hAnsi="Arial"/>
          <w:color w:val="000000"/>
          <w:sz w:val="22"/>
          <w:szCs w:val="22"/>
        </w:rPr>
        <w:fldChar w:fldCharType="separate"/>
      </w:r>
      <w:r w:rsidR="008D1593" w:rsidRPr="008D1593">
        <w:rPr>
          <w:rFonts w:ascii="Arial" w:hAnsi="Arial"/>
          <w:noProof/>
          <w:color w:val="000000"/>
          <w:sz w:val="22"/>
          <w:szCs w:val="22"/>
        </w:rPr>
        <w:t>(15)</w:t>
      </w:r>
      <w:r w:rsidR="008E7E53">
        <w:rPr>
          <w:rFonts w:ascii="Arial" w:hAnsi="Arial"/>
          <w:color w:val="000000"/>
          <w:sz w:val="22"/>
          <w:szCs w:val="22"/>
        </w:rPr>
        <w:fldChar w:fldCharType="end"/>
      </w:r>
      <w:r w:rsidR="00CE4AE5" w:rsidRPr="004B2DF2">
        <w:rPr>
          <w:rFonts w:ascii="Arial" w:hAnsi="Arial"/>
          <w:color w:val="000000"/>
          <w:sz w:val="22"/>
          <w:szCs w:val="22"/>
        </w:rPr>
        <w:t>.</w:t>
      </w:r>
      <w:r w:rsidRPr="004B2DF2">
        <w:rPr>
          <w:rFonts w:ascii="Arial" w:hAnsi="Arial"/>
          <w:color w:val="000000"/>
          <w:sz w:val="22"/>
          <w:szCs w:val="22"/>
        </w:rPr>
        <w:t xml:space="preserve"> </w:t>
      </w:r>
      <w:r w:rsidR="00C84F7A" w:rsidRPr="004B2DF2">
        <w:rPr>
          <w:rFonts w:ascii="Arial" w:hAnsi="Arial"/>
          <w:color w:val="000000"/>
          <w:sz w:val="22"/>
          <w:szCs w:val="22"/>
        </w:rPr>
        <w:t xml:space="preserve">A number of studies have looked at the concordance of </w:t>
      </w:r>
      <w:r w:rsidR="00C84F7A" w:rsidRPr="00EF2B89">
        <w:rPr>
          <w:rFonts w:ascii="Arial" w:hAnsi="Arial"/>
          <w:i/>
          <w:color w:val="000000"/>
          <w:sz w:val="22"/>
          <w:szCs w:val="22"/>
        </w:rPr>
        <w:t>PIK3CA</w:t>
      </w:r>
      <w:r w:rsidR="00C84F7A" w:rsidRPr="004B2DF2">
        <w:rPr>
          <w:rFonts w:ascii="Arial" w:hAnsi="Arial"/>
          <w:color w:val="000000"/>
          <w:sz w:val="22"/>
          <w:szCs w:val="22"/>
        </w:rPr>
        <w:t xml:space="preserve"> mutations in tumour and plasma samples and have generally found high correlations</w:t>
      </w:r>
      <w:r w:rsidR="00C84F7A"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"10.1093/annonc/mdu288", "abstract" : "long-term results of a prospective phase II trial. J Thorac Oncol 2012; 7: 1547\u20131555. 10. Griffioen G, Toguri D, Dahele M et al. Radical treatment of synchronous oligometastatic non-small cell lung carcinoma (NSCLC): patient outcomes and prognostic factors. Lung Cancer 2013; 82: 95\u2013102. 11. Rusch V, Asamura H, Watanabe H et al. on behalf of the members of the IASLC Staging Committee. The IASLC Lung Cancer Staging Project: a proposal for a new international lymph node map in the forthcoming seventh edition of the TNM classification for lung cancer. J Thorac Oncol 2009; 4: 568\u2013577. 12. Engels B, Everaert H, Gevaert T et al. Phase II study of helical tomotherapy for oligometastatic colorectal cancer. Ann Oncol 2011; 22: 362\u2013368. 13. Engels B, Gevaert T, Everaert H et al. Phase II study of helical tomotherapy in the multidisciplinary treatment of oligometastatic colorectal cancer. Radiat Oncol 2012; 7: 34. 14. Wahl RL, Jacene H, Kasamon Y, Lodge MA. From RECIST to PERCIST: evolving considerations for PET response criteria in solid tumors. J Nucl Med 2009; 50: 122S\u2013150S. 15. Milano MT, Katz AW, Zhang H et al. Oligometastases treated with stereotactic body radiotherapy: long-term follow-up of prospective study. Int J Radiat Oncol Biol Phys 2012; 83: 878\u2013886. 16. Hasselle M, Haraf D, Rusthoven K et al. Hypofractionated image-guided radiation therapy for patients with limited volume metastatic non-small cell lung cancer. J Thorac Oncol 2012; 7: 379\u2013381. 17. De Vin T, Engels B, Gevaert T et al. Stereotactic radiotherapy for oligo-metastatic cancer: a prognostic model for survival. Ann Oncol 2014; 25: 467\u2013471. 18. Paz-Ares LG, de Marinis F, Dediu M et al. PARAMOUNT: final overall survival results of the phase III study of maintenance pemetrexed versus placebo immediately after induction treatment with pemetrexed plus cisplatin for advanced nonsquamous non-small cell lung cancer. J Clin Oncol 2013; 31: 2895\u20132902. 19. Palma DA, Haasbeek C, Rodrigues G et al. Stereotactic ablative radiotherapy for comprehensive treatment of oligometastatic tumors (SABR-COMET): study protocol for a randomized phase II trial. BMC Cancer 2012; 12: 305. Background: Molecular screening programs use next-generation sequencing (NGS) of cancer gene panels to analyze", "author" : [ { "dropping-particle" : "", "family" : "Roth\u00e9", "given" : "F", "non-dropping-particle" : "", "parse-names" : false, "suffix" : "" }, { "dropping-particle" : "", "family" : "Laes", "given" : "J.-F", "non-dropping-particle" : "", "parse-names" : false, "suffix" : "" }, { "dropping-particle" : "", "family" : "Lambrechts", "given" : "D", "non-dropping-particle" : "", "parse-names" : false, "suffix" : "" }, { "dropping-particle" : "", "family" : "Smeets", "given" : "D", "non-dropping-particle" : "", "parse-names" : false, "suffix" : "" }, { "dropping-particle" : "", "family" : "Vincent", "given" : "D", "non-dropping-particle" : "", "parse-names" : false, "suffix" : "" }, { "dropping-particle" : "", "family" : "Maetens", "given" : "M", "non-dropping-particle" : "", "parse-names" : false, "suffix" : "" }, { "dropping-particle" : "", "family" : "Fumagalli", "given" : "D", "non-dropping-particle" : "", "parse-names" : false, "suffix" : "" }, { "dropping-particle" : "", "family" : "Michiels", "given" : "S", "non-dropping-particle" : "", "parse-names" : false, "suffix" : "" }, { "dropping-particle" : "", "family" : "Drisis", "given" : "S", "non-dropping-particle" : "", "parse-names" : false, "suffix" : "" }, { "dropping-particle" : "", "family" : "Moerman", "given" : "C", "non-dropping-particle" : "", "parse-names" : false, "suffix" : "" }, { "dropping-particle" : "", "family" : "Detiffe", "given" : "J.-P", "non-dropping-particle" : "", "parse-names" : false, "suffix" : "" }, { "dropping-particle" : "", "family" : "Larsimont", "given" : "D", "non-dropping-particle" : "", "parse-names" : false, "suffix" : "" }, { "dropping-particle" : "", "family" : "Awada", "given" : "A", "non-dropping-particle" : "", "parse-names" : false, "suffix" : "" }, { "dropping-particle" : "", "family" : "Piccart", "given" : "M", "non-dropping-particle" : "", "parse-names" : false, "suffix" : "" }, { "dropping-particle" : "", "family" : "Sotiriou", "given" : "C", "non-dropping-particle" : "", "parse-names" : false, "suffix" : "" }, { "dropping-particle" : "", "family" : "Ignatiadis", "given" : "M", "non-dropping-particle" : "", "parse-names" : false, "suffix" : "" } ], "container-title" : "Annals of Oncology", "id" : "ITEM-1", "issued" : { "date-parts" : [ [ "2014" ] ] }, "page" : "1959-1965", "title" : "Plasma circulating tumor DNA as an alternative to metastatic biopsies for mutational analysis in breast cancer", "type" : "article-journal", "volume" : "25" }, "uris" : [ "http://www.mendeley.com/documents/?uuid=d4e5638e-33a1-32d0-ab87-855b0d213a8e", "http://www.mendeley.com/documents/?uuid=f41d7324-2678-489d-b1cb-08a764f41464" ] } ], "mendeley" : { "formattedCitation" : "(16)", "plainTextFormattedCitation" : "(16)", "previouslyFormattedCitation" : "(16)" }, "properties" : { "noteIndex" : 0 }, "schema" : "https://github.com/citation-style-language/schema/raw/master/csl-citation.json" }</w:instrText>
      </w:r>
      <w:r w:rsidR="00C84F7A" w:rsidRPr="004B2DF2">
        <w:rPr>
          <w:rFonts w:ascii="Arial" w:hAnsi="Arial"/>
          <w:color w:val="000000"/>
          <w:sz w:val="22"/>
          <w:szCs w:val="22"/>
        </w:rPr>
        <w:fldChar w:fldCharType="separate"/>
      </w:r>
      <w:r w:rsidR="008D1593" w:rsidRPr="008D1593">
        <w:rPr>
          <w:rFonts w:ascii="Arial" w:hAnsi="Arial"/>
          <w:noProof/>
          <w:color w:val="000000"/>
          <w:sz w:val="22"/>
          <w:szCs w:val="22"/>
        </w:rPr>
        <w:t>(16)</w:t>
      </w:r>
      <w:r w:rsidR="00C84F7A" w:rsidRPr="004B2DF2">
        <w:rPr>
          <w:rFonts w:ascii="Arial" w:hAnsi="Arial"/>
          <w:color w:val="000000"/>
          <w:sz w:val="22"/>
          <w:szCs w:val="22"/>
        </w:rPr>
        <w:fldChar w:fldCharType="end"/>
      </w:r>
      <w:r w:rsidR="00C84F7A" w:rsidRPr="004B2DF2">
        <w:rPr>
          <w:rFonts w:ascii="Arial" w:hAnsi="Arial"/>
          <w:color w:val="000000"/>
          <w:sz w:val="22"/>
          <w:szCs w:val="22"/>
          <w:vertAlign w:val="superscript"/>
        </w:rPr>
        <w:t>,</w:t>
      </w:r>
      <w:r w:rsidR="003852C5">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"10.1007/s10549-010-0747-9", "ISBN" : "1054901007", "ISSN" : "01676806", "PMID" : "20107891", "abstract" : "Somatic mutations in PIK3CA (encoding a class I phosphoinositide 3 kinase (PI3K) subunit) modulate PI3K signalling to influence tumour behaviour and occur in up to 40% of breast cancers. Inhibitors of PI3K signalling are entering clinical trials, but the impact of PIKC3A mutation on tumour response has yet to be clarified. This study investigated the potential utility of circulating free DNA (cfDNA) as a source for PIK3CA mutation detection in patients with breast cancer. cfDNA extracted (QIAamp Virus spin kit) from blood and matched archival tumour from 46 patients with metastatic breast cancer and 30 patients with localised, operable breast cancer was assessed for hotspot PIK3CA mutations using Amplification Refractory Mutation System (ARMS()) allele-specific PCR and Scorpion probes. PIK3CA mutations were detected in 13/46 (28%) plasma-derived and 10/46 (21%) serum-derived cfDNA samples from metastatic breast cancer patients. In 41 cases with matched tumour and plasma-derived cfDNA data, concordance (same mutation status in plasma and tumour) was 95%. Where a PIK3CA mutation was present in tumour, the 'pick up' in plasma-derived cfDNA was 80%. PIK3CA mutations were present in tumours from 14/30 (47%) localised breast cancers, but no PIK3CA mutations were detected in matched cfDNA. These data demonstrate feasibility and potential utility of cfDNA for PIK3CA mutation detection in patients with metastatic breast cancer. Studies are underway to qualify PIK3CA mutation in cfDNA as a predictive biomarker allowing patient stratification in clinical trials of mechanism-based therapeutics that target PI3K signalling pathways.", "author" : [ { "dropping-particle" : "", "family" : "Board", "given" : "Ruth E.", "non-dropping-particle" : "", "parse-names" : false, "suffix" : "" }, { "dropping-particle" : "", "family" : "Wardley", "given" : "Andrew M.", "non-dropping-particle" : "", "parse-names" : false, "suffix" : "" }, { "dropping-particle" : "", "family" : "Dixon", "given" : "J. Michael", "non-dropping-particle" : "", "parse-names" : false, "suffix" : "" }, { "dropping-particle" : "", "family" : "Armstrong", "given" : "Anne C.", "non-dropping-particle" : "", "parse-names" : false, "suffix" : "" }, { "dropping-particle" : "", "family" : "Howell", "given" : "Sacha", "non-dropping-particle" : "", "parse-names" : false, "suffix" : "" }, { "dropping-particle" : "", "family" : "Renshaw", "given" : "Lorna", "non-dropping-particle" : "", "parse-names" : false, "suffix" : "" }, { "dropping-particle" : "", "family" : "Donald", "given" : "Emma", "non-dropping-particle" : "", "parse-names" : false, "suffix" : "" }, { "dropping-particle" : "", "family" : "Greystoke", "given" : "Alastair", "non-dropping-particle" : "", "parse-names" : false, "suffix" : "" }, { "dropping-particle" : "", "family" : "Ranson", "given" : "Malcolm", "non-dropping-particle" : "", "parse-names" : false, "suffix" : "" }, { "dropping-particle" : "", "family" : "Hughes", "given" : "Andrew", "non-dropping-particle" : "", "parse-names" : false, "suffix" : "" }, { "dropping-particle" : "", "family" : "Dive", "given" : "Caroline", "non-dropping-particle" : "", "parse-names" : false, "suffix" : "" } ], "container-title" : "Breast Cancer Research and Treatment", "id" : "ITEM-1", "issue" : "2", "issued" : { "date-parts" : [ [ "2010" ] ] }, "page" : "461-467", "title" : "Detection of PIK3CA mutations in circulating free DNA in patients with breast cancer", "type" : "article-journal", "volume" : "120" }, "uris" : [ "http://www.mendeley.com/documents/?uuid=d5b34353-655b-4560-b20d-76d021d14e86", "http://www.mendeley.com/documents/?uuid=0065000b-2f3a-4287-b539-a1e40269cb12" ] } ], "mendeley" : { "formattedCitation" : "(17)", "plainTextFormattedCitation" : "(17)", "previouslyFormattedCitation" : "(17)" }, "properties" : { "noteIndex" : 0 }, "schema" : "https://github.com/citation-style-language/schema/raw/master/csl-citation.json" }</w:instrText>
      </w:r>
      <w:r w:rsidR="003852C5">
        <w:rPr>
          <w:rFonts w:ascii="Arial" w:hAnsi="Arial"/>
          <w:color w:val="000000"/>
          <w:sz w:val="22"/>
          <w:szCs w:val="22"/>
        </w:rPr>
        <w:fldChar w:fldCharType="separate"/>
      </w:r>
      <w:r w:rsidR="008D1593" w:rsidRPr="008D1593">
        <w:rPr>
          <w:rFonts w:ascii="Arial" w:hAnsi="Arial"/>
          <w:noProof/>
          <w:color w:val="000000"/>
          <w:sz w:val="22"/>
          <w:szCs w:val="22"/>
        </w:rPr>
        <w:t>(17)</w:t>
      </w:r>
      <w:r w:rsidR="003852C5">
        <w:rPr>
          <w:rFonts w:ascii="Arial" w:hAnsi="Arial"/>
          <w:color w:val="000000"/>
          <w:sz w:val="22"/>
          <w:szCs w:val="22"/>
        </w:rPr>
        <w:fldChar w:fldCharType="end"/>
      </w:r>
      <w:r w:rsidR="00C84F7A" w:rsidRPr="004B2DF2">
        <w:rPr>
          <w:rFonts w:ascii="Arial" w:hAnsi="Arial"/>
          <w:color w:val="000000"/>
          <w:sz w:val="22"/>
          <w:szCs w:val="22"/>
        </w:rPr>
        <w:t xml:space="preserve"> A recent meta-analysis </w:t>
      </w:r>
      <w:r w:rsidR="00C84F7A" w:rsidRPr="004B2DF2">
        <w:rPr>
          <w:rFonts w:ascii="Arial" w:hAnsi="Arial"/>
          <w:color w:val="000000"/>
          <w:sz w:val="22"/>
          <w:szCs w:val="22"/>
        </w:rPr>
        <w:lastRenderedPageBreak/>
        <w:t xml:space="preserve">concluded that a </w:t>
      </w:r>
      <w:r w:rsidR="00C84F7A" w:rsidRPr="00EF2B89">
        <w:rPr>
          <w:rFonts w:ascii="Arial" w:hAnsi="Arial"/>
          <w:i/>
          <w:color w:val="000000"/>
          <w:sz w:val="22"/>
          <w:szCs w:val="22"/>
        </w:rPr>
        <w:t>PIK3CA</w:t>
      </w:r>
      <w:r w:rsidR="00C84F7A" w:rsidRPr="004B2DF2">
        <w:rPr>
          <w:rFonts w:ascii="Arial" w:hAnsi="Arial"/>
          <w:color w:val="000000"/>
          <w:sz w:val="22"/>
          <w:szCs w:val="22"/>
        </w:rPr>
        <w:t xml:space="preserve"> liquid biopsy is a highly sensitive and specific technique for </w:t>
      </w:r>
      <w:r w:rsidR="00C84F7A" w:rsidRPr="00EF2B89">
        <w:rPr>
          <w:rFonts w:ascii="Arial" w:hAnsi="Arial"/>
          <w:i/>
          <w:color w:val="000000"/>
          <w:sz w:val="22"/>
          <w:szCs w:val="22"/>
        </w:rPr>
        <w:t>PIK3C</w:t>
      </w:r>
      <w:r w:rsidR="006E42A5" w:rsidRPr="00EF2B89">
        <w:rPr>
          <w:rFonts w:ascii="Arial" w:hAnsi="Arial"/>
          <w:i/>
          <w:color w:val="000000"/>
          <w:sz w:val="22"/>
          <w:szCs w:val="22"/>
        </w:rPr>
        <w:t>A</w:t>
      </w:r>
      <w:r w:rsidR="00C84F7A" w:rsidRPr="004B2DF2">
        <w:rPr>
          <w:rFonts w:ascii="Arial" w:hAnsi="Arial"/>
          <w:color w:val="000000"/>
          <w:sz w:val="22"/>
          <w:szCs w:val="22"/>
        </w:rPr>
        <w:t xml:space="preserve"> mutation detection with a sensitivity of 85-90% and specificity of 98% in metastatic breast cancer patients with tumours positive for </w:t>
      </w:r>
      <w:r w:rsidR="00C84F7A" w:rsidRPr="00EF2B89">
        <w:rPr>
          <w:rFonts w:ascii="Arial" w:hAnsi="Arial"/>
          <w:i/>
          <w:color w:val="000000"/>
          <w:sz w:val="22"/>
          <w:szCs w:val="22"/>
        </w:rPr>
        <w:t>PIK3CA</w:t>
      </w:r>
      <w:r w:rsidR="00C84F7A" w:rsidRPr="004B2DF2">
        <w:rPr>
          <w:rFonts w:ascii="Arial" w:hAnsi="Arial"/>
          <w:color w:val="000000"/>
          <w:sz w:val="22"/>
          <w:szCs w:val="22"/>
        </w:rPr>
        <w:t xml:space="preserve"> mutation</w:t>
      </w:r>
      <w:r w:rsidR="00EA7641">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"10.1371/", "abstract" : "Mutation of p110 alpha-catalytic subunit of phosphatidylinositol 3-kinase (PIK3CA) has high predictive and prognostic values for breast cancer. Hence, there has been a marked interest in detecting and monitoring PIK3CA genotype with non-invasive technique, such as circulat-ing free DNA (cfDNA). However, the diagnostic accuracy of PIK3CA genotyping by cfDNA is still a problem of controversy. Here, we conducted the first meta-analysis to evaluate overall diagnostic performance of cfDNA for PIK3CA mutation detection. Literature search was performed in Pubmed, Embase and Cochrane Central Register of Controlled Trials databases. Seven cohorts from five studies with 247 patients were included. The pooled sensitivity, specificity, positive and negative likelihood ratio, diagnostic odds ratio and area under summary receiver operating characteristic curve were calculated for accuracy evalu-ation. The pooled sensitivity and specificity were 0.86 (95% confidence interval [CI] 0.32\u2013 0.99) and 0.98 (95% CI 0.86\u20131.00), respectively; the pooled positive and negative likelihood ratio were 42.8 (95% CI 5.1\u2013356.9) and 0.14 (95% CI 0.02\u20131.34), respectively; diagnostic odds ratio for evaluating the overall diagnostic performance was 300 (95% CI 8\u201311867); area under summary receiver operating characteristic curve reached 0.99 (95% CI 0.97\u2013 0.99). Subgroup analysis with metastatic breast cancer revealed remarkable improvement in diagnostic performance (sensitivity: 0.86\u20130.91; specificity: 0.98; diagnostic odds ratio: 300\u2013428). This meta-analysis proved that detecting PIK3CA gene mutation by cfDNA has high diagnostic accuracy in breast cancer, especially for metastatic breast cancer. It may serve as a reliable non-invasive assay for detecting and monitoring PIK3CA mutation status in order to deliver personalized and precise treatment.", "author" : [ { "dropping-particle" : "", "family" : "Zhou", "given" : "Yidong", "non-dropping-particle" : "", "parse-names" : false, "suffix" : "" }, { "dropping-particle" : "", "family" : "Wang", "given" : "Changjun", "non-dropping-particle" : "", "parse-names" : false, "suffix" : "" }, { "dropping-particle" : "", "family" : "Zhu", "given" : "Hanjiang", "non-dropping-particle" : "", "parse-names" : false, "suffix" : "" }, { "dropping-particle" : "", "family" : "Lin", "given" : "Yan", "non-dropping-particle" : "", "parse-names" : false, "suffix" : "" }, { "dropping-particle" : "", "family" : "Pan", "given" : "Bo", "non-dropping-particle" : "", "parse-names" : false, "suffix" : "" }, { "dropping-particle" : "", "family" : "Zhang", "given" : "Xiaohui", "non-dropping-particle" : "", "parse-names" : false, "suffix" : "" }, { "dropping-particle" : "", "family" : "Huang", "given" : "Xin", "non-dropping-particle" : "", "parse-names" : false, "suffix" : "" }, { "dropping-particle" : "", "family" : "Xu", "given" : "Qianqian", "non-dropping-particle" : "", "parse-names" : false, "suffix" : "" }, { "dropping-particle" : "", "family" : "Xu", "given" : "Yali", "non-dropping-particle" : "", "parse-names" : false, "suffix" : "" }, { "dropping-particle" : "", "family" : "Sun", "given" : "Qiang", "non-dropping-particle" : "", "parse-names" : false, "suffix" : "" } ], "container-title" : "PLoS One", "id" : "ITEM-1", "issue" : "6", "issued" : { "date-parts" : [ [ "2016" ] ] }, "page" : "e0158143", "title" : "Diagnostic Accuracy of PIK3CA Mutation Detection by Circulating Free DNA in Breast Cancer: A Meta-Analysis of Diagnostic Test Accuracy", "type" : "article-journal", "volume" : "11" }, "uris" : [ "http://www.mendeley.com/documents/?uuid=39baa8d1-ab9e-424c-a2fc-6ddf7fc0ebaf", "http://www.mendeley.com/documents/?uuid=e98686ab-38ff-4a31-96d6-ee7057b041a9" ] } ], "mendeley" : { "formattedCitation" : "(18)", "plainTextFormattedCitation" : "(18)", "previouslyFormattedCitation" : "(18)" }, "properties" : { "noteIndex" : 0 }, "schema" : "https://github.com/citation-style-language/schema/raw/master/csl-citation.json" }</w:instrText>
      </w:r>
      <w:r w:rsidR="00EA7641">
        <w:rPr>
          <w:rFonts w:ascii="Arial" w:hAnsi="Arial"/>
          <w:color w:val="000000"/>
          <w:sz w:val="22"/>
          <w:szCs w:val="22"/>
        </w:rPr>
        <w:fldChar w:fldCharType="separate"/>
      </w:r>
      <w:r w:rsidR="008D1593" w:rsidRPr="008D1593">
        <w:rPr>
          <w:rFonts w:ascii="Arial" w:hAnsi="Arial"/>
          <w:noProof/>
          <w:color w:val="000000"/>
          <w:sz w:val="22"/>
          <w:szCs w:val="22"/>
        </w:rPr>
        <w:t>(18)</w:t>
      </w:r>
      <w:r w:rsidR="00EA7641">
        <w:rPr>
          <w:rFonts w:ascii="Arial" w:hAnsi="Arial"/>
          <w:color w:val="000000"/>
          <w:sz w:val="22"/>
          <w:szCs w:val="22"/>
        </w:rPr>
        <w:fldChar w:fldCharType="end"/>
      </w:r>
      <w:r w:rsidR="00C84F7A" w:rsidRPr="004B2DF2">
        <w:rPr>
          <w:rFonts w:ascii="Arial" w:hAnsi="Arial"/>
          <w:color w:val="000000"/>
          <w:sz w:val="22"/>
          <w:szCs w:val="22"/>
        </w:rPr>
        <w:t xml:space="preserve">.  </w:t>
      </w:r>
      <w:r w:rsidRPr="004B2DF2">
        <w:rPr>
          <w:rFonts w:ascii="Arial" w:hAnsi="Arial"/>
          <w:color w:val="000000"/>
          <w:sz w:val="22"/>
          <w:szCs w:val="22"/>
        </w:rPr>
        <w:t xml:space="preserve">Takeshita and colleagues have demonstrated that H1047R, E545K and E542K </w:t>
      </w:r>
      <w:r w:rsidRPr="00EF2B89">
        <w:rPr>
          <w:rFonts w:ascii="Arial" w:hAnsi="Arial"/>
          <w:i/>
          <w:color w:val="000000"/>
          <w:sz w:val="22"/>
          <w:szCs w:val="22"/>
        </w:rPr>
        <w:t>PIK3CA</w:t>
      </w:r>
      <w:r w:rsidRPr="004B2DF2">
        <w:rPr>
          <w:rFonts w:ascii="Arial" w:hAnsi="Arial"/>
          <w:color w:val="000000"/>
          <w:sz w:val="22"/>
          <w:szCs w:val="22"/>
        </w:rPr>
        <w:t xml:space="preserve"> mutations of ctDNA in early stage triple negative breast cancer had significant (negative) prognostic value on survival</w:t>
      </w:r>
      <w:r w:rsidR="005B2C6A" w:rsidRPr="004B2DF2">
        <w:rPr>
          <w:rFonts w:ascii="Arial" w:hAnsi="Arial"/>
          <w:color w:val="000000"/>
          <w:sz w:val="22"/>
          <w:szCs w:val="22"/>
        </w:rPr>
        <w:t xml:space="preserve"> though a meta-analysis of early breast cancer patients did not find any association</w:t>
      </w:r>
      <w:r w:rsidR="0058332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"10.1111/cas.12813", "abstract" : "PIK3CA is an oncogene that encodes the p110\u03b1 component of phosphatidylinositol 3-kinase (PI3K); it is the second most frequently mutated gene following the TP53 gene. In the clinical setting, PIK3CA mutations may have favorable prognostic value for hormone receptor-positive breast cancer patients and, during the past few years, PIK3CA mutations of cell-free DNA (cfDNA) have attracted attention as a potential noninvasive biomarker of cancer. However, there are few reports on the clinical implications of PIK3CA mutations for TNBC patients. We investigated the PIK3CA major mutation status of cfDNA as a noninvasive biomarker of cancer using droplet digital polymerase chain reaction (ddPCR), which has high level sensitivity and specificity for cancer mutation, in early-stage 49 triple negative breast cancer (TNBC) patients. A total of 12 (24.4%) of 49 patients had PIK3CA mutations of cfDNA. In a median follow up of 54.4 months, the presence of PIK3CA mutations of cfDNA had significant impacts on relapse-free survival (RFS; P = 0.0072) and breast cancer-specific survival (BCSS; P = 0.016), according to the log-lank test. In a Cox proportional hazards model, the presence of PIK3CA mutations of cfDNA had significant prognostic value in the univariate and multivariate analysis. Additionally, the presence of PIK3CA mutations of cfDNA was significantly correlated with positive androgen receptor phosphorylated form depending on PI3K signaling pathway (pAR) which is independent favorable prognostic factors of TNBC. We demonstrated that the presence of PIK3CA major mutations of cfDNA could be a discriminatory predictor of RFS and BCSS in early-stage TNBC patients and it was associated with PI3K pathway-dependent AR phosphorylation. We demonstrated the presence of PIK3CA major mutations of cfDNA could be discriminatory predictor of RFS and BCSS in early-stage TNBC patients which may be associated with PI3K pathway dependent AR phosphorylation.", "author" : [ { "dropping-particle" : "", "family" : "Takeshita", "given" : "Takashi", "non-dropping-particle" : "", "parse-names" : false, "suffix" : "" }, { "dropping-particle" : "", "family" : "Yamamoto", "given" : "Yutaka", "non-dropping-particle" : "", "parse-names" : false, "suffix" : "" }, { "dropping-particle" : "", "family" : "Yamamoto-Ibusuki", "given" : "Mutsuko", "non-dropping-particle" : "", "parse-names" : false, "suffix" : "" }, { "dropping-particle" : "", "family" : "Inao", "given" : "Toko", "non-dropping-particle" : "", "parse-names" : false, "suffix" : "" }, { "dropping-particle" : "", "family" : "Sueta", "given" : "Aiko", "non-dropping-particle" : "", "parse-names" : false, "suffix" : "" }, { "dropping-particle" : "", "family" : "Fujiwara", "given" : "Saori", "non-dropping-particle" : "", "parse-names" : false, "suffix" : "" }, { "dropping-particle" : "", "family" : "Omoto", "given" : "Yoko", "non-dropping-particle" : "", "parse-names" : false, "suffix" : "" }, { "dropping-particle" : "", "family" : "Iwase", "given" : "Hirotaka", "non-dropping-particle" : "", "parse-names" : false, "suffix" : "" } ], "container-title" : "Cancer Science", "id" : "ITEM-1", "issue" : "11", "issued" : { "date-parts" : [ [ "2015", "11" ] ] }, "page" : "1582-1589", "publisher" : "Blackwell Publishing Ltd", "title" : "Prognostic role of PIK3CA mutations of cell-free DNA in early-stage triple negative breast cancer", "type" : "article-journal", "volume" : "106" }, "uris" : [ "http://www.mendeley.com/documents/?uuid=2eaece8a-e375-4d10-a1a7-191e51a29dec", "http://www.mendeley.com/documents/?uuid=68bdf17c-75ae-40d3-9523-ec66fef9aec8" ] } ], "mendeley" : { "formattedCitation" : "(19)", "plainTextFormattedCitation" : "(19)", "previouslyFormattedCitation" : "(19)" }, "properties" : { "noteIndex" : 0 }, "schema" : "https://github.com/citation-style-language/schema/raw/master/csl-citation.json" }</w:instrText>
      </w:r>
      <w:r w:rsidR="00583324" w:rsidRPr="004B2DF2">
        <w:rPr>
          <w:rFonts w:ascii="Arial" w:hAnsi="Arial"/>
          <w:color w:val="000000"/>
          <w:sz w:val="22"/>
          <w:szCs w:val="22"/>
        </w:rPr>
        <w:fldChar w:fldCharType="separate"/>
      </w:r>
      <w:r w:rsidR="008D1593" w:rsidRPr="008D1593">
        <w:rPr>
          <w:rFonts w:ascii="Arial" w:hAnsi="Arial"/>
          <w:noProof/>
          <w:color w:val="000000"/>
          <w:sz w:val="22"/>
          <w:szCs w:val="22"/>
        </w:rPr>
        <w:t>(19)</w:t>
      </w:r>
      <w:r w:rsidR="00583324" w:rsidRPr="004B2DF2">
        <w:rPr>
          <w:rFonts w:ascii="Arial" w:hAnsi="Arial"/>
          <w:color w:val="000000"/>
          <w:sz w:val="22"/>
          <w:szCs w:val="22"/>
        </w:rPr>
        <w:fldChar w:fldCharType="end"/>
      </w:r>
      <w:r w:rsidR="00B347DB" w:rsidRPr="004B2DF2">
        <w:rPr>
          <w:rFonts w:ascii="Arial" w:hAnsi="Arial"/>
          <w:color w:val="000000"/>
          <w:sz w:val="22"/>
          <w:szCs w:val="22"/>
          <w:vertAlign w:val="superscript"/>
        </w:rPr>
        <w:t>,</w:t>
      </w:r>
      <w:r w:rsidR="00AD0496">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"10.1038/srep06255", "abstract" : "The phosphatidylinositol-4, 5-bisphosphate 3-kinase, catalytic subunit alpha (PIK3CA) gene is frequently mutated in breast cancer (BCa). Sex hormone receptors (HRs), including estrogen receptor (ER) and progesterone receptor (PR) play pivotal roles in BCa. In this study, we evaluated the association between PIK3CA mutations and ER/PR expression and the prognostic role of PIK3CA mutations in BCa patients, and in particular, HR-positive BCa. Thirty-two studies involving 5719 cases of BCa obtained from database searches were examined. PIK3CA gene mutations correlated significantly with ER/PR expression (p , 0.00001) and relapse-free survival (RFS) (hazard ratio [HR] 0.76, 95% confidence interval [CI] 0.59\u20130.98, p 5 0.03) but not overall survival (OS) (HR 1.14, 95%CI 0.72\u20131.82, p 5 0.57) in unsorted BCa patients. PIK3CA mutations were not associated with OS (HR 1.06, 95%CI 0.67\u20131.67, p 5 0.81) or RFS (HR 0.86, 95%CI 0.53\u20131.40, p 5 0.55) in HR-positive BCa patients. In conclusion, PIK3CA mutations were significantly related to ER/PR expression and RFS in unsorted BCa patients. However, the clinical implications of PIK3CA mutations may vary according to different mutant exons. And PIK3CA mutations alone may have limited prognostic value for HR-positive BCa patients.", "author" : [ { "dropping-particle" : "", "family" : "Pang", "given" : "Bo", "non-dropping-particle" : "", "parse-names" : false, "suffix" : "" }, { "dropping-particle" : "", "family" : "Cheng", "given" : "Shi", "non-dropping-particle" : "", "parse-names" : false, "suffix" : "" }, { "dropping-particle" : "", "family" : "Sun", "given" : "Shi-Peng", "non-dropping-particle" : "", "parse-names" : false, "suffix" : "" }, { "dropping-particle" : "", "family" : "An", "given" : "Cheng", "non-dropping-particle" : "", "parse-names" : false, "suffix" : "" }, { "dropping-particle" : "", "family" : "Liu", "given" : "Zhi-Yuan", "non-dropping-particle" : "", "parse-names" : false, "suffix" : "" }, { "dropping-particle" : "", "family" : "Feng", "given" : "Xue", "non-dropping-particle" : "", "parse-names" : false, "suffix" : "" }, { "dropping-particle" : "", "family" : "Liu", "given" : "Gui-Jian", "non-dropping-particle" : "", "parse-names" : false, "suffix" : "" } ], "container-title" : "Sci Rep", "id" : "ITEM-1", "issue" : "4", "issued" : { "date-parts" : [ [ "2014" ] ] }, "page" : "6255", "title" : "Prognostic role of PIK3CA mutations and their association with hormone receptor expression in breast cancer: a meta-analysis", "type" : "article-journal", "volume" : "1" }, "uris" : [ "http://www.mendeley.com/documents/?uuid=7f9c87be-e795-415e-8a3b-cbec5323665f", "http://www.mendeley.com/documents/?uuid=b16d685f-c8f0-4dee-bd56-5e6e384b62e3" ] } ], "mendeley" : { "formattedCitation" : "(20)", "plainTextFormattedCitation" : "(20)", "previouslyFormattedCitation" : "(20)" }, "properties" : { "noteIndex" : 0 }, "schema" : "https://github.com/citation-style-language/schema/raw/master/csl-citation.json" }</w:instrText>
      </w:r>
      <w:r w:rsidR="00AD0496">
        <w:rPr>
          <w:rFonts w:ascii="Arial" w:hAnsi="Arial"/>
          <w:color w:val="000000"/>
          <w:sz w:val="22"/>
          <w:szCs w:val="22"/>
        </w:rPr>
        <w:fldChar w:fldCharType="separate"/>
      </w:r>
      <w:r w:rsidR="008D1593" w:rsidRPr="008D1593">
        <w:rPr>
          <w:rFonts w:ascii="Arial" w:hAnsi="Arial"/>
          <w:noProof/>
          <w:color w:val="000000"/>
          <w:sz w:val="22"/>
          <w:szCs w:val="22"/>
        </w:rPr>
        <w:t>(20)</w:t>
      </w:r>
      <w:r w:rsidR="00AD0496">
        <w:rPr>
          <w:rFonts w:ascii="Arial" w:hAnsi="Arial"/>
          <w:color w:val="000000"/>
          <w:sz w:val="22"/>
          <w:szCs w:val="22"/>
        </w:rPr>
        <w:fldChar w:fldCharType="end"/>
      </w:r>
      <w:r w:rsidRPr="004B2DF2">
        <w:rPr>
          <w:rFonts w:ascii="Arial" w:hAnsi="Arial"/>
          <w:color w:val="000000"/>
          <w:sz w:val="22"/>
          <w:szCs w:val="22"/>
        </w:rPr>
        <w:t xml:space="preserve">. </w:t>
      </w:r>
      <w:r w:rsidR="00583324" w:rsidRPr="004B2DF2">
        <w:rPr>
          <w:rFonts w:ascii="Arial" w:hAnsi="Arial"/>
          <w:color w:val="000000"/>
          <w:sz w:val="22"/>
          <w:szCs w:val="22"/>
        </w:rPr>
        <w:t xml:space="preserve">Plasma detection of </w:t>
      </w:r>
      <w:r w:rsidR="00583324" w:rsidRPr="00EF2B89">
        <w:rPr>
          <w:rFonts w:ascii="Arial" w:hAnsi="Arial"/>
          <w:i/>
          <w:color w:val="000000"/>
          <w:sz w:val="22"/>
          <w:szCs w:val="22"/>
        </w:rPr>
        <w:t>PIK3CA</w:t>
      </w:r>
      <w:r w:rsidR="00583324" w:rsidRPr="004B2DF2">
        <w:rPr>
          <w:rFonts w:ascii="Arial" w:hAnsi="Arial"/>
          <w:color w:val="000000"/>
          <w:sz w:val="22"/>
          <w:szCs w:val="22"/>
        </w:rPr>
        <w:t xml:space="preserve"> mutations in patients with early breast cancer pre- and post-surgery has been reported</w:t>
      </w:r>
      <w:r w:rsidR="0058332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"PURPOSE: Detecting circulating plasma tumor DNA (ptDNA) in patients with early-stage cancer has the potential to change how oncologists recommend systemic therapies for solid tumors after surgery. Droplet digital polymerase chain reaction (ddPCR) is a novel sensitive and specific platform for mutation detection. EXPERIMENTAL DESIGN: In this prospective study, primary breast tumors and matched pre- and postsurgery blood samples were collected from patients with early-stage breast cancer (n = 29). Tumors (n = 30) were analyzed by Sanger sequencing for common PIK3CA mutations, and DNA from these tumors and matched plasma were then analyzed for PIK3CA mutations using ddPCR. RESULTS: Sequencing of tumors identified seven PIK3CA exon 20 mutations (H1047R) and three exon 9 mutations (E545K). Analysis of tumors by ddPCR confirmed these mutations and identified five additional mutations. Presurgery plasma samples (n = 29) were then analyzed for PIK3CA mutations using ddPCR. Of the 15 PIK3CA mutations detected in tumors by ddPCR, 14 of the corresponding mutations were detected in presurgical ptDNA, whereas no mutations were found in plasma from patients with PIK3CA wild-type tumors (sensitivity 93.3%, specificity 100%). Ten patients with mutation-positive ptDNA presurgery had ddPCR analysis of postsurgery plasma, with five patients having detectable ptDNA postsurgery. CONCLUSIONS: This prospective study demonstrates accurate mutation detection in tumor tissues using ddPCR, and that ptDNA can be detected in blood before and after surgery in patients with early-stage breast cancer. Future studies can now address whether ptDNA detected after surgery identifies patients at risk for recurrence, which could guide chemotherapy decisions for individual patients. Clin Cancer Res; 20(10); 2643-50. \u00a92014 AACR.", "author" : [ { "dropping-particle" : "", "family" : "Beaver", "given" : "Julia A.", "non-dropping-particle" : "", "parse-names" : false, "suffix" : "" }, { "dropping-particle" : "", "family" : "Jelovac", "given" : "Danijela", "non-dropping-particle" : "", "parse-names" : false, "suffix" : "" }, { "dropping-particle" : "", "family" : "Balukrishna", "given" : "Sasidharan", "non-dropping-particle" : "", "parse-names" : false, "suffix" : "" }, { "dropping-particle" : "", "family" : "Cochran", "given" : "Rory L.", "non-dropping-particle" : "", "parse-names" : false, "suffix" : "" }, { "dropping-particle" : "", "family" : "Croessmann", "given" : "Sarah", "non-dropping-particle" : "", "parse-names" : false, "suffix" : "" }, { "dropping-particle" : "", "family" : "Zabransky", "given" : "Daniel J.", "non-dropping-particle" : "", "parse-names" : false, "suffix" : "" }, { "dropping-particle" : "", "family" : "Wong", "given" : "Hong Yuen", "non-dropping-particle" : "", "parse-names" : false, "suffix" : "" }, { "dropping-particle" : "", "family" : "Toro", "given" : "Patricia Valda", "non-dropping-particle" : "", "parse-names" : false, "suffix" : "" }, { "dropping-particle" : "", "family" : "Cidado", "given" : "Justin", "non-dropping-particle" : "", "parse-names" : false, "suffix" : "" }, { "dropping-particle" : "", "family" : "Blair", "given" : "Brian G.", "non-dropping-particle" : "", "parse-names" : false, "suffix" : "" }, { "dropping-particle" : "", "family" : "Chu", "given" : "David", "non-dropping-particle" : "", "parse-names" : false, "suffix" : "" }, { "dropping-particle" : "", "family" : "Burns", "given" : "Timothy", "non-dropping-particle" : "", "parse-names" : false, "suffix" : "" }, { "dropping-particle" : "", "family" : "Higgins", "given" : "Michaela J.", "non-dropping-particle" : "", "parse-names" : false, "suffix" : "" }, { "dropping-particle" : "", "family" : "Stearns", "given" : "Vered", "non-dropping-particle" : "", "parse-names" : false, "suffix" : "" }, { "dropping-particle" : "", "family" : "Jacobs", "given" : "Lisa", "non-dropping-particle" : "", "parse-names" : false, "suffix" : "" }, { "dropping-particle" : "", "family" : "Habibi", "given" : "Mehran", "non-dropping-particle" : "", "parse-names" : false, "suffix" : "" }, { "dropping-particle" : "", "family" : "Lange", "given" : "Julie", "non-dropping-particle" : "", "parse-names" : false, "suffix" : "" }, { "dropping-particle" : "", "family" : "Hurley", "given" : "Paula J.", "non-dropping-particle" : "", "parse-names" : false, "suffix" : "" }, { "dropping-particle" : "", "family" : "Lauring", "given" : "Josh", "non-dropping-particle" : "", "parse-names" : false, "suffix" : "" }, { "dropping-particle" : "", "family" : "VanDenBerg", "given" : "Dustin A.", "non-dropping-particle" : "", "parse-names" : false, "suffix" : "" }, { "dropping-particle" : "", "family" : "Kessler", "given" : "Jill", "non-dropping-particle" : "", "parse-names" : false, "suffix" : "" }, { "dropping-particle" : "", "family" : "Jeter", "given" : "Stacie", "non-dropping-particle" : "", "parse-names" : false, "suffix" : "" }, { "dropping-particle" : "", "family" : "Samuels", "given" : "Michael L.", "non-dropping-particle" : "", "parse-names" : false, "suffix" : "" }, { "dropping-particle" : "", "family" : "Maar", "given" : "Dianna", "non-dropping-particle" : "", "parse-names" : false, "suffix" : "" }, { "dropping-particle" : "", "family" : "Cope", "given" : "Leslie", "non-dropping-particle" : "", "parse-names" : false, "suffix" : "" }, { "dropping-particle" : "", "family" : "Cimino-Mathews", "given" : "Ashley", "non-dropping-particle" : "", "parse-names" : false, "suffix" : "" }, { "dropping-particle" : "", "family" : "Argani", "given" : "Pedram", "non-dropping-particle" : "", "parse-names" : false, "suffix" : "" }, { "dropping-particle" : "", "family" : "Wolff", "given" : "Antonio C.", "non-dropping-particle" : "", "parse-names" : false, "suffix" : "" }, { "dropping-particle" : "", "family" : "Park", "given" : "Ben Ho", "non-dropping-particle" : "", "parse-names" : false, "suffix" : "" } ], "container-title" : "Clinical Cancer Research", "id" : "ITEM-1", "issue" : "10", "issued" : { "date-parts" : [ [ "2014", "5" ] ] }, "page" : "2643-2650", "publisher" : "American Association for Cancer Research Inc.", "title" : "Detection of cancer DNA in plasma of patients with early-stage breast cancer", "type" : "article-journal", "volume" : "20" }, "uris" : [ "http://www.mendeley.com/documents/?uuid=0c90e4b7-e79a-4a44-8a8c-c7090786c12e" ] } ], "mendeley" : { "formattedCitation" : "(21)", "plainTextFormattedCitation" : "(21)", "previouslyFormattedCitation" : "(21)" }, "properties" : { "noteIndex" : 0 }, "schema" : "https://github.com/citation-style-language/schema/raw/master/csl-citation.json" }</w:instrText>
      </w:r>
      <w:r w:rsidR="00583324" w:rsidRPr="004B2DF2">
        <w:rPr>
          <w:rFonts w:ascii="Arial" w:hAnsi="Arial"/>
          <w:color w:val="000000"/>
          <w:sz w:val="22"/>
          <w:szCs w:val="22"/>
        </w:rPr>
        <w:fldChar w:fldCharType="separate"/>
      </w:r>
      <w:r w:rsidR="008D1593" w:rsidRPr="008D1593">
        <w:rPr>
          <w:rFonts w:ascii="Arial" w:hAnsi="Arial"/>
          <w:noProof/>
          <w:color w:val="000000"/>
          <w:sz w:val="22"/>
          <w:szCs w:val="22"/>
        </w:rPr>
        <w:t>(21)</w:t>
      </w:r>
      <w:r w:rsidR="00583324" w:rsidRPr="004B2DF2">
        <w:rPr>
          <w:rFonts w:ascii="Arial" w:hAnsi="Arial"/>
          <w:color w:val="000000"/>
          <w:sz w:val="22"/>
          <w:szCs w:val="22"/>
        </w:rPr>
        <w:fldChar w:fldCharType="end"/>
      </w:r>
      <w:r w:rsidR="00583324" w:rsidRPr="004B2DF2">
        <w:rPr>
          <w:rFonts w:ascii="Arial" w:hAnsi="Arial"/>
          <w:color w:val="000000"/>
          <w:sz w:val="22"/>
          <w:szCs w:val="22"/>
          <w:vertAlign w:val="superscript"/>
        </w:rPr>
        <w:t>,</w:t>
      </w:r>
      <w:r w:rsidR="0058332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"10.1007/s10549-015-3322-6", "ISBN" : "1573-7217", "ISSN" : "15737217", "PMID" : "25736040", "abstract" : "We attempted to develop a highly sensitive and specific method for the detection of circulating tumor DNA (ctDNA) using a digital PCR (dPCR) assay for PIK3CA mutations (i.e., H1047R, E545K, and E542K) in primary breast cancer patients. The sensitivity of the dPCR assay for the mutant alleles was examined using cell lines with PIK3CA mutations and proved to be 0.01 %. Serum samples were collected pre-operatively from 313 stage I-III breast cancer patients, of whom 110 were found to have PIK3CA mutant tumors. The serum samples from these patients with PIK3CA mutant tumors were subjected to the dPCR assay, and 25 (22.7 %) were found to be positive. No PIK3CA mutant ctDNA was detected in the serum samples of 50 healthy women and 30 breast cancer patients with PIK3CA non-mutant tumors. The patients with PIK3CA mutant ctDNA were dichotomized into mutant ctDNA-high (ctDNA(high)) and ctDNA-low (ctDNA(low)) groups based on the median. The ctDNA(high) patients exhibited significantly shorter recurrence-free survival (RFS; P = 0.0002) and overall survival rates (OS; P = 0.0048) compared to those exhibited by the combined ctDNA(low) patient and ctDNA-free patient group. Multivariate analysis revealed that ctDNA(high) status significantly predicted poor RFS and OS and did so independently of conventional histological parameters. These results suggest that dPCR is a highly sensitive and specific method for the detection of PIK3CA mutant ctDNA and that ctDNA(high) but not ctDNA(low) status is a significant and independent prognostic factor for primary breast cancer patients.", "author" : [ { "dropping-particle" : "", "family" : "Oshiro", "given" : "Chiya", "non-dropping-particle" : "", "parse-names" : false, "suffix" : "" }, { "dropping-particle" : "", "family" : "Kagara", "given" : "Naofumi", "non-dropping-particle" : "", "parse-names" : false, "suffix" : "" }, { "dropping-particle" : "", "family" : "Naoi", "given" : "Yasuto", "non-dropping-particle" : "", "parse-names" : false, "suffix" : "" }, { "dropping-particle" : "", "family" : "Shimoda", "given" : "Masafumi", "non-dropping-particle" : "", "parse-names" : false, "suffix" : "" }, { "dropping-particle" : "", "family" : "Shimomura", "given" : "Atsushi", "non-dropping-particle" : "", "parse-names" : false, "suffix" : "" }, { "dropping-particle" : "", "family" : "Maruyama", "given" : "Naomi", "non-dropping-particle" : "", "parse-names" : false, "suffix" : "" }, { "dropping-particle" : "", "family" : "Shimazu", "given" : "Kenzo", "non-dropping-particle" : "", "parse-names" : false, "suffix" : "" }, { "dropping-particle" : "", "family" : "Kim", "given" : "Seung Jin", "non-dropping-particle" : "", "parse-names" : false, "suffix" : "" }, { "dropping-particle" : "", "family" : "Noguchi", "given" : "Shinzaburo", "non-dropping-particle" : "", "parse-names" : false, "suffix" : "" } ], "container-title" : "Breast Cancer Research and Treatment", "id" : "ITEM-1", "issue" : "2", "issued" : { "date-parts" : [ [ "2015" ] ] }, "title" : "PIK3CA mutations in serum DNA are predictive of recurrence in primary breast cancer patients", "type" : "article-journal", "volume" : "150" }, "uris" : [ "http://www.mendeley.com/documents/?uuid=f00247af-97e2-3e1f-9f71-c8721ee8a3a0", "http://www.mendeley.com/documents/?uuid=5aa0988f-6785-4136-ae91-2ef2e4f5800c" ] } ], "mendeley" : { "formattedCitation" : "(22)", "plainTextFormattedCitation" : "(22)", "previouslyFormattedCitation" : "(22)" }, "properties" : { "noteIndex" : 0 }, "schema" : "https://github.com/citation-style-language/schema/raw/master/csl-citation.json" }</w:instrText>
      </w:r>
      <w:r w:rsidR="00583324" w:rsidRPr="004B2DF2">
        <w:rPr>
          <w:rFonts w:ascii="Arial" w:hAnsi="Arial"/>
          <w:color w:val="000000"/>
          <w:sz w:val="22"/>
          <w:szCs w:val="22"/>
        </w:rPr>
        <w:fldChar w:fldCharType="separate"/>
      </w:r>
      <w:r w:rsidR="008D1593" w:rsidRPr="008D1593">
        <w:rPr>
          <w:rFonts w:ascii="Arial" w:hAnsi="Arial"/>
          <w:noProof/>
          <w:color w:val="000000"/>
          <w:sz w:val="22"/>
          <w:szCs w:val="22"/>
        </w:rPr>
        <w:t>(22)</w:t>
      </w:r>
      <w:r w:rsidR="00583324" w:rsidRPr="004B2DF2">
        <w:rPr>
          <w:rFonts w:ascii="Arial" w:hAnsi="Arial"/>
          <w:color w:val="000000"/>
          <w:sz w:val="22"/>
          <w:szCs w:val="22"/>
        </w:rPr>
        <w:fldChar w:fldCharType="end"/>
      </w:r>
      <w:r w:rsidR="00583324" w:rsidRPr="004B2DF2">
        <w:rPr>
          <w:rFonts w:ascii="Arial" w:hAnsi="Arial"/>
          <w:color w:val="000000"/>
          <w:sz w:val="22"/>
          <w:szCs w:val="22"/>
        </w:rPr>
        <w:t xml:space="preserve"> and those with a higher level of </w:t>
      </w:r>
      <w:r w:rsidR="00583324" w:rsidRPr="00EF2B89">
        <w:rPr>
          <w:rFonts w:ascii="Arial" w:hAnsi="Arial"/>
          <w:i/>
          <w:color w:val="000000"/>
          <w:sz w:val="22"/>
          <w:szCs w:val="22"/>
        </w:rPr>
        <w:t>PIK3CA</w:t>
      </w:r>
      <w:r w:rsidR="00583324" w:rsidRPr="004B2DF2">
        <w:rPr>
          <w:rFonts w:ascii="Arial" w:hAnsi="Arial"/>
          <w:color w:val="000000"/>
          <w:sz w:val="22"/>
          <w:szCs w:val="22"/>
        </w:rPr>
        <w:t xml:space="preserve"> mutant ctDNA pre-surgery were shown to have </w:t>
      </w:r>
      <w:r w:rsidR="00F359A7" w:rsidRPr="004B2DF2">
        <w:rPr>
          <w:rFonts w:ascii="Arial" w:hAnsi="Arial"/>
          <w:color w:val="000000"/>
          <w:sz w:val="22"/>
          <w:szCs w:val="22"/>
        </w:rPr>
        <w:t xml:space="preserve">a </w:t>
      </w:r>
      <w:r w:rsidR="00583324" w:rsidRPr="004B2DF2">
        <w:rPr>
          <w:rFonts w:ascii="Arial" w:hAnsi="Arial"/>
          <w:color w:val="000000"/>
          <w:sz w:val="22"/>
          <w:szCs w:val="22"/>
        </w:rPr>
        <w:t>worse prognosis</w:t>
      </w:r>
      <w:r w:rsidR="0058332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"10.1007/s10549-015-3322-6", "ISBN" : "1573-7217", "ISSN" : "15737217", "PMID" : "25736040", "abstract" : "We attempted to develop a highly sensitive and specific method for the detection of circulating tumor DNA (ctDNA) using a digital PCR (dPCR) assay for PIK3CA mutations (i.e., H1047R, E545K, and E542K) in primary breast cancer patients. The sensitivity of the dPCR assay for the mutant alleles was examined using cell lines with PIK3CA mutations and proved to be 0.01 %. Serum samples were collected pre-operatively from 313 stage I-III breast cancer patients, of whom 110 were found to have PIK3CA mutant tumors. The serum samples from these patients with PIK3CA mutant tumors were subjected to the dPCR assay, and 25 (22.7 %) were found to be positive. No PIK3CA mutant ctDNA was detected in the serum samples of 50 healthy women and 30 breast cancer patients with PIK3CA non-mutant tumors. The patients with PIK3CA mutant ctDNA were dichotomized into mutant ctDNA-high (ctDNA(high)) and ctDNA-low (ctDNA(low)) groups based on the median. The ctDNA(high) patients exhibited significantly shorter recurrence-free survival (RFS; P = 0.0002) and overall survival rates (OS; P = 0.0048) compared to those exhibited by the combined ctDNA(low) patient and ctDNA-free patient group. Multivariate analysis revealed that ctDNA(high) status significantly predicted poor RFS and OS and did so independently of conventional histological parameters. These results suggest that dPCR is a highly sensitive and specific method for the detection of PIK3CA mutant ctDNA and that ctDNA(high) but not ctDNA(low) status is a significant and independent prognostic factor for primary breast cancer patients.", "author" : [ { "dropping-particle" : "", "family" : "Oshiro", "given" : "Chiya", "non-dropping-particle" : "", "parse-names" : false, "suffix" : "" }, { "dropping-particle" : "", "family" : "Kagara", "given" : "Naofumi", "non-dropping-particle" : "", "parse-names" : false, "suffix" : "" }, { "dropping-particle" : "", "family" : "Naoi", "given" : "Yasuto", "non-dropping-particle" : "", "parse-names" : false, "suffix" : "" }, { "dropping-particle" : "", "family" : "Shimoda", "given" : "Masafumi", "non-dropping-particle" : "", "parse-names" : false, "suffix" : "" }, { "dropping-particle" : "", "family" : "Shimomura", "given" : "Atsushi", "non-dropping-particle" : "", "parse-names" : false, "suffix" : "" }, { "dropping-particle" : "", "family" : "Maruyama", "given" : "Naomi", "non-dropping-particle" : "", "parse-names" : false, "suffix" : "" }, { "dropping-particle" : "", "family" : "Shimazu", "given" : "Kenzo", "non-dropping-particle" : "", "parse-names" : false, "suffix" : "" }, { "dropping-particle" : "", "family" : "Kim", "given" : "Seung Jin", "non-dropping-particle" : "", "parse-names" : false, "suffix" : "" }, { "dropping-particle" : "", "family" : "Noguchi", "given" : "Shinzaburo", "non-dropping-particle" : "", "parse-names" : false, "suffix" : "" } ], "container-title" : "Breast Cancer Research and Treatment", "id" : "ITEM-1", "issue" : "2", "issued" : { "date-parts" : [ [ "2015" ] ] }, "title" : "PIK3CA mutations in serum DNA are predictive of recurrence in primary breast cancer patients", "type" : "article-journal", "volume" : "150" }, "uris" : [ "http://www.mendeley.com/documents/?uuid=5aa0988f-6785-4136-ae91-2ef2e4f5800c", "http://www.mendeley.com/documents/?uuid=f00247af-97e2-3e1f-9f71-c8721ee8a3a0" ] } ], "mendeley" : { "formattedCitation" : "(22)", "plainTextFormattedCitation" : "(22)", "previouslyFormattedCitation" : "(22)" }, "properties" : { "noteIndex" : 0 }, "schema" : "https://github.com/citation-style-language/schema/raw/master/csl-citation.json" }</w:instrText>
      </w:r>
      <w:r w:rsidR="00583324" w:rsidRPr="004B2DF2">
        <w:rPr>
          <w:rFonts w:ascii="Arial" w:hAnsi="Arial"/>
          <w:color w:val="000000"/>
          <w:sz w:val="22"/>
          <w:szCs w:val="22"/>
        </w:rPr>
        <w:fldChar w:fldCharType="separate"/>
      </w:r>
      <w:r w:rsidR="008D1593" w:rsidRPr="008D1593">
        <w:rPr>
          <w:rFonts w:ascii="Arial" w:hAnsi="Arial"/>
          <w:noProof/>
          <w:color w:val="000000"/>
          <w:sz w:val="22"/>
          <w:szCs w:val="22"/>
        </w:rPr>
        <w:t>(22)</w:t>
      </w:r>
      <w:r w:rsidR="00583324" w:rsidRPr="004B2DF2">
        <w:rPr>
          <w:rFonts w:ascii="Arial" w:hAnsi="Arial"/>
          <w:color w:val="000000"/>
          <w:sz w:val="22"/>
          <w:szCs w:val="22"/>
        </w:rPr>
        <w:fldChar w:fldCharType="end"/>
      </w:r>
      <w:r w:rsidR="00F359A7" w:rsidRPr="004B2DF2">
        <w:rPr>
          <w:rFonts w:ascii="Arial" w:hAnsi="Arial"/>
          <w:color w:val="000000"/>
          <w:sz w:val="22"/>
          <w:szCs w:val="22"/>
        </w:rPr>
        <w:t>. Additionally,</w:t>
      </w:r>
      <w:r w:rsidRPr="004B2DF2">
        <w:rPr>
          <w:rFonts w:ascii="Arial" w:hAnsi="Arial"/>
          <w:color w:val="000000"/>
          <w:sz w:val="22"/>
          <w:szCs w:val="22"/>
        </w:rPr>
        <w:t xml:space="preserve"> it is an attractive concept that the identification of genomic alterations in </w:t>
      </w:r>
      <w:r w:rsidRPr="00EF2B89">
        <w:rPr>
          <w:rFonts w:ascii="Arial" w:hAnsi="Arial"/>
          <w:i/>
          <w:color w:val="000000"/>
          <w:sz w:val="22"/>
          <w:szCs w:val="22"/>
        </w:rPr>
        <w:t>PIK3CA</w:t>
      </w:r>
      <w:r w:rsidRPr="004B2DF2">
        <w:rPr>
          <w:rFonts w:ascii="Arial" w:hAnsi="Arial"/>
          <w:color w:val="000000"/>
          <w:sz w:val="22"/>
          <w:szCs w:val="22"/>
        </w:rPr>
        <w:t xml:space="preserve"> in plasma will provide an objective</w:t>
      </w:r>
      <w:r w:rsidR="00583324" w:rsidRPr="004B2DF2">
        <w:rPr>
          <w:rFonts w:ascii="Arial" w:hAnsi="Arial"/>
          <w:color w:val="000000"/>
          <w:sz w:val="22"/>
          <w:szCs w:val="22"/>
        </w:rPr>
        <w:t xml:space="preserve"> predictor of clinical response,</w:t>
      </w:r>
      <w:r w:rsidRPr="004B2DF2">
        <w:rPr>
          <w:rFonts w:ascii="Arial" w:hAnsi="Arial"/>
          <w:color w:val="000000"/>
          <w:sz w:val="22"/>
          <w:szCs w:val="22"/>
        </w:rPr>
        <w:t xml:space="preserve"> particularly to agents targeting the PIK3CA pathway. </w:t>
      </w:r>
      <w:r w:rsidR="009703B6" w:rsidRPr="004B2DF2">
        <w:rPr>
          <w:rFonts w:ascii="Arial" w:hAnsi="Arial"/>
          <w:color w:val="000000"/>
          <w:sz w:val="22"/>
          <w:szCs w:val="22"/>
        </w:rPr>
        <w:t xml:space="preserve">In a phase 1 study which included 30 metastatic breast cancer patients, </w:t>
      </w:r>
      <w:r w:rsidRPr="004B2DF2">
        <w:rPr>
          <w:rFonts w:ascii="Arial" w:hAnsi="Arial"/>
          <w:color w:val="000000"/>
          <w:sz w:val="22"/>
          <w:szCs w:val="22"/>
        </w:rPr>
        <w:t xml:space="preserve">PIK3CA/AKT/mTOR inhibitors </w:t>
      </w:r>
      <w:r w:rsidR="0026571F" w:rsidRPr="004B2DF2">
        <w:rPr>
          <w:rFonts w:ascii="Arial" w:hAnsi="Arial"/>
          <w:color w:val="000000"/>
          <w:sz w:val="22"/>
          <w:szCs w:val="22"/>
        </w:rPr>
        <w:t>were</w:t>
      </w:r>
      <w:r w:rsidRPr="004B2DF2">
        <w:rPr>
          <w:rFonts w:ascii="Arial" w:hAnsi="Arial"/>
          <w:color w:val="000000"/>
          <w:sz w:val="22"/>
          <w:szCs w:val="22"/>
        </w:rPr>
        <w:t xml:space="preserve"> shown to have </w:t>
      </w:r>
      <w:r w:rsidR="0026571F" w:rsidRPr="004B2DF2">
        <w:rPr>
          <w:rFonts w:ascii="Arial" w:hAnsi="Arial"/>
          <w:color w:val="000000"/>
          <w:sz w:val="22"/>
          <w:szCs w:val="22"/>
        </w:rPr>
        <w:t xml:space="preserve">a better clinical response </w:t>
      </w:r>
      <w:r w:rsidR="009703B6" w:rsidRPr="004B2DF2">
        <w:rPr>
          <w:rFonts w:ascii="Arial" w:hAnsi="Arial"/>
          <w:color w:val="000000"/>
          <w:sz w:val="22"/>
          <w:szCs w:val="22"/>
        </w:rPr>
        <w:t xml:space="preserve">when the tumour biopsy confirmed the presence of </w:t>
      </w:r>
      <w:r w:rsidR="009703B6" w:rsidRPr="00EF2B89">
        <w:rPr>
          <w:rFonts w:ascii="Arial" w:hAnsi="Arial"/>
          <w:i/>
          <w:color w:val="000000"/>
          <w:sz w:val="22"/>
          <w:szCs w:val="22"/>
        </w:rPr>
        <w:t>PIK3CA</w:t>
      </w:r>
      <w:r w:rsidR="0026571F" w:rsidRPr="00EF2B89">
        <w:rPr>
          <w:rFonts w:ascii="Arial" w:hAnsi="Arial"/>
          <w:i/>
          <w:color w:val="000000"/>
          <w:sz w:val="22"/>
          <w:szCs w:val="22"/>
        </w:rPr>
        <w:t xml:space="preserve"> </w:t>
      </w:r>
      <w:r w:rsidR="0026571F" w:rsidRPr="004B2DF2">
        <w:rPr>
          <w:rFonts w:ascii="Arial" w:hAnsi="Arial"/>
          <w:color w:val="000000"/>
          <w:sz w:val="22"/>
          <w:szCs w:val="22"/>
        </w:rPr>
        <w:t>H1047R or</w:t>
      </w:r>
      <w:r w:rsidR="009703B6" w:rsidRPr="004B2DF2">
        <w:rPr>
          <w:rFonts w:ascii="Arial" w:hAnsi="Arial"/>
          <w:color w:val="000000"/>
          <w:sz w:val="22"/>
          <w:szCs w:val="22"/>
        </w:rPr>
        <w:t xml:space="preserve"> E545K</w:t>
      </w:r>
      <w:r w:rsidRPr="004B2DF2">
        <w:rPr>
          <w:rFonts w:ascii="Arial" w:hAnsi="Arial"/>
          <w:color w:val="000000"/>
          <w:sz w:val="22"/>
          <w:szCs w:val="22"/>
        </w:rPr>
        <w:t xml:space="preserve"> muta</w:t>
      </w:r>
      <w:r w:rsidR="0026571F" w:rsidRPr="004B2DF2">
        <w:rPr>
          <w:rFonts w:ascii="Arial" w:hAnsi="Arial"/>
          <w:color w:val="000000"/>
          <w:sz w:val="22"/>
          <w:szCs w:val="22"/>
        </w:rPr>
        <w:t>tions</w:t>
      </w:r>
      <w:r w:rsidR="00CD5903"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"PURPOSE Mutations of the PIK3CA gene may predict response to phosphatidylinositol 3-kinase (PI3K)/AKT/mammalian target of rapamycin (mTOR) inhibitors. Concomitant mutations in the mitogen-activated protein kinase (MAPK) pathway may mediate resistance. PATIENTS AND METHODS Tumors from patients with breast, cervical, endometrial, and ovarian cancer referred to the Clinical Center for Targeted Therapy (Phase I Program) were analyzed for PIK3CA, KRAS, NRAS, and BRAF mutations. Patients with PIK3CA mutations were treated, whenever feasible, with agents targeting the PI3K/AKT/mTOR pathway. RESULTS Of 140 patients analyzed, 25 (18%) had PIK3CA mutations, including five of 14 patients with squamous cell cervical, seven of 29 patients with endometrial, six of 29 patients with breast, and seven of 60 patients with ovarian cancers. Of the 25 patients with PIK3CA mutations, 23 (median of two prior therapies) were treated on a protocol that included a PI3K/AKT/mTOR pathway inhibitor. Two (9%) of 23 patients had stable disease for more than 6 months, and seven patients (30%) had a partial response. In comparison, only seven (10%) of 70 patients with the same disease types but with wild-type PIK3CA treated on the same protocols responded (P = .04). Seven patients (30%) with PIK3CA mutations had coexisting MAPK pathway (KRAS, NRAS, BRAF) mutations (ovarian cancer, n = 5; endometrial cancer, n = 2), and two of these patients (ovarian cancer) achieved a response. CONCLUSION PIK3CA mutations were detected in 18% of tested patients. Patients with PIK3CA mutations treated with PI3K/AKT/mTOR inhibitors demonstrated a higher response rate than patients without mutations. A subset of patients with ovarian cancer with simultaneous PIK3CA and MAPK mutations responded to PI3K/AKT/mTOR inhibitors, suggesting that not all patients demonstrate resistance when the MAPK pathway is concomitantly activated.", "author" : [ { "dropping-particle" : "", "family" : "Janku", "given" : "Filip", "non-dropping-particle" : "", "parse-names" : false, "suffix" : "" }, { "dropping-particle" : "", "family" : "Wheler", "given" : "Jennifer J.", "non-dropping-particle" : "", "parse-names" : false, "suffix" : "" }, { "dropping-particle" : "", "family" : "Westin", "given" : "Shannon N.", "non-dropping-particle" : "", "parse-names" : false, "suffix" : "" }, { "dropping-particle" : "", "family" : "Moulder", "given" : "Stacy L.", "non-dropping-particle" : "", "parse-names" : false, "suffix" : "" }, { "dropping-particle" : "", "family" : "Naing", "given" : "Aung", "non-dropping-particle" : "", "parse-names" : false, "suffix" : "" }, { "dropping-particle" : "", "family" : "Tsimberidou", "given" : "Apostolia M.", "non-dropping-particle" : "", "parse-names" : false, "suffix" : "" }, { "dropping-particle" : "", "family" : "Fu", "given" : "Siqing", "non-dropping-particle" : "", "parse-names" : false, "suffix" : "" }, { "dropping-particle" : "", "family" : "Falchook", "given" : "Gerald S.", "non-dropping-particle" : "", "parse-names" : false, "suffix" : "" }, { "dropping-particle" : "", "family" : "Hong", "given" : "David S.", "non-dropping-particle" : "", "parse-names" : false, "suffix" : "" }, { "dropping-particle" : "", "family" : "Garrido-Laguna", "given" : "Ignacio", "non-dropping-particle" : "", "parse-names" : false, "suffix" : "" }, { "dropping-particle" : "", "family" : "Luthra", "given" : "Rajyalakshmi", "non-dropping-particle" : "", "parse-names" : false, "suffix" : "" }, { "dropping-particle" : "", "family" : "Lee", "given" : "J. Jack", "non-dropping-particle" : "", "parse-names" : false, "suffix" : "" }, { "dropping-particle" : "", "family" : "Lu", "given" : "Karen H.", "non-dropping-particle" : "", "parse-names" : false, "suffix" : "" }, { "dropping-particle" : "", "family" : "Kurzrock", "given" : "Razelle", "non-dropping-particle" : "", "parse-names" : false, "suffix" : "" } ], "container-title" : "Journal of Clinical Oncology", "id" : "ITEM-1", "issue" : "8", "issued" : { "date-parts" : [ [ "2012", "3" ] ] }, "page" : "777-782", "title" : "PI3K/AKT/mTOR inhibitors in patients with breast and gynecologic malignancies harboring PIK3CA mutations", "type" : "article-journal", "volume" : "30" }, "uris" : [ "http://www.mendeley.com/documents/?uuid=971c7b0c-4604-4b77-9352-d475b3af6826" ] } ], "mendeley" : { "formattedCitation" : "(23)", "plainTextFormattedCitation" : "(23)", "previouslyFormattedCitation" : "(23)" }, "properties" : { "noteIndex" : 0 }, "schema" : "https://github.com/citation-style-language/schema/raw/master/csl-citation.json" }</w:instrText>
      </w:r>
      <w:r w:rsidR="00CD5903" w:rsidRPr="004B2DF2">
        <w:rPr>
          <w:rFonts w:ascii="Arial" w:hAnsi="Arial"/>
          <w:color w:val="000000"/>
          <w:sz w:val="22"/>
          <w:szCs w:val="22"/>
        </w:rPr>
        <w:fldChar w:fldCharType="separate"/>
      </w:r>
      <w:r w:rsidR="008D1593" w:rsidRPr="008D1593">
        <w:rPr>
          <w:rFonts w:ascii="Arial" w:hAnsi="Arial"/>
          <w:noProof/>
          <w:color w:val="000000"/>
          <w:sz w:val="22"/>
          <w:szCs w:val="22"/>
        </w:rPr>
        <w:t>(23)</w:t>
      </w:r>
      <w:r w:rsidR="00CD5903" w:rsidRPr="004B2DF2">
        <w:rPr>
          <w:rFonts w:ascii="Arial" w:hAnsi="Arial"/>
          <w:color w:val="000000"/>
          <w:sz w:val="22"/>
          <w:szCs w:val="22"/>
        </w:rPr>
        <w:fldChar w:fldCharType="end"/>
      </w:r>
      <w:r w:rsidRPr="004B2DF2">
        <w:rPr>
          <w:rFonts w:ascii="Arial" w:hAnsi="Arial"/>
          <w:color w:val="000000"/>
          <w:sz w:val="22"/>
          <w:szCs w:val="22"/>
        </w:rPr>
        <w:t xml:space="preserve">. </w:t>
      </w:r>
      <w:r w:rsidR="0026571F" w:rsidRPr="004B2DF2">
        <w:rPr>
          <w:rFonts w:ascii="Arial" w:hAnsi="Arial"/>
          <w:color w:val="000000"/>
          <w:sz w:val="22"/>
          <w:szCs w:val="22"/>
        </w:rPr>
        <w:t>This was not found to be the case for a recent trial involving the addition</w:t>
      </w:r>
      <w:r w:rsidR="00583324" w:rsidRPr="004B2DF2">
        <w:rPr>
          <w:rFonts w:ascii="Arial" w:hAnsi="Arial"/>
          <w:color w:val="000000"/>
          <w:sz w:val="22"/>
          <w:szCs w:val="22"/>
        </w:rPr>
        <w:t xml:space="preserve"> </w:t>
      </w:r>
      <w:r w:rsidR="00C84F7A" w:rsidRPr="004B2DF2">
        <w:rPr>
          <w:rFonts w:ascii="Arial" w:hAnsi="Arial"/>
          <w:color w:val="000000"/>
          <w:sz w:val="22"/>
          <w:szCs w:val="22"/>
        </w:rPr>
        <w:t xml:space="preserve">of </w:t>
      </w:r>
      <w:r w:rsidR="00583324" w:rsidRPr="004B2DF2">
        <w:rPr>
          <w:rFonts w:ascii="Arial" w:hAnsi="Arial"/>
          <w:color w:val="000000"/>
          <w:sz w:val="22"/>
          <w:szCs w:val="22"/>
        </w:rPr>
        <w:t>pictilisib</w:t>
      </w:r>
      <w:r w:rsidR="00C84F7A" w:rsidRPr="004B2DF2">
        <w:rPr>
          <w:rFonts w:ascii="Arial" w:hAnsi="Arial"/>
          <w:color w:val="000000"/>
          <w:sz w:val="22"/>
          <w:szCs w:val="22"/>
        </w:rPr>
        <w:t xml:space="preserve"> (a selective inhibitor of PI3K)</w:t>
      </w:r>
      <w:r w:rsidR="00583324" w:rsidRPr="004B2DF2">
        <w:rPr>
          <w:rFonts w:ascii="Arial" w:hAnsi="Arial"/>
          <w:color w:val="000000"/>
          <w:sz w:val="22"/>
          <w:szCs w:val="22"/>
        </w:rPr>
        <w:t xml:space="preserve"> to fulvestrant, however this trial had a negative outcome for all patients</w:t>
      </w:r>
      <w:r w:rsidR="00583324"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"10.1016/S1470-2045(16)00106-6", "ISSN" : "14702045", "abstract" : "BACKGROUND\nInhibition of phosphatidylinositol 3-kinase (PI3K) is a promising approach to overcome resistance to endocrine therapy in breast cancer. Pictilisib is an oral inhibitor of multiple PI3K isoforms. The aim of this study is to establish if addition of pictilisib to fulvestrant can improve progression-free survival in oestrogen receptor-positive, endocrine-resistant breast cancer. \n\nMETHODS\nIn this two-part, randomised, double-blind, placebo-controlled, phase 2 study, we recruited postmenopausal women aged 18 years or older with oestrogen receptor-positive, HER2-negative breast cancer resistant to treatment with an aromatase inhibitor in the adjuvant or metastatic setting, from 123 medical centres across 21 countries. Part 1 included patients with or without PIK3CA mutations, whereas part 2 included only patients with PIK3CA mutations. Patients were randomly allocated (1:1 in part 1 and 2:1 in part 2) via a computer-generated hierarchical randomisation algorithm to daily oral pictilisib (340 mg in part 1 and 260 mg in part 2) or placebo starting on day 15 of cycle 1, plus intramuscular fulvestrant 500 mg on day 1 and day 15 of cycle 1 and day 1 of subsequent cycles in both groups. In part 1, we stratified patients by presence or absence of PIK3CA mutation, primary or secondary aromatase inhibitor resistance, and measurable or non-measurable disease. In part 2, we stratified patients by previous aromatase inhibitor treatment for advanced or metastatic disease or relapse during or within 6 months of an aromatase inhibitor treatment in the adjuvant setting and measurable or non-measurable disease. All patients and those administering treatment and assessing outcomes were masked to treatment assignment. The primary endpoint was progression-free survival in the intention-to-treat population for both parts 1 and 2 and also separately in patients with PIK3CA-mutated tumours in part 1. Tumour assessment (physical examination and imaging scans) was investigator-assessed and done at screening and after 8 weeks, 16 weeks, 24 weeks, and 32 weeks of treatment from day 1 of cycle 1 and every 12 weeks thereafter. We assessed safety in as-treated patients who received at least one dose of study medication. This trial is registered with ClinicalTrials.gov, number NCT01437566. \n\nFINDINGS\nIn part 1, between Sept 27, 2011, and Jan 11, 2013, we randomly allocated 168 patients to the pictilisib (89 [53%]) or placebo (79 [47%]) group. In part 2, between March 18, 2013,\u2026", "author" : [ { "dropping-particle" : "", "family" : "Krop", "given" : "Ian E", "non-dropping-particle" : "", "parse-names" : false, "suffix" : "" }, { "dropping-particle" : "", "family" : "Mayer", "given" : "Ingrid A", "non-dropping-particle" : "", "parse-names" : false, "suffix" : "" }, { "dropping-particle" : "", "family" : "Ganju", "given" : "Vinod", "non-dropping-particle" : "", "parse-names" : false, "suffix" : "" }, { "dropping-particle" : "", "family" : "Dickler", "given" : "Maura", "non-dropping-particle" : "", "parse-names" : false, "suffix" : "" }, { "dropping-particle" : "", "family" : "Johnston", "given" : "Stephen", "non-dropping-particle" : "", "parse-names" : false, "suffix" : "" }, { "dropping-particle" : "", "family" : "Morales", "given" : "Serafin", "non-dropping-particle" : "", "parse-names" : false, "suffix" : "" }, { "dropping-particle" : "", "family" : "Yardley", "given" : "Denise A", "non-dropping-particle" : "", "parse-names" : false, "suffix" : "" }, { "dropping-particle" : "", "family" : "Melichar", "given" : "Bohuslav", "non-dropping-particle" : "", "parse-names" : false, "suffix" : "" }, { "dropping-particle" : "", "family" : "Forero-Torres", "given" : "Andres", "non-dropping-particle" : "", "parse-names" : false, "suffix" : "" }, { "dropping-particle" : "", "family" : "Lee", "given" : "Soo Chin", "non-dropping-particle" : "", "parse-names" : false, "suffix" : "" }, { "dropping-particle" : "", "family" : "Boer", "given" : "Richard", "non-dropping-particle" : "de", "parse-names" : false, "suffix" : "" }, { "dropping-particle" : "", "family" : "Petrakova", "given" : "Katarina", "non-dropping-particle" : "", "parse-names" : false, "suffix" : "" }, { "dropping-particle" : "", "family" : "Vallentin", "given" : "Susanne", "non-dropping-particle" : "", "parse-names" : false, "suffix" : "" }, { "dropping-particle" : "", "family" : "Perez", "given" : "Edith A", "non-dropping-particle" : "", "parse-names" : false, "suffix" : "" }, { "dropping-particle" : "", "family" : "Piccart", "given" : "Martine", "non-dropping-particle" : "", "parse-names" : false, "suffix" : "" }, { "dropping-particle" : "", "family" : "Ellis", "given" : "Matthew", "non-dropping-particle" : "", "parse-names" : false, "suffix" : "" }, { "dropping-particle" : "", "family" : "Winer", "given" : "Eric", "non-dropping-particle" : "", "parse-names" : false, "suffix" : "" }, { "dropping-particle" : "", "family" : "Gendreau", "given" : "Steven", "non-dropping-particle" : "", "parse-names" : false, "suffix" : "" }, { "dropping-particle" : "", "family" : "Derynck", "given" : "Mika", "non-dropping-particle" : "", "parse-names" : false, "suffix" : "" }, { "dropping-particle" : "", "family" : "Lackner", "given" : "Mark", "non-dropping-particle" : "", "parse-names" : false, "suffix" : "" }, { "dropping-particle" : "", "family" : "Levy", "given" : "Gallia", "non-dropping-particle" : "", "parse-names" : false, "suffix" : "" }, { "dropping-particle" : "", "family" : "Qiu", "given" : "Jiaheng", "non-dropping-particle" : "", "parse-names" : false, "suffix" : "" }, { "dropping-particle" : "", "family" : "He", "given" : "Jing", "non-dropping-particle" : "", "parse-names" : false, "suffix" : "" }, { "dropping-particle" : "", "family" : "Schmid", "given" : "Peter", "non-dropping-particle" : "", "parse-names" : false, "suffix" : "" } ], "container-title" : "The Lancet Oncology", "id" : "ITEM-1", "issue" : "6", "issued" : { "date-parts" : [ [ "2016" ] ] }, "page" : "811-821", "title" : "Pictilisib for oestrogen receptor-positive, aromatase inhibitor-resistant, advanced or metastatic breast cancer (FERGI): a randomised, double-blind, placebo-controlled, phase 2 trial", "type" : "article-journal", "volume" : "17" }, "uris" : [ "http://www.mendeley.com/documents/?uuid=ce7e1adb-6b0b-32fe-a39e-8ef9e88a701c", "http://www.mendeley.com/documents/?uuid=0e80a08a-d6b4-4154-99f5-e9a16f37a1ae" ] } ], "mendeley" : { "formattedCitation" : "(24)", "plainTextFormattedCitation" : "(24)", "previouslyFormattedCitation" : "(24)" }, "properties" : { "noteIndex" : 0 }, "schema" : "https://github.com/citation-style-language/schema/raw/master/csl-citation.json" }</w:instrText>
      </w:r>
      <w:r w:rsidR="00583324" w:rsidRPr="004B2DF2">
        <w:rPr>
          <w:rFonts w:ascii="Arial" w:hAnsi="Arial"/>
          <w:color w:val="000000"/>
          <w:sz w:val="22"/>
          <w:szCs w:val="22"/>
        </w:rPr>
        <w:fldChar w:fldCharType="separate"/>
      </w:r>
      <w:r w:rsidR="008D1593" w:rsidRPr="008D1593">
        <w:rPr>
          <w:rFonts w:ascii="Arial" w:hAnsi="Arial"/>
          <w:noProof/>
          <w:color w:val="000000"/>
          <w:sz w:val="22"/>
          <w:szCs w:val="22"/>
        </w:rPr>
        <w:t>(24)</w:t>
      </w:r>
      <w:r w:rsidR="00583324" w:rsidRPr="004B2DF2">
        <w:rPr>
          <w:rFonts w:ascii="Arial" w:hAnsi="Arial"/>
          <w:color w:val="000000"/>
          <w:sz w:val="22"/>
          <w:szCs w:val="22"/>
        </w:rPr>
        <w:fldChar w:fldCharType="end"/>
      </w:r>
      <w:r w:rsidR="00583324" w:rsidRPr="004B2DF2">
        <w:rPr>
          <w:rFonts w:ascii="Arial" w:hAnsi="Arial"/>
          <w:color w:val="000000"/>
          <w:sz w:val="22"/>
          <w:szCs w:val="22"/>
        </w:rPr>
        <w:t>.</w:t>
      </w:r>
      <w:r w:rsidR="0026571F" w:rsidRPr="004B2DF2">
        <w:rPr>
          <w:rFonts w:ascii="Arial" w:hAnsi="Arial"/>
          <w:color w:val="000000"/>
          <w:sz w:val="22"/>
          <w:szCs w:val="22"/>
        </w:rPr>
        <w:t xml:space="preserve"> </w:t>
      </w:r>
      <w:r w:rsidR="00D86D9C" w:rsidRPr="004B2DF2">
        <w:rPr>
          <w:rFonts w:ascii="Arial" w:hAnsi="Arial"/>
          <w:color w:val="000000"/>
          <w:sz w:val="22"/>
          <w:szCs w:val="22"/>
        </w:rPr>
        <w:t>In the BELLE-2 trial which looked at the addition of buparlisib (PI3K inhibitor) to fulvestrant</w:t>
      </w:r>
      <w:r w:rsidR="008F6361" w:rsidRPr="004B2DF2">
        <w:rPr>
          <w:rFonts w:ascii="Arial" w:hAnsi="Arial"/>
          <w:color w:val="000000"/>
          <w:sz w:val="22"/>
          <w:szCs w:val="22"/>
        </w:rPr>
        <w:t xml:space="preserve">, the detection of </w:t>
      </w:r>
      <w:r w:rsidR="008F6361" w:rsidRPr="00EF2B89">
        <w:rPr>
          <w:rFonts w:ascii="Arial" w:hAnsi="Arial"/>
          <w:i/>
          <w:color w:val="000000"/>
          <w:sz w:val="22"/>
          <w:szCs w:val="22"/>
        </w:rPr>
        <w:t>PIK3C</w:t>
      </w:r>
      <w:r w:rsidR="006E42A5" w:rsidRPr="00EF2B89">
        <w:rPr>
          <w:rFonts w:ascii="Arial" w:hAnsi="Arial"/>
          <w:i/>
          <w:color w:val="000000"/>
          <w:sz w:val="22"/>
          <w:szCs w:val="22"/>
        </w:rPr>
        <w:t>A</w:t>
      </w:r>
      <w:r w:rsidR="008F6361" w:rsidRPr="004B2DF2">
        <w:rPr>
          <w:rFonts w:ascii="Arial" w:hAnsi="Arial"/>
          <w:color w:val="000000"/>
          <w:sz w:val="22"/>
          <w:szCs w:val="22"/>
        </w:rPr>
        <w:t xml:space="preserve"> mutations in plasma lead to a statistically significant </w:t>
      </w:r>
      <w:r w:rsidR="00D86D9C" w:rsidRPr="004B2DF2">
        <w:rPr>
          <w:rFonts w:ascii="Arial" w:hAnsi="Arial"/>
          <w:color w:val="000000"/>
          <w:sz w:val="22"/>
          <w:szCs w:val="22"/>
        </w:rPr>
        <w:t>improvement in progression-free survival (7.0 vs. 3.2 months)</w:t>
      </w:r>
      <w:r w:rsidR="003835CC"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"author" : [ { "dropping-particle" : "", "family" : "Baselga J, Im SA, Iwata H", "given" : "et al.", "non-dropping-particle" : "", "parse-names" : false, "suffix" : "" } ], "container-title" : "an Antonio Breast Cancer Symposium. Abstract S6\u201301", "id" : "ITEM-1", "issued" : { "date-parts" : [ [ "2015" ] ] }, "title" : "PIK3CA status in circulating tumor DNA (ctDNA) predicts efficacy of buparlisib (BUP) plus fulvestrant (FULV) in postmenopausal women with endocrine-resistant HR+/HER2\u2013 advanced breast cancer (BC): first results from the randomized, phase III BELLE-2 trial", "type" : "article-journal" }, "uris" : [ "http://www.mendeley.com/documents/?uuid=0db0eb50-0b7d-4646-b2e4-1ca0910a1965", "http://www.mendeley.com/documents/?uuid=5766bc63-7ed1-49cf-bf78-a9df54522ffd" ] } ], "mendeley" : { "formattedCitation" : "(25)", "plainTextFormattedCitation" : "(25)", "previouslyFormattedCitation" : "(25)" }, "properties" : { "noteIndex" : 0 }, "schema" : "https://github.com/citation-style-language/schema/raw/master/csl-citation.json" }</w:instrText>
      </w:r>
      <w:r w:rsidR="003835CC" w:rsidRPr="004B2DF2">
        <w:rPr>
          <w:rFonts w:ascii="Arial" w:hAnsi="Arial"/>
          <w:color w:val="000000"/>
          <w:sz w:val="22"/>
          <w:szCs w:val="22"/>
        </w:rPr>
        <w:fldChar w:fldCharType="separate"/>
      </w:r>
      <w:r w:rsidR="008D1593" w:rsidRPr="008D1593">
        <w:rPr>
          <w:rFonts w:ascii="Arial" w:hAnsi="Arial"/>
          <w:noProof/>
          <w:color w:val="000000"/>
          <w:sz w:val="22"/>
          <w:szCs w:val="22"/>
        </w:rPr>
        <w:t>(25)</w:t>
      </w:r>
      <w:r w:rsidR="003835CC" w:rsidRPr="004B2DF2">
        <w:rPr>
          <w:rFonts w:ascii="Arial" w:hAnsi="Arial"/>
          <w:color w:val="000000"/>
          <w:sz w:val="22"/>
          <w:szCs w:val="22"/>
        </w:rPr>
        <w:fldChar w:fldCharType="end"/>
      </w:r>
      <w:r w:rsidR="00C950B4" w:rsidRPr="004B2DF2">
        <w:rPr>
          <w:rFonts w:ascii="Arial" w:hAnsi="Arial"/>
          <w:color w:val="000000"/>
          <w:sz w:val="22"/>
          <w:szCs w:val="22"/>
        </w:rPr>
        <w:t xml:space="preserve"> suggesting a liquid biopsy for </w:t>
      </w:r>
      <w:r w:rsidR="00C950B4" w:rsidRPr="00EF2B89">
        <w:rPr>
          <w:rFonts w:ascii="Arial" w:hAnsi="Arial"/>
          <w:i/>
          <w:color w:val="000000"/>
          <w:sz w:val="22"/>
          <w:szCs w:val="22"/>
        </w:rPr>
        <w:t>PIK3C</w:t>
      </w:r>
      <w:r w:rsidR="00DC7AE0" w:rsidRPr="00EF2B89">
        <w:rPr>
          <w:rFonts w:ascii="Arial" w:hAnsi="Arial"/>
          <w:i/>
          <w:color w:val="000000"/>
          <w:sz w:val="22"/>
          <w:szCs w:val="22"/>
        </w:rPr>
        <w:t>A</w:t>
      </w:r>
      <w:r w:rsidR="00DC7AE0" w:rsidRPr="004B2DF2">
        <w:rPr>
          <w:rFonts w:ascii="Arial" w:hAnsi="Arial"/>
          <w:color w:val="000000"/>
          <w:sz w:val="22"/>
          <w:szCs w:val="22"/>
        </w:rPr>
        <w:t xml:space="preserve"> status could be a biomarker for</w:t>
      </w:r>
      <w:r w:rsidR="00C950B4" w:rsidRPr="004B2DF2">
        <w:rPr>
          <w:rFonts w:ascii="Arial" w:hAnsi="Arial"/>
          <w:color w:val="000000"/>
          <w:sz w:val="22"/>
          <w:szCs w:val="22"/>
        </w:rPr>
        <w:t xml:space="preserve"> response to treatment. </w:t>
      </w:r>
      <w:r w:rsidR="00D86D9C" w:rsidRPr="004B2DF2">
        <w:rPr>
          <w:rFonts w:ascii="Arial" w:hAnsi="Arial"/>
          <w:color w:val="000000"/>
          <w:sz w:val="22"/>
          <w:szCs w:val="22"/>
        </w:rPr>
        <w:t xml:space="preserve"> </w:t>
      </w:r>
    </w:p>
    <w:p w14:paraId="78DE754B" w14:textId="77777777" w:rsidR="007A1D1E" w:rsidRPr="004B2DF2" w:rsidRDefault="007A1D1E" w:rsidP="001536D4">
      <w:pPr>
        <w:spacing w:line="360" w:lineRule="auto"/>
        <w:jc w:val="both"/>
        <w:rPr>
          <w:rFonts w:ascii="Arial" w:hAnsi="Arial"/>
          <w:color w:val="000000"/>
          <w:sz w:val="22"/>
          <w:szCs w:val="22"/>
        </w:rPr>
      </w:pPr>
    </w:p>
    <w:p w14:paraId="7A752E8D" w14:textId="77777777" w:rsidR="007A1D1E" w:rsidRPr="008A4246" w:rsidRDefault="007A1D1E" w:rsidP="007A1D1E">
      <w:pPr>
        <w:spacing w:line="360" w:lineRule="auto"/>
        <w:jc w:val="both"/>
        <w:rPr>
          <w:rFonts w:ascii="Times" w:hAnsi="Times"/>
          <w:b/>
          <w:sz w:val="22"/>
          <w:szCs w:val="22"/>
        </w:rPr>
      </w:pPr>
      <w:r w:rsidRPr="008A4246">
        <w:rPr>
          <w:rFonts w:ascii="Arial" w:hAnsi="Arial"/>
          <w:b/>
          <w:bCs/>
          <w:i/>
          <w:color w:val="000000"/>
          <w:sz w:val="22"/>
          <w:szCs w:val="22"/>
        </w:rPr>
        <w:t>ESR1</w:t>
      </w:r>
      <w:r w:rsidRPr="008A4246">
        <w:rPr>
          <w:rFonts w:ascii="Arial" w:hAnsi="Arial"/>
          <w:b/>
          <w:bCs/>
          <w:color w:val="000000"/>
          <w:sz w:val="22"/>
          <w:szCs w:val="22"/>
        </w:rPr>
        <w:t xml:space="preserve"> mutations and treatment resistance</w:t>
      </w:r>
    </w:p>
    <w:p w14:paraId="7C87DDA4" w14:textId="3ACEB413" w:rsidR="007A1D1E" w:rsidRPr="004B2DF2" w:rsidRDefault="007A1D1E" w:rsidP="008D21B7">
      <w:pPr>
        <w:spacing w:line="360" w:lineRule="auto"/>
        <w:jc w:val="both"/>
        <w:rPr>
          <w:rFonts w:ascii="Arial" w:hAnsi="Arial"/>
          <w:sz w:val="22"/>
          <w:szCs w:val="22"/>
        </w:rPr>
      </w:pPr>
      <w:r w:rsidRPr="004B2DF2">
        <w:rPr>
          <w:rFonts w:ascii="Arial" w:hAnsi="Arial"/>
          <w:sz w:val="22"/>
          <w:szCs w:val="22"/>
        </w:rPr>
        <w:t xml:space="preserve">A majority of breast cancers (70%) express the oestrogen receptor (ER) and can be treated with endocrine therapies. However, almost all patients with advanced metastatic disease develop resistance to hormone manipulation. Recent work has shown that </w:t>
      </w:r>
      <w:r w:rsidRPr="00EF2B89">
        <w:rPr>
          <w:rFonts w:ascii="Arial" w:hAnsi="Arial"/>
          <w:i/>
          <w:sz w:val="22"/>
          <w:szCs w:val="22"/>
        </w:rPr>
        <w:t>ESR1</w:t>
      </w:r>
      <w:r w:rsidRPr="004B2DF2">
        <w:rPr>
          <w:rFonts w:ascii="Arial" w:hAnsi="Arial"/>
          <w:sz w:val="22"/>
          <w:szCs w:val="22"/>
        </w:rPr>
        <w:t xml:space="preserve"> is frequently mutated (22%) in metastatic breast cancers previously treated with aromatase inhibitors (AI)</w:t>
      </w:r>
      <w:r w:rsidR="00CD199B" w:rsidRPr="004B2DF2">
        <w:rPr>
          <w:rFonts w:ascii="Arial" w:hAnsi="Arial"/>
          <w:sz w:val="22"/>
          <w:szCs w:val="22"/>
        </w:rPr>
        <w:fldChar w:fldCharType="begin" w:fldLock="1"/>
      </w:r>
      <w:r w:rsidR="008D1593">
        <w:rPr>
          <w:rFonts w:ascii="Arial" w:hAnsi="Arial"/>
          <w:sz w:val="22"/>
          <w:szCs w:val="22"/>
        </w:rPr>
        <w:instrText>ADDIN CSL_CITATION { "citationItems" : [ { "id" : "ITEM-1", "itemData" : { "abstract" : "PURPOSE: Mutations in the estrogen receptor (ER)\u03b1 gene, ESR1, have been identified in breast cancer metastases after progression on endocrine therapies. Because of limitations of metastatic biopsies, the reported frequency of ESR1 mutations may be underestimated. Here, we show a high frequency of ESR1 mutations using circulating plasma tumor DNA (ptDNA) from patients with metastatic breast cancer. EXPERIMENTAL DESIGN: We retrospectively obtained plasma samples from eight patients with known ESR1 mutations and three patients with wild-type ESR1 identified by next-generation sequencing (NGS) of biopsied metastatic tissues. Three common ESR1 mutations were queried for using droplet digital PCR (ddPCR). In a prospective cohort, metastatic tissue and plasma were collected contemporaneously from eight ER-positive and four ER-negative patients. Tissue biopsies were sequenced by NGS, and ptDNA ESR1 mutations were analyzed by ddPCR. RESULTS: In the retrospective cohort, all corresponding mutations were detected in ptDNA, with two patients harboring additional ESR1 mutations not present in their metastatic tissues. In the prospective cohort, three ER-positive patients did not have adequate tissue for NGS, and no ESR1 mutations were identified in tissue biopsies from the other nine patients. In contrast, ddPCR detected seven ptDNA ESR1 mutations in 6 of 12 patients (50%). CONCLUSIONS: We show that ESR1 mutations can occur at a high frequency and suggest that blood can be used to identify additional mutations not found by sequencing of a single metastatic lesion. Clin Cancer Res; 1-7. \u00a92015 AACR.", "author" : [ { "dropping-particle" : "", "family" : "Chu", "given" : "David", "non-dropping-particle" : "", "parse-names" : false, "suffix" : "" }, { "dropping-particle" : "", "family" : "Paoletti", "given" : "Costanza", "non-dropping-particle" : "", "parse-names" : false, "suffix" : "" }, { "dropping-particle" : "", "family" : "Gersch", "given" : "Christina", "non-dropping-particle" : "", "parse-names" : false, "suffix" : "" }, { "dropping-particle" : "", "family" : "VanDenBerg", "given" : "Dustin A.", "non-dropping-particle" : "", "parse-names" : false, "suffix" : "" }, { "dropping-particle" : "", "family" : "Zabransky", "given" : "Daniel J.", "non-dropping-particle" : "", "parse-names" : false, "suffix" : "" }, { "dropping-particle" : "", "family" : "Cochran", "given" : "Rory L.", "non-dropping-particle" : "", "parse-names" : false, "suffix" : "" }, { "dropping-particle" : "", "family" : "Wong", "given" : "Hong Yuen", "non-dropping-particle" : "", "parse-names" : false, "suffix" : "" }, { "dropping-particle" : "", "family" : "Toro", "given" : "Patricia Valda", "non-dropping-particle" : "", "parse-names" : false, "suffix" : "" }, { "dropping-particle" : "", "family" : "Cidado", "given" : "Justin", "non-dropping-particle" : "", "parse-names" : false, "suffix" : "" }, { "dropping-particle" : "", "family" : "Croessmann", "given" : "Sarah", "non-dropping-particle" : "", "parse-names" : false, "suffix" : "" }, { "dropping-particle" : "", "family" : "Erlanger", "given" : "Bracha", "non-dropping-particle" : "", "parse-names" : false, "suffix" : "" }, { "dropping-particle" : "", "family" : "Cravero", "given" : "Karen", "non-dropping-particle" : "", "parse-names" : false, "suffix" : "" }, { "dropping-particle" : "", "family" : "Kyker-Snowman", "given" : "Kelly", "non-dropping-particle" : "", "parse-names" : false, "suffix" : "" }, { "dropping-particle" : "", "family" : "Button", "given" : "Berry", "non-dropping-particle" : "", "parse-names" : false, "suffix" : "" }, { "dropping-particle" : "", "family" : "Parsons", "given" : "Heather A.", "non-dropping-particle" : "", "parse-names" : false, "suffix" : "" }, { "dropping-particle" : "", "family" : "Dalton", "given" : "W. Brian", "non-dropping-particle" : "", "parse-names" : false, "suffix" : "" }, { "dropping-particle" : "", "family" : "Gillani", "given" : "Riaz", "non-dropping-particle" : "", "parse-names" : false, "suffix" : "" }, { "dropping-particle" : "", "family" : "Medford", "given" : "Arielle", "non-dropping-particle" : "", "parse-names" : false, "suffix" : "" }, { "dropping-particle" : "", "family" : "Aung", "given" : "Kimberly", "non-dropping-particle" : "", "parse-names" : false, "suffix" : "" }, { "dropping-particle" : "", "family" : "Tokudome", "given" : "Nahomi", "non-dropping-particle" : "", "parse-names" : false, "suffix" : "" }, { "dropping-particle" : "", "family" : "Chinnaiyan", "given" : "Arul M.", "non-dropping-particle" : "", "parse-names" : false, "suffix" : "" }, { "dropping-particle" : "", "family" : "Schott", "given" : "Anne", "non-dropping-particle" : "", "parse-names" : false, "suffix" : "" }, { "dropping-particle" : "", "family" : "Robinson", "given" : "Dan", "non-dropping-particle" : "", "parse-names" : false, "suffix" : "" }, { "dropping-particle" : "", "family" : "Jacks", "given" : "Karen S.", "non-dropping-particle" : "", "parse-names" : false, "suffix" : "" }, { "dropping-particle" : "", "family" : "Lauring", "given" : "Josh", "non-dropping-particle" : "", "parse-names" : false, "suffix" : "" }, { "dropping-particle" : "", "family" : "Hurley", "given" : "Paula J.", "non-dropping-particle" : "", "parse-names" : false, "suffix" : "" }, { "dropping-particle" : "", "family" : "Hayes", "given" : "Daniel F.", "non-dropping-particle" : "", "parse-names" : false, "suffix" : "" }, { "dropping-particle" : "", "family" : "Rae", "given" : "James M.", "non-dropping-particle" : "", "parse-names" : false, "suffix" : "" }, { "dropping-particle" : "", "family" : "Park", "given" : "Ben Ho", "non-dropping-particle" : "", "parse-names" : false, "suffix" : "" } ], "container-title" : "Clinical Cancer Research", "id" : "ITEM-1", "issue" : "4", "issued" : { "date-parts" : [ [ "2016", "2" ] ] }, "page" : "993-999", "publisher" : "American Association for Cancer Research Inc.", "title" : "ESR1 mutations in circulating plasma tumor DNA from metastatic breast cancer patients", "type" : "article-journal", "volume" : "22" }, "uris" : [ "http://www.mendeley.com/documents/?uuid=8222adf2-82c5-4b83-8958-03f3062ade55" ] } ], "mendeley" : { "formattedCitation" : "(26)", "plainTextFormattedCitation" : "(26)", "previouslyFormattedCitation" : "(26)" }, "properties" : { "noteIndex" : 0 }, "schema" : "https://github.com/citation-style-language/schema/raw/master/csl-citation.json" }</w:instrText>
      </w:r>
      <w:r w:rsidR="00CD199B" w:rsidRPr="004B2DF2">
        <w:rPr>
          <w:rFonts w:ascii="Arial" w:hAnsi="Arial"/>
          <w:sz w:val="22"/>
          <w:szCs w:val="22"/>
        </w:rPr>
        <w:fldChar w:fldCharType="separate"/>
      </w:r>
      <w:r w:rsidR="008D1593" w:rsidRPr="008D1593">
        <w:rPr>
          <w:rFonts w:ascii="Arial" w:hAnsi="Arial"/>
          <w:noProof/>
          <w:sz w:val="22"/>
          <w:szCs w:val="22"/>
        </w:rPr>
        <w:t>(26)</w:t>
      </w:r>
      <w:r w:rsidR="00CD199B" w:rsidRPr="004B2DF2">
        <w:rPr>
          <w:rFonts w:ascii="Arial" w:hAnsi="Arial"/>
          <w:sz w:val="22"/>
          <w:szCs w:val="22"/>
        </w:rPr>
        <w:fldChar w:fldCharType="end"/>
      </w:r>
      <w:r w:rsidR="00CD199B" w:rsidRPr="004B2DF2">
        <w:rPr>
          <w:rFonts w:ascii="Arial" w:hAnsi="Arial"/>
          <w:sz w:val="22"/>
          <w:szCs w:val="22"/>
          <w:vertAlign w:val="superscript"/>
        </w:rPr>
        <w:t>,</w:t>
      </w:r>
      <w:r w:rsidR="00CD199B" w:rsidRPr="004B2DF2">
        <w:rPr>
          <w:rFonts w:ascii="Arial" w:hAnsi="Arial"/>
          <w:sz w:val="22"/>
          <w:szCs w:val="22"/>
        </w:rPr>
        <w:fldChar w:fldCharType="begin" w:fldLock="1"/>
      </w:r>
      <w:r w:rsidR="008D1593">
        <w:rPr>
          <w:rFonts w:ascii="Arial" w:hAnsi="Arial"/>
          <w:sz w:val="22"/>
          <w:szCs w:val="22"/>
        </w:rPr>
        <w:instrText>ADDIN CSL_CITATION { "citationItems" : [ { "id" : "ITEM-1", "itemData" : { "DOI" : "10.1038/ng.2822", "ISSN" : "1061-4036", "author" : [ { "dropping-particle" : "", "family" : "Toy", "given" : "Weiyi", "non-dropping-particle" : "", "parse-names" : false, "suffix" : "" }, { "dropping-particle" : "", "family" : "Shen", "given" : "Yang", "non-dropping-particle" : "", "parse-names" : false, "suffix" : "" }, { "dropping-particle" : "", "family" : "Won", "given" : "Helen", "non-dropping-particle" : "", "parse-names" : false, "suffix" : "" }, { "dropping-particle" : "", "family" : "Green", "given" : "Bradley", "non-dropping-particle" : "", "parse-names" : false, "suffix" : "" }, { "dropping-particle" : "", "family" : "Sakr", "given" : "Rita A", "non-dropping-particle" : "", "parse-names" : false, "suffix" : "" }, { "dropping-particle" : "", "family" : "Will", "given" : "Marie", "non-dropping-particle" : "", "parse-names" : false, "suffix" : "" }, { "dropping-particle" : "", "family" : "Li", "given" : "Zhiqiang", "non-dropping-particle" : "", "parse-names" : false, "suffix" : "" }, { "dropping-particle" : "", "family" : "Gala", "given" : "Kinisha", "non-dropping-particle" : "", "parse-names" : false, "suffix" : "" }, { "dropping-particle" : "", "family" : "Fanning", "given" : "Sean", "non-dropping-particle" : "", "parse-names" : false, "suffix" : "" }, { "dropping-particle" : "", "family" : "King", "given" : "Tari A", "non-dropping-particle" : "", "parse-names" : false, "suffix" : "" }, { "dropping-particle" : "", "family" : "Hudis", "given" : "Clifford", "non-dropping-particle" : "", "parse-names" : false, "suffix" : "" }, { "dropping-particle" : "", "family" : "Chen", "given" : "David", "non-dropping-particle" : "", "parse-names" : false, "suffix" : "" }, { "dropping-particle" : "", "family" : "Taran", "given" : "Tetiana", "non-dropping-particle" : "", "parse-names" : false, "suffix" : "" }, { "dropping-particle" : "", "family" : "Hortobagyi", "given" : "Gabriel", "non-dropping-particle" : "", "parse-names" : false, "suffix" : "" }, { "dropping-particle" : "", "family" : "Greene", "given" : "Geoffrey", "non-dropping-particle" : "", "parse-names" : false, "suffix" : "" }, { "dropping-particle" : "", "family" : "Berger", "given" : "Michael", "non-dropping-particle" : "", "parse-names" : false, "suffix" : "" }, { "dropping-particle" : "", "family" : "Baselga", "given" : "Jos\u00e9", "non-dropping-particle" : "", "parse-names" : false, "suffix" : "" }, { "dropping-particle" : "", "family" : "Chandarlapaty", "given" : "Sarat", "non-dropping-particle" : "", "parse-names" : false, "suffix" : "" } ], "container-title" : "Nature Genetics", "id" : "ITEM-1", "issue" : "12", "issued" : { "date-parts" : [ [ "2013", "11" ] ] }, "page" : "1439-1445", "publisher" : "Nature Research", "title" : "ESR1 ligand-binding domain mutations in hormone-resistant breast cancer", "type" : "article-journal", "volume" : "45" }, "uris" : [ "http://www.mendeley.com/documents/?uuid=3f55fc80-7eb9-442f-a605-28cb4372c7af" ] } ], "mendeley" : { "formattedCitation" : "(27)", "plainTextFormattedCitation" : "(27)", "previouslyFormattedCitation" : "(27)" }, "properties" : { "noteIndex" : 0 }, "schema" : "https://github.com/citation-style-language/schema/raw/master/csl-citation.json" }</w:instrText>
      </w:r>
      <w:r w:rsidR="00CD199B" w:rsidRPr="004B2DF2">
        <w:rPr>
          <w:rFonts w:ascii="Arial" w:hAnsi="Arial"/>
          <w:sz w:val="22"/>
          <w:szCs w:val="22"/>
        </w:rPr>
        <w:fldChar w:fldCharType="separate"/>
      </w:r>
      <w:r w:rsidR="008D1593" w:rsidRPr="008D1593">
        <w:rPr>
          <w:rFonts w:ascii="Arial" w:hAnsi="Arial"/>
          <w:noProof/>
          <w:sz w:val="22"/>
          <w:szCs w:val="22"/>
        </w:rPr>
        <w:t>(27)</w:t>
      </w:r>
      <w:r w:rsidR="00CD199B" w:rsidRPr="004B2DF2">
        <w:rPr>
          <w:rFonts w:ascii="Arial" w:hAnsi="Arial"/>
          <w:sz w:val="22"/>
          <w:szCs w:val="22"/>
        </w:rPr>
        <w:fldChar w:fldCharType="end"/>
      </w:r>
      <w:r w:rsidR="00CD199B" w:rsidRPr="004B2DF2">
        <w:rPr>
          <w:rFonts w:ascii="Arial" w:hAnsi="Arial"/>
          <w:sz w:val="22"/>
          <w:szCs w:val="22"/>
        </w:rPr>
        <w:t xml:space="preserve">. </w:t>
      </w:r>
      <w:r w:rsidRPr="004B2DF2">
        <w:rPr>
          <w:rFonts w:ascii="Arial" w:hAnsi="Arial"/>
          <w:sz w:val="22"/>
          <w:szCs w:val="22"/>
        </w:rPr>
        <w:t xml:space="preserve">These are thought to be acquired as </w:t>
      </w:r>
      <w:r w:rsidRPr="00EF2B89">
        <w:rPr>
          <w:rFonts w:ascii="Arial" w:hAnsi="Arial"/>
          <w:i/>
          <w:sz w:val="22"/>
          <w:szCs w:val="22"/>
        </w:rPr>
        <w:t>ESR1</w:t>
      </w:r>
      <w:r w:rsidRPr="004B2DF2">
        <w:rPr>
          <w:rFonts w:ascii="Arial" w:hAnsi="Arial"/>
          <w:sz w:val="22"/>
          <w:szCs w:val="22"/>
        </w:rPr>
        <w:t xml:space="preserve"> mutations are rare (&lt;1%) in primary tumours</w:t>
      </w:r>
      <w:r w:rsidR="00CD199B" w:rsidRPr="004B2DF2">
        <w:rPr>
          <w:rFonts w:ascii="Arial" w:hAnsi="Arial"/>
          <w:sz w:val="22"/>
          <w:szCs w:val="22"/>
        </w:rPr>
        <w:fldChar w:fldCharType="begin" w:fldLock="1"/>
      </w:r>
      <w:r w:rsidR="008D1593">
        <w:rPr>
          <w:rFonts w:ascii="Arial" w:hAnsi="Arial"/>
          <w:sz w:val="22"/>
          <w:szCs w:val="22"/>
        </w:rPr>
        <w:instrText>ADDIN CSL_CITATION { "citationItems" : [ { "id" : "ITEM-1", "itemData" : { "DOI" : "10.1038/nature11412.Comprehensive", "ISBN" : "1476-4687 (Electronic)\\r0028-0836 (Linking)", "ISSN" : "1476-4687", "PMID" : "23000897", "abstract" : "We analysed primary breast cancers by genomic DNA copy number arrays, DNA methylation, exome sequencing, messenger RNA arrays, microRNA sequencing and reverse-phase protein arrays. Our ability to integrate information across platforms provided key insights into previously defined gene expression subtypes and demonstrated the existence of four main breast cancer classes when combining data from five platforms, each of which shows significant molecular heterogeneity. Somatic mutations in only three genes (TP53, PIK3CA and GATA3) occurred at &gt;10% incidence across all breast cancers; however, there were numerous subtype-associated and novel gene mutations including the enrichment of specific mutations in GATA3, PIK3CA and MAP3K1 with the luminal A subtype. We identified two novel protein-expression-defined subgroups, possibly produced by stromal/microenvironmental elements, and integrated analyses identified specific signalling pathways dominant in each molecular subtype including a HER2/phosphorylated HER2/EGFR/phosphorylated EGFR signature within the HER2-enriched expression subtype. Comparison of basal-like breast tumours with high-grade serous ovarian tumours showed many molecular commonalities, indicating a related aetiology and similar therapeutic opportunities. The biological finding of the four main breast cancer subtypes caused by different subsets of genetic and epigenetic abnormalities raises the hypothesis that much of the clinically observable plasticity and heterogeneity occurs within, and not across, these major biological subtypes of breast cancer.", "author" : [ { "dropping-particle" : "", "family" : "Network", "given" : "The Cancer Genome Atlas", "non-dropping-particle" : "", "parse-names" : false, "suffix" : "" } ], "container-title" : "Nature", "id" : "ITEM-1", "issue" : "7418", "issued" : { "date-parts" : [ [ "2012", "10" ] ] }, "page" : "61-70", "title" : "Comprehensive molecular portraits of human breast tumors", "type" : "article-journal", "volume" : "490" }, "uris" : [ "http://www.mendeley.com/documents/?uuid=9187ca90-bd8b-4104-bfab-a2a46e4bece2", "http://www.mendeley.com/documents/?uuid=543202e6-93b7-4760-8a24-173064715e46" ] } ], "mendeley" : { "formattedCitation" : "(14)", "plainTextFormattedCitation" : "(14)", "previouslyFormattedCitation" : "(14)" }, "properties" : { "noteIndex" : 0 }, "schema" : "https://github.com/citation-style-language/schema/raw/master/csl-citation.json" }</w:instrText>
      </w:r>
      <w:r w:rsidR="00CD199B" w:rsidRPr="004B2DF2">
        <w:rPr>
          <w:rFonts w:ascii="Arial" w:hAnsi="Arial"/>
          <w:sz w:val="22"/>
          <w:szCs w:val="22"/>
        </w:rPr>
        <w:fldChar w:fldCharType="separate"/>
      </w:r>
      <w:r w:rsidR="008D1593" w:rsidRPr="008D1593">
        <w:rPr>
          <w:rFonts w:ascii="Arial" w:hAnsi="Arial"/>
          <w:noProof/>
          <w:sz w:val="22"/>
          <w:szCs w:val="22"/>
        </w:rPr>
        <w:t>(14)</w:t>
      </w:r>
      <w:r w:rsidR="00CD199B" w:rsidRPr="004B2DF2">
        <w:rPr>
          <w:rFonts w:ascii="Arial" w:hAnsi="Arial"/>
          <w:sz w:val="22"/>
          <w:szCs w:val="22"/>
        </w:rPr>
        <w:fldChar w:fldCharType="end"/>
      </w:r>
      <w:r w:rsidR="00CD199B" w:rsidRPr="004B2DF2">
        <w:rPr>
          <w:rFonts w:ascii="Arial" w:hAnsi="Arial"/>
          <w:sz w:val="22"/>
          <w:szCs w:val="22"/>
        </w:rPr>
        <w:t>.</w:t>
      </w:r>
      <w:r w:rsidRPr="004B2DF2">
        <w:rPr>
          <w:rFonts w:ascii="Arial" w:hAnsi="Arial"/>
          <w:sz w:val="22"/>
          <w:szCs w:val="22"/>
        </w:rPr>
        <w:t xml:space="preserve"> The mutations are commonly found in the ligand-binding domain of ESR1, and have been shown to lead to increased interaction with its coactivator, important for both ligand-dependent and ligand-independent activation of the receptor</w:t>
      </w:r>
      <w:r w:rsidR="00F359A7" w:rsidRPr="004B2DF2">
        <w:rPr>
          <w:rFonts w:ascii="Arial" w:hAnsi="Arial"/>
          <w:sz w:val="22"/>
          <w:szCs w:val="22"/>
        </w:rPr>
        <w:fldChar w:fldCharType="begin" w:fldLock="1"/>
      </w:r>
      <w:r w:rsidR="008D1593">
        <w:rPr>
          <w:rFonts w:ascii="Arial" w:hAnsi="Arial"/>
          <w:sz w:val="22"/>
          <w:szCs w:val="22"/>
        </w:rPr>
        <w:instrText>ADDIN CSL_CITATION { "citationItems" : [ { "id" : "ITEM-1", "itemData" : { "abstract" : "We have used a transient transfection system with a cytomegalovirus-based vector expressing high levels of biologically active human estrogen receptor (ER) in COS-1 cells to study the phosphorylation of human ER and to identify major hormone-regulated phosphorylation sites. The features of phosphorylation of the wild-type ER were very similar to those previously observed for the endogenous ER in uterine cells: The ER exhibited a basal level of phosphorylation which was increased approximately 3-4-fold by estrogen (estradiol) and by antiestrogens (hydroxytamoxifen and ICI164,384), and phosphorylation was increased to an almost similar extent by activation of either protein kinase A or C signal transduction pathways with cholera toxin plus isobutyl methylxanthine (CT+IBMX) or phorbol ester 12-O-tetradecanoylphorbol-13-acetate (TPA), respectively. Phosphoamino acid analysis revealed that the phosphorylation occurred exclusively on serine residues in all cases. Tryptic phosphopeptide analysis of ER, using a two-dimensional peptide mapping procedure, revealed similar patterns for ER in cells treated with estradiol, antiestrogens or TPA; with CT+IBMX treatment, the same phosphopeptides were seen, but the relative phosphorylation of the different ER phosphotryptic peptides differed. In ER deleted of the NH2-terminal A and B (A/B) domains, estrogen and antiestrogen-stimulated phosphorylations were abolished, while the phosphorylation induced by CT+IBMX was maintained. This suggests that sites of phosphorylation enhanced by estradiol and antiestrogen, but not those induced by CT+IBMX, are located in the A/B domain. These results were further confirmed by comparing the tryptic phosphopeptide patterns of wild-type and A/B-deleted receptor upon estradiol and CT+IBMX treatments, and then by site-directed mutagenesis, by substituting alanines for the serine residues in the A/B domain (Ser104, Ser106, Ser118, Ser154, and Ser167) involved in known protein kinase consensus sequences. Comparison of the tryptic phosphopeptide patterns of wild-type ER and these mutant ERs allowed us to identify serine 104 and/or serine 106 and serine 118, all three being part of a serine-proline motif, the preferred substrate of proline-directed protein kinase, as major ER phosphorylation sites. When tested with two estrogen-responsive reporter gene constructs in several cell types, the mutant S104A, S106A, S118A showed a approximately 40% reduction in transactivation activity in response \u2026", "author" : [ { "dropping-particle" : "", "family" : "Goff", "given" : "Pascale", "non-dropping-particle" : "Le", "parse-names" : false, "suffix" : "" }, { "dropping-particle" : "", "family" : "Montano", "given" : "Monica M.", "non-dropping-particle" : "", "parse-names" : false, "suffix" : "" }, { "dropping-particle" : "", "family" : "Schodin", "given" : "David J.", "non-dropping-particle" : "", "parse-names" : false, "suffix" : "" }, { "dropping-particle" : "", "family" : "Katzenellenbogen", "given" : "Benita S.", "non-dropping-particle" : "", "parse-names" : false, "suffix" : "" } ], "container-title" : "Journal of Biological Chemistry", "id" : "ITEM-1", "issue" : "6", "issued" : { "date-parts" : [ [ "1994", "2" ] ] }, "page" : "4458-4466", "title" : "Phosphorylation of the human estrogen receptor: Identification of hormone-regulated sites and examination of their influence on transcriptional activity", "type" : "article-journal", "volume" : "269" }, "uris" : [ "http://www.mendeley.com/documents/?uuid=9884d779-bb59-4979-a535-8299ffb178e6", "http://www.mendeley.com/documents/?uuid=ee3f3f2d-884a-4788-990e-3f718b7d383d" ] }, { "id" : "ITEM-2", "itemData" : { "abstract" : "Using a transient co-transfection system, we show that the human oestrogen receptor (hER) becomes phosphorylated in the presence of oestradiol (E2) as well as in the presence of the anti-oestrogens 4-hydroxy- tamoxifen (OHT) and ICI 164, 384 (ICI), although at lower efficiencies than with E2. There are multiple sites of phosphorylation in hER; using deletion and point mutants one of these sites has been mapped in the N- terminal A/B region at serine 118. Mutation of this serine to alanine caused, in a number of cell types, a signifi-cant reduction in transcriptional activation by hIER from reporter genes containing an oestrogen response element (ERE), but did not affect the DNA binding properties or nuclear localization of hER. Thus phosphorylation of serine 118 is important for the action of the transcription activation function 1 (AF-1) located in the A/B region of the oestrogen receptor.", "author" : [ { "dropping-particle" : "", "family" : "Ali", "given" : "Simak", "non-dropping-particle" : "", "parse-names" : false, "suffix" : "" }, { "dropping-particle" : "", "family" : "Metzger", "given" : "Daniel", "non-dropping-particle" : "", "parse-names" : false, "suffix" : "" }, { "dropping-particle" : "", "family" : "Bornert", "given" : "Jean-marc", "non-dropping-particle" : "", "parse-names" : false, "suffix" : "" }, { "dropping-particle" : "", "family" : "Chambon", "given" : "Pierre", "non-dropping-particle" : "", "parse-names" : false, "suffix" : "" } ], "container-title" : "EMBO", "id" : "ITEM-2", "issue" : "3", "issued" : { "date-parts" : [ [ "1993" ] ] }, "page" : "1153-1160", "title" : "Modulation of transcriptional activation by ligand-dependent phosphorylation of the human oestrogen receptor A/B region", "type" : "article-journal", "volume" : "12" }, "uris" : [ "http://www.mendeley.com/documents/?uuid=d2f0358b-377e-45fe-8753-c4e5109252ac", "http://www.mendeley.com/documents/?uuid=5dce4998-385c-4448-a664-d816ba8dd1d8" ] }, { "id" : "ITEM-3", "itemData" : { "DOI" : "10.1016/S0039-128X(02)00110-1", "ISBN" : "1434924114", "ISSN" : "0039128X", "PMID" : "12475718", "abstract" : "Estrogen receptor ?? (ER??) is phosphorylated on multiple amino acid residues. For example, in response to estradiol binding, human ER?? is predominately phosphorylated on Ser-118 and to a lesser extent on Ser-104 and Ser-106. In response to activation of the mitogen-activated protein kinase pathway, phosphorylation occurs on Ser-118 and Ser-167. These serine residues are all located within the activation function 1 region of the N-terminal domain of ER??. In contrast, activation of protein kinase A increases the phosphorylation of Ser-236, which is located in the DNA-binding domain. The in vivo phosphorylation status of Tyr-537, located in the ligand-binding domain, remains controversial. In this review, I present evidence that these phosphorylations occur, and identify the kinases thought to be responsible. Additionally, the functional importance of ER?? phosphorylation is discussed. ?? 2002 Elsevier Science Inc. All rights reserved.", "author" : [ { "dropping-particle" : "", "family" : "Lannigan", "given" : "Deborah A.", "non-dropping-particle" : "", "parse-names" : false, "suffix" : "" } ], "container-title" : "Steroids", "id" : "ITEM-3", "issue" : "1", "issued" : { "date-parts" : [ [ "2003" ] ] }, "page" : "1-9", "title" : "Estrogen receptor phosphorylation", "type" : "article-journal", "volume" : "68" }, "uris" : [ "http://www.mendeley.com/documents/?uuid=d12c35dd-2a45-4cd0-9a57-c917db39d833" ] } ], "mendeley" : { "formattedCitation" : "(28\u201330)", "plainTextFormattedCitation" : "(28\u201330)", "previouslyFormattedCitation" : "(28\u201330)" }, "properties" : { "noteIndex" : 0 }, "schema" : "https://github.com/citation-style-language/schema/raw/master/csl-citation.json" }</w:instrText>
      </w:r>
      <w:r w:rsidR="00F359A7" w:rsidRPr="004B2DF2">
        <w:rPr>
          <w:rFonts w:ascii="Arial" w:hAnsi="Arial"/>
          <w:sz w:val="22"/>
          <w:szCs w:val="22"/>
        </w:rPr>
        <w:fldChar w:fldCharType="separate"/>
      </w:r>
      <w:r w:rsidR="008D1593" w:rsidRPr="008D1593">
        <w:rPr>
          <w:rFonts w:ascii="Arial" w:hAnsi="Arial"/>
          <w:noProof/>
          <w:sz w:val="22"/>
          <w:szCs w:val="22"/>
        </w:rPr>
        <w:t>(28–30)</w:t>
      </w:r>
      <w:r w:rsidR="00F359A7" w:rsidRPr="004B2DF2">
        <w:rPr>
          <w:rFonts w:ascii="Arial" w:hAnsi="Arial"/>
          <w:sz w:val="22"/>
          <w:szCs w:val="22"/>
        </w:rPr>
        <w:fldChar w:fldCharType="end"/>
      </w:r>
      <w:r w:rsidR="00F359A7" w:rsidRPr="004B2DF2">
        <w:rPr>
          <w:rFonts w:ascii="Arial" w:hAnsi="Arial"/>
          <w:sz w:val="22"/>
          <w:szCs w:val="22"/>
        </w:rPr>
        <w:t>.</w:t>
      </w:r>
      <w:r w:rsidR="00D83653" w:rsidRPr="004B2DF2">
        <w:rPr>
          <w:rFonts w:ascii="Arial" w:hAnsi="Arial"/>
          <w:sz w:val="22"/>
          <w:szCs w:val="22"/>
        </w:rPr>
        <w:t xml:space="preserve"> </w:t>
      </w:r>
      <w:r w:rsidRPr="004B2DF2">
        <w:rPr>
          <w:rFonts w:ascii="Arial" w:hAnsi="Arial"/>
          <w:sz w:val="22"/>
          <w:szCs w:val="22"/>
        </w:rPr>
        <w:t xml:space="preserve">As </w:t>
      </w:r>
      <w:r w:rsidRPr="00EF2B89">
        <w:rPr>
          <w:rFonts w:ascii="Arial" w:hAnsi="Arial"/>
          <w:i/>
          <w:sz w:val="22"/>
          <w:szCs w:val="22"/>
        </w:rPr>
        <w:t>ESR1</w:t>
      </w:r>
      <w:r w:rsidRPr="004B2DF2">
        <w:rPr>
          <w:rFonts w:ascii="Arial" w:hAnsi="Arial"/>
          <w:sz w:val="22"/>
          <w:szCs w:val="22"/>
        </w:rPr>
        <w:t xml:space="preserve"> mutations can lead to ligand-independent activation, oestrogen deprivation by itself from aromatase inhibition is unlikely to halt tumour growth. On the other hand therapies such as fulvestrant</w:t>
      </w:r>
      <w:r w:rsidR="00103B00">
        <w:rPr>
          <w:rFonts w:ascii="Arial" w:hAnsi="Arial"/>
          <w:sz w:val="22"/>
          <w:szCs w:val="22"/>
        </w:rPr>
        <w:t>,</w:t>
      </w:r>
      <w:r w:rsidRPr="004B2DF2">
        <w:rPr>
          <w:rFonts w:ascii="Arial" w:hAnsi="Arial"/>
          <w:sz w:val="22"/>
          <w:szCs w:val="22"/>
        </w:rPr>
        <w:t xml:space="preserve"> which target the receptor itself</w:t>
      </w:r>
      <w:r w:rsidR="00103B00">
        <w:rPr>
          <w:rFonts w:ascii="Arial" w:hAnsi="Arial"/>
          <w:sz w:val="22"/>
          <w:szCs w:val="22"/>
        </w:rPr>
        <w:t>,</w:t>
      </w:r>
      <w:r w:rsidRPr="004B2DF2">
        <w:rPr>
          <w:rFonts w:ascii="Arial" w:hAnsi="Arial"/>
          <w:sz w:val="22"/>
          <w:szCs w:val="22"/>
        </w:rPr>
        <w:t xml:space="preserve"> may still have </w:t>
      </w:r>
      <w:r w:rsidR="00BA4095" w:rsidRPr="004B2DF2">
        <w:rPr>
          <w:rFonts w:ascii="Arial" w:hAnsi="Arial"/>
          <w:sz w:val="22"/>
          <w:szCs w:val="22"/>
        </w:rPr>
        <w:t xml:space="preserve">disease </w:t>
      </w:r>
      <w:r w:rsidRPr="004B2DF2">
        <w:rPr>
          <w:rFonts w:ascii="Arial" w:hAnsi="Arial"/>
          <w:sz w:val="22"/>
          <w:szCs w:val="22"/>
        </w:rPr>
        <w:t>activity</w:t>
      </w:r>
      <w:r w:rsidR="00BA4095" w:rsidRPr="004B2DF2">
        <w:rPr>
          <w:rFonts w:ascii="Arial" w:hAnsi="Arial"/>
          <w:sz w:val="22"/>
          <w:szCs w:val="22"/>
        </w:rPr>
        <w:t>.</w:t>
      </w:r>
      <w:r w:rsidRPr="004B2DF2">
        <w:rPr>
          <w:rFonts w:ascii="Arial" w:hAnsi="Arial"/>
          <w:sz w:val="22"/>
          <w:szCs w:val="22"/>
        </w:rPr>
        <w:t xml:space="preserve"> </w:t>
      </w:r>
      <w:r w:rsidR="00BA4095" w:rsidRPr="004B2DF2">
        <w:rPr>
          <w:rFonts w:ascii="Arial" w:hAnsi="Arial"/>
          <w:sz w:val="22"/>
          <w:szCs w:val="22"/>
        </w:rPr>
        <w:t>I</w:t>
      </w:r>
      <w:r w:rsidRPr="004B2DF2">
        <w:rPr>
          <w:rFonts w:ascii="Arial" w:hAnsi="Arial"/>
          <w:sz w:val="22"/>
          <w:szCs w:val="22"/>
        </w:rPr>
        <w:t>n vitro studies have also shown that tamoxifen may still be effective albeit at a higher dose</w:t>
      </w:r>
      <w:r w:rsidR="009439C1" w:rsidRPr="004B2DF2">
        <w:rPr>
          <w:rFonts w:ascii="Arial" w:hAnsi="Arial"/>
          <w:sz w:val="22"/>
          <w:szCs w:val="22"/>
          <w:vertAlign w:val="superscript"/>
        </w:rPr>
        <w:fldChar w:fldCharType="begin" w:fldLock="1"/>
      </w:r>
      <w:r w:rsidR="008D1593">
        <w:rPr>
          <w:rFonts w:ascii="Arial" w:hAnsi="Arial"/>
          <w:sz w:val="22"/>
          <w:szCs w:val="22"/>
          <w:vertAlign w:val="superscript"/>
        </w:rPr>
        <w:instrText>ADDIN CSL_CITATION { "citationItems" : [ { "id" : "ITEM-1", "itemData" : { "DOI" : "10.1038/ng.2822", "ISSN" : "1061-4036", "author" : [ { "dropping-particle" : "", "family" : "Toy", "given" : "Weiyi", "non-dropping-particle" : "", "parse-names" : false, "suffix" : "" }, { "dropping-particle" : "", "family" : "Shen", "given" : "Yang", "non-dropping-particle" : "", "parse-names" : false, "suffix" : "" }, { "dropping-particle" : "", "family" : "Won", "given" : "Helen", "non-dropping-particle" : "", "parse-names" : false, "suffix" : "" }, { "dropping-particle" : "", "family" : "Green", "given" : "Bradley", "non-dropping-particle" : "", "parse-names" : false, "suffix" : "" }, { "dropping-particle" : "", "family" : "Sakr", "given" : "Rita A", "non-dropping-particle" : "", "parse-names" : false, "suffix" : "" }, { "dropping-particle" : "", "family" : "Will", "given" : "Marie", "non-dropping-particle" : "", "parse-names" : false, "suffix" : "" }, { "dropping-particle" : "", "family" : "Li", "given" : "Zhiqiang", "non-dropping-particle" : "", "parse-names" : false, "suffix" : "" }, { "dropping-particle" : "", "family" : "Gala", "given" : "Kinisha", "non-dropping-particle" : "", "parse-names" : false, "suffix" : "" }, { "dropping-particle" : "", "family" : "Fanning", "given" : "Sean", "non-dropping-particle" : "", "parse-names" : false, "suffix" : "" }, { "dropping-particle" : "", "family" : "King", "given" : "Tari A", "non-dropping-particle" : "", "parse-names" : false, "suffix" : "" }, { "dropping-particle" : "", "family" : "Hudis", "given" : "Clifford", "non-dropping-particle" : "", "parse-names" : false, "suffix" : "" }, { "dropping-particle" : "", "family" : "Chen", "given" : "David", "non-dropping-particle" : "", "parse-names" : false, "suffix" : "" }, { "dropping-particle" : "", "family" : "Taran", "given" : "Tetiana", "non-dropping-particle" : "", "parse-names" : false, "suffix" : "" }, { "dropping-particle" : "", "family" : "Hortobagyi", "given" : "Gabriel", "non-dropping-particle" : "", "parse-names" : false, "suffix" : "" }, { "dropping-particle" : "", "family" : "Greene", "given" : "Geoffrey", "non-dropping-particle" : "", "parse-names" : false, "suffix" : "" }, { "dropping-particle" : "", "family" : "Berger", "given" : "Michael", "non-dropping-particle" : "", "parse-names" : false, "suffix" : "" }, { "dropping-particle" : "", "family" : "Baselga", "given" : "Jos\u00e9", "non-dropping-particle" : "", "parse-names" : false, "suffix" : "" }, { "dropping-particle" : "", "family" : "Chandarlapaty", "given" : "Sarat", "non-dropping-particle" : "", "parse-names" : false, "suffix" : "" } ], "container-title" : "Nature Genetics", "id" : "ITEM-1", "issue" : "12", "issued" : { "date-parts" : [ [ "2013", "11" ] ] }, "page" : "1439-1445", "publisher" : "Nature Research", "title" : "ESR1 ligand-binding domain mutations in hormone-resistant breast cancer", "type" : "article-journal", "volume" : "45" }, "uris" : [ "http://www.mendeley.com/documents/?uuid=3f55fc80-7eb9-442f-a605-28cb4372c7af" ] } ], "mendeley" : { "formattedCitation" : "(27)", "plainTextFormattedCitation" : "(27)", "previouslyFormattedCitation" : "(27)" }, "properties" : { "noteIndex" : 0 }, "schema" : "https://github.com/citation-style-language/schema/raw/master/csl-citation.json" }</w:instrText>
      </w:r>
      <w:r w:rsidR="009439C1" w:rsidRPr="004B2DF2">
        <w:rPr>
          <w:rFonts w:ascii="Arial" w:hAnsi="Arial"/>
          <w:sz w:val="22"/>
          <w:szCs w:val="22"/>
          <w:vertAlign w:val="superscript"/>
        </w:rPr>
        <w:fldChar w:fldCharType="separate"/>
      </w:r>
      <w:r w:rsidR="008D1593" w:rsidRPr="008D1593">
        <w:rPr>
          <w:rFonts w:ascii="Arial" w:hAnsi="Arial"/>
          <w:noProof/>
          <w:sz w:val="22"/>
          <w:szCs w:val="22"/>
        </w:rPr>
        <w:t>(27)</w:t>
      </w:r>
      <w:r w:rsidR="009439C1" w:rsidRPr="004B2DF2">
        <w:rPr>
          <w:rFonts w:ascii="Arial" w:hAnsi="Arial"/>
          <w:sz w:val="22"/>
          <w:szCs w:val="22"/>
          <w:vertAlign w:val="superscript"/>
        </w:rPr>
        <w:fldChar w:fldCharType="end"/>
      </w:r>
      <w:r w:rsidRPr="004B2DF2">
        <w:rPr>
          <w:rFonts w:ascii="Arial" w:hAnsi="Arial"/>
          <w:sz w:val="22"/>
          <w:szCs w:val="22"/>
        </w:rPr>
        <w:t>.</w:t>
      </w:r>
    </w:p>
    <w:p w14:paraId="034ED7B0" w14:textId="36AD9A58" w:rsidR="007A1D1E" w:rsidRPr="004B2DF2" w:rsidRDefault="007A1D1E" w:rsidP="007A1D1E">
      <w:pPr>
        <w:spacing w:line="360" w:lineRule="auto"/>
        <w:jc w:val="both"/>
        <w:rPr>
          <w:rFonts w:ascii="Arial" w:hAnsi="Arial"/>
          <w:color w:val="000000"/>
          <w:sz w:val="22"/>
          <w:szCs w:val="22"/>
        </w:rPr>
      </w:pPr>
      <w:r w:rsidRPr="004B2DF2">
        <w:rPr>
          <w:rFonts w:ascii="Arial" w:hAnsi="Arial"/>
          <w:color w:val="000000"/>
          <w:sz w:val="22"/>
          <w:szCs w:val="22"/>
        </w:rPr>
        <w:t xml:space="preserve">A more recent study in a larger cohort of 171 patients has shown a high prevalence (36%) of </w:t>
      </w:r>
      <w:r w:rsidRPr="00EF2B89">
        <w:rPr>
          <w:rFonts w:ascii="Arial" w:hAnsi="Arial"/>
          <w:i/>
          <w:color w:val="000000"/>
          <w:sz w:val="22"/>
          <w:szCs w:val="22"/>
        </w:rPr>
        <w:t>ESR1</w:t>
      </w:r>
      <w:r w:rsidRPr="004B2DF2">
        <w:rPr>
          <w:rFonts w:ascii="Arial" w:hAnsi="Arial"/>
          <w:color w:val="000000"/>
          <w:sz w:val="22"/>
          <w:szCs w:val="22"/>
        </w:rPr>
        <w:t xml:space="preserve"> mutations in the plasma of patients with advanced breast cancer at the time of progression on aromatase inhibitors</w:t>
      </w:r>
      <w:r w:rsidR="006C145B" w:rsidRPr="004B2DF2">
        <w:rPr>
          <w:rFonts w:ascii="Arial" w:hAnsi="Arial"/>
          <w:color w:val="000000"/>
          <w:sz w:val="22"/>
          <w:szCs w:val="22"/>
          <w:vertAlign w:val="superscript"/>
        </w:rPr>
        <w:fldChar w:fldCharType="begin" w:fldLock="1"/>
      </w:r>
      <w:r w:rsidR="008D1593">
        <w:rPr>
          <w:rFonts w:ascii="Arial" w:hAnsi="Arial"/>
          <w:color w:val="000000"/>
          <w:sz w:val="22"/>
          <w:szCs w:val="22"/>
          <w:vertAlign w:val="superscript"/>
        </w:rPr>
        <w:instrText>ADDIN CSL_CITATION { "citationItems" : [ { "id" : "ITEM-1", "itemData" : { "abstract" : "Acquired ESR1 mutations are a major mechanism of resistance to aromatase inhibitors (AIs). We developed ultra high-sensitivity multiplex digital polymerase chain reaction assays for ESR1 mutations in circulating tumor DNA (ctDNA) and investigated the clinical relevance and origin of ESR1 mutations in 171 women with advanced breast cancer. ESR1 mutation status in ctDNA showed high concordance with contemporaneous tumor biopsies and was accurately assessed in samples shipped at room temperature in preservative tubes. ESR1 mutations were found exclusively in estrogen receptor-positive breast cancer patients previously exposed to AI. Patients with ESR1 mutations had a substantially shorter progression-free survival on subsequent AI-based therapy [hazard ratio, 3.1; 95% confidence interval (CI), 1.9 to 23.1; P = 0.0041]. ESR1 mutation prevalence differed markedly between patients who were first exposed to AI during the adjuvant and metastatic settings [5.8% (3 of 52) versus 36.4% (16 of 44), respectively; P = 0.0002]. In an independent cohort, ESR1 mutations were identified in 0% (0 of 32; 95% CI, 0 to 10.9) tumor biopsies taken after progression on adjuvant AI. In a patient with serial sampling, ESR1 mutation was selected during metastatic AI therapy to become the dominant clone in the cancer. ESR1 mutations can be robustly identified with ctDNA analysis and predict for resistance to subsequent AI therapy. ESR1 mutations are rarely acquired during adjuvant AI but are commonly selected by therapy for metastatic disease, providing evidence that mechanisms of resistance to targeted therapy may be substantially different between the treatment of micrometastatic and overt metastatic cancer.", "author" : [ { "dropping-particle" : "", "family" : "Schiavon", "given" : "G.", "non-dropping-particle" : "", "parse-names" : false, "suffix" : "" }, { "dropping-particle" : "", "family" : "Hrebien", "given" : "S.", "non-dropping-particle" : "", "parse-names" : false, "suffix" : "" }, { "dropping-particle" : "", "family" : "Garcia-Murillas", "given" : "I.", "non-dropping-particle" : "", "parse-names" : false, "suffix" : "" }, { "dropping-particle" : "", "family" : "Cutts", "given" : "R. J.", "non-dropping-particle" : "", "parse-names" : false, "suffix" : "" }, { "dropping-particle" : "", "family" : "Pearson", "given" : "a.", "non-dropping-particle" : "", "parse-names" : false, "suffix" : "" }, { "dropping-particle" : "", "family" : "Tarazona", "given" : "N.", "non-dropping-particle" : "", "parse-names" : false, "suffix" : "" }, { "dropping-particle" : "", "family" : "Fenwick", "given" : "K.", "non-dropping-particle" : "", "parse-names" : false, "suffix" : "" }, { "dropping-particle" : "", "family" : "Kozarewa", "given" : "I.", "non-dropping-particle" : "", "parse-names" : false, "suffix" : "" }, { "dropping-particle" : "", "family" : "Lopez-Knowles", "given" : "E.", "non-dropping-particle" : "", "parse-names" : false, "suffix" : "" }, { "dropping-particle" : "", "family" : "Ribas", "given" : "R.", "non-dropping-particle" : "", "parse-names" : false, "suffix" : "" }, { "dropping-particle" : "", "family" : "Nerurkar", "given" : "a.", "non-dropping-particle" : "", "parse-names" : false, "suffix" : "" }, { "dropping-particle" : "", "family" : "Osin", "given" : "P.", "non-dropping-particle" : "", "parse-names" : false, "suffix" : "" }, { "dropping-particle" : "", "family" : "Chandarlapaty", "given" : "S.", "non-dropping-particle" : "", "parse-names" : false, "suffix" : "" }, { "dropping-particle" : "", "family" : "Martin", "given" : "L.-a.", "non-dropping-particle" : "", "parse-names" : false, "suffix" : "" }, { "dropping-particle" : "", "family" : "Dowsett", "given" : "M.", "non-dropping-particle" : "", "parse-names" : false, "suffix" : "" }, { "dropping-particle" : "", "family" : "Smith", "given" : "I. E.", "non-dropping-particle" : "", "parse-names" : false, "suffix" : "" }, { "dropping-particle" : "", "family" : "Turner", "given" : "N. C.", "non-dropping-particle" : "", "parse-names" : false, "suffix" : "" } ], "container-title" : "Science Translational Medicine", "id" : "ITEM-1", "issue" : "313", "issued" : { "date-parts" : [ [ "2015" ] ] }, "page" : "313ra182-313ra182", "title" : "Analysis of ESR1 mutation in circulating tumor DNA demonstrates evolution during therapy for metastatic breast cancer", "type" : "article-journal", "volume" : "7" }, "uris" : [ "http://www.mendeley.com/documents/?uuid=73d5e4f6-226d-48e7-be13-0c2437175925" ] } ], "mendeley" : { "formattedCitation" : "(31)", "plainTextFormattedCitation" : "(31)", "previouslyFormattedCitation" : "(31)" }, "properties" : { "noteIndex" : 0 }, "schema" : "https://github.com/citation-style-language/schema/raw/master/csl-citation.json" }</w:instrText>
      </w:r>
      <w:r w:rsidR="006C145B" w:rsidRPr="004B2DF2">
        <w:rPr>
          <w:rFonts w:ascii="Arial" w:hAnsi="Arial"/>
          <w:color w:val="000000"/>
          <w:sz w:val="22"/>
          <w:szCs w:val="22"/>
          <w:vertAlign w:val="superscript"/>
        </w:rPr>
        <w:fldChar w:fldCharType="separate"/>
      </w:r>
      <w:r w:rsidR="008D1593" w:rsidRPr="008D1593">
        <w:rPr>
          <w:rFonts w:ascii="Arial" w:hAnsi="Arial"/>
          <w:noProof/>
          <w:color w:val="000000"/>
          <w:sz w:val="22"/>
          <w:szCs w:val="22"/>
        </w:rPr>
        <w:t>(31)</w:t>
      </w:r>
      <w:r w:rsidR="006C145B" w:rsidRPr="004B2DF2">
        <w:rPr>
          <w:rFonts w:ascii="Arial" w:hAnsi="Arial"/>
          <w:color w:val="000000"/>
          <w:sz w:val="22"/>
          <w:szCs w:val="22"/>
          <w:vertAlign w:val="superscript"/>
        </w:rPr>
        <w:fldChar w:fldCharType="end"/>
      </w:r>
      <w:r w:rsidRPr="004B2DF2">
        <w:rPr>
          <w:rFonts w:ascii="Arial" w:hAnsi="Arial"/>
          <w:color w:val="000000"/>
          <w:sz w:val="22"/>
          <w:szCs w:val="22"/>
        </w:rPr>
        <w:t xml:space="preserve">. This study utilised digital PCR probes directed against the most common mutations in the </w:t>
      </w:r>
      <w:r w:rsidR="00F47D29" w:rsidRPr="004B2DF2">
        <w:rPr>
          <w:rFonts w:ascii="Arial" w:hAnsi="Arial"/>
          <w:color w:val="000000"/>
          <w:sz w:val="22"/>
          <w:szCs w:val="22"/>
        </w:rPr>
        <w:t xml:space="preserve">ligand binding domain </w:t>
      </w:r>
      <w:r w:rsidRPr="004B2DF2">
        <w:rPr>
          <w:rFonts w:ascii="Arial" w:hAnsi="Arial"/>
          <w:color w:val="000000"/>
          <w:sz w:val="22"/>
          <w:szCs w:val="22"/>
        </w:rPr>
        <w:t xml:space="preserve">of ESR1. This predicted poorer response to subsequent aromatase inhibition in terms of a reduced progression-free survival. Interestingly, the </w:t>
      </w:r>
      <w:r w:rsidR="009B70EE" w:rsidRPr="004B2DF2">
        <w:rPr>
          <w:rFonts w:ascii="Arial" w:hAnsi="Arial"/>
          <w:color w:val="000000"/>
          <w:sz w:val="22"/>
          <w:szCs w:val="22"/>
        </w:rPr>
        <w:t xml:space="preserve">detection </w:t>
      </w:r>
      <w:r w:rsidRPr="004B2DF2">
        <w:rPr>
          <w:rFonts w:ascii="Arial" w:hAnsi="Arial"/>
          <w:color w:val="000000"/>
          <w:sz w:val="22"/>
          <w:szCs w:val="22"/>
        </w:rPr>
        <w:t xml:space="preserve">of </w:t>
      </w:r>
      <w:r w:rsidRPr="00EF2B89">
        <w:rPr>
          <w:rFonts w:ascii="Arial" w:hAnsi="Arial"/>
          <w:i/>
          <w:color w:val="000000"/>
          <w:sz w:val="22"/>
          <w:szCs w:val="22"/>
        </w:rPr>
        <w:t>ESR1</w:t>
      </w:r>
      <w:r w:rsidRPr="004B2DF2">
        <w:rPr>
          <w:rFonts w:ascii="Arial" w:hAnsi="Arial"/>
          <w:color w:val="000000"/>
          <w:sz w:val="22"/>
          <w:szCs w:val="22"/>
        </w:rPr>
        <w:t xml:space="preserve"> mutations seems to depend on the stage of cancer, with a relatively small percentage of patients having detectable </w:t>
      </w:r>
      <w:r w:rsidRPr="00EF2B89">
        <w:rPr>
          <w:rFonts w:ascii="Arial" w:hAnsi="Arial"/>
          <w:i/>
          <w:color w:val="000000"/>
          <w:sz w:val="22"/>
          <w:szCs w:val="22"/>
        </w:rPr>
        <w:t>ESR1</w:t>
      </w:r>
      <w:r w:rsidRPr="004B2DF2">
        <w:rPr>
          <w:rFonts w:ascii="Arial" w:hAnsi="Arial"/>
          <w:color w:val="000000"/>
          <w:sz w:val="22"/>
          <w:szCs w:val="22"/>
        </w:rPr>
        <w:t xml:space="preserve"> ctDNA upon relapse in the adjuvant setting (7%) compared to those only exposed to aromatase inhibitors after the development of metastatic disease. This </w:t>
      </w:r>
      <w:r w:rsidR="005F49D1" w:rsidRPr="004B2DF2">
        <w:rPr>
          <w:rFonts w:ascii="Arial" w:hAnsi="Arial"/>
          <w:color w:val="000000"/>
          <w:sz w:val="22"/>
          <w:szCs w:val="22"/>
        </w:rPr>
        <w:t xml:space="preserve">could </w:t>
      </w:r>
      <w:r w:rsidRPr="004B2DF2">
        <w:rPr>
          <w:rFonts w:ascii="Arial" w:hAnsi="Arial"/>
          <w:color w:val="000000"/>
          <w:sz w:val="22"/>
          <w:szCs w:val="22"/>
        </w:rPr>
        <w:t xml:space="preserve">suggest different mechanisms of resistance for patients with micrometastatic compared to metastatic disease </w:t>
      </w:r>
      <w:r w:rsidR="004E0B23" w:rsidRPr="004B2DF2">
        <w:rPr>
          <w:rFonts w:ascii="Arial" w:hAnsi="Arial"/>
          <w:color w:val="000000"/>
          <w:sz w:val="22"/>
          <w:szCs w:val="22"/>
        </w:rPr>
        <w:t xml:space="preserve">and that at an early stage </w:t>
      </w:r>
      <w:r w:rsidR="004E0B23" w:rsidRPr="00EF2B89">
        <w:rPr>
          <w:rFonts w:ascii="Arial" w:hAnsi="Arial"/>
          <w:i/>
          <w:color w:val="000000"/>
          <w:sz w:val="22"/>
          <w:szCs w:val="22"/>
        </w:rPr>
        <w:t xml:space="preserve">ESR1 </w:t>
      </w:r>
      <w:r w:rsidR="004E0B23" w:rsidRPr="004B2DF2">
        <w:rPr>
          <w:rFonts w:ascii="Arial" w:hAnsi="Arial"/>
          <w:color w:val="000000"/>
          <w:sz w:val="22"/>
          <w:szCs w:val="22"/>
        </w:rPr>
        <w:t>mutations are not driving progression.</w:t>
      </w:r>
      <w:r w:rsidRPr="004B2DF2">
        <w:rPr>
          <w:rFonts w:ascii="Arial" w:hAnsi="Arial"/>
          <w:color w:val="000000"/>
          <w:sz w:val="22"/>
          <w:szCs w:val="22"/>
        </w:rPr>
        <w:t xml:space="preserve"> In a retrospective analysis of the SOFEA trial whereby fulvestrant was compared to exemestane, it was shown that the progression free survival of patients with </w:t>
      </w:r>
      <w:r w:rsidRPr="00EF2B89">
        <w:rPr>
          <w:rFonts w:ascii="Arial" w:hAnsi="Arial"/>
          <w:i/>
          <w:color w:val="000000"/>
          <w:sz w:val="22"/>
          <w:szCs w:val="22"/>
        </w:rPr>
        <w:t>ESR1</w:t>
      </w:r>
      <w:r w:rsidRPr="004B2DF2">
        <w:rPr>
          <w:rFonts w:ascii="Arial" w:hAnsi="Arial"/>
          <w:color w:val="000000"/>
          <w:sz w:val="22"/>
          <w:szCs w:val="22"/>
        </w:rPr>
        <w:t xml:space="preserve"> mutations was substantially improved on fulvestrant, and hence their detection could lead to better treatment decisions for an individual patient</w:t>
      </w:r>
      <w:r w:rsidR="006C145B" w:rsidRPr="004B2DF2">
        <w:rPr>
          <w:rFonts w:ascii="Arial" w:hAnsi="Arial"/>
          <w:color w:val="000000"/>
          <w:sz w:val="22"/>
          <w:szCs w:val="22"/>
          <w:vertAlign w:val="superscript"/>
        </w:rPr>
        <w:fldChar w:fldCharType="begin" w:fldLock="1"/>
      </w:r>
      <w:r w:rsidR="008D1593">
        <w:rPr>
          <w:rFonts w:ascii="Arial" w:hAnsi="Arial"/>
          <w:color w:val="000000"/>
          <w:sz w:val="22"/>
          <w:szCs w:val="22"/>
          <w:vertAlign w:val="superscript"/>
        </w:rPr>
        <w:instrText>ADDIN CSL_CITATION { "citationItems" : [ { "id" : "ITEM-1", "itemData" : { "abstract" : "PURPOSE ESR1 mutations are selected by prior aromatase inhibitor (AI) therapy in advanced breast cancer. We assessed the impact of ESR1 mutations on sensitivity to standard therapies in two phase III randomized trials that represent the development of the current standard therapy for estrogen receptor-positive advanced breast cancer. MATERIALS AND METHODS In a prospective-retrospective analysis, we assessed ESR1 mutations in available archived baseline plasma from the SoFEA (Study of Faslodex Versus Exemestane With or Without Arimidex) trial, which compared exemestane with fulvestrant-containing regimens in patients with prior sensitivity to nonsteroidal AI and in baseline plasma from the PALOMA3 (Palbociclib Combined With Fulvestrant in Hormone Receptor-Positive HER2-Negative Metastatic Breast Cancer After Endocrine Failure) trial, which compared fulvestrant plus placebo with fulvestrant plus palbociclib in patients with progression after receiving prior endocrine therapy. ESR1 mutations were analyzed by multiplex digital polymerase chain reaction. RESULTS In SoFEA, ESR1 mutations were found in 39.1% of patients (63 of 161), of whom 49.1% (27 of 55) were polyclonal, with rates of mutation detection unaffected by delays in processing of archival plasma. Patients with ESR1 mutations had improved progression-free survival (PFS) after taking fulvestrant (n = 45) compared with exemestane (n = 18; hazard ratio [HR], 0.52; 95% CI, 0.30 to 0.92; P = .02), whereas patients with wild-type ESR1 had similar PFS after receiving either treatment (HR, 1.07; 95% CI, 0.68 to 1.67; P = .77). In PALOMA3, ESR1 mutations were found in the plasma of 25.3% of patients (91 of 360), of whom 28.6% (26 of 91) were polyclonal, with mutations associated with acquired resistance to prior AI. Fulvestrant plus palbociclib improved PFS compared with fulvestrant plus placebo in both ESR1 mutant (HR, 0.43; 95% CI, 0.25 to 0.74; P = .002) and ESR1 wild-type patients (HR, 0.49; 95% CI, 0.35 to 0.70; P &lt; .001). CONCLUSION ESR1 mutation analysis in plasma after progression after prior AI therapy may help direct choice of further endocrine-based therapy. Additional confirmatory studies are required.", "author" : [ { "dropping-particle" : "", "family" : "Fribbens", "given" : "Charlotte", "non-dropping-particle" : "", "parse-names" : false, "suffix" : "" }, { "dropping-particle" : "", "family" : "O'Leary", "given" : "Ben", "non-dropping-particle" : "", "parse-names" : false, "suffix" : "" }, { "dropping-particle" : "", "family" : "Kilburn", "given" : "Lucy", "non-dropping-particle" : "", "parse-names" : false, "suffix" : "" }, { "dropping-particle" : "", "family" : "Hrebien", "given" : "Sarah", "non-dropping-particle" : "", "parse-names" : false, "suffix" : "" }, { "dropping-particle" : "", "family" : "Garcia-Murillas", "given" : "Isaac", "non-dropping-particle" : "", "parse-names" : false, "suffix" : "" }, { "dropping-particle" : "", "family" : "Beaney", "given" : "Matthew", "non-dropping-particle" : "", "parse-names" : false, "suffix" : "" }, { "dropping-particle" : "", "family" : "Cristofanilli", "given" : "Massimo", "non-dropping-particle" : "", "parse-names" : false, "suffix" : "" }, { "dropping-particle" : "", "family" : "Andre", "given" : "Fabrice", "non-dropping-particle" : "", "parse-names" : false, "suffix" : "" }, { "dropping-particle" : "", "family" : "Loi", "given" : "Sherene", "non-dropping-particle" : "", "parse-names" : false, "suffix" : "" }, { "dropping-particle" : "", "family" : "Loibl", "given" : "Sibylle", "non-dropping-particle" : "", "parse-names" : false, "suffix" : "" }, { "dropping-particle" : "", "family" : "Jiang", "given" : "John", "non-dropping-particle" : "", "parse-names" : false, "suffix" : "" }, { "dropping-particle" : "", "family" : "Bartlett", "given" : "Cynthia Huang", "non-dropping-particle" : "", "parse-names" : false, "suffix" : "" }, { "dropping-particle" : "", "family" : "Koehler", "given" : "Maria", "non-dropping-particle" : "", "parse-names" : false, "suffix" : "" }, { "dropping-particle" : "", "family" : "Dowsett", "given" : "Mitch", "non-dropping-particle" : "", "parse-names" : false, "suffix" : "" }, { "dropping-particle" : "", "family" : "Bliss", "given" : "Judith M.", "non-dropping-particle" : "", "parse-names" : false, "suffix" : "" }, { "dropping-particle" : "", "family" : "Johnston", "given" : "Stephen R D", "non-dropping-particle" : "", "parse-names" : false, "suffix" : "" }, { "dropping-particle" : "", "family" : "Turner", "given" : "Nicholas C.", "non-dropping-particle" : "", "parse-names" : false, "suffix" : "" } ], "container-title" : "Journal of Clinical Oncology", "id" : "ITEM-1", "issue" : "25", "issued" : { "date-parts" : [ [ "2016", "9" ] ] }, "page" : "2961-2968", "publisher" : "American Society of Clinical Oncology", "title" : "Plasma ESR1 Mutations and the treatment of estrogen receptor-Positive advanced breast cancer", "type" : "article-journal", "volume" : "34" }, "uris" : [ "http://www.mendeley.com/documents/?uuid=50bee798-8418-4f95-8980-4313652065e8" ] } ], "mendeley" : { "formattedCitation" : "(32)", "plainTextFormattedCitation" : "(32)", "previouslyFormattedCitation" : "(32)" }, "properties" : { "noteIndex" : 0 }, "schema" : "https://github.com/citation-style-language/schema/raw/master/csl-citation.json" }</w:instrText>
      </w:r>
      <w:r w:rsidR="006C145B" w:rsidRPr="004B2DF2">
        <w:rPr>
          <w:rFonts w:ascii="Arial" w:hAnsi="Arial"/>
          <w:color w:val="000000"/>
          <w:sz w:val="22"/>
          <w:szCs w:val="22"/>
          <w:vertAlign w:val="superscript"/>
        </w:rPr>
        <w:fldChar w:fldCharType="separate"/>
      </w:r>
      <w:r w:rsidR="008D1593" w:rsidRPr="008D1593">
        <w:rPr>
          <w:rFonts w:ascii="Arial" w:hAnsi="Arial"/>
          <w:noProof/>
          <w:color w:val="000000"/>
          <w:sz w:val="22"/>
          <w:szCs w:val="22"/>
        </w:rPr>
        <w:t>(32)</w:t>
      </w:r>
      <w:r w:rsidR="006C145B" w:rsidRPr="004B2DF2">
        <w:rPr>
          <w:rFonts w:ascii="Arial" w:hAnsi="Arial"/>
          <w:color w:val="000000"/>
          <w:sz w:val="22"/>
          <w:szCs w:val="22"/>
          <w:vertAlign w:val="superscript"/>
        </w:rPr>
        <w:fldChar w:fldCharType="end"/>
      </w:r>
      <w:r w:rsidRPr="004B2DF2">
        <w:rPr>
          <w:rFonts w:ascii="Arial" w:hAnsi="Arial"/>
          <w:color w:val="000000"/>
          <w:sz w:val="22"/>
          <w:szCs w:val="22"/>
        </w:rPr>
        <w:t>. In addition to ESR1 itself, recent work by Carrol et. al.</w:t>
      </w:r>
      <w:r w:rsidR="006C145B" w:rsidRPr="004B2DF2">
        <w:rPr>
          <w:rFonts w:ascii="Arial" w:hAnsi="Arial"/>
          <w:color w:val="000000"/>
          <w:sz w:val="22"/>
          <w:szCs w:val="22"/>
          <w:vertAlign w:val="superscript"/>
        </w:rPr>
        <w:fldChar w:fldCharType="begin" w:fldLock="1"/>
      </w:r>
      <w:r w:rsidR="008D1593">
        <w:rPr>
          <w:rFonts w:ascii="Arial" w:hAnsi="Arial"/>
          <w:color w:val="000000"/>
          <w:sz w:val="22"/>
          <w:szCs w:val="22"/>
          <w:vertAlign w:val="superscript"/>
        </w:rPr>
        <w:instrText>ADDIN CSL_CITATION { "citationItems" : [ { "id" : "ITEM-1", "itemData" : { "abstract" : "Estrogen receptor (ESR1) drives growth in the majority of human breast cancers by binding to regulatory elements and inducing transcription events that promote tumor growth. Differences in enhancer occupancy by ESR1 contribute to the diverse expression profiles and clinical outcome observed in breast cancer patients. GATA3 is an ESR1-cooperating transcription factor mutated in breast tumors; however, its genomic properties are not fully defined. In order to investigate the composition of enhancers involved in estrogen-induced transcription and the potential role of GATA3, we performed extensive ChIP-sequencing in unstimulated breast cancer cells and following estrogen treatment. We find that GATA3 is pivotal in mediating enhancer accessibility at regulatory regions involved in ESR1-mediated transcription. GATA3 silencing resulted in a global redistribution of cofactors and active histone marks prior to estrogen stimulation. These global genomic changes altered the ESR1-binding profile that subsequently occurred following estrogen, with events exhibiting both loss and gain in binding affinity, implying a GATA3-mediated redistribution of ESR1 binding. The GATA3-mediated redistributed ESR1 profile correlated with changes in gene expression, suggestive of its functionality. Chromatin loops at the TFF locus involving ESR1-bound enhancers occurred independently of ESR1 when GATA3 was silenced, indicating that GATA3, when present on the chromatin, may serve as a licensing factor for estrogen-ESR1-mediated interactions between cis-regulatory elements. Together, these experiments suggest that GATA3 directly impacts ESR1 enhancer accessibility, and may potentially explain the contribution of mutant-GATA3 in the heterogeneity of ESR1+ breast cancer.", "author" : [ { "dropping-particle" : "", "family" : "Theodorou", "given" : "Vasiliki", "non-dropping-particle" : "", "parse-names" : false, "suffix" : "" }, { "dropping-particle" : "", "family" : "Stark", "given" : "Rory", "non-dropping-particle" : "", "parse-names" : false, "suffix" : "" }, { "dropping-particle" : "", "family" : "Menon", "given" : "Suraj", "non-dropping-particle" : "", "parse-names" : false, "suffix" : "" }, { "dropping-particle" : "", "family" : "Carroll", "given" : "Jason S.", "non-dropping-particle" : "", "parse-names" : false, "suffix" : "" } ], "container-title" : "Genome Research", "id" : "ITEM-1", "issue" : "1", "issued" : { "date-parts" : [ [ "2013", "1" ] ] }, "page" : "12-22", "title" : "GATA3 acts upstream of FOXA1 in mediating ESR1 binding by shaping enhancer accessibility", "type" : "article-journal", "volume" : "23" }, "uris" : [ "http://www.mendeley.com/documents/?uuid=f4617268-ed99-44d3-8fff-1905c00217f6" ] } ], "mendeley" : { "formattedCitation" : "(33)", "plainTextFormattedCitation" : "(33)", "previouslyFormattedCitation" : "(33)" }, "properties" : { "noteIndex" : 0 }, "schema" : "https://github.com/citation-style-language/schema/raw/master/csl-citation.json" }</w:instrText>
      </w:r>
      <w:r w:rsidR="006C145B" w:rsidRPr="004B2DF2">
        <w:rPr>
          <w:rFonts w:ascii="Arial" w:hAnsi="Arial"/>
          <w:color w:val="000000"/>
          <w:sz w:val="22"/>
          <w:szCs w:val="22"/>
          <w:vertAlign w:val="superscript"/>
        </w:rPr>
        <w:fldChar w:fldCharType="separate"/>
      </w:r>
      <w:r w:rsidR="008D1593" w:rsidRPr="008D1593">
        <w:rPr>
          <w:rFonts w:ascii="Arial" w:hAnsi="Arial"/>
          <w:noProof/>
          <w:color w:val="000000"/>
          <w:sz w:val="22"/>
          <w:szCs w:val="22"/>
        </w:rPr>
        <w:t>(33)</w:t>
      </w:r>
      <w:r w:rsidR="006C145B" w:rsidRPr="004B2DF2">
        <w:rPr>
          <w:rFonts w:ascii="Arial" w:hAnsi="Arial"/>
          <w:color w:val="000000"/>
          <w:sz w:val="22"/>
          <w:szCs w:val="22"/>
          <w:vertAlign w:val="superscript"/>
        </w:rPr>
        <w:fldChar w:fldCharType="end"/>
      </w:r>
      <w:r w:rsidRPr="004B2DF2">
        <w:rPr>
          <w:rFonts w:ascii="Arial" w:hAnsi="Arial"/>
          <w:color w:val="000000"/>
          <w:sz w:val="22"/>
          <w:szCs w:val="22"/>
        </w:rPr>
        <w:t>, has shown that changes in expression of GATA3 can also lead to ligand-independent activation of ESR1 thus identifying a separate potential mechanism of resistance to endocrine therapy.   </w:t>
      </w:r>
    </w:p>
    <w:p w14:paraId="09891549" w14:textId="77777777" w:rsidR="007A1D1E" w:rsidRPr="004B2DF2" w:rsidRDefault="007A1D1E" w:rsidP="007A1D1E">
      <w:pPr>
        <w:spacing w:line="360" w:lineRule="auto"/>
        <w:jc w:val="both"/>
        <w:rPr>
          <w:rFonts w:ascii="Times" w:hAnsi="Times"/>
          <w:sz w:val="22"/>
          <w:szCs w:val="22"/>
        </w:rPr>
      </w:pPr>
    </w:p>
    <w:p w14:paraId="6EF89832" w14:textId="77777777" w:rsidR="007A1D1E" w:rsidRPr="00103B00" w:rsidRDefault="007A1D1E" w:rsidP="007A1D1E">
      <w:pPr>
        <w:spacing w:line="360" w:lineRule="auto"/>
        <w:jc w:val="both"/>
        <w:rPr>
          <w:rFonts w:ascii="Arial" w:hAnsi="Arial" w:cs="Arial"/>
          <w:b/>
          <w:sz w:val="24"/>
          <w:szCs w:val="24"/>
        </w:rPr>
      </w:pPr>
      <w:r w:rsidRPr="00103B00">
        <w:rPr>
          <w:rFonts w:ascii="Arial" w:hAnsi="Arial"/>
          <w:b/>
          <w:bCs/>
          <w:color w:val="000000"/>
          <w:sz w:val="24"/>
          <w:szCs w:val="24"/>
        </w:rPr>
        <w:t>The copy number landscape</w:t>
      </w:r>
    </w:p>
    <w:p w14:paraId="51F39ADE" w14:textId="77077BDF" w:rsidR="007A1D1E" w:rsidRPr="004B2DF2" w:rsidRDefault="007A1D1E" w:rsidP="004D1491">
      <w:pPr>
        <w:spacing w:line="360" w:lineRule="auto"/>
        <w:jc w:val="both"/>
        <w:rPr>
          <w:rFonts w:ascii="Times" w:hAnsi="Times"/>
          <w:sz w:val="22"/>
          <w:szCs w:val="22"/>
        </w:rPr>
      </w:pPr>
      <w:r w:rsidRPr="004B2DF2">
        <w:rPr>
          <w:rFonts w:ascii="Arial" w:hAnsi="Arial"/>
          <w:color w:val="000000"/>
          <w:sz w:val="22"/>
          <w:szCs w:val="22"/>
        </w:rPr>
        <w:t xml:space="preserve">Seminal studies have shown that breast cancer is a </w:t>
      </w:r>
      <w:r w:rsidR="00602D7E">
        <w:rPr>
          <w:rFonts w:ascii="Arial" w:hAnsi="Arial"/>
          <w:color w:val="000000"/>
          <w:sz w:val="22"/>
          <w:szCs w:val="22"/>
        </w:rPr>
        <w:t xml:space="preserve">chromosomal </w:t>
      </w:r>
      <w:r w:rsidRPr="004B2DF2">
        <w:rPr>
          <w:rFonts w:ascii="Arial" w:hAnsi="Arial"/>
          <w:color w:val="000000"/>
          <w:sz w:val="22"/>
          <w:szCs w:val="22"/>
        </w:rPr>
        <w:t>copy number</w:t>
      </w:r>
      <w:r w:rsidRPr="004B2DF2">
        <w:rPr>
          <w:rFonts w:ascii="Arial" w:hAnsi="Arial"/>
          <w:bCs/>
          <w:color w:val="000000"/>
          <w:sz w:val="22"/>
          <w:szCs w:val="22"/>
        </w:rPr>
        <w:t xml:space="preserve"> </w:t>
      </w:r>
      <w:r w:rsidRPr="004B2DF2">
        <w:rPr>
          <w:rFonts w:ascii="Arial" w:hAnsi="Arial"/>
          <w:color w:val="000000"/>
          <w:sz w:val="22"/>
          <w:szCs w:val="22"/>
        </w:rPr>
        <w:t>driven disease, rather than one that is solely driven by somatic mutations</w:t>
      </w:r>
      <w:r w:rsidR="004D149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"10.1038/nature10983", "author" : [ { "dropping-particle" : "", "family" : "Curtis", "given" : "Christina", "non-dropping-particle" : "", "parse-names" : false, "suffix" : "" }, { "dropping-particle" : "", "family" : "Shah", "given" : "Sohrab P", "non-dropping-particle" : "", "parse-names" : false, "suffix" : "" }, { "dropping-particle" : "", "family" : "Chin", "given" : "Suet-Feung", "non-dropping-particle" : "", "parse-names" : false, "suffix" : "" }, { "dropping-particle" : "", "family" : "Turashvili", "given" : "Gulisa", "non-dropping-particle" : "", "parse-names" : false, "suffix" : "" }, { "dropping-particle" : "", "family" : "Rueda", "given" : "Oscar M", "non-dropping-particle" : "", "parse-names" : false, "suffix" : "" }, { "dropping-particle" : "", "family" : "Dunning", "given" : "Mark J", "non-dropping-particle" : "", "parse-names" : false, "suffix" : "" }, { "dropping-particle" : "", "family" : "Speed", "given" : "Doug", "non-dropping-particle" : "", "parse-names" : false, "suffix" : "" }, { "dropping-particle" : "", "family" : "Lynch", "given" : "Andy G", "non-dropping-particle" : "", "parse-names" : false, "suffix" : "" }, { "dropping-particle" : "", "family" : "Samarajiwa", "given" : "Shamith", "non-dropping-particle" : "", "parse-names" : false, "suffix" : "" }, { "dropping-particle" : "", "family" : "Yuan", "given" : "Yinyin", "non-dropping-particle" : "", "parse-names" : false, "suffix" : "" }, { "dropping-particle" : "", "family" : "Gr\u00e4f", "given" : "Stefan", "non-dropping-particle" : "", "parse-names" : false, "suffix" : "" }, { "dropping-particle" : "", "family" : "Ha", "given" : "Gavin", "non-dropping-particle" : "", "parse-names" : false, "suffix" : "" }, { "dropping-particle" : "", "family" : "Haffari", "given" : "Gholamreza", "non-dropping-particle" : "", "parse-names" : false, "suffix" : "" }, { "dropping-particle" : "", "family" : "Bashashati", "given" : "Ali", "non-dropping-particle" : "", "parse-names" : false, "suffix" : "" }, { "dropping-particle" : "", "family" : "Russell", "given" : "Roslin", "non-dropping-particle" : "", "parse-names" : false, "suffix" : "" }, { "dropping-particle" : "", "family" : "Mckinney", "given" : "Steven", "non-dropping-particle" : "", "parse-names" : false, "suffix" : "" }, { "dropping-particle" : "", "family" : "Group", "given" : "Metabric", "non-dropping-particle" : "", "parse-names" : false, "suffix" : "" }, { "dropping-particle" : "", "family" : "Langer\u00f8d", "given" : "Anita", "non-dropping-particle" : "", "parse-names" : false, "suffix" : "" }, { "dropping-particle" : "", "family" : "Green", "given" : "Andrew", "non-dropping-particle" : "", "parse-names" : false, "suffix" : "" }, { "dropping-particle" : "", "family" : "Provenzano", "given" : "Elena", "non-dropping-particle" : "", "parse-names" : false, "suffix" : "" }, { "dropping-particle" : "", "family" : "Wishart", "given" : "Gordon", "non-dropping-particle" : "", "parse-names" : false, "suffix" : "" }, { "dropping-particle" : "", "family" : "Pinder", "given" : "Sarah", "non-dropping-particle" : "", "parse-names" : false, "suffix" : "" }, { "dropping-particle" : "", "family" : "Watson", "given" : "Peter", "non-dropping-particle" : "", "parse-names" : false, "suffix" : "" }, { "dropping-particle" : "", "family" : "Markowetz", "given" : "Florian", "non-dropping-particle" : "", "parse-names" : false, "suffix" : "" }, { "dropping-particle" : "", "family" : "Murphy", "given" : "Leigh", "non-dropping-particle" : "", "parse-names" : false, "suffix" : "" }, { "dropping-particle" : "", "family" : "Ellis", "given" : "Ian", "non-dropping-particle" : "", "parse-names" : false, "suffix" : "" }, { "dropping-particle" : "", "family" : "Purushotham", "given" : "Arnie", "non-dropping-particle" : "", "parse-names" : false, "suffix" : "" }, { "dropping-particle" : "", "family" : "B\u00f8rresen-Dale", "given" : "Anne-Lise", "non-dropping-particle" : "", "parse-names" : false, "suffix" : "" }, { "dropping-particle" : "", "family" : "Brenton", "given" : "James D", "non-dropping-particle" : "", "parse-names" : false, "suffix" : "" }, { "dropping-particle" : "", "family" : "Tavar\u00e9", "given" : "Simon", "non-dropping-particle" : "", "parse-names" : false, "suffix" : "" }, { "dropping-particle" : "", "family" : "Caldas", "given" : "Carlos", "non-dropping-particle" : "", "parse-names" : false, "suffix" : "" }, { "dropping-particle" : "", "family" : "Aparicio", "given" : "Samuel", "non-dropping-particle" : "", "parse-names" : false, "suffix" : "" } ], "id" : "ITEM-1", "issued" : { "date-parts" : [ [ "0" ] ] }, "title" : "The genomic and transcriptomic architecture of 2,000 breast tumours reveals novel subgroups", "type" : "article-journal" }, "uris" : [ "http://www.mendeley.com/documents/?uuid=b009c1e7-619a-48d4-bb3e-6254a12e5118" ] } ], "mendeley" : { "formattedCitation" : "(34)", "plainTextFormattedCitation" : "(34)", "previouslyFormattedCitation" : "(34)" }, "properties" : { "noteIndex" : 0 }, "schema" : "https://github.com/citation-style-language/schema/raw/master/csl-citation.json" }</w:instrText>
      </w:r>
      <w:r w:rsidR="004D1491" w:rsidRPr="004B2DF2">
        <w:rPr>
          <w:rFonts w:ascii="Arial" w:hAnsi="Arial"/>
          <w:color w:val="000000"/>
          <w:sz w:val="22"/>
          <w:szCs w:val="22"/>
        </w:rPr>
        <w:fldChar w:fldCharType="separate"/>
      </w:r>
      <w:r w:rsidR="008D1593" w:rsidRPr="008D1593">
        <w:rPr>
          <w:rFonts w:ascii="Arial" w:hAnsi="Arial"/>
          <w:noProof/>
          <w:color w:val="000000"/>
          <w:sz w:val="22"/>
          <w:szCs w:val="22"/>
        </w:rPr>
        <w:t>(34)</w:t>
      </w:r>
      <w:r w:rsidR="004D1491" w:rsidRPr="004B2DF2">
        <w:rPr>
          <w:rFonts w:ascii="Arial" w:hAnsi="Arial"/>
          <w:color w:val="000000"/>
          <w:sz w:val="22"/>
          <w:szCs w:val="22"/>
        </w:rPr>
        <w:fldChar w:fldCharType="end"/>
      </w:r>
      <w:r w:rsidRPr="004B2DF2">
        <w:rPr>
          <w:rFonts w:ascii="Arial" w:hAnsi="Arial"/>
          <w:color w:val="000000"/>
          <w:sz w:val="22"/>
          <w:szCs w:val="22"/>
        </w:rPr>
        <w:t>. Indeed, these copy number alterations can be used to classify breast cancers into subtypes that correlate with distinct clinical outcomes</w:t>
      </w:r>
      <w:r w:rsidR="004D149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"10.1038/emboj.2013.19", "abstract" : "Breast cancer is a group of heterogeneous diseases that show substantial variation in their molecular and clinical characteristics. This heterogeneity poses significant chal-lenges not only in breast cancer management, but also in studying the biology of the disease. Recently, rapid progress has been made in understanding the genomic diversity of breast cancer. These advances led to the characterisation of a new genome-driven integrated classification of breast cancer, which substantially refines the existing classification systems currently used. The novel classification integrates molecular information on the genomic and transcriptomic landscapes of breast cancer to define 10 integrative clusters, each associated with distinct clinical outcomes and providing new insights into the underlying biology and potential molecular drivers. These findings have profound implications both for the individualisation of treatment approaches, bring-ing us a step closer to the realisation of personalised cancer management in breast cancer, but also provide a new framework for studying the underlying biology of each novel subtype.", "author" : [ { "dropping-particle" : "", "family" : "Dawson", "given" : "Sarah-Jane", "non-dropping-particle" : "", "parse-names" : false, "suffix" : "" }, { "dropping-particle" : "", "family" : "Rueda", "given" : "Oscar M", "non-dropping-particle" : "", "parse-names" : false, "suffix" : "" }, { "dropping-particle" : "", "family" : "Aparicio", "given" : "Samuel", "non-dropping-particle" : "", "parse-names" : false, "suffix" : "" }, { "dropping-particle" : "", "family" : "Caldas", "given" : "Carlos", "non-dropping-particle" : "", "parse-names" : false, "suffix" : "" } ], "container-title" : "The EMBO Journal", "id" : "ITEM-1", "issued" : { "date-parts" : [ [ "2013" ] ] }, "page" : "617-628", "title" : "Review A new genome-driven integrated classification of breast cancer and its implications", "type" : "article-journal", "volume" : "32" }, "uris" : [ "http://www.mendeley.com/documents/?uuid=c055eb4a-30f2-4e94-8edd-75b5802c3879" ] } ], "mendeley" : { "formattedCitation" : "(35)", "plainTextFormattedCitation" : "(35)", "previouslyFormattedCitation" : "(35)" }, "properties" : { "noteIndex" : 0 }, "schema" : "https://github.com/citation-style-language/schema/raw/master/csl-citation.json" }</w:instrText>
      </w:r>
      <w:r w:rsidR="004D1491" w:rsidRPr="004B2DF2">
        <w:rPr>
          <w:rFonts w:ascii="Arial" w:hAnsi="Arial"/>
          <w:color w:val="000000"/>
          <w:sz w:val="22"/>
          <w:szCs w:val="22"/>
        </w:rPr>
        <w:fldChar w:fldCharType="separate"/>
      </w:r>
      <w:r w:rsidR="008D1593" w:rsidRPr="008D1593">
        <w:rPr>
          <w:rFonts w:ascii="Arial" w:hAnsi="Arial"/>
          <w:noProof/>
          <w:color w:val="000000"/>
          <w:sz w:val="22"/>
          <w:szCs w:val="22"/>
        </w:rPr>
        <w:t>(35)</w:t>
      </w:r>
      <w:r w:rsidR="004D1491" w:rsidRPr="004B2DF2">
        <w:rPr>
          <w:rFonts w:ascii="Arial" w:hAnsi="Arial"/>
          <w:color w:val="000000"/>
          <w:sz w:val="22"/>
          <w:szCs w:val="22"/>
        </w:rPr>
        <w:fldChar w:fldCharType="end"/>
      </w:r>
      <w:r w:rsidRPr="004B2DF2">
        <w:rPr>
          <w:rFonts w:ascii="Arial" w:hAnsi="Arial"/>
          <w:color w:val="000000"/>
          <w:sz w:val="22"/>
          <w:szCs w:val="22"/>
        </w:rPr>
        <w:t xml:space="preserve">. It is therefore unsurprising that the copy number landscape in plasma has also been investigated. By using Affymetrix SNP </w:t>
      </w:r>
    </w:p>
    <w:p w14:paraId="0946C160" w14:textId="77777777" w:rsidR="007A1D1E" w:rsidRPr="004B2DF2" w:rsidRDefault="007A1D1E" w:rsidP="001536D4">
      <w:pPr>
        <w:spacing w:line="360" w:lineRule="auto"/>
        <w:jc w:val="both"/>
        <w:rPr>
          <w:rFonts w:ascii="Arial" w:hAnsi="Arial"/>
          <w:color w:val="000000"/>
          <w:sz w:val="22"/>
          <w:szCs w:val="22"/>
        </w:rPr>
      </w:pPr>
    </w:p>
    <w:p w14:paraId="6DD038B8" w14:textId="77777777" w:rsidR="005B438B" w:rsidRPr="004B2DF2" w:rsidRDefault="005B438B" w:rsidP="001536D4">
      <w:pPr>
        <w:spacing w:line="360" w:lineRule="auto"/>
        <w:jc w:val="both"/>
        <w:rPr>
          <w:rFonts w:ascii="Arial" w:hAnsi="Arial"/>
          <w:color w:val="000000"/>
          <w:sz w:val="22"/>
          <w:szCs w:val="22"/>
        </w:rPr>
      </w:pPr>
    </w:p>
    <w:p w14:paraId="681CE68C" w14:textId="02228FC8" w:rsidR="005B438B" w:rsidRPr="004B2DF2" w:rsidRDefault="00BF4697" w:rsidP="00BF4697">
      <w:pPr>
        <w:spacing w:line="360" w:lineRule="auto"/>
        <w:rPr>
          <w:rFonts w:ascii="Arial" w:hAnsi="Arial"/>
          <w:color w:val="000000"/>
          <w:sz w:val="22"/>
          <w:szCs w:val="22"/>
        </w:rPr>
      </w:pPr>
      <w:r w:rsidRPr="004B2DF2">
        <w:rPr>
          <w:rFonts w:ascii="Arial" w:hAnsi="Arial"/>
          <w:noProof/>
          <w:color w:val="000000"/>
          <w:sz w:val="22"/>
          <w:szCs w:val="22"/>
          <w:lang w:eastAsia="en-GB"/>
        </w:rPr>
        <w:drawing>
          <wp:inline distT="0" distB="0" distL="0" distR="0" wp14:anchorId="6FDC88EF" wp14:editId="01B9A09E">
            <wp:extent cx="4571342" cy="4483394"/>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523" cy="4484552"/>
                    </a:xfrm>
                    <a:prstGeom prst="rect">
                      <a:avLst/>
                    </a:prstGeom>
                    <a:noFill/>
                    <a:ln>
                      <a:noFill/>
                    </a:ln>
                  </pic:spPr>
                </pic:pic>
              </a:graphicData>
            </a:graphic>
          </wp:inline>
        </w:drawing>
      </w:r>
    </w:p>
    <w:p w14:paraId="10E35959" w14:textId="77777777" w:rsidR="007A1D1E" w:rsidRPr="004B2DF2" w:rsidRDefault="007A1D1E" w:rsidP="001536D4">
      <w:pPr>
        <w:spacing w:line="360" w:lineRule="auto"/>
        <w:jc w:val="both"/>
        <w:rPr>
          <w:rFonts w:ascii="Arial" w:hAnsi="Arial" w:cs="Arial"/>
          <w:sz w:val="22"/>
          <w:szCs w:val="22"/>
        </w:rPr>
      </w:pPr>
    </w:p>
    <w:p w14:paraId="43E942C1" w14:textId="4B4460EB" w:rsidR="007A1D1E" w:rsidRPr="004B2DF2" w:rsidRDefault="00BF4697" w:rsidP="001536D4">
      <w:pPr>
        <w:spacing w:line="360" w:lineRule="auto"/>
        <w:jc w:val="both"/>
        <w:rPr>
          <w:rFonts w:ascii="Arial" w:hAnsi="Arial" w:cs="Arial"/>
        </w:rPr>
      </w:pPr>
      <w:r w:rsidRPr="004B2DF2">
        <w:rPr>
          <w:rFonts w:ascii="Arial" w:hAnsi="Arial" w:cs="Arial"/>
        </w:rPr>
        <w:t>Figure 1</w:t>
      </w:r>
      <w:r w:rsidR="007A1D1E" w:rsidRPr="004B2DF2">
        <w:rPr>
          <w:rFonts w:ascii="Arial" w:hAnsi="Arial" w:cs="Arial"/>
        </w:rPr>
        <w:t xml:space="preserve">. </w:t>
      </w:r>
      <w:r w:rsidRPr="004B2DF2">
        <w:rPr>
          <w:rFonts w:ascii="Arial" w:hAnsi="Arial" w:cs="Arial"/>
        </w:rPr>
        <w:t>Activation of oestrogen mediated transcriptional activation in metastatic breast cancer and resistance pathways. Wild type e</w:t>
      </w:r>
      <w:r w:rsidR="00D2654C" w:rsidRPr="004B2DF2">
        <w:rPr>
          <w:rFonts w:ascii="Arial" w:hAnsi="Arial" w:cs="Arial"/>
        </w:rPr>
        <w:t xml:space="preserve">strogen receptor (ER) binds to </w:t>
      </w:r>
      <w:r w:rsidRPr="004B2DF2">
        <w:rPr>
          <w:rFonts w:ascii="Arial" w:hAnsi="Arial" w:cs="Arial"/>
        </w:rPr>
        <w:t xml:space="preserve">estrogen and translocates to the nucleus in order to regulate gene expression with other co-factors and transcription factors (TF). The receptor and its co-activators (CoA) are </w:t>
      </w:r>
      <w:r w:rsidR="007A5902" w:rsidRPr="004B2DF2">
        <w:rPr>
          <w:rFonts w:ascii="Arial" w:hAnsi="Arial" w:cs="Arial"/>
        </w:rPr>
        <w:t xml:space="preserve">also </w:t>
      </w:r>
      <w:r w:rsidRPr="004B2DF2">
        <w:rPr>
          <w:rFonts w:ascii="Arial" w:hAnsi="Arial" w:cs="Arial"/>
        </w:rPr>
        <w:t>modulated by receptor tyrosine kinas</w:t>
      </w:r>
      <w:r w:rsidR="002571CF" w:rsidRPr="004B2DF2">
        <w:rPr>
          <w:rFonts w:ascii="Arial" w:hAnsi="Arial" w:cs="Arial"/>
        </w:rPr>
        <w:t>es (RTK), via phosphorylation of</w:t>
      </w:r>
      <w:r w:rsidRPr="004B2DF2">
        <w:rPr>
          <w:rFonts w:ascii="Arial" w:hAnsi="Arial" w:cs="Arial"/>
        </w:rPr>
        <w:t xml:space="preserve"> A</w:t>
      </w:r>
      <w:r w:rsidR="002571CF" w:rsidRPr="004B2DF2">
        <w:rPr>
          <w:rFonts w:ascii="Arial" w:hAnsi="Arial" w:cs="Arial"/>
        </w:rPr>
        <w:t>KT and MAPK</w:t>
      </w:r>
      <w:r w:rsidR="00D2654C" w:rsidRPr="004B2DF2">
        <w:rPr>
          <w:rFonts w:ascii="Arial" w:hAnsi="Arial" w:cs="Arial"/>
        </w:rPr>
        <w:t>. Anti-</w:t>
      </w:r>
      <w:r w:rsidRPr="004B2DF2">
        <w:rPr>
          <w:rFonts w:ascii="Arial" w:hAnsi="Arial" w:cs="Arial"/>
        </w:rPr>
        <w:t xml:space="preserve">estrogen therapies such as tamoxifen (Tam) and fulvestrant (Ful) lead to the inhibition/degradation of ER respectively, thus potentially blocking activation of this pathway. In addition aromatase inhibitors reduce oestrogen thus reducing ER-stimulated transcription activity. However, in addition to ER mediated transcriptional activation there is crosstalk between ER and RTK mediated via PIK3CA and MAPK. Activation of these pathways result in hyper-activation of this signalling pathway and overexpression of target genes, which has emerged as a key mechanism to resistant to endocrine therapy. In aromatase treated ER positive metastatic breast cancer, </w:t>
      </w:r>
      <w:r w:rsidRPr="00EF2B89">
        <w:rPr>
          <w:rFonts w:ascii="Arial" w:hAnsi="Arial" w:cs="Arial"/>
          <w:i/>
        </w:rPr>
        <w:t>ESR1</w:t>
      </w:r>
      <w:r w:rsidRPr="004B2DF2">
        <w:rPr>
          <w:rFonts w:ascii="Arial" w:hAnsi="Arial" w:cs="Arial"/>
        </w:rPr>
        <w:t xml:space="preserve"> mutations (ER</w:t>
      </w:r>
      <w:r w:rsidRPr="004B2DF2">
        <w:rPr>
          <w:rFonts w:ascii="Arial" w:hAnsi="Arial" w:cs="Arial"/>
          <w:vertAlign w:val="superscript"/>
        </w:rPr>
        <w:t>mut</w:t>
      </w:r>
      <w:r w:rsidRPr="004B2DF2">
        <w:rPr>
          <w:rFonts w:ascii="Arial" w:hAnsi="Arial" w:cs="Arial"/>
        </w:rPr>
        <w:t xml:space="preserve">) are frequently found in advanced breast cancer, such mutations lead to ligand independent activation of transcription thus making aromatase inhibition </w:t>
      </w:r>
      <w:r w:rsidR="002A334D" w:rsidRPr="004B2DF2">
        <w:rPr>
          <w:rFonts w:ascii="Arial" w:hAnsi="Arial" w:cs="Arial"/>
        </w:rPr>
        <w:t>in</w:t>
      </w:r>
      <w:r w:rsidRPr="004B2DF2">
        <w:rPr>
          <w:rFonts w:ascii="Arial" w:hAnsi="Arial" w:cs="Arial"/>
        </w:rPr>
        <w:t xml:space="preserve">effective. </w:t>
      </w:r>
    </w:p>
    <w:p w14:paraId="3D35C73C" w14:textId="77777777" w:rsidR="007A1D1E" w:rsidRPr="004B2DF2" w:rsidRDefault="007A1D1E" w:rsidP="001536D4">
      <w:pPr>
        <w:spacing w:line="360" w:lineRule="auto"/>
        <w:jc w:val="both"/>
        <w:rPr>
          <w:rFonts w:ascii="Arial" w:hAnsi="Arial" w:cs="Arial"/>
          <w:sz w:val="22"/>
          <w:szCs w:val="22"/>
        </w:rPr>
      </w:pPr>
    </w:p>
    <w:p w14:paraId="4C243C58" w14:textId="77777777" w:rsidR="005F49D1" w:rsidRPr="004B2DF2" w:rsidRDefault="005F49D1" w:rsidP="001536D4">
      <w:pPr>
        <w:spacing w:line="360" w:lineRule="auto"/>
        <w:jc w:val="both"/>
        <w:rPr>
          <w:rFonts w:ascii="Arial" w:hAnsi="Arial"/>
          <w:color w:val="000000"/>
          <w:sz w:val="22"/>
          <w:szCs w:val="22"/>
        </w:rPr>
      </w:pPr>
    </w:p>
    <w:p w14:paraId="31BA126D" w14:textId="6DAE1722" w:rsidR="00676C97" w:rsidRPr="004B2DF2" w:rsidRDefault="0046375D" w:rsidP="001536D4">
      <w:pPr>
        <w:spacing w:line="360" w:lineRule="auto"/>
        <w:jc w:val="both"/>
        <w:rPr>
          <w:rFonts w:ascii="Arial" w:hAnsi="Arial"/>
          <w:color w:val="000000"/>
          <w:sz w:val="22"/>
          <w:szCs w:val="22"/>
        </w:rPr>
      </w:pPr>
      <w:r w:rsidRPr="004B2DF2">
        <w:rPr>
          <w:rFonts w:ascii="Arial" w:hAnsi="Arial"/>
          <w:color w:val="000000"/>
          <w:sz w:val="22"/>
          <w:szCs w:val="22"/>
        </w:rPr>
        <w:t xml:space="preserve">6.0 arrays, copy number alterations found in breast tumours could be identified in the plasma years after initial diagnosis and </w:t>
      </w:r>
      <w:r w:rsidR="00BA4095" w:rsidRPr="004B2DF2">
        <w:rPr>
          <w:rFonts w:ascii="Arial" w:hAnsi="Arial"/>
          <w:color w:val="000000"/>
          <w:sz w:val="22"/>
          <w:szCs w:val="22"/>
        </w:rPr>
        <w:t>treatment, despite the fact that they have no clinically evident recurrent disease, suggesting that ctDNA in the post</w:t>
      </w:r>
      <w:r w:rsidR="00BA4095" w:rsidRPr="004B2DF2">
        <w:rPr>
          <w:rFonts w:ascii="Arial" w:hAnsi="Arial"/>
          <w:bCs/>
          <w:color w:val="000000"/>
          <w:sz w:val="22"/>
          <w:szCs w:val="22"/>
        </w:rPr>
        <w:t>-</w:t>
      </w:r>
      <w:r w:rsidR="00BA4095" w:rsidRPr="004B2DF2">
        <w:rPr>
          <w:rFonts w:ascii="Arial" w:hAnsi="Arial"/>
          <w:color w:val="000000"/>
          <w:sz w:val="22"/>
          <w:szCs w:val="22"/>
        </w:rPr>
        <w:t>operative setting can be used to infer dormancy as</w:t>
      </w:r>
      <w:r w:rsidR="00BA4095" w:rsidRPr="004B2DF2">
        <w:rPr>
          <w:rFonts w:ascii="Arial" w:hAnsi="Arial" w:cs="Arial"/>
        </w:rPr>
        <w:t xml:space="preserve"> </w:t>
      </w:r>
      <w:r w:rsidR="002571CF" w:rsidRPr="004B2DF2">
        <w:rPr>
          <w:rFonts w:ascii="Arial" w:hAnsi="Arial"/>
          <w:color w:val="000000"/>
          <w:sz w:val="22"/>
          <w:szCs w:val="22"/>
        </w:rPr>
        <w:t>well as minimal residual disease during follow-up</w:t>
      </w:r>
      <w:r w:rsidR="004D149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"10.1038/bjc.2011.89", "abstract" : "BACKGROUND: Human epidermal growth factor receptor 2 (HER2) is amplified and overexpressed in 20 \u2013 25% of breast cancers. This study investigated circulating free DNA (cfDNA) for detection of HER2 gene amplification in patients with breast cancer. METHODS: Circulating free DNA was extracted from plasma of unselected patients with primary breast cancer (22 before surgery and 68 following treatment), 30 metastatic patients and 98 female controls using the QIAamp Blood DNA Mini Kit (Qiagen). The ratio of HER2 to an unamplified reference gene (contactin-associated protein 1 (CNTNAP1)) was measured in cfDNA samples by quantitative PCR (qPCR) using SK-BR-3 cell line DNA as a positive control. RESULTS: We validated the qPCR assay with DNA extracted from 23 HER2 3 \u00fe and 40 HER2-negative tumour tissue samples; the results agreed for 60 of 63 (95.2%) tumours. Amplification was detected in cfDNA for 8 of 68 patients following primary breast cancer treatment and 5 of 30 metastatic patients, but was undetected in 22 patients with primary breast cancer and 98 healthy female controls. Of the patients with amplification in cfDNA, 10 had HER2 3 \u00fe tumour status by immunohistochemistry. CONCLUSIONS: The results demonstrate for the first time the existence of amplified HER2 in cfDNA in the follow-up of breast cancer patients who are otherwise disease free. This approach could potentially provide a marker in patients with HER2-positive breast cancer.", "author" : [ { "dropping-particle" : "", "family" : "Page", "given" : "K", "non-dropping-particle" : "", "parse-names" : false, "suffix" : "" }, { "dropping-particle" : "", "family" : "Hava", "given" : "N", "non-dropping-particle" : "", "parse-names" : false, "suffix" : "" }, { "dropping-particle" : "", "family" : "Ward", "given" : "B", "non-dropping-particle" : "", "parse-names" : false, "suffix" : "" }, { "dropping-particle" : "", "family" : "Brown", "given" : "J", "non-dropping-particle" : "", "parse-names" : false, "suffix" : "" }, { "dropping-particle" : "", "family" : "Guttery", "given" : "Ds", "non-dropping-particle" : "", "parse-names" : false, "suffix" : "" }, { "dropping-particle" : "", "family" : "Ruangpratheep", "given" : "C", "non-dropping-particle" : "", "parse-names" : false, "suffix" : "" }, { "dropping-particle" : "", "family" : "Blighe", "given" : "K", "non-dropping-particle" : "", "parse-names" : false, "suffix" : "" }, { "dropping-particle" : "", "family" : "Sharma", "given" : "A", "non-dropping-particle" : "", "parse-names" : false, "suffix" : "" }, { "dropping-particle" : "", "family" : "Walker", "given" : "Ra", "non-dropping-particle" : "", "parse-names" : false, "suffix" : "" }, { "dropping-particle" : "", "family" : "Coombes", "given" : "Rc", "non-dropping-particle" : "", "parse-names" : false, "suffix" : "" }, { "dropping-particle" : "", "family" : "Shaw", "given" : "Ja", "non-dropping-particle" : "", "parse-names" : false, "suffix" : "" } ], "container-title" : "British Journal of Cancer", "id" : "ITEM-1", "issued" : { "date-parts" : [ [ "2011" ] ] }, "page" : "1342-1348", "title" : "Detection of HER2 amplification in circulating free DNA in patients with breast cancer", "type" : "article-journal", "volume" : "104" }, "uris" : [ "http://www.mendeley.com/documents/?uuid=384046f0-84ed-42bc-9392-753918dbc59b" ] } ], "mendeley" : { "formattedCitation" : "(36)", "plainTextFormattedCitation" : "(36)", "previouslyFormattedCitation" : "(36)" }, "properties" : { "noteIndex" : 0 }, "schema" : "https://github.com/citation-style-language/schema/raw/master/csl-citation.json" }</w:instrText>
      </w:r>
      <w:r w:rsidR="004D1491" w:rsidRPr="004B2DF2">
        <w:rPr>
          <w:rFonts w:ascii="Arial" w:hAnsi="Arial"/>
          <w:color w:val="000000"/>
          <w:sz w:val="22"/>
          <w:szCs w:val="22"/>
        </w:rPr>
        <w:fldChar w:fldCharType="separate"/>
      </w:r>
      <w:r w:rsidR="008D1593" w:rsidRPr="008D1593">
        <w:rPr>
          <w:rFonts w:ascii="Arial" w:hAnsi="Arial"/>
          <w:noProof/>
          <w:color w:val="000000"/>
          <w:sz w:val="22"/>
          <w:szCs w:val="22"/>
        </w:rPr>
        <w:t>(36)</w:t>
      </w:r>
      <w:r w:rsidR="004D1491" w:rsidRPr="004B2DF2">
        <w:rPr>
          <w:rFonts w:ascii="Arial" w:hAnsi="Arial"/>
          <w:color w:val="000000"/>
          <w:sz w:val="22"/>
          <w:szCs w:val="22"/>
        </w:rPr>
        <w:fldChar w:fldCharType="end"/>
      </w:r>
      <w:r w:rsidR="004D1491" w:rsidRPr="004B2DF2">
        <w:rPr>
          <w:rFonts w:ascii="Arial" w:hAnsi="Arial"/>
          <w:color w:val="000000"/>
          <w:sz w:val="22"/>
          <w:szCs w:val="22"/>
        </w:rPr>
        <w:t>. </w:t>
      </w:r>
      <w:r w:rsidR="002571CF" w:rsidRPr="004B2DF2">
        <w:rPr>
          <w:rFonts w:ascii="Arial" w:hAnsi="Arial"/>
          <w:color w:val="000000"/>
          <w:sz w:val="22"/>
          <w:szCs w:val="22"/>
        </w:rPr>
        <w:t xml:space="preserve">Using technologies employed to detect fetal aneuploidy in maternal serum, Hill </w:t>
      </w:r>
      <w:r w:rsidR="002571CF" w:rsidRPr="004B2DF2">
        <w:rPr>
          <w:rFonts w:ascii="Arial" w:hAnsi="Arial"/>
          <w:i/>
          <w:iCs/>
          <w:color w:val="000000"/>
          <w:sz w:val="22"/>
          <w:szCs w:val="22"/>
        </w:rPr>
        <w:t>et. al.</w:t>
      </w:r>
      <w:r w:rsidR="002571CF" w:rsidRPr="004B2DF2">
        <w:rPr>
          <w:rFonts w:ascii="Arial" w:hAnsi="Arial"/>
          <w:color w:val="000000"/>
          <w:sz w:val="22"/>
          <w:szCs w:val="22"/>
        </w:rPr>
        <w:t>,</w:t>
      </w:r>
      <w:r w:rsidR="004D149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"10.1016/j.tranon.2015.08.004", "abstract" : "We demonstrate proof-of-concept for the use of massively multiplexed PCR and next-generation sequencing (mmPCR-NGS) to identify both clonal and subclonal copy-number variants (CNVs) in circulating tumor DNA. This is the first report of a targeted methodology for detection of CNVs in plasma. Using an in vitro model of cell-free DNA, we show that mmPCR-NGS can accurately detect CNVs with average allelic imbalances as low as 0.5%, an improvement over previously reported whole-genome sequencing approaches. Our method revealed differences in the spectrum of CNVs detected in tumor tissue subsections and matching plasma samples from 11 patients with stage II breast cancer. Moreover, we showed that liquid biopsies are able to detect subclonal mutations that may be missed in tumor tissue biopsies. We anticipate that this mmPCR-NGS methodology will have broad applicability for the characterization, diagnosis, and therapeutic monitoring of CNV-enriched cancers, such as breast, ovarian, and lung cancer.", "author" : [ { "dropping-particle" : "", "family" : "Kirkizlar", "given" : "Eser", "non-dropping-particle" : "", "parse-names" : false, "suffix" : "" }, { "dropping-particle" : "", "family" : "Zimmermann", "given" : "Bernhard", "non-dropping-particle" : "", "parse-names" : false, "suffix" : "" }, { "dropping-particle" : "", "family" : "Constantin", "given" : "Tudor", "non-dropping-particle" : "", "parse-names" : false, "suffix" : "" }, { "dropping-particle" : "", "family" : "Swenerton", "given" : "Ryan", "non-dropping-particle" : "", "parse-names" : false, "suffix" : "" }, { "dropping-particle" : "", "family" : "Hoang", "given" : "Bin", "non-dropping-particle" : "", "parse-names" : false, "suffix" : "" }, { "dropping-particle" : "", "family" : "Wayham", "given" : "Nicholas", "non-dropping-particle" : "", "parse-names" : false, "suffix" : "" }, { "dropping-particle" : "", "family" : "Babiarz", "given" : "Joshua E", "non-dropping-particle" : "", "parse-names" : false, "suffix" : "" }, { "dropping-particle" : "", "family" : "Demko", "given" : "Zachary", "non-dropping-particle" : "", "parse-names" : false, "suffix" : "" }, { "dropping-particle" : "", "family" : "Pelham", "given" : "Robert J", "non-dropping-particle" : "", "parse-names" : false, "suffix" : "" }, { "dropping-particle" : "", "family" : "Kareht", "given" : "Stephanie", "non-dropping-particle" : "", "parse-names" : false, "suffix" : "" }, { "dropping-particle" : "", "family" : "Simon", "given" : "Alexander L", "non-dropping-particle" : "", "parse-names" : false, "suffix" : "" }, { "dropping-particle" : "", "family" : "Jinnett", "given" : "Kristine N", "non-dropping-particle" : "", "parse-names" : false, "suffix" : "" }, { "dropping-particle" : "", "family" : "Rabinowitz", "given" : "Matthew", "non-dropping-particle" : "", "parse-names" : false, "suffix" : "" }, { "dropping-particle" : "", "family" : "Sigurjonsson", "given" : "Styrmir", "non-dropping-particle" : "", "parse-names" : false, "suffix" : "" }, { "dropping-particle" : "", "family" : "Hill", "given" : "Matthew", "non-dropping-particle" : "", "parse-names" : false, "suffix" : "" } ], "container-title" : "TRANON", "id" : "ITEM-1", "issued" : { "date-parts" : [ [ "2015" ] ] }, "page" : "407-416", "title" : "Detection of Clonal and Subclonal Copy-Number Variants in Cell-Free DNA from Patients with Breast Cancer Using a Massively Multiplexed PCR Methodology", "type" : "article-journal", "volume" : "8" }, "uris" : [ "http://www.mendeley.com/documents/?uuid=dd76ae32-86b1-47fd-b041-8fdaa3f8d5fe" ] } ], "mendeley" : { "formattedCitation" : "(37)", "plainTextFormattedCitation" : "(37)", "previouslyFormattedCitation" : "(37)" }, "properties" : { "noteIndex" : 0 }, "schema" : "https://github.com/citation-style-language/schema/raw/master/csl-citation.json" }</w:instrText>
      </w:r>
      <w:r w:rsidR="004D1491" w:rsidRPr="004B2DF2">
        <w:rPr>
          <w:rFonts w:ascii="Arial" w:hAnsi="Arial"/>
          <w:color w:val="000000"/>
          <w:sz w:val="22"/>
          <w:szCs w:val="22"/>
        </w:rPr>
        <w:fldChar w:fldCharType="separate"/>
      </w:r>
      <w:r w:rsidR="008D1593" w:rsidRPr="008D1593">
        <w:rPr>
          <w:rFonts w:ascii="Arial" w:hAnsi="Arial"/>
          <w:noProof/>
          <w:color w:val="000000"/>
          <w:sz w:val="22"/>
          <w:szCs w:val="22"/>
        </w:rPr>
        <w:t>(37)</w:t>
      </w:r>
      <w:r w:rsidR="004D1491" w:rsidRPr="004B2DF2">
        <w:rPr>
          <w:rFonts w:ascii="Arial" w:hAnsi="Arial"/>
          <w:color w:val="000000"/>
          <w:sz w:val="22"/>
          <w:szCs w:val="22"/>
        </w:rPr>
        <w:fldChar w:fldCharType="end"/>
      </w:r>
      <w:r w:rsidR="007A1D1E" w:rsidRPr="004B2DF2">
        <w:rPr>
          <w:rFonts w:ascii="Arial" w:hAnsi="Arial"/>
          <w:color w:val="000000"/>
          <w:sz w:val="22"/>
          <w:szCs w:val="22"/>
        </w:rPr>
        <w:t xml:space="preserve"> have shown that allelic imbalances as low as</w:t>
      </w:r>
      <w:r w:rsidR="00C85071" w:rsidRPr="004B2DF2">
        <w:rPr>
          <w:rFonts w:ascii="Arial" w:hAnsi="Arial"/>
          <w:color w:val="000000"/>
          <w:sz w:val="22"/>
          <w:szCs w:val="22"/>
        </w:rPr>
        <w:t xml:space="preserve"> 0.5% can be detected. Using this approach </w:t>
      </w:r>
      <w:r w:rsidR="007A1D1E" w:rsidRPr="004B2DF2">
        <w:rPr>
          <w:rFonts w:ascii="Arial" w:hAnsi="Arial"/>
          <w:color w:val="000000"/>
          <w:sz w:val="22"/>
          <w:szCs w:val="22"/>
        </w:rPr>
        <w:t xml:space="preserve">copy number changes in </w:t>
      </w:r>
      <w:r w:rsidR="00C85071" w:rsidRPr="004B2DF2">
        <w:rPr>
          <w:rFonts w:ascii="Arial" w:hAnsi="Arial"/>
          <w:color w:val="000000"/>
          <w:sz w:val="22"/>
          <w:szCs w:val="22"/>
        </w:rPr>
        <w:t>the plasma of</w:t>
      </w:r>
      <w:r w:rsidR="007A1D1E" w:rsidRPr="004B2DF2">
        <w:rPr>
          <w:rFonts w:ascii="Arial" w:hAnsi="Arial"/>
          <w:color w:val="000000"/>
          <w:sz w:val="22"/>
          <w:szCs w:val="22"/>
        </w:rPr>
        <w:t xml:space="preserve"> 8 out of 11 patients with stage II breast cancer</w:t>
      </w:r>
      <w:r w:rsidR="00C85071" w:rsidRPr="004B2DF2">
        <w:rPr>
          <w:rFonts w:ascii="Arial" w:hAnsi="Arial"/>
          <w:color w:val="000000"/>
          <w:sz w:val="22"/>
          <w:szCs w:val="22"/>
        </w:rPr>
        <w:t xml:space="preserve"> were detected</w:t>
      </w:r>
      <w:r w:rsidR="007A1D1E" w:rsidRPr="004B2DF2">
        <w:rPr>
          <w:rFonts w:ascii="Arial" w:hAnsi="Arial"/>
          <w:color w:val="000000"/>
          <w:sz w:val="22"/>
          <w:szCs w:val="22"/>
        </w:rPr>
        <w:t>.  More recently</w:t>
      </w:r>
      <w:r w:rsidR="00C85071" w:rsidRPr="004B2DF2">
        <w:rPr>
          <w:rFonts w:ascii="Arial" w:hAnsi="Arial"/>
          <w:color w:val="000000"/>
          <w:sz w:val="22"/>
          <w:szCs w:val="22"/>
        </w:rPr>
        <w:t>,</w:t>
      </w:r>
      <w:r w:rsidR="007A1D1E" w:rsidRPr="004B2DF2">
        <w:rPr>
          <w:rFonts w:ascii="Arial" w:hAnsi="Arial"/>
          <w:color w:val="000000"/>
          <w:sz w:val="22"/>
          <w:szCs w:val="22"/>
        </w:rPr>
        <w:t xml:space="preserve"> two new studies</w:t>
      </w:r>
      <w:r w:rsidR="004D149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"10.1016/j.cell.2015.11.050", "ISSN" : "00928674", "abstract" : "Nucleosome positioning varies between cell types. By deep sequencing cell-free DNA (cfDNA), isolated from circulating blood plasma, we generated maps of genome-wide in\u00a0vivo nucleosome occupancy and found that short cfDNA fragments harbor footprints of transcription factors. The cfDNA nucleosome occupancies correlate well with the nuclear architecture, gene structure, and expression observed in cells, suggesting that they could inform the cell type of origin. Nucleosome spacing inferred from cfDNA in healthy individuals correlates most strongly with epigenetic features of lymphoid and myeloid cells, consistent with hematopoietic cell death as the normal source of cfDNA. We build on this observation to show how nucleosome footprints can be used to infer cell types contributing to cfDNA in pathological states such as cancer. Since this strategy does not rely on genetic differences to distinguish between contributing tissues, it may enable the noninvasive monitoring of a much broader set of clinical conditions than currently possible. \n\nPAPERCLIP", "author" : [ { "dropping-particle" : "", "family" : "Snyder", "given" : "Matthew\u00a0W.", "non-dropping-particle" : "", "parse-names" : false, "suffix" : "" }, { "dropping-particle" : "", "family" : "Kircher", "given" : "Martin", "non-dropping-particle" : "", "parse-names" : false, "suffix" : "" }, { "dropping-particle" : "", "family" : "Hill", "given" : "Andrew\u00a0J.", "non-dropping-particle" : "", "parse-names" : false, "suffix" : "" }, { "dropping-particle" : "", "family" : "Daza", "given" : "Riza\u00a0M.", "non-dropping-particle" : "", "parse-names" : false, "suffix" : "" }, { "dropping-particle" : "", "family" : "Shendure", "given" : "Jay", "non-dropping-particle" : "", "parse-names" : false, "suffix" : "" } ], "container-title" : "Cell", "id" : "ITEM-1", "issue" : "1", "issued" : { "date-parts" : [ [ "2016" ] ] }, "page" : "57-68", "title" : "Cell-free DNA Comprises an In\u00a0Vivo Nucleosome Footprint that Informs Its Tissues-Of-Origin", "type" : "article-journal", "volume" : "164" }, "uris" : [ "http://www.mendeley.com/documents/?uuid=23aeb993-167d-4788-ac67-7a0c45f53acf" ] } ], "mendeley" : { "formattedCitation" : "(38)", "plainTextFormattedCitation" : "(38)", "previouslyFormattedCitation" : "(38)" }, "properties" : { "noteIndex" : 0 }, "schema" : "https://github.com/citation-style-language/schema/raw/master/csl-citation.json" }</w:instrText>
      </w:r>
      <w:r w:rsidR="004D1491" w:rsidRPr="004B2DF2">
        <w:rPr>
          <w:rFonts w:ascii="Arial" w:hAnsi="Arial"/>
          <w:color w:val="000000"/>
          <w:sz w:val="22"/>
          <w:szCs w:val="22"/>
        </w:rPr>
        <w:fldChar w:fldCharType="separate"/>
      </w:r>
      <w:r w:rsidR="008D1593" w:rsidRPr="008D1593">
        <w:rPr>
          <w:rFonts w:ascii="Arial" w:hAnsi="Arial"/>
          <w:noProof/>
          <w:color w:val="000000"/>
          <w:sz w:val="22"/>
          <w:szCs w:val="22"/>
        </w:rPr>
        <w:t>(38)</w:t>
      </w:r>
      <w:r w:rsidR="004D1491" w:rsidRPr="004B2DF2">
        <w:rPr>
          <w:rFonts w:ascii="Arial" w:hAnsi="Arial"/>
          <w:color w:val="000000"/>
          <w:sz w:val="22"/>
          <w:szCs w:val="22"/>
        </w:rPr>
        <w:fldChar w:fldCharType="end"/>
      </w:r>
      <w:r w:rsidR="004D1491" w:rsidRPr="004B2DF2">
        <w:rPr>
          <w:rFonts w:ascii="Arial" w:hAnsi="Arial"/>
          <w:color w:val="000000"/>
          <w:sz w:val="22"/>
          <w:szCs w:val="22"/>
          <w:vertAlign w:val="superscript"/>
        </w:rPr>
        <w:t>,</w:t>
      </w:r>
      <w:r w:rsidR="00676C97" w:rsidRPr="004B2DF2">
        <w:rPr>
          <w:rFonts w:ascii="Arial" w:hAnsi="Arial"/>
          <w:color w:val="000000"/>
          <w:sz w:val="22"/>
          <w:szCs w:val="22"/>
          <w:vertAlign w:val="superscript"/>
        </w:rPr>
        <w:fldChar w:fldCharType="begin" w:fldLock="1"/>
      </w:r>
      <w:r w:rsidR="008D1593">
        <w:rPr>
          <w:rFonts w:ascii="Arial" w:hAnsi="Arial"/>
          <w:color w:val="000000"/>
          <w:sz w:val="22"/>
          <w:szCs w:val="22"/>
          <w:vertAlign w:val="superscript"/>
        </w:rPr>
        <w:instrText>ADDIN CSL_CITATION { "citationItems" : [ { "id" : "ITEM-1", "itemData" : { "DOI" : "10.1038/ng.3648", "ISSN" : "1061-4036", "author" : [ { "dropping-particle" : "", "family" : "Ulz", "given" : "Peter", "non-dropping-particle" : "", "parse-names" : false, "suffix" : "" }, { "dropping-particle" : "", "family" : "Thallinger", "given" : "Gerhard G", "non-dropping-particle" : "", "parse-names" : false, "suffix" : "" }, { "dropping-particle" : "", "family" : "Auer", "given" : "Martina", "non-dropping-particle" : "", "parse-names" : false, "suffix" : "" }, { "dropping-particle" : "", "family" : "Graf", "given" : "Ricarda", "non-dropping-particle" : "", "parse-names" : false, "suffix" : "" }, { "dropping-particle" : "", "family" : "Kashofer", "given" : "Karl", "non-dropping-particle" : "", "parse-names" : false, "suffix" : "" }, { "dropping-particle" : "", "family" : "Jahn", "given" : "Stephan W", "non-dropping-particle" : "", "parse-names" : false, "suffix" : "" }, { "dropping-particle" : "", "family" : "Abete", "given" : "Luca", "non-dropping-particle" : "", "parse-names" : false, "suffix" : "" }, { "dropping-particle" : "", "family" : "Pristauz", "given" : "Gunda", "non-dropping-particle" : "", "parse-names" : false, "suffix" : "" }, { "dropping-particle" : "", "family" : "Petru", "given" : "Edgar", "non-dropping-particle" : "", "parse-names" : false, "suffix" : "" }, { "dropping-particle" : "", "family" : "Geigl", "given" : "Jochen B", "non-dropping-particle" : "", "parse-names" : false, "suffix" : "" }, { "dropping-particle" : "", "family" : "Heitzer", "given" : "Ellen", "non-dropping-particle" : "", "parse-names" : false, "suffix" : "" }, { "dropping-particle" : "", "family" : "Speicher", "given" : "Michael R", "non-dropping-particle" : "", "parse-names" : false, "suffix" : "" } ], "container-title" : "Nature Genetics", "id" : "ITEM-1", "issue" : "10", "issued" : { "date-parts" : [ [ "2016", "8" ] ] }, "page" : "1273-1278", "publisher" : "Nature Research", "title" : "Inferring expressed genes by whole-genome sequencing of plasma DNA", "type" : "article-journal", "volume" : "48" }, "uris" : [ "http://www.mendeley.com/documents/?uuid=057e01ae-11a1-46ca-8a29-71c4d6c61758" ] } ], "mendeley" : { "formattedCitation" : "(39)", "plainTextFormattedCitation" : "(39)", "previouslyFormattedCitation" : "(39)" }, "properties" : { "noteIndex" : 0 }, "schema" : "https://github.com/citation-style-language/schema/raw/master/csl-citation.json" }</w:instrText>
      </w:r>
      <w:r w:rsidR="00676C97" w:rsidRPr="004B2DF2">
        <w:rPr>
          <w:rFonts w:ascii="Arial" w:hAnsi="Arial"/>
          <w:color w:val="000000"/>
          <w:sz w:val="22"/>
          <w:szCs w:val="22"/>
          <w:vertAlign w:val="superscript"/>
        </w:rPr>
        <w:fldChar w:fldCharType="separate"/>
      </w:r>
      <w:r w:rsidR="008D1593" w:rsidRPr="008D1593">
        <w:rPr>
          <w:rFonts w:ascii="Arial" w:hAnsi="Arial"/>
          <w:noProof/>
          <w:color w:val="000000"/>
          <w:sz w:val="22"/>
          <w:szCs w:val="22"/>
        </w:rPr>
        <w:t>(39)</w:t>
      </w:r>
      <w:r w:rsidR="00676C97" w:rsidRPr="004B2DF2">
        <w:rPr>
          <w:rFonts w:ascii="Arial" w:hAnsi="Arial"/>
          <w:color w:val="000000"/>
          <w:sz w:val="22"/>
          <w:szCs w:val="22"/>
          <w:vertAlign w:val="superscript"/>
        </w:rPr>
        <w:fldChar w:fldCharType="end"/>
      </w:r>
      <w:r w:rsidR="007A1D1E" w:rsidRPr="004B2DF2">
        <w:rPr>
          <w:rFonts w:ascii="Arial" w:hAnsi="Arial"/>
          <w:color w:val="000000"/>
          <w:sz w:val="22"/>
          <w:szCs w:val="22"/>
        </w:rPr>
        <w:t xml:space="preserve"> have used ctDNA to infer nucleosomal occupancy which can in turn be utilised to predict gene structure and gene expression, a methodology data could be invaluable in terms of predicting treatment response or resistance. To date, there are no specific studies looking at copy number changes in plasma relating to treatment response or resistance for breast cancer patients, though focal amplifications have been linked to treatment resistance in prostate cancer</w:t>
      </w:r>
      <w:r w:rsidR="00676C97"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"Genomic alterations in metastatic prostate cancer remain incompletely characterized. Here we analyse 493 prostate cancer cases from the TCGA database and perform whole-genome plasma sequencing on 95 plasma samples derived from 43 patients with metastatic prostate cancer. From these samples, we identify established driver aberrations in a cancer-related gene in nearly all cases (97.7%), including driver gene fusions (TMPRSS2:ERG), driver focal deletions (PTEN, RYBP and SHQ1) and driver amplifications (AR and MYC). In serial plasma analyses, we observe changes in focal amplifications in 40% of cases. The mean time interval between new amplifications was 26.4 weeks (range: 5\u201352 weeks), suggesting that they represent rapid adaptations to selection pressure. An increase in neuron-specific enolase is accompanied by clonal pattern changes in the tumour genome, most consistent with subclonal diversification of the tumour. Our findings suggest a high plasticity of prostate cancer genomes with newly occurring focal amplifications as a driving force in progression.", "author" : [ { "dropping-particle" : "", "family" : "Ulz", "given" : "Peter", "non-dropping-particle" : "", "parse-names" : false, "suffix" : "" }, { "dropping-particle" : "", "family" : "Belic", "given" : "Jelena", "non-dropping-particle" : "", "parse-names" : false, "suffix" : "" }, { "dropping-particle" : "", "family" : "Graf", "given" : "Ricarda", "non-dropping-particle" : "", "parse-names" : false, "suffix" : "" }, { "dropping-particle" : "", "family" : "Auer", "given" : "Martina", "non-dropping-particle" : "", "parse-names" : false, "suffix" : "" }, { "dropping-particle" : "", "family" : "Lafer", "given" : "Ingrid", "non-dropping-particle" : "", "parse-names" : false, "suffix" : "" }, { "dropping-particle" : "", "family" : "Fischereder", "given" : "Katja", "non-dropping-particle" : "", "parse-names" : false, "suffix" : "" }, { "dropping-particle" : "", "family" : "Webersinke", "given" : "Gerald", "non-dropping-particle" : "", "parse-names" : false, "suffix" : "" }, { "dropping-particle" : "", "family" : "Pummer", "given" : "Karl", "non-dropping-particle" : "", "parse-names" : false, "suffix" : "" }, { "dropping-particle" : "", "family" : "Augustin", "given" : "Herbert", "non-dropping-particle" : "", "parse-names" : false, "suffix" : "" }, { "dropping-particle" : "", "family" : "Pichler", "given" : "Martin", "non-dropping-particle" : "", "parse-names" : false, "suffix" : "" }, { "dropping-particle" : "", "family" : "Hoefler", "given" : "Gerald", "non-dropping-particle" : "", "parse-names" : false, "suffix" : "" }, { "dropping-particle" : "", "family" : "Bauernhofer", "given" : "Thomas", "non-dropping-particle" : "", "parse-names" : false, "suffix" : "" }, { "dropping-particle" : "", "family" : "Geigl", "given" : "Jochen B", "non-dropping-particle" : "", "parse-names" : false, "suffix" : "" }, { "dropping-particle" : "", "family" : "Heitzer", "given" : "Ellen", "non-dropping-particle" : "", "parse-names" : false, "suffix" : "" }, { "dropping-particle" : "", "family" : "Speicher", "given" : "Michael R", "non-dropping-particle" : "", "parse-names" : false, "suffix" : "" } ], "container-title" : "Nature Communications", "id" : "ITEM-1", "issue" : "May", "issued" : { "date-parts" : [ [ "2016" ] ] }, "page" : "12008", "publisher" : "Nature Publishing Group", "title" : "Whole-genome plasma sequencing reveals focal amplifications as a driving force in metastatic prostate cancer", "type" : "article-journal", "volume" : "7" }, "uris" : [ "http://www.mendeley.com/documents/?uuid=799a2086-f548-47bd-b59d-331ec85e9a80" ] } ], "mendeley" : { "formattedCitation" : "(7)", "plainTextFormattedCitation" : "(7)", "previouslyFormattedCitation" : "(7)" }, "properties" : { "noteIndex" : 0 }, "schema" : "https://github.com/citation-style-language/schema/raw/master/csl-citation.json" }</w:instrText>
      </w:r>
      <w:r w:rsidR="00676C97" w:rsidRPr="004B2DF2">
        <w:rPr>
          <w:rFonts w:ascii="Arial" w:hAnsi="Arial"/>
          <w:color w:val="000000"/>
          <w:sz w:val="22"/>
          <w:szCs w:val="22"/>
        </w:rPr>
        <w:fldChar w:fldCharType="separate"/>
      </w:r>
      <w:r w:rsidR="008D1593" w:rsidRPr="008D1593">
        <w:rPr>
          <w:rFonts w:ascii="Arial" w:hAnsi="Arial"/>
          <w:noProof/>
          <w:color w:val="000000"/>
          <w:sz w:val="22"/>
          <w:szCs w:val="22"/>
        </w:rPr>
        <w:t>(7)</w:t>
      </w:r>
      <w:r w:rsidR="00676C97" w:rsidRPr="004B2DF2">
        <w:rPr>
          <w:rFonts w:ascii="Arial" w:hAnsi="Arial"/>
          <w:color w:val="000000"/>
          <w:sz w:val="22"/>
          <w:szCs w:val="22"/>
        </w:rPr>
        <w:fldChar w:fldCharType="end"/>
      </w:r>
      <w:r w:rsidR="007A1D1E" w:rsidRPr="004B2DF2">
        <w:rPr>
          <w:rFonts w:ascii="Arial" w:hAnsi="Arial"/>
          <w:color w:val="000000"/>
          <w:sz w:val="22"/>
          <w:szCs w:val="22"/>
        </w:rPr>
        <w:t>.</w:t>
      </w:r>
    </w:p>
    <w:p w14:paraId="532928A1" w14:textId="4A61A8CD" w:rsidR="007A1D1E" w:rsidRPr="004B2DF2" w:rsidRDefault="007A1D1E" w:rsidP="001536D4">
      <w:pPr>
        <w:spacing w:line="360" w:lineRule="auto"/>
        <w:jc w:val="both"/>
        <w:rPr>
          <w:rFonts w:ascii="Arial" w:hAnsi="Arial"/>
          <w:color w:val="000000"/>
          <w:sz w:val="22"/>
          <w:szCs w:val="22"/>
        </w:rPr>
      </w:pPr>
      <w:r w:rsidRPr="004B2DF2">
        <w:rPr>
          <w:rFonts w:ascii="Arial" w:hAnsi="Arial"/>
          <w:color w:val="000000"/>
          <w:sz w:val="22"/>
          <w:szCs w:val="22"/>
        </w:rPr>
        <w:t xml:space="preserve">   </w:t>
      </w:r>
    </w:p>
    <w:p w14:paraId="5C610BEC" w14:textId="48B91FB3"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 xml:space="preserve">A number of groups have looked at the presence of </w:t>
      </w:r>
      <w:r w:rsidRPr="00EF2B89">
        <w:rPr>
          <w:rFonts w:ascii="Arial" w:hAnsi="Arial"/>
          <w:i/>
          <w:color w:val="000000"/>
          <w:sz w:val="22"/>
          <w:szCs w:val="22"/>
        </w:rPr>
        <w:t>ERBB2</w:t>
      </w:r>
      <w:r w:rsidRPr="004B2DF2">
        <w:rPr>
          <w:rFonts w:ascii="Arial" w:hAnsi="Arial"/>
          <w:color w:val="000000"/>
          <w:sz w:val="22"/>
          <w:szCs w:val="22"/>
        </w:rPr>
        <w:t xml:space="preserve"> amplifications in plasma though this has generally involved </w:t>
      </w:r>
      <w:r w:rsidR="00C85071" w:rsidRPr="004B2DF2">
        <w:rPr>
          <w:rFonts w:ascii="Arial" w:hAnsi="Arial"/>
          <w:color w:val="000000"/>
          <w:sz w:val="22"/>
          <w:szCs w:val="22"/>
        </w:rPr>
        <w:t xml:space="preserve">the </w:t>
      </w:r>
      <w:r w:rsidRPr="004B2DF2">
        <w:rPr>
          <w:rFonts w:ascii="Arial" w:hAnsi="Arial"/>
          <w:color w:val="000000"/>
          <w:sz w:val="22"/>
          <w:szCs w:val="22"/>
        </w:rPr>
        <w:t>analysis of CTC’s rather than ctDNA. In patients with metastatic breast cancer, the percentage of ERBB2-positive CTC’s correlated with increased response to anti-HER2 therapy</w:t>
      </w:r>
      <w:r w:rsidR="0017523D"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"Background: This study was initiated to investigate the prognostic significance of circulating tumor cell (CTC) enumeration and the predictive value of CTC HER2 expression for efficient anti-HER2 therapy in HER2-positive metastatic breast cancer (MBC) patients. Methods: Sixty HER2-positive MBC patients were enrolled in the present study. Before the initiation of systemic treatment, CTCs from 7.5 ml of blood were analyzed using the CellSearch system. The progression-free survival (PFS) of the patients was estimated using Kaplan-Meier survival curves. Results: CTCs were detected in 45% (27/60) of the patients, who had shorter median PFS than those without CTCs (2.5 vs. 7.5 months, P = 0.0125). Furthermore, referring to the standard HER2 testing that uses immunohistochemistry (IHC), we proposed a CTC HER2-positive criterion, defined as &gt;30% of CTCs over-expressing HER2. Among patients undergoing anti-HER2 therapy, those with HER2-positive CTCs had longer PFS (8.8 vs. 2.5 months, P = 0.002). Among patients with HER2-positive CTCs, the median PFS for those receiving anti-HER2 therapy was significantly longer than those who were not (8.8 vs. 1.5 months, P = 0.001). Notably, up to 52% (14/27) of the HER2-positive patients were CTC HER2-negative, and anti-HER2 therapy did not significantly improve the median PFS in these patients (2.5 vs. 0.9 months, P = 0.499). Conclusions: Our findings underscore the necessity of a comprehensive CTC analysis, which may provide valuable prognostic and predictive information for optimizing individually tailored therapies in HER2-positive MBC patients. To test this idea, additional large cohort, multi-center and prospective clinical trials are needed. Background", "author" : [ { "dropping-particle" : "", "family" : "Liu", "given" : "Yi", "non-dropping-particle" : "", "parse-names" : false, "suffix" : "" }, { "dropping-particle" : "", "family" : "Liu", "given" : "Qian", "non-dropping-particle" : "", "parse-names" : false, "suffix" : "" }, { "dropping-particle" : "", "family" : "Wang", "given" : "Tao", "non-dropping-particle" : "", "parse-names" : false, "suffix" : "" }, { "dropping-particle" : "", "family" : "Bian", "given" : "Li", "non-dropping-particle" : "", "parse-names" : false, "suffix" : "" }, { "dropping-particle" : "", "family" : "Zhang", "given" : "Shaohua", "non-dropping-particle" : "", "parse-names" : false, "suffix" : "" }, { "dropping-particle" : "", "family" : "Hu", "given" : "Haixu", "non-dropping-particle" : "", "parse-names" : false, "suffix" : "" }, { "dropping-particle" : "", "family" : "Li", "given" : "Sha", "non-dropping-particle" : "", "parse-names" : false, "suffix" : "" }, { "dropping-particle" : "", "family" : "Hu", "given" : "Zhiyuan", "non-dropping-particle" : "", "parse-names" : false, "suffix" : "" }, { "dropping-particle" : "", "family" : "Wu", "given" : "Shikai", "non-dropping-particle" : "", "parse-names" : false, "suffix" : "" }, { "dropping-particle" : "", "family" : "Liu", "given" : "Bing", "non-dropping-particle" : "", "parse-names" : false, "suffix" : "" }, { "dropping-particle" : "", "family" : "Jiang", "given" : "Zefei", "non-dropping-particle" : "", "parse-names" : false, "suffix" : "" } ], "id" : "ITEM-1", "issued" : { "date-parts" : [ [ "0" ] ] }, "title" : "Circulating tumor cells in HER2-positive metastatic breast cancer patients: a valuable prognostic and predictive biomarker", "type" : "article-journal" }, "uris" : [ "http://www.mendeley.com/documents/?uuid=80f01c1b-374d-4eeb-9ac1-9f3732d7603f" ] } ], "mendeley" : { "formattedCitation" : "(40)", "plainTextFormattedCitation" : "(40)", "previouslyFormattedCitation" : "(40)" }, "properties" : { "noteIndex" : 0 }, "schema" : "https://github.com/citation-style-language/schema/raw/master/csl-citation.json" }</w:instrText>
      </w:r>
      <w:r w:rsidR="0017523D" w:rsidRPr="004B2DF2">
        <w:rPr>
          <w:rFonts w:ascii="Arial" w:hAnsi="Arial"/>
          <w:color w:val="000000"/>
          <w:sz w:val="22"/>
          <w:szCs w:val="22"/>
        </w:rPr>
        <w:fldChar w:fldCharType="separate"/>
      </w:r>
      <w:r w:rsidR="008D1593" w:rsidRPr="008D1593">
        <w:rPr>
          <w:rFonts w:ascii="Arial" w:hAnsi="Arial"/>
          <w:noProof/>
          <w:color w:val="000000"/>
          <w:sz w:val="22"/>
          <w:szCs w:val="22"/>
        </w:rPr>
        <w:t>(40)</w:t>
      </w:r>
      <w:r w:rsidR="0017523D" w:rsidRPr="004B2DF2">
        <w:rPr>
          <w:rFonts w:ascii="Arial" w:hAnsi="Arial"/>
          <w:color w:val="000000"/>
          <w:sz w:val="22"/>
          <w:szCs w:val="22"/>
        </w:rPr>
        <w:fldChar w:fldCharType="end"/>
      </w:r>
      <w:r w:rsidRPr="004B2DF2">
        <w:rPr>
          <w:rFonts w:ascii="Arial" w:hAnsi="Arial"/>
          <w:color w:val="000000"/>
          <w:sz w:val="22"/>
          <w:szCs w:val="22"/>
        </w:rPr>
        <w:t xml:space="preserve">. In two studies analysing plasma </w:t>
      </w:r>
      <w:r w:rsidR="00602D7E" w:rsidRPr="00EF2B89">
        <w:rPr>
          <w:rFonts w:ascii="Arial" w:hAnsi="Arial"/>
          <w:i/>
          <w:color w:val="000000"/>
          <w:sz w:val="22"/>
          <w:szCs w:val="22"/>
        </w:rPr>
        <w:t>ERBB2</w:t>
      </w:r>
      <w:r w:rsidR="00602D7E" w:rsidRPr="004B2DF2">
        <w:rPr>
          <w:rFonts w:ascii="Arial" w:hAnsi="Arial"/>
          <w:color w:val="000000"/>
          <w:sz w:val="22"/>
          <w:szCs w:val="22"/>
        </w:rPr>
        <w:t xml:space="preserve"> </w:t>
      </w:r>
      <w:r w:rsidRPr="004B2DF2">
        <w:rPr>
          <w:rFonts w:ascii="Arial" w:hAnsi="Arial"/>
          <w:color w:val="000000"/>
          <w:sz w:val="22"/>
          <w:szCs w:val="22"/>
        </w:rPr>
        <w:t>amplification by quantitative real-time PCR, it was insufficiently sensitive to be able to distinguish early breast cancer patients from controls, but was more sensitive for patients with metastatic disease</w:t>
      </w:r>
      <w:r w:rsidR="0017523D"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"PURPOSE: Measurement of human epidermal growth factor receptor 2 (HER2) gene amplification in cell-free DNA (cfDNA) is an evolving technique in breast cancer, enabling liquid biopsies and treatment monitoring. The present study investigated the dynamics of plasma HER2 gene copy number and amplification in cfDNA during neoadjuvant chemotherapy.\\n\\nPATIENTS AND METHODS: The study included 50 patients from a prospective cohort analyzed during neoadjuvant chemotherapy. Fifty healthy women with no history of cancer served as control group and 15 patients with metastatic breast cancer were used to validate the assay. Total cfDNA and HER2 gene amplification were measured by quantitative real-time polymerase chain reaction.\\n\\nRESULTS: Plasma HER2 gene copy number (p = 0.794), HER2 gene amplification (p = 0.127) and total cfDNA (p = 0.440) did not differ significantly from the levels in the control group. Eighteen patients (36 %) obtained pathological complete response (pCR). HER2 gene copy number before the operation was significantly higher than the baseline level (p &lt; 0.0001), but there was no difference between patients with and without pCR (p = 0.569). Likewise, there was no difference in plasma HER2 gene amplification between tissue HER2-positive and -negative patients (p = 0.754).\\n\\nCONCLUSIONS: The results indicate that neither total cfDNA nor HER2 gene copy number is elevated in primary breast cancer patients compared to healthy controls. The level of both parameters increased during neoadjuvant chemotherapy, but without any relation to treatment effect. There was no indication of plasma HER2 gene amplification in the HER2-positive patients in the neoadjuvant setting.", "author" : [ { "dropping-particle" : "", "family" : "Bechmann", "given" : "Troels", "non-dropping-particle" : "", "parse-names" : false, "suffix" : "" }, { "dropping-particle" : "", "family" : "Andersen", "given" : "Rikke Fredslund", "non-dropping-particle" : "", "parse-names" : false, "suffix" : "" }, { "dropping-particle" : "", "family" : "Pallisgaard", "given" : "Niels", "non-dropping-particle" : "", "parse-names" : false, "suffix" : "" }, { "dropping-particle" : "", "family" : "Madsen", "given" : "Jonna Skov", "non-dropping-particle" : "", "parse-names" : false, "suffix" : "" }, { "dropping-particle" : "", "family" : "Maae", "given" : "Else", "non-dropping-particle" : "", "parse-names" : false, "suffix" : "" }, { "dropping-particle" : "", "family" : "Jakobsen", "given" : "Erik Hugger", "non-dropping-particle" : "", "parse-names" : false, "suffix" : "" }, { "dropping-particle" : "", "family" : "Bak Jylling", "given" : "Anne Marie", "non-dropping-particle" : "", "parse-names" : false, "suffix" : "" }, { "dropping-particle" : "", "family" : "Steffensen", "given" : "Karina Dahl", "non-dropping-particle" : "", "parse-names" : false, "suffix" : "" }, { "dropping-particle" : "", "family" : "Jakobsen", "given" : "Anders", "non-dropping-particle" : "", "parse-names" : false, "suffix" : "" } ], "container-title" : "Journal of Cancer Research and Clinical Oncology", "id" : "ITEM-1", "issue" : "6", "issued" : { "date-parts" : [ [ "2013", "6" ] ] }, "page" : "995-1003", "title" : "Plasma HER2 amplification in cell-free DNA during neoadjuvant chemotherapy in breast cancer", "type" : "article-journal", "volume" : "139" }, "uris" : [ "http://www.mendeley.com/documents/?uuid=c10a0bd2-8c1e-4bb3-b14f-047f75c98e6f" ] } ], "mendeley" : { "formattedCitation" : "(41)", "plainTextFormattedCitation" : "(41)", "previouslyFormattedCitation" : "(41)" }, "properties" : { "noteIndex" : 0 }, "schema" : "https://github.com/citation-style-language/schema/raw/master/csl-citation.json" }</w:instrText>
      </w:r>
      <w:r w:rsidR="0017523D" w:rsidRPr="004B2DF2">
        <w:rPr>
          <w:rFonts w:ascii="Arial" w:hAnsi="Arial"/>
          <w:color w:val="000000"/>
          <w:sz w:val="22"/>
          <w:szCs w:val="22"/>
        </w:rPr>
        <w:fldChar w:fldCharType="separate"/>
      </w:r>
      <w:r w:rsidR="008D1593" w:rsidRPr="008D1593">
        <w:rPr>
          <w:rFonts w:ascii="Arial" w:hAnsi="Arial"/>
          <w:noProof/>
          <w:color w:val="000000"/>
          <w:sz w:val="22"/>
          <w:szCs w:val="22"/>
        </w:rPr>
        <w:t>(41)</w:t>
      </w:r>
      <w:r w:rsidR="0017523D" w:rsidRPr="004B2DF2">
        <w:rPr>
          <w:rFonts w:ascii="Arial" w:hAnsi="Arial"/>
          <w:color w:val="000000"/>
          <w:sz w:val="22"/>
          <w:szCs w:val="22"/>
        </w:rPr>
        <w:fldChar w:fldCharType="end"/>
      </w:r>
      <w:r w:rsidR="0017523D" w:rsidRPr="004B2DF2">
        <w:rPr>
          <w:rFonts w:ascii="Arial" w:hAnsi="Arial"/>
          <w:color w:val="000000"/>
          <w:sz w:val="22"/>
          <w:szCs w:val="22"/>
          <w:vertAlign w:val="superscript"/>
        </w:rPr>
        <w:t>,</w:t>
      </w:r>
      <w:r w:rsidR="0017523D" w:rsidRPr="004B2DF2">
        <w:rPr>
          <w:rFonts w:ascii="Arial" w:hAnsi="Arial"/>
          <w:color w:val="000000"/>
          <w:sz w:val="22"/>
          <w:szCs w:val="22"/>
          <w:vertAlign w:val="superscript"/>
        </w:rPr>
        <w:fldChar w:fldCharType="begin" w:fldLock="1"/>
      </w:r>
      <w:r w:rsidR="008D1593">
        <w:rPr>
          <w:rFonts w:ascii="Arial" w:hAnsi="Arial"/>
          <w:color w:val="000000"/>
          <w:sz w:val="22"/>
          <w:szCs w:val="22"/>
          <w:vertAlign w:val="superscript"/>
        </w:rPr>
        <w:instrText>ADDIN CSL_CITATION { "citationItems" : [ { "id" : "ITEM-1", "itemData" : { "DOI" : "10.1038/bjc.2011.89", "abstract" : "BACKGROUND: Human epidermal growth factor receptor 2 (HER2) is amplified and overexpressed in 20 \u2013 25% of breast cancers. This study investigated circulating free DNA (cfDNA) for detection of HER2 gene amplification in patients with breast cancer. METHODS: Circulating free DNA was extracted from plasma of unselected patients with primary breast cancer (22 before surgery and 68 following treatment), 30 metastatic patients and 98 female controls using the QIAamp Blood DNA Mini Kit (Qiagen). The ratio of HER2 to an unamplified reference gene (contactin-associated protein 1 (CNTNAP1)) was measured in cfDNA samples by quantitative PCR (qPCR) using SK-BR-3 cell line DNA as a positive control. RESULTS: We validated the qPCR assay with DNA extracted from 23 HER2 3 \u00fe and 40 HER2-negative tumour tissue samples; the results agreed for 60 of 63 (95.2%) tumours. Amplification was detected in cfDNA for 8 of 68 patients following primary breast cancer treatment and 5 of 30 metastatic patients, but was undetected in 22 patients with primary breast cancer and 98 healthy female controls. Of the patients with amplification in cfDNA, 10 had HER2 3 \u00fe tumour status by immunohistochemistry. CONCLUSIONS: The results demonstrate for the first time the existence of amplified HER2 in cfDNA in the follow-up of breast cancer patients who are otherwise disease free. This approach could potentially provide a marker in patients with HER2-positive breast cancer.", "author" : [ { "dropping-particle" : "", "family" : "Page", "given" : "K", "non-dropping-particle" : "", "parse-names" : false, "suffix" : "" }, { "dropping-particle" : "", "family" : "Hava", "given" : "N", "non-dropping-particle" : "", "parse-names" : false, "suffix" : "" }, { "dropping-particle" : "", "family" : "Ward", "given" : "B", "non-dropping-particle" : "", "parse-names" : false, "suffix" : "" }, { "dropping-particle" : "", "family" : "Brown", "given" : "J", "non-dropping-particle" : "", "parse-names" : false, "suffix" : "" }, { "dropping-particle" : "", "family" : "Guttery", "given" : "Ds", "non-dropping-particle" : "", "parse-names" : false, "suffix" : "" }, { "dropping-particle" : "", "family" : "Ruangpratheep", "given" : "C", "non-dropping-particle" : "", "parse-names" : false, "suffix" : "" }, { "dropping-particle" : "", "family" : "Blighe", "given" : "K", "non-dropping-particle" : "", "parse-names" : false, "suffix" : "" }, { "dropping-particle" : "", "family" : "Sharma", "given" : "A", "non-dropping-particle" : "", "parse-names" : false, "suffix" : "" }, { "dropping-particle" : "", "family" : "Walker", "given" : "Ra", "non-dropping-particle" : "", "parse-names" : false, "suffix" : "" }, { "dropping-particle" : "", "family" : "Coombes", "given" : "Rc", "non-dropping-particle" : "", "parse-names" : false, "suffix" : "" }, { "dropping-particle" : "", "family" : "Shaw", "given" : "Ja", "non-dropping-particle" : "", "parse-names" : false, "suffix" : "" } ], "container-title" : "British Journal of Cancer", "id" : "ITEM-1", "issued" : { "date-parts" : [ [ "2011" ] ] }, "page" : "1342-1348", "title" : "Detection of HER2 amplification in circulating free DNA in patients with breast cancer", "type" : "article-journal", "volume" : "104" }, "uris" : [ "http://www.mendeley.com/documents/?uuid=384046f0-84ed-42bc-9392-753918dbc59b" ] } ], "mendeley" : { "formattedCitation" : "(36)", "plainTextFormattedCitation" : "(36)", "previouslyFormattedCitation" : "(36)" }, "properties" : { "noteIndex" : 0 }, "schema" : "https://github.com/citation-style-language/schema/raw/master/csl-citation.json" }</w:instrText>
      </w:r>
      <w:r w:rsidR="0017523D" w:rsidRPr="004B2DF2">
        <w:rPr>
          <w:rFonts w:ascii="Arial" w:hAnsi="Arial"/>
          <w:color w:val="000000"/>
          <w:sz w:val="22"/>
          <w:szCs w:val="22"/>
          <w:vertAlign w:val="superscript"/>
        </w:rPr>
        <w:fldChar w:fldCharType="separate"/>
      </w:r>
      <w:r w:rsidR="008D1593" w:rsidRPr="008D1593">
        <w:rPr>
          <w:rFonts w:ascii="Arial" w:hAnsi="Arial"/>
          <w:noProof/>
          <w:color w:val="000000"/>
          <w:sz w:val="22"/>
          <w:szCs w:val="22"/>
        </w:rPr>
        <w:t>(36)</w:t>
      </w:r>
      <w:r w:rsidR="0017523D" w:rsidRPr="004B2DF2">
        <w:rPr>
          <w:rFonts w:ascii="Arial" w:hAnsi="Arial"/>
          <w:color w:val="000000"/>
          <w:sz w:val="22"/>
          <w:szCs w:val="22"/>
          <w:vertAlign w:val="superscript"/>
        </w:rPr>
        <w:fldChar w:fldCharType="end"/>
      </w:r>
      <w:r w:rsidR="0017523D" w:rsidRPr="004B2DF2">
        <w:rPr>
          <w:rFonts w:ascii="Arial" w:hAnsi="Arial"/>
          <w:color w:val="000000"/>
          <w:sz w:val="22"/>
          <w:szCs w:val="22"/>
        </w:rPr>
        <w:t>.</w:t>
      </w:r>
      <w:r w:rsidR="00C85071" w:rsidRPr="004B2DF2">
        <w:rPr>
          <w:rFonts w:ascii="Arial" w:hAnsi="Arial"/>
          <w:color w:val="000000"/>
          <w:sz w:val="22"/>
          <w:szCs w:val="22"/>
        </w:rPr>
        <w:t xml:space="preserve"> </w:t>
      </w:r>
    </w:p>
    <w:p w14:paraId="6B0254CE" w14:textId="77777777" w:rsidR="007A1D1E" w:rsidRPr="004B2DF2" w:rsidRDefault="007A1D1E" w:rsidP="001536D4">
      <w:pPr>
        <w:spacing w:line="360" w:lineRule="auto"/>
        <w:jc w:val="both"/>
        <w:rPr>
          <w:rFonts w:ascii="Times" w:hAnsi="Times"/>
          <w:sz w:val="22"/>
          <w:szCs w:val="22"/>
        </w:rPr>
      </w:pPr>
    </w:p>
    <w:p w14:paraId="12133CA5" w14:textId="145DD3AE" w:rsidR="001536D4" w:rsidRPr="00103B00" w:rsidRDefault="00103B00" w:rsidP="001536D4">
      <w:pPr>
        <w:spacing w:line="360" w:lineRule="auto"/>
        <w:jc w:val="both"/>
        <w:rPr>
          <w:rFonts w:ascii="Times" w:hAnsi="Times"/>
          <w:b/>
          <w:sz w:val="24"/>
          <w:szCs w:val="24"/>
        </w:rPr>
      </w:pPr>
      <w:r w:rsidRPr="00103B00">
        <w:rPr>
          <w:rFonts w:ascii="Arial" w:hAnsi="Arial"/>
          <w:b/>
          <w:bCs/>
          <w:color w:val="000000"/>
          <w:sz w:val="24"/>
          <w:szCs w:val="24"/>
        </w:rPr>
        <w:t>C</w:t>
      </w:r>
      <w:r w:rsidR="001536D4" w:rsidRPr="00103B00">
        <w:rPr>
          <w:rFonts w:ascii="Arial" w:hAnsi="Arial"/>
          <w:b/>
          <w:bCs/>
          <w:color w:val="000000"/>
          <w:sz w:val="24"/>
          <w:szCs w:val="24"/>
        </w:rPr>
        <w:t xml:space="preserve">irculating microRNA </w:t>
      </w:r>
    </w:p>
    <w:p w14:paraId="070A4C9A" w14:textId="2FEFB477"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Recent work in the circulating biomarker field has also looked at the potential of plasma microRNAs (miRNA) as breast cancer biomarkers. Unlike cfDNA, circulating miRNAs are highly stable</w:t>
      </w:r>
      <w:r w:rsidR="00715550"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"author" : [ { "dropping-particle" : "", "family" : "Mitchell", "given" : "Patrick S", "non-dropping-particle" : "", "parse-names" : false, "suffix" : "" }, { "dropping-particle" : "", "family" : "Parkin", "given" : "Rachael K", "non-dropping-particle" : "", "parse-names" : false, "suffix" : "" }, { "dropping-particle" : "", "family" : "Kroh", "given" : "Evan M", "non-dropping-particle" : "", "parse-names" : false, "suffix" : "" }, { "dropping-particle" : "", "family" : "Fritz", "given" : "Brian R", "non-dropping-particle" : "", "parse-names" : false, "suffix" : "" }, { "dropping-particle" : "", "family" : "Wyman", "given" : "Stacia K", "non-dropping-particle" : "", "parse-names" : false, "suffix" : "" }, { "dropping-particle" : "", "family" : "Pogosova-Agadjanyan", "given" : "Era L", "non-dropping-particle" : "", "parse-names" : false, "suffix" : "" }, { "dropping-particle" : "", "family" : "Peterson", "given" : "Amelia", "non-dropping-particle" : "", "parse-names" : false, "suffix" : "" }, { "dropping-particle" : "", "family" : "Noteboom", "given" : "Jennifer", "non-dropping-particle" : "", "parse-names" : false, "suffix" : "" }, { "dropping-particle" : "", "family" : "O 'briant", "given" : "Kathy C", "non-dropping-particle" : "", "parse-names" : false, "suffix" : "" }, { "dropping-particle" : "", "family" : "Allen", "given" : "April", "non-dropping-particle" : "", "parse-names" : false, "suffix" : "" }, { "dropping-particle" : "", "family" : "Lin", "given" : "Daniel W", "non-dropping-particle" : "", "parse-names" : false, "suffix" : "" }, { "dropping-particle" : "", "family" : "Urban", "given" : "Nicole", "non-dropping-particle" : "", "parse-names" : false, "suffix" : "" }, { "dropping-particle" : "", "family" : "Drescher", "given" : "Charles W", "non-dropping-particle" : "", "parse-names" : false, "suffix" : "" }, { "dropping-particle" : "", "family" : "Knudsen", "given" : "Beatrice S", "non-dropping-particle" : "", "parse-names" : false, "suffix" : "" }, { "dropping-particle" : "", "family" : "Stirewalt", "given" : "Derek L", "non-dropping-particle" : "", "parse-names" : false, "suffix" : "" }, { "dropping-particle" : "", "family" : "Gentleman", "given" : "Robert", "non-dropping-particle" : "", "parse-names" : false, "suffix" : "" }, { "dropping-particle" : "", "family" : "Vessella", "given" : "Robert L", "non-dropping-particle" : "", "parse-names" : false, "suffix" : "" }, { "dropping-particle" : "", "family" : "Nelson", "given" : "Peter S", "non-dropping-particle" : "", "parse-names" : false, "suffix" : "" }, { "dropping-particle" : "", "family" : "Martin", "given" : "Daniel B", "non-dropping-particle" : "", "parse-names" : false, "suffix" : "" }, { "dropping-particle" : "", "family" : "Tewari", "given" : "Muneesh", "non-dropping-particle" : "", "parse-names" : false, "suffix" : "" } ], "id" : "ITEM-1", "issued" : { "date-parts" : [ [ "0" ] ] }, "title" : "Circulating microRNAs as stable blood-based markers for cancer detection", "type" : "article-journal" }, "uris" : [ "http://www.mendeley.com/documents/?uuid=a687dc13-86bc-47fe-9ecb-46d8b4163869" ] } ], "mendeley" : { "formattedCitation" : "(42)", "plainTextFormattedCitation" : "(42)", "previouslyFormattedCitation" : "(42)" }, "properties" : { "noteIndex" : 0 }, "schema" : "https://github.com/citation-style-language/schema/raw/master/csl-citation.json" }</w:instrText>
      </w:r>
      <w:r w:rsidR="00715550" w:rsidRPr="004B2DF2">
        <w:rPr>
          <w:rFonts w:ascii="Arial" w:hAnsi="Arial"/>
          <w:color w:val="000000"/>
          <w:sz w:val="22"/>
          <w:szCs w:val="22"/>
        </w:rPr>
        <w:fldChar w:fldCharType="separate"/>
      </w:r>
      <w:r w:rsidR="008D1593" w:rsidRPr="008D1593">
        <w:rPr>
          <w:rFonts w:ascii="Arial" w:hAnsi="Arial"/>
          <w:noProof/>
          <w:color w:val="000000"/>
          <w:sz w:val="22"/>
          <w:szCs w:val="22"/>
        </w:rPr>
        <w:t>(42)</w:t>
      </w:r>
      <w:r w:rsidR="00715550" w:rsidRPr="004B2DF2">
        <w:rPr>
          <w:rFonts w:ascii="Arial" w:hAnsi="Arial"/>
          <w:color w:val="000000"/>
          <w:sz w:val="22"/>
          <w:szCs w:val="22"/>
        </w:rPr>
        <w:fldChar w:fldCharType="end"/>
      </w:r>
      <w:r w:rsidR="00715550" w:rsidRPr="004B2DF2">
        <w:rPr>
          <w:rFonts w:ascii="Arial" w:hAnsi="Arial"/>
          <w:color w:val="000000"/>
          <w:sz w:val="22"/>
          <w:szCs w:val="22"/>
        </w:rPr>
        <w:t xml:space="preserve">, </w:t>
      </w:r>
      <w:r w:rsidRPr="004B2DF2">
        <w:rPr>
          <w:rFonts w:ascii="Arial" w:hAnsi="Arial"/>
          <w:color w:val="000000"/>
          <w:sz w:val="22"/>
          <w:szCs w:val="22"/>
        </w:rPr>
        <w:t>making them a very attractive option for use in clinical scenarios. Heneghan et al 2010</w:t>
      </w:r>
      <w:r w:rsidR="00715550"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"OBJECTIVE: The development of clinically validated biomarkers for cancer has remained an insurmountable task despite other advances in the field of cancer molecular biology. Mi(cro)RNAs have many characteristics of an ideal biomarker most notably their inherent stability and resilience. Recent blood-based miRNA profiling studies, reporting their presence in serum and plasma, have generated the concept that circulating miRNAs hold much potential as novel noninvasive biomarkers for cancer and other disease processes. The objective of this study was to investigate the potential of circulating microRNAs as novel breast cancer biomarkers. METHODS: Using a novel approach to extract miRNAs from the circulation followed by real-time quantitative polymerase chain reaction analysis, levels of a panel of 7 candidate miRNAs were quantified in tissue and blood specimens of 148 patients with breast cancer and 44 age-matched and disease free control individuals. RESULTS: We report that cancer-specific miRNAs were detected and significantly altered in the circulation of breast cancer patients, and that increased systemic miR-195 levels in breast cancer patients were reflected in breast tumors. Furthermore, we identified that circulating levels of miR-195 and let-7a decreased in cancer patients postoperatively, to levels comparable with control subjects, following curative tumor resection. Finally, we found that specific circulating miRNAs correlated with certain clinicopathological variables, namely nodal status and estrogen receptor status. CONCLUSION: These findings suggest that systemic miRNAs have potential use as novel breast cancer biomarkers and may prove useful in clinical management during the perioperative period.", "author" : [ { "dropping-particle" : "", "family" : "Heneghan", "given" : "Helen M", "non-dropping-particle" : "", "parse-names" : false, "suffix" : "" }, { "dropping-particle" : "", "family" : "Miller", "given" : "Nicola", "non-dropping-particle" : "", "parse-names" : false, "suffix" : "" }, { "dropping-particle" : "", "family" : "Lowery", "given" : "Aoife J", "non-dropping-particle" : "", "parse-names" : false, "suffix" : "" }, { "dropping-particle" : "", "family" : "Sweeney", "given" : "Karl J", "non-dropping-particle" : "", "parse-names" : false, "suffix" : "" }, { "dropping-particle" : "", "family" : "Newell", "given" : "John", "non-dropping-particle" : "", "parse-names" : false, "suffix" : "" }, { "dropping-particle" : "", "family" : "Kerin", "given" : "Michael J", "non-dropping-particle" : "", "parse-names" : false, "suffix" : "" } ], "container-title" : "Annals of surgery", "id" : "ITEM-1", "issue" : "3", "issued" : { "date-parts" : [ [ "2010" ] ] }, "page" : "499-505", "title" : "Circulating microRNAs as novel minimally invasive biomarkers for breast cancer.", "type" : "article-journal", "volume" : "251" }, "uris" : [ "http://www.mendeley.com/documents/?uuid=99c9c7a5-3d38-4cad-8aad-b2445bbdaead" ] } ], "mendeley" : { "formattedCitation" : "(43)", "plainTextFormattedCitation" : "(43)", "previouslyFormattedCitation" : "(43)" }, "properties" : { "noteIndex" : 0 }, "schema" : "https://github.com/citation-style-language/schema/raw/master/csl-citation.json" }</w:instrText>
      </w:r>
      <w:r w:rsidR="00715550" w:rsidRPr="004B2DF2">
        <w:rPr>
          <w:rFonts w:ascii="Arial" w:hAnsi="Arial"/>
          <w:color w:val="000000"/>
          <w:sz w:val="22"/>
          <w:szCs w:val="22"/>
        </w:rPr>
        <w:fldChar w:fldCharType="separate"/>
      </w:r>
      <w:r w:rsidR="008D1593" w:rsidRPr="008D1593">
        <w:rPr>
          <w:rFonts w:ascii="Arial" w:hAnsi="Arial"/>
          <w:noProof/>
          <w:color w:val="000000"/>
          <w:sz w:val="22"/>
          <w:szCs w:val="22"/>
        </w:rPr>
        <w:t>(43)</w:t>
      </w:r>
      <w:r w:rsidR="00715550" w:rsidRPr="004B2DF2">
        <w:rPr>
          <w:rFonts w:ascii="Arial" w:hAnsi="Arial"/>
          <w:color w:val="000000"/>
          <w:sz w:val="22"/>
          <w:szCs w:val="22"/>
        </w:rPr>
        <w:fldChar w:fldCharType="end"/>
      </w:r>
      <w:r w:rsidR="00715550" w:rsidRPr="004B2DF2">
        <w:rPr>
          <w:rFonts w:ascii="Arial" w:hAnsi="Arial"/>
          <w:color w:val="000000"/>
          <w:sz w:val="22"/>
          <w:szCs w:val="22"/>
        </w:rPr>
        <w:t xml:space="preserve"> </w:t>
      </w:r>
      <w:r w:rsidRPr="004B2DF2">
        <w:rPr>
          <w:rFonts w:ascii="Arial" w:hAnsi="Arial"/>
          <w:color w:val="000000"/>
          <w:sz w:val="22"/>
          <w:szCs w:val="22"/>
        </w:rPr>
        <w:t>first showed that miRNAs are detectable in the blood, plasma, as well as serum of breast cancer patients and healthy controls, and postulated miRNA 195 as a potential circulating biomarker for detecting non-invasive and early-stage breast disease. Multiple studies have been published since then, wherein various miRNAs have been implicated as being potential circulating biomarkers, however most employed</w:t>
      </w:r>
      <w:r w:rsidRPr="004B2DF2">
        <w:rPr>
          <w:rFonts w:ascii="Arial" w:hAnsi="Arial"/>
          <w:color w:val="1A1A1A"/>
          <w:sz w:val="22"/>
          <w:szCs w:val="22"/>
        </w:rPr>
        <w:t xml:space="preserve"> protocols that either used PCR-based methods for measuring the expression of a predefined panel of miRNAs or methods that relied on the pooling of plasma samples in order to get a high enough yield to run miRNA microarrays. A recent publication by </w:t>
      </w:r>
      <w:r w:rsidRPr="004B2DF2">
        <w:rPr>
          <w:rFonts w:ascii="Arial" w:hAnsi="Arial"/>
          <w:color w:val="000000"/>
          <w:sz w:val="22"/>
          <w:szCs w:val="22"/>
        </w:rPr>
        <w:t>Hamam et al (2016)</w:t>
      </w:r>
      <w:r w:rsidR="004226C3"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"Breast cancer (BC) is the most common cancer type and the second cause of cancer-related death among women. Therefore, better understanding of breast cancer tumor biology and the identification of novel biomarkers is essential for the early diagnosis and for better disease stratification and management choices.", "author" : [ { "dropping-particle" : "", "family" : "Hamam", "given" : "Rimi", "non-dropping-particle" : "", "parse-names" : false, "suffix" : "" }, { "dropping-particle" : "", "family" : "Ali", "given" : "Arwa M.", "non-dropping-particle" : "", "parse-names" : false, "suffix" : "" }, { "dropping-particle" : "", "family" : "Alsaleh", "given" : "Khalid A.", "non-dropping-particle" : "", "parse-names" : false, "suffix" : "" }, { "dropping-particle" : "", "family" : "Kassem", "given" : "Moustapha", "non-dropping-particle" : "", "parse-names" : false, "suffix" : "" }, { "dropping-particle" : "", "family" : "Alfayez", "given" : "Musaed", "non-dropping-particle" : "", "parse-names" : false, "suffix" : "" }, { "dropping-particle" : "", "family" : "Aldahmash", "given" : "Abdullah", "non-dropping-particle" : "", "parse-names" : false, "suffix" : "" }, { "dropping-particle" : "", "family" : "Alajez", "given" : "Nehad M.", "non-dropping-particle" : "", "parse-names" : false, "suffix" : "" } ], "container-title" : "Scientific Reports", "id" : "ITEM-1", "issued" : { "date-parts" : [ [ "2016", "5" ] ] }, "page" : "25997", "title" : "microRNA expression profiling on individual breast cancer patients identifies novel panel of circulating microRNA for early detection", "type" : "article-journal", "volume" : "6" }, "uris" : [ "http://www.mendeley.com/documents/?uuid=1e459e92-b2ad-4562-a5f7-2b96852c1515" ] } ], "mendeley" : { "formattedCitation" : "(44)", "plainTextFormattedCitation" : "(44)", "previouslyFormattedCitation" : "(44)" }, "properties" : { "noteIndex" : 0 }, "schema" : "https://github.com/citation-style-language/schema/raw/master/csl-citation.json" }</w:instrText>
      </w:r>
      <w:r w:rsidR="004226C3" w:rsidRPr="004B2DF2">
        <w:rPr>
          <w:rFonts w:ascii="Arial" w:hAnsi="Arial"/>
          <w:color w:val="000000"/>
          <w:sz w:val="22"/>
          <w:szCs w:val="22"/>
        </w:rPr>
        <w:fldChar w:fldCharType="separate"/>
      </w:r>
      <w:r w:rsidR="008D1593" w:rsidRPr="008D1593">
        <w:rPr>
          <w:rFonts w:ascii="Arial" w:hAnsi="Arial"/>
          <w:noProof/>
          <w:color w:val="000000"/>
          <w:sz w:val="22"/>
          <w:szCs w:val="22"/>
        </w:rPr>
        <w:t>(44)</w:t>
      </w:r>
      <w:r w:rsidR="004226C3" w:rsidRPr="004B2DF2">
        <w:rPr>
          <w:rFonts w:ascii="Arial" w:hAnsi="Arial"/>
          <w:color w:val="000000"/>
          <w:sz w:val="22"/>
          <w:szCs w:val="22"/>
        </w:rPr>
        <w:fldChar w:fldCharType="end"/>
      </w:r>
      <w:r w:rsidRPr="004B2DF2">
        <w:rPr>
          <w:rFonts w:ascii="Arial" w:hAnsi="Arial"/>
          <w:color w:val="000000"/>
          <w:sz w:val="22"/>
          <w:szCs w:val="22"/>
        </w:rPr>
        <w:t xml:space="preserve"> overcame these limitations by performing an enrichment step using speed-vacuum concentration following isolation of circulating microRNAs, allowing global miRNA profiling on individual patient specimens. This led to the identification of a panel of 18 circulating miRNAs that are up regulated in all stages of breast cancer and could potentially be used to detect relapse of disease. Finally, a further development in the field has been the exploration of using cancer exosomes as harbours of high quality miRNA. Indeed, Hannafon et al 2016</w:t>
      </w:r>
      <w:r w:rsidR="004226C3"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"10.1186/s13058-016-0753-x", "abstract" : "Background: microRNAs are promising candidate breast cancer biomarkers due to their cancer-specific expression profiles. However, efforts to develop circulating breast cancer biomarkers are challenged by the heterogeneity of microRNAs in the blood. To overcome this challenge, we aimed to develop a molecular profile of microRNAs specifically secreted from breast cancer cells. Our first step towards this direction relates to capturing and analyzing the contents of exosomes, which are small secretory vesicles that selectively encapsulate microRNAs indicative of their cell of origin. To our knowledge, circulating exosome microRNAs have not been well-evaluated as biomarkers for breast cancer diagnosis or monitoring. Methods: Exosomes were collected from the conditioned media of human breast cancer cell lines, mouse plasma of patient-derived orthotopic xenograft models (PDX), and human plasma samples. Exosomes were verified by electron microscopy, nanoparticle tracking analysis, and western blot. Cellular and exosome microRNAs from breast cancer cell lines were profiled by next-generation small RNA sequencing. Plasma exosome microRNA expression was analyzed by qRT-PCR analysis. Results: Small RNA sequencing and qRT-PCR analysis showed that several microRNAs are selectively encapsulated or highly enriched in breast cancer exosomes. Importantly, the selectively enriched exosome microRNA, human miR-1246, was detected at significantly higher levels in exosomes isolated from PDX mouse plasma, indicating that tumor exosome microRNAs are released into the circulation and can serve as plasma biomarkers for breast cancer. This observation was extended to human plasma samples where miR-1246 and miR-21 were detected at significantly higher levels in the plasma exosomes of 16 patients with breast cancer as compared to the plasma exosomes of healthy control subjects. Receiver operating characteristic curve analysis indicated that the combination of plasma exosome miR-1246 and miR-21 is a better indicator of breast cancer than their individual levels. Conclusions: Our results demonstrate that certain microRNA species, such as miR-21 and miR-1246, are selectively enriched in human breast cancer exosomes and significantly elevated in the plasma of patients with breast cancer. These findings indicate a potential new strategy to selectively analyze plasma breast cancer microRNAs indicative of the presence of breast cancer.", "author" : [ { "dropping-particle" : "", "family" : "Hannafon", "given" : "Bethany N", "non-dropping-particle" : "", "parse-names" : false, "suffix" : "" }, { "dropping-particle" : "", "family" : "Trigoso", "given" : "Yvonne D", "non-dropping-particle" : "", "parse-names" : false, "suffix" : "" }, { "dropping-particle" : "", "family" : "Calloway", "given" : "Cameron L", "non-dropping-particle" : "", "parse-names" : false, "suffix" : "" }, { "dropping-particle" : "", "family" : "Zhao", "given" : "Y Daniel", "non-dropping-particle" : "", "parse-names" : false, "suffix" : "" }, { "dropping-particle" : "", "family" : "Lum", "given" : "David H", "non-dropping-particle" : "", "parse-names" : false, "suffix" : "" }, { "dropping-particle" : "", "family" : "Welm", "given" : "Alana L", "non-dropping-particle" : "", "parse-names" : false, "suffix" : "" }, { "dropping-particle" : "", "family" : "Zhao", "given" : "Zhizhuang J", "non-dropping-particle" : "", "parse-names" : false, "suffix" : "" }, { "dropping-particle" : "", "family" : "Blick", "given" : "Kenneth E", "non-dropping-particle" : "", "parse-names" : false, "suffix" : "" }, { "dropping-particle" : "", "family" : "Dooley", "given" : "William C", "non-dropping-particle" : "", "parse-names" : false, "suffix" : "" }, { "dropping-particle" : "", "family" : "Ding", "given" : "W Q", "non-dropping-particle" : "", "parse-names" : false, "suffix" : "" } ], "container-title" : "Breast Cancer Research", "id" : "ITEM-1", "issued" : { "date-parts" : [ [ "2016" ] ] }, "title" : "Plasma exosome microRNAs are indicative of breast cancer", "type" : "article-journal", "volume" : "18" }, "uris" : [ "http://www.mendeley.com/documents/?uuid=e3a3f029-4b72-425b-9d16-683953f4ef44" ] } ], "mendeley" : { "formattedCitation" : "(45)", "plainTextFormattedCitation" : "(45)", "previouslyFormattedCitation" : "(45)" }, "properties" : { "noteIndex" : 0 }, "schema" : "https://github.com/citation-style-language/schema/raw/master/csl-citation.json" }</w:instrText>
      </w:r>
      <w:r w:rsidR="004226C3" w:rsidRPr="004B2DF2">
        <w:rPr>
          <w:rFonts w:ascii="Arial" w:hAnsi="Arial"/>
          <w:color w:val="000000"/>
          <w:sz w:val="22"/>
          <w:szCs w:val="22"/>
        </w:rPr>
        <w:fldChar w:fldCharType="separate"/>
      </w:r>
      <w:r w:rsidR="008D1593" w:rsidRPr="008D1593">
        <w:rPr>
          <w:rFonts w:ascii="Arial" w:hAnsi="Arial"/>
          <w:noProof/>
          <w:color w:val="000000"/>
          <w:sz w:val="22"/>
          <w:szCs w:val="22"/>
        </w:rPr>
        <w:t>(45)</w:t>
      </w:r>
      <w:r w:rsidR="004226C3" w:rsidRPr="004B2DF2">
        <w:rPr>
          <w:rFonts w:ascii="Arial" w:hAnsi="Arial"/>
          <w:color w:val="000000"/>
          <w:sz w:val="22"/>
          <w:szCs w:val="22"/>
        </w:rPr>
        <w:fldChar w:fldCharType="end"/>
      </w:r>
      <w:r w:rsidRPr="004B2DF2">
        <w:rPr>
          <w:rFonts w:ascii="Arial" w:hAnsi="Arial"/>
          <w:color w:val="000000"/>
          <w:sz w:val="22"/>
          <w:szCs w:val="22"/>
        </w:rPr>
        <w:t xml:space="preserve"> have shown that miR-21 and miR-1246 are selectively enriched in human breast cancer exosomes and significantly elevated in the plasma of patients with breast cancer</w:t>
      </w:r>
      <w:r w:rsidR="006652DE" w:rsidRPr="004B2DF2">
        <w:rPr>
          <w:rFonts w:ascii="Arial" w:hAnsi="Arial"/>
          <w:color w:val="000000"/>
          <w:sz w:val="22"/>
          <w:szCs w:val="22"/>
        </w:rPr>
        <w:t>.</w:t>
      </w:r>
      <w:r w:rsidRPr="004B2DF2">
        <w:rPr>
          <w:rFonts w:ascii="Arial" w:hAnsi="Arial"/>
          <w:color w:val="000000"/>
          <w:sz w:val="22"/>
          <w:szCs w:val="22"/>
        </w:rPr>
        <w:t xml:space="preserve"> To date, however, no formal studies have been done to investigate the utility of miRNAs as surrogates for response to treatment or for the detection of early relapse.</w:t>
      </w:r>
    </w:p>
    <w:p w14:paraId="6428F8B9" w14:textId="77777777" w:rsidR="008502C8" w:rsidRPr="004B2DF2" w:rsidRDefault="008502C8" w:rsidP="001536D4">
      <w:pPr>
        <w:spacing w:line="360" w:lineRule="auto"/>
        <w:jc w:val="both"/>
        <w:rPr>
          <w:rFonts w:ascii="Times" w:hAnsi="Times"/>
          <w:sz w:val="22"/>
          <w:szCs w:val="22"/>
        </w:rPr>
      </w:pPr>
    </w:p>
    <w:p w14:paraId="31296E70" w14:textId="77777777" w:rsidR="001536D4" w:rsidRPr="00103B00" w:rsidRDefault="001536D4" w:rsidP="001536D4">
      <w:pPr>
        <w:spacing w:line="360" w:lineRule="auto"/>
        <w:jc w:val="both"/>
        <w:rPr>
          <w:rFonts w:ascii="Times" w:hAnsi="Times"/>
          <w:b/>
          <w:sz w:val="24"/>
          <w:szCs w:val="24"/>
        </w:rPr>
      </w:pPr>
      <w:r w:rsidRPr="00103B00">
        <w:rPr>
          <w:rFonts w:ascii="Arial" w:hAnsi="Arial"/>
          <w:b/>
          <w:bCs/>
          <w:color w:val="000000"/>
          <w:sz w:val="24"/>
          <w:szCs w:val="24"/>
        </w:rPr>
        <w:t>Epigenetics of circulating DNA</w:t>
      </w:r>
    </w:p>
    <w:p w14:paraId="1D7E84E6" w14:textId="3A2CC45E"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In addition to somatic mutations and copy number alterations, DNA methylation is also thought to be a very important contributor to the neoplastic process. There have been a number of studies looking at aberrant DNA methylation in breast cancer</w:t>
      </w:r>
      <w:r w:rsidR="00EE1D39" w:rsidRPr="004B2DF2">
        <w:rPr>
          <w:rFonts w:ascii="Arial" w:hAnsi="Arial"/>
          <w:color w:val="000000"/>
          <w:sz w:val="22"/>
          <w:szCs w:val="22"/>
        </w:rPr>
        <w:t xml:space="preserve">, </w:t>
      </w:r>
      <w:r w:rsidRPr="004B2DF2">
        <w:rPr>
          <w:rFonts w:ascii="Arial" w:hAnsi="Arial"/>
          <w:color w:val="000000"/>
          <w:sz w:val="22"/>
          <w:szCs w:val="22"/>
        </w:rPr>
        <w:t xml:space="preserve">which have identified potential prognostic indicators and also predictors of treatment response. Hypermethylation of </w:t>
      </w:r>
      <w:r w:rsidRPr="00EF2B89">
        <w:rPr>
          <w:rFonts w:ascii="Arial" w:hAnsi="Arial"/>
          <w:i/>
          <w:color w:val="000000"/>
          <w:sz w:val="22"/>
          <w:szCs w:val="22"/>
        </w:rPr>
        <w:t xml:space="preserve">RASSF1 </w:t>
      </w:r>
      <w:r w:rsidRPr="004B2DF2">
        <w:rPr>
          <w:rFonts w:ascii="Arial" w:hAnsi="Arial"/>
          <w:color w:val="000000"/>
          <w:sz w:val="22"/>
          <w:szCs w:val="22"/>
        </w:rPr>
        <w:t>has been shown to be an independent risk factor for poor prognosis in the serum of patients with early breast cancer (relative risk of death = 5.7) and has also been linked to increased levels of total circulating DNA and CTC’s</w:t>
      </w:r>
      <w:r w:rsidR="001B6FF7"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"abstract" : "Changes in the status of DNA methylation are one of the most common molecular alterations in human neoplasia. Because it is possible to detect these epigenetic alterations in the bloodstream of patients, we investigated whether aberrant DNA methylation in patient pretherapeutic sera is of prognostic significance in breast cancer. Using MethyLight, a high-throughput DNA methylation assay, we analyzed 39 genes in a gene evaluation set, consisting of 10 sera from metastasized patients, 26 patients with primary breast cancer, and 10 control patients. To determine the prognostic value of genes identified within the gene evaluation set, we finally analyzed pretreatment sera of 24 patients having had no adjuvant treatment (training set) to determine their prognostic value. An independent test set consisting of 62 patients was then used to test the validity of genes and combinations of genes, which in the training set were found to be good prognostic markers. In the gene evaluation set we identified five genes (ESR1, APC, HSD17B4, HIC1, and RASSF1A). In the training set, patients with methylated serum DNA for RASSF1A and/or APC had the worst prognosis (P &lt; 0.001). This finding was confirmed by analyzing serum samples from the independent test set (P = 0.007). When analyzing all 86 of the investigated patients, multivariate analysis showed methylated RASSF1A and/or APC serum DNA to be independently associated with poor outcome, with a relative risk for death of 5.7. DNA methylation of particular genes in pretherapeutic sera of breast cancer patients, especially of RASSF1A/APC, is more powerful than standard prognostic parameters.", "author" : [ { "dropping-particle" : "", "family" : "M\u00fcller", "given" : "Hannes M.", "non-dropping-particle" : "", "parse-names" : false, "suffix" : "" }, { "dropping-particle" : "", "family" : "Widschwendter", "given" : "Andreas", "non-dropping-particle" : "", "parse-names" : false, "suffix" : "" }, { "dropping-particle" : "", "family" : "Fiegl", "given" : "Heidi", "non-dropping-particle" : "", "parse-names" : false, "suffix" : "" }, { "dropping-particle" : "", "family" : "Ivarsson", "given" : "Lennart", "non-dropping-particle" : "", "parse-names" : false, "suffix" : "" }, { "dropping-particle" : "", "family" : "Goebel", "given" : "Georg", "non-dropping-particle" : "", "parse-names" : false, "suffix" : "" }, { "dropping-particle" : "", "family" : "Perkmann", "given" : "Elisabeth", "non-dropping-particle" : "", "parse-names" : false, "suffix" : "" }, { "dropping-particle" : "", "family" : "Marth", "given" : "Christian", "non-dropping-particle" : "", "parse-names" : false, "suffix" : "" }, { "dropping-particle" : "", "family" : "Widschwendter", "given" : "Martin", "non-dropping-particle" : "", "parse-names" : false, "suffix" : "" } ], "container-title" : "Cancer Research", "id" : "ITEM-1", "issue" : "22", "issued" : { "date-parts" : [ [ "2003", "11" ] ] }, "page" : "7641-7645", "title" : "DNA Methylation in Serum of Breast Cancer Patients: An Independent Prognostic Marker", "type" : "article-journal", "volume" : "63" }, "uris" : [ "http://www.mendeley.com/documents/?uuid=71a6ade6-eb5f-4b1f-8bf8-18f0fe3bc95d" ] } ], "mendeley" : { "formattedCitation" : "(46)", "plainTextFormattedCitation" : "(46)", "previouslyFormattedCitation" : "(46)" }, "properties" : { "noteIndex" : 0 }, "schema" : "https://github.com/citation-style-language/schema/raw/master/csl-citation.json" }</w:instrText>
      </w:r>
      <w:r w:rsidR="001B6FF7" w:rsidRPr="004B2DF2">
        <w:rPr>
          <w:rFonts w:ascii="Arial" w:hAnsi="Arial"/>
          <w:color w:val="000000"/>
          <w:sz w:val="22"/>
          <w:szCs w:val="22"/>
        </w:rPr>
        <w:fldChar w:fldCharType="separate"/>
      </w:r>
      <w:r w:rsidR="008D1593" w:rsidRPr="008D1593">
        <w:rPr>
          <w:rFonts w:ascii="Arial" w:hAnsi="Arial"/>
          <w:noProof/>
          <w:color w:val="000000"/>
          <w:sz w:val="22"/>
          <w:szCs w:val="22"/>
        </w:rPr>
        <w:t>(46)</w:t>
      </w:r>
      <w:r w:rsidR="001B6FF7" w:rsidRPr="004B2DF2">
        <w:rPr>
          <w:rFonts w:ascii="Arial" w:hAnsi="Arial"/>
          <w:color w:val="000000"/>
          <w:sz w:val="22"/>
          <w:szCs w:val="22"/>
        </w:rPr>
        <w:fldChar w:fldCharType="end"/>
      </w:r>
      <w:r w:rsidR="001B6FF7" w:rsidRPr="004B2DF2">
        <w:rPr>
          <w:rFonts w:ascii="Arial" w:hAnsi="Arial"/>
          <w:color w:val="000000"/>
          <w:sz w:val="22"/>
          <w:szCs w:val="22"/>
          <w:vertAlign w:val="superscript"/>
        </w:rPr>
        <w:t>,</w:t>
      </w:r>
      <w:r w:rsidR="001B6FF7"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"10.1038/sj.bjc.6605013", "abstract" : "Circulating tumour cells (CTC) and tumour-related methylated DNA in blood have been separately assessed for their utility as a marker for subclinical metastasis in breast cancer. However, no studies have looked into the relation between the both molecular markers in this type of cancer. In this study, we investigated the correlations between total/methylated DNA and CTC in the blood from metastatic breast cancer patients. We simultaneously obtained whole blood, plasma and serum samples from 80 patients and 20 controls. The CellSearch System was used to enumerate CTC in blood samples. Plasma total DNA levels were determined by a QPCR method. Sera were analysed by methylation-specific QPCR for three markers: adenomatous polyposis coli (APC), ras association domain family protein 1A (RASSF1A) and oestrogen receptor 1 (ESR1). Total DNA levels in patients were significantly increased when compared with controls (P&lt;0.001) and correlated with the number of CTC (r=0.418, P&lt;0.001). Hypermethylation of one or more genes was detected in 42 (53%) serum samples from breast cancer patients and in three (16%) serum samples from controls (P=0.003). APC was hypermethylated in 29%, RASSF1A in 35% and ESR1 in 20% of breast cancer cases. Detection of a methylated gene in serum was associated with the detection of CTC in blood (P=0.03). The detection of large amounts of circulating total/methylated DNA correlated with the presence of CTC in the blood from patients with breast cancer. This can be interpreted in two ways: (a) CTC are a potential source of circulating tumour-specific DNA; (b) high numbers of CTC and circulating methylated DNA are both a phenotypic feature of more aggressive tumour biology.", "author" : [ { "dropping-particle" : "", "family" : "Auwera", "given" : "I", "non-dropping-particle" : "Van Der", "parse-names" : false, "suffix" : "" }, { "dropping-particle" : "", "family" : "Elst", "given" : "Hj J", "non-dropping-particle" : "", "parse-names" : false, "suffix" : "" }, { "dropping-particle" : "Van", "family" : "Laere", "given" : "Sj", "non-dropping-particle" : "", "parse-names" : false, "suffix" : "" }, { "dropping-particle" : "", "family" : "Maes", "given" : "H", "non-dropping-particle" : "", "parse-names" : false, "suffix" : "" }, { "dropping-particle" : "", "family" : "Huget", "given" : "P", "non-dropping-particle" : "", "parse-names" : false, "suffix" : "" }, { "dropping-particle" : "", "family" : "Dam", "given" : "P", "non-dropping-particle" : "Van", "parse-names" : false, "suffix" : "" }, { "dropping-particle" : "Van", "family" : "Marck", "given" : "Ea", "non-dropping-particle" : "", "parse-names" : false, "suffix" : "" }, { "dropping-particle" : "", "family" : "Vermeulen", "given" : "Pb B", "non-dropping-particle" : "", "parse-names" : false, "suffix" : "" }, { "dropping-particle" : "", "family" : "Dirix", "given" : "Ly Y", "non-dropping-particle" : "", "parse-names" : false, "suffix" : "" }, { "dropping-particle" : "", "family" : "Laere", "given" : "S J", "non-dropping-particle" : "Van", "parse-names" : false, "suffix" : "" }, { "dropping-particle" : "", "family" : "Maes", "given" : "H", "non-dropping-particle" : "", "parse-names" : false, "suffix" : "" }, { "dropping-particle" : "", "family" : "Huget", "given" : "P", "non-dropping-particle" : "", "parse-names" : false, "suffix" : "" }, { "dropping-particle" : "", "family" : "Dam", "given" : "P", "non-dropping-particle" : "Van", "parse-names" : false, "suffix" : "" }, { "dropping-particle" : "", "family" : "Marck", "given" : "E a", "non-dropping-particle" : "Van", "parse-names" : false, "suffix" : "" }, { "dropping-particle" : "", "family" : "Vermeulen", "given" : "Pb B", "non-dropping-particle" : "", "parse-names" : false, "suffix" : "" }, { "dropping-particle" : "", "family" : "Dirix", "given" : "Ly Y", "non-dropping-particle" : "", "parse-names" : false, "suffix" : "" } ], "container-title" : "British journal of cancer", "id" : "ITEM-1", "issue" : "8", "issued" : { "date-parts" : [ [ "2009" ] ] }, "page" : "1277-1286", "publisher" : "Nature Publishing Group", "title" : "The presence of circulating total DNA and methylated genes is associated with circulating tumour cells in blood from breast cancer patients.", "type" : "article-journal", "volume" : "100" }, "uris" : [ "http://www.mendeley.com/documents/?uuid=f6274700-87da-48ac-9d89-90141449ddab", "http://www.mendeley.com/documents/?uuid=35d34c59-fbf1-4ba9-9b1a-1d7bd68f23cf" ] } ], "mendeley" : { "formattedCitation" : "(47)", "plainTextFormattedCitation" : "(47)", "previouslyFormattedCitation" : "(47)" }, "properties" : { "noteIndex" : 0 }, "schema" : "https://github.com/citation-style-language/schema/raw/master/csl-citation.json" }</w:instrText>
      </w:r>
      <w:r w:rsidR="001B6FF7" w:rsidRPr="004B2DF2">
        <w:rPr>
          <w:rFonts w:ascii="Arial" w:hAnsi="Arial"/>
          <w:color w:val="000000"/>
          <w:sz w:val="22"/>
          <w:szCs w:val="22"/>
        </w:rPr>
        <w:fldChar w:fldCharType="separate"/>
      </w:r>
      <w:r w:rsidR="008D1593" w:rsidRPr="008D1593">
        <w:rPr>
          <w:rFonts w:ascii="Arial" w:hAnsi="Arial"/>
          <w:noProof/>
          <w:color w:val="000000"/>
          <w:sz w:val="22"/>
          <w:szCs w:val="22"/>
        </w:rPr>
        <w:t>(47)</w:t>
      </w:r>
      <w:r w:rsidR="001B6FF7" w:rsidRPr="004B2DF2">
        <w:rPr>
          <w:rFonts w:ascii="Arial" w:hAnsi="Arial"/>
          <w:color w:val="000000"/>
          <w:sz w:val="22"/>
          <w:szCs w:val="22"/>
        </w:rPr>
        <w:fldChar w:fldCharType="end"/>
      </w:r>
      <w:r w:rsidRPr="004B2DF2">
        <w:rPr>
          <w:rFonts w:ascii="Arial" w:hAnsi="Arial"/>
          <w:color w:val="000000"/>
          <w:sz w:val="22"/>
          <w:szCs w:val="22"/>
        </w:rPr>
        <w:t xml:space="preserve">. In a further study methylated </w:t>
      </w:r>
      <w:r w:rsidRPr="00EF2B89">
        <w:rPr>
          <w:rFonts w:ascii="Arial" w:hAnsi="Arial"/>
          <w:i/>
          <w:color w:val="000000"/>
          <w:sz w:val="22"/>
          <w:szCs w:val="22"/>
        </w:rPr>
        <w:t>RASSF1</w:t>
      </w:r>
      <w:r w:rsidRPr="004B2DF2">
        <w:rPr>
          <w:rFonts w:ascii="Arial" w:hAnsi="Arial"/>
          <w:color w:val="000000"/>
          <w:sz w:val="22"/>
          <w:szCs w:val="22"/>
        </w:rPr>
        <w:t xml:space="preserve"> was detected in 21/52 patients prior to surgery. For those who </w:t>
      </w:r>
      <w:r w:rsidR="001B6FF7" w:rsidRPr="004B2DF2">
        <w:rPr>
          <w:rFonts w:ascii="Arial" w:hAnsi="Arial"/>
          <w:color w:val="000000"/>
          <w:sz w:val="22"/>
          <w:szCs w:val="22"/>
        </w:rPr>
        <w:t>achieved</w:t>
      </w:r>
      <w:r w:rsidRPr="004B2DF2">
        <w:rPr>
          <w:rFonts w:ascii="Arial" w:hAnsi="Arial"/>
          <w:color w:val="000000"/>
          <w:sz w:val="22"/>
          <w:szCs w:val="22"/>
        </w:rPr>
        <w:t xml:space="preserve"> pathological complete response this became undet</w:t>
      </w:r>
      <w:r w:rsidR="0046375D" w:rsidRPr="004B2DF2">
        <w:rPr>
          <w:rFonts w:ascii="Arial" w:hAnsi="Arial"/>
          <w:color w:val="000000"/>
          <w:sz w:val="22"/>
          <w:szCs w:val="22"/>
        </w:rPr>
        <w:t>ectable 12 weeks into treatment, whilst p</w:t>
      </w:r>
      <w:r w:rsidRPr="004B2DF2">
        <w:rPr>
          <w:rFonts w:ascii="Arial" w:hAnsi="Arial"/>
          <w:color w:val="000000"/>
          <w:sz w:val="22"/>
          <w:szCs w:val="22"/>
        </w:rPr>
        <w:t>ersistent levels were seen for those with residual disease or a partial response to chemotherapy. In terms of treatment response, in a study involving 148 breast cancer patients receiving adjuvant tamoxifen</w:t>
      </w:r>
      <w:r w:rsidR="00723426">
        <w:rPr>
          <w:rFonts w:ascii="Arial" w:hAnsi="Arial"/>
          <w:color w:val="000000"/>
          <w:sz w:val="22"/>
          <w:szCs w:val="22"/>
        </w:rPr>
        <w:t xml:space="preserve"> </w:t>
      </w:r>
      <w:r w:rsidRPr="00EF2B89">
        <w:rPr>
          <w:rFonts w:ascii="Arial" w:hAnsi="Arial"/>
          <w:i/>
          <w:color w:val="000000"/>
          <w:sz w:val="22"/>
          <w:szCs w:val="22"/>
        </w:rPr>
        <w:t>RASFF1</w:t>
      </w:r>
      <w:r w:rsidRPr="004B2DF2">
        <w:rPr>
          <w:rFonts w:ascii="Arial" w:hAnsi="Arial"/>
          <w:color w:val="000000"/>
          <w:sz w:val="22"/>
          <w:szCs w:val="22"/>
        </w:rPr>
        <w:t xml:space="preserve"> w</w:t>
      </w:r>
      <w:r w:rsidR="00723426">
        <w:rPr>
          <w:rFonts w:ascii="Arial" w:hAnsi="Arial"/>
          <w:color w:val="000000"/>
          <w:sz w:val="22"/>
          <w:szCs w:val="22"/>
        </w:rPr>
        <w:t>as measured in serum samples</w:t>
      </w:r>
      <w:r w:rsidRPr="004B2DF2">
        <w:rPr>
          <w:rFonts w:ascii="Arial" w:hAnsi="Arial"/>
          <w:color w:val="000000"/>
          <w:sz w:val="22"/>
          <w:szCs w:val="22"/>
        </w:rPr>
        <w:t xml:space="preserve"> taken post surgery and one year later</w:t>
      </w:r>
      <w:r w:rsidR="0077673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"author" : [ { "dropping-particle" : "", "family" : "Fiegl", "given" : "Heidi", "non-dropping-particle" : "", "parse-names" : false, "suffix" : "" }, { "dropping-particle" : "", "family" : "Millinger", "given" : "Simone", "non-dropping-particle" : "", "parse-names" : false, "suffix" : "" }, { "dropping-particle" : "", "family" : "Mueller-Holzner", "given" : "Elisabeth", "non-dropping-particle" : "", "parse-names" : false, "suffix" : "" }, { "dropping-particle" : "", "family" : "Marth", "given" : "Christian", "non-dropping-particle" : "", "parse-names" : false, "suffix" : "" }, { "dropping-particle" : "", "family" : "Ensinger", "given" : "Christian", "non-dropping-particle" : "", "parse-names" : false, "suffix" : "" }, { "dropping-particle" : "", "family" : "Berger", "given" : "Andreas", "non-dropping-particle" : "", "parse-names" : false, "suffix" : "" }, { "dropping-particle" : "", "family" : "Klocker", "given" : "Helmut", "non-dropping-particle" : "", "parse-names" : false, "suffix" : "" }, { "dropping-particle" : "", "family" : "Goebel", "given" : "Georg", "non-dropping-particle" : "", "parse-names" : false, "suffix" : "" }, { "dropping-particle" : "", "family" : "Widschwendter", "given" : "Martin", "non-dropping-particle" : "", "parse-names" : false, "suffix" : "" } ], "container-title" : "Cancer Research", "id" : "ITEM-1", "issue" : "4", "issued" : { "date-parts" : [ [ "2005" ] ] }, "title" : "Circulating Tumor-Specific DNA: A Marker for Monitoring Efficacy of Adjuvant Therapy in Cancer Patients", "type" : "article-journal", "volume" : "65" }, "uris" : [ "http://www.mendeley.com/documents/?uuid=34059ebe-85bd-4c1c-adcb-03d9ba862ee3" ] } ], "mendeley" : { "formattedCitation" : "(48)", "plainTextFormattedCitation" : "(48)", "previouslyFormattedCitation" : "(48)" }, "properties" : { "noteIndex" : 0 }, "schema" : "https://github.com/citation-style-language/schema/raw/master/csl-citation.json" }</w:instrText>
      </w:r>
      <w:r w:rsidR="00776731" w:rsidRPr="004B2DF2">
        <w:rPr>
          <w:rFonts w:ascii="Arial" w:hAnsi="Arial"/>
          <w:color w:val="000000"/>
          <w:sz w:val="22"/>
          <w:szCs w:val="22"/>
        </w:rPr>
        <w:fldChar w:fldCharType="separate"/>
      </w:r>
      <w:r w:rsidR="008D1593" w:rsidRPr="008D1593">
        <w:rPr>
          <w:rFonts w:ascii="Arial" w:hAnsi="Arial"/>
          <w:noProof/>
          <w:color w:val="000000"/>
          <w:sz w:val="22"/>
          <w:szCs w:val="22"/>
        </w:rPr>
        <w:t>(48)</w:t>
      </w:r>
      <w:r w:rsidR="00776731" w:rsidRPr="004B2DF2">
        <w:rPr>
          <w:rFonts w:ascii="Arial" w:hAnsi="Arial"/>
          <w:color w:val="000000"/>
          <w:sz w:val="22"/>
          <w:szCs w:val="22"/>
        </w:rPr>
        <w:fldChar w:fldCharType="end"/>
      </w:r>
      <w:r w:rsidRPr="004B2DF2">
        <w:rPr>
          <w:rFonts w:ascii="Arial" w:hAnsi="Arial"/>
          <w:color w:val="000000"/>
          <w:sz w:val="22"/>
          <w:szCs w:val="22"/>
        </w:rPr>
        <w:t xml:space="preserve">. Patients positive for </w:t>
      </w:r>
      <w:r w:rsidRPr="00EF2B89">
        <w:rPr>
          <w:rFonts w:ascii="Arial" w:hAnsi="Arial"/>
          <w:i/>
          <w:color w:val="000000"/>
          <w:sz w:val="22"/>
          <w:szCs w:val="22"/>
        </w:rPr>
        <w:t>RASSF1</w:t>
      </w:r>
      <w:r w:rsidRPr="004B2DF2">
        <w:rPr>
          <w:rFonts w:ascii="Arial" w:hAnsi="Arial"/>
          <w:color w:val="000000"/>
          <w:sz w:val="22"/>
          <w:szCs w:val="22"/>
        </w:rPr>
        <w:t xml:space="preserve"> methylation one year into adjuvant tamoxifen (22%) had a relative risk of death of 6.9. In addition those patients who were negative post surgery or became negative one year post surgery had the same risk of death as patients who were always negative</w:t>
      </w:r>
      <w:r w:rsidR="00723426">
        <w:rPr>
          <w:rFonts w:ascii="Arial" w:hAnsi="Arial"/>
          <w:color w:val="000000"/>
          <w:sz w:val="22"/>
          <w:szCs w:val="22"/>
        </w:rPr>
        <w:t>,</w:t>
      </w:r>
      <w:r w:rsidRPr="004B2DF2">
        <w:rPr>
          <w:rFonts w:ascii="Arial" w:hAnsi="Arial"/>
          <w:color w:val="000000"/>
          <w:sz w:val="22"/>
          <w:szCs w:val="22"/>
        </w:rPr>
        <w:t xml:space="preserve"> indicating that </w:t>
      </w:r>
      <w:r w:rsidRPr="00EF2B89">
        <w:rPr>
          <w:rFonts w:ascii="Arial" w:hAnsi="Arial"/>
          <w:i/>
          <w:color w:val="000000"/>
          <w:sz w:val="22"/>
          <w:szCs w:val="22"/>
        </w:rPr>
        <w:t>RASFF1</w:t>
      </w:r>
      <w:r w:rsidRPr="004B2DF2">
        <w:rPr>
          <w:rFonts w:ascii="Arial" w:hAnsi="Arial"/>
          <w:color w:val="000000"/>
          <w:sz w:val="22"/>
          <w:szCs w:val="22"/>
        </w:rPr>
        <w:t xml:space="preserve"> could be used to monitor treatment response to adjuvant treatment.</w:t>
      </w:r>
    </w:p>
    <w:p w14:paraId="12DAC414" w14:textId="77777777" w:rsidR="008502C8" w:rsidRPr="004B2DF2" w:rsidRDefault="008502C8" w:rsidP="001536D4">
      <w:pPr>
        <w:spacing w:line="360" w:lineRule="auto"/>
        <w:jc w:val="both"/>
        <w:rPr>
          <w:rFonts w:ascii="Times" w:hAnsi="Times"/>
          <w:sz w:val="22"/>
          <w:szCs w:val="22"/>
        </w:rPr>
      </w:pPr>
    </w:p>
    <w:p w14:paraId="19BD269A" w14:textId="18F25C60"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 xml:space="preserve">Other genes which have been found to be hypermethylated in breast cancer include </w:t>
      </w:r>
      <w:r w:rsidRPr="00EF2B89">
        <w:rPr>
          <w:rFonts w:ascii="Arial" w:hAnsi="Arial"/>
          <w:i/>
          <w:color w:val="000000"/>
          <w:sz w:val="22"/>
          <w:szCs w:val="22"/>
        </w:rPr>
        <w:t>ESR1</w:t>
      </w:r>
      <w:r w:rsidRPr="004B2DF2">
        <w:rPr>
          <w:rFonts w:ascii="Arial" w:hAnsi="Arial"/>
          <w:color w:val="000000"/>
          <w:sz w:val="22"/>
          <w:szCs w:val="22"/>
        </w:rPr>
        <w:t xml:space="preserve"> and </w:t>
      </w:r>
      <w:r w:rsidRPr="00EF2B89">
        <w:rPr>
          <w:rFonts w:ascii="Arial" w:hAnsi="Arial"/>
          <w:i/>
          <w:color w:val="000000"/>
          <w:sz w:val="22"/>
          <w:szCs w:val="22"/>
        </w:rPr>
        <w:t>SOX17</w:t>
      </w:r>
      <w:r w:rsidRPr="004B2DF2">
        <w:rPr>
          <w:rFonts w:ascii="Arial" w:hAnsi="Arial"/>
          <w:color w:val="000000"/>
          <w:sz w:val="22"/>
          <w:szCs w:val="22"/>
        </w:rPr>
        <w:t>. The concordance of methylation status of ER in primary tumours and serum is high and is correlated to the absence of oestrogen receptor expression in the primary tumour thus potentially indicating epigenetic silencing of these tumours</w:t>
      </w:r>
      <w:r w:rsidR="00776731" w:rsidRPr="004B2DF2">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"10.1186/1471-2407-14-59", "abstract" : "Background: Tumor expression of estrogen receptor (ER) is an important marker of prognosis, and is predictive of response to endocrine therapy in breast cancer. Several studies have observed that epigenetic events, such methylation of cytosines and deacetylation of histones, are involved in the complex mechanisms that regulate promoter transcription. However, the exact interplay of these factors in transcription activity is not well understood. In this study, we explored the relationship between ER expression status in tumor tissue samples and the methylation of the 5\u2032 CpG promoter region of the estrogen receptor gene (ESR1) isolated from free circulating DNA (fcDNA) in plasma samples from breast cancer patients. Methods: Patients (n = 110) with non-metastatic breast cancer had analyses performed of ER expression (luminal phenotype in tumor tissue, by immunohistochemistry method), and the ESR1-DNA methylation status (fcDNA in plasma, by quantitative methylation specific PCR technique). Results: Our results showed a significant association between presence of methylated ESR1 in patients with breast cancer and ER negative status in the tumor tissue (p = 0.0179). There was a trend towards a higher probability of ESR1-methylation in those phenotypes with poor prognosis i.e. 80% of triple negative patients, 60% of HER2 patients, compared to 28% and 5.9% of patients with better prognosis such as luminal A and luminal B, respectively. Conclusion: Silencing, by methylation, of the promoter region of the ESR1 affects the expression of the estrogen receptor protein in tumors of breast cancer patients; high methylation of ESR1-DNA is associated with estrogen receptor negative status which, in turn, may be implicated in the patient's resistance to hormonal treatment in breast cancer. As such, epigenetic markers in plasma may be of interest as new targets for anticancer therapy, especially with respect to endocrine treatment.", "author" : [ { "dropping-particle" : "", "family" : "Mart\u00ednez-Gal\u00e1n", "given" : "Joaquina", "non-dropping-particle" : "", "parse-names" : false, "suffix" : "" }, { "dropping-particle" : "", "family" : "Torres-Torres", "given" : "Blanca", "non-dropping-particle" : "", "parse-names" : false, "suffix" : "" }, { "dropping-particle" : "", "family" : "N\u00fa\u00f1ez", "given" : "Mar\u00eda Isabel", "non-dropping-particle" : "", "parse-names" : false, "suffix" : "" }, { "dropping-particle" : "", "family" : "L\u00f3pez-Pe\u00f1alver", "given" : "Jes\u00fas", "non-dropping-particle" : "", "parse-names" : false, "suffix" : "" }, { "dropping-particle" : "Del", "family" : "Moral", "given" : "Rosario", "non-dropping-particle" : "", "parse-names" : false, "suffix" : "" }, { "dropping-particle" : "", "family" : "Mariano", "given" : "Jos\u00e9", "non-dropping-particle" : "", "parse-names" : false, "suffix" : "" }, { "dropping-particle" : "", "family" : "Almod\u00f3var", "given" : "Ruiz", "non-dropping-particle" : "De", "parse-names" : false, "suffix" : "" }, { "dropping-particle" : "", "family" : "Menj\u00f3n", "given" : "Salom\u00f3n", "non-dropping-particle" : "", "parse-names" : false, "suffix" : "" }, { "dropping-particle" : "", "family" : "Concha", "given" : "\u00c1ngel", "non-dropping-particle" : "", "parse-names" : false, "suffix" : "" }, { "dropping-particle" : "", "family" : "Chamorro", "given" : "Clara", "non-dropping-particle" : "", "parse-names" : false, "suffix" : "" }, { "dropping-particle" : "", "family" : "R\u00edos", "given" : "Sandra", "non-dropping-particle" : "", "parse-names" : false, "suffix" : "" }, { "dropping-particle" : "", "family" : "Delgado", "given" : "Juan Ram\u00f3n", "non-dropping-particle" : "", "parse-names" : false, "suffix" : "" } ], "container-title" : "BMC Cancer", "id" : "ITEM-1", "issued" : { "date-parts" : [ [ "2014" ] ] }, "page" : "1-8", "title" : "ESR1 gene promoter region methylation in free circulating DNA and its correlation with estrogen receptor protein expression in tumor tissue in breast cancer patients", "type" : "article-journal", "volume" : "14" }, "uris" : [ "http://www.mendeley.com/documents/?uuid=70233eeb-6d99-4a48-a62d-af78b341197e" ] } ], "mendeley" : { "formattedCitation" : "(49)", "plainTextFormattedCitation" : "(49)", "previouslyFormattedCitation" : "(49)" }, "properties" : { "noteIndex" : 0 }, "schema" : "https://github.com/citation-style-language/schema/raw/master/csl-citation.json" }</w:instrText>
      </w:r>
      <w:r w:rsidR="00776731" w:rsidRPr="004B2DF2">
        <w:rPr>
          <w:rFonts w:ascii="Arial" w:hAnsi="Arial"/>
          <w:color w:val="000000"/>
          <w:sz w:val="22"/>
          <w:szCs w:val="22"/>
        </w:rPr>
        <w:fldChar w:fldCharType="separate"/>
      </w:r>
      <w:r w:rsidR="008D1593" w:rsidRPr="008D1593">
        <w:rPr>
          <w:rFonts w:ascii="Arial" w:hAnsi="Arial"/>
          <w:noProof/>
          <w:color w:val="000000"/>
          <w:sz w:val="22"/>
          <w:szCs w:val="22"/>
        </w:rPr>
        <w:t>(49)</w:t>
      </w:r>
      <w:r w:rsidR="00776731" w:rsidRPr="004B2DF2">
        <w:rPr>
          <w:rFonts w:ascii="Arial" w:hAnsi="Arial"/>
          <w:color w:val="000000"/>
          <w:sz w:val="22"/>
          <w:szCs w:val="22"/>
        </w:rPr>
        <w:fldChar w:fldCharType="end"/>
      </w:r>
      <w:r w:rsidR="00776731" w:rsidRPr="004B2DF2">
        <w:rPr>
          <w:rFonts w:ascii="Arial" w:hAnsi="Arial"/>
          <w:color w:val="000000"/>
          <w:sz w:val="22"/>
          <w:szCs w:val="22"/>
        </w:rPr>
        <w:t xml:space="preserve">. </w:t>
      </w:r>
      <w:r w:rsidRPr="00EF2B89">
        <w:rPr>
          <w:rFonts w:ascii="Arial" w:hAnsi="Arial"/>
          <w:i/>
          <w:color w:val="000000"/>
          <w:sz w:val="22"/>
          <w:szCs w:val="22"/>
        </w:rPr>
        <w:t xml:space="preserve">SOX17 </w:t>
      </w:r>
      <w:r w:rsidRPr="004B2DF2">
        <w:rPr>
          <w:rFonts w:ascii="Arial" w:hAnsi="Arial"/>
          <w:color w:val="000000"/>
          <w:sz w:val="22"/>
          <w:szCs w:val="22"/>
        </w:rPr>
        <w:t xml:space="preserve">methylation has also been found to be hypermethylated in breast cancer though no link to prognosis or treatment response has yet been studied. Recent work </w:t>
      </w:r>
      <w:r w:rsidR="00DD1B0D" w:rsidRPr="004B2DF2">
        <w:rPr>
          <w:rFonts w:ascii="Arial" w:hAnsi="Arial"/>
          <w:color w:val="000000"/>
          <w:sz w:val="22"/>
          <w:szCs w:val="22"/>
        </w:rPr>
        <w:t>analysing</w:t>
      </w:r>
      <w:r w:rsidRPr="004B2DF2">
        <w:rPr>
          <w:rFonts w:ascii="Arial" w:hAnsi="Arial"/>
          <w:color w:val="000000"/>
          <w:sz w:val="22"/>
          <w:szCs w:val="22"/>
        </w:rPr>
        <w:t xml:space="preserve"> plasma methylation in 48 candidate genes found six which were hypermethylated in breast cancer (</w:t>
      </w:r>
      <w:r w:rsidRPr="00EF2B89">
        <w:rPr>
          <w:rFonts w:ascii="Arial" w:hAnsi="Arial"/>
          <w:i/>
          <w:color w:val="000000"/>
          <w:sz w:val="22"/>
          <w:szCs w:val="22"/>
          <w:shd w:val="clear" w:color="auto" w:fill="FFFFFF"/>
        </w:rPr>
        <w:t>EGFR, GREM1, PDGFRB, PPM1E, SOX17, WRN</w:t>
      </w:r>
      <w:r w:rsidRPr="004B2DF2">
        <w:rPr>
          <w:rFonts w:ascii="Arial" w:hAnsi="Arial"/>
          <w:color w:val="000000"/>
          <w:sz w:val="22"/>
          <w:szCs w:val="22"/>
          <w:shd w:val="clear" w:color="auto" w:fill="FFFFFF"/>
        </w:rPr>
        <w:t>)</w:t>
      </w:r>
      <w:r w:rsidRPr="004B2DF2">
        <w:rPr>
          <w:rFonts w:ascii="Arial" w:hAnsi="Arial"/>
          <w:color w:val="000000"/>
          <w:sz w:val="22"/>
          <w:szCs w:val="22"/>
        </w:rPr>
        <w:t xml:space="preserve"> relative to control patients</w:t>
      </w:r>
      <w:r w:rsidR="00C81738">
        <w:rPr>
          <w:rFonts w:ascii="Arial" w:hAnsi="Arial"/>
          <w:color w:val="000000"/>
          <w:sz w:val="22"/>
          <w:szCs w:val="22"/>
        </w:rPr>
        <w:fldChar w:fldCharType="begin" w:fldLock="1"/>
      </w:r>
      <w:r w:rsidR="008D1593">
        <w:rPr>
          <w:rFonts w:ascii="Arial" w:hAnsi="Arial"/>
          <w:color w:val="000000"/>
          <w:sz w:val="22"/>
          <w:szCs w:val="22"/>
        </w:rPr>
        <w:instrText>ADDIN CSL_CITATION { "citationItems" : [ { "id" : "ITEM-1", "itemData" : { "DOI" : "10.1007/s13277-016-5190-z", "ISBN" : "1423-0380 (Electronic)\\r1010-4283 (Linking)", "ISSN" : "1423-0380", "PMID" : "27449045", "abstract" : "Circulating cell-free DNA (cfDNA) has been considered as a potential biomarker for non-invasive cancer detection. To evaluate the methylation levels of six candidate genes (EGFR, GREM1, PDGFRB, PPM1E, SOX17, and WRN) in plasma cfDNA as biomarkers for breast cancer early detection, quantitative analysis of the promoter methylation of these genes from 86 breast cancer patients and 67 healthy controls was performed by using microfluidic-PCR-based target enrichment and next-generation bisulfite sequencing technology. The predictive performance of different logistic models based on methylation status of candidate genes was investigated by means of the area under the ROC curve (AUC) and odds ratio (OR) analysis. Results revealed that EGFR, PPM1E, and 8 gene-specific CpG sites showed significantly hypermethylation in cancer patients' plasma and significantly associated with breast cancer (OR ranging from 2.51 to 9.88). The AUC values for these biomarkers were ranging from 0.66 to 0.75. Combinations of multiple hypermethylated genes or CpG sites substantially improved the predictive performance for breast cancer detection. Our study demonstrated the feasibility of quantitative measurement of candidate gene methylation in cfDNA by using microfluidic-PCR-based target enrichment and bisulfite next-generation sequencing, which is worthy of further validation and potentially benefits a broad range of applications in clinical oncology practice. Quantitative analysis of methylation pattern of plasma cfDNA by next-generation sequencing might be a valuable non-invasive tool for early detection of breast cancer.", "author" : [ { "dropping-particle" : "", "family" : "Li", "given" : "Zibo", "non-dropping-particle" : "", "parse-names" : false, "suffix" : "" }, { "dropping-particle" : "", "family" : "Guo", "given" : "Xinwu", "non-dropping-particle" : "", "parse-names" : false, "suffix" : "" }, { "dropping-particle" : "", "family" : "Tang", "given" : "Lili", "non-dropping-particle" : "", "parse-names" : false, "suffix" : "" }, { "dropping-particle" : "", "family" : "Peng", "given" : "Limin", "non-dropping-particle" : "", "parse-names" : false, "suffix" : "" }, { "dropping-particle" : "", "family" : "Chen", "given" : "Ming", "non-dropping-particle" : "", "parse-names" : false, "suffix" : "" }, { "dropping-particle" : "", "family" : "Luo", "given" : "Xipeng", "non-dropping-particle" : "", "parse-names" : false, "suffix" : "" }, { "dropping-particle" : "", "family" : "Wang", "given" : "Shouman", "non-dropping-particle" : "", "parse-names" : false, "suffix" : "" }, { "dropping-particle" : "", "family" : "Xiao", "given" : "Zhi", "non-dropping-particle" : "", "parse-names" : false, "suffix" : "" }, { "dropping-particle" : "", "family" : "Deng", "given" : "Zhongping", "non-dropping-particle" : "", "parse-names" : false, "suffix" : "" }, { "dropping-particle" : "", "family" : "Dai", "given" : "Lizhong", "non-dropping-particle" : "", "parse-names" : false, "suffix" : "" }, { "dropping-particle" : "", "family" : "Xia", "given" : "Kun", "non-dropping-particle" : "", "parse-names" : false, "suffix" : "" }, { "dropping-particle" : "", "family" : "Wang", "given" : "Jun", "non-dropping-particle" : "", "parse-names" : false, "suffix" : "" } ], "container-title" : "Tumour biology : the journal of the International Society for Oncodevelopmental Biology and Medicine", "id" : "ITEM-1", "issue" : "10", "issued" : { "date-parts" : [ [ "2016" ] ] }, "page" : "13111\u201313119", "title" : "Methylation analysis of plasma cell-free DNA for breast cancer early detection using bisulfite next-generation sequencing.", "type" : "article-journal", "volume" : "37" }, "uris" : [ "http://www.mendeley.com/documents/?uuid=4c0e9dc9-3adf-4dda-b193-7e6a10ad04a7", "http://www.mendeley.com/documents/?uuid=9526f4d4-04c2-4282-996d-9cc44db92879" ] } ], "mendeley" : { "formattedCitation" : "(50)", "plainTextFormattedCitation" : "(50)", "previouslyFormattedCitation" : "(50)" }, "properties" : { "noteIndex" : 0 }, "schema" : "https://github.com/citation-style-language/schema/raw/master/csl-citation.json" }</w:instrText>
      </w:r>
      <w:r w:rsidR="00C81738">
        <w:rPr>
          <w:rFonts w:ascii="Arial" w:hAnsi="Arial"/>
          <w:color w:val="000000"/>
          <w:sz w:val="22"/>
          <w:szCs w:val="22"/>
        </w:rPr>
        <w:fldChar w:fldCharType="separate"/>
      </w:r>
      <w:r w:rsidR="008D1593" w:rsidRPr="008D1593">
        <w:rPr>
          <w:rFonts w:ascii="Arial" w:hAnsi="Arial"/>
          <w:noProof/>
          <w:color w:val="000000"/>
          <w:sz w:val="22"/>
          <w:szCs w:val="22"/>
        </w:rPr>
        <w:t>(50)</w:t>
      </w:r>
      <w:r w:rsidR="00C81738">
        <w:rPr>
          <w:rFonts w:ascii="Arial" w:hAnsi="Arial"/>
          <w:color w:val="000000"/>
          <w:sz w:val="22"/>
          <w:szCs w:val="22"/>
        </w:rPr>
        <w:fldChar w:fldCharType="end"/>
      </w:r>
      <w:r w:rsidRPr="004B2DF2">
        <w:rPr>
          <w:rFonts w:ascii="Arial" w:hAnsi="Arial"/>
          <w:color w:val="000000"/>
          <w:sz w:val="22"/>
          <w:szCs w:val="22"/>
        </w:rPr>
        <w:t>. This has so far only been analysed with regards to breast cancer detection for which a combined methylation score for all 6 genes was found to hold the highest predictive power.</w:t>
      </w:r>
    </w:p>
    <w:p w14:paraId="66EFF994" w14:textId="77777777" w:rsidR="00776731" w:rsidRPr="004B2DF2" w:rsidRDefault="00776731" w:rsidP="001536D4">
      <w:pPr>
        <w:spacing w:line="360" w:lineRule="auto"/>
        <w:jc w:val="both"/>
        <w:rPr>
          <w:rFonts w:ascii="Arial" w:hAnsi="Arial"/>
          <w:color w:val="000000"/>
          <w:sz w:val="22"/>
          <w:szCs w:val="22"/>
        </w:rPr>
      </w:pPr>
    </w:p>
    <w:p w14:paraId="087E9A85" w14:textId="77777777" w:rsidR="001536D4" w:rsidRPr="00103B00" w:rsidRDefault="001536D4" w:rsidP="001536D4">
      <w:pPr>
        <w:spacing w:line="360" w:lineRule="auto"/>
        <w:jc w:val="both"/>
        <w:rPr>
          <w:rFonts w:ascii="Times" w:hAnsi="Times"/>
          <w:b/>
          <w:sz w:val="24"/>
          <w:szCs w:val="24"/>
        </w:rPr>
      </w:pPr>
      <w:r w:rsidRPr="00103B00">
        <w:rPr>
          <w:rFonts w:ascii="Arial" w:hAnsi="Arial"/>
          <w:b/>
          <w:bCs/>
          <w:color w:val="000000"/>
          <w:sz w:val="24"/>
          <w:szCs w:val="24"/>
        </w:rPr>
        <w:t>Discussion</w:t>
      </w:r>
    </w:p>
    <w:p w14:paraId="7BFA991C" w14:textId="5D144D5D" w:rsidR="001536D4" w:rsidRPr="004B2DF2" w:rsidRDefault="001536D4" w:rsidP="001536D4">
      <w:pPr>
        <w:spacing w:line="360" w:lineRule="auto"/>
        <w:jc w:val="both"/>
        <w:rPr>
          <w:rFonts w:ascii="Arial" w:hAnsi="Arial"/>
          <w:color w:val="000000"/>
          <w:sz w:val="22"/>
          <w:szCs w:val="22"/>
        </w:rPr>
      </w:pPr>
      <w:r w:rsidRPr="004B2DF2">
        <w:rPr>
          <w:rFonts w:ascii="Arial" w:hAnsi="Arial"/>
          <w:color w:val="000000"/>
          <w:sz w:val="22"/>
          <w:szCs w:val="22"/>
        </w:rPr>
        <w:t xml:space="preserve">The use of ctDNA in predicting prognosis and response to treatment is a dynamic and rapidly changing field. There are now a number of studies which seem to </w:t>
      </w:r>
      <w:r w:rsidR="00602D7E">
        <w:rPr>
          <w:rFonts w:ascii="Arial" w:hAnsi="Arial"/>
          <w:color w:val="000000"/>
          <w:sz w:val="22"/>
          <w:szCs w:val="22"/>
        </w:rPr>
        <w:t>indicate</w:t>
      </w:r>
      <w:r w:rsidRPr="004B2DF2">
        <w:rPr>
          <w:rFonts w:ascii="Arial" w:hAnsi="Arial"/>
          <w:color w:val="000000"/>
          <w:sz w:val="22"/>
          <w:szCs w:val="22"/>
        </w:rPr>
        <w:t xml:space="preserve"> that </w:t>
      </w:r>
      <w:r w:rsidR="00602D7E">
        <w:rPr>
          <w:rFonts w:ascii="Arial" w:hAnsi="Arial"/>
          <w:color w:val="000000"/>
          <w:sz w:val="22"/>
          <w:szCs w:val="22"/>
        </w:rPr>
        <w:t>quantification</w:t>
      </w:r>
      <w:r w:rsidR="00602D7E" w:rsidRPr="004B2DF2">
        <w:rPr>
          <w:rFonts w:ascii="Arial" w:hAnsi="Arial"/>
          <w:color w:val="000000"/>
          <w:sz w:val="22"/>
          <w:szCs w:val="22"/>
        </w:rPr>
        <w:t xml:space="preserve"> </w:t>
      </w:r>
      <w:r w:rsidRPr="004B2DF2">
        <w:rPr>
          <w:rFonts w:ascii="Arial" w:hAnsi="Arial"/>
          <w:color w:val="000000"/>
          <w:sz w:val="22"/>
          <w:szCs w:val="22"/>
        </w:rPr>
        <w:t xml:space="preserve">of ctDNA can be related to prognosis and can potentially be used as a sensitive and specific way of </w:t>
      </w:r>
      <w:r w:rsidR="00602D7E">
        <w:rPr>
          <w:rFonts w:ascii="Arial" w:hAnsi="Arial"/>
          <w:color w:val="000000"/>
          <w:sz w:val="22"/>
          <w:szCs w:val="22"/>
        </w:rPr>
        <w:t>monitoring</w:t>
      </w:r>
      <w:r w:rsidR="00602D7E" w:rsidRPr="004B2DF2">
        <w:rPr>
          <w:rFonts w:ascii="Arial" w:hAnsi="Arial"/>
          <w:color w:val="000000"/>
          <w:sz w:val="22"/>
          <w:szCs w:val="22"/>
        </w:rPr>
        <w:t xml:space="preserve"> </w:t>
      </w:r>
      <w:r w:rsidRPr="004B2DF2">
        <w:rPr>
          <w:rFonts w:ascii="Arial" w:hAnsi="Arial"/>
          <w:color w:val="000000"/>
          <w:sz w:val="22"/>
          <w:szCs w:val="22"/>
        </w:rPr>
        <w:t xml:space="preserve">treatment response though this will need further validation in larger studies. In terms of predicting relapse there are a number of promising approaches using plasma monitoring including personalised dPCR probes, the use of an miRNA panel and detection of hypermethylated </w:t>
      </w:r>
      <w:r w:rsidRPr="00EF2B89">
        <w:rPr>
          <w:rFonts w:ascii="Arial" w:hAnsi="Arial"/>
          <w:i/>
          <w:color w:val="000000"/>
          <w:sz w:val="22"/>
          <w:szCs w:val="22"/>
        </w:rPr>
        <w:t>RASSF1</w:t>
      </w:r>
      <w:r w:rsidRPr="004B2DF2">
        <w:rPr>
          <w:rFonts w:ascii="Arial" w:hAnsi="Arial"/>
          <w:color w:val="000000"/>
          <w:sz w:val="22"/>
          <w:szCs w:val="22"/>
        </w:rPr>
        <w:t xml:space="preserve">. </w:t>
      </w:r>
      <w:r w:rsidR="008C4773" w:rsidRPr="004B2DF2">
        <w:rPr>
          <w:rFonts w:ascii="Arial" w:hAnsi="Arial"/>
          <w:color w:val="000000"/>
          <w:sz w:val="22"/>
          <w:szCs w:val="22"/>
        </w:rPr>
        <w:t>Currently technical challenges of ctDNA in terms of sensitivity may limit further genomic discovery in the earlier phase of disease (in patients with low tumour burden), though as sequencing techniques continue to be refined this is likely improve. In the metastatic setting, t</w:t>
      </w:r>
      <w:r w:rsidRPr="004B2DF2">
        <w:rPr>
          <w:rFonts w:ascii="Arial" w:hAnsi="Arial"/>
          <w:color w:val="000000"/>
          <w:sz w:val="22"/>
          <w:szCs w:val="22"/>
        </w:rPr>
        <w:t>he use of specific mutations</w:t>
      </w:r>
      <w:r w:rsidR="00B77ED7" w:rsidRPr="004B2DF2">
        <w:rPr>
          <w:rFonts w:ascii="Arial" w:hAnsi="Arial"/>
          <w:color w:val="000000"/>
          <w:sz w:val="22"/>
          <w:szCs w:val="22"/>
        </w:rPr>
        <w:t xml:space="preserve"> </w:t>
      </w:r>
      <w:r w:rsidR="00BA4095" w:rsidRPr="004B2DF2">
        <w:rPr>
          <w:rFonts w:ascii="Arial" w:hAnsi="Arial"/>
          <w:color w:val="000000"/>
          <w:sz w:val="22"/>
          <w:szCs w:val="22"/>
        </w:rPr>
        <w:t>from</w:t>
      </w:r>
      <w:r w:rsidR="00B77ED7" w:rsidRPr="004B2DF2">
        <w:rPr>
          <w:rFonts w:ascii="Arial" w:hAnsi="Arial"/>
          <w:color w:val="000000"/>
          <w:sz w:val="22"/>
          <w:szCs w:val="22"/>
        </w:rPr>
        <w:t xml:space="preserve"> liquid biops</w:t>
      </w:r>
      <w:r w:rsidR="00BA4095" w:rsidRPr="004B2DF2">
        <w:rPr>
          <w:rFonts w:ascii="Arial" w:hAnsi="Arial"/>
          <w:color w:val="000000"/>
          <w:sz w:val="22"/>
          <w:szCs w:val="22"/>
        </w:rPr>
        <w:t>ies</w:t>
      </w:r>
      <w:r w:rsidRPr="004B2DF2">
        <w:rPr>
          <w:rFonts w:ascii="Arial" w:hAnsi="Arial"/>
          <w:color w:val="000000"/>
          <w:sz w:val="22"/>
          <w:szCs w:val="22"/>
        </w:rPr>
        <w:t xml:space="preserve"> to predict resistance or response is still in an early stage, though the detection of </w:t>
      </w:r>
      <w:r w:rsidRPr="00EF2B89">
        <w:rPr>
          <w:rFonts w:ascii="Arial" w:hAnsi="Arial"/>
          <w:i/>
          <w:color w:val="000000"/>
          <w:sz w:val="22"/>
          <w:szCs w:val="22"/>
        </w:rPr>
        <w:t>ESR1</w:t>
      </w:r>
      <w:r w:rsidR="0046375D" w:rsidRPr="004B2DF2">
        <w:rPr>
          <w:rFonts w:ascii="Arial" w:hAnsi="Arial"/>
          <w:color w:val="000000"/>
          <w:sz w:val="22"/>
          <w:szCs w:val="22"/>
        </w:rPr>
        <w:t xml:space="preserve"> </w:t>
      </w:r>
      <w:r w:rsidRPr="004B2DF2">
        <w:rPr>
          <w:rFonts w:ascii="Arial" w:hAnsi="Arial"/>
          <w:color w:val="000000"/>
          <w:sz w:val="22"/>
          <w:szCs w:val="22"/>
        </w:rPr>
        <w:t xml:space="preserve">mutations seems to confer clinically relevant resistance to aromatase inhibitors and could point to the use of more effective treatments for these patients. For </w:t>
      </w:r>
      <w:r w:rsidRPr="00EF2B89">
        <w:rPr>
          <w:rFonts w:ascii="Arial" w:hAnsi="Arial"/>
          <w:i/>
          <w:color w:val="000000"/>
          <w:sz w:val="22"/>
          <w:szCs w:val="22"/>
        </w:rPr>
        <w:t>PIK3CA</w:t>
      </w:r>
      <w:r w:rsidRPr="004B2DF2">
        <w:rPr>
          <w:rFonts w:ascii="Arial" w:hAnsi="Arial"/>
          <w:color w:val="000000"/>
          <w:sz w:val="22"/>
          <w:szCs w:val="22"/>
        </w:rPr>
        <w:t xml:space="preserve">, there is some early evidence which could suggest a higher response </w:t>
      </w:r>
      <w:r w:rsidR="00BA4095" w:rsidRPr="004B2DF2">
        <w:rPr>
          <w:rFonts w:ascii="Arial" w:hAnsi="Arial"/>
          <w:color w:val="000000"/>
          <w:sz w:val="22"/>
          <w:szCs w:val="22"/>
        </w:rPr>
        <w:t>of</w:t>
      </w:r>
      <w:r w:rsidRPr="004B2DF2">
        <w:rPr>
          <w:rFonts w:ascii="Arial" w:hAnsi="Arial"/>
          <w:color w:val="000000"/>
          <w:sz w:val="22"/>
          <w:szCs w:val="22"/>
        </w:rPr>
        <w:t xml:space="preserve"> </w:t>
      </w:r>
      <w:r w:rsidRPr="00EF2B89">
        <w:rPr>
          <w:rFonts w:ascii="Arial" w:hAnsi="Arial"/>
          <w:i/>
          <w:color w:val="000000"/>
          <w:sz w:val="22"/>
          <w:szCs w:val="22"/>
        </w:rPr>
        <w:t>PIK3CA</w:t>
      </w:r>
      <w:r w:rsidRPr="004B2DF2">
        <w:rPr>
          <w:rFonts w:ascii="Arial" w:hAnsi="Arial"/>
          <w:color w:val="000000"/>
          <w:sz w:val="22"/>
          <w:szCs w:val="22"/>
        </w:rPr>
        <w:t xml:space="preserve"> mutant patients to inhibitors of the pathway</w:t>
      </w:r>
      <w:r w:rsidR="00BA4095" w:rsidRPr="004B2DF2">
        <w:rPr>
          <w:rFonts w:ascii="Arial" w:hAnsi="Arial"/>
          <w:color w:val="000000"/>
          <w:sz w:val="22"/>
          <w:szCs w:val="22"/>
        </w:rPr>
        <w:t>,</w:t>
      </w:r>
      <w:r w:rsidRPr="004B2DF2">
        <w:rPr>
          <w:rFonts w:ascii="Arial" w:hAnsi="Arial"/>
          <w:color w:val="000000"/>
          <w:sz w:val="22"/>
          <w:szCs w:val="22"/>
        </w:rPr>
        <w:t xml:space="preserve"> though this would need to be substantiated in further larger scale trials.</w:t>
      </w:r>
      <w:r w:rsidR="00C85071" w:rsidRPr="004B2DF2">
        <w:rPr>
          <w:rFonts w:ascii="Arial" w:hAnsi="Arial"/>
          <w:color w:val="000000"/>
          <w:sz w:val="22"/>
          <w:szCs w:val="22"/>
        </w:rPr>
        <w:t xml:space="preserve"> Many other clinically relevant pathways are yet to be investigated via liquid biopsies, including </w:t>
      </w:r>
      <w:r w:rsidR="004E0B23" w:rsidRPr="004B2DF2">
        <w:rPr>
          <w:rFonts w:ascii="Arial" w:hAnsi="Arial"/>
          <w:color w:val="000000"/>
          <w:sz w:val="22"/>
          <w:szCs w:val="22"/>
        </w:rPr>
        <w:t xml:space="preserve">predicting </w:t>
      </w:r>
      <w:r w:rsidR="00C85071" w:rsidRPr="004B2DF2">
        <w:rPr>
          <w:rFonts w:ascii="Arial" w:hAnsi="Arial"/>
          <w:color w:val="000000"/>
          <w:sz w:val="22"/>
          <w:szCs w:val="22"/>
        </w:rPr>
        <w:t xml:space="preserve">resistance to anti-HER2 </w:t>
      </w:r>
      <w:r w:rsidR="004E0B23" w:rsidRPr="004B2DF2">
        <w:rPr>
          <w:rFonts w:ascii="Arial" w:hAnsi="Arial"/>
          <w:color w:val="000000"/>
          <w:sz w:val="22"/>
          <w:szCs w:val="22"/>
        </w:rPr>
        <w:t xml:space="preserve">therapies or cytotoxic chemotherapy. Further larger scale studies are needed to elucidate or predict mutations to </w:t>
      </w:r>
      <w:r w:rsidR="00602D7E">
        <w:rPr>
          <w:rFonts w:ascii="Arial" w:hAnsi="Arial"/>
          <w:color w:val="000000"/>
          <w:sz w:val="22"/>
          <w:szCs w:val="22"/>
        </w:rPr>
        <w:t>determine</w:t>
      </w:r>
      <w:r w:rsidR="00602D7E" w:rsidRPr="004B2DF2">
        <w:rPr>
          <w:rFonts w:ascii="Arial" w:hAnsi="Arial"/>
          <w:color w:val="000000"/>
          <w:sz w:val="22"/>
          <w:szCs w:val="22"/>
        </w:rPr>
        <w:t xml:space="preserve"> </w:t>
      </w:r>
      <w:r w:rsidR="004E0B23" w:rsidRPr="004B2DF2">
        <w:rPr>
          <w:rFonts w:ascii="Arial" w:hAnsi="Arial"/>
          <w:color w:val="000000"/>
          <w:sz w:val="22"/>
          <w:szCs w:val="22"/>
        </w:rPr>
        <w:t xml:space="preserve">the </w:t>
      </w:r>
      <w:r w:rsidR="00602D7E">
        <w:rPr>
          <w:rFonts w:ascii="Arial" w:hAnsi="Arial"/>
          <w:color w:val="000000"/>
          <w:sz w:val="22"/>
          <w:szCs w:val="22"/>
        </w:rPr>
        <w:t xml:space="preserve">full </w:t>
      </w:r>
      <w:r w:rsidR="004E0B23" w:rsidRPr="004B2DF2">
        <w:rPr>
          <w:rFonts w:ascii="Arial" w:hAnsi="Arial"/>
          <w:color w:val="000000"/>
          <w:sz w:val="22"/>
          <w:szCs w:val="22"/>
        </w:rPr>
        <w:t xml:space="preserve">clinical utility of ctDNA for </w:t>
      </w:r>
      <w:r w:rsidR="00602D7E">
        <w:rPr>
          <w:rFonts w:ascii="Arial" w:hAnsi="Arial"/>
          <w:color w:val="000000"/>
          <w:sz w:val="22"/>
          <w:szCs w:val="22"/>
        </w:rPr>
        <w:t xml:space="preserve">cancer </w:t>
      </w:r>
      <w:r w:rsidR="004E0B23" w:rsidRPr="004B2DF2">
        <w:rPr>
          <w:rFonts w:ascii="Arial" w:hAnsi="Arial"/>
          <w:color w:val="000000"/>
          <w:sz w:val="22"/>
          <w:szCs w:val="22"/>
        </w:rPr>
        <w:t xml:space="preserve">patients.  </w:t>
      </w:r>
    </w:p>
    <w:p w14:paraId="16A0B43D" w14:textId="77777777" w:rsidR="008C4773" w:rsidRPr="004B2DF2" w:rsidRDefault="008C4773" w:rsidP="001536D4">
      <w:pPr>
        <w:spacing w:line="360" w:lineRule="auto"/>
        <w:jc w:val="both"/>
        <w:rPr>
          <w:rFonts w:ascii="Arial" w:hAnsi="Arial"/>
          <w:color w:val="000000"/>
          <w:sz w:val="22"/>
          <w:szCs w:val="22"/>
        </w:rPr>
      </w:pPr>
    </w:p>
    <w:p w14:paraId="6DA0E8D6" w14:textId="77777777" w:rsidR="008502C8" w:rsidRPr="004B2DF2" w:rsidRDefault="008502C8" w:rsidP="001536D4">
      <w:pPr>
        <w:spacing w:line="360" w:lineRule="auto"/>
        <w:jc w:val="both"/>
        <w:rPr>
          <w:rFonts w:ascii="Times" w:hAnsi="Times"/>
          <w:sz w:val="22"/>
          <w:szCs w:val="22"/>
        </w:rPr>
      </w:pPr>
    </w:p>
    <w:p w14:paraId="34F406EC" w14:textId="656105AE" w:rsidR="001536D4" w:rsidRPr="00103B00" w:rsidRDefault="001536D4" w:rsidP="00CD5903">
      <w:pPr>
        <w:spacing w:line="360" w:lineRule="auto"/>
        <w:jc w:val="both"/>
        <w:rPr>
          <w:rFonts w:ascii="Arial" w:hAnsi="Arial"/>
          <w:b/>
          <w:bCs/>
          <w:color w:val="000000"/>
          <w:sz w:val="24"/>
          <w:szCs w:val="24"/>
        </w:rPr>
      </w:pPr>
      <w:r w:rsidRPr="00103B00">
        <w:rPr>
          <w:rFonts w:ascii="Arial" w:hAnsi="Arial"/>
          <w:b/>
          <w:bCs/>
          <w:color w:val="000000"/>
          <w:sz w:val="24"/>
          <w:szCs w:val="24"/>
        </w:rPr>
        <w:t>References</w:t>
      </w:r>
    </w:p>
    <w:p w14:paraId="7BCE6EB5" w14:textId="378B5971" w:rsidR="008D1593" w:rsidRPr="008D1593" w:rsidRDefault="00CD5903" w:rsidP="008D1593">
      <w:pPr>
        <w:widowControl w:val="0"/>
        <w:autoSpaceDE w:val="0"/>
        <w:autoSpaceDN w:val="0"/>
        <w:adjustRightInd w:val="0"/>
        <w:ind w:left="640" w:hanging="640"/>
        <w:rPr>
          <w:rFonts w:ascii="Arial" w:hAnsi="Arial"/>
          <w:noProof/>
          <w:sz w:val="22"/>
          <w:szCs w:val="24"/>
          <w:lang w:val="en-US"/>
        </w:rPr>
      </w:pPr>
      <w:r w:rsidRPr="004B2DF2">
        <w:rPr>
          <w:rFonts w:ascii="Arial" w:hAnsi="Arial"/>
          <w:bCs/>
          <w:color w:val="000000"/>
          <w:sz w:val="22"/>
          <w:szCs w:val="22"/>
        </w:rPr>
        <w:fldChar w:fldCharType="begin" w:fldLock="1"/>
      </w:r>
      <w:r w:rsidRPr="004B2DF2">
        <w:rPr>
          <w:rFonts w:ascii="Arial" w:hAnsi="Arial"/>
          <w:bCs/>
          <w:color w:val="000000"/>
          <w:sz w:val="22"/>
          <w:szCs w:val="22"/>
        </w:rPr>
        <w:instrText xml:space="preserve">ADDIN Mendeley Bibliography CSL_BIBLIOGRAPHY </w:instrText>
      </w:r>
      <w:r w:rsidRPr="004B2DF2">
        <w:rPr>
          <w:rFonts w:ascii="Arial" w:hAnsi="Arial"/>
          <w:bCs/>
          <w:color w:val="000000"/>
          <w:sz w:val="22"/>
          <w:szCs w:val="22"/>
        </w:rPr>
        <w:fldChar w:fldCharType="separate"/>
      </w:r>
      <w:r w:rsidR="008D1593" w:rsidRPr="008D1593">
        <w:rPr>
          <w:rFonts w:ascii="Arial" w:hAnsi="Arial"/>
          <w:noProof/>
          <w:sz w:val="22"/>
          <w:szCs w:val="24"/>
          <w:lang w:val="en-US"/>
        </w:rPr>
        <w:t xml:space="preserve">1. </w:t>
      </w:r>
      <w:r w:rsidR="008D1593" w:rsidRPr="008D1593">
        <w:rPr>
          <w:rFonts w:ascii="Arial" w:hAnsi="Arial"/>
          <w:noProof/>
          <w:sz w:val="22"/>
          <w:szCs w:val="24"/>
          <w:lang w:val="en-US"/>
        </w:rPr>
        <w:tab/>
        <w:t xml:space="preserve">Olsson E, Winter C, George A, Chen Y, Howlin J, Eric Tang M-H, et al. Serial monitoring of circulating tumor DNA in patients with primary breast cancer for detection of occult metastatic disease. EMBO Mol Med. 2015;7:1034–47. </w:t>
      </w:r>
    </w:p>
    <w:p w14:paraId="397A1C40"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 </w:t>
      </w:r>
      <w:r w:rsidRPr="008D1593">
        <w:rPr>
          <w:rFonts w:ascii="Arial" w:hAnsi="Arial"/>
          <w:noProof/>
          <w:sz w:val="22"/>
          <w:szCs w:val="24"/>
          <w:lang w:val="en-US"/>
        </w:rPr>
        <w:tab/>
        <w:t xml:space="preserve">Forshew T, Murtaza M, Parkinson C, Gale D, Tsui DWY, Kaper F, et al. Noninvasive Identification and Monitoring of Cancer Mutations by Targeted Deep Sequencing of Plasma DNA. Sci Transl Med. 2012;4(136):136ra68-136ra68. </w:t>
      </w:r>
    </w:p>
    <w:p w14:paraId="1C9A9EE4"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 </w:t>
      </w:r>
      <w:r w:rsidRPr="008D1593">
        <w:rPr>
          <w:rFonts w:ascii="Arial" w:hAnsi="Arial"/>
          <w:noProof/>
          <w:sz w:val="22"/>
          <w:szCs w:val="24"/>
          <w:lang w:val="en-US"/>
        </w:rPr>
        <w:tab/>
        <w:t xml:space="preserve">Newman AM, Bratman S V, To J, Wynne JF, Eclov NCW, Modlin LA, et al. An ultrasensitive method for quantitating circulating tumor DNA with broad patient coverage. Nat Med. 2014 May;20(5):548–54. </w:t>
      </w:r>
    </w:p>
    <w:p w14:paraId="72CE49EC"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 </w:t>
      </w:r>
      <w:r w:rsidRPr="008D1593">
        <w:rPr>
          <w:rFonts w:ascii="Arial" w:hAnsi="Arial"/>
          <w:noProof/>
          <w:sz w:val="22"/>
          <w:szCs w:val="24"/>
          <w:lang w:val="en-US"/>
        </w:rPr>
        <w:tab/>
        <w:t xml:space="preserve">Murtaza M, Dawson S-J, Pogrebniak K, Rueda OM, Provenzano E, Grant J, et al. ARTICLE Multifocal clonal evolution characterized using circulating tumour DNA in a case of metastatic breast cancer. Nat Commun. 2015;6. </w:t>
      </w:r>
    </w:p>
    <w:p w14:paraId="6EF6CC4E"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5. </w:t>
      </w:r>
      <w:r w:rsidRPr="008D1593">
        <w:rPr>
          <w:rFonts w:ascii="Arial" w:hAnsi="Arial"/>
          <w:noProof/>
          <w:sz w:val="22"/>
          <w:szCs w:val="24"/>
          <w:lang w:val="en-US"/>
        </w:rPr>
        <w:tab/>
        <w:t xml:space="preserve">Leary RJ, Sausen M, Kinde I, Papadopoulos N, Carpten JD, Craig D, et al. Detection of Chromosomal Alterations in the Circulation of Cancer Patients with Whole-Genome Sequencing. Sci Transl Med. 2012;4(162):162–154. </w:t>
      </w:r>
    </w:p>
    <w:p w14:paraId="0D08C9FE"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6. </w:t>
      </w:r>
      <w:r w:rsidRPr="008D1593">
        <w:rPr>
          <w:rFonts w:ascii="Arial" w:hAnsi="Arial"/>
          <w:noProof/>
          <w:sz w:val="22"/>
          <w:szCs w:val="24"/>
          <w:lang w:val="en-US"/>
        </w:rPr>
        <w:tab/>
        <w:t xml:space="preserve">Heidary M, Auer M, Ulz P, Heitzer E, Petru E, Gasch C, et al. The dynamic range of circulating tumor DNA in metastatic breast cancer. 2014; </w:t>
      </w:r>
    </w:p>
    <w:p w14:paraId="2539E047"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7. </w:t>
      </w:r>
      <w:r w:rsidRPr="008D1593">
        <w:rPr>
          <w:rFonts w:ascii="Arial" w:hAnsi="Arial"/>
          <w:noProof/>
          <w:sz w:val="22"/>
          <w:szCs w:val="24"/>
          <w:lang w:val="en-US"/>
        </w:rPr>
        <w:tab/>
        <w:t xml:space="preserve">Ulz P, Belic J, Graf R, Auer M, Lafer I, Fischereder K, et al. Whole-genome plasma sequencing reveals focal amplifications as a driving force in metastatic prostate cancer. Nat Commun. 2016;7(May):12008. </w:t>
      </w:r>
    </w:p>
    <w:p w14:paraId="385DD6D0"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8. </w:t>
      </w:r>
      <w:r w:rsidRPr="008D1593">
        <w:rPr>
          <w:rFonts w:ascii="Arial" w:hAnsi="Arial"/>
          <w:noProof/>
          <w:sz w:val="22"/>
          <w:szCs w:val="24"/>
          <w:lang w:val="en-US"/>
        </w:rPr>
        <w:tab/>
        <w:t xml:space="preserve">Dawson S-J, Tsui DWY, Murtaza M, Biggs H, Rueda OM, Chin S-F, et al. Analysis of circulating tumor DNA to monitor metastatic breast cancer. N Engl J Med. 2013;368(13):1199–209. </w:t>
      </w:r>
    </w:p>
    <w:p w14:paraId="0306CD4C"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9. </w:t>
      </w:r>
      <w:r w:rsidRPr="008D1593">
        <w:rPr>
          <w:rFonts w:ascii="Arial" w:hAnsi="Arial"/>
          <w:noProof/>
          <w:sz w:val="22"/>
          <w:szCs w:val="24"/>
          <w:lang w:val="en-US"/>
        </w:rPr>
        <w:tab/>
        <w:t xml:space="preserve">Murtaza M, Dawson S-J, Tsui DWY, Gale D, Forshew T, Piskorz AM, et al. Non-invasive analysis of acquired resistance to cancer therapy by sequencing of plasma DNA. Nature. 2013 May;497(7447):108–12. </w:t>
      </w:r>
    </w:p>
    <w:p w14:paraId="36FE8705"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10. </w:t>
      </w:r>
      <w:r w:rsidRPr="008D1593">
        <w:rPr>
          <w:rFonts w:ascii="Arial" w:hAnsi="Arial"/>
          <w:noProof/>
          <w:sz w:val="22"/>
          <w:szCs w:val="24"/>
          <w:lang w:val="en-US"/>
        </w:rPr>
        <w:tab/>
        <w:t xml:space="preserve">Butler TM, Johnson-Camacho K, Peto M, Wang NJ, Macey TA, Korkola JE, et al. Exome Sequencing of Cell-Free DNA from Metastatic Cancer Patients Identifies Clinically Actionable Mutations Distinct from Primary Disease. 2015; </w:t>
      </w:r>
    </w:p>
    <w:p w14:paraId="5D8E9D50"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11. </w:t>
      </w:r>
      <w:r w:rsidRPr="008D1593">
        <w:rPr>
          <w:rFonts w:ascii="Arial" w:hAnsi="Arial"/>
          <w:noProof/>
          <w:sz w:val="22"/>
          <w:szCs w:val="24"/>
          <w:lang w:val="en-US"/>
        </w:rPr>
        <w:tab/>
        <w:t xml:space="preserve">De Mattos-Arruda L, Mayor R, Ng CKY, Weigelt B, Martínez-Ricarte F, Torrejon D, et al. Cerebrospinal fluid-derived circulating tumour DNA better represents the genomic alterations of brain tumours than plasma. Nat Commun. 2015 Nov;6:8839. </w:t>
      </w:r>
    </w:p>
    <w:p w14:paraId="4335F661"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12. </w:t>
      </w:r>
      <w:r w:rsidRPr="008D1593">
        <w:rPr>
          <w:rFonts w:ascii="Arial" w:hAnsi="Arial"/>
          <w:noProof/>
          <w:sz w:val="22"/>
          <w:szCs w:val="24"/>
          <w:lang w:val="en-US"/>
        </w:rPr>
        <w:tab/>
        <w:t xml:space="preserve">Stephens PJ, Tarpey PS, Davies H, Van Loo P, Greenman C, Wedge DC, et al. The landscape of cancer genes and mutational processes in breast cancer. Nature. 2012;486(7403):400–4. </w:t>
      </w:r>
    </w:p>
    <w:p w14:paraId="0839CBCC"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13. </w:t>
      </w:r>
      <w:r w:rsidRPr="008D1593">
        <w:rPr>
          <w:rFonts w:ascii="Arial" w:hAnsi="Arial"/>
          <w:noProof/>
          <w:sz w:val="22"/>
          <w:szCs w:val="24"/>
          <w:lang w:val="en-US"/>
        </w:rPr>
        <w:tab/>
        <w:t xml:space="preserve">Pereira B, Chin S-F, Rueda OM, Vollan H-KM, Provenzano E, Bardwell HA, et al. The somatic mutation profiles of 2,433 breast cancers refines their genomic and transcriptomic landscapes. Nat Commun. 2016;7(May):11479. </w:t>
      </w:r>
    </w:p>
    <w:p w14:paraId="2C4BFB72"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14. </w:t>
      </w:r>
      <w:r w:rsidRPr="008D1593">
        <w:rPr>
          <w:rFonts w:ascii="Arial" w:hAnsi="Arial"/>
          <w:noProof/>
          <w:sz w:val="22"/>
          <w:szCs w:val="24"/>
          <w:lang w:val="en-US"/>
        </w:rPr>
        <w:tab/>
        <w:t xml:space="preserve">Network TCGA. Comprehensive molecular portraits of human breast tumors. Nature. 2012 Oct;490(7418):61–70. </w:t>
      </w:r>
    </w:p>
    <w:p w14:paraId="79FA0FF0"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15. </w:t>
      </w:r>
      <w:r w:rsidRPr="008D1593">
        <w:rPr>
          <w:rFonts w:ascii="Arial" w:hAnsi="Arial"/>
          <w:noProof/>
          <w:sz w:val="22"/>
          <w:szCs w:val="24"/>
          <w:lang w:val="en-US"/>
        </w:rPr>
        <w:tab/>
        <w:t xml:space="preserve">Campbell RA, Bhat-Nakshatri P, Patel NM, Constantinidou D, Ali S, Nakshatri H. Phosphatidylinositol 3-kinase/AKT-mediated activation of estrogen receptor ??: A new model for anti-estrogen resistance. J Biol Chem. 2001;276(13):9817–24. </w:t>
      </w:r>
    </w:p>
    <w:p w14:paraId="09426DFD"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16. </w:t>
      </w:r>
      <w:r w:rsidRPr="008D1593">
        <w:rPr>
          <w:rFonts w:ascii="Arial" w:hAnsi="Arial"/>
          <w:noProof/>
          <w:sz w:val="22"/>
          <w:szCs w:val="24"/>
          <w:lang w:val="en-US"/>
        </w:rPr>
        <w:tab/>
        <w:t xml:space="preserve">Rothé F, Laes J-F, Lambrechts D, Smeets D, Vincent D, Maetens M, et al. Plasma circulating tumor DNA as an alternative to metastatic biopsies for mutational analysis in breast cancer. Ann Oncol. 2014;25:1959–65. </w:t>
      </w:r>
    </w:p>
    <w:p w14:paraId="548249DE"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17. </w:t>
      </w:r>
      <w:r w:rsidRPr="008D1593">
        <w:rPr>
          <w:rFonts w:ascii="Arial" w:hAnsi="Arial"/>
          <w:noProof/>
          <w:sz w:val="22"/>
          <w:szCs w:val="24"/>
          <w:lang w:val="en-US"/>
        </w:rPr>
        <w:tab/>
        <w:t xml:space="preserve">Board RE, Wardley AM, Dixon JM, Armstrong AC, Howell S, Renshaw L, et al. Detection of PIK3CA mutations in circulating free DNA in patients with breast cancer. Breast Cancer Res Treat. 2010;120(2):461–7. </w:t>
      </w:r>
    </w:p>
    <w:p w14:paraId="2558A404"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18. </w:t>
      </w:r>
      <w:r w:rsidRPr="008D1593">
        <w:rPr>
          <w:rFonts w:ascii="Arial" w:hAnsi="Arial"/>
          <w:noProof/>
          <w:sz w:val="22"/>
          <w:szCs w:val="24"/>
          <w:lang w:val="en-US"/>
        </w:rPr>
        <w:tab/>
        <w:t xml:space="preserve">Zhou Y, Wang C, Zhu H, Lin Y, Pan B, Zhang X, et al. Diagnostic Accuracy of PIK3CA Mutation Detection by Circulating Free DNA in Breast Cancer: A Meta-Analysis of Diagnostic Test Accuracy. PLoS One. 2016;11(6):e0158143. </w:t>
      </w:r>
    </w:p>
    <w:p w14:paraId="5498E32D"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19. </w:t>
      </w:r>
      <w:r w:rsidRPr="008D1593">
        <w:rPr>
          <w:rFonts w:ascii="Arial" w:hAnsi="Arial"/>
          <w:noProof/>
          <w:sz w:val="22"/>
          <w:szCs w:val="24"/>
          <w:lang w:val="en-US"/>
        </w:rPr>
        <w:tab/>
        <w:t xml:space="preserve">Takeshita T, Yamamoto Y, Yamamoto-Ibusuki M, Inao T, Sueta A, Fujiwara S, et al. Prognostic role of PIK3CA mutations of cell-free DNA in early-stage triple negative breast cancer. Cancer Sci. 2015 Nov;106(11):1582–9. </w:t>
      </w:r>
    </w:p>
    <w:p w14:paraId="08501842"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20. </w:t>
      </w:r>
      <w:r w:rsidRPr="008D1593">
        <w:rPr>
          <w:rFonts w:ascii="Arial" w:hAnsi="Arial"/>
          <w:noProof/>
          <w:sz w:val="22"/>
          <w:szCs w:val="24"/>
          <w:lang w:val="en-US"/>
        </w:rPr>
        <w:tab/>
        <w:t xml:space="preserve">Pang B, Cheng S, Sun S-P, An C, Liu Z-Y, Feng X, et al. Prognostic role of PIK3CA mutations and their association with hormone receptor expression in breast cancer: a meta-analysis. Sci Rep. 2014;1(4):6255. </w:t>
      </w:r>
    </w:p>
    <w:p w14:paraId="03BF4677"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21. </w:t>
      </w:r>
      <w:r w:rsidRPr="008D1593">
        <w:rPr>
          <w:rFonts w:ascii="Arial" w:hAnsi="Arial"/>
          <w:noProof/>
          <w:sz w:val="22"/>
          <w:szCs w:val="24"/>
          <w:lang w:val="en-US"/>
        </w:rPr>
        <w:tab/>
        <w:t xml:space="preserve">Beaver JA, Jelovac D, Balukrishna S, Cochran RL, Croessmann S, Zabransky DJ, et al. Detection of cancer DNA in plasma of patients with early-stage breast cancer. Clin Cancer Res. 2014 May;20(10):2643–50. </w:t>
      </w:r>
    </w:p>
    <w:p w14:paraId="5BFEF655"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22. </w:t>
      </w:r>
      <w:r w:rsidRPr="008D1593">
        <w:rPr>
          <w:rFonts w:ascii="Arial" w:hAnsi="Arial"/>
          <w:noProof/>
          <w:sz w:val="22"/>
          <w:szCs w:val="24"/>
          <w:lang w:val="en-US"/>
        </w:rPr>
        <w:tab/>
        <w:t xml:space="preserve">Oshiro C, Kagara N, Naoi Y, Shimoda M, Shimomura A, Maruyama N, et al. PIK3CA mutations in serum DNA are predictive of recurrence in primary breast cancer patients. Breast Cancer Res Treat. 2015;150(2). </w:t>
      </w:r>
    </w:p>
    <w:p w14:paraId="5F3CF012"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23. </w:t>
      </w:r>
      <w:r w:rsidRPr="008D1593">
        <w:rPr>
          <w:rFonts w:ascii="Arial" w:hAnsi="Arial"/>
          <w:noProof/>
          <w:sz w:val="22"/>
          <w:szCs w:val="24"/>
          <w:lang w:val="en-US"/>
        </w:rPr>
        <w:tab/>
        <w:t xml:space="preserve">Janku F, Wheler JJ, Westin SN, Moulder SL, Naing A, Tsimberidou AM, et al. PI3K/AKT/mTOR inhibitors in patients with breast and gynecologic malignancies harboring PIK3CA mutations. J Clin Oncol. 2012 Mar;30(8):777–82. </w:t>
      </w:r>
    </w:p>
    <w:p w14:paraId="3FD2D089"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24. </w:t>
      </w:r>
      <w:r w:rsidRPr="008D1593">
        <w:rPr>
          <w:rFonts w:ascii="Arial" w:hAnsi="Arial"/>
          <w:noProof/>
          <w:sz w:val="22"/>
          <w:szCs w:val="24"/>
          <w:lang w:val="en-US"/>
        </w:rPr>
        <w:tab/>
        <w:t xml:space="preserve">Krop IE, Mayer IA, Ganju V, Dickler M, Johnston S, Morales S, et al. Pictilisib for oestrogen receptor-positive, aromatase inhibitor-resistant, advanced or metastatic breast cancer (FERGI): a randomised, double-blind, placebo-controlled, phase 2 trial. Lancet Oncol. 2016;17(6):811–21. </w:t>
      </w:r>
    </w:p>
    <w:p w14:paraId="1596E420"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25. </w:t>
      </w:r>
      <w:r w:rsidRPr="008D1593">
        <w:rPr>
          <w:rFonts w:ascii="Arial" w:hAnsi="Arial"/>
          <w:noProof/>
          <w:sz w:val="22"/>
          <w:szCs w:val="24"/>
          <w:lang w:val="en-US"/>
        </w:rPr>
        <w:tab/>
        <w:t xml:space="preserve">Baselga J, Im SA, Iwata H  et al. PIK3CA status in circulating tumor DNA (ctDNA) predicts efficacy of buparlisib (BUP) plus fulvestrant (FULV) in postmenopausal women with endocrine-resistant HR+/HER2– advanced breast cancer (BC): first results from the randomized, phase III BELLE-2 trial. an Antonio Breast Cancer Symp Abstr S6–01. 2015; </w:t>
      </w:r>
    </w:p>
    <w:p w14:paraId="58BA569F"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26. </w:t>
      </w:r>
      <w:r w:rsidRPr="008D1593">
        <w:rPr>
          <w:rFonts w:ascii="Arial" w:hAnsi="Arial"/>
          <w:noProof/>
          <w:sz w:val="22"/>
          <w:szCs w:val="24"/>
          <w:lang w:val="en-US"/>
        </w:rPr>
        <w:tab/>
        <w:t xml:space="preserve">Chu D, Paoletti C, Gersch C, VanDenBerg DA, Zabransky DJ, Cochran RL, et al. ESR1 mutations in circulating plasma tumor DNA from metastatic breast cancer patients. Clin Cancer Res. 2016 Feb;22(4):993–9. </w:t>
      </w:r>
    </w:p>
    <w:p w14:paraId="7F99F809"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27. </w:t>
      </w:r>
      <w:r w:rsidRPr="008D1593">
        <w:rPr>
          <w:rFonts w:ascii="Arial" w:hAnsi="Arial"/>
          <w:noProof/>
          <w:sz w:val="22"/>
          <w:szCs w:val="24"/>
          <w:lang w:val="en-US"/>
        </w:rPr>
        <w:tab/>
        <w:t xml:space="preserve">Toy W, Shen Y, Won H, Green B, Sakr RA, Will M, et al. ESR1 ligand-binding domain mutations in hormone-resistant breast cancer. Nat Genet. 2013 Nov;45(12):1439–45. </w:t>
      </w:r>
    </w:p>
    <w:p w14:paraId="50CD6F26"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28. </w:t>
      </w:r>
      <w:r w:rsidRPr="008D1593">
        <w:rPr>
          <w:rFonts w:ascii="Arial" w:hAnsi="Arial"/>
          <w:noProof/>
          <w:sz w:val="22"/>
          <w:szCs w:val="24"/>
          <w:lang w:val="en-US"/>
        </w:rPr>
        <w:tab/>
        <w:t xml:space="preserve">Le Goff P, Montano MM, Schodin DJ, Katzenellenbogen BS. Phosphorylation of the human estrogen receptor: Identification of hormone-regulated sites and examination of their influence on transcriptional activity. J Biol Chem. 1994 Feb;269(6):4458–66. </w:t>
      </w:r>
    </w:p>
    <w:p w14:paraId="742DE4A3"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29. </w:t>
      </w:r>
      <w:r w:rsidRPr="008D1593">
        <w:rPr>
          <w:rFonts w:ascii="Arial" w:hAnsi="Arial"/>
          <w:noProof/>
          <w:sz w:val="22"/>
          <w:szCs w:val="24"/>
          <w:lang w:val="en-US"/>
        </w:rPr>
        <w:tab/>
        <w:t xml:space="preserve">Ali S, Metzger D, Bornert J, Chambon P. Modulation of transcriptional activation by ligand-dependent phosphorylation of the human oestrogen receptor A/B region. EMBO. 1993;12(3):1153–60. </w:t>
      </w:r>
    </w:p>
    <w:p w14:paraId="1FA92745"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30. </w:t>
      </w:r>
      <w:r w:rsidRPr="008D1593">
        <w:rPr>
          <w:rFonts w:ascii="Arial" w:hAnsi="Arial"/>
          <w:noProof/>
          <w:sz w:val="22"/>
          <w:szCs w:val="24"/>
          <w:lang w:val="en-US"/>
        </w:rPr>
        <w:tab/>
        <w:t xml:space="preserve">Lannigan DA. Estrogen receptor phosphorylation. Steroids. 2003;68(1):1–9. </w:t>
      </w:r>
    </w:p>
    <w:p w14:paraId="375444D4"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31. </w:t>
      </w:r>
      <w:r w:rsidRPr="008D1593">
        <w:rPr>
          <w:rFonts w:ascii="Arial" w:hAnsi="Arial"/>
          <w:noProof/>
          <w:sz w:val="22"/>
          <w:szCs w:val="24"/>
          <w:lang w:val="en-US"/>
        </w:rPr>
        <w:tab/>
        <w:t xml:space="preserve">Schiavon G, Hrebien S, Garcia-Murillas I, Cutts RJ, Pearson  a., Tarazona N, et al. Analysis of ESR1 mutation in circulating tumor DNA demonstrates evolution during therapy for metastatic breast cancer. Sci Transl Med. 2015;7(313):313ra182-313ra182. </w:t>
      </w:r>
    </w:p>
    <w:p w14:paraId="36E14CC9"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32. </w:t>
      </w:r>
      <w:r w:rsidRPr="008D1593">
        <w:rPr>
          <w:rFonts w:ascii="Arial" w:hAnsi="Arial"/>
          <w:noProof/>
          <w:sz w:val="22"/>
          <w:szCs w:val="24"/>
          <w:lang w:val="en-US"/>
        </w:rPr>
        <w:tab/>
        <w:t xml:space="preserve">Fribbens C, O’Leary B, Kilburn L, Hrebien S, Garcia-Murillas I, Beaney M, et al. Plasma ESR1 Mutations and the treatment of estrogen receptor-Positive advanced breast cancer. J Clin Oncol. 2016 Sep;34(25):2961–8. </w:t>
      </w:r>
    </w:p>
    <w:p w14:paraId="7C4B97B4"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33. </w:t>
      </w:r>
      <w:r w:rsidRPr="008D1593">
        <w:rPr>
          <w:rFonts w:ascii="Arial" w:hAnsi="Arial"/>
          <w:noProof/>
          <w:sz w:val="22"/>
          <w:szCs w:val="24"/>
          <w:lang w:val="en-US"/>
        </w:rPr>
        <w:tab/>
        <w:t xml:space="preserve">Theodorou V, Stark R, Menon S, Carroll JS. GATA3 acts upstream of FOXA1 in mediating ESR1 binding by shaping enhancer accessibility. Genome Res. 2013 Jan;23(1):12–22. </w:t>
      </w:r>
    </w:p>
    <w:p w14:paraId="7B07C8AD"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34. </w:t>
      </w:r>
      <w:r w:rsidRPr="008D1593">
        <w:rPr>
          <w:rFonts w:ascii="Arial" w:hAnsi="Arial"/>
          <w:noProof/>
          <w:sz w:val="22"/>
          <w:szCs w:val="24"/>
          <w:lang w:val="en-US"/>
        </w:rPr>
        <w:tab/>
        <w:t xml:space="preserve">Curtis C, Shah SP, Chin S-F, Turashvili G, Rueda OM, Dunning MJ, et al. The genomic and transcriptomic architecture of 2,000 breast tumours reveals novel subgroups. </w:t>
      </w:r>
    </w:p>
    <w:p w14:paraId="74AA9173"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35. </w:t>
      </w:r>
      <w:r w:rsidRPr="008D1593">
        <w:rPr>
          <w:rFonts w:ascii="Arial" w:hAnsi="Arial"/>
          <w:noProof/>
          <w:sz w:val="22"/>
          <w:szCs w:val="24"/>
          <w:lang w:val="en-US"/>
        </w:rPr>
        <w:tab/>
        <w:t xml:space="preserve">Dawson S-J, Rueda OM, Aparicio S, Caldas C. Review A new genome-driven integrated classification of breast cancer and its implications. EMBO J. 2013;32:617–28. </w:t>
      </w:r>
    </w:p>
    <w:p w14:paraId="4E9AEBAD"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36. </w:t>
      </w:r>
      <w:r w:rsidRPr="008D1593">
        <w:rPr>
          <w:rFonts w:ascii="Arial" w:hAnsi="Arial"/>
          <w:noProof/>
          <w:sz w:val="22"/>
          <w:szCs w:val="24"/>
          <w:lang w:val="en-US"/>
        </w:rPr>
        <w:tab/>
        <w:t xml:space="preserve">Page K, Hava N, Ward B, Brown J, Guttery D, Ruangpratheep C, et al. Detection of HER2 amplification in circulating free DNA in patients with breast cancer. Br J Cancer. 2011;104:1342–8. </w:t>
      </w:r>
    </w:p>
    <w:p w14:paraId="28503247"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37. </w:t>
      </w:r>
      <w:r w:rsidRPr="008D1593">
        <w:rPr>
          <w:rFonts w:ascii="Arial" w:hAnsi="Arial"/>
          <w:noProof/>
          <w:sz w:val="22"/>
          <w:szCs w:val="24"/>
          <w:lang w:val="en-US"/>
        </w:rPr>
        <w:tab/>
        <w:t xml:space="preserve">Kirkizlar E, Zimmermann B, Constantin T, Swenerton R, Hoang B, Wayham N, et al. Detection of Clonal and Subclonal Copy-Number Variants in Cell-Free DNA from Patients with Breast Cancer Using a Massively Multiplexed PCR Methodology. TRANON. 2015;8:407–16. </w:t>
      </w:r>
    </w:p>
    <w:p w14:paraId="27A58CE2"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38. </w:t>
      </w:r>
      <w:r w:rsidRPr="008D1593">
        <w:rPr>
          <w:rFonts w:ascii="Arial" w:hAnsi="Arial"/>
          <w:noProof/>
          <w:sz w:val="22"/>
          <w:szCs w:val="24"/>
          <w:lang w:val="en-US"/>
        </w:rPr>
        <w:tab/>
        <w:t xml:space="preserve">Snyder MW, Kircher M, Hill AJ, Daza RM, Shendure J. Cell-free DNA Comprises an In Vivo Nucleosome Footprint that Informs Its Tissues-Of-Origin. Cell. 2016;164(1):57–68. </w:t>
      </w:r>
    </w:p>
    <w:p w14:paraId="151A91B2"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39. </w:t>
      </w:r>
      <w:r w:rsidRPr="008D1593">
        <w:rPr>
          <w:rFonts w:ascii="Arial" w:hAnsi="Arial"/>
          <w:noProof/>
          <w:sz w:val="22"/>
          <w:szCs w:val="24"/>
          <w:lang w:val="en-US"/>
        </w:rPr>
        <w:tab/>
        <w:t xml:space="preserve">Ulz P, Thallinger GG, Auer M, Graf R, Kashofer K, Jahn SW, et al. Inferring expressed genes by whole-genome sequencing of plasma DNA. Nat Genet. 2016 Aug;48(10):1273–8. </w:t>
      </w:r>
    </w:p>
    <w:p w14:paraId="37541A1A"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40. </w:t>
      </w:r>
      <w:r w:rsidRPr="008D1593">
        <w:rPr>
          <w:rFonts w:ascii="Arial" w:hAnsi="Arial"/>
          <w:noProof/>
          <w:sz w:val="22"/>
          <w:szCs w:val="24"/>
          <w:lang w:val="en-US"/>
        </w:rPr>
        <w:tab/>
        <w:t xml:space="preserve">Liu Y, Liu Q, Wang T, Bian L, Zhang S, Hu H, et al. Circulating tumor cells in HER2-positive metastatic breast cancer patients: a valuable prognostic and predictive biomarker. </w:t>
      </w:r>
    </w:p>
    <w:p w14:paraId="307A3961"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41. </w:t>
      </w:r>
      <w:r w:rsidRPr="008D1593">
        <w:rPr>
          <w:rFonts w:ascii="Arial" w:hAnsi="Arial"/>
          <w:noProof/>
          <w:sz w:val="22"/>
          <w:szCs w:val="24"/>
          <w:lang w:val="en-US"/>
        </w:rPr>
        <w:tab/>
        <w:t xml:space="preserve">Bechmann T, Andersen RF, Pallisgaard N, Madsen JS, Maae E, Jakobsen EH, et al. Plasma HER2 amplification in cell-free DNA during neoadjuvant chemotherapy in breast cancer. J Cancer Res Clin Oncol. 2013 Jun;139(6):995–1003. </w:t>
      </w:r>
    </w:p>
    <w:p w14:paraId="5BF80139"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42. </w:t>
      </w:r>
      <w:r w:rsidRPr="008D1593">
        <w:rPr>
          <w:rFonts w:ascii="Arial" w:hAnsi="Arial"/>
          <w:noProof/>
          <w:sz w:val="22"/>
          <w:szCs w:val="24"/>
          <w:lang w:val="en-US"/>
        </w:rPr>
        <w:tab/>
        <w:t xml:space="preserve">Mitchell PS, Parkin RK, Kroh EM, Fritz BR, Wyman SK, Pogosova-Agadjanyan EL, et al. Circulating microRNAs as stable blood-based markers for cancer detection. </w:t>
      </w:r>
    </w:p>
    <w:p w14:paraId="5453D062"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43. </w:t>
      </w:r>
      <w:r w:rsidRPr="008D1593">
        <w:rPr>
          <w:rFonts w:ascii="Arial" w:hAnsi="Arial"/>
          <w:noProof/>
          <w:sz w:val="22"/>
          <w:szCs w:val="24"/>
          <w:lang w:val="en-US"/>
        </w:rPr>
        <w:tab/>
        <w:t xml:space="preserve">Heneghan HM, Miller N, Lowery AJ, Sweeney KJ, Newell J, Kerin MJ. Circulating microRNAs as novel minimally invasive biomarkers for breast cancer. Ann Surg. 2010;251(3):499–505. </w:t>
      </w:r>
    </w:p>
    <w:p w14:paraId="2E6E0FED"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44. </w:t>
      </w:r>
      <w:r w:rsidRPr="008D1593">
        <w:rPr>
          <w:rFonts w:ascii="Arial" w:hAnsi="Arial"/>
          <w:noProof/>
          <w:sz w:val="22"/>
          <w:szCs w:val="24"/>
          <w:lang w:val="en-US"/>
        </w:rPr>
        <w:tab/>
        <w:t xml:space="preserve">Hamam R, Ali AM, Alsaleh KA, Kassem M, Alfayez M, Aldahmash A, et al. microRNA expression profiling on individual breast cancer patients identifies novel panel of circulating microRNA for early detection. Sci Rep. 2016 May;6:25997. </w:t>
      </w:r>
    </w:p>
    <w:p w14:paraId="4F65C625"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45. </w:t>
      </w:r>
      <w:r w:rsidRPr="008D1593">
        <w:rPr>
          <w:rFonts w:ascii="Arial" w:hAnsi="Arial"/>
          <w:noProof/>
          <w:sz w:val="22"/>
          <w:szCs w:val="24"/>
          <w:lang w:val="en-US"/>
        </w:rPr>
        <w:tab/>
        <w:t xml:space="preserve">Hannafon BN, Trigoso YD, Calloway CL, Zhao YD, Lum DH, Welm AL, et al. Plasma exosome microRNAs are indicative of breast cancer. Breast Cancer Res. 2016;18. </w:t>
      </w:r>
    </w:p>
    <w:p w14:paraId="0E6F6B7C"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46. </w:t>
      </w:r>
      <w:r w:rsidRPr="008D1593">
        <w:rPr>
          <w:rFonts w:ascii="Arial" w:hAnsi="Arial"/>
          <w:noProof/>
          <w:sz w:val="22"/>
          <w:szCs w:val="24"/>
          <w:lang w:val="en-US"/>
        </w:rPr>
        <w:tab/>
        <w:t xml:space="preserve">Müller HM, Widschwendter A, Fiegl H, Ivarsson L, Goebel G, Perkmann E, et al. DNA Methylation in Serum of Breast Cancer Patients: An Independent Prognostic Marker. Cancer Res. 2003 Nov;63(22):7641–5. </w:t>
      </w:r>
    </w:p>
    <w:p w14:paraId="637B390E"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47. </w:t>
      </w:r>
      <w:r w:rsidRPr="008D1593">
        <w:rPr>
          <w:rFonts w:ascii="Arial" w:hAnsi="Arial"/>
          <w:noProof/>
          <w:sz w:val="22"/>
          <w:szCs w:val="24"/>
          <w:lang w:val="en-US"/>
        </w:rPr>
        <w:tab/>
        <w:t xml:space="preserve">Van Der Auwera I, Elst HJ, Laere S Van, Maes H, Huget P, Van Dam P, et al. The presence of circulating total DNA and methylated genes is associated with circulating tumour cells in blood from breast cancer patients. Br J Cancer. 2009;100(8):1277–86. </w:t>
      </w:r>
    </w:p>
    <w:p w14:paraId="0948B318"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48. </w:t>
      </w:r>
      <w:r w:rsidRPr="008D1593">
        <w:rPr>
          <w:rFonts w:ascii="Arial" w:hAnsi="Arial"/>
          <w:noProof/>
          <w:sz w:val="22"/>
          <w:szCs w:val="24"/>
          <w:lang w:val="en-US"/>
        </w:rPr>
        <w:tab/>
        <w:t xml:space="preserve">Fiegl H, Millinger S, Mueller-Holzner E, Marth C, Ensinger C, Berger A, et al. Circulating Tumor-Specific DNA: A Marker for Monitoring Efficacy of Adjuvant Therapy in Cancer Patients. Cancer Res. 2005;65(4). </w:t>
      </w:r>
    </w:p>
    <w:p w14:paraId="450B4D80" w14:textId="77777777" w:rsidR="008D1593" w:rsidRPr="008D1593" w:rsidRDefault="008D1593" w:rsidP="008D1593">
      <w:pPr>
        <w:widowControl w:val="0"/>
        <w:autoSpaceDE w:val="0"/>
        <w:autoSpaceDN w:val="0"/>
        <w:adjustRightInd w:val="0"/>
        <w:ind w:left="640" w:hanging="640"/>
        <w:rPr>
          <w:rFonts w:ascii="Arial" w:hAnsi="Arial"/>
          <w:noProof/>
          <w:sz w:val="22"/>
          <w:szCs w:val="24"/>
          <w:lang w:val="en-US"/>
        </w:rPr>
      </w:pPr>
      <w:r w:rsidRPr="008D1593">
        <w:rPr>
          <w:rFonts w:ascii="Arial" w:hAnsi="Arial"/>
          <w:noProof/>
          <w:sz w:val="22"/>
          <w:szCs w:val="24"/>
          <w:lang w:val="en-US"/>
        </w:rPr>
        <w:t xml:space="preserve">49. </w:t>
      </w:r>
      <w:r w:rsidRPr="008D1593">
        <w:rPr>
          <w:rFonts w:ascii="Arial" w:hAnsi="Arial"/>
          <w:noProof/>
          <w:sz w:val="22"/>
          <w:szCs w:val="24"/>
          <w:lang w:val="en-US"/>
        </w:rPr>
        <w:tab/>
        <w:t xml:space="preserve">Martínez-Galán J, Torres-Torres B, Núñez MI, López-Peñalver J, Moral R Del, Mariano J, et al. ESR1 gene promoter region methylation in free circulating DNA and its correlation with estrogen receptor protein expression in tumor tissue in breast cancer patients. BMC Cancer. 2014;14:1–8. </w:t>
      </w:r>
    </w:p>
    <w:p w14:paraId="5DA900AA" w14:textId="77777777" w:rsidR="008D1593" w:rsidRPr="008D1593" w:rsidRDefault="008D1593" w:rsidP="008D1593">
      <w:pPr>
        <w:widowControl w:val="0"/>
        <w:autoSpaceDE w:val="0"/>
        <w:autoSpaceDN w:val="0"/>
        <w:adjustRightInd w:val="0"/>
        <w:ind w:left="640" w:hanging="640"/>
        <w:rPr>
          <w:rFonts w:ascii="Arial" w:hAnsi="Arial"/>
          <w:noProof/>
          <w:sz w:val="22"/>
        </w:rPr>
      </w:pPr>
      <w:r w:rsidRPr="008D1593">
        <w:rPr>
          <w:rFonts w:ascii="Arial" w:hAnsi="Arial"/>
          <w:noProof/>
          <w:sz w:val="22"/>
          <w:szCs w:val="24"/>
          <w:lang w:val="en-US"/>
        </w:rPr>
        <w:t xml:space="preserve">50. </w:t>
      </w:r>
      <w:r w:rsidRPr="008D1593">
        <w:rPr>
          <w:rFonts w:ascii="Arial" w:hAnsi="Arial"/>
          <w:noProof/>
          <w:sz w:val="22"/>
          <w:szCs w:val="24"/>
          <w:lang w:val="en-US"/>
        </w:rPr>
        <w:tab/>
        <w:t xml:space="preserve">Li Z, Guo X, Tang L, Peng L, Chen M, Luo X, et al. Methylation analysis of plasma cell-free DNA for breast cancer early detection using bisulfite next-generation sequencing. Tumour Biol. 2016;37(10):13111–13119. </w:t>
      </w:r>
    </w:p>
    <w:p w14:paraId="5623E3E3" w14:textId="56E96D7D" w:rsidR="00CD5903" w:rsidRPr="004B2DF2" w:rsidRDefault="00CD5903" w:rsidP="008D1593">
      <w:pPr>
        <w:widowControl w:val="0"/>
        <w:autoSpaceDE w:val="0"/>
        <w:autoSpaceDN w:val="0"/>
        <w:adjustRightInd w:val="0"/>
        <w:ind w:left="640" w:hanging="640"/>
        <w:rPr>
          <w:rFonts w:ascii="Times" w:eastAsia="Times New Roman" w:hAnsi="Times"/>
          <w:sz w:val="22"/>
          <w:szCs w:val="22"/>
        </w:rPr>
      </w:pPr>
      <w:r w:rsidRPr="004B2DF2">
        <w:rPr>
          <w:rFonts w:ascii="Arial" w:hAnsi="Arial"/>
          <w:bCs/>
          <w:color w:val="000000"/>
          <w:sz w:val="22"/>
          <w:szCs w:val="22"/>
        </w:rPr>
        <w:fldChar w:fldCharType="end"/>
      </w:r>
    </w:p>
    <w:p w14:paraId="03D1FF5A" w14:textId="37061588" w:rsidR="00F50690" w:rsidRPr="004B2DF2" w:rsidRDefault="00F50690" w:rsidP="001536D4">
      <w:pPr>
        <w:spacing w:line="360" w:lineRule="auto"/>
        <w:rPr>
          <w:sz w:val="22"/>
          <w:szCs w:val="22"/>
        </w:rPr>
      </w:pPr>
    </w:p>
    <w:sectPr w:rsidR="00F50690" w:rsidRPr="004B2DF2" w:rsidSect="00F50690">
      <w:headerReference w:type="default" r:id="rId7"/>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51090" w14:textId="77777777" w:rsidR="00C77487" w:rsidRDefault="00C77487" w:rsidP="004B2DF2">
      <w:r>
        <w:separator/>
      </w:r>
    </w:p>
  </w:endnote>
  <w:endnote w:type="continuationSeparator" w:id="0">
    <w:p w14:paraId="7A93B9DA" w14:textId="77777777" w:rsidR="00C77487" w:rsidRDefault="00C77487" w:rsidP="004B2D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45944" w14:textId="77777777" w:rsidR="00C77487" w:rsidRDefault="00C77487" w:rsidP="00B519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8E20E89" w14:textId="77777777" w:rsidR="00C77487" w:rsidRDefault="00C77487" w:rsidP="00B519E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E8F88" w14:textId="50F072E4" w:rsidR="00C77487" w:rsidRDefault="00C77487" w:rsidP="00B519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A1053">
      <w:rPr>
        <w:rStyle w:val="PageNumber"/>
        <w:noProof/>
      </w:rPr>
      <w:t>1</w:t>
    </w:r>
    <w:r>
      <w:rPr>
        <w:rStyle w:val="PageNumber"/>
      </w:rPr>
      <w:fldChar w:fldCharType="end"/>
    </w:r>
  </w:p>
  <w:p w14:paraId="53731CA4" w14:textId="77777777" w:rsidR="00C77487" w:rsidRDefault="00C77487" w:rsidP="00B519E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D5580" w14:textId="77777777" w:rsidR="00C77487" w:rsidRDefault="00C77487" w:rsidP="004B2DF2">
      <w:r>
        <w:separator/>
      </w:r>
    </w:p>
  </w:footnote>
  <w:footnote w:type="continuationSeparator" w:id="0">
    <w:p w14:paraId="3C381FD5" w14:textId="77777777" w:rsidR="00C77487" w:rsidRDefault="00C77487" w:rsidP="004B2D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4BF9C" w14:textId="25532F26" w:rsidR="00C77487" w:rsidRDefault="00C77487">
    <w:pPr>
      <w:pStyle w:val="Header"/>
    </w:pPr>
  </w:p>
  <w:p w14:paraId="5D4A9153" w14:textId="77777777" w:rsidR="00C77487" w:rsidRDefault="00C7748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B61"/>
    <w:rsid w:val="00024AF4"/>
    <w:rsid w:val="0003556D"/>
    <w:rsid w:val="00041BB6"/>
    <w:rsid w:val="00050DDB"/>
    <w:rsid w:val="000516A9"/>
    <w:rsid w:val="00093891"/>
    <w:rsid w:val="000D5FE6"/>
    <w:rsid w:val="001020F9"/>
    <w:rsid w:val="00102483"/>
    <w:rsid w:val="00103B00"/>
    <w:rsid w:val="001176C9"/>
    <w:rsid w:val="001362A8"/>
    <w:rsid w:val="00150B4F"/>
    <w:rsid w:val="001536A2"/>
    <w:rsid w:val="001536D4"/>
    <w:rsid w:val="00166DA8"/>
    <w:rsid w:val="0017523D"/>
    <w:rsid w:val="00181424"/>
    <w:rsid w:val="0018151A"/>
    <w:rsid w:val="00196C09"/>
    <w:rsid w:val="001B515E"/>
    <w:rsid w:val="001B6FF7"/>
    <w:rsid w:val="001E59E0"/>
    <w:rsid w:val="001E7C1F"/>
    <w:rsid w:val="001F0AF1"/>
    <w:rsid w:val="001F1F6A"/>
    <w:rsid w:val="00201108"/>
    <w:rsid w:val="00215B61"/>
    <w:rsid w:val="00232C03"/>
    <w:rsid w:val="002571CF"/>
    <w:rsid w:val="00261CA5"/>
    <w:rsid w:val="0026571F"/>
    <w:rsid w:val="00292DED"/>
    <w:rsid w:val="002A334D"/>
    <w:rsid w:val="002A4DEB"/>
    <w:rsid w:val="002A6BE6"/>
    <w:rsid w:val="0036178A"/>
    <w:rsid w:val="00366B7B"/>
    <w:rsid w:val="00381205"/>
    <w:rsid w:val="003835CC"/>
    <w:rsid w:val="003852C5"/>
    <w:rsid w:val="00390B14"/>
    <w:rsid w:val="0039174B"/>
    <w:rsid w:val="003959FA"/>
    <w:rsid w:val="003D5C31"/>
    <w:rsid w:val="00404BAA"/>
    <w:rsid w:val="004134E9"/>
    <w:rsid w:val="004226C3"/>
    <w:rsid w:val="00425800"/>
    <w:rsid w:val="00426B06"/>
    <w:rsid w:val="00442FB7"/>
    <w:rsid w:val="00444827"/>
    <w:rsid w:val="0045661B"/>
    <w:rsid w:val="0046375D"/>
    <w:rsid w:val="00474C04"/>
    <w:rsid w:val="00477FB2"/>
    <w:rsid w:val="00495F6A"/>
    <w:rsid w:val="004A1053"/>
    <w:rsid w:val="004B2DF2"/>
    <w:rsid w:val="004D1491"/>
    <w:rsid w:val="004E0B23"/>
    <w:rsid w:val="004F3A52"/>
    <w:rsid w:val="0051390F"/>
    <w:rsid w:val="00514454"/>
    <w:rsid w:val="00532C22"/>
    <w:rsid w:val="00533E9A"/>
    <w:rsid w:val="00541508"/>
    <w:rsid w:val="00541F68"/>
    <w:rsid w:val="005437A3"/>
    <w:rsid w:val="005532A6"/>
    <w:rsid w:val="0055359B"/>
    <w:rsid w:val="00564A07"/>
    <w:rsid w:val="00583324"/>
    <w:rsid w:val="005B2C6A"/>
    <w:rsid w:val="005B438B"/>
    <w:rsid w:val="005D78BF"/>
    <w:rsid w:val="005F34AA"/>
    <w:rsid w:val="005F49D1"/>
    <w:rsid w:val="00600D92"/>
    <w:rsid w:val="00602D7E"/>
    <w:rsid w:val="00625406"/>
    <w:rsid w:val="006327D2"/>
    <w:rsid w:val="00651D22"/>
    <w:rsid w:val="006652DE"/>
    <w:rsid w:val="00676C97"/>
    <w:rsid w:val="00677CE1"/>
    <w:rsid w:val="006C145B"/>
    <w:rsid w:val="006C2CB5"/>
    <w:rsid w:val="006D3604"/>
    <w:rsid w:val="006E3667"/>
    <w:rsid w:val="006E42A5"/>
    <w:rsid w:val="00700061"/>
    <w:rsid w:val="00707A70"/>
    <w:rsid w:val="00714735"/>
    <w:rsid w:val="00714A8C"/>
    <w:rsid w:val="00715550"/>
    <w:rsid w:val="00723426"/>
    <w:rsid w:val="0073074D"/>
    <w:rsid w:val="00764CD1"/>
    <w:rsid w:val="00767EF0"/>
    <w:rsid w:val="00776731"/>
    <w:rsid w:val="00794B62"/>
    <w:rsid w:val="007A1D1E"/>
    <w:rsid w:val="007A5902"/>
    <w:rsid w:val="008347EC"/>
    <w:rsid w:val="008502C8"/>
    <w:rsid w:val="00863252"/>
    <w:rsid w:val="0086632F"/>
    <w:rsid w:val="008911B3"/>
    <w:rsid w:val="008A4246"/>
    <w:rsid w:val="008B0F07"/>
    <w:rsid w:val="008C4773"/>
    <w:rsid w:val="008D1593"/>
    <w:rsid w:val="008D21B7"/>
    <w:rsid w:val="008E4CB0"/>
    <w:rsid w:val="008E7E53"/>
    <w:rsid w:val="008F055B"/>
    <w:rsid w:val="008F6361"/>
    <w:rsid w:val="00900087"/>
    <w:rsid w:val="009337D6"/>
    <w:rsid w:val="009439C1"/>
    <w:rsid w:val="00951356"/>
    <w:rsid w:val="00954658"/>
    <w:rsid w:val="009703B6"/>
    <w:rsid w:val="00991862"/>
    <w:rsid w:val="009B70EE"/>
    <w:rsid w:val="009E1510"/>
    <w:rsid w:val="00A1290D"/>
    <w:rsid w:val="00A15150"/>
    <w:rsid w:val="00A16E81"/>
    <w:rsid w:val="00A3025B"/>
    <w:rsid w:val="00A82446"/>
    <w:rsid w:val="00A95F55"/>
    <w:rsid w:val="00AB70DF"/>
    <w:rsid w:val="00AD0496"/>
    <w:rsid w:val="00AE415B"/>
    <w:rsid w:val="00B064BF"/>
    <w:rsid w:val="00B145F5"/>
    <w:rsid w:val="00B347DB"/>
    <w:rsid w:val="00B519ED"/>
    <w:rsid w:val="00B64848"/>
    <w:rsid w:val="00B77ED7"/>
    <w:rsid w:val="00B94C85"/>
    <w:rsid w:val="00BA4095"/>
    <w:rsid w:val="00BB27F3"/>
    <w:rsid w:val="00BB43CF"/>
    <w:rsid w:val="00BC14AF"/>
    <w:rsid w:val="00BC1E20"/>
    <w:rsid w:val="00BD6EA3"/>
    <w:rsid w:val="00BE7834"/>
    <w:rsid w:val="00BF1BA8"/>
    <w:rsid w:val="00BF4697"/>
    <w:rsid w:val="00C70DFA"/>
    <w:rsid w:val="00C77487"/>
    <w:rsid w:val="00C81738"/>
    <w:rsid w:val="00C84F7A"/>
    <w:rsid w:val="00C85071"/>
    <w:rsid w:val="00C950B4"/>
    <w:rsid w:val="00CA2424"/>
    <w:rsid w:val="00CA5622"/>
    <w:rsid w:val="00CB4014"/>
    <w:rsid w:val="00CB4E5F"/>
    <w:rsid w:val="00CD199B"/>
    <w:rsid w:val="00CD5903"/>
    <w:rsid w:val="00CE4AE5"/>
    <w:rsid w:val="00D219D3"/>
    <w:rsid w:val="00D2654C"/>
    <w:rsid w:val="00D367CC"/>
    <w:rsid w:val="00D456EC"/>
    <w:rsid w:val="00D80D30"/>
    <w:rsid w:val="00D812C9"/>
    <w:rsid w:val="00D83653"/>
    <w:rsid w:val="00D83805"/>
    <w:rsid w:val="00D86D9C"/>
    <w:rsid w:val="00D9370C"/>
    <w:rsid w:val="00DC71BC"/>
    <w:rsid w:val="00DC7AE0"/>
    <w:rsid w:val="00DD1B0D"/>
    <w:rsid w:val="00DD475D"/>
    <w:rsid w:val="00DF21BC"/>
    <w:rsid w:val="00E136F8"/>
    <w:rsid w:val="00E20DD6"/>
    <w:rsid w:val="00E302F8"/>
    <w:rsid w:val="00E90870"/>
    <w:rsid w:val="00E926B7"/>
    <w:rsid w:val="00EA7641"/>
    <w:rsid w:val="00EB34D0"/>
    <w:rsid w:val="00ED4234"/>
    <w:rsid w:val="00EE1D39"/>
    <w:rsid w:val="00EF2B89"/>
    <w:rsid w:val="00F10071"/>
    <w:rsid w:val="00F23983"/>
    <w:rsid w:val="00F359A7"/>
    <w:rsid w:val="00F430CD"/>
    <w:rsid w:val="00F47D29"/>
    <w:rsid w:val="00F50690"/>
    <w:rsid w:val="00FA7C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8FD17E"/>
  <w14:defaultImageDpi w14:val="300"/>
  <w15:docId w15:val="{00B5F7BE-B14B-44CA-A4F4-7663209BB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MS Mincho" w:hAnsi="Calibri"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0"/>
      <w:szCs w:val="20"/>
      <w:lang w:val="en-GB"/>
    </w:rPr>
  </w:style>
  <w:style w:type="paragraph" w:styleId="Heading1">
    <w:name w:val="heading 1"/>
    <w:basedOn w:val="Normal"/>
    <w:next w:val="Normal"/>
    <w:link w:val="Heading1Char"/>
    <w:uiPriority w:val="9"/>
    <w:qFormat/>
    <w:rsid w:val="008D21B7"/>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15B61"/>
    <w:pPr>
      <w:spacing w:before="100" w:beforeAutospacing="1" w:after="100" w:afterAutospacing="1"/>
    </w:pPr>
    <w:rPr>
      <w:rFonts w:ascii="Times" w:hAnsi="Times"/>
    </w:rPr>
  </w:style>
  <w:style w:type="character" w:customStyle="1" w:styleId="apple-tab-span">
    <w:name w:val="apple-tab-span"/>
    <w:basedOn w:val="DefaultParagraphFont"/>
    <w:rsid w:val="001536D4"/>
  </w:style>
  <w:style w:type="character" w:styleId="CommentReference">
    <w:name w:val="annotation reference"/>
    <w:basedOn w:val="DefaultParagraphFont"/>
    <w:uiPriority w:val="99"/>
    <w:semiHidden/>
    <w:unhideWhenUsed/>
    <w:rsid w:val="0036178A"/>
    <w:rPr>
      <w:sz w:val="18"/>
      <w:szCs w:val="18"/>
    </w:rPr>
  </w:style>
  <w:style w:type="paragraph" w:styleId="CommentText">
    <w:name w:val="annotation text"/>
    <w:basedOn w:val="Normal"/>
    <w:link w:val="CommentTextChar"/>
    <w:uiPriority w:val="99"/>
    <w:semiHidden/>
    <w:unhideWhenUsed/>
    <w:rsid w:val="0036178A"/>
    <w:rPr>
      <w:sz w:val="24"/>
      <w:szCs w:val="24"/>
    </w:rPr>
  </w:style>
  <w:style w:type="character" w:customStyle="1" w:styleId="CommentTextChar">
    <w:name w:val="Comment Text Char"/>
    <w:basedOn w:val="DefaultParagraphFont"/>
    <w:link w:val="CommentText"/>
    <w:uiPriority w:val="99"/>
    <w:semiHidden/>
    <w:rsid w:val="0036178A"/>
    <w:rPr>
      <w:lang w:val="en-GB"/>
    </w:rPr>
  </w:style>
  <w:style w:type="paragraph" w:styleId="CommentSubject">
    <w:name w:val="annotation subject"/>
    <w:basedOn w:val="CommentText"/>
    <w:next w:val="CommentText"/>
    <w:link w:val="CommentSubjectChar"/>
    <w:uiPriority w:val="99"/>
    <w:semiHidden/>
    <w:unhideWhenUsed/>
    <w:rsid w:val="0036178A"/>
    <w:rPr>
      <w:b/>
      <w:bCs/>
      <w:sz w:val="20"/>
      <w:szCs w:val="20"/>
    </w:rPr>
  </w:style>
  <w:style w:type="character" w:customStyle="1" w:styleId="CommentSubjectChar">
    <w:name w:val="Comment Subject Char"/>
    <w:basedOn w:val="CommentTextChar"/>
    <w:link w:val="CommentSubject"/>
    <w:uiPriority w:val="99"/>
    <w:semiHidden/>
    <w:rsid w:val="0036178A"/>
    <w:rPr>
      <w:b/>
      <w:bCs/>
      <w:sz w:val="20"/>
      <w:szCs w:val="20"/>
      <w:lang w:val="en-GB"/>
    </w:rPr>
  </w:style>
  <w:style w:type="paragraph" w:styleId="BalloonText">
    <w:name w:val="Balloon Text"/>
    <w:basedOn w:val="Normal"/>
    <w:link w:val="BalloonTextChar"/>
    <w:uiPriority w:val="99"/>
    <w:semiHidden/>
    <w:unhideWhenUsed/>
    <w:rsid w:val="0036178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6178A"/>
    <w:rPr>
      <w:rFonts w:ascii="Lucida Grande" w:hAnsi="Lucida Grande" w:cs="Lucida Grande"/>
      <w:sz w:val="18"/>
      <w:szCs w:val="18"/>
      <w:lang w:val="en-GB"/>
    </w:rPr>
  </w:style>
  <w:style w:type="character" w:customStyle="1" w:styleId="Heading1Char">
    <w:name w:val="Heading 1 Char"/>
    <w:basedOn w:val="DefaultParagraphFont"/>
    <w:link w:val="Heading1"/>
    <w:uiPriority w:val="9"/>
    <w:rsid w:val="008D21B7"/>
    <w:rPr>
      <w:rFonts w:asciiTheme="majorHAnsi" w:eastAsiaTheme="majorEastAsia" w:hAnsiTheme="majorHAnsi" w:cstheme="majorBidi"/>
      <w:b/>
      <w:bCs/>
      <w:color w:val="345A8A" w:themeColor="accent1" w:themeShade="B5"/>
      <w:sz w:val="32"/>
      <w:szCs w:val="32"/>
      <w:lang w:val="en-GB"/>
    </w:rPr>
  </w:style>
  <w:style w:type="paragraph" w:styleId="Title">
    <w:name w:val="Title"/>
    <w:basedOn w:val="Normal"/>
    <w:next w:val="Normal"/>
    <w:link w:val="TitleChar"/>
    <w:uiPriority w:val="10"/>
    <w:qFormat/>
    <w:rsid w:val="008D21B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D21B7"/>
    <w:rPr>
      <w:rFonts w:asciiTheme="majorHAnsi" w:eastAsiaTheme="majorEastAsia" w:hAnsiTheme="majorHAnsi" w:cstheme="majorBidi"/>
      <w:color w:val="17365D" w:themeColor="text2" w:themeShade="BF"/>
      <w:spacing w:val="5"/>
      <w:kern w:val="28"/>
      <w:sz w:val="52"/>
      <w:szCs w:val="52"/>
      <w:lang w:val="en-GB"/>
    </w:rPr>
  </w:style>
  <w:style w:type="character" w:styleId="Emphasis">
    <w:name w:val="Emphasis"/>
    <w:basedOn w:val="DefaultParagraphFont"/>
    <w:uiPriority w:val="20"/>
    <w:qFormat/>
    <w:rsid w:val="00D86D9C"/>
    <w:rPr>
      <w:i/>
      <w:iCs/>
    </w:rPr>
  </w:style>
  <w:style w:type="character" w:customStyle="1" w:styleId="apple-converted-space">
    <w:name w:val="apple-converted-space"/>
    <w:basedOn w:val="DefaultParagraphFont"/>
    <w:rsid w:val="00D86D9C"/>
  </w:style>
  <w:style w:type="paragraph" w:styleId="Header">
    <w:name w:val="header"/>
    <w:basedOn w:val="Normal"/>
    <w:link w:val="HeaderChar"/>
    <w:uiPriority w:val="99"/>
    <w:unhideWhenUsed/>
    <w:rsid w:val="004B2DF2"/>
    <w:pPr>
      <w:tabs>
        <w:tab w:val="center" w:pos="4513"/>
        <w:tab w:val="right" w:pos="9026"/>
      </w:tabs>
    </w:pPr>
  </w:style>
  <w:style w:type="character" w:customStyle="1" w:styleId="HeaderChar">
    <w:name w:val="Header Char"/>
    <w:basedOn w:val="DefaultParagraphFont"/>
    <w:link w:val="Header"/>
    <w:uiPriority w:val="99"/>
    <w:rsid w:val="004B2DF2"/>
    <w:rPr>
      <w:sz w:val="20"/>
      <w:szCs w:val="20"/>
      <w:lang w:val="en-GB"/>
    </w:rPr>
  </w:style>
  <w:style w:type="paragraph" w:styleId="Footer">
    <w:name w:val="footer"/>
    <w:basedOn w:val="Normal"/>
    <w:link w:val="FooterChar"/>
    <w:uiPriority w:val="99"/>
    <w:unhideWhenUsed/>
    <w:rsid w:val="004B2DF2"/>
    <w:pPr>
      <w:tabs>
        <w:tab w:val="center" w:pos="4513"/>
        <w:tab w:val="right" w:pos="9026"/>
      </w:tabs>
    </w:pPr>
  </w:style>
  <w:style w:type="character" w:customStyle="1" w:styleId="FooterChar">
    <w:name w:val="Footer Char"/>
    <w:basedOn w:val="DefaultParagraphFont"/>
    <w:link w:val="Footer"/>
    <w:uiPriority w:val="99"/>
    <w:rsid w:val="004B2DF2"/>
    <w:rPr>
      <w:sz w:val="20"/>
      <w:szCs w:val="20"/>
      <w:lang w:val="en-GB"/>
    </w:rPr>
  </w:style>
  <w:style w:type="paragraph" w:styleId="Revision">
    <w:name w:val="Revision"/>
    <w:hidden/>
    <w:uiPriority w:val="99"/>
    <w:semiHidden/>
    <w:rsid w:val="00EF2B89"/>
    <w:rPr>
      <w:sz w:val="20"/>
      <w:szCs w:val="20"/>
      <w:lang w:val="en-GB"/>
    </w:rPr>
  </w:style>
  <w:style w:type="character" w:styleId="PageNumber">
    <w:name w:val="page number"/>
    <w:basedOn w:val="DefaultParagraphFont"/>
    <w:uiPriority w:val="99"/>
    <w:semiHidden/>
    <w:unhideWhenUsed/>
    <w:rsid w:val="00B519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659044">
      <w:bodyDiv w:val="1"/>
      <w:marLeft w:val="0"/>
      <w:marRight w:val="0"/>
      <w:marTop w:val="0"/>
      <w:marBottom w:val="0"/>
      <w:divBdr>
        <w:top w:val="none" w:sz="0" w:space="0" w:color="auto"/>
        <w:left w:val="none" w:sz="0" w:space="0" w:color="auto"/>
        <w:bottom w:val="none" w:sz="0" w:space="0" w:color="auto"/>
        <w:right w:val="none" w:sz="0" w:space="0" w:color="auto"/>
      </w:divBdr>
    </w:div>
    <w:div w:id="708336419">
      <w:bodyDiv w:val="1"/>
      <w:marLeft w:val="0"/>
      <w:marRight w:val="0"/>
      <w:marTop w:val="0"/>
      <w:marBottom w:val="0"/>
      <w:divBdr>
        <w:top w:val="none" w:sz="0" w:space="0" w:color="auto"/>
        <w:left w:val="none" w:sz="0" w:space="0" w:color="auto"/>
        <w:bottom w:val="none" w:sz="0" w:space="0" w:color="auto"/>
        <w:right w:val="none" w:sz="0" w:space="0" w:color="auto"/>
      </w:divBdr>
    </w:div>
    <w:div w:id="890270816">
      <w:bodyDiv w:val="1"/>
      <w:marLeft w:val="0"/>
      <w:marRight w:val="0"/>
      <w:marTop w:val="0"/>
      <w:marBottom w:val="0"/>
      <w:divBdr>
        <w:top w:val="none" w:sz="0" w:space="0" w:color="auto"/>
        <w:left w:val="none" w:sz="0" w:space="0" w:color="auto"/>
        <w:bottom w:val="none" w:sz="0" w:space="0" w:color="auto"/>
        <w:right w:val="none" w:sz="0" w:space="0" w:color="auto"/>
      </w:divBdr>
    </w:div>
    <w:div w:id="1299071510">
      <w:bodyDiv w:val="1"/>
      <w:marLeft w:val="0"/>
      <w:marRight w:val="0"/>
      <w:marTop w:val="0"/>
      <w:marBottom w:val="0"/>
      <w:divBdr>
        <w:top w:val="none" w:sz="0" w:space="0" w:color="auto"/>
        <w:left w:val="none" w:sz="0" w:space="0" w:color="auto"/>
        <w:bottom w:val="none" w:sz="0" w:space="0" w:color="auto"/>
        <w:right w:val="none" w:sz="0" w:space="0" w:color="auto"/>
      </w:divBdr>
    </w:div>
    <w:div w:id="1571378730">
      <w:bodyDiv w:val="1"/>
      <w:marLeft w:val="0"/>
      <w:marRight w:val="0"/>
      <w:marTop w:val="0"/>
      <w:marBottom w:val="0"/>
      <w:divBdr>
        <w:top w:val="none" w:sz="0" w:space="0" w:color="auto"/>
        <w:left w:val="none" w:sz="0" w:space="0" w:color="auto"/>
        <w:bottom w:val="none" w:sz="0" w:space="0" w:color="auto"/>
        <w:right w:val="none" w:sz="0" w:space="0" w:color="auto"/>
      </w:divBdr>
    </w:div>
    <w:div w:id="177035315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14</Pages>
  <Words>40959</Words>
  <Characters>233472</Characters>
  <Application>Microsoft Office Word</Application>
  <DocSecurity>4</DocSecurity>
  <Lines>1945</Lines>
  <Paragraphs>547</Paragraphs>
  <ScaleCrop>false</ScaleCrop>
  <HeadingPairs>
    <vt:vector size="2" baseType="variant">
      <vt:variant>
        <vt:lpstr>Title</vt:lpstr>
      </vt:variant>
      <vt:variant>
        <vt:i4>1</vt:i4>
      </vt:variant>
    </vt:vector>
  </HeadingPairs>
  <TitlesOfParts>
    <vt:vector size="1" baseType="lpstr">
      <vt:lpstr/>
    </vt:vector>
  </TitlesOfParts>
  <Company>CRUK Cambridge Institute</Company>
  <LinksUpToDate>false</LinksUpToDate>
  <CharactersWithSpaces>273884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Beddowes</dc:creator>
  <cp:lastModifiedBy>Marion Karniely</cp:lastModifiedBy>
  <cp:revision>2</cp:revision>
  <dcterms:created xsi:type="dcterms:W3CDTF">2017-07-04T11:37:00Z</dcterms:created>
  <dcterms:modified xsi:type="dcterms:W3CDTF">2017-07-04T11:37:00Z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00776765-a585-3907-a9b0-599998dc8f60</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