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6D332" w14:textId="7EBB9BCD" w:rsidR="0030226C" w:rsidRPr="00067D8A" w:rsidRDefault="0030226C" w:rsidP="00550EB4">
      <w:pPr>
        <w:pStyle w:val="Title"/>
        <w:rPr>
          <w:rFonts w:asciiTheme="majorBidi" w:hAnsiTheme="majorBidi" w:cstheme="majorBidi"/>
          <w:color w:val="FF0000"/>
          <w:lang w:val="en-GB"/>
        </w:rPr>
      </w:pPr>
      <w:r w:rsidRPr="00067D8A">
        <w:rPr>
          <w:rFonts w:asciiTheme="majorBidi" w:hAnsiTheme="majorBidi" w:cstheme="majorBidi"/>
          <w:lang w:val="en-GB"/>
        </w:rPr>
        <w:t xml:space="preserve">4 </w:t>
      </w:r>
      <w:r w:rsidR="00840C95">
        <w:rPr>
          <w:rFonts w:asciiTheme="majorBidi" w:hAnsiTheme="majorBidi" w:cstheme="majorBidi"/>
          <w:lang w:val="en-GB"/>
        </w:rPr>
        <w:t>The development of a</w:t>
      </w:r>
      <w:r w:rsidR="00550EB4">
        <w:rPr>
          <w:rFonts w:asciiTheme="majorBidi" w:hAnsiTheme="majorBidi" w:cstheme="majorBidi"/>
          <w:lang w:val="en-GB"/>
        </w:rPr>
        <w:t xml:space="preserve"> ‘Helmand Civilisation’</w:t>
      </w:r>
      <w:r w:rsidRPr="00067D8A">
        <w:rPr>
          <w:rFonts w:asciiTheme="majorBidi" w:hAnsiTheme="majorBidi" w:cstheme="majorBidi"/>
          <w:lang w:val="en-GB"/>
        </w:rPr>
        <w:t xml:space="preserve"> south of the Hindu Kush</w:t>
      </w:r>
    </w:p>
    <w:p w14:paraId="025118A2" w14:textId="7E5509D8" w:rsidR="0030226C" w:rsidRPr="00067D8A" w:rsidRDefault="0030226C" w:rsidP="006E510E">
      <w:pPr>
        <w:pStyle w:val="Quote"/>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Jim G. Shaffer</w:t>
      </w:r>
      <w:r w:rsidR="006E510E" w:rsidRPr="006E510E">
        <w:rPr>
          <w:rFonts w:asciiTheme="majorBidi" w:hAnsiTheme="majorBidi" w:cstheme="majorBidi"/>
          <w:color w:val="FF0000"/>
          <w:sz w:val="24"/>
          <w:szCs w:val="22"/>
          <w:lang w:val="en-GB"/>
        </w:rPr>
        <w:t xml:space="preserve"> </w:t>
      </w:r>
      <w:r w:rsidR="006E510E">
        <w:rPr>
          <w:rFonts w:asciiTheme="majorBidi" w:hAnsiTheme="majorBidi" w:cstheme="majorBidi"/>
          <w:color w:val="FF0000"/>
          <w:sz w:val="24"/>
          <w:szCs w:val="22"/>
          <w:lang w:val="en-GB"/>
        </w:rPr>
        <w:t xml:space="preserve">and </w:t>
      </w:r>
      <w:r w:rsidR="006E510E" w:rsidRPr="00067D8A">
        <w:rPr>
          <w:rFonts w:asciiTheme="majorBidi" w:hAnsiTheme="majorBidi" w:cstheme="majorBidi"/>
          <w:color w:val="FF0000"/>
          <w:sz w:val="24"/>
          <w:szCs w:val="22"/>
          <w:lang w:val="en-GB"/>
        </w:rPr>
        <w:t xml:space="preserve">Cameron </w:t>
      </w:r>
      <w:r w:rsidR="006E510E">
        <w:rPr>
          <w:rFonts w:asciiTheme="majorBidi" w:hAnsiTheme="majorBidi" w:cstheme="majorBidi"/>
          <w:color w:val="FF0000"/>
          <w:sz w:val="24"/>
          <w:szCs w:val="22"/>
          <w:lang w:val="en-GB"/>
        </w:rPr>
        <w:t xml:space="preserve">A. </w:t>
      </w:r>
      <w:r w:rsidR="006E510E" w:rsidRPr="00067D8A">
        <w:rPr>
          <w:rFonts w:asciiTheme="majorBidi" w:hAnsiTheme="majorBidi" w:cstheme="majorBidi"/>
          <w:color w:val="FF0000"/>
          <w:sz w:val="24"/>
          <w:szCs w:val="22"/>
          <w:lang w:val="en-GB"/>
        </w:rPr>
        <w:t>Petrie</w:t>
      </w:r>
    </w:p>
    <w:p w14:paraId="1385B5A0" w14:textId="77777777" w:rsidR="0030226C" w:rsidRPr="00067D8A" w:rsidRDefault="0030226C" w:rsidP="0030226C">
      <w:pPr>
        <w:pStyle w:val="Heading1"/>
        <w:rPr>
          <w:rFonts w:asciiTheme="majorBidi" w:hAnsiTheme="majorBidi" w:cstheme="majorBidi"/>
          <w:lang w:val="en-GB"/>
        </w:rPr>
      </w:pPr>
      <w:r w:rsidRPr="00067D8A">
        <w:rPr>
          <w:rFonts w:asciiTheme="majorBidi" w:hAnsiTheme="majorBidi" w:cstheme="majorBidi"/>
          <w:lang w:val="en-GB"/>
        </w:rPr>
        <w:t>Introduction</w:t>
      </w:r>
    </w:p>
    <w:p w14:paraId="0B956E9B" w14:textId="61A23472" w:rsidR="00350161" w:rsidRDefault="0030226C" w:rsidP="0030226C">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 xml:space="preserve">Our information </w:t>
      </w:r>
      <w:r w:rsidR="00350161">
        <w:rPr>
          <w:rFonts w:asciiTheme="majorBidi" w:hAnsiTheme="majorBidi" w:cstheme="majorBidi"/>
          <w:sz w:val="24"/>
          <w:szCs w:val="22"/>
          <w:lang w:val="en-GB"/>
        </w:rPr>
        <w:t>about late prehistory in</w:t>
      </w:r>
      <w:r w:rsidRPr="00067D8A">
        <w:rPr>
          <w:rFonts w:asciiTheme="majorBidi" w:hAnsiTheme="majorBidi" w:cstheme="majorBidi"/>
          <w:sz w:val="24"/>
          <w:szCs w:val="22"/>
          <w:lang w:val="en-GB"/>
        </w:rPr>
        <w:t xml:space="preserve"> the parts of Afghanistan that lie to the south of the Hindu Kush </w:t>
      </w:r>
      <w:r w:rsidR="00350161">
        <w:rPr>
          <w:rFonts w:asciiTheme="majorBidi" w:hAnsiTheme="majorBidi" w:cstheme="majorBidi"/>
          <w:sz w:val="24"/>
          <w:szCs w:val="22"/>
          <w:lang w:val="en-GB"/>
        </w:rPr>
        <w:t xml:space="preserve">is limited to the Chalcolithic period and later, and </w:t>
      </w:r>
      <w:r w:rsidRPr="00067D8A">
        <w:rPr>
          <w:rFonts w:asciiTheme="majorBidi" w:hAnsiTheme="majorBidi" w:cstheme="majorBidi"/>
          <w:sz w:val="24"/>
          <w:szCs w:val="22"/>
          <w:lang w:val="en-GB"/>
        </w:rPr>
        <w:t>comes mainly from substantial excavations at Mundigak</w:t>
      </w:r>
      <w:r w:rsidRPr="00067D8A">
        <w:rPr>
          <w:rStyle w:val="EndnoteReference"/>
          <w:rFonts w:asciiTheme="majorBidi" w:hAnsiTheme="majorBidi" w:cstheme="majorBidi"/>
          <w:sz w:val="24"/>
          <w:szCs w:val="22"/>
          <w:lang w:val="en-GB"/>
        </w:rPr>
        <w:endnoteReference w:id="1"/>
      </w:r>
      <w:r w:rsidRPr="00067D8A">
        <w:rPr>
          <w:rFonts w:asciiTheme="majorBidi" w:hAnsiTheme="majorBidi" w:cstheme="majorBidi"/>
          <w:sz w:val="24"/>
          <w:szCs w:val="22"/>
          <w:lang w:val="en-GB"/>
        </w:rPr>
        <w:t xml:space="preserve"> and Said Qala Tepe,</w:t>
      </w:r>
      <w:r w:rsidRPr="00067D8A">
        <w:rPr>
          <w:rStyle w:val="EndnoteReference"/>
          <w:rFonts w:asciiTheme="majorBidi" w:hAnsiTheme="majorBidi" w:cstheme="majorBidi"/>
          <w:sz w:val="24"/>
          <w:szCs w:val="22"/>
          <w:lang w:val="en-GB"/>
        </w:rPr>
        <w:endnoteReference w:id="2"/>
      </w:r>
      <w:r w:rsidRPr="00067D8A">
        <w:rPr>
          <w:rFonts w:asciiTheme="majorBidi" w:hAnsiTheme="majorBidi" w:cstheme="majorBidi"/>
          <w:sz w:val="24"/>
          <w:szCs w:val="22"/>
          <w:lang w:val="en-GB"/>
        </w:rPr>
        <w:t xml:space="preserve"> as well as more limited investigations </w:t>
      </w:r>
      <w:r w:rsidR="00047697">
        <w:rPr>
          <w:rFonts w:asciiTheme="majorBidi" w:hAnsiTheme="majorBidi" w:cstheme="majorBidi"/>
          <w:sz w:val="24"/>
          <w:szCs w:val="22"/>
          <w:lang w:val="en-GB"/>
        </w:rPr>
        <w:t xml:space="preserve">of these periods </w:t>
      </w:r>
      <w:r w:rsidRPr="00067D8A">
        <w:rPr>
          <w:rFonts w:asciiTheme="majorBidi" w:hAnsiTheme="majorBidi" w:cstheme="majorBidi"/>
          <w:sz w:val="24"/>
          <w:szCs w:val="22"/>
          <w:lang w:val="en-GB"/>
        </w:rPr>
        <w:t>at Deh Morasi Ghundai,</w:t>
      </w:r>
      <w:r w:rsidRPr="00067D8A">
        <w:rPr>
          <w:rStyle w:val="EndnoteReference"/>
          <w:rFonts w:asciiTheme="majorBidi" w:hAnsiTheme="majorBidi" w:cstheme="majorBidi"/>
          <w:sz w:val="24"/>
          <w:szCs w:val="22"/>
          <w:lang w:val="en-GB"/>
        </w:rPr>
        <w:endnoteReference w:id="3"/>
      </w:r>
      <w:r w:rsidRPr="00067D8A">
        <w:rPr>
          <w:rFonts w:asciiTheme="majorBidi" w:hAnsiTheme="majorBidi" w:cstheme="majorBidi"/>
          <w:sz w:val="24"/>
          <w:szCs w:val="22"/>
          <w:lang w:val="en-GB"/>
        </w:rPr>
        <w:t xml:space="preserve"> Kandahar and Nad-i Ali.</w:t>
      </w:r>
      <w:r w:rsidR="00836721" w:rsidRPr="00067D8A">
        <w:rPr>
          <w:rStyle w:val="EndnoteReference"/>
          <w:rFonts w:asciiTheme="majorBidi" w:hAnsiTheme="majorBidi" w:cstheme="majorBidi"/>
          <w:sz w:val="24"/>
          <w:szCs w:val="22"/>
          <w:lang w:val="en-GB"/>
        </w:rPr>
        <w:endnoteReference w:id="4"/>
      </w:r>
      <w:r w:rsidRPr="00067D8A">
        <w:rPr>
          <w:rFonts w:asciiTheme="majorBidi" w:hAnsiTheme="majorBidi" w:cstheme="majorBidi"/>
          <w:sz w:val="24"/>
          <w:szCs w:val="22"/>
          <w:lang w:val="en-GB"/>
        </w:rPr>
        <w:t xml:space="preserve"> To these can be added sites found during several surveys in the Helmand-Seistan area</w:t>
      </w:r>
      <w:r w:rsidR="00840C95">
        <w:rPr>
          <w:rFonts w:asciiTheme="majorBidi" w:hAnsiTheme="majorBidi" w:cstheme="majorBidi"/>
          <w:sz w:val="24"/>
          <w:szCs w:val="22"/>
          <w:lang w:val="en-GB"/>
        </w:rPr>
        <w:t xml:space="preserve"> (see Fig. 4.</w:t>
      </w:r>
      <w:r w:rsidR="00840C95" w:rsidRPr="00840C95">
        <w:rPr>
          <w:rFonts w:asciiTheme="majorBidi" w:hAnsiTheme="majorBidi" w:cstheme="majorBidi"/>
          <w:sz w:val="24"/>
          <w:szCs w:val="22"/>
          <w:highlight w:val="green"/>
          <w:lang w:val="en-GB"/>
        </w:rPr>
        <w:t>1</w:t>
      </w:r>
      <w:r w:rsidR="00840C95">
        <w:rPr>
          <w:rFonts w:asciiTheme="majorBidi" w:hAnsiTheme="majorBidi" w:cstheme="majorBidi"/>
          <w:sz w:val="24"/>
          <w:szCs w:val="22"/>
          <w:lang w:val="en-GB"/>
        </w:rPr>
        <w:t>)</w:t>
      </w:r>
      <w:r w:rsidRPr="00067D8A">
        <w:rPr>
          <w:rFonts w:asciiTheme="majorBidi" w:hAnsiTheme="majorBidi" w:cstheme="majorBidi"/>
          <w:sz w:val="24"/>
          <w:szCs w:val="22"/>
          <w:lang w:val="en-GB"/>
        </w:rPr>
        <w:t>.</w:t>
      </w:r>
      <w:r w:rsidRPr="00067D8A">
        <w:rPr>
          <w:rStyle w:val="EndnoteReference"/>
          <w:rFonts w:asciiTheme="majorBidi" w:hAnsiTheme="majorBidi" w:cstheme="majorBidi"/>
          <w:sz w:val="24"/>
          <w:szCs w:val="22"/>
          <w:lang w:val="en-GB"/>
        </w:rPr>
        <w:endnoteReference w:id="5"/>
      </w:r>
      <w:r w:rsidRPr="00067D8A">
        <w:rPr>
          <w:rFonts w:asciiTheme="majorBidi" w:hAnsiTheme="majorBidi" w:cstheme="majorBidi"/>
          <w:sz w:val="24"/>
          <w:szCs w:val="22"/>
          <w:lang w:val="en-GB"/>
        </w:rPr>
        <w:t xml:space="preserve"> While limited</w:t>
      </w:r>
      <w:r w:rsidR="00840C95">
        <w:rPr>
          <w:rFonts w:asciiTheme="majorBidi" w:hAnsiTheme="majorBidi" w:cstheme="majorBidi"/>
          <w:sz w:val="24"/>
          <w:szCs w:val="22"/>
          <w:lang w:val="en-GB"/>
        </w:rPr>
        <w:t xml:space="preserve"> to the southern</w:t>
      </w:r>
      <w:r w:rsidR="00047697">
        <w:rPr>
          <w:rFonts w:asciiTheme="majorBidi" w:hAnsiTheme="majorBidi" w:cstheme="majorBidi"/>
          <w:sz w:val="24"/>
          <w:szCs w:val="22"/>
          <w:lang w:val="en-GB"/>
        </w:rPr>
        <w:t>most</w:t>
      </w:r>
      <w:r w:rsidR="00840C95">
        <w:rPr>
          <w:rFonts w:asciiTheme="majorBidi" w:hAnsiTheme="majorBidi" w:cstheme="majorBidi"/>
          <w:sz w:val="24"/>
          <w:szCs w:val="22"/>
          <w:lang w:val="en-GB"/>
        </w:rPr>
        <w:t xml:space="preserve"> parts of Afghanistan</w:t>
      </w:r>
      <w:r w:rsidRPr="00067D8A">
        <w:rPr>
          <w:rFonts w:asciiTheme="majorBidi" w:hAnsiTheme="majorBidi" w:cstheme="majorBidi"/>
          <w:sz w:val="24"/>
          <w:szCs w:val="22"/>
          <w:lang w:val="en-GB"/>
        </w:rPr>
        <w:t xml:space="preserve">, the sample size is sufficient to indicate that southern Afghanistan </w:t>
      </w:r>
      <w:r w:rsidR="00047697">
        <w:rPr>
          <w:rFonts w:asciiTheme="majorBidi" w:hAnsiTheme="majorBidi" w:cstheme="majorBidi"/>
          <w:sz w:val="24"/>
          <w:szCs w:val="22"/>
          <w:lang w:val="en-GB"/>
        </w:rPr>
        <w:t>wa</w:t>
      </w:r>
      <w:r w:rsidRPr="00067D8A">
        <w:rPr>
          <w:rFonts w:asciiTheme="majorBidi" w:hAnsiTheme="majorBidi" w:cstheme="majorBidi"/>
          <w:sz w:val="24"/>
          <w:szCs w:val="22"/>
          <w:lang w:val="en-GB"/>
        </w:rPr>
        <w:t xml:space="preserve">s an important area for understanding the transition to stratified societies and for comprehending the cultural processes which affected neighbouring areas. </w:t>
      </w:r>
      <w:r w:rsidR="00350161">
        <w:rPr>
          <w:rFonts w:asciiTheme="majorBidi" w:hAnsiTheme="majorBidi" w:cstheme="majorBidi"/>
          <w:sz w:val="24"/>
          <w:szCs w:val="22"/>
          <w:lang w:val="en-GB"/>
        </w:rPr>
        <w:t xml:space="preserve">In contrast to the approach used in the first edition of this volume, here the earliest phases of sedentary occupation </w:t>
      </w:r>
      <w:r w:rsidR="00840C95">
        <w:rPr>
          <w:rFonts w:asciiTheme="majorBidi" w:hAnsiTheme="majorBidi" w:cstheme="majorBidi"/>
          <w:sz w:val="24"/>
          <w:szCs w:val="22"/>
          <w:lang w:val="en-GB"/>
        </w:rPr>
        <w:t xml:space="preserve">for the whole country </w:t>
      </w:r>
      <w:r w:rsidR="00350161">
        <w:rPr>
          <w:rFonts w:asciiTheme="majorBidi" w:hAnsiTheme="majorBidi" w:cstheme="majorBidi"/>
          <w:sz w:val="24"/>
          <w:szCs w:val="22"/>
          <w:lang w:val="en-GB"/>
        </w:rPr>
        <w:t xml:space="preserve">have been discussed in Chapter 3, and the </w:t>
      </w:r>
      <w:r w:rsidR="00350161" w:rsidRPr="00350161">
        <w:rPr>
          <w:rFonts w:asciiTheme="majorBidi" w:hAnsiTheme="majorBidi" w:cstheme="majorBidi"/>
          <w:sz w:val="24"/>
          <w:szCs w:val="22"/>
          <w:lang w:val="en-GB"/>
        </w:rPr>
        <w:t>overview of the development of stratified societies has been divided into two parts</w:t>
      </w:r>
      <w:r w:rsidR="00840C95">
        <w:rPr>
          <w:rFonts w:asciiTheme="majorBidi" w:hAnsiTheme="majorBidi" w:cstheme="majorBidi"/>
          <w:sz w:val="24"/>
          <w:szCs w:val="22"/>
          <w:lang w:val="en-GB"/>
        </w:rPr>
        <w:t>. T</w:t>
      </w:r>
      <w:r w:rsidR="00350161" w:rsidRPr="00350161">
        <w:rPr>
          <w:rFonts w:asciiTheme="majorBidi" w:hAnsiTheme="majorBidi" w:cstheme="majorBidi"/>
          <w:sz w:val="24"/>
          <w:szCs w:val="22"/>
          <w:lang w:val="en-GB"/>
        </w:rPr>
        <w:t xml:space="preserve">he discussion of the evidence from north of the </w:t>
      </w:r>
      <w:r w:rsidR="00350161">
        <w:rPr>
          <w:rFonts w:asciiTheme="majorBidi" w:hAnsiTheme="majorBidi" w:cstheme="majorBidi"/>
          <w:sz w:val="24"/>
          <w:szCs w:val="22"/>
          <w:lang w:val="en-GB"/>
        </w:rPr>
        <w:t xml:space="preserve">Hindu Kush </w:t>
      </w:r>
      <w:r w:rsidR="00840C95">
        <w:rPr>
          <w:rFonts w:asciiTheme="majorBidi" w:hAnsiTheme="majorBidi" w:cstheme="majorBidi"/>
          <w:sz w:val="24"/>
          <w:szCs w:val="22"/>
          <w:lang w:val="en-GB"/>
        </w:rPr>
        <w:t xml:space="preserve">has </w:t>
      </w:r>
      <w:r w:rsidR="00350161">
        <w:rPr>
          <w:rFonts w:asciiTheme="majorBidi" w:hAnsiTheme="majorBidi" w:cstheme="majorBidi"/>
          <w:sz w:val="24"/>
          <w:szCs w:val="22"/>
          <w:lang w:val="en-GB"/>
        </w:rPr>
        <w:t>be</w:t>
      </w:r>
      <w:r w:rsidR="00840C95">
        <w:rPr>
          <w:rFonts w:asciiTheme="majorBidi" w:hAnsiTheme="majorBidi" w:cstheme="majorBidi"/>
          <w:sz w:val="24"/>
          <w:szCs w:val="22"/>
          <w:lang w:val="en-GB"/>
        </w:rPr>
        <w:t>e</w:t>
      </w:r>
      <w:r w:rsidR="00350161">
        <w:rPr>
          <w:rFonts w:asciiTheme="majorBidi" w:hAnsiTheme="majorBidi" w:cstheme="majorBidi"/>
          <w:sz w:val="24"/>
          <w:szCs w:val="22"/>
          <w:lang w:val="en-GB"/>
        </w:rPr>
        <w:t>n presented in C</w:t>
      </w:r>
      <w:r w:rsidR="00350161" w:rsidRPr="00350161">
        <w:rPr>
          <w:rFonts w:asciiTheme="majorBidi" w:hAnsiTheme="majorBidi" w:cstheme="majorBidi"/>
          <w:sz w:val="24"/>
          <w:szCs w:val="22"/>
          <w:lang w:val="en-GB"/>
        </w:rPr>
        <w:t>hapter</w:t>
      </w:r>
      <w:r w:rsidR="00350161">
        <w:rPr>
          <w:rFonts w:asciiTheme="majorBidi" w:hAnsiTheme="majorBidi" w:cstheme="majorBidi"/>
          <w:sz w:val="24"/>
          <w:szCs w:val="22"/>
          <w:lang w:val="en-GB"/>
        </w:rPr>
        <w:t xml:space="preserve"> 3</w:t>
      </w:r>
      <w:r w:rsidR="00350161" w:rsidRPr="00350161">
        <w:rPr>
          <w:rFonts w:asciiTheme="majorBidi" w:hAnsiTheme="majorBidi" w:cstheme="majorBidi"/>
          <w:sz w:val="24"/>
          <w:szCs w:val="22"/>
          <w:lang w:val="en-GB"/>
        </w:rPr>
        <w:t xml:space="preserve">, and the evidence from south of the Hindu Kush </w:t>
      </w:r>
      <w:r w:rsidR="00047697">
        <w:rPr>
          <w:rFonts w:asciiTheme="majorBidi" w:hAnsiTheme="majorBidi" w:cstheme="majorBidi"/>
          <w:sz w:val="24"/>
          <w:szCs w:val="22"/>
          <w:lang w:val="en-GB"/>
        </w:rPr>
        <w:t>is</w:t>
      </w:r>
      <w:r w:rsidR="00350161">
        <w:rPr>
          <w:rFonts w:asciiTheme="majorBidi" w:hAnsiTheme="majorBidi" w:cstheme="majorBidi"/>
          <w:sz w:val="24"/>
          <w:szCs w:val="22"/>
          <w:lang w:val="en-GB"/>
        </w:rPr>
        <w:t xml:space="preserve"> presented here.</w:t>
      </w:r>
    </w:p>
    <w:p w14:paraId="7EC0DB9D" w14:textId="1E87CFC0" w:rsidR="0030226C" w:rsidRPr="00840C95" w:rsidRDefault="00350161" w:rsidP="0030226C">
      <w:pPr>
        <w:pStyle w:val="BodyText"/>
        <w:spacing w:line="480" w:lineRule="auto"/>
        <w:rPr>
          <w:rFonts w:asciiTheme="majorBidi" w:hAnsiTheme="majorBidi" w:cstheme="majorBidi"/>
          <w:b/>
          <w:color w:val="auto"/>
          <w:sz w:val="24"/>
          <w:szCs w:val="22"/>
          <w:lang w:val="en-GB"/>
        </w:rPr>
      </w:pPr>
      <w:r w:rsidRPr="00840C95">
        <w:rPr>
          <w:rFonts w:asciiTheme="majorBidi" w:hAnsiTheme="majorBidi" w:cstheme="majorBidi"/>
          <w:color w:val="auto"/>
          <w:sz w:val="24"/>
          <w:szCs w:val="22"/>
          <w:lang w:val="en-GB"/>
        </w:rPr>
        <w:tab/>
      </w:r>
      <w:r w:rsidR="0030226C" w:rsidRPr="00840C95">
        <w:rPr>
          <w:rFonts w:asciiTheme="majorBidi" w:hAnsiTheme="majorBidi" w:cstheme="majorBidi"/>
          <w:color w:val="auto"/>
          <w:sz w:val="24"/>
          <w:szCs w:val="22"/>
          <w:lang w:val="en-GB"/>
        </w:rPr>
        <w:t>The Mundigak sequence and the supplementary information from Deh Morasi Ghundai (hereafter Deh Morasi) and Said Qala Tepe (hereafter Said Qala), provide crucial information for understanding the cultural processes linking the areas of Baluchistan and the Indus to Central Asia and eastern Iran. Conversely, excavations at sites like Shahr-i Sokhta,</w:t>
      </w:r>
      <w:r w:rsidR="0030226C" w:rsidRPr="00840C95">
        <w:rPr>
          <w:rStyle w:val="EndnoteReference"/>
          <w:rFonts w:asciiTheme="majorBidi" w:hAnsiTheme="majorBidi" w:cstheme="majorBidi"/>
          <w:color w:val="auto"/>
          <w:sz w:val="24"/>
          <w:szCs w:val="22"/>
          <w:lang w:val="en-GB"/>
        </w:rPr>
        <w:endnoteReference w:id="6"/>
      </w:r>
      <w:r w:rsidR="0030226C" w:rsidRPr="00840C95">
        <w:rPr>
          <w:rFonts w:asciiTheme="majorBidi" w:hAnsiTheme="majorBidi" w:cstheme="majorBidi"/>
          <w:color w:val="auto"/>
          <w:sz w:val="24"/>
          <w:szCs w:val="22"/>
          <w:lang w:val="en-GB"/>
        </w:rPr>
        <w:t xml:space="preserve"> Shahdad,</w:t>
      </w:r>
      <w:r w:rsidR="0030226C" w:rsidRPr="00840C95">
        <w:rPr>
          <w:rStyle w:val="EndnoteReference"/>
          <w:rFonts w:asciiTheme="majorBidi" w:hAnsiTheme="majorBidi" w:cstheme="majorBidi"/>
          <w:color w:val="auto"/>
          <w:sz w:val="24"/>
          <w:szCs w:val="22"/>
          <w:lang w:val="en-GB"/>
        </w:rPr>
        <w:endnoteReference w:id="7"/>
      </w:r>
      <w:r w:rsidR="0030226C" w:rsidRPr="00840C95">
        <w:rPr>
          <w:rFonts w:asciiTheme="majorBidi" w:hAnsiTheme="majorBidi" w:cstheme="majorBidi"/>
          <w:color w:val="auto"/>
          <w:sz w:val="24"/>
          <w:szCs w:val="22"/>
          <w:lang w:val="en-GB"/>
        </w:rPr>
        <w:t xml:space="preserve"> Tepe Yahya,</w:t>
      </w:r>
      <w:r w:rsidR="0030226C" w:rsidRPr="00840C95">
        <w:rPr>
          <w:rStyle w:val="EndnoteReference"/>
          <w:rFonts w:asciiTheme="majorBidi" w:hAnsiTheme="majorBidi" w:cstheme="majorBidi"/>
          <w:color w:val="auto"/>
          <w:sz w:val="24"/>
          <w:szCs w:val="22"/>
          <w:lang w:val="en-GB"/>
        </w:rPr>
        <w:endnoteReference w:id="8"/>
      </w:r>
      <w:r w:rsidR="0030226C" w:rsidRPr="00840C95">
        <w:rPr>
          <w:rFonts w:asciiTheme="majorBidi" w:hAnsiTheme="majorBidi" w:cstheme="majorBidi"/>
          <w:color w:val="auto"/>
          <w:sz w:val="24"/>
          <w:szCs w:val="22"/>
          <w:lang w:val="en-GB"/>
        </w:rPr>
        <w:t xml:space="preserve"> </w:t>
      </w:r>
      <w:r w:rsidR="00840C95" w:rsidRPr="00840C95">
        <w:rPr>
          <w:rFonts w:asciiTheme="majorBidi" w:hAnsiTheme="majorBidi" w:cstheme="majorBidi"/>
          <w:color w:val="auto"/>
          <w:sz w:val="24"/>
          <w:szCs w:val="22"/>
          <w:lang w:val="en-GB"/>
        </w:rPr>
        <w:t xml:space="preserve">and </w:t>
      </w:r>
      <w:r w:rsidR="0030226C" w:rsidRPr="00840C95">
        <w:rPr>
          <w:rFonts w:asciiTheme="majorBidi" w:hAnsiTheme="majorBidi" w:cstheme="majorBidi"/>
          <w:color w:val="auto"/>
          <w:sz w:val="24"/>
          <w:szCs w:val="22"/>
          <w:lang w:val="en-GB"/>
        </w:rPr>
        <w:t>Konar Sandal,</w:t>
      </w:r>
      <w:r w:rsidR="0030226C" w:rsidRPr="00840C95">
        <w:rPr>
          <w:rStyle w:val="EndnoteReference"/>
          <w:rFonts w:asciiTheme="majorBidi" w:hAnsiTheme="majorBidi" w:cstheme="majorBidi"/>
          <w:color w:val="auto"/>
          <w:sz w:val="24"/>
          <w:szCs w:val="22"/>
          <w:lang w:val="en-GB"/>
        </w:rPr>
        <w:endnoteReference w:id="9"/>
      </w:r>
      <w:r w:rsidR="0030226C" w:rsidRPr="00840C95">
        <w:rPr>
          <w:rFonts w:asciiTheme="majorBidi" w:hAnsiTheme="majorBidi" w:cstheme="majorBidi"/>
          <w:color w:val="auto"/>
          <w:sz w:val="24"/>
          <w:szCs w:val="22"/>
          <w:lang w:val="en-GB"/>
        </w:rPr>
        <w:t xml:space="preserve"> </w:t>
      </w:r>
      <w:r w:rsidR="0030226C" w:rsidRPr="00840C95">
        <w:rPr>
          <w:rFonts w:asciiTheme="majorBidi" w:hAnsiTheme="majorBidi" w:cstheme="majorBidi"/>
          <w:bCs/>
          <w:color w:val="auto"/>
          <w:sz w:val="24"/>
          <w:szCs w:val="22"/>
          <w:lang w:val="en-GB"/>
        </w:rPr>
        <w:t>in south-eastern Iran,</w:t>
      </w:r>
      <w:r w:rsidR="0030226C" w:rsidRPr="00840C95">
        <w:rPr>
          <w:rStyle w:val="EndnoteReference"/>
          <w:rFonts w:asciiTheme="majorBidi" w:hAnsiTheme="majorBidi" w:cstheme="majorBidi"/>
          <w:bCs/>
          <w:color w:val="auto"/>
          <w:sz w:val="24"/>
          <w:szCs w:val="22"/>
          <w:lang w:val="en-GB"/>
        </w:rPr>
        <w:endnoteReference w:id="10"/>
      </w:r>
      <w:r w:rsidR="0030226C" w:rsidRPr="00840C95">
        <w:rPr>
          <w:rFonts w:asciiTheme="majorBidi" w:hAnsiTheme="majorBidi" w:cstheme="majorBidi"/>
          <w:bCs/>
          <w:color w:val="auto"/>
          <w:sz w:val="24"/>
          <w:szCs w:val="22"/>
          <w:lang w:val="en-GB"/>
        </w:rPr>
        <w:t xml:space="preserve"> as well as at sites in Makran,</w:t>
      </w:r>
      <w:r w:rsidR="0030226C" w:rsidRPr="00840C95">
        <w:rPr>
          <w:rStyle w:val="EndnoteReference"/>
          <w:rFonts w:asciiTheme="majorBidi" w:hAnsiTheme="majorBidi" w:cstheme="majorBidi"/>
          <w:bCs/>
          <w:color w:val="auto"/>
          <w:sz w:val="24"/>
          <w:szCs w:val="22"/>
          <w:lang w:val="en-GB"/>
        </w:rPr>
        <w:endnoteReference w:id="11"/>
      </w:r>
      <w:r w:rsidR="0030226C" w:rsidRPr="00840C95">
        <w:rPr>
          <w:rFonts w:asciiTheme="majorBidi" w:hAnsiTheme="majorBidi" w:cstheme="majorBidi"/>
          <w:bCs/>
          <w:color w:val="auto"/>
          <w:sz w:val="24"/>
          <w:szCs w:val="22"/>
          <w:lang w:val="en-GB"/>
        </w:rPr>
        <w:t xml:space="preserve"> Baluchistan,</w:t>
      </w:r>
      <w:r w:rsidR="0030226C" w:rsidRPr="00840C95">
        <w:rPr>
          <w:rStyle w:val="EndnoteReference"/>
          <w:rFonts w:asciiTheme="majorBidi" w:hAnsiTheme="majorBidi" w:cstheme="majorBidi"/>
          <w:bCs/>
          <w:color w:val="auto"/>
          <w:sz w:val="24"/>
          <w:szCs w:val="22"/>
          <w:lang w:val="en-GB"/>
        </w:rPr>
        <w:endnoteReference w:id="12"/>
      </w:r>
      <w:r w:rsidR="0030226C" w:rsidRPr="00840C95">
        <w:rPr>
          <w:rFonts w:asciiTheme="majorBidi" w:hAnsiTheme="majorBidi" w:cstheme="majorBidi"/>
          <w:bCs/>
          <w:color w:val="auto"/>
          <w:sz w:val="24"/>
          <w:szCs w:val="22"/>
          <w:lang w:val="en-GB"/>
        </w:rPr>
        <w:t xml:space="preserve"> Khyber Pakhtunkhwa,</w:t>
      </w:r>
      <w:r w:rsidR="0030226C" w:rsidRPr="00840C95">
        <w:rPr>
          <w:rStyle w:val="EndnoteReference"/>
          <w:rFonts w:asciiTheme="majorBidi" w:hAnsiTheme="majorBidi" w:cstheme="majorBidi"/>
          <w:bCs/>
          <w:color w:val="auto"/>
          <w:sz w:val="24"/>
          <w:szCs w:val="22"/>
          <w:lang w:val="en-GB"/>
        </w:rPr>
        <w:endnoteReference w:id="13"/>
      </w:r>
      <w:r w:rsidR="0030226C" w:rsidRPr="00840C95">
        <w:rPr>
          <w:rFonts w:asciiTheme="majorBidi" w:hAnsiTheme="majorBidi" w:cstheme="majorBidi"/>
          <w:bCs/>
          <w:color w:val="auto"/>
          <w:sz w:val="24"/>
          <w:szCs w:val="22"/>
          <w:lang w:val="en-GB"/>
        </w:rPr>
        <w:t xml:space="preserve"> and the greater Indus region</w:t>
      </w:r>
      <w:r w:rsidR="0030226C" w:rsidRPr="00840C95">
        <w:rPr>
          <w:rStyle w:val="EndnoteReference"/>
          <w:rFonts w:asciiTheme="majorBidi" w:hAnsiTheme="majorBidi" w:cstheme="majorBidi"/>
          <w:bCs/>
          <w:color w:val="auto"/>
          <w:sz w:val="24"/>
          <w:szCs w:val="22"/>
          <w:lang w:val="en-GB"/>
        </w:rPr>
        <w:endnoteReference w:id="14"/>
      </w:r>
      <w:r w:rsidR="0030226C" w:rsidRPr="00840C95">
        <w:rPr>
          <w:rFonts w:asciiTheme="majorBidi" w:hAnsiTheme="majorBidi" w:cstheme="majorBidi"/>
          <w:b/>
          <w:color w:val="auto"/>
          <w:sz w:val="24"/>
          <w:szCs w:val="22"/>
          <w:lang w:val="en-GB"/>
        </w:rPr>
        <w:t xml:space="preserve"> </w:t>
      </w:r>
      <w:r w:rsidR="0030226C" w:rsidRPr="00840C95">
        <w:rPr>
          <w:rFonts w:asciiTheme="majorBidi" w:hAnsiTheme="majorBidi" w:cstheme="majorBidi"/>
          <w:color w:val="auto"/>
          <w:sz w:val="24"/>
          <w:szCs w:val="22"/>
          <w:lang w:val="en-GB"/>
        </w:rPr>
        <w:t xml:space="preserve">have since greatly added </w:t>
      </w:r>
      <w:r w:rsidR="0030226C" w:rsidRPr="00840C95">
        <w:rPr>
          <w:rFonts w:asciiTheme="majorBidi" w:hAnsiTheme="majorBidi" w:cstheme="majorBidi"/>
          <w:color w:val="auto"/>
          <w:sz w:val="24"/>
          <w:szCs w:val="22"/>
          <w:lang w:val="en-GB"/>
        </w:rPr>
        <w:lastRenderedPageBreak/>
        <w:t>to our knowledge of this vast area,</w:t>
      </w:r>
      <w:r w:rsidR="0030226C" w:rsidRPr="00840C95">
        <w:rPr>
          <w:rStyle w:val="EndnoteReference"/>
          <w:rFonts w:asciiTheme="majorBidi" w:hAnsiTheme="majorBidi" w:cstheme="majorBidi"/>
          <w:color w:val="auto"/>
          <w:sz w:val="24"/>
          <w:szCs w:val="22"/>
          <w:lang w:val="en-GB"/>
        </w:rPr>
        <w:endnoteReference w:id="15"/>
      </w:r>
      <w:r w:rsidR="0030226C" w:rsidRPr="00840C95">
        <w:rPr>
          <w:rFonts w:asciiTheme="majorBidi" w:hAnsiTheme="majorBidi" w:cstheme="majorBidi"/>
          <w:color w:val="auto"/>
          <w:sz w:val="24"/>
          <w:szCs w:val="22"/>
          <w:lang w:val="en-GB"/>
        </w:rPr>
        <w:t xml:space="preserve"> and helped to further contextualise the material from Afghanistan. </w:t>
      </w:r>
    </w:p>
    <w:p w14:paraId="47B615CA" w14:textId="77777777" w:rsidR="0030226C" w:rsidRPr="00067D8A" w:rsidRDefault="0030226C" w:rsidP="0030226C">
      <w:pPr>
        <w:pStyle w:val="Heading2"/>
        <w:rPr>
          <w:rFonts w:asciiTheme="majorBidi" w:hAnsiTheme="majorBidi"/>
          <w:color w:val="auto"/>
          <w:sz w:val="36"/>
          <w:szCs w:val="36"/>
          <w:lang w:val="en-GB"/>
        </w:rPr>
      </w:pPr>
      <w:r w:rsidRPr="00067D8A">
        <w:rPr>
          <w:rFonts w:asciiTheme="majorBidi" w:hAnsiTheme="majorBidi"/>
          <w:color w:val="auto"/>
          <w:sz w:val="36"/>
          <w:szCs w:val="36"/>
          <w:lang w:val="en-GB"/>
        </w:rPr>
        <w:t>Geographical Factors</w:t>
      </w:r>
    </w:p>
    <w:p w14:paraId="2F6EB4AF" w14:textId="77777777" w:rsidR="00067D8A" w:rsidRDefault="00067D8A" w:rsidP="0030226C">
      <w:pPr>
        <w:pStyle w:val="BodyText"/>
        <w:spacing w:line="480" w:lineRule="auto"/>
        <w:rPr>
          <w:rFonts w:asciiTheme="majorBidi" w:hAnsiTheme="majorBidi" w:cstheme="majorBidi"/>
          <w:sz w:val="24"/>
          <w:szCs w:val="22"/>
          <w:lang w:val="en-GB"/>
        </w:rPr>
      </w:pPr>
    </w:p>
    <w:p w14:paraId="4516704C" w14:textId="136B27A0" w:rsidR="0030226C" w:rsidRPr="00067D8A" w:rsidRDefault="0030226C" w:rsidP="00363DC7">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 xml:space="preserve">The site </w:t>
      </w:r>
      <w:r w:rsidRPr="00840C95">
        <w:rPr>
          <w:rFonts w:asciiTheme="majorBidi" w:hAnsiTheme="majorBidi" w:cstheme="majorBidi"/>
          <w:color w:val="auto"/>
          <w:sz w:val="24"/>
          <w:szCs w:val="22"/>
          <w:lang w:val="en-GB"/>
        </w:rPr>
        <w:t xml:space="preserve">of Mundigak </w:t>
      </w:r>
      <w:r w:rsidR="00751199" w:rsidRPr="00840C95">
        <w:rPr>
          <w:rFonts w:asciiTheme="majorBidi" w:hAnsiTheme="majorBidi" w:cstheme="majorBidi"/>
          <w:color w:val="auto"/>
          <w:sz w:val="24"/>
          <w:szCs w:val="22"/>
          <w:lang w:val="en-GB"/>
        </w:rPr>
        <w:t>comprises</w:t>
      </w:r>
      <w:r w:rsidRPr="00840C95">
        <w:rPr>
          <w:rFonts w:asciiTheme="majorBidi" w:hAnsiTheme="majorBidi" w:cstheme="majorBidi"/>
          <w:color w:val="auto"/>
          <w:sz w:val="24"/>
          <w:szCs w:val="22"/>
          <w:lang w:val="en-GB"/>
        </w:rPr>
        <w:t xml:space="preserve"> a series of mounds situated in a mountainous region approximately 55 km </w:t>
      </w:r>
      <w:r w:rsidR="00363DC7" w:rsidRPr="00840C95">
        <w:rPr>
          <w:rFonts w:asciiTheme="majorBidi" w:hAnsiTheme="majorBidi" w:cstheme="majorBidi"/>
          <w:color w:val="auto"/>
          <w:sz w:val="24"/>
          <w:szCs w:val="22"/>
          <w:lang w:val="en-GB"/>
        </w:rPr>
        <w:t>north-north-west</w:t>
      </w:r>
      <w:r w:rsidRPr="00840C95">
        <w:rPr>
          <w:rFonts w:asciiTheme="majorBidi" w:hAnsiTheme="majorBidi" w:cstheme="majorBidi"/>
          <w:color w:val="auto"/>
          <w:sz w:val="24"/>
          <w:szCs w:val="22"/>
          <w:lang w:val="en-GB"/>
        </w:rPr>
        <w:t xml:space="preserve"> of Kandahar, in the upper drainage of the Kushk-i Nakhud Rud, which roughly parallels the Arghandab </w:t>
      </w:r>
      <w:r w:rsidRPr="00067D8A">
        <w:rPr>
          <w:rFonts w:asciiTheme="majorBidi" w:hAnsiTheme="majorBidi" w:cstheme="majorBidi"/>
          <w:sz w:val="24"/>
          <w:szCs w:val="22"/>
          <w:lang w:val="en-GB"/>
        </w:rPr>
        <w:t>river as it flows west past Kandahar, eventually joining the Arghandab</w:t>
      </w:r>
      <w:r w:rsidR="00840C95">
        <w:rPr>
          <w:rFonts w:asciiTheme="majorBidi" w:hAnsiTheme="majorBidi" w:cstheme="majorBidi"/>
          <w:sz w:val="24"/>
          <w:szCs w:val="22"/>
          <w:lang w:val="en-GB"/>
        </w:rPr>
        <w:t xml:space="preserve"> (Fig. 4.1)</w:t>
      </w:r>
      <w:r w:rsidRPr="00067D8A">
        <w:rPr>
          <w:rFonts w:asciiTheme="majorBidi" w:hAnsiTheme="majorBidi" w:cstheme="majorBidi"/>
          <w:sz w:val="24"/>
          <w:szCs w:val="22"/>
          <w:lang w:val="en-GB"/>
        </w:rPr>
        <w:t>. The Arghandab joins the Helmand approximately 130 km south-west of Kandahar at Bust. Like most areas of Afghanistan this region is arid. The Helmand then flows south and west then north until it reaches the large marshy, but today extremely arid, area of Seistan on the Iranian border</w:t>
      </w:r>
      <w:r w:rsidR="00840C95">
        <w:rPr>
          <w:rFonts w:asciiTheme="majorBidi" w:hAnsiTheme="majorBidi" w:cstheme="majorBidi"/>
          <w:sz w:val="24"/>
          <w:szCs w:val="22"/>
          <w:lang w:val="en-GB"/>
        </w:rPr>
        <w:t>,</w:t>
      </w:r>
      <w:r w:rsidRPr="00067D8A">
        <w:rPr>
          <w:rFonts w:asciiTheme="majorBidi" w:hAnsiTheme="majorBidi" w:cstheme="majorBidi"/>
          <w:sz w:val="24"/>
          <w:szCs w:val="22"/>
          <w:lang w:val="en-GB"/>
        </w:rPr>
        <w:t xml:space="preserve"> which has in Afghanistan only had surface survey for prehistoric sites, and limited excavations.</w:t>
      </w:r>
      <w:r w:rsidRPr="00067D8A">
        <w:rPr>
          <w:rStyle w:val="EndnoteReference"/>
          <w:rFonts w:asciiTheme="majorBidi" w:hAnsiTheme="majorBidi" w:cstheme="majorBidi"/>
          <w:sz w:val="24"/>
          <w:szCs w:val="22"/>
          <w:lang w:val="en-GB"/>
        </w:rPr>
        <w:endnoteReference w:id="16"/>
      </w:r>
      <w:r w:rsidRPr="00067D8A">
        <w:rPr>
          <w:rFonts w:asciiTheme="majorBidi" w:hAnsiTheme="majorBidi" w:cstheme="majorBidi"/>
          <w:sz w:val="24"/>
          <w:szCs w:val="22"/>
          <w:lang w:val="en-GB"/>
        </w:rPr>
        <w:t xml:space="preserve"> Before the Arghandab-</w:t>
      </w:r>
      <w:r w:rsidRPr="00840C95">
        <w:rPr>
          <w:rFonts w:asciiTheme="majorBidi" w:hAnsiTheme="majorBidi" w:cstheme="majorBidi"/>
          <w:color w:val="auto"/>
          <w:sz w:val="24"/>
          <w:szCs w:val="22"/>
          <w:lang w:val="en-GB"/>
        </w:rPr>
        <w:t xml:space="preserve">Helmand </w:t>
      </w:r>
      <w:r w:rsidR="008D2615" w:rsidRPr="00840C95">
        <w:rPr>
          <w:rFonts w:asciiTheme="majorBidi" w:hAnsiTheme="majorBidi" w:cstheme="majorBidi"/>
          <w:color w:val="auto"/>
          <w:sz w:val="24"/>
          <w:szCs w:val="22"/>
          <w:lang w:val="en-GB"/>
        </w:rPr>
        <w:t>Rivers</w:t>
      </w:r>
      <w:r w:rsidR="00363DC7" w:rsidRPr="00840C95">
        <w:rPr>
          <w:rFonts w:asciiTheme="majorBidi" w:hAnsiTheme="majorBidi" w:cstheme="majorBidi"/>
          <w:color w:val="auto"/>
          <w:sz w:val="24"/>
          <w:szCs w:val="22"/>
          <w:lang w:val="en-GB"/>
        </w:rPr>
        <w:t xml:space="preserve"> </w:t>
      </w:r>
      <w:r w:rsidRPr="00067D8A">
        <w:rPr>
          <w:rFonts w:asciiTheme="majorBidi" w:hAnsiTheme="majorBidi" w:cstheme="majorBidi"/>
          <w:sz w:val="24"/>
          <w:szCs w:val="22"/>
          <w:lang w:val="en-GB"/>
        </w:rPr>
        <w:t xml:space="preserve">turn to the south-west, they form the northern boundary separating the cultivable lands to the north from the arid Registan desert. Once the Helmand begins its south-westward course it passes through some of the most </w:t>
      </w:r>
      <w:r w:rsidRPr="00840C95">
        <w:rPr>
          <w:rFonts w:asciiTheme="majorBidi" w:hAnsiTheme="majorBidi" w:cstheme="majorBidi"/>
          <w:color w:val="auto"/>
          <w:sz w:val="24"/>
          <w:szCs w:val="22"/>
          <w:lang w:val="en-GB"/>
        </w:rPr>
        <w:t>arid regions in the world, although satellite imagery has revealed a huge quantity of pre-modern remains in the sands hitherto unsuspected,</w:t>
      </w:r>
      <w:r w:rsidRPr="00840C95">
        <w:rPr>
          <w:rStyle w:val="EndnoteReference"/>
          <w:rFonts w:asciiTheme="majorBidi" w:hAnsiTheme="majorBidi" w:cstheme="majorBidi"/>
          <w:color w:val="auto"/>
          <w:sz w:val="24"/>
          <w:szCs w:val="22"/>
          <w:lang w:val="en-GB"/>
        </w:rPr>
        <w:endnoteReference w:id="17"/>
      </w:r>
      <w:r w:rsidRPr="00840C95">
        <w:rPr>
          <w:rFonts w:asciiTheme="majorBidi" w:hAnsiTheme="majorBidi" w:cstheme="majorBidi"/>
          <w:color w:val="auto"/>
          <w:sz w:val="24"/>
          <w:szCs w:val="22"/>
          <w:lang w:val="en-GB"/>
        </w:rPr>
        <w:t xml:space="preserve"> and surface survey has revealed numerous settlements </w:t>
      </w:r>
      <w:r w:rsidRPr="00067D8A">
        <w:rPr>
          <w:rFonts w:asciiTheme="majorBidi" w:hAnsiTheme="majorBidi" w:cstheme="majorBidi"/>
          <w:sz w:val="24"/>
          <w:szCs w:val="22"/>
          <w:lang w:val="en-GB"/>
        </w:rPr>
        <w:t>along long abandoned river channels.</w:t>
      </w:r>
      <w:r w:rsidRPr="00067D8A">
        <w:rPr>
          <w:rStyle w:val="EndnoteReference"/>
          <w:rFonts w:asciiTheme="majorBidi" w:hAnsiTheme="majorBidi" w:cstheme="majorBidi"/>
          <w:sz w:val="24"/>
          <w:szCs w:val="22"/>
          <w:lang w:val="en-GB"/>
        </w:rPr>
        <w:endnoteReference w:id="18"/>
      </w:r>
      <w:r w:rsidRPr="00067D8A">
        <w:rPr>
          <w:rFonts w:asciiTheme="majorBidi" w:hAnsiTheme="majorBidi" w:cstheme="majorBidi"/>
          <w:sz w:val="24"/>
          <w:szCs w:val="22"/>
          <w:lang w:val="en-GB"/>
        </w:rPr>
        <w:t xml:space="preserve"> The Helmand is actually the only major perennial river located between Mesopotamia and the Indus River, and its importance in prehistoric cultural developments throughout this vast adjacent areas </w:t>
      </w:r>
      <w:r w:rsidRPr="00840C95">
        <w:rPr>
          <w:rFonts w:asciiTheme="majorBidi" w:hAnsiTheme="majorBidi" w:cstheme="majorBidi"/>
          <w:color w:val="auto"/>
          <w:sz w:val="24"/>
          <w:szCs w:val="22"/>
          <w:lang w:val="en-GB"/>
        </w:rPr>
        <w:t>cannot be overemphasised.</w:t>
      </w:r>
      <w:r w:rsidRPr="00840C95">
        <w:rPr>
          <w:rStyle w:val="EndnoteReference"/>
          <w:rFonts w:asciiTheme="majorBidi" w:hAnsiTheme="majorBidi" w:cstheme="majorBidi"/>
          <w:color w:val="auto"/>
          <w:sz w:val="24"/>
          <w:szCs w:val="22"/>
          <w:lang w:val="en-GB"/>
        </w:rPr>
        <w:endnoteReference w:id="19"/>
      </w:r>
      <w:r w:rsidRPr="00840C95">
        <w:rPr>
          <w:rFonts w:asciiTheme="majorBidi" w:hAnsiTheme="majorBidi" w:cstheme="majorBidi"/>
          <w:color w:val="auto"/>
          <w:sz w:val="24"/>
          <w:szCs w:val="22"/>
          <w:lang w:val="en-GB"/>
        </w:rPr>
        <w:t xml:space="preserve"> The location of Mundigak within the drainage of one of the main tributaries </w:t>
      </w:r>
      <w:r w:rsidRPr="00067D8A">
        <w:rPr>
          <w:rFonts w:asciiTheme="majorBidi" w:hAnsiTheme="majorBidi" w:cstheme="majorBidi"/>
          <w:sz w:val="24"/>
          <w:szCs w:val="22"/>
          <w:lang w:val="en-GB"/>
        </w:rPr>
        <w:t>of this system is a major factor in understanding the cultural processes and phenomena which are reflected at this site.</w:t>
      </w:r>
    </w:p>
    <w:p w14:paraId="08DEDB78" w14:textId="445BF926"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Similar conditions may be defined for the related sites of Deh Morasi and Said Qala, </w:t>
      </w:r>
      <w:r w:rsidR="008D2615">
        <w:rPr>
          <w:rFonts w:asciiTheme="majorBidi" w:hAnsiTheme="majorBidi" w:cstheme="majorBidi"/>
          <w:sz w:val="24"/>
          <w:szCs w:val="22"/>
        </w:rPr>
        <w:t xml:space="preserve">which are </w:t>
      </w:r>
      <w:r w:rsidRPr="00067D8A">
        <w:rPr>
          <w:rFonts w:asciiTheme="majorBidi" w:hAnsiTheme="majorBidi" w:cstheme="majorBidi"/>
          <w:sz w:val="24"/>
          <w:szCs w:val="22"/>
        </w:rPr>
        <w:t xml:space="preserve">both located within 30 km of Kandahar and about 100 km south-east of Mundigak, on the flood plain separating the Arghandab and Tarnak </w:t>
      </w:r>
      <w:r w:rsidR="005B52A9">
        <w:rPr>
          <w:rFonts w:asciiTheme="majorBidi" w:hAnsiTheme="majorBidi" w:cstheme="majorBidi"/>
          <w:sz w:val="24"/>
          <w:szCs w:val="22"/>
        </w:rPr>
        <w:t>R</w:t>
      </w:r>
      <w:r w:rsidRPr="00067D8A">
        <w:rPr>
          <w:rFonts w:asciiTheme="majorBidi" w:hAnsiTheme="majorBidi" w:cstheme="majorBidi"/>
          <w:sz w:val="24"/>
          <w:szCs w:val="22"/>
        </w:rPr>
        <w:t xml:space="preserve">ivers. The Tarnak runs parallel to the </w:t>
      </w:r>
      <w:r w:rsidRPr="00067D8A">
        <w:rPr>
          <w:rFonts w:asciiTheme="majorBidi" w:hAnsiTheme="majorBidi" w:cstheme="majorBidi"/>
          <w:sz w:val="24"/>
          <w:szCs w:val="22"/>
        </w:rPr>
        <w:lastRenderedPageBreak/>
        <w:t>Arghandab and flows into the Dori south of the sites. The Dori in turn flows west to join the Arghandab about 70 km south-west of Kandahar. The proximity and location within the same river system is important to the close relationships definable between these southern Afghan prehistoric sites.</w:t>
      </w:r>
    </w:p>
    <w:p w14:paraId="6896457C" w14:textId="10DBEA36"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It is worth noting that research in south-east Iran</w:t>
      </w:r>
      <w:r w:rsidRPr="00067D8A">
        <w:rPr>
          <w:rStyle w:val="EndnoteReference"/>
          <w:rFonts w:asciiTheme="majorBidi" w:hAnsiTheme="majorBidi" w:cstheme="majorBidi"/>
          <w:sz w:val="24"/>
          <w:szCs w:val="22"/>
        </w:rPr>
        <w:endnoteReference w:id="20"/>
      </w:r>
      <w:r w:rsidRPr="00067D8A">
        <w:rPr>
          <w:rFonts w:asciiTheme="majorBidi" w:hAnsiTheme="majorBidi" w:cstheme="majorBidi"/>
          <w:sz w:val="24"/>
          <w:szCs w:val="22"/>
        </w:rPr>
        <w:t xml:space="preserve"> and the piedmonts of the Suleiman Ranges in Pakistan</w:t>
      </w:r>
      <w:r w:rsidRPr="00067D8A">
        <w:rPr>
          <w:rStyle w:val="EndnoteReference"/>
          <w:rFonts w:asciiTheme="majorBidi" w:hAnsiTheme="majorBidi" w:cstheme="majorBidi"/>
          <w:sz w:val="24"/>
          <w:szCs w:val="22"/>
        </w:rPr>
        <w:endnoteReference w:id="21"/>
      </w:r>
      <w:r w:rsidRPr="00067D8A">
        <w:rPr>
          <w:rFonts w:asciiTheme="majorBidi" w:hAnsiTheme="majorBidi" w:cstheme="majorBidi"/>
          <w:sz w:val="24"/>
          <w:szCs w:val="22"/>
        </w:rPr>
        <w:t xml:space="preserve"> has shown that many Neolithic and later settlements like Tepe Gaz Tavila (R37), Tepe Yahya, Mundigak and Sheri Khan Tarakai were situated on alluvial fans or terraces associated with perennial and ephemeral water courses. Given the similar geographical constraints that exist in Southern Afghanistan, it is likely that a number of settlements will have been situated in similar contexts in order to exploit available water sources. For instance, Mudigak appears to have been situated on a</w:t>
      </w:r>
      <w:r w:rsidR="008D2615">
        <w:rPr>
          <w:rFonts w:asciiTheme="majorBidi" w:hAnsiTheme="majorBidi" w:cstheme="majorBidi"/>
          <w:sz w:val="24"/>
          <w:szCs w:val="22"/>
        </w:rPr>
        <w:t xml:space="preserve"> relic</w:t>
      </w:r>
      <w:r w:rsidRPr="00067D8A">
        <w:rPr>
          <w:rFonts w:asciiTheme="majorBidi" w:hAnsiTheme="majorBidi" w:cstheme="majorBidi"/>
          <w:sz w:val="24"/>
          <w:szCs w:val="22"/>
        </w:rPr>
        <w:t xml:space="preserve"> alluvial terrace adjacent to a river, and at the foot of a number of large alluvial fans.</w:t>
      </w:r>
      <w:r w:rsidRPr="00067D8A">
        <w:rPr>
          <w:rStyle w:val="EndnoteReference"/>
          <w:rFonts w:asciiTheme="majorBidi" w:hAnsiTheme="majorBidi" w:cstheme="majorBidi"/>
          <w:sz w:val="24"/>
          <w:szCs w:val="22"/>
        </w:rPr>
        <w:endnoteReference w:id="22"/>
      </w:r>
      <w:r w:rsidRPr="00067D8A">
        <w:rPr>
          <w:rFonts w:asciiTheme="majorBidi" w:hAnsiTheme="majorBidi" w:cstheme="majorBidi"/>
          <w:sz w:val="24"/>
          <w:szCs w:val="22"/>
        </w:rPr>
        <w:t xml:space="preserve"> </w:t>
      </w:r>
    </w:p>
    <w:p w14:paraId="67F49D68" w14:textId="7857B6D2" w:rsidR="0030226C" w:rsidRPr="005B52A9" w:rsidRDefault="009C43AA" w:rsidP="0030226C">
      <w:pPr>
        <w:pStyle w:val="Heading2"/>
        <w:rPr>
          <w:rFonts w:asciiTheme="majorBidi" w:hAnsiTheme="majorBidi"/>
          <w:color w:val="auto"/>
          <w:sz w:val="36"/>
          <w:szCs w:val="36"/>
          <w:lang w:val="en-GB"/>
        </w:rPr>
      </w:pPr>
      <w:r w:rsidRPr="009C43AA">
        <w:rPr>
          <w:rFonts w:asciiTheme="majorBidi" w:hAnsiTheme="majorBidi"/>
          <w:color w:val="auto"/>
          <w:sz w:val="36"/>
          <w:szCs w:val="36"/>
          <w:lang w:val="en-GB"/>
        </w:rPr>
        <w:t>Mundigak</w:t>
      </w:r>
    </w:p>
    <w:p w14:paraId="2E47862F" w14:textId="77777777" w:rsidR="005B52A9" w:rsidRDefault="005B52A9" w:rsidP="0030226C">
      <w:pPr>
        <w:pStyle w:val="BodyText"/>
        <w:spacing w:line="480" w:lineRule="auto"/>
        <w:rPr>
          <w:rFonts w:asciiTheme="majorBidi" w:hAnsiTheme="majorBidi" w:cstheme="majorBidi"/>
          <w:sz w:val="24"/>
          <w:szCs w:val="22"/>
          <w:lang w:val="en-GB"/>
        </w:rPr>
      </w:pPr>
    </w:p>
    <w:p w14:paraId="08F38607" w14:textId="13BA23B8" w:rsidR="0030226C" w:rsidRPr="00067D8A" w:rsidRDefault="008D2615" w:rsidP="000A0911">
      <w:pPr>
        <w:pStyle w:val="BodyText"/>
        <w:spacing w:line="480" w:lineRule="auto"/>
        <w:rPr>
          <w:rFonts w:asciiTheme="majorBidi" w:hAnsiTheme="majorBidi" w:cstheme="majorBidi"/>
          <w:sz w:val="24"/>
          <w:szCs w:val="22"/>
          <w:lang w:val="en-GB"/>
        </w:rPr>
      </w:pPr>
      <w:r>
        <w:rPr>
          <w:rFonts w:asciiTheme="majorBidi" w:hAnsiTheme="majorBidi" w:cstheme="majorBidi"/>
          <w:sz w:val="24"/>
          <w:szCs w:val="22"/>
          <w:lang w:val="en-GB"/>
        </w:rPr>
        <w:t>D</w:t>
      </w:r>
      <w:r w:rsidRPr="00067D8A">
        <w:rPr>
          <w:rFonts w:asciiTheme="majorBidi" w:hAnsiTheme="majorBidi" w:cstheme="majorBidi"/>
          <w:sz w:val="24"/>
          <w:szCs w:val="22"/>
          <w:lang w:val="en-GB"/>
        </w:rPr>
        <w:t xml:space="preserve">uring the middle and late 1950s the DAFA conducted continuous </w:t>
      </w:r>
      <w:r w:rsidR="00953703">
        <w:rPr>
          <w:rFonts w:asciiTheme="majorBidi" w:hAnsiTheme="majorBidi" w:cstheme="majorBidi"/>
          <w:sz w:val="24"/>
          <w:szCs w:val="22"/>
          <w:lang w:val="en-GB"/>
        </w:rPr>
        <w:t xml:space="preserve">and </w:t>
      </w:r>
      <w:r w:rsidRPr="00067D8A">
        <w:rPr>
          <w:rFonts w:asciiTheme="majorBidi" w:hAnsiTheme="majorBidi" w:cstheme="majorBidi"/>
          <w:sz w:val="24"/>
          <w:szCs w:val="22"/>
          <w:lang w:val="en-GB"/>
        </w:rPr>
        <w:t>extensive excavations at Mundigak</w:t>
      </w:r>
      <w:r>
        <w:rPr>
          <w:rFonts w:asciiTheme="majorBidi" w:hAnsiTheme="majorBidi" w:cstheme="majorBidi"/>
          <w:sz w:val="24"/>
          <w:szCs w:val="22"/>
          <w:lang w:val="en-GB"/>
        </w:rPr>
        <w:t xml:space="preserve"> under the direction of Jean-Marie Casal</w:t>
      </w:r>
      <w:r w:rsidR="00047697">
        <w:rPr>
          <w:rFonts w:asciiTheme="majorBidi" w:hAnsiTheme="majorBidi" w:cstheme="majorBidi"/>
          <w:sz w:val="24"/>
          <w:szCs w:val="22"/>
          <w:lang w:val="en-GB"/>
        </w:rPr>
        <w:t>.</w:t>
      </w:r>
      <w:r w:rsidR="00953703">
        <w:rPr>
          <w:rFonts w:asciiTheme="majorBidi" w:hAnsiTheme="majorBidi" w:cstheme="majorBidi"/>
          <w:sz w:val="24"/>
          <w:szCs w:val="22"/>
          <w:lang w:val="en-GB"/>
        </w:rPr>
        <w:t xml:space="preserve"> O</w:t>
      </w:r>
      <w:r w:rsidR="00944180" w:rsidRPr="00067D8A">
        <w:rPr>
          <w:rFonts w:asciiTheme="majorBidi" w:hAnsiTheme="majorBidi" w:cstheme="majorBidi"/>
          <w:sz w:val="24"/>
          <w:szCs w:val="22"/>
          <w:lang w:val="en-GB"/>
        </w:rPr>
        <w:t xml:space="preserve">ver 70 years after they were completed, </w:t>
      </w:r>
      <w:r w:rsidR="0030226C" w:rsidRPr="00067D8A">
        <w:rPr>
          <w:rFonts w:asciiTheme="majorBidi" w:hAnsiTheme="majorBidi" w:cstheme="majorBidi"/>
          <w:sz w:val="24"/>
          <w:szCs w:val="22"/>
          <w:lang w:val="en-GB"/>
        </w:rPr>
        <w:t xml:space="preserve">(Figs </w:t>
      </w:r>
      <w:r w:rsidR="005B52A9">
        <w:rPr>
          <w:rFonts w:asciiTheme="majorBidi" w:hAnsiTheme="majorBidi" w:cstheme="majorBidi"/>
          <w:color w:val="FF0000"/>
          <w:sz w:val="24"/>
          <w:szCs w:val="22"/>
          <w:lang w:val="en-GB"/>
        </w:rPr>
        <w:t>4.</w:t>
      </w:r>
      <w:r w:rsidR="0030226C" w:rsidRPr="00067D8A">
        <w:rPr>
          <w:rFonts w:asciiTheme="majorBidi" w:hAnsiTheme="majorBidi" w:cstheme="majorBidi"/>
          <w:color w:val="FF0000"/>
          <w:sz w:val="24"/>
          <w:szCs w:val="22"/>
          <w:lang w:val="en-GB"/>
        </w:rPr>
        <w:t>37-</w:t>
      </w:r>
      <w:r w:rsidR="005B52A9">
        <w:rPr>
          <w:rFonts w:asciiTheme="majorBidi" w:hAnsiTheme="majorBidi" w:cstheme="majorBidi"/>
          <w:color w:val="FF0000"/>
          <w:sz w:val="24"/>
          <w:szCs w:val="22"/>
          <w:lang w:val="en-GB"/>
        </w:rPr>
        <w:t>4.</w:t>
      </w:r>
      <w:r w:rsidR="0030226C" w:rsidRPr="00067D8A">
        <w:rPr>
          <w:rFonts w:asciiTheme="majorBidi" w:hAnsiTheme="majorBidi" w:cstheme="majorBidi"/>
          <w:color w:val="FF0000"/>
          <w:sz w:val="24"/>
          <w:szCs w:val="22"/>
          <w:lang w:val="en-GB"/>
        </w:rPr>
        <w:t>52</w:t>
      </w:r>
      <w:r w:rsidR="00953703" w:rsidRPr="00067D8A">
        <w:rPr>
          <w:rFonts w:asciiTheme="majorBidi" w:hAnsiTheme="majorBidi" w:cstheme="majorBidi"/>
          <w:sz w:val="24"/>
          <w:szCs w:val="22"/>
          <w:lang w:val="en-GB"/>
        </w:rPr>
        <w:t>)</w:t>
      </w:r>
      <w:r w:rsidR="00953703">
        <w:rPr>
          <w:rFonts w:asciiTheme="majorBidi" w:hAnsiTheme="majorBidi" w:cstheme="majorBidi"/>
          <w:sz w:val="24"/>
          <w:szCs w:val="22"/>
          <w:lang w:val="en-GB"/>
        </w:rPr>
        <w:t xml:space="preserve"> </w:t>
      </w:r>
      <w:r w:rsidR="00953703">
        <w:rPr>
          <w:rFonts w:asciiTheme="majorBidi" w:hAnsiTheme="majorBidi" w:cstheme="majorBidi"/>
          <w:color w:val="FF0000"/>
          <w:sz w:val="24"/>
          <w:szCs w:val="22"/>
          <w:lang w:val="en-GB"/>
        </w:rPr>
        <w:t>the results of these excavations</w:t>
      </w:r>
      <w:r w:rsidR="00953703" w:rsidRPr="00067D8A">
        <w:rPr>
          <w:rFonts w:asciiTheme="majorBidi" w:hAnsiTheme="majorBidi" w:cstheme="majorBidi"/>
          <w:sz w:val="24"/>
          <w:szCs w:val="22"/>
          <w:lang w:val="en-GB"/>
        </w:rPr>
        <w:t xml:space="preserve"> </w:t>
      </w:r>
      <w:r w:rsidR="0030226C" w:rsidRPr="00067D8A">
        <w:rPr>
          <w:rFonts w:asciiTheme="majorBidi" w:hAnsiTheme="majorBidi" w:cstheme="majorBidi"/>
          <w:sz w:val="24"/>
          <w:szCs w:val="22"/>
          <w:lang w:val="en-GB"/>
        </w:rPr>
        <w:t xml:space="preserve">still represent the major research effort concerned with the later periods of </w:t>
      </w:r>
      <w:r w:rsidR="0030226C" w:rsidRPr="00047697">
        <w:rPr>
          <w:rFonts w:asciiTheme="majorBidi" w:hAnsiTheme="majorBidi" w:cstheme="majorBidi"/>
          <w:color w:val="auto"/>
          <w:sz w:val="24"/>
          <w:szCs w:val="22"/>
          <w:lang w:val="en-GB"/>
        </w:rPr>
        <w:t>prehistory in southern Afghanistan</w:t>
      </w:r>
      <w:r w:rsidR="00953703">
        <w:rPr>
          <w:rFonts w:asciiTheme="majorBidi" w:hAnsiTheme="majorBidi" w:cstheme="majorBidi"/>
          <w:color w:val="FF0000"/>
          <w:sz w:val="24"/>
          <w:szCs w:val="22"/>
          <w:lang w:val="en-GB"/>
        </w:rPr>
        <w:t xml:space="preserve">, despite the inevitable limitations that result from the excavation, retrieval and analytical methods that were </w:t>
      </w:r>
      <w:r w:rsidR="00047697">
        <w:rPr>
          <w:rFonts w:asciiTheme="majorBidi" w:hAnsiTheme="majorBidi" w:cstheme="majorBidi"/>
          <w:color w:val="FF0000"/>
          <w:sz w:val="24"/>
          <w:szCs w:val="22"/>
          <w:lang w:val="en-GB"/>
        </w:rPr>
        <w:t xml:space="preserve">then in common </w:t>
      </w:r>
      <w:r w:rsidR="00953703">
        <w:rPr>
          <w:rFonts w:asciiTheme="majorBidi" w:hAnsiTheme="majorBidi" w:cstheme="majorBidi"/>
          <w:color w:val="FF0000"/>
          <w:sz w:val="24"/>
          <w:szCs w:val="22"/>
          <w:lang w:val="en-GB"/>
        </w:rPr>
        <w:t>use</w:t>
      </w:r>
      <w:r w:rsidR="0030226C" w:rsidRPr="00067D8A">
        <w:rPr>
          <w:rFonts w:asciiTheme="majorBidi" w:hAnsiTheme="majorBidi" w:cstheme="majorBidi"/>
          <w:sz w:val="24"/>
          <w:szCs w:val="22"/>
          <w:lang w:val="en-GB"/>
        </w:rPr>
        <w:t>.</w:t>
      </w:r>
      <w:r w:rsidR="0030226C" w:rsidRPr="00067D8A">
        <w:rPr>
          <w:rStyle w:val="EndnoteReference"/>
          <w:rFonts w:asciiTheme="majorBidi" w:hAnsiTheme="majorBidi" w:cstheme="majorBidi"/>
          <w:sz w:val="24"/>
          <w:szCs w:val="22"/>
          <w:lang w:val="en-GB"/>
        </w:rPr>
        <w:endnoteReference w:id="23"/>
      </w:r>
      <w:r w:rsidR="0030226C" w:rsidRPr="00067D8A">
        <w:rPr>
          <w:rFonts w:asciiTheme="majorBidi" w:hAnsiTheme="majorBidi" w:cstheme="majorBidi"/>
          <w:sz w:val="24"/>
          <w:szCs w:val="22"/>
          <w:lang w:val="en-GB"/>
        </w:rPr>
        <w:t xml:space="preserve"> </w:t>
      </w:r>
      <w:r w:rsidR="00953703" w:rsidRPr="00067D8A">
        <w:rPr>
          <w:rFonts w:asciiTheme="majorBidi" w:hAnsiTheme="majorBidi" w:cstheme="majorBidi"/>
          <w:sz w:val="24"/>
          <w:szCs w:val="22"/>
          <w:lang w:val="en-GB"/>
        </w:rPr>
        <w:t>Casal</w:t>
      </w:r>
      <w:r w:rsidR="00953703">
        <w:rPr>
          <w:rFonts w:asciiTheme="majorBidi" w:hAnsiTheme="majorBidi" w:cstheme="majorBidi"/>
          <w:sz w:val="24"/>
          <w:szCs w:val="22"/>
          <w:lang w:val="en-GB"/>
        </w:rPr>
        <w:t xml:space="preserve"> d</w:t>
      </w:r>
      <w:r w:rsidR="00953703" w:rsidRPr="00067D8A">
        <w:rPr>
          <w:rFonts w:asciiTheme="majorBidi" w:hAnsiTheme="majorBidi" w:cstheme="majorBidi"/>
          <w:sz w:val="24"/>
          <w:szCs w:val="22"/>
          <w:lang w:val="en-GB"/>
        </w:rPr>
        <w:t>efined seven major occupation periods at Mundigak</w:t>
      </w:r>
      <w:r w:rsidR="00953703">
        <w:rPr>
          <w:rFonts w:asciiTheme="majorBidi" w:hAnsiTheme="majorBidi" w:cstheme="majorBidi"/>
          <w:sz w:val="24"/>
          <w:szCs w:val="22"/>
          <w:lang w:val="en-GB"/>
        </w:rPr>
        <w:t>,</w:t>
      </w:r>
      <w:r w:rsidR="00953703" w:rsidRPr="00067D8A" w:rsidDel="00944180">
        <w:rPr>
          <w:rFonts w:asciiTheme="majorBidi" w:hAnsiTheme="majorBidi" w:cstheme="majorBidi"/>
          <w:sz w:val="24"/>
          <w:szCs w:val="22"/>
          <w:lang w:val="en-GB"/>
        </w:rPr>
        <w:t xml:space="preserve"> </w:t>
      </w:r>
      <w:r w:rsidR="00047697">
        <w:rPr>
          <w:rFonts w:asciiTheme="majorBidi" w:hAnsiTheme="majorBidi" w:cstheme="majorBidi"/>
          <w:sz w:val="24"/>
          <w:szCs w:val="22"/>
          <w:lang w:val="en-GB"/>
        </w:rPr>
        <w:t>and</w:t>
      </w:r>
      <w:r w:rsidR="00953703" w:rsidRPr="00067D8A">
        <w:rPr>
          <w:rFonts w:asciiTheme="majorBidi" w:hAnsiTheme="majorBidi" w:cstheme="majorBidi"/>
          <w:sz w:val="24"/>
          <w:szCs w:val="22"/>
          <w:lang w:val="en-GB"/>
        </w:rPr>
        <w:t xml:space="preserve"> the first five of these are of concern here</w:t>
      </w:r>
      <w:r w:rsidR="00953703">
        <w:rPr>
          <w:rFonts w:asciiTheme="majorBidi" w:hAnsiTheme="majorBidi" w:cstheme="majorBidi"/>
          <w:sz w:val="24"/>
          <w:szCs w:val="22"/>
          <w:lang w:val="en-GB"/>
        </w:rPr>
        <w:t>.</w:t>
      </w:r>
      <w:r w:rsidR="00953703" w:rsidRPr="00067D8A" w:rsidDel="00953703">
        <w:rPr>
          <w:rFonts w:asciiTheme="majorBidi" w:hAnsiTheme="majorBidi" w:cstheme="majorBidi"/>
          <w:sz w:val="24"/>
          <w:szCs w:val="22"/>
          <w:lang w:val="en-GB"/>
        </w:rPr>
        <w:t xml:space="preserve"> </w:t>
      </w:r>
      <w:r w:rsidR="0030226C" w:rsidRPr="00067D8A">
        <w:rPr>
          <w:rFonts w:asciiTheme="majorBidi" w:hAnsiTheme="majorBidi" w:cstheme="majorBidi"/>
          <w:sz w:val="24"/>
          <w:szCs w:val="22"/>
          <w:lang w:val="en-GB"/>
        </w:rPr>
        <w:t xml:space="preserve">Chronologically these periods represent a time span of approximately 3000 years from the beginning of the fourth to sometime in the second millennium </w:t>
      </w:r>
      <w:r w:rsidR="0030226C" w:rsidRPr="00067D8A">
        <w:rPr>
          <w:rFonts w:asciiTheme="majorBidi" w:hAnsiTheme="majorBidi" w:cstheme="majorBidi"/>
          <w:smallCaps/>
          <w:sz w:val="24"/>
          <w:szCs w:val="22"/>
          <w:lang w:val="en-GB"/>
        </w:rPr>
        <w:t>BC.</w:t>
      </w:r>
      <w:r w:rsidR="0030226C" w:rsidRPr="00067D8A">
        <w:rPr>
          <w:rFonts w:asciiTheme="majorBidi" w:hAnsiTheme="majorBidi" w:cstheme="majorBidi"/>
          <w:sz w:val="24"/>
          <w:szCs w:val="22"/>
          <w:lang w:val="en-GB"/>
        </w:rPr>
        <w:t xml:space="preserve"> During this span Mundigak developed from a small agricultural village (Periods I-III) to a </w:t>
      </w:r>
      <w:r w:rsidR="000A0911" w:rsidRPr="00067D8A">
        <w:rPr>
          <w:rFonts w:asciiTheme="majorBidi" w:hAnsiTheme="majorBidi" w:cstheme="majorBidi"/>
          <w:sz w:val="24"/>
          <w:szCs w:val="22"/>
          <w:lang w:val="en-GB"/>
        </w:rPr>
        <w:t xml:space="preserve">major </w:t>
      </w:r>
      <w:r w:rsidR="00953703">
        <w:rPr>
          <w:rFonts w:asciiTheme="majorBidi" w:hAnsiTheme="majorBidi" w:cstheme="majorBidi"/>
          <w:sz w:val="24"/>
          <w:szCs w:val="22"/>
          <w:lang w:val="en-GB"/>
        </w:rPr>
        <w:t xml:space="preserve">centre with signs of </w:t>
      </w:r>
      <w:r w:rsidR="00047697">
        <w:rPr>
          <w:rFonts w:asciiTheme="majorBidi" w:hAnsiTheme="majorBidi" w:cstheme="majorBidi"/>
          <w:sz w:val="24"/>
          <w:szCs w:val="22"/>
          <w:lang w:val="en-GB"/>
        </w:rPr>
        <w:t xml:space="preserve">incipient </w:t>
      </w:r>
      <w:r w:rsidR="000A0911" w:rsidRPr="00067D8A">
        <w:rPr>
          <w:rFonts w:asciiTheme="majorBidi" w:hAnsiTheme="majorBidi" w:cstheme="majorBidi"/>
          <w:sz w:val="24"/>
          <w:szCs w:val="22"/>
          <w:lang w:val="en-GB"/>
        </w:rPr>
        <w:t>urban</w:t>
      </w:r>
      <w:r w:rsidR="00953703">
        <w:rPr>
          <w:rFonts w:asciiTheme="majorBidi" w:hAnsiTheme="majorBidi" w:cstheme="majorBidi"/>
          <w:sz w:val="24"/>
          <w:szCs w:val="22"/>
          <w:lang w:val="en-GB"/>
        </w:rPr>
        <w:t>ism</w:t>
      </w:r>
      <w:r w:rsidR="000A0911" w:rsidRPr="00067D8A" w:rsidDel="000A0911">
        <w:rPr>
          <w:rFonts w:asciiTheme="majorBidi" w:hAnsiTheme="majorBidi" w:cstheme="majorBidi"/>
          <w:sz w:val="24"/>
          <w:szCs w:val="22"/>
          <w:lang w:val="en-GB"/>
        </w:rPr>
        <w:t xml:space="preserve"> </w:t>
      </w:r>
      <w:r w:rsidR="0030226C" w:rsidRPr="00067D8A">
        <w:rPr>
          <w:rFonts w:asciiTheme="majorBidi" w:hAnsiTheme="majorBidi" w:cstheme="majorBidi"/>
          <w:sz w:val="24"/>
          <w:szCs w:val="22"/>
          <w:lang w:val="en-GB"/>
        </w:rPr>
        <w:t xml:space="preserve">(Period IV-V) </w:t>
      </w:r>
      <w:r w:rsidR="0030226C" w:rsidRPr="00953703">
        <w:rPr>
          <w:rFonts w:asciiTheme="majorBidi" w:hAnsiTheme="majorBidi" w:cstheme="majorBidi"/>
          <w:color w:val="auto"/>
          <w:sz w:val="24"/>
          <w:szCs w:val="22"/>
          <w:lang w:val="en-GB"/>
        </w:rPr>
        <w:t>and then was abandoned during the Iron Age</w:t>
      </w:r>
      <w:r w:rsidR="005B52A9" w:rsidRPr="00953703">
        <w:rPr>
          <w:rFonts w:asciiTheme="majorBidi" w:hAnsiTheme="majorBidi" w:cstheme="majorBidi"/>
          <w:color w:val="auto"/>
          <w:sz w:val="24"/>
          <w:szCs w:val="22"/>
          <w:lang w:val="en-GB"/>
        </w:rPr>
        <w:t xml:space="preserve"> (when Kandahar probably emerged as the regional centre)</w:t>
      </w:r>
      <w:r w:rsidR="0030226C" w:rsidRPr="00953703">
        <w:rPr>
          <w:rFonts w:asciiTheme="majorBidi" w:hAnsiTheme="majorBidi" w:cstheme="majorBidi"/>
          <w:color w:val="auto"/>
          <w:sz w:val="24"/>
          <w:szCs w:val="22"/>
          <w:lang w:val="en-GB"/>
        </w:rPr>
        <w:t xml:space="preserve">. The </w:t>
      </w:r>
      <w:r w:rsidR="0030226C" w:rsidRPr="00953703">
        <w:rPr>
          <w:rFonts w:asciiTheme="majorBidi" w:hAnsiTheme="majorBidi" w:cstheme="majorBidi"/>
          <w:color w:val="auto"/>
          <w:sz w:val="24"/>
          <w:szCs w:val="22"/>
          <w:lang w:val="en-GB"/>
        </w:rPr>
        <w:lastRenderedPageBreak/>
        <w:t xml:space="preserve">complete </w:t>
      </w:r>
      <w:r w:rsidR="0030226C" w:rsidRPr="00067D8A">
        <w:rPr>
          <w:rFonts w:asciiTheme="majorBidi" w:hAnsiTheme="majorBidi" w:cstheme="majorBidi"/>
          <w:sz w:val="24"/>
          <w:szCs w:val="22"/>
          <w:lang w:val="en-GB"/>
        </w:rPr>
        <w:t xml:space="preserve">occupation sequence was defined only </w:t>
      </w:r>
      <w:r w:rsidR="00953703">
        <w:rPr>
          <w:rFonts w:asciiTheme="majorBidi" w:hAnsiTheme="majorBidi" w:cstheme="majorBidi"/>
          <w:sz w:val="24"/>
          <w:szCs w:val="22"/>
          <w:lang w:val="en-GB"/>
        </w:rPr>
        <w:t>on</w:t>
      </w:r>
      <w:r w:rsidR="0030226C" w:rsidRPr="00067D8A">
        <w:rPr>
          <w:rFonts w:asciiTheme="majorBidi" w:hAnsiTheme="majorBidi" w:cstheme="majorBidi"/>
          <w:sz w:val="24"/>
          <w:szCs w:val="22"/>
          <w:lang w:val="en-GB"/>
        </w:rPr>
        <w:t xml:space="preserve"> Mound A, but during the </w:t>
      </w:r>
      <w:r w:rsidR="00047697">
        <w:rPr>
          <w:rFonts w:asciiTheme="majorBidi" w:hAnsiTheme="majorBidi" w:cstheme="majorBidi"/>
          <w:sz w:val="24"/>
          <w:szCs w:val="22"/>
          <w:lang w:val="en-GB"/>
        </w:rPr>
        <w:t>P</w:t>
      </w:r>
      <w:r w:rsidR="0030226C" w:rsidRPr="00067D8A">
        <w:rPr>
          <w:rFonts w:asciiTheme="majorBidi" w:hAnsiTheme="majorBidi" w:cstheme="majorBidi"/>
          <w:sz w:val="24"/>
          <w:szCs w:val="22"/>
          <w:lang w:val="en-GB"/>
        </w:rPr>
        <w:t>eriod</w:t>
      </w:r>
      <w:r w:rsidR="00047697">
        <w:rPr>
          <w:rFonts w:asciiTheme="majorBidi" w:hAnsiTheme="majorBidi" w:cstheme="majorBidi"/>
          <w:sz w:val="24"/>
          <w:szCs w:val="22"/>
          <w:lang w:val="en-GB"/>
        </w:rPr>
        <w:t xml:space="preserve"> IV</w:t>
      </w:r>
      <w:r w:rsidR="0030226C" w:rsidRPr="00067D8A">
        <w:rPr>
          <w:rFonts w:asciiTheme="majorBidi" w:hAnsiTheme="majorBidi" w:cstheme="majorBidi"/>
          <w:sz w:val="24"/>
          <w:szCs w:val="22"/>
          <w:lang w:val="en-GB"/>
        </w:rPr>
        <w:t xml:space="preserve"> several adjacent mounds were occupied by habitations and ‘public’ structures.</w:t>
      </w:r>
      <w:r w:rsidR="00184CBA">
        <w:rPr>
          <w:rFonts w:asciiTheme="majorBidi" w:hAnsiTheme="majorBidi" w:cstheme="majorBidi"/>
          <w:sz w:val="24"/>
          <w:szCs w:val="22"/>
          <w:lang w:val="en-GB"/>
        </w:rPr>
        <w:t xml:space="preserve"> </w:t>
      </w:r>
      <w:r w:rsidR="00184CBA">
        <w:rPr>
          <w:rFonts w:asciiTheme="majorBidi" w:hAnsiTheme="majorBidi" w:cstheme="majorBidi"/>
          <w:color w:val="auto"/>
          <w:sz w:val="24"/>
          <w:szCs w:val="22"/>
          <w:lang w:val="en-GB"/>
        </w:rPr>
        <w:t>Although much of what follows is relatively detailed, and reiterates information from Casal’s original 1961 publication, it remains the most comprehensive and detailed discussion of the Mundigak sequence and associated architecture and material in English, and has been largely maintained in the original format prepared by Shaffer for the 1978 edition.</w:t>
      </w:r>
      <w:r w:rsidR="00184CBA" w:rsidRPr="00264752">
        <w:rPr>
          <w:rFonts w:asciiTheme="majorBidi" w:hAnsiTheme="majorBidi" w:cstheme="majorBidi"/>
          <w:color w:val="auto"/>
          <w:sz w:val="24"/>
          <w:szCs w:val="22"/>
          <w:lang w:val="en-GB"/>
        </w:rPr>
        <w:t xml:space="preserve"> </w:t>
      </w:r>
    </w:p>
    <w:p w14:paraId="016982EE" w14:textId="77777777" w:rsidR="0030226C" w:rsidRPr="00D00CA9" w:rsidRDefault="009C43AA" w:rsidP="0030226C">
      <w:pPr>
        <w:pStyle w:val="Heading3"/>
        <w:rPr>
          <w:rFonts w:asciiTheme="majorBidi" w:hAnsiTheme="majorBidi"/>
          <w:color w:val="auto"/>
          <w:lang w:val="en-GB"/>
        </w:rPr>
      </w:pPr>
      <w:r w:rsidRPr="009C43AA">
        <w:rPr>
          <w:rFonts w:asciiTheme="majorBidi" w:hAnsiTheme="majorBidi"/>
          <w:color w:val="auto"/>
          <w:lang w:val="en-GB"/>
        </w:rPr>
        <w:t>Stratigraphy and Architecture</w:t>
      </w:r>
    </w:p>
    <w:p w14:paraId="47D08368" w14:textId="77777777" w:rsidR="00D00CA9" w:rsidRDefault="00D00CA9" w:rsidP="0030226C">
      <w:pPr>
        <w:pStyle w:val="BodyText"/>
        <w:spacing w:line="480" w:lineRule="auto"/>
        <w:rPr>
          <w:rFonts w:asciiTheme="majorBidi" w:hAnsiTheme="majorBidi" w:cstheme="majorBidi"/>
          <w:sz w:val="24"/>
          <w:szCs w:val="22"/>
          <w:lang w:val="en-GB"/>
        </w:rPr>
      </w:pPr>
    </w:p>
    <w:p w14:paraId="254E074C" w14:textId="77777777" w:rsidR="00F77413" w:rsidRPr="00F77413" w:rsidRDefault="00F77413" w:rsidP="0030226C">
      <w:pPr>
        <w:pStyle w:val="BodyText"/>
        <w:spacing w:line="480" w:lineRule="auto"/>
        <w:rPr>
          <w:rFonts w:asciiTheme="majorBidi" w:hAnsiTheme="majorBidi" w:cstheme="majorBidi"/>
          <w:i/>
          <w:iCs/>
          <w:sz w:val="24"/>
          <w:szCs w:val="22"/>
          <w:lang w:val="en-GB"/>
        </w:rPr>
      </w:pPr>
      <w:r>
        <w:rPr>
          <w:rFonts w:asciiTheme="majorBidi" w:hAnsiTheme="majorBidi" w:cstheme="majorBidi"/>
          <w:i/>
          <w:iCs/>
          <w:sz w:val="24"/>
          <w:szCs w:val="22"/>
          <w:lang w:val="en-GB"/>
        </w:rPr>
        <w:t>Period I</w:t>
      </w:r>
    </w:p>
    <w:p w14:paraId="3D7ABDBC" w14:textId="03A5370F" w:rsidR="0030226C" w:rsidRPr="00C867A9" w:rsidRDefault="0030226C" w:rsidP="00294C7D">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 xml:space="preserve">The </w:t>
      </w:r>
      <w:r w:rsidRPr="00C867A9">
        <w:rPr>
          <w:rFonts w:asciiTheme="majorBidi" w:hAnsiTheme="majorBidi" w:cstheme="majorBidi"/>
          <w:sz w:val="24"/>
          <w:szCs w:val="22"/>
          <w:lang w:val="en-GB"/>
        </w:rPr>
        <w:t xml:space="preserve">initial occupation at Mundigak, Period I, was subdivided into five </w:t>
      </w:r>
      <w:r w:rsidR="006D28BD">
        <w:rPr>
          <w:rFonts w:asciiTheme="majorBidi" w:hAnsiTheme="majorBidi" w:cstheme="majorBidi"/>
          <w:sz w:val="24"/>
          <w:szCs w:val="22"/>
          <w:lang w:val="en-GB"/>
        </w:rPr>
        <w:t>Sub-Period</w:t>
      </w:r>
      <w:r w:rsidRPr="00C867A9">
        <w:rPr>
          <w:rFonts w:asciiTheme="majorBidi" w:hAnsiTheme="majorBidi" w:cstheme="majorBidi"/>
          <w:sz w:val="24"/>
          <w:szCs w:val="22"/>
          <w:lang w:val="en-GB"/>
        </w:rPr>
        <w:t>s (I</w:t>
      </w:r>
      <w:r w:rsidRPr="00C867A9">
        <w:rPr>
          <w:rFonts w:asciiTheme="majorBidi" w:hAnsiTheme="majorBidi" w:cstheme="majorBidi"/>
          <w:sz w:val="24"/>
          <w:szCs w:val="22"/>
          <w:vertAlign w:val="subscript"/>
          <w:lang w:val="en-GB"/>
        </w:rPr>
        <w:t>1–5</w:t>
      </w:r>
      <w:r w:rsidRPr="00C867A9">
        <w:rPr>
          <w:rFonts w:asciiTheme="majorBidi" w:hAnsiTheme="majorBidi" w:cstheme="majorBidi"/>
          <w:sz w:val="24"/>
          <w:szCs w:val="22"/>
          <w:lang w:val="en-GB"/>
        </w:rPr>
        <w:t>), with the divisions being based upon structural and cultural correlations</w:t>
      </w:r>
      <w:r w:rsidR="00294C7D" w:rsidRPr="00C867A9">
        <w:rPr>
          <w:rFonts w:asciiTheme="majorBidi" w:hAnsiTheme="majorBidi" w:cstheme="majorBidi"/>
          <w:sz w:val="24"/>
          <w:szCs w:val="22"/>
          <w:lang w:val="en-GB"/>
        </w:rPr>
        <w:t xml:space="preserve">. </w:t>
      </w:r>
      <w:r w:rsidR="006D28BD">
        <w:rPr>
          <w:rFonts w:asciiTheme="majorBidi" w:hAnsiTheme="majorBidi" w:cstheme="majorBidi"/>
          <w:sz w:val="24"/>
          <w:szCs w:val="22"/>
          <w:lang w:val="en-GB"/>
        </w:rPr>
        <w:t>Sub-Period</w:t>
      </w:r>
      <w:r w:rsidR="00294C7D" w:rsidRPr="00C867A9">
        <w:rPr>
          <w:rFonts w:asciiTheme="majorBidi" w:hAnsiTheme="majorBidi" w:cstheme="majorBidi"/>
          <w:sz w:val="24"/>
          <w:szCs w:val="22"/>
          <w:lang w:val="en-GB"/>
        </w:rPr>
        <w:t>s I</w:t>
      </w:r>
      <w:r w:rsidR="00294C7D" w:rsidRPr="00C867A9">
        <w:rPr>
          <w:rFonts w:asciiTheme="majorBidi" w:hAnsiTheme="majorBidi" w:cstheme="majorBidi"/>
          <w:sz w:val="24"/>
          <w:szCs w:val="22"/>
          <w:vertAlign w:val="subscript"/>
          <w:lang w:val="en-GB"/>
        </w:rPr>
        <w:t>1–3</w:t>
      </w:r>
      <w:r w:rsidR="00294C7D" w:rsidRPr="00C867A9">
        <w:rPr>
          <w:rFonts w:asciiTheme="majorBidi" w:hAnsiTheme="majorBidi" w:cstheme="majorBidi"/>
          <w:sz w:val="24"/>
          <w:szCs w:val="22"/>
          <w:lang w:val="en-GB"/>
        </w:rPr>
        <w:t xml:space="preserve"> are, </w:t>
      </w:r>
      <w:r w:rsidRPr="00C867A9">
        <w:rPr>
          <w:rFonts w:asciiTheme="majorBidi" w:hAnsiTheme="majorBidi" w:cstheme="majorBidi"/>
          <w:sz w:val="24"/>
          <w:szCs w:val="22"/>
          <w:lang w:val="en-GB"/>
        </w:rPr>
        <w:t xml:space="preserve">however, very incompletely known since the total sample came from a sondage 10 x 6 m, and all three </w:t>
      </w:r>
      <w:r w:rsidR="006D28BD">
        <w:rPr>
          <w:rFonts w:asciiTheme="majorBidi" w:hAnsiTheme="majorBidi" w:cstheme="majorBidi"/>
          <w:sz w:val="24"/>
          <w:szCs w:val="22"/>
          <w:lang w:val="en-GB"/>
        </w:rPr>
        <w:t>sub-period</w:t>
      </w:r>
      <w:r w:rsidRPr="00C867A9">
        <w:rPr>
          <w:rFonts w:asciiTheme="majorBidi" w:hAnsiTheme="majorBidi" w:cstheme="majorBidi"/>
          <w:sz w:val="24"/>
          <w:szCs w:val="22"/>
          <w:lang w:val="en-GB"/>
        </w:rPr>
        <w:t>s accounted for less than 1</w:t>
      </w:r>
      <w:r w:rsidRPr="00C867A9">
        <w:rPr>
          <w:rFonts w:asciiTheme="majorBidi" w:hAnsiTheme="majorBidi" w:cstheme="majorBidi"/>
          <w:color w:val="auto"/>
          <w:sz w:val="24"/>
          <w:szCs w:val="22"/>
          <w:lang w:val="en-GB"/>
        </w:rPr>
        <w:t>·</w:t>
      </w:r>
      <w:r w:rsidRPr="00C867A9">
        <w:rPr>
          <w:rFonts w:asciiTheme="majorBidi" w:hAnsiTheme="majorBidi" w:cstheme="majorBidi"/>
          <w:sz w:val="24"/>
          <w:szCs w:val="22"/>
          <w:lang w:val="en-GB"/>
        </w:rPr>
        <w:t xml:space="preserve">5 m depth of deposits. </w:t>
      </w:r>
      <w:r w:rsidR="006D28BD">
        <w:rPr>
          <w:rFonts w:asciiTheme="majorBidi" w:hAnsiTheme="majorBidi" w:cstheme="majorBidi"/>
          <w:sz w:val="24"/>
          <w:szCs w:val="22"/>
          <w:lang w:val="en-GB"/>
        </w:rPr>
        <w:t>Sub-Period</w:t>
      </w:r>
      <w:r w:rsidRPr="00C867A9">
        <w:rPr>
          <w:rFonts w:asciiTheme="majorBidi" w:hAnsiTheme="majorBidi" w:cstheme="majorBidi"/>
          <w:sz w:val="24"/>
          <w:szCs w:val="22"/>
          <w:lang w:val="en-GB"/>
        </w:rPr>
        <w:t>s I</w:t>
      </w:r>
      <w:r w:rsidRPr="00C867A9">
        <w:rPr>
          <w:rFonts w:asciiTheme="majorBidi" w:hAnsiTheme="majorBidi" w:cstheme="majorBidi"/>
          <w:sz w:val="24"/>
          <w:szCs w:val="22"/>
          <w:vertAlign w:val="subscript"/>
          <w:lang w:val="en-GB"/>
        </w:rPr>
        <w:t>4–5</w:t>
      </w:r>
      <w:r w:rsidRPr="00C867A9">
        <w:rPr>
          <w:rFonts w:asciiTheme="majorBidi" w:hAnsiTheme="majorBidi" w:cstheme="majorBidi"/>
          <w:sz w:val="24"/>
          <w:szCs w:val="22"/>
          <w:lang w:val="en-GB"/>
        </w:rPr>
        <w:t xml:space="preserve"> are known from a much larger sample (maximum dimensions of 29 x 18 m with 2</w:t>
      </w:r>
      <w:r w:rsidRPr="006D28BD">
        <w:rPr>
          <w:rFonts w:asciiTheme="majorBidi" w:hAnsiTheme="majorBidi" w:cstheme="majorBidi"/>
          <w:color w:val="auto"/>
          <w:sz w:val="24"/>
          <w:szCs w:val="22"/>
          <w:lang w:val="en-GB"/>
        </w:rPr>
        <w:t>·</w:t>
      </w:r>
      <w:r w:rsidRPr="006D28BD">
        <w:rPr>
          <w:rFonts w:asciiTheme="majorBidi" w:hAnsiTheme="majorBidi" w:cstheme="majorBidi"/>
          <w:sz w:val="24"/>
          <w:szCs w:val="22"/>
          <w:lang w:val="en-GB"/>
        </w:rPr>
        <w:t xml:space="preserve">5+ m deposits) and, therefore, are more completely known. </w:t>
      </w:r>
      <w:r w:rsidR="006D28BD">
        <w:rPr>
          <w:rFonts w:asciiTheme="majorBidi" w:hAnsiTheme="majorBidi" w:cstheme="majorBidi"/>
          <w:sz w:val="24"/>
          <w:szCs w:val="22"/>
          <w:lang w:val="en-GB"/>
        </w:rPr>
        <w:t>Sub-Period</w:t>
      </w:r>
      <w:r w:rsidRPr="00C867A9">
        <w:rPr>
          <w:rFonts w:asciiTheme="majorBidi" w:hAnsiTheme="majorBidi" w:cstheme="majorBidi"/>
          <w:sz w:val="24"/>
          <w:szCs w:val="22"/>
          <w:lang w:val="en-GB"/>
        </w:rPr>
        <w:t xml:space="preserve"> I</w:t>
      </w:r>
      <w:r w:rsidRPr="00C867A9">
        <w:rPr>
          <w:rFonts w:asciiTheme="majorBidi" w:hAnsiTheme="majorBidi" w:cstheme="majorBidi"/>
          <w:sz w:val="24"/>
          <w:szCs w:val="22"/>
          <w:vertAlign w:val="subscript"/>
          <w:lang w:val="en-GB"/>
        </w:rPr>
        <w:t>1</w:t>
      </w:r>
      <w:r w:rsidRPr="00C867A9">
        <w:rPr>
          <w:rFonts w:asciiTheme="majorBidi" w:hAnsiTheme="majorBidi" w:cstheme="majorBidi"/>
          <w:sz w:val="24"/>
          <w:szCs w:val="22"/>
          <w:lang w:val="en-GB"/>
        </w:rPr>
        <w:t xml:space="preserve"> and most of </w:t>
      </w:r>
      <w:r w:rsidR="006D28BD">
        <w:rPr>
          <w:rFonts w:asciiTheme="majorBidi" w:hAnsiTheme="majorBidi" w:cstheme="majorBidi"/>
          <w:sz w:val="24"/>
          <w:szCs w:val="22"/>
          <w:lang w:val="en-GB"/>
        </w:rPr>
        <w:t>Sub-Period</w:t>
      </w:r>
      <w:r w:rsidR="00C867A9" w:rsidRPr="00C867A9">
        <w:rPr>
          <w:rFonts w:asciiTheme="majorBidi" w:hAnsiTheme="majorBidi" w:cstheme="majorBidi"/>
          <w:sz w:val="24"/>
          <w:szCs w:val="22"/>
          <w:lang w:val="en-GB"/>
        </w:rPr>
        <w:t xml:space="preserve"> </w:t>
      </w:r>
      <w:r w:rsidRPr="00C867A9">
        <w:rPr>
          <w:rFonts w:asciiTheme="majorBidi" w:hAnsiTheme="majorBidi" w:cstheme="majorBidi"/>
          <w:sz w:val="24"/>
          <w:szCs w:val="22"/>
          <w:lang w:val="en-GB"/>
        </w:rPr>
        <w:t>I</w:t>
      </w:r>
      <w:r w:rsidRPr="00C867A9">
        <w:rPr>
          <w:rFonts w:asciiTheme="majorBidi" w:hAnsiTheme="majorBidi" w:cstheme="majorBidi"/>
          <w:sz w:val="24"/>
          <w:szCs w:val="22"/>
          <w:vertAlign w:val="subscript"/>
          <w:lang w:val="en-GB"/>
        </w:rPr>
        <w:t>2</w:t>
      </w:r>
      <w:r w:rsidRPr="00C867A9">
        <w:rPr>
          <w:rFonts w:asciiTheme="majorBidi" w:hAnsiTheme="majorBidi" w:cstheme="majorBidi"/>
          <w:sz w:val="24"/>
          <w:szCs w:val="22"/>
          <w:lang w:val="en-GB"/>
        </w:rPr>
        <w:t xml:space="preserve"> are located directly above virgin soil, while </w:t>
      </w:r>
      <w:r w:rsidR="006D28BD">
        <w:rPr>
          <w:rFonts w:asciiTheme="majorBidi" w:hAnsiTheme="majorBidi" w:cstheme="majorBidi"/>
          <w:sz w:val="24"/>
          <w:szCs w:val="22"/>
          <w:lang w:val="en-GB"/>
        </w:rPr>
        <w:t>Sub-Period</w:t>
      </w:r>
      <w:r w:rsidRPr="00C867A9">
        <w:rPr>
          <w:rFonts w:asciiTheme="majorBidi" w:hAnsiTheme="majorBidi" w:cstheme="majorBidi"/>
          <w:sz w:val="24"/>
          <w:szCs w:val="22"/>
          <w:lang w:val="en-GB"/>
        </w:rPr>
        <w:t>s I</w:t>
      </w:r>
      <w:r w:rsidRPr="00C867A9">
        <w:rPr>
          <w:rFonts w:asciiTheme="majorBidi" w:hAnsiTheme="majorBidi" w:cstheme="majorBidi"/>
          <w:sz w:val="24"/>
          <w:szCs w:val="22"/>
          <w:vertAlign w:val="subscript"/>
          <w:lang w:val="en-GB"/>
        </w:rPr>
        <w:t>3–5</w:t>
      </w:r>
      <w:r w:rsidRPr="00C867A9">
        <w:rPr>
          <w:rFonts w:asciiTheme="majorBidi" w:hAnsiTheme="majorBidi" w:cstheme="majorBidi"/>
          <w:sz w:val="24"/>
          <w:szCs w:val="22"/>
          <w:lang w:val="en-GB"/>
        </w:rPr>
        <w:t xml:space="preserve"> are superimposed directly atop each other.</w:t>
      </w:r>
    </w:p>
    <w:p w14:paraId="28CDA7F2" w14:textId="72A47534" w:rsidR="0030226C" w:rsidRPr="00067D8A" w:rsidRDefault="006D28BD" w:rsidP="0030226C">
      <w:pPr>
        <w:pStyle w:val="BodyTextIndent"/>
        <w:rPr>
          <w:rFonts w:asciiTheme="majorBidi" w:hAnsiTheme="majorBidi" w:cstheme="majorBidi"/>
          <w:sz w:val="24"/>
          <w:szCs w:val="22"/>
        </w:rPr>
      </w:pPr>
      <w:r>
        <w:rPr>
          <w:rFonts w:asciiTheme="majorBidi" w:hAnsiTheme="majorBidi" w:cstheme="majorBidi"/>
          <w:sz w:val="24"/>
          <w:szCs w:val="22"/>
        </w:rPr>
        <w:t>Sub-Period</w:t>
      </w:r>
      <w:r w:rsidR="0030226C" w:rsidRPr="00C867A9">
        <w:rPr>
          <w:rFonts w:asciiTheme="majorBidi" w:hAnsiTheme="majorBidi" w:cstheme="majorBidi"/>
          <w:sz w:val="24"/>
          <w:szCs w:val="22"/>
        </w:rPr>
        <w:t>s I</w:t>
      </w:r>
      <w:r w:rsidR="0030226C" w:rsidRPr="00C867A9">
        <w:rPr>
          <w:rFonts w:asciiTheme="majorBidi" w:hAnsiTheme="majorBidi" w:cstheme="majorBidi"/>
          <w:sz w:val="24"/>
          <w:szCs w:val="22"/>
          <w:vertAlign w:val="subscript"/>
        </w:rPr>
        <w:t>1–2</w:t>
      </w:r>
      <w:r w:rsidR="0030226C" w:rsidRPr="00C867A9">
        <w:rPr>
          <w:rFonts w:asciiTheme="majorBidi" w:hAnsiTheme="majorBidi" w:cstheme="majorBidi"/>
          <w:sz w:val="24"/>
          <w:szCs w:val="22"/>
        </w:rPr>
        <w:t xml:space="preserve"> are devoid of any substantial architectural remains, and their delineation is based upon depositional soil differences and artefact content (see below). Casal referred to the possible existence of tent-like structures during</w:t>
      </w:r>
      <w:r w:rsidR="0030226C" w:rsidRPr="00067D8A">
        <w:rPr>
          <w:rFonts w:asciiTheme="majorBidi" w:hAnsiTheme="majorBidi" w:cstheme="majorBidi"/>
          <w:sz w:val="24"/>
          <w:szCs w:val="22"/>
        </w:rPr>
        <w:t xml:space="preserve"> these </w:t>
      </w:r>
      <w:r>
        <w:rPr>
          <w:rFonts w:asciiTheme="majorBidi" w:hAnsiTheme="majorBidi" w:cstheme="majorBidi"/>
          <w:sz w:val="24"/>
          <w:szCs w:val="22"/>
        </w:rPr>
        <w:t>sub-period</w:t>
      </w:r>
      <w:r w:rsidR="0030226C" w:rsidRPr="00067D8A">
        <w:rPr>
          <w:rFonts w:asciiTheme="majorBidi" w:hAnsiTheme="majorBidi" w:cstheme="majorBidi"/>
          <w:sz w:val="24"/>
          <w:szCs w:val="22"/>
        </w:rPr>
        <w:t xml:space="preserve">s, but the evidence is </w:t>
      </w:r>
      <w:r w:rsidR="00273200">
        <w:rPr>
          <w:rFonts w:asciiTheme="majorBidi" w:hAnsiTheme="majorBidi" w:cstheme="majorBidi"/>
          <w:sz w:val="24"/>
          <w:szCs w:val="22"/>
        </w:rPr>
        <w:t>limited</w:t>
      </w:r>
      <w:r w:rsidR="0030226C" w:rsidRPr="00067D8A">
        <w:rPr>
          <w:rFonts w:asciiTheme="majorBidi" w:hAnsiTheme="majorBidi" w:cstheme="majorBidi"/>
          <w:sz w:val="24"/>
          <w:szCs w:val="22"/>
        </w:rPr>
        <w:t xml:space="preserve">. The first substantial, or permanent, structure was encountered in </w:t>
      </w:r>
      <w:r>
        <w:rPr>
          <w:rFonts w:asciiTheme="majorBidi" w:hAnsiTheme="majorBidi" w:cstheme="majorBidi"/>
          <w:sz w:val="24"/>
          <w:szCs w:val="22"/>
        </w:rPr>
        <w:t>Sub-Period</w:t>
      </w:r>
      <w:r w:rsidR="0030226C" w:rsidRPr="00067D8A">
        <w:rPr>
          <w:rFonts w:asciiTheme="majorBidi" w:hAnsiTheme="majorBidi" w:cstheme="majorBidi"/>
          <w:sz w:val="24"/>
          <w:szCs w:val="22"/>
        </w:rPr>
        <w:t xml:space="preserve"> I</w:t>
      </w:r>
      <w:r w:rsidR="0030226C" w:rsidRPr="00067D8A">
        <w:rPr>
          <w:rFonts w:asciiTheme="majorBidi" w:hAnsiTheme="majorBidi" w:cstheme="majorBidi"/>
          <w:sz w:val="24"/>
          <w:szCs w:val="22"/>
          <w:vertAlign w:val="subscript"/>
        </w:rPr>
        <w:t>3</w:t>
      </w:r>
      <w:r w:rsidR="00D00CA9">
        <w:rPr>
          <w:rFonts w:asciiTheme="majorBidi" w:hAnsiTheme="majorBidi" w:cstheme="majorBidi"/>
          <w:sz w:val="24"/>
          <w:szCs w:val="22"/>
        </w:rPr>
        <w:t>,</w:t>
      </w:r>
      <w:r w:rsidR="0030226C" w:rsidRPr="00067D8A">
        <w:rPr>
          <w:rFonts w:asciiTheme="majorBidi" w:hAnsiTheme="majorBidi" w:cstheme="majorBidi"/>
          <w:sz w:val="24"/>
          <w:szCs w:val="22"/>
        </w:rPr>
        <w:t xml:space="preserve"> and consisted of two</w:t>
      </w:r>
      <w:r w:rsidR="0030226C" w:rsidRPr="00067D8A">
        <w:rPr>
          <w:rFonts w:asciiTheme="majorBidi" w:hAnsiTheme="majorBidi" w:cstheme="majorBidi"/>
          <w:i/>
          <w:iCs/>
          <w:sz w:val="24"/>
          <w:szCs w:val="22"/>
        </w:rPr>
        <w:t xml:space="preserve"> </w:t>
      </w:r>
      <w:r w:rsidR="00D00CA9">
        <w:rPr>
          <w:rFonts w:asciiTheme="majorBidi" w:hAnsiTheme="majorBidi" w:cstheme="majorBidi"/>
          <w:i/>
          <w:iCs/>
          <w:sz w:val="24"/>
          <w:szCs w:val="22"/>
        </w:rPr>
        <w:t xml:space="preserve">pakhsa </w:t>
      </w:r>
      <w:r w:rsidR="0030226C" w:rsidRPr="00067D8A">
        <w:rPr>
          <w:rFonts w:asciiTheme="majorBidi" w:hAnsiTheme="majorBidi" w:cstheme="majorBidi"/>
          <w:sz w:val="24"/>
          <w:szCs w:val="22"/>
        </w:rPr>
        <w:t>walls.</w:t>
      </w:r>
    </w:p>
    <w:p w14:paraId="74B0AFCD" w14:textId="49428BDA" w:rsidR="0030226C" w:rsidRPr="006D28BD" w:rsidRDefault="0030226C" w:rsidP="00D00CA9">
      <w:pPr>
        <w:pStyle w:val="BodyTextIndent"/>
        <w:rPr>
          <w:rFonts w:asciiTheme="majorBidi" w:hAnsiTheme="majorBidi" w:cstheme="majorBidi"/>
          <w:sz w:val="24"/>
          <w:szCs w:val="22"/>
        </w:rPr>
      </w:pPr>
      <w:r w:rsidRPr="00920C02">
        <w:rPr>
          <w:rFonts w:asciiTheme="majorBidi" w:hAnsiTheme="majorBidi" w:cstheme="majorBidi"/>
          <w:color w:val="auto"/>
          <w:sz w:val="24"/>
          <w:szCs w:val="22"/>
        </w:rPr>
        <w:t xml:space="preserve">The first mud-brick </w:t>
      </w:r>
      <w:r w:rsidR="00D00CA9" w:rsidRPr="00920C02">
        <w:rPr>
          <w:rFonts w:asciiTheme="majorBidi" w:hAnsiTheme="majorBidi" w:cstheme="majorBidi"/>
          <w:color w:val="auto"/>
          <w:sz w:val="24"/>
          <w:szCs w:val="22"/>
        </w:rPr>
        <w:t xml:space="preserve">structures </w:t>
      </w:r>
      <w:r w:rsidRPr="00920C02">
        <w:rPr>
          <w:rFonts w:asciiTheme="majorBidi" w:hAnsiTheme="majorBidi" w:cstheme="majorBidi"/>
          <w:color w:val="auto"/>
          <w:sz w:val="24"/>
          <w:szCs w:val="22"/>
        </w:rPr>
        <w:t xml:space="preserve">were encountered in </w:t>
      </w:r>
      <w:r w:rsidR="006D28BD">
        <w:rPr>
          <w:rFonts w:asciiTheme="majorBidi" w:hAnsiTheme="majorBidi" w:cstheme="majorBidi"/>
          <w:color w:val="auto"/>
          <w:sz w:val="24"/>
          <w:szCs w:val="22"/>
        </w:rPr>
        <w:t>Sub-Period</w:t>
      </w:r>
      <w:r w:rsidRPr="00920C02">
        <w:rPr>
          <w:rFonts w:asciiTheme="majorBidi" w:hAnsiTheme="majorBidi" w:cstheme="majorBidi"/>
          <w:color w:val="auto"/>
          <w:sz w:val="24"/>
          <w:szCs w:val="22"/>
        </w:rPr>
        <w:t>s I</w:t>
      </w:r>
      <w:r w:rsidRPr="00920C02">
        <w:rPr>
          <w:rFonts w:asciiTheme="majorBidi" w:hAnsiTheme="majorBidi" w:cstheme="majorBidi"/>
          <w:color w:val="auto"/>
          <w:sz w:val="24"/>
          <w:szCs w:val="22"/>
          <w:vertAlign w:val="subscript"/>
        </w:rPr>
        <w:t>4–5</w:t>
      </w:r>
      <w:r w:rsidRPr="00920C02">
        <w:rPr>
          <w:rFonts w:asciiTheme="majorBidi" w:hAnsiTheme="majorBidi" w:cstheme="majorBidi"/>
          <w:color w:val="auto"/>
          <w:sz w:val="24"/>
          <w:szCs w:val="22"/>
        </w:rPr>
        <w:t xml:space="preserve">. The </w:t>
      </w:r>
      <w:r w:rsidR="006D28BD">
        <w:rPr>
          <w:rFonts w:asciiTheme="majorBidi" w:hAnsiTheme="majorBidi" w:cstheme="majorBidi"/>
          <w:color w:val="auto"/>
          <w:sz w:val="24"/>
          <w:szCs w:val="22"/>
        </w:rPr>
        <w:t>Sub-Period</w:t>
      </w:r>
      <w:r w:rsidRPr="00920C02">
        <w:rPr>
          <w:rFonts w:asciiTheme="majorBidi" w:hAnsiTheme="majorBidi" w:cstheme="majorBidi"/>
          <w:color w:val="auto"/>
          <w:sz w:val="24"/>
          <w:szCs w:val="22"/>
        </w:rPr>
        <w:t xml:space="preserve"> I</w:t>
      </w:r>
      <w:r w:rsidRPr="00920C02">
        <w:rPr>
          <w:rFonts w:asciiTheme="majorBidi" w:hAnsiTheme="majorBidi" w:cstheme="majorBidi"/>
          <w:color w:val="auto"/>
          <w:sz w:val="24"/>
          <w:szCs w:val="22"/>
          <w:vertAlign w:val="subscript"/>
        </w:rPr>
        <w:t>4</w:t>
      </w:r>
      <w:r w:rsidRPr="00920C02">
        <w:rPr>
          <w:rFonts w:asciiTheme="majorBidi" w:hAnsiTheme="majorBidi" w:cstheme="majorBidi"/>
          <w:color w:val="auto"/>
          <w:sz w:val="24"/>
          <w:szCs w:val="22"/>
        </w:rPr>
        <w:t xml:space="preserve"> structures are </w:t>
      </w:r>
      <w:r w:rsidRPr="00C867A9">
        <w:rPr>
          <w:rFonts w:asciiTheme="majorBidi" w:hAnsiTheme="majorBidi" w:cstheme="majorBidi"/>
          <w:sz w:val="24"/>
          <w:szCs w:val="22"/>
        </w:rPr>
        <w:t>all rectangular single room units of varying sizes. The two completely excavated</w:t>
      </w:r>
      <w:r w:rsidRPr="006D28BD">
        <w:rPr>
          <w:rFonts w:asciiTheme="majorBidi" w:hAnsiTheme="majorBidi" w:cstheme="majorBidi"/>
          <w:sz w:val="24"/>
          <w:szCs w:val="22"/>
        </w:rPr>
        <w:t xml:space="preserve"> units are small (3 x 2 m) when</w:t>
      </w:r>
      <w:r w:rsidRPr="00067D8A">
        <w:rPr>
          <w:rFonts w:asciiTheme="majorBidi" w:hAnsiTheme="majorBidi" w:cstheme="majorBidi"/>
          <w:sz w:val="24"/>
          <w:szCs w:val="22"/>
        </w:rPr>
        <w:t xml:space="preserve"> compared with the obviously larger but incompletely excavated units of that </w:t>
      </w:r>
      <w:r w:rsidR="006D28BD">
        <w:rPr>
          <w:rFonts w:asciiTheme="majorBidi" w:hAnsiTheme="majorBidi" w:cstheme="majorBidi"/>
          <w:sz w:val="24"/>
          <w:szCs w:val="22"/>
        </w:rPr>
        <w:t>sub-period</w:t>
      </w:r>
      <w:r w:rsidRPr="00067D8A">
        <w:rPr>
          <w:rFonts w:asciiTheme="majorBidi" w:hAnsiTheme="majorBidi" w:cstheme="majorBidi"/>
          <w:sz w:val="24"/>
          <w:szCs w:val="22"/>
        </w:rPr>
        <w:t xml:space="preserve">. Walls were constructed with single or double coursed bricks, and the </w:t>
      </w:r>
      <w:r w:rsidRPr="00067D8A">
        <w:rPr>
          <w:rFonts w:asciiTheme="majorBidi" w:hAnsiTheme="majorBidi" w:cstheme="majorBidi"/>
          <w:sz w:val="24"/>
          <w:szCs w:val="22"/>
        </w:rPr>
        <w:lastRenderedPageBreak/>
        <w:t>two complete structures have doorways. Most structures have their walls reinforced with interior and/or exterior buttresses. Rectangular interior ovens or hearths are located in three of the units. These features were constructed through the use of</w:t>
      </w:r>
      <w:r w:rsidRPr="00067D8A">
        <w:rPr>
          <w:rFonts w:asciiTheme="majorBidi" w:hAnsiTheme="majorBidi" w:cstheme="majorBidi"/>
          <w:i/>
          <w:iCs/>
          <w:sz w:val="24"/>
          <w:szCs w:val="22"/>
        </w:rPr>
        <w:t xml:space="preserve"> </w:t>
      </w:r>
      <w:r w:rsidR="00D00CA9">
        <w:rPr>
          <w:rFonts w:asciiTheme="majorBidi" w:hAnsiTheme="majorBidi" w:cstheme="majorBidi"/>
          <w:i/>
          <w:iCs/>
          <w:sz w:val="24"/>
          <w:szCs w:val="22"/>
        </w:rPr>
        <w:t xml:space="preserve">pakhsa </w:t>
      </w:r>
      <w:r w:rsidRPr="00067D8A">
        <w:rPr>
          <w:rFonts w:asciiTheme="majorBidi" w:hAnsiTheme="majorBidi" w:cstheme="majorBidi"/>
          <w:sz w:val="24"/>
          <w:szCs w:val="22"/>
        </w:rPr>
        <w:t xml:space="preserve">and protrude a few centimetres above the </w:t>
      </w:r>
      <w:r w:rsidRPr="00C867A9">
        <w:rPr>
          <w:rFonts w:asciiTheme="majorBidi" w:hAnsiTheme="majorBidi" w:cstheme="majorBidi"/>
          <w:sz w:val="24"/>
          <w:szCs w:val="22"/>
        </w:rPr>
        <w:t xml:space="preserve">floor. Our knowledge of </w:t>
      </w:r>
      <w:r w:rsidR="006D28BD">
        <w:rPr>
          <w:rFonts w:asciiTheme="majorBidi" w:hAnsiTheme="majorBidi" w:cstheme="majorBidi"/>
          <w:sz w:val="24"/>
          <w:szCs w:val="22"/>
        </w:rPr>
        <w:t>Sub-Period</w:t>
      </w:r>
      <w:r w:rsidRPr="00C867A9">
        <w:rPr>
          <w:rFonts w:asciiTheme="majorBidi" w:hAnsiTheme="majorBidi" w:cstheme="majorBidi"/>
          <w:sz w:val="24"/>
          <w:szCs w:val="22"/>
        </w:rPr>
        <w:t xml:space="preserve"> I</w:t>
      </w:r>
      <w:r w:rsidRPr="00C867A9">
        <w:rPr>
          <w:rFonts w:asciiTheme="majorBidi" w:hAnsiTheme="majorBidi" w:cstheme="majorBidi"/>
          <w:sz w:val="24"/>
          <w:szCs w:val="22"/>
          <w:vertAlign w:val="subscript"/>
        </w:rPr>
        <w:t>4</w:t>
      </w:r>
      <w:r w:rsidRPr="00C867A9">
        <w:rPr>
          <w:rFonts w:asciiTheme="majorBidi" w:hAnsiTheme="majorBidi" w:cstheme="majorBidi"/>
          <w:sz w:val="24"/>
          <w:szCs w:val="22"/>
        </w:rPr>
        <w:t xml:space="preserve"> structures is incomplete because they were disturbed by </w:t>
      </w:r>
      <w:r w:rsidR="00314ABB">
        <w:rPr>
          <w:rFonts w:asciiTheme="majorBidi" w:hAnsiTheme="majorBidi" w:cstheme="majorBidi"/>
          <w:sz w:val="24"/>
          <w:szCs w:val="22"/>
        </w:rPr>
        <w:t xml:space="preserve">the </w:t>
      </w:r>
      <w:r w:rsidRPr="00C867A9">
        <w:rPr>
          <w:rFonts w:asciiTheme="majorBidi" w:hAnsiTheme="majorBidi" w:cstheme="majorBidi"/>
          <w:sz w:val="24"/>
          <w:szCs w:val="22"/>
        </w:rPr>
        <w:t xml:space="preserve">constructions of </w:t>
      </w:r>
      <w:r w:rsidR="006D28BD">
        <w:rPr>
          <w:rFonts w:asciiTheme="majorBidi" w:hAnsiTheme="majorBidi" w:cstheme="majorBidi"/>
          <w:sz w:val="24"/>
          <w:szCs w:val="22"/>
        </w:rPr>
        <w:t>Sub-Period</w:t>
      </w:r>
      <w:r w:rsidRPr="00C867A9">
        <w:rPr>
          <w:rFonts w:asciiTheme="majorBidi" w:hAnsiTheme="majorBidi" w:cstheme="majorBidi"/>
          <w:sz w:val="24"/>
          <w:szCs w:val="22"/>
        </w:rPr>
        <w:t xml:space="preserve"> I</w:t>
      </w:r>
      <w:r w:rsidRPr="006D28BD">
        <w:rPr>
          <w:rFonts w:asciiTheme="majorBidi" w:hAnsiTheme="majorBidi" w:cstheme="majorBidi"/>
          <w:sz w:val="24"/>
          <w:szCs w:val="22"/>
          <w:vertAlign w:val="subscript"/>
        </w:rPr>
        <w:t>5</w:t>
      </w:r>
      <w:r w:rsidRPr="006D28BD">
        <w:rPr>
          <w:rFonts w:asciiTheme="majorBidi" w:hAnsiTheme="majorBidi" w:cstheme="majorBidi"/>
          <w:sz w:val="24"/>
          <w:szCs w:val="22"/>
        </w:rPr>
        <w:t>.</w:t>
      </w:r>
    </w:p>
    <w:p w14:paraId="395530DA" w14:textId="78284B36" w:rsidR="0030226C" w:rsidRPr="006D28BD" w:rsidRDefault="0030226C" w:rsidP="0030226C">
      <w:pPr>
        <w:pStyle w:val="BodyTextIndent"/>
        <w:rPr>
          <w:rFonts w:asciiTheme="majorBidi" w:hAnsiTheme="majorBidi" w:cstheme="majorBidi"/>
          <w:sz w:val="24"/>
          <w:szCs w:val="22"/>
        </w:rPr>
      </w:pPr>
      <w:r w:rsidRPr="006D28BD">
        <w:rPr>
          <w:rFonts w:asciiTheme="majorBidi" w:hAnsiTheme="majorBidi" w:cstheme="majorBidi"/>
          <w:sz w:val="24"/>
          <w:szCs w:val="22"/>
        </w:rPr>
        <w:t>A significant alteration in construction technique occur</w:t>
      </w:r>
      <w:r w:rsidR="00314ABB">
        <w:rPr>
          <w:rFonts w:asciiTheme="majorBidi" w:hAnsiTheme="majorBidi" w:cstheme="majorBidi"/>
          <w:sz w:val="24"/>
          <w:szCs w:val="22"/>
        </w:rPr>
        <w:t>ed</w:t>
      </w:r>
      <w:r w:rsidRPr="006D28BD">
        <w:rPr>
          <w:rFonts w:asciiTheme="majorBidi" w:hAnsiTheme="majorBidi" w:cstheme="majorBidi"/>
          <w:sz w:val="24"/>
          <w:szCs w:val="22"/>
        </w:rPr>
        <w:t xml:space="preserve"> with </w:t>
      </w:r>
      <w:r w:rsidR="00314ABB">
        <w:rPr>
          <w:rFonts w:asciiTheme="majorBidi" w:hAnsiTheme="majorBidi" w:cstheme="majorBidi"/>
          <w:sz w:val="24"/>
          <w:szCs w:val="22"/>
        </w:rPr>
        <w:t xml:space="preserve">the </w:t>
      </w:r>
      <w:r w:rsidR="006D28BD">
        <w:rPr>
          <w:rFonts w:asciiTheme="majorBidi" w:hAnsiTheme="majorBidi" w:cstheme="majorBidi"/>
          <w:sz w:val="24"/>
          <w:szCs w:val="22"/>
        </w:rPr>
        <w:t>Sub-Period</w:t>
      </w:r>
      <w:r w:rsidRPr="00C867A9">
        <w:rPr>
          <w:rFonts w:asciiTheme="majorBidi" w:hAnsiTheme="majorBidi" w:cstheme="majorBidi"/>
          <w:sz w:val="24"/>
          <w:szCs w:val="22"/>
        </w:rPr>
        <w:t xml:space="preserve"> I</w:t>
      </w:r>
      <w:r w:rsidRPr="00C867A9">
        <w:rPr>
          <w:rFonts w:asciiTheme="majorBidi" w:hAnsiTheme="majorBidi" w:cstheme="majorBidi"/>
          <w:sz w:val="24"/>
          <w:szCs w:val="22"/>
          <w:vertAlign w:val="subscript"/>
        </w:rPr>
        <w:t>5</w:t>
      </w:r>
      <w:r w:rsidRPr="00C867A9">
        <w:rPr>
          <w:rFonts w:asciiTheme="majorBidi" w:hAnsiTheme="majorBidi" w:cstheme="majorBidi"/>
          <w:sz w:val="24"/>
          <w:szCs w:val="22"/>
        </w:rPr>
        <w:t xml:space="preserve"> structures (Fig. </w:t>
      </w:r>
      <w:r w:rsidR="005B52A9" w:rsidRPr="00C867A9">
        <w:rPr>
          <w:rFonts w:asciiTheme="majorBidi" w:hAnsiTheme="majorBidi" w:cstheme="majorBidi"/>
          <w:sz w:val="24"/>
          <w:szCs w:val="22"/>
        </w:rPr>
        <w:t>4.</w:t>
      </w:r>
      <w:r w:rsidRPr="00C867A9">
        <w:rPr>
          <w:rFonts w:asciiTheme="majorBidi" w:hAnsiTheme="majorBidi" w:cstheme="majorBidi"/>
          <w:color w:val="FF0000"/>
          <w:sz w:val="24"/>
          <w:szCs w:val="22"/>
        </w:rPr>
        <w:t>39</w:t>
      </w:r>
      <w:r w:rsidRPr="00C867A9">
        <w:rPr>
          <w:rFonts w:asciiTheme="majorBidi" w:hAnsiTheme="majorBidi" w:cstheme="majorBidi"/>
          <w:sz w:val="24"/>
          <w:szCs w:val="22"/>
        </w:rPr>
        <w:t>). These structures are characterised by the laying of a foundation of</w:t>
      </w:r>
      <w:r w:rsidRPr="006D28BD">
        <w:rPr>
          <w:rFonts w:asciiTheme="majorBidi" w:hAnsiTheme="majorBidi" w:cstheme="majorBidi"/>
          <w:i/>
          <w:iCs/>
          <w:sz w:val="24"/>
          <w:szCs w:val="22"/>
        </w:rPr>
        <w:t xml:space="preserve"> </w:t>
      </w:r>
      <w:r w:rsidR="00D00CA9" w:rsidRPr="006D28BD">
        <w:rPr>
          <w:rFonts w:asciiTheme="majorBidi" w:hAnsiTheme="majorBidi" w:cstheme="majorBidi"/>
          <w:i/>
          <w:iCs/>
          <w:sz w:val="24"/>
          <w:szCs w:val="22"/>
        </w:rPr>
        <w:t xml:space="preserve">pakhsa </w:t>
      </w:r>
      <w:r w:rsidRPr="006D28BD">
        <w:rPr>
          <w:rFonts w:asciiTheme="majorBidi" w:hAnsiTheme="majorBidi" w:cstheme="majorBidi"/>
          <w:sz w:val="24"/>
          <w:szCs w:val="22"/>
        </w:rPr>
        <w:t>sometimes mixed</w:t>
      </w:r>
      <w:r w:rsidRPr="00067D8A">
        <w:rPr>
          <w:rFonts w:asciiTheme="majorBidi" w:hAnsiTheme="majorBidi" w:cstheme="majorBidi"/>
          <w:sz w:val="24"/>
          <w:szCs w:val="22"/>
        </w:rPr>
        <w:t xml:space="preserve"> with stones below the immediate living surface (a wall trench), which should have strengthened the walls considerably. Houses continued to be rectangular in plan, and three were characterised by interior partition walls with doorways to allow access from one room to another. Access to the interior of the structures was</w:t>
      </w:r>
      <w:r w:rsidRPr="00067D8A">
        <w:rPr>
          <w:rFonts w:asciiTheme="majorBidi" w:hAnsiTheme="majorBidi" w:cstheme="majorBidi"/>
          <w:i/>
          <w:iCs/>
          <w:sz w:val="24"/>
          <w:szCs w:val="22"/>
        </w:rPr>
        <w:t xml:space="preserve"> via</w:t>
      </w:r>
      <w:r w:rsidRPr="00067D8A">
        <w:rPr>
          <w:rFonts w:asciiTheme="majorBidi" w:hAnsiTheme="majorBidi" w:cstheme="majorBidi"/>
          <w:sz w:val="24"/>
          <w:szCs w:val="22"/>
        </w:rPr>
        <w:t xml:space="preserve"> lateral doorways. However, some structures had no evidence of such doorways indicating that access </w:t>
      </w:r>
      <w:r w:rsidR="00314ABB">
        <w:rPr>
          <w:rFonts w:asciiTheme="majorBidi" w:hAnsiTheme="majorBidi" w:cstheme="majorBidi"/>
          <w:sz w:val="24"/>
          <w:szCs w:val="22"/>
        </w:rPr>
        <w:t>may have</w:t>
      </w:r>
      <w:r w:rsidR="00314ABB" w:rsidRPr="00067D8A">
        <w:rPr>
          <w:rFonts w:asciiTheme="majorBidi" w:hAnsiTheme="majorBidi" w:cstheme="majorBidi"/>
          <w:sz w:val="24"/>
          <w:szCs w:val="22"/>
        </w:rPr>
        <w:t xml:space="preserve"> </w:t>
      </w:r>
      <w:r w:rsidR="00314ABB">
        <w:rPr>
          <w:rFonts w:asciiTheme="majorBidi" w:hAnsiTheme="majorBidi" w:cstheme="majorBidi"/>
          <w:sz w:val="24"/>
          <w:szCs w:val="22"/>
        </w:rPr>
        <w:t xml:space="preserve">been </w:t>
      </w:r>
      <w:r w:rsidRPr="00067D8A">
        <w:rPr>
          <w:rFonts w:asciiTheme="majorBidi" w:hAnsiTheme="majorBidi" w:cstheme="majorBidi"/>
          <w:sz w:val="24"/>
          <w:szCs w:val="22"/>
        </w:rPr>
        <w:t>through an elevated doorway or</w:t>
      </w:r>
      <w:r w:rsidRPr="00067D8A">
        <w:rPr>
          <w:rFonts w:asciiTheme="majorBidi" w:hAnsiTheme="majorBidi" w:cstheme="majorBidi"/>
          <w:i/>
          <w:iCs/>
          <w:sz w:val="24"/>
          <w:szCs w:val="22"/>
        </w:rPr>
        <w:t xml:space="preserve"> via</w:t>
      </w:r>
      <w:r w:rsidRPr="00067D8A">
        <w:rPr>
          <w:rFonts w:asciiTheme="majorBidi" w:hAnsiTheme="majorBidi" w:cstheme="majorBidi"/>
          <w:sz w:val="24"/>
          <w:szCs w:val="22"/>
        </w:rPr>
        <w:t xml:space="preserve"> the roof. Two examples of rectangular</w:t>
      </w:r>
      <w:r w:rsidRPr="00067D8A">
        <w:rPr>
          <w:rFonts w:asciiTheme="majorBidi" w:hAnsiTheme="majorBidi" w:cstheme="majorBidi"/>
          <w:i/>
          <w:iCs/>
          <w:sz w:val="24"/>
          <w:szCs w:val="22"/>
        </w:rPr>
        <w:t xml:space="preserve"> </w:t>
      </w:r>
      <w:r w:rsidR="00D00CA9">
        <w:rPr>
          <w:rFonts w:asciiTheme="majorBidi" w:hAnsiTheme="majorBidi" w:cstheme="majorBidi"/>
          <w:i/>
          <w:iCs/>
          <w:sz w:val="24"/>
          <w:szCs w:val="22"/>
        </w:rPr>
        <w:t xml:space="preserve">pakhsa </w:t>
      </w:r>
      <w:r w:rsidRPr="00067D8A">
        <w:rPr>
          <w:rFonts w:asciiTheme="majorBidi" w:hAnsiTheme="majorBidi" w:cstheme="majorBidi"/>
          <w:sz w:val="24"/>
          <w:szCs w:val="22"/>
        </w:rPr>
        <w:t>inner ovens are recorded. Of particular interest are the presence of two large mud-brick and</w:t>
      </w:r>
      <w:r w:rsidRPr="00067D8A">
        <w:rPr>
          <w:rFonts w:asciiTheme="majorBidi" w:hAnsiTheme="majorBidi" w:cstheme="majorBidi"/>
          <w:i/>
          <w:iCs/>
          <w:sz w:val="24"/>
          <w:szCs w:val="22"/>
        </w:rPr>
        <w:t xml:space="preserve"> </w:t>
      </w:r>
      <w:r w:rsidR="00D00CA9">
        <w:rPr>
          <w:rFonts w:asciiTheme="majorBidi" w:hAnsiTheme="majorBidi" w:cstheme="majorBidi"/>
          <w:i/>
          <w:iCs/>
          <w:sz w:val="24"/>
          <w:szCs w:val="22"/>
        </w:rPr>
        <w:t xml:space="preserve">pakhsa </w:t>
      </w:r>
      <w:r w:rsidRPr="00067D8A">
        <w:rPr>
          <w:rFonts w:asciiTheme="majorBidi" w:hAnsiTheme="majorBidi" w:cstheme="majorBidi"/>
          <w:sz w:val="24"/>
          <w:szCs w:val="22"/>
        </w:rPr>
        <w:t>oval or U-shaped ovens in an exterior open area. Analysis of these ovens indicates that extremely high temperatures (600–1100°</w:t>
      </w:r>
      <w:r w:rsidR="00575C88">
        <w:rPr>
          <w:rFonts w:asciiTheme="majorBidi" w:hAnsiTheme="majorBidi" w:cstheme="majorBidi"/>
          <w:sz w:val="24"/>
          <w:szCs w:val="22"/>
        </w:rPr>
        <w:t xml:space="preserve"> </w:t>
      </w:r>
      <w:r w:rsidR="00575C88" w:rsidRPr="00C867A9">
        <w:rPr>
          <w:rFonts w:asciiTheme="majorBidi" w:hAnsiTheme="majorBidi" w:cstheme="majorBidi"/>
          <w:color w:val="auto"/>
          <w:sz w:val="24"/>
          <w:szCs w:val="22"/>
        </w:rPr>
        <w:t>C</w:t>
      </w:r>
      <w:r w:rsidRPr="00067D8A">
        <w:rPr>
          <w:rFonts w:asciiTheme="majorBidi" w:hAnsiTheme="majorBidi" w:cstheme="majorBidi"/>
          <w:sz w:val="24"/>
          <w:szCs w:val="22"/>
        </w:rPr>
        <w:t xml:space="preserve">) were produced in them. Their location in a large open space, exterior but adjacent to habitations, might indicate the beginning of functionally specific areas within the site. From the limited sample, it would appear that there is a significant increase of basic </w:t>
      </w:r>
      <w:r w:rsidRPr="00C867A9">
        <w:rPr>
          <w:rFonts w:asciiTheme="majorBidi" w:hAnsiTheme="majorBidi" w:cstheme="majorBidi"/>
          <w:sz w:val="24"/>
          <w:szCs w:val="22"/>
        </w:rPr>
        <w:t>structure size</w:t>
      </w:r>
      <w:r w:rsidR="00314ABB">
        <w:rPr>
          <w:rFonts w:asciiTheme="majorBidi" w:hAnsiTheme="majorBidi" w:cstheme="majorBidi"/>
          <w:sz w:val="24"/>
          <w:szCs w:val="22"/>
        </w:rPr>
        <w:t>,</w:t>
      </w:r>
      <w:r w:rsidRPr="00C867A9">
        <w:rPr>
          <w:rFonts w:asciiTheme="majorBidi" w:hAnsiTheme="majorBidi" w:cstheme="majorBidi"/>
          <w:sz w:val="24"/>
          <w:szCs w:val="22"/>
        </w:rPr>
        <w:t xml:space="preserve"> with those of </w:t>
      </w:r>
      <w:r w:rsidR="006D28BD">
        <w:rPr>
          <w:rFonts w:asciiTheme="majorBidi" w:hAnsiTheme="majorBidi" w:cstheme="majorBidi"/>
          <w:sz w:val="24"/>
          <w:szCs w:val="22"/>
        </w:rPr>
        <w:t>Sub-Period</w:t>
      </w:r>
      <w:r w:rsidRPr="00C867A9">
        <w:rPr>
          <w:rFonts w:asciiTheme="majorBidi" w:hAnsiTheme="majorBidi" w:cstheme="majorBidi"/>
          <w:sz w:val="24"/>
          <w:szCs w:val="22"/>
        </w:rPr>
        <w:t xml:space="preserve"> I</w:t>
      </w:r>
      <w:r w:rsidRPr="00C867A9">
        <w:rPr>
          <w:rFonts w:asciiTheme="majorBidi" w:hAnsiTheme="majorBidi" w:cstheme="majorBidi"/>
          <w:sz w:val="24"/>
          <w:szCs w:val="22"/>
          <w:vertAlign w:val="subscript"/>
        </w:rPr>
        <w:t>5</w:t>
      </w:r>
      <w:r w:rsidRPr="00C867A9">
        <w:rPr>
          <w:rFonts w:asciiTheme="majorBidi" w:hAnsiTheme="majorBidi" w:cstheme="majorBidi"/>
          <w:sz w:val="24"/>
          <w:szCs w:val="22"/>
        </w:rPr>
        <w:t xml:space="preserve"> being almost three times larger (9 x 6 m). </w:t>
      </w:r>
      <w:r w:rsidR="006D28BD">
        <w:rPr>
          <w:rFonts w:asciiTheme="majorBidi" w:hAnsiTheme="majorBidi" w:cstheme="majorBidi"/>
          <w:sz w:val="24"/>
          <w:szCs w:val="22"/>
        </w:rPr>
        <w:t>Sub-Period</w:t>
      </w:r>
      <w:r w:rsidRPr="00C867A9">
        <w:rPr>
          <w:rFonts w:asciiTheme="majorBidi" w:hAnsiTheme="majorBidi" w:cstheme="majorBidi"/>
          <w:sz w:val="24"/>
          <w:szCs w:val="22"/>
        </w:rPr>
        <w:t xml:space="preserve"> I</w:t>
      </w:r>
      <w:r w:rsidRPr="00C867A9">
        <w:rPr>
          <w:rFonts w:asciiTheme="majorBidi" w:hAnsiTheme="majorBidi" w:cstheme="majorBidi"/>
          <w:sz w:val="24"/>
          <w:szCs w:val="22"/>
          <w:vertAlign w:val="subscript"/>
        </w:rPr>
        <w:t>5</w:t>
      </w:r>
      <w:r w:rsidRPr="00C867A9">
        <w:rPr>
          <w:rFonts w:asciiTheme="majorBidi" w:hAnsiTheme="majorBidi" w:cstheme="majorBidi"/>
          <w:sz w:val="24"/>
          <w:szCs w:val="22"/>
        </w:rPr>
        <w:t xml:space="preserve">, and therefore the whole of Period I, </w:t>
      </w:r>
      <w:r w:rsidR="00314ABB">
        <w:rPr>
          <w:rFonts w:asciiTheme="majorBidi" w:hAnsiTheme="majorBidi" w:cstheme="majorBidi"/>
          <w:sz w:val="24"/>
          <w:szCs w:val="22"/>
        </w:rPr>
        <w:t>wa</w:t>
      </w:r>
      <w:r w:rsidRPr="00C867A9">
        <w:rPr>
          <w:rFonts w:asciiTheme="majorBidi" w:hAnsiTheme="majorBidi" w:cstheme="majorBidi"/>
          <w:sz w:val="24"/>
          <w:szCs w:val="22"/>
        </w:rPr>
        <w:t xml:space="preserve">s stratigraphically sealed by a deposit of varying types of debris suggesting that this particular area of the site was not subsequently occupied for some time. The type of habitation structures described for </w:t>
      </w:r>
      <w:r w:rsidR="006D28BD">
        <w:rPr>
          <w:rFonts w:asciiTheme="majorBidi" w:hAnsiTheme="majorBidi" w:cstheme="majorBidi"/>
          <w:sz w:val="24"/>
          <w:szCs w:val="22"/>
        </w:rPr>
        <w:t>Sub-Period</w:t>
      </w:r>
      <w:r w:rsidRPr="00C867A9">
        <w:rPr>
          <w:rFonts w:asciiTheme="majorBidi" w:hAnsiTheme="majorBidi" w:cstheme="majorBidi"/>
          <w:sz w:val="24"/>
          <w:szCs w:val="22"/>
        </w:rPr>
        <w:t>s I</w:t>
      </w:r>
      <w:r w:rsidRPr="00C867A9">
        <w:rPr>
          <w:rFonts w:asciiTheme="majorBidi" w:hAnsiTheme="majorBidi" w:cstheme="majorBidi"/>
          <w:sz w:val="24"/>
          <w:szCs w:val="22"/>
          <w:vertAlign w:val="subscript"/>
        </w:rPr>
        <w:t xml:space="preserve">4–5 </w:t>
      </w:r>
      <w:r w:rsidRPr="00C867A9">
        <w:rPr>
          <w:rFonts w:asciiTheme="majorBidi" w:hAnsiTheme="majorBidi" w:cstheme="majorBidi"/>
          <w:sz w:val="24"/>
          <w:szCs w:val="22"/>
        </w:rPr>
        <w:t xml:space="preserve">seem to establish a pattern which, as will be shown below, is very consistent until Period IV. It should be noted here that Casal has been criticised for not making a sharper distinction, if not periodisation, between </w:t>
      </w:r>
      <w:r w:rsidR="006D28BD">
        <w:rPr>
          <w:rFonts w:asciiTheme="majorBidi" w:hAnsiTheme="majorBidi" w:cstheme="majorBidi"/>
          <w:sz w:val="24"/>
          <w:szCs w:val="22"/>
        </w:rPr>
        <w:t>Sub-Period</w:t>
      </w:r>
      <w:r w:rsidRPr="00C867A9">
        <w:rPr>
          <w:rFonts w:asciiTheme="majorBidi" w:hAnsiTheme="majorBidi" w:cstheme="majorBidi"/>
          <w:sz w:val="24"/>
          <w:szCs w:val="22"/>
        </w:rPr>
        <w:t>s I</w:t>
      </w:r>
      <w:r w:rsidRPr="00C867A9">
        <w:rPr>
          <w:rFonts w:asciiTheme="majorBidi" w:hAnsiTheme="majorBidi" w:cstheme="majorBidi"/>
          <w:sz w:val="24"/>
          <w:szCs w:val="22"/>
          <w:vertAlign w:val="subscript"/>
        </w:rPr>
        <w:t xml:space="preserve">1–3 </w:t>
      </w:r>
      <w:r w:rsidRPr="00C867A9">
        <w:rPr>
          <w:rFonts w:asciiTheme="majorBidi" w:hAnsiTheme="majorBidi" w:cstheme="majorBidi"/>
          <w:sz w:val="24"/>
          <w:szCs w:val="22"/>
        </w:rPr>
        <w:t>and I</w:t>
      </w:r>
      <w:r w:rsidRPr="00C867A9">
        <w:rPr>
          <w:rFonts w:asciiTheme="majorBidi" w:hAnsiTheme="majorBidi" w:cstheme="majorBidi"/>
          <w:sz w:val="24"/>
          <w:szCs w:val="22"/>
          <w:vertAlign w:val="subscript"/>
        </w:rPr>
        <w:t>4–5</w:t>
      </w:r>
      <w:r w:rsidRPr="00C867A9">
        <w:rPr>
          <w:rStyle w:val="EndnoteReference"/>
          <w:rFonts w:asciiTheme="majorBidi" w:hAnsiTheme="majorBidi" w:cstheme="majorBidi"/>
          <w:sz w:val="24"/>
          <w:szCs w:val="22"/>
        </w:rPr>
        <w:endnoteReference w:id="24"/>
      </w:r>
      <w:r w:rsidRPr="00C867A9">
        <w:rPr>
          <w:rFonts w:asciiTheme="majorBidi" w:hAnsiTheme="majorBidi" w:cstheme="majorBidi"/>
          <w:sz w:val="24"/>
          <w:szCs w:val="22"/>
        </w:rPr>
        <w:t xml:space="preserve"> because of differen</w:t>
      </w:r>
      <w:r w:rsidRPr="00067D8A">
        <w:rPr>
          <w:rFonts w:asciiTheme="majorBidi" w:hAnsiTheme="majorBidi" w:cstheme="majorBidi"/>
          <w:sz w:val="24"/>
          <w:szCs w:val="22"/>
        </w:rPr>
        <w:t xml:space="preserve">ces evident in the </w:t>
      </w:r>
      <w:r w:rsidRPr="00067D8A">
        <w:rPr>
          <w:rFonts w:asciiTheme="majorBidi" w:hAnsiTheme="majorBidi" w:cstheme="majorBidi"/>
          <w:sz w:val="24"/>
          <w:szCs w:val="22"/>
        </w:rPr>
        <w:lastRenderedPageBreak/>
        <w:t xml:space="preserve">architecture and ceramics. The ceramics are discussed below, but on the architectural evidence, Casal’s designation of a single period seems correct. Given the extremely small sample and </w:t>
      </w:r>
      <w:r w:rsidRPr="00C867A9">
        <w:rPr>
          <w:rFonts w:asciiTheme="majorBidi" w:hAnsiTheme="majorBidi" w:cstheme="majorBidi"/>
          <w:sz w:val="24"/>
          <w:szCs w:val="22"/>
        </w:rPr>
        <w:t xml:space="preserve">exposure of </w:t>
      </w:r>
      <w:r w:rsidR="006D28BD">
        <w:rPr>
          <w:rFonts w:asciiTheme="majorBidi" w:hAnsiTheme="majorBidi" w:cstheme="majorBidi"/>
          <w:sz w:val="24"/>
          <w:szCs w:val="22"/>
        </w:rPr>
        <w:t>Sub-Period</w:t>
      </w:r>
      <w:r w:rsidRPr="00C867A9">
        <w:rPr>
          <w:rFonts w:asciiTheme="majorBidi" w:hAnsiTheme="majorBidi" w:cstheme="majorBidi"/>
          <w:sz w:val="24"/>
          <w:szCs w:val="22"/>
        </w:rPr>
        <w:t>s I</w:t>
      </w:r>
      <w:r w:rsidRPr="00C867A9">
        <w:rPr>
          <w:rFonts w:asciiTheme="majorBidi" w:hAnsiTheme="majorBidi" w:cstheme="majorBidi"/>
          <w:sz w:val="24"/>
          <w:szCs w:val="22"/>
          <w:vertAlign w:val="subscript"/>
        </w:rPr>
        <w:t xml:space="preserve">1–3 </w:t>
      </w:r>
      <w:r w:rsidRPr="00C867A9">
        <w:rPr>
          <w:rFonts w:asciiTheme="majorBidi" w:hAnsiTheme="majorBidi" w:cstheme="majorBidi"/>
          <w:sz w:val="24"/>
          <w:szCs w:val="22"/>
        </w:rPr>
        <w:t>as</w:t>
      </w:r>
      <w:r w:rsidRPr="00067D8A">
        <w:rPr>
          <w:rFonts w:asciiTheme="majorBidi" w:hAnsiTheme="majorBidi" w:cstheme="majorBidi"/>
          <w:sz w:val="24"/>
          <w:szCs w:val="22"/>
        </w:rPr>
        <w:t xml:space="preserve"> </w:t>
      </w:r>
      <w:r w:rsidRPr="00C867A9">
        <w:rPr>
          <w:rFonts w:asciiTheme="majorBidi" w:hAnsiTheme="majorBidi" w:cstheme="majorBidi"/>
          <w:sz w:val="24"/>
          <w:szCs w:val="22"/>
        </w:rPr>
        <w:t xml:space="preserve">compared with </w:t>
      </w:r>
      <w:r w:rsidR="006D28BD">
        <w:rPr>
          <w:rFonts w:asciiTheme="majorBidi" w:hAnsiTheme="majorBidi" w:cstheme="majorBidi"/>
          <w:sz w:val="24"/>
          <w:szCs w:val="22"/>
        </w:rPr>
        <w:t>Sub-Period</w:t>
      </w:r>
      <w:r w:rsidRPr="00C867A9">
        <w:rPr>
          <w:rFonts w:asciiTheme="majorBidi" w:hAnsiTheme="majorBidi" w:cstheme="majorBidi"/>
          <w:sz w:val="24"/>
          <w:szCs w:val="22"/>
        </w:rPr>
        <w:t>s I</w:t>
      </w:r>
      <w:r w:rsidRPr="00C867A9">
        <w:rPr>
          <w:rFonts w:asciiTheme="majorBidi" w:hAnsiTheme="majorBidi" w:cstheme="majorBidi"/>
          <w:sz w:val="24"/>
          <w:szCs w:val="22"/>
          <w:vertAlign w:val="subscript"/>
        </w:rPr>
        <w:t>4–5</w:t>
      </w:r>
      <w:r w:rsidRPr="00C867A9">
        <w:rPr>
          <w:rFonts w:asciiTheme="majorBidi" w:hAnsiTheme="majorBidi" w:cstheme="majorBidi"/>
          <w:sz w:val="24"/>
          <w:szCs w:val="22"/>
        </w:rPr>
        <w:t>, or other periods, it would have been premature to make a major stratigraphic division merely on the basis of the presence or absence of substantial archi</w:t>
      </w:r>
      <w:r w:rsidRPr="006D28BD">
        <w:rPr>
          <w:rFonts w:asciiTheme="majorBidi" w:hAnsiTheme="majorBidi" w:cstheme="majorBidi"/>
          <w:sz w:val="24"/>
          <w:szCs w:val="22"/>
        </w:rPr>
        <w:t>tecture.</w:t>
      </w:r>
    </w:p>
    <w:p w14:paraId="143FEBE5" w14:textId="77777777" w:rsidR="005F3FF4" w:rsidRDefault="00F77413">
      <w:pPr>
        <w:pStyle w:val="BodyTextIndent"/>
        <w:ind w:firstLine="0"/>
        <w:rPr>
          <w:rFonts w:asciiTheme="majorBidi" w:hAnsiTheme="majorBidi" w:cstheme="majorBidi"/>
          <w:i/>
          <w:iCs/>
          <w:sz w:val="24"/>
          <w:szCs w:val="22"/>
        </w:rPr>
      </w:pPr>
      <w:r w:rsidRPr="006D28BD">
        <w:rPr>
          <w:rFonts w:asciiTheme="majorBidi" w:hAnsiTheme="majorBidi" w:cstheme="majorBidi"/>
          <w:i/>
          <w:iCs/>
          <w:sz w:val="24"/>
          <w:szCs w:val="22"/>
        </w:rPr>
        <w:t>Period II</w:t>
      </w:r>
    </w:p>
    <w:p w14:paraId="73497BB7" w14:textId="79784F88" w:rsidR="005F3FF4" w:rsidRPr="00C867A9" w:rsidRDefault="0030226C">
      <w:pPr>
        <w:pStyle w:val="BodyTextIndent"/>
        <w:ind w:firstLine="0"/>
        <w:rPr>
          <w:rFonts w:asciiTheme="majorBidi" w:hAnsiTheme="majorBidi" w:cstheme="majorBidi"/>
          <w:color w:val="auto"/>
          <w:sz w:val="24"/>
          <w:szCs w:val="22"/>
        </w:rPr>
      </w:pPr>
      <w:r w:rsidRPr="00067D8A">
        <w:rPr>
          <w:rFonts w:asciiTheme="majorBidi" w:hAnsiTheme="majorBidi" w:cstheme="majorBidi"/>
          <w:sz w:val="24"/>
          <w:szCs w:val="22"/>
        </w:rPr>
        <w:t xml:space="preserve">Period II is divided into </w:t>
      </w:r>
      <w:r w:rsidRPr="00C867A9">
        <w:rPr>
          <w:rFonts w:asciiTheme="majorBidi" w:hAnsiTheme="majorBidi" w:cstheme="majorBidi"/>
          <w:sz w:val="24"/>
          <w:szCs w:val="22"/>
        </w:rPr>
        <w:t xml:space="preserve">three </w:t>
      </w:r>
      <w:r w:rsidR="006D28BD">
        <w:rPr>
          <w:rFonts w:asciiTheme="majorBidi" w:hAnsiTheme="majorBidi" w:cstheme="majorBidi"/>
          <w:sz w:val="24"/>
          <w:szCs w:val="22"/>
        </w:rPr>
        <w:t>Sub-Period</w:t>
      </w:r>
      <w:r w:rsidRPr="00C867A9">
        <w:rPr>
          <w:rFonts w:asciiTheme="majorBidi" w:hAnsiTheme="majorBidi" w:cstheme="majorBidi"/>
          <w:sz w:val="24"/>
          <w:szCs w:val="22"/>
        </w:rPr>
        <w:t>s (II</w:t>
      </w:r>
      <w:r w:rsidRPr="00C867A9">
        <w:rPr>
          <w:rFonts w:asciiTheme="majorBidi" w:hAnsiTheme="majorBidi" w:cstheme="majorBidi"/>
          <w:sz w:val="24"/>
          <w:szCs w:val="22"/>
          <w:vertAlign w:val="subscript"/>
        </w:rPr>
        <w:t>1–3</w:t>
      </w:r>
      <w:r w:rsidRPr="00C867A9">
        <w:rPr>
          <w:rFonts w:asciiTheme="majorBidi" w:hAnsiTheme="majorBidi" w:cstheme="majorBidi"/>
          <w:sz w:val="24"/>
          <w:szCs w:val="22"/>
        </w:rPr>
        <w:t>), the</w:t>
      </w:r>
      <w:r w:rsidRPr="00067D8A">
        <w:rPr>
          <w:rFonts w:asciiTheme="majorBidi" w:hAnsiTheme="majorBidi" w:cstheme="majorBidi"/>
          <w:sz w:val="24"/>
          <w:szCs w:val="22"/>
        </w:rPr>
        <w:t xml:space="preserve"> last of which is subdivided into units a and b (Fig. </w:t>
      </w:r>
      <w:r w:rsidR="005B52A9">
        <w:rPr>
          <w:rFonts w:asciiTheme="majorBidi" w:hAnsiTheme="majorBidi" w:cstheme="majorBidi"/>
          <w:sz w:val="24"/>
          <w:szCs w:val="22"/>
        </w:rPr>
        <w:t>4.</w:t>
      </w:r>
      <w:r w:rsidRPr="00067D8A">
        <w:rPr>
          <w:rFonts w:asciiTheme="majorBidi" w:hAnsiTheme="majorBidi" w:cstheme="majorBidi"/>
          <w:color w:val="FF0000"/>
          <w:sz w:val="24"/>
          <w:szCs w:val="22"/>
        </w:rPr>
        <w:t>40-</w:t>
      </w:r>
      <w:r w:rsidR="005B52A9">
        <w:rPr>
          <w:rFonts w:asciiTheme="majorBidi" w:hAnsiTheme="majorBidi" w:cstheme="majorBidi"/>
          <w:color w:val="FF0000"/>
          <w:sz w:val="24"/>
          <w:szCs w:val="22"/>
        </w:rPr>
        <w:t>4.</w:t>
      </w:r>
      <w:r w:rsidRPr="00067D8A">
        <w:rPr>
          <w:rFonts w:asciiTheme="majorBidi" w:hAnsiTheme="majorBidi" w:cstheme="majorBidi"/>
          <w:color w:val="FF0000"/>
          <w:sz w:val="24"/>
          <w:szCs w:val="22"/>
        </w:rPr>
        <w:t>41</w:t>
      </w:r>
      <w:r w:rsidRPr="00067D8A">
        <w:rPr>
          <w:rFonts w:asciiTheme="majorBidi" w:hAnsiTheme="majorBidi" w:cstheme="majorBidi"/>
          <w:sz w:val="24"/>
          <w:szCs w:val="22"/>
        </w:rPr>
        <w:t>). Walls were of mud-brick, founded in deep trenches filled with</w:t>
      </w:r>
      <w:r w:rsidRPr="00067D8A">
        <w:rPr>
          <w:rFonts w:asciiTheme="majorBidi" w:hAnsiTheme="majorBidi" w:cstheme="majorBidi"/>
          <w:i/>
          <w:iCs/>
          <w:sz w:val="24"/>
          <w:szCs w:val="22"/>
        </w:rPr>
        <w:t xml:space="preserve"> </w:t>
      </w:r>
      <w:r w:rsidR="00575C88">
        <w:rPr>
          <w:rFonts w:asciiTheme="majorBidi" w:hAnsiTheme="majorBidi" w:cstheme="majorBidi"/>
          <w:i/>
          <w:iCs/>
          <w:sz w:val="24"/>
          <w:szCs w:val="22"/>
        </w:rPr>
        <w:t>pakhsa</w:t>
      </w:r>
      <w:r w:rsidR="009C43AA" w:rsidRPr="009C43AA">
        <w:t xml:space="preserve">, </w:t>
      </w:r>
      <w:r w:rsidRPr="00C867A9">
        <w:rPr>
          <w:rFonts w:asciiTheme="majorBidi" w:hAnsiTheme="majorBidi" w:cstheme="majorBidi"/>
          <w:color w:val="auto"/>
          <w:sz w:val="24"/>
          <w:szCs w:val="22"/>
        </w:rPr>
        <w:t xml:space="preserve">or </w:t>
      </w:r>
      <w:r w:rsidR="00575C88" w:rsidRPr="00C867A9">
        <w:rPr>
          <w:rFonts w:asciiTheme="majorBidi" w:hAnsiTheme="majorBidi" w:cstheme="majorBidi"/>
          <w:color w:val="auto"/>
          <w:sz w:val="24"/>
          <w:szCs w:val="22"/>
        </w:rPr>
        <w:t>re</w:t>
      </w:r>
      <w:r w:rsidRPr="00C867A9">
        <w:rPr>
          <w:rFonts w:asciiTheme="majorBidi" w:hAnsiTheme="majorBidi" w:cstheme="majorBidi"/>
          <w:color w:val="auto"/>
          <w:sz w:val="24"/>
          <w:szCs w:val="22"/>
        </w:rPr>
        <w:t xml:space="preserve">using wall remnants </w:t>
      </w:r>
      <w:r w:rsidR="009C43AA" w:rsidRPr="00C867A9">
        <w:rPr>
          <w:rFonts w:asciiTheme="majorBidi" w:hAnsiTheme="majorBidi" w:cstheme="majorBidi"/>
          <w:color w:val="auto"/>
          <w:sz w:val="24"/>
          <w:szCs w:val="22"/>
        </w:rPr>
        <w:t>from</w:t>
      </w:r>
      <w:r w:rsidR="00575C88" w:rsidRPr="00C867A9">
        <w:rPr>
          <w:rFonts w:asciiTheme="majorBidi" w:hAnsiTheme="majorBidi" w:cstheme="majorBidi"/>
          <w:color w:val="auto"/>
          <w:sz w:val="24"/>
          <w:szCs w:val="22"/>
        </w:rPr>
        <w:t xml:space="preserve"> </w:t>
      </w:r>
      <w:r w:rsidRPr="00C867A9">
        <w:rPr>
          <w:rFonts w:asciiTheme="majorBidi" w:hAnsiTheme="majorBidi" w:cstheme="majorBidi"/>
          <w:color w:val="auto"/>
          <w:sz w:val="24"/>
          <w:szCs w:val="22"/>
        </w:rPr>
        <w:t>previous structures (</w:t>
      </w:r>
      <w:r w:rsidR="006D28BD">
        <w:rPr>
          <w:rFonts w:asciiTheme="majorBidi" w:hAnsiTheme="majorBidi" w:cstheme="majorBidi"/>
          <w:color w:val="auto"/>
          <w:sz w:val="24"/>
          <w:szCs w:val="22"/>
        </w:rPr>
        <w:t>Sub-Period</w:t>
      </w:r>
      <w:r w:rsidRPr="00C867A9">
        <w:rPr>
          <w:rFonts w:asciiTheme="majorBidi" w:hAnsiTheme="majorBidi" w:cstheme="majorBidi"/>
          <w:color w:val="auto"/>
          <w:sz w:val="24"/>
          <w:szCs w:val="22"/>
        </w:rPr>
        <w:t xml:space="preserve"> I</w:t>
      </w:r>
      <w:r w:rsidRPr="00C867A9">
        <w:rPr>
          <w:rFonts w:asciiTheme="majorBidi" w:hAnsiTheme="majorBidi" w:cstheme="majorBidi"/>
          <w:color w:val="auto"/>
          <w:sz w:val="24"/>
          <w:szCs w:val="22"/>
          <w:vertAlign w:val="subscript"/>
        </w:rPr>
        <w:t>5</w:t>
      </w:r>
      <w:r w:rsidRPr="00C867A9">
        <w:rPr>
          <w:rFonts w:asciiTheme="majorBidi" w:hAnsiTheme="majorBidi" w:cstheme="majorBidi"/>
          <w:color w:val="auto"/>
          <w:sz w:val="24"/>
          <w:szCs w:val="22"/>
        </w:rPr>
        <w:t>). Only rectangular structures were identified</w:t>
      </w:r>
      <w:r w:rsidR="00314ABB">
        <w:rPr>
          <w:rFonts w:asciiTheme="majorBidi" w:hAnsiTheme="majorBidi" w:cstheme="majorBidi"/>
          <w:color w:val="auto"/>
          <w:sz w:val="24"/>
          <w:szCs w:val="22"/>
        </w:rPr>
        <w:t>,</w:t>
      </w:r>
      <w:r w:rsidRPr="00C867A9">
        <w:rPr>
          <w:rFonts w:asciiTheme="majorBidi" w:hAnsiTheme="majorBidi" w:cstheme="majorBidi"/>
          <w:color w:val="auto"/>
          <w:sz w:val="24"/>
          <w:szCs w:val="22"/>
        </w:rPr>
        <w:t xml:space="preserve"> but unlike Period I they were </w:t>
      </w:r>
      <w:r w:rsidR="00575C88" w:rsidRPr="00C867A9">
        <w:rPr>
          <w:rFonts w:asciiTheme="majorBidi" w:hAnsiTheme="majorBidi" w:cstheme="majorBidi"/>
          <w:color w:val="auto"/>
          <w:sz w:val="24"/>
          <w:szCs w:val="22"/>
        </w:rPr>
        <w:t xml:space="preserve">often </w:t>
      </w:r>
      <w:r w:rsidRPr="00C867A9">
        <w:rPr>
          <w:rFonts w:asciiTheme="majorBidi" w:hAnsiTheme="majorBidi" w:cstheme="majorBidi"/>
          <w:color w:val="auto"/>
          <w:sz w:val="24"/>
          <w:szCs w:val="22"/>
        </w:rPr>
        <w:t>divided into two rooms, one smaller than the other (2 × 4·4</w:t>
      </w:r>
      <w:r w:rsidRPr="00C867A9">
        <w:rPr>
          <w:rFonts w:asciiTheme="majorBidi" w:hAnsiTheme="majorBidi" w:cstheme="majorBidi"/>
          <w:i/>
          <w:iCs/>
          <w:color w:val="auto"/>
          <w:sz w:val="24"/>
          <w:szCs w:val="22"/>
        </w:rPr>
        <w:t xml:space="preserve"> </w:t>
      </w:r>
      <w:r w:rsidR="009C43AA" w:rsidRPr="00C867A9">
        <w:rPr>
          <w:rFonts w:asciiTheme="majorBidi" w:hAnsiTheme="majorBidi" w:cstheme="majorBidi"/>
          <w:color w:val="auto"/>
          <w:sz w:val="24"/>
          <w:szCs w:val="22"/>
        </w:rPr>
        <w:t>m</w:t>
      </w:r>
      <w:r w:rsidRPr="00C867A9">
        <w:rPr>
          <w:rFonts w:asciiTheme="majorBidi" w:hAnsiTheme="majorBidi" w:cstheme="majorBidi"/>
          <w:i/>
          <w:iCs/>
          <w:color w:val="auto"/>
          <w:sz w:val="24"/>
          <w:szCs w:val="22"/>
        </w:rPr>
        <w:t xml:space="preserve"> </w:t>
      </w:r>
      <w:r w:rsidRPr="00C867A9">
        <w:rPr>
          <w:rFonts w:asciiTheme="majorBidi" w:hAnsiTheme="majorBidi" w:cstheme="majorBidi"/>
          <w:iCs/>
          <w:color w:val="auto"/>
          <w:sz w:val="24"/>
          <w:szCs w:val="22"/>
        </w:rPr>
        <w:t>v.</w:t>
      </w:r>
      <w:r w:rsidRPr="00C867A9">
        <w:rPr>
          <w:rFonts w:asciiTheme="majorBidi" w:hAnsiTheme="majorBidi" w:cstheme="majorBidi"/>
          <w:color w:val="auto"/>
          <w:sz w:val="24"/>
          <w:szCs w:val="22"/>
        </w:rPr>
        <w:t xml:space="preserve"> 4/5 × 6 m), connected by doorways. During </w:t>
      </w:r>
      <w:r w:rsidR="006D28BD">
        <w:rPr>
          <w:rFonts w:asciiTheme="majorBidi" w:hAnsiTheme="majorBidi" w:cstheme="majorBidi"/>
          <w:color w:val="auto"/>
          <w:sz w:val="24"/>
          <w:szCs w:val="22"/>
        </w:rPr>
        <w:t>Sub-Period</w:t>
      </w:r>
      <w:r w:rsidRPr="00C867A9">
        <w:rPr>
          <w:rFonts w:asciiTheme="majorBidi" w:hAnsiTheme="majorBidi" w:cstheme="majorBidi"/>
          <w:color w:val="auto"/>
          <w:sz w:val="24"/>
          <w:szCs w:val="22"/>
        </w:rPr>
        <w:t>s II</w:t>
      </w:r>
      <w:r w:rsidRPr="00C867A9">
        <w:rPr>
          <w:rFonts w:asciiTheme="majorBidi" w:hAnsiTheme="majorBidi" w:cstheme="majorBidi"/>
          <w:color w:val="auto"/>
          <w:sz w:val="24"/>
          <w:szCs w:val="22"/>
          <w:vertAlign w:val="subscript"/>
        </w:rPr>
        <w:t>1–2</w:t>
      </w:r>
      <w:r w:rsidRPr="00C867A9">
        <w:rPr>
          <w:rFonts w:asciiTheme="majorBidi" w:hAnsiTheme="majorBidi" w:cstheme="majorBidi"/>
          <w:color w:val="auto"/>
          <w:sz w:val="24"/>
          <w:szCs w:val="22"/>
        </w:rPr>
        <w:t xml:space="preserve">, most rooms had an exterior entrance whereas in </w:t>
      </w:r>
      <w:r w:rsidR="006D28BD">
        <w:rPr>
          <w:rFonts w:asciiTheme="majorBidi" w:hAnsiTheme="majorBidi" w:cstheme="majorBidi"/>
          <w:color w:val="auto"/>
          <w:sz w:val="24"/>
          <w:szCs w:val="22"/>
        </w:rPr>
        <w:t>Sub-Period</w:t>
      </w:r>
      <w:r w:rsidRPr="00C867A9">
        <w:rPr>
          <w:rFonts w:asciiTheme="majorBidi" w:hAnsiTheme="majorBidi" w:cstheme="majorBidi"/>
          <w:color w:val="auto"/>
          <w:sz w:val="24"/>
          <w:szCs w:val="22"/>
        </w:rPr>
        <w:t xml:space="preserve"> II</w:t>
      </w:r>
      <w:r w:rsidRPr="00C867A9">
        <w:rPr>
          <w:rFonts w:asciiTheme="majorBidi" w:hAnsiTheme="majorBidi" w:cstheme="majorBidi"/>
          <w:color w:val="auto"/>
          <w:sz w:val="24"/>
          <w:szCs w:val="22"/>
          <w:vertAlign w:val="subscript"/>
        </w:rPr>
        <w:t>3</w:t>
      </w:r>
      <w:r w:rsidRPr="00C867A9">
        <w:rPr>
          <w:rFonts w:asciiTheme="majorBidi" w:hAnsiTheme="majorBidi" w:cstheme="majorBidi"/>
          <w:color w:val="auto"/>
          <w:sz w:val="24"/>
          <w:szCs w:val="22"/>
        </w:rPr>
        <w:t xml:space="preserve"> only one such entrance was found. Interior and exterior wall buttresses were frequently encountered along with a few examples of small windows and wall niches. A very marked characteristic of Period II was a much greater density in the disposition of structures.</w:t>
      </w:r>
    </w:p>
    <w:p w14:paraId="651C1F47" w14:textId="115C706D" w:rsidR="0030226C" w:rsidRPr="00067D8A" w:rsidRDefault="0030226C" w:rsidP="00C11CC2">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Five structures </w:t>
      </w:r>
      <w:r w:rsidRPr="00C867A9">
        <w:rPr>
          <w:rFonts w:asciiTheme="majorBidi" w:hAnsiTheme="majorBidi" w:cstheme="majorBidi"/>
          <w:sz w:val="24"/>
          <w:szCs w:val="22"/>
        </w:rPr>
        <w:t xml:space="preserve">in </w:t>
      </w:r>
      <w:r w:rsidR="006D28BD">
        <w:rPr>
          <w:rFonts w:asciiTheme="majorBidi" w:hAnsiTheme="majorBidi" w:cstheme="majorBidi"/>
          <w:sz w:val="24"/>
          <w:szCs w:val="22"/>
        </w:rPr>
        <w:t>Sub-Period</w:t>
      </w:r>
      <w:r w:rsidRPr="00C867A9">
        <w:rPr>
          <w:rFonts w:asciiTheme="majorBidi" w:hAnsiTheme="majorBidi" w:cstheme="majorBidi"/>
          <w:sz w:val="24"/>
          <w:szCs w:val="22"/>
        </w:rPr>
        <w:t xml:space="preserve"> II</w:t>
      </w:r>
      <w:r w:rsidRPr="00C867A9">
        <w:rPr>
          <w:rFonts w:asciiTheme="majorBidi" w:hAnsiTheme="majorBidi" w:cstheme="majorBidi"/>
          <w:sz w:val="24"/>
          <w:szCs w:val="22"/>
          <w:vertAlign w:val="subscript"/>
        </w:rPr>
        <w:t>1</w:t>
      </w:r>
      <w:r w:rsidRPr="00067D8A">
        <w:rPr>
          <w:rFonts w:asciiTheme="majorBidi" w:hAnsiTheme="majorBidi" w:cstheme="majorBidi"/>
          <w:sz w:val="24"/>
          <w:szCs w:val="22"/>
          <w:vertAlign w:val="subscript"/>
        </w:rPr>
        <w:t xml:space="preserve"> </w:t>
      </w:r>
      <w:r w:rsidRPr="00067D8A">
        <w:rPr>
          <w:rFonts w:asciiTheme="majorBidi" w:hAnsiTheme="majorBidi" w:cstheme="majorBidi"/>
          <w:sz w:val="24"/>
          <w:szCs w:val="22"/>
        </w:rPr>
        <w:t>continued to have a centrally located interior rectangular hearth set into the floor constructed of</w:t>
      </w:r>
      <w:r w:rsidRPr="00067D8A">
        <w:rPr>
          <w:rFonts w:asciiTheme="majorBidi" w:hAnsiTheme="majorBidi" w:cstheme="majorBidi"/>
          <w:i/>
          <w:iCs/>
          <w:sz w:val="24"/>
          <w:szCs w:val="22"/>
        </w:rPr>
        <w:t xml:space="preserve"> </w:t>
      </w:r>
      <w:r w:rsidR="00575C88">
        <w:rPr>
          <w:rFonts w:asciiTheme="majorBidi" w:hAnsiTheme="majorBidi" w:cstheme="majorBidi"/>
          <w:i/>
          <w:iCs/>
          <w:sz w:val="24"/>
          <w:szCs w:val="22"/>
        </w:rPr>
        <w:t>pakhsa</w:t>
      </w:r>
      <w:r w:rsidR="00C867A9">
        <w:rPr>
          <w:rFonts w:asciiTheme="majorBidi" w:hAnsiTheme="majorBidi" w:cstheme="majorBidi"/>
          <w:iCs/>
          <w:sz w:val="24"/>
          <w:szCs w:val="22"/>
        </w:rPr>
        <w:t>, and surrounded by a clay border</w:t>
      </w:r>
      <w:r w:rsidRPr="00067D8A">
        <w:rPr>
          <w:rFonts w:asciiTheme="majorBidi" w:hAnsiTheme="majorBidi" w:cstheme="majorBidi"/>
          <w:i/>
          <w:iCs/>
          <w:sz w:val="24"/>
          <w:szCs w:val="22"/>
        </w:rPr>
        <w:t>.</w:t>
      </w:r>
      <w:r w:rsidRPr="00067D8A">
        <w:rPr>
          <w:rFonts w:asciiTheme="majorBidi" w:hAnsiTheme="majorBidi" w:cstheme="majorBidi"/>
          <w:sz w:val="24"/>
          <w:szCs w:val="22"/>
        </w:rPr>
        <w:t xml:space="preserve"> However, </w:t>
      </w:r>
      <w:r w:rsidR="00D7770B" w:rsidRPr="00067D8A">
        <w:rPr>
          <w:rFonts w:asciiTheme="majorBidi" w:hAnsiTheme="majorBidi" w:cstheme="majorBidi"/>
          <w:sz w:val="24"/>
          <w:szCs w:val="22"/>
        </w:rPr>
        <w:t xml:space="preserve">these hearths </w:t>
      </w:r>
      <w:r w:rsidRPr="00067D8A">
        <w:rPr>
          <w:rFonts w:asciiTheme="majorBidi" w:hAnsiTheme="majorBidi" w:cstheme="majorBidi"/>
          <w:sz w:val="24"/>
          <w:szCs w:val="22"/>
        </w:rPr>
        <w:t>now have a centrally located fire-pit, which continues to characterise such features throughout the remaining occupations at the site. A single structure was found with an interior rectangular pit constructed with</w:t>
      </w:r>
      <w:r w:rsidRPr="00067D8A">
        <w:rPr>
          <w:rFonts w:asciiTheme="majorBidi" w:hAnsiTheme="majorBidi" w:cstheme="majorBidi"/>
          <w:i/>
          <w:iCs/>
          <w:sz w:val="24"/>
          <w:szCs w:val="22"/>
        </w:rPr>
        <w:t xml:space="preserve"> </w:t>
      </w:r>
      <w:r w:rsidR="00D00CA9">
        <w:rPr>
          <w:rFonts w:asciiTheme="majorBidi" w:hAnsiTheme="majorBidi" w:cstheme="majorBidi"/>
          <w:i/>
          <w:iCs/>
          <w:sz w:val="24"/>
          <w:szCs w:val="22"/>
        </w:rPr>
        <w:t xml:space="preserve">pakhsa </w:t>
      </w:r>
      <w:r w:rsidRPr="00067D8A">
        <w:rPr>
          <w:rFonts w:asciiTheme="majorBidi" w:hAnsiTheme="majorBidi" w:cstheme="majorBidi"/>
          <w:sz w:val="24"/>
          <w:szCs w:val="22"/>
        </w:rPr>
        <w:t xml:space="preserve">and filled with ash and debris, which occupied most of the floor area. A large open area was interpreted as a possible cattle pen. Finally, another room </w:t>
      </w:r>
      <w:r w:rsidRPr="00C867A9">
        <w:rPr>
          <w:rFonts w:asciiTheme="majorBidi" w:hAnsiTheme="majorBidi" w:cstheme="majorBidi"/>
          <w:color w:val="auto"/>
          <w:sz w:val="24"/>
          <w:szCs w:val="22"/>
        </w:rPr>
        <w:t>had a small semi</w:t>
      </w:r>
      <w:r w:rsidR="00C867A9" w:rsidRPr="00C867A9">
        <w:rPr>
          <w:rFonts w:asciiTheme="majorBidi" w:hAnsiTheme="majorBidi" w:cstheme="majorBidi"/>
          <w:color w:val="auto"/>
          <w:sz w:val="24"/>
          <w:szCs w:val="22"/>
        </w:rPr>
        <w:t>-</w:t>
      </w:r>
      <w:r w:rsidRPr="00C867A9">
        <w:rPr>
          <w:rFonts w:asciiTheme="majorBidi" w:hAnsiTheme="majorBidi" w:cstheme="majorBidi"/>
          <w:color w:val="auto"/>
          <w:sz w:val="24"/>
          <w:szCs w:val="22"/>
        </w:rPr>
        <w:t>circular</w:t>
      </w:r>
      <w:r w:rsidRPr="00C867A9">
        <w:rPr>
          <w:rFonts w:asciiTheme="majorBidi" w:hAnsiTheme="majorBidi" w:cstheme="majorBidi"/>
          <w:i/>
          <w:iCs/>
          <w:color w:val="auto"/>
          <w:sz w:val="24"/>
          <w:szCs w:val="22"/>
        </w:rPr>
        <w:t xml:space="preserve"> </w:t>
      </w:r>
      <w:r w:rsidR="00D00CA9" w:rsidRPr="00C867A9">
        <w:rPr>
          <w:rFonts w:asciiTheme="majorBidi" w:hAnsiTheme="majorBidi" w:cstheme="majorBidi"/>
          <w:i/>
          <w:iCs/>
          <w:color w:val="auto"/>
          <w:sz w:val="24"/>
          <w:szCs w:val="22"/>
        </w:rPr>
        <w:t xml:space="preserve">pakhsa </w:t>
      </w:r>
      <w:r w:rsidRPr="00C867A9">
        <w:rPr>
          <w:rFonts w:asciiTheme="majorBidi" w:hAnsiTheme="majorBidi" w:cstheme="majorBidi"/>
          <w:color w:val="auto"/>
          <w:sz w:val="24"/>
          <w:szCs w:val="22"/>
        </w:rPr>
        <w:t xml:space="preserve">structure attached to one wall, which was </w:t>
      </w:r>
      <w:r w:rsidR="00EA05E3" w:rsidRPr="00C867A9">
        <w:rPr>
          <w:rFonts w:asciiTheme="majorBidi" w:hAnsiTheme="majorBidi" w:cstheme="majorBidi"/>
          <w:color w:val="auto"/>
          <w:sz w:val="24"/>
          <w:szCs w:val="22"/>
        </w:rPr>
        <w:t xml:space="preserve">described </w:t>
      </w:r>
      <w:r w:rsidRPr="00C867A9">
        <w:rPr>
          <w:rFonts w:asciiTheme="majorBidi" w:hAnsiTheme="majorBidi" w:cstheme="majorBidi"/>
          <w:color w:val="auto"/>
          <w:sz w:val="24"/>
          <w:szCs w:val="22"/>
        </w:rPr>
        <w:t xml:space="preserve">as a </w:t>
      </w:r>
      <w:r w:rsidR="00C11CC2" w:rsidRPr="00C867A9">
        <w:rPr>
          <w:rFonts w:asciiTheme="majorBidi" w:hAnsiTheme="majorBidi" w:cstheme="majorBidi"/>
          <w:color w:val="auto"/>
          <w:sz w:val="24"/>
          <w:szCs w:val="22"/>
        </w:rPr>
        <w:t xml:space="preserve">seed </w:t>
      </w:r>
      <w:r w:rsidR="00C867A9">
        <w:rPr>
          <w:rFonts w:asciiTheme="majorBidi" w:hAnsiTheme="majorBidi" w:cstheme="majorBidi"/>
          <w:sz w:val="24"/>
          <w:szCs w:val="22"/>
        </w:rPr>
        <w:t>trough</w:t>
      </w:r>
      <w:r w:rsidR="00C11CC2" w:rsidRPr="00067D8A">
        <w:rPr>
          <w:rFonts w:asciiTheme="majorBidi" w:hAnsiTheme="majorBidi" w:cstheme="majorBidi"/>
          <w:sz w:val="24"/>
          <w:szCs w:val="22"/>
        </w:rPr>
        <w:t>.</w:t>
      </w:r>
    </w:p>
    <w:p w14:paraId="02E8D41E" w14:textId="3B34F66B" w:rsidR="0030226C" w:rsidRPr="00067D8A" w:rsidRDefault="0030226C" w:rsidP="00EA05E3">
      <w:pPr>
        <w:pStyle w:val="BodyTextIndent"/>
        <w:rPr>
          <w:rFonts w:asciiTheme="majorBidi" w:hAnsiTheme="majorBidi" w:cstheme="majorBidi"/>
          <w:sz w:val="24"/>
          <w:szCs w:val="22"/>
        </w:rPr>
      </w:pPr>
      <w:r w:rsidRPr="00C867A9">
        <w:rPr>
          <w:rFonts w:asciiTheme="majorBidi" w:hAnsiTheme="majorBidi" w:cstheme="majorBidi"/>
          <w:sz w:val="24"/>
          <w:szCs w:val="22"/>
        </w:rPr>
        <w:lastRenderedPageBreak/>
        <w:t xml:space="preserve">The total number of structures increased during </w:t>
      </w:r>
      <w:r w:rsidR="006D28BD">
        <w:rPr>
          <w:rFonts w:asciiTheme="majorBidi" w:hAnsiTheme="majorBidi" w:cstheme="majorBidi"/>
          <w:sz w:val="24"/>
          <w:szCs w:val="22"/>
        </w:rPr>
        <w:t>Sub-Period</w:t>
      </w:r>
      <w:r w:rsidRPr="00C867A9">
        <w:rPr>
          <w:rFonts w:asciiTheme="majorBidi" w:hAnsiTheme="majorBidi" w:cstheme="majorBidi"/>
          <w:sz w:val="24"/>
          <w:szCs w:val="22"/>
        </w:rPr>
        <w:t xml:space="preserve"> II</w:t>
      </w:r>
      <w:r w:rsidRPr="00C867A9">
        <w:rPr>
          <w:rFonts w:asciiTheme="majorBidi" w:hAnsiTheme="majorBidi" w:cstheme="majorBidi"/>
          <w:sz w:val="24"/>
          <w:szCs w:val="22"/>
          <w:vertAlign w:val="subscript"/>
        </w:rPr>
        <w:t>2</w:t>
      </w:r>
      <w:r w:rsidRPr="00C867A9">
        <w:rPr>
          <w:rFonts w:asciiTheme="majorBidi" w:hAnsiTheme="majorBidi" w:cstheme="majorBidi"/>
          <w:sz w:val="24"/>
          <w:szCs w:val="22"/>
        </w:rPr>
        <w:t xml:space="preserve"> although the large open area</w:t>
      </w:r>
      <w:r w:rsidRPr="00067D8A">
        <w:rPr>
          <w:rFonts w:asciiTheme="majorBidi" w:hAnsiTheme="majorBidi" w:cstheme="majorBidi"/>
          <w:sz w:val="24"/>
          <w:szCs w:val="22"/>
        </w:rPr>
        <w:t xml:space="preserve"> remained free of structures. However, it is doubtful that this area was used as an animal pen since it now had a dividing wall and a substantial rectangular oven with two u-shaped chambers. A northern cluster of structures was distinguished by the construction of a well (1 m in diameter by 8 m deep) excavated into virgin soil (Fig. </w:t>
      </w:r>
      <w:r w:rsidR="005B52A9">
        <w:rPr>
          <w:rFonts w:asciiTheme="majorBidi" w:hAnsiTheme="majorBidi" w:cstheme="majorBidi"/>
          <w:color w:val="FF0000"/>
          <w:sz w:val="24"/>
          <w:szCs w:val="22"/>
        </w:rPr>
        <w:t>4.</w:t>
      </w:r>
      <w:r w:rsidRPr="00067D8A">
        <w:rPr>
          <w:rFonts w:asciiTheme="majorBidi" w:hAnsiTheme="majorBidi" w:cstheme="majorBidi"/>
          <w:color w:val="FF0000"/>
          <w:sz w:val="24"/>
          <w:szCs w:val="22"/>
        </w:rPr>
        <w:t>40</w:t>
      </w:r>
      <w:r w:rsidRPr="00067D8A">
        <w:rPr>
          <w:rFonts w:asciiTheme="majorBidi" w:hAnsiTheme="majorBidi" w:cstheme="majorBidi"/>
          <w:sz w:val="24"/>
          <w:szCs w:val="22"/>
        </w:rPr>
        <w:t xml:space="preserve">). The upper part of the well was enclosed by an octagonal mud-brick structure </w:t>
      </w:r>
      <w:r w:rsidRPr="00067D8A">
        <w:rPr>
          <w:rFonts w:asciiTheme="majorBidi" w:hAnsiTheme="majorBidi" w:cstheme="majorBidi"/>
          <w:i/>
          <w:iCs/>
          <w:sz w:val="24"/>
          <w:szCs w:val="22"/>
        </w:rPr>
        <w:t>c</w:t>
      </w:r>
      <w:r w:rsidRPr="00067D8A">
        <w:rPr>
          <w:rFonts w:asciiTheme="majorBidi" w:hAnsiTheme="majorBidi" w:cstheme="majorBidi"/>
          <w:sz w:val="24"/>
          <w:szCs w:val="22"/>
        </w:rPr>
        <w:t xml:space="preserve">. 1 m high while the well interior was </w:t>
      </w:r>
      <w:r w:rsidR="00EA05E3">
        <w:rPr>
          <w:rFonts w:asciiTheme="majorBidi" w:hAnsiTheme="majorBidi" w:cstheme="majorBidi"/>
          <w:i/>
          <w:iCs/>
          <w:sz w:val="24"/>
          <w:szCs w:val="22"/>
        </w:rPr>
        <w:t>pakhsa</w:t>
      </w:r>
      <w:r w:rsidRPr="00067D8A">
        <w:rPr>
          <w:rFonts w:asciiTheme="majorBidi" w:hAnsiTheme="majorBidi" w:cstheme="majorBidi"/>
          <w:i/>
          <w:iCs/>
          <w:sz w:val="24"/>
          <w:szCs w:val="22"/>
        </w:rPr>
        <w:t>-</w:t>
      </w:r>
      <w:r w:rsidRPr="00067D8A">
        <w:rPr>
          <w:rFonts w:asciiTheme="majorBidi" w:hAnsiTheme="majorBidi" w:cstheme="majorBidi"/>
          <w:sz w:val="24"/>
          <w:szCs w:val="22"/>
        </w:rPr>
        <w:t xml:space="preserve">lined. An area which separated the well from nearby structures was lined/paved with </w:t>
      </w:r>
      <w:r w:rsidRPr="00C867A9">
        <w:rPr>
          <w:rFonts w:asciiTheme="majorBidi" w:hAnsiTheme="majorBidi" w:cstheme="majorBidi"/>
          <w:color w:val="auto"/>
          <w:sz w:val="24"/>
          <w:szCs w:val="22"/>
        </w:rPr>
        <w:t>stone</w:t>
      </w:r>
      <w:r w:rsidR="00EA05E3" w:rsidRPr="00C867A9">
        <w:rPr>
          <w:rFonts w:asciiTheme="majorBidi" w:hAnsiTheme="majorBidi" w:cstheme="majorBidi"/>
          <w:color w:val="auto"/>
          <w:sz w:val="24"/>
          <w:szCs w:val="22"/>
        </w:rPr>
        <w:t>s</w:t>
      </w:r>
      <w:r w:rsidRPr="00C867A9">
        <w:rPr>
          <w:rFonts w:asciiTheme="majorBidi" w:hAnsiTheme="majorBidi" w:cstheme="majorBidi"/>
          <w:color w:val="auto"/>
          <w:sz w:val="24"/>
          <w:szCs w:val="22"/>
        </w:rPr>
        <w:t xml:space="preserve">. Immediately south of the well was a small open space with a centrally located </w:t>
      </w:r>
      <w:r w:rsidRPr="00067D8A">
        <w:rPr>
          <w:rFonts w:asciiTheme="majorBidi" w:hAnsiTheme="majorBidi" w:cstheme="majorBidi"/>
          <w:sz w:val="24"/>
          <w:szCs w:val="22"/>
        </w:rPr>
        <w:t xml:space="preserve">rectangular oven suggesting a possible functional correlation between the two features. Another interesting correlation with these features </w:t>
      </w:r>
      <w:r w:rsidR="00314ABB">
        <w:rPr>
          <w:rFonts w:asciiTheme="majorBidi" w:hAnsiTheme="majorBidi" w:cstheme="majorBidi"/>
          <w:sz w:val="24"/>
          <w:szCs w:val="22"/>
        </w:rPr>
        <w:t>wa</w:t>
      </w:r>
      <w:r w:rsidRPr="00067D8A">
        <w:rPr>
          <w:rFonts w:asciiTheme="majorBidi" w:hAnsiTheme="majorBidi" w:cstheme="majorBidi"/>
          <w:sz w:val="24"/>
          <w:szCs w:val="22"/>
        </w:rPr>
        <w:t>s that every surrounding structure had an interior hearth, which again suggests that this area was functionally distinct.</w:t>
      </w:r>
    </w:p>
    <w:p w14:paraId="391E36E6" w14:textId="34A832E5" w:rsidR="0030226C" w:rsidRPr="00067D8A" w:rsidRDefault="006D28BD" w:rsidP="0030226C">
      <w:pPr>
        <w:pStyle w:val="BodyTextIndent"/>
        <w:rPr>
          <w:rFonts w:asciiTheme="majorBidi" w:hAnsiTheme="majorBidi" w:cstheme="majorBidi"/>
          <w:sz w:val="24"/>
          <w:szCs w:val="22"/>
        </w:rPr>
      </w:pPr>
      <w:r>
        <w:rPr>
          <w:rFonts w:asciiTheme="majorBidi" w:hAnsiTheme="majorBidi" w:cstheme="majorBidi"/>
          <w:color w:val="auto"/>
          <w:sz w:val="24"/>
          <w:szCs w:val="22"/>
        </w:rPr>
        <w:t>Sub-Period</w:t>
      </w:r>
      <w:r w:rsidR="0030226C" w:rsidRPr="00C867A9">
        <w:rPr>
          <w:rFonts w:asciiTheme="majorBidi" w:hAnsiTheme="majorBidi" w:cstheme="majorBidi"/>
          <w:color w:val="auto"/>
          <w:sz w:val="24"/>
          <w:szCs w:val="22"/>
        </w:rPr>
        <w:t xml:space="preserve"> II</w:t>
      </w:r>
      <w:r w:rsidR="0030226C" w:rsidRPr="00C867A9">
        <w:rPr>
          <w:rFonts w:asciiTheme="majorBidi" w:hAnsiTheme="majorBidi" w:cstheme="majorBidi"/>
          <w:color w:val="auto"/>
          <w:sz w:val="24"/>
          <w:szCs w:val="22"/>
          <w:vertAlign w:val="subscript"/>
        </w:rPr>
        <w:t>3a</w:t>
      </w:r>
      <w:r w:rsidR="0030226C" w:rsidRPr="00C867A9">
        <w:rPr>
          <w:rFonts w:asciiTheme="majorBidi" w:hAnsiTheme="majorBidi" w:cstheme="majorBidi"/>
          <w:color w:val="auto"/>
          <w:sz w:val="24"/>
          <w:szCs w:val="22"/>
        </w:rPr>
        <w:t xml:space="preserve"> underwent a decrease in the number of structures and an increase </w:t>
      </w:r>
      <w:r w:rsidR="003D6EDB" w:rsidRPr="00C867A9">
        <w:rPr>
          <w:rFonts w:asciiTheme="majorBidi" w:hAnsiTheme="majorBidi" w:cstheme="majorBidi"/>
          <w:color w:val="auto"/>
          <w:sz w:val="24"/>
          <w:szCs w:val="22"/>
        </w:rPr>
        <w:t xml:space="preserve">of more than fifty percent </w:t>
      </w:r>
      <w:r w:rsidR="0030226C" w:rsidRPr="00C867A9">
        <w:rPr>
          <w:rFonts w:asciiTheme="majorBidi" w:hAnsiTheme="majorBidi" w:cstheme="majorBidi"/>
          <w:color w:val="auto"/>
          <w:sz w:val="24"/>
          <w:szCs w:val="22"/>
        </w:rPr>
        <w:t xml:space="preserve">in open areas. Only one definite and one possible external entrance were located in </w:t>
      </w:r>
      <w:r>
        <w:rPr>
          <w:rFonts w:asciiTheme="majorBidi" w:hAnsiTheme="majorBidi" w:cstheme="majorBidi"/>
          <w:color w:val="auto"/>
          <w:sz w:val="24"/>
          <w:szCs w:val="22"/>
        </w:rPr>
        <w:t>Sub-Period</w:t>
      </w:r>
      <w:r w:rsidR="0030226C" w:rsidRPr="00C867A9">
        <w:rPr>
          <w:rFonts w:asciiTheme="majorBidi" w:hAnsiTheme="majorBidi" w:cstheme="majorBidi"/>
          <w:color w:val="auto"/>
          <w:sz w:val="24"/>
          <w:szCs w:val="22"/>
        </w:rPr>
        <w:t xml:space="preserve"> II</w:t>
      </w:r>
      <w:r w:rsidR="0030226C" w:rsidRPr="00C867A9">
        <w:rPr>
          <w:rFonts w:asciiTheme="majorBidi" w:hAnsiTheme="majorBidi" w:cstheme="majorBidi"/>
          <w:color w:val="auto"/>
          <w:sz w:val="24"/>
          <w:szCs w:val="22"/>
          <w:vertAlign w:val="subscript"/>
        </w:rPr>
        <w:t>3a</w:t>
      </w:r>
      <w:r w:rsidR="0030226C" w:rsidRPr="00C867A9">
        <w:rPr>
          <w:rFonts w:asciiTheme="majorBidi" w:hAnsiTheme="majorBidi" w:cstheme="majorBidi"/>
          <w:color w:val="auto"/>
          <w:sz w:val="24"/>
          <w:szCs w:val="22"/>
        </w:rPr>
        <w:t xml:space="preserve"> and none in </w:t>
      </w:r>
      <w:r>
        <w:rPr>
          <w:rFonts w:asciiTheme="majorBidi" w:hAnsiTheme="majorBidi" w:cstheme="majorBidi"/>
          <w:color w:val="auto"/>
          <w:sz w:val="24"/>
          <w:szCs w:val="22"/>
        </w:rPr>
        <w:t>Sub-Period</w:t>
      </w:r>
      <w:r w:rsidR="0030226C" w:rsidRPr="00C867A9">
        <w:rPr>
          <w:rFonts w:asciiTheme="majorBidi" w:hAnsiTheme="majorBidi" w:cstheme="majorBidi"/>
          <w:color w:val="auto"/>
          <w:sz w:val="24"/>
          <w:szCs w:val="22"/>
        </w:rPr>
        <w:t xml:space="preserve"> II</w:t>
      </w:r>
      <w:r w:rsidR="0030226C" w:rsidRPr="00C867A9">
        <w:rPr>
          <w:rFonts w:asciiTheme="majorBidi" w:hAnsiTheme="majorBidi" w:cstheme="majorBidi"/>
          <w:color w:val="auto"/>
          <w:sz w:val="24"/>
          <w:szCs w:val="22"/>
          <w:vertAlign w:val="subscript"/>
        </w:rPr>
        <w:t>3b</w:t>
      </w:r>
      <w:r w:rsidR="0030226C" w:rsidRPr="00C867A9">
        <w:rPr>
          <w:rFonts w:asciiTheme="majorBidi" w:hAnsiTheme="majorBidi" w:cstheme="majorBidi"/>
          <w:color w:val="auto"/>
          <w:sz w:val="24"/>
          <w:szCs w:val="22"/>
        </w:rPr>
        <w:t xml:space="preserve">. Absence of such entrances led Casal to speculate that these </w:t>
      </w:r>
      <w:r w:rsidR="0030226C" w:rsidRPr="00067D8A">
        <w:rPr>
          <w:rFonts w:asciiTheme="majorBidi" w:hAnsiTheme="majorBidi" w:cstheme="majorBidi"/>
          <w:sz w:val="24"/>
          <w:szCs w:val="22"/>
        </w:rPr>
        <w:t xml:space="preserve">walls functioned as supports for a wooden superstructure or an upper living structure, but the interior hearths and mud floors might indicate that entrance was via the roof. </w:t>
      </w:r>
      <w:r w:rsidR="00C867A9">
        <w:rPr>
          <w:rFonts w:asciiTheme="majorBidi" w:hAnsiTheme="majorBidi" w:cstheme="majorBidi"/>
          <w:sz w:val="24"/>
          <w:szCs w:val="22"/>
        </w:rPr>
        <w:t>It is possible that</w:t>
      </w:r>
      <w:r w:rsidR="007E728D">
        <w:rPr>
          <w:rFonts w:asciiTheme="majorBidi" w:hAnsiTheme="majorBidi" w:cstheme="majorBidi"/>
          <w:color w:val="FF0000"/>
          <w:sz w:val="24"/>
          <w:szCs w:val="22"/>
        </w:rPr>
        <w:t xml:space="preserve"> </w:t>
      </w:r>
      <w:r w:rsidR="0030226C" w:rsidRPr="00067D8A">
        <w:rPr>
          <w:rFonts w:asciiTheme="majorBidi" w:hAnsiTheme="majorBidi" w:cstheme="majorBidi"/>
          <w:sz w:val="24"/>
          <w:szCs w:val="22"/>
        </w:rPr>
        <w:t xml:space="preserve">rooms without an external entrance had a non-habitation specialisation, such as storage, for which an external entrance was not necessary and/or desirable. Another large rectangular mud-brick oven with two U-shaped chambers was </w:t>
      </w:r>
      <w:r w:rsidR="0030226C" w:rsidRPr="00C867A9">
        <w:rPr>
          <w:rFonts w:asciiTheme="majorBidi" w:hAnsiTheme="majorBidi" w:cstheme="majorBidi"/>
          <w:sz w:val="24"/>
          <w:szCs w:val="22"/>
        </w:rPr>
        <w:t xml:space="preserve">constructed in an open area during </w:t>
      </w:r>
      <w:r>
        <w:rPr>
          <w:rFonts w:asciiTheme="majorBidi" w:hAnsiTheme="majorBidi" w:cstheme="majorBidi"/>
          <w:sz w:val="24"/>
          <w:szCs w:val="22"/>
        </w:rPr>
        <w:t>Sub-Period</w:t>
      </w:r>
      <w:r w:rsidR="0030226C" w:rsidRPr="00C867A9">
        <w:rPr>
          <w:rFonts w:asciiTheme="majorBidi" w:hAnsiTheme="majorBidi" w:cstheme="majorBidi"/>
          <w:sz w:val="24"/>
          <w:szCs w:val="22"/>
        </w:rPr>
        <w:t xml:space="preserve"> II</w:t>
      </w:r>
      <w:r w:rsidR="0030226C" w:rsidRPr="00C867A9">
        <w:rPr>
          <w:rFonts w:asciiTheme="majorBidi" w:hAnsiTheme="majorBidi" w:cstheme="majorBidi"/>
          <w:sz w:val="24"/>
          <w:szCs w:val="22"/>
          <w:vertAlign w:val="subscript"/>
        </w:rPr>
        <w:t>3a</w:t>
      </w:r>
      <w:r w:rsidR="0030226C" w:rsidRPr="00C867A9">
        <w:rPr>
          <w:rFonts w:asciiTheme="majorBidi" w:hAnsiTheme="majorBidi" w:cstheme="majorBidi"/>
          <w:sz w:val="24"/>
          <w:szCs w:val="22"/>
        </w:rPr>
        <w:t xml:space="preserve">. This oven continued in use through </w:t>
      </w:r>
      <w:r>
        <w:rPr>
          <w:rFonts w:asciiTheme="majorBidi" w:hAnsiTheme="majorBidi" w:cstheme="majorBidi"/>
          <w:sz w:val="24"/>
          <w:szCs w:val="22"/>
        </w:rPr>
        <w:t>Sub-Period</w:t>
      </w:r>
      <w:r w:rsidR="0030226C" w:rsidRPr="00C867A9">
        <w:rPr>
          <w:rFonts w:asciiTheme="majorBidi" w:hAnsiTheme="majorBidi" w:cstheme="majorBidi"/>
          <w:sz w:val="24"/>
          <w:szCs w:val="22"/>
        </w:rPr>
        <w:t xml:space="preserve"> II</w:t>
      </w:r>
      <w:r w:rsidR="0030226C" w:rsidRPr="00C867A9">
        <w:rPr>
          <w:rFonts w:asciiTheme="majorBidi" w:hAnsiTheme="majorBidi" w:cstheme="majorBidi"/>
          <w:sz w:val="24"/>
          <w:szCs w:val="22"/>
          <w:vertAlign w:val="subscript"/>
        </w:rPr>
        <w:t>3b</w:t>
      </w:r>
      <w:r w:rsidR="0030226C" w:rsidRPr="00C867A9">
        <w:rPr>
          <w:rFonts w:asciiTheme="majorBidi" w:hAnsiTheme="majorBidi" w:cstheme="majorBidi"/>
          <w:sz w:val="24"/>
          <w:szCs w:val="22"/>
        </w:rPr>
        <w:t xml:space="preserve"> with the addition of a third u-shaped chamber. An additional asymmetrical mud-brick three-chambered oven was constructed in a different open area during </w:t>
      </w:r>
      <w:r>
        <w:rPr>
          <w:rFonts w:asciiTheme="majorBidi" w:hAnsiTheme="majorBidi" w:cstheme="majorBidi"/>
          <w:sz w:val="24"/>
          <w:szCs w:val="22"/>
        </w:rPr>
        <w:t>Sub-Period</w:t>
      </w:r>
      <w:r w:rsidR="0030226C" w:rsidRPr="00C867A9">
        <w:rPr>
          <w:rFonts w:asciiTheme="majorBidi" w:hAnsiTheme="majorBidi" w:cstheme="majorBidi"/>
          <w:sz w:val="24"/>
          <w:szCs w:val="22"/>
        </w:rPr>
        <w:t xml:space="preserve"> II</w:t>
      </w:r>
      <w:r w:rsidR="0030226C" w:rsidRPr="00C867A9">
        <w:rPr>
          <w:rFonts w:asciiTheme="majorBidi" w:hAnsiTheme="majorBidi" w:cstheme="majorBidi"/>
          <w:sz w:val="24"/>
          <w:szCs w:val="22"/>
          <w:vertAlign w:val="subscript"/>
        </w:rPr>
        <w:t>3b</w:t>
      </w:r>
      <w:r w:rsidR="0030226C" w:rsidRPr="00C867A9">
        <w:rPr>
          <w:rFonts w:asciiTheme="majorBidi" w:hAnsiTheme="majorBidi" w:cstheme="majorBidi"/>
          <w:sz w:val="24"/>
          <w:szCs w:val="22"/>
        </w:rPr>
        <w:t>. Finally, a unique circular</w:t>
      </w:r>
      <w:r w:rsidR="0030226C" w:rsidRPr="00C867A9">
        <w:rPr>
          <w:rFonts w:asciiTheme="majorBidi" w:hAnsiTheme="majorBidi" w:cstheme="majorBidi"/>
          <w:i/>
          <w:iCs/>
          <w:sz w:val="24"/>
          <w:szCs w:val="22"/>
        </w:rPr>
        <w:t xml:space="preserve"> </w:t>
      </w:r>
      <w:r w:rsidR="00D00CA9" w:rsidRPr="00C867A9">
        <w:rPr>
          <w:rFonts w:asciiTheme="majorBidi" w:hAnsiTheme="majorBidi" w:cstheme="majorBidi"/>
          <w:i/>
          <w:iCs/>
          <w:sz w:val="24"/>
          <w:szCs w:val="22"/>
        </w:rPr>
        <w:t>pakhsa</w:t>
      </w:r>
      <w:r w:rsidR="00D00CA9">
        <w:rPr>
          <w:rFonts w:asciiTheme="majorBidi" w:hAnsiTheme="majorBidi" w:cstheme="majorBidi"/>
          <w:i/>
          <w:iCs/>
          <w:sz w:val="24"/>
          <w:szCs w:val="22"/>
        </w:rPr>
        <w:t xml:space="preserve"> </w:t>
      </w:r>
      <w:r w:rsidR="0030226C" w:rsidRPr="00067D8A">
        <w:rPr>
          <w:rFonts w:asciiTheme="majorBidi" w:hAnsiTheme="majorBidi" w:cstheme="majorBidi"/>
          <w:sz w:val="24"/>
          <w:szCs w:val="22"/>
        </w:rPr>
        <w:t>basin was constructed inside one 3b structure.</w:t>
      </w:r>
    </w:p>
    <w:p w14:paraId="572CF1A5" w14:textId="77777777" w:rsidR="0030226C"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lastRenderedPageBreak/>
        <w:t xml:space="preserve">There is no reason to question Casal’s </w:t>
      </w:r>
      <w:r w:rsidRPr="00782461">
        <w:rPr>
          <w:rFonts w:asciiTheme="majorBidi" w:hAnsiTheme="majorBidi" w:cstheme="majorBidi"/>
          <w:sz w:val="24"/>
          <w:szCs w:val="22"/>
        </w:rPr>
        <w:t>stratigraphic designations for Period II. A marked continuity seems to persist for the architectural developments represented in Periods I–II, which corresponds to a similar continuity in most categories of material culture. The overall picture is one of continuous rebuilding reflecting internal population growth and shifts within a village settlement pattern. A significant development for Period II, however, is the possible</w:t>
      </w:r>
      <w:r w:rsidRPr="00067D8A">
        <w:rPr>
          <w:rFonts w:asciiTheme="majorBidi" w:hAnsiTheme="majorBidi" w:cstheme="majorBidi"/>
          <w:sz w:val="24"/>
          <w:szCs w:val="22"/>
        </w:rPr>
        <w:t xml:space="preserve"> existence of functionally distinct areas and structures within the settlement.</w:t>
      </w:r>
    </w:p>
    <w:p w14:paraId="723F1A7C" w14:textId="77777777" w:rsidR="005F3FF4" w:rsidRDefault="00F77413">
      <w:pPr>
        <w:pStyle w:val="BodyTextIndent"/>
        <w:ind w:firstLine="0"/>
        <w:rPr>
          <w:rFonts w:asciiTheme="majorBidi" w:hAnsiTheme="majorBidi" w:cstheme="majorBidi"/>
          <w:i/>
          <w:iCs/>
          <w:sz w:val="24"/>
          <w:szCs w:val="22"/>
        </w:rPr>
      </w:pPr>
      <w:r>
        <w:rPr>
          <w:rFonts w:asciiTheme="majorBidi" w:hAnsiTheme="majorBidi" w:cstheme="majorBidi"/>
          <w:i/>
          <w:iCs/>
          <w:sz w:val="24"/>
          <w:szCs w:val="22"/>
        </w:rPr>
        <w:t>Period III</w:t>
      </w:r>
    </w:p>
    <w:p w14:paraId="79E7F530" w14:textId="333C0041" w:rsidR="005F3FF4" w:rsidRPr="00782461" w:rsidRDefault="0030226C">
      <w:pPr>
        <w:pStyle w:val="BodyTextIndent"/>
        <w:ind w:firstLine="0"/>
        <w:rPr>
          <w:rFonts w:asciiTheme="majorBidi" w:hAnsiTheme="majorBidi" w:cstheme="majorBidi"/>
          <w:sz w:val="24"/>
          <w:szCs w:val="22"/>
        </w:rPr>
      </w:pPr>
      <w:r w:rsidRPr="00782461">
        <w:rPr>
          <w:rFonts w:asciiTheme="majorBidi" w:hAnsiTheme="majorBidi" w:cstheme="majorBidi"/>
          <w:sz w:val="24"/>
          <w:szCs w:val="22"/>
        </w:rPr>
        <w:t xml:space="preserve">The remains of </w:t>
      </w:r>
      <w:r w:rsidRPr="00782461">
        <w:rPr>
          <w:rFonts w:asciiTheme="majorBidi" w:hAnsiTheme="majorBidi" w:cstheme="majorBidi"/>
          <w:szCs w:val="22"/>
        </w:rPr>
        <w:t>Period</w:t>
      </w:r>
      <w:r w:rsidRPr="00782461">
        <w:rPr>
          <w:rFonts w:asciiTheme="majorBidi" w:hAnsiTheme="majorBidi" w:cstheme="majorBidi"/>
          <w:sz w:val="24"/>
          <w:szCs w:val="22"/>
        </w:rPr>
        <w:t xml:space="preserve"> III in general are usually contrasted against those of </w:t>
      </w:r>
      <w:r w:rsidRPr="00782461">
        <w:rPr>
          <w:rFonts w:asciiTheme="majorBidi" w:hAnsiTheme="majorBidi" w:cstheme="majorBidi"/>
          <w:szCs w:val="22"/>
        </w:rPr>
        <w:t>Period</w:t>
      </w:r>
      <w:r w:rsidRPr="00782461">
        <w:rPr>
          <w:rFonts w:asciiTheme="majorBidi" w:hAnsiTheme="majorBidi" w:cstheme="majorBidi"/>
          <w:sz w:val="24"/>
          <w:szCs w:val="22"/>
        </w:rPr>
        <w:t xml:space="preserve"> II, and depicted as representing a period of ‘vitality and expansion’ as opposed to the ‘stagnation’ of </w:t>
      </w:r>
      <w:r w:rsidRPr="00782461">
        <w:rPr>
          <w:rFonts w:asciiTheme="majorBidi" w:hAnsiTheme="majorBidi" w:cstheme="majorBidi"/>
          <w:szCs w:val="22"/>
        </w:rPr>
        <w:t>Period</w:t>
      </w:r>
      <w:r w:rsidRPr="00782461">
        <w:rPr>
          <w:rFonts w:asciiTheme="majorBidi" w:hAnsiTheme="majorBidi" w:cstheme="majorBidi"/>
          <w:sz w:val="24"/>
          <w:szCs w:val="22"/>
        </w:rPr>
        <w:t xml:space="preserve"> II. Although </w:t>
      </w:r>
      <w:r w:rsidRPr="00782461">
        <w:rPr>
          <w:rFonts w:asciiTheme="majorBidi" w:hAnsiTheme="majorBidi" w:cstheme="majorBidi"/>
          <w:szCs w:val="22"/>
        </w:rPr>
        <w:t>Period</w:t>
      </w:r>
      <w:r w:rsidRPr="00782461">
        <w:rPr>
          <w:rFonts w:asciiTheme="majorBidi" w:hAnsiTheme="majorBidi" w:cstheme="majorBidi"/>
          <w:sz w:val="24"/>
          <w:szCs w:val="22"/>
        </w:rPr>
        <w:t xml:space="preserve"> III witnessed some significant changes in material culture, it also demonstrated a stratigraphic and architectural continuity with </w:t>
      </w:r>
      <w:r w:rsidRPr="00782461">
        <w:rPr>
          <w:rFonts w:asciiTheme="majorBidi" w:hAnsiTheme="majorBidi" w:cstheme="majorBidi"/>
          <w:szCs w:val="22"/>
        </w:rPr>
        <w:t>Period</w:t>
      </w:r>
      <w:r w:rsidRPr="00782461">
        <w:rPr>
          <w:rFonts w:asciiTheme="majorBidi" w:hAnsiTheme="majorBidi" w:cstheme="majorBidi"/>
          <w:sz w:val="24"/>
          <w:szCs w:val="22"/>
        </w:rPr>
        <w:t xml:space="preserve"> II. Casal divided </w:t>
      </w:r>
      <w:r w:rsidRPr="00782461">
        <w:rPr>
          <w:rFonts w:asciiTheme="majorBidi" w:hAnsiTheme="majorBidi" w:cstheme="majorBidi"/>
          <w:szCs w:val="22"/>
        </w:rPr>
        <w:t>Period</w:t>
      </w:r>
      <w:r w:rsidRPr="00782461">
        <w:rPr>
          <w:rFonts w:asciiTheme="majorBidi" w:hAnsiTheme="majorBidi" w:cstheme="majorBidi"/>
          <w:sz w:val="24"/>
          <w:szCs w:val="22"/>
        </w:rPr>
        <w:t xml:space="preserve"> III into six </w:t>
      </w:r>
      <w:r w:rsidR="006D28BD">
        <w:rPr>
          <w:rFonts w:asciiTheme="majorBidi" w:hAnsiTheme="majorBidi" w:cstheme="majorBidi"/>
          <w:szCs w:val="22"/>
        </w:rPr>
        <w:t>Sub-Period</w:t>
      </w:r>
      <w:r w:rsidRPr="00782461">
        <w:rPr>
          <w:rFonts w:asciiTheme="majorBidi" w:hAnsiTheme="majorBidi" w:cstheme="majorBidi"/>
          <w:szCs w:val="22"/>
        </w:rPr>
        <w:t>s</w:t>
      </w:r>
      <w:r w:rsidRPr="00782461">
        <w:rPr>
          <w:rFonts w:asciiTheme="majorBidi" w:hAnsiTheme="majorBidi" w:cstheme="majorBidi"/>
          <w:sz w:val="24"/>
          <w:szCs w:val="22"/>
        </w:rPr>
        <w:t xml:space="preserve"> (III</w:t>
      </w:r>
      <w:r w:rsidRPr="00782461">
        <w:rPr>
          <w:rFonts w:asciiTheme="majorBidi" w:hAnsiTheme="majorBidi" w:cstheme="majorBidi"/>
          <w:sz w:val="24"/>
          <w:szCs w:val="22"/>
          <w:vertAlign w:val="subscript"/>
        </w:rPr>
        <w:t>1–6</w:t>
      </w:r>
      <w:r w:rsidRPr="00782461">
        <w:rPr>
          <w:rFonts w:asciiTheme="majorBidi" w:hAnsiTheme="majorBidi" w:cstheme="majorBidi"/>
          <w:sz w:val="24"/>
          <w:szCs w:val="22"/>
        </w:rPr>
        <w:t xml:space="preserve">), with the last </w:t>
      </w:r>
      <w:r w:rsidR="006D28BD">
        <w:rPr>
          <w:rFonts w:asciiTheme="majorBidi" w:hAnsiTheme="majorBidi" w:cstheme="majorBidi"/>
          <w:sz w:val="24"/>
          <w:szCs w:val="22"/>
        </w:rPr>
        <w:t>Sub-Period</w:t>
      </w:r>
      <w:r w:rsidRPr="00782461">
        <w:rPr>
          <w:rFonts w:asciiTheme="majorBidi" w:hAnsiTheme="majorBidi" w:cstheme="majorBidi"/>
          <w:sz w:val="24"/>
          <w:szCs w:val="22"/>
        </w:rPr>
        <w:t xml:space="preserve"> (III</w:t>
      </w:r>
      <w:r w:rsidRPr="00782461">
        <w:rPr>
          <w:rFonts w:asciiTheme="majorBidi" w:hAnsiTheme="majorBidi" w:cstheme="majorBidi"/>
          <w:sz w:val="24"/>
          <w:szCs w:val="22"/>
          <w:vertAlign w:val="subscript"/>
        </w:rPr>
        <w:t>6</w:t>
      </w:r>
      <w:r w:rsidRPr="00782461">
        <w:rPr>
          <w:rFonts w:asciiTheme="majorBidi" w:hAnsiTheme="majorBidi" w:cstheme="majorBidi"/>
          <w:sz w:val="24"/>
          <w:szCs w:val="22"/>
        </w:rPr>
        <w:t>) subdivided into units a, b and c.</w:t>
      </w:r>
    </w:p>
    <w:p w14:paraId="52B6333D" w14:textId="33B53A6F" w:rsidR="0030226C" w:rsidRPr="00067D8A" w:rsidRDefault="0030226C" w:rsidP="0030226C">
      <w:pPr>
        <w:pStyle w:val="BodyTextIndent"/>
        <w:rPr>
          <w:rFonts w:asciiTheme="majorBidi" w:hAnsiTheme="majorBidi" w:cstheme="majorBidi"/>
          <w:sz w:val="24"/>
          <w:szCs w:val="22"/>
        </w:rPr>
      </w:pPr>
      <w:r w:rsidRPr="00782461">
        <w:rPr>
          <w:rFonts w:asciiTheme="majorBidi" w:hAnsiTheme="majorBidi" w:cstheme="majorBidi"/>
          <w:sz w:val="24"/>
          <w:szCs w:val="22"/>
        </w:rPr>
        <w:t xml:space="preserve">The Period III mud-brick structures are essentially similar to those found in Periods I–II. However, the previously typical structure with one large and one small room becomes extremely rare (one example in each of </w:t>
      </w:r>
      <w:r w:rsidR="006D28BD">
        <w:rPr>
          <w:rFonts w:asciiTheme="majorBidi" w:hAnsiTheme="majorBidi" w:cstheme="majorBidi"/>
          <w:sz w:val="24"/>
          <w:szCs w:val="22"/>
        </w:rPr>
        <w:t>Sub-Period</w:t>
      </w:r>
      <w:r w:rsidRPr="00782461">
        <w:rPr>
          <w:rFonts w:asciiTheme="majorBidi" w:hAnsiTheme="majorBidi" w:cstheme="majorBidi"/>
          <w:sz w:val="24"/>
          <w:szCs w:val="22"/>
        </w:rPr>
        <w:t>s III</w:t>
      </w:r>
      <w:r w:rsidRPr="00782461">
        <w:rPr>
          <w:rFonts w:asciiTheme="majorBidi" w:hAnsiTheme="majorBidi" w:cstheme="majorBidi"/>
          <w:sz w:val="24"/>
          <w:szCs w:val="22"/>
          <w:vertAlign w:val="subscript"/>
        </w:rPr>
        <w:t>1</w:t>
      </w:r>
      <w:r w:rsidRPr="00782461">
        <w:rPr>
          <w:rFonts w:asciiTheme="majorBidi" w:hAnsiTheme="majorBidi" w:cstheme="majorBidi"/>
          <w:sz w:val="24"/>
          <w:szCs w:val="22"/>
        </w:rPr>
        <w:t xml:space="preserve"> and III</w:t>
      </w:r>
      <w:r w:rsidRPr="00782461">
        <w:rPr>
          <w:rFonts w:asciiTheme="majorBidi" w:hAnsiTheme="majorBidi" w:cstheme="majorBidi"/>
          <w:sz w:val="24"/>
          <w:szCs w:val="22"/>
          <w:vertAlign w:val="subscript"/>
        </w:rPr>
        <w:t>6c</w:t>
      </w:r>
      <w:r w:rsidRPr="00782461">
        <w:rPr>
          <w:rFonts w:asciiTheme="majorBidi" w:hAnsiTheme="majorBidi" w:cstheme="majorBidi"/>
          <w:sz w:val="24"/>
          <w:szCs w:val="22"/>
        </w:rPr>
        <w:t>). During Period III an increased</w:t>
      </w:r>
      <w:r w:rsidRPr="00067D8A">
        <w:rPr>
          <w:rFonts w:asciiTheme="majorBidi" w:hAnsiTheme="majorBidi" w:cstheme="majorBidi"/>
          <w:sz w:val="24"/>
          <w:szCs w:val="22"/>
        </w:rPr>
        <w:t xml:space="preserve"> density in the number of structures per excavated area was d</w:t>
      </w:r>
      <w:r w:rsidR="00782461">
        <w:rPr>
          <w:rFonts w:asciiTheme="majorBidi" w:hAnsiTheme="majorBidi" w:cstheme="majorBidi"/>
          <w:sz w:val="24"/>
          <w:szCs w:val="22"/>
        </w:rPr>
        <w:t>iscernable</w:t>
      </w:r>
      <w:r w:rsidRPr="00067D8A">
        <w:rPr>
          <w:rFonts w:asciiTheme="majorBidi" w:hAnsiTheme="majorBidi" w:cstheme="majorBidi"/>
          <w:sz w:val="24"/>
          <w:szCs w:val="22"/>
        </w:rPr>
        <w:t xml:space="preserve">. This increased density is often interpreted as representing population growth, but this fails to take into consideration </w:t>
      </w:r>
      <w:r w:rsidRPr="00782461">
        <w:rPr>
          <w:rFonts w:asciiTheme="majorBidi" w:hAnsiTheme="majorBidi" w:cstheme="majorBidi"/>
          <w:sz w:val="24"/>
          <w:szCs w:val="22"/>
        </w:rPr>
        <w:t xml:space="preserve">the possibility that not all structures were habitations. </w:t>
      </w:r>
      <w:r w:rsidR="006D28BD">
        <w:rPr>
          <w:rFonts w:asciiTheme="majorBidi" w:hAnsiTheme="majorBidi" w:cstheme="majorBidi"/>
          <w:sz w:val="24"/>
          <w:szCs w:val="22"/>
        </w:rPr>
        <w:t>Sub-Period</w:t>
      </w:r>
      <w:r w:rsidRPr="00782461">
        <w:rPr>
          <w:rFonts w:asciiTheme="majorBidi" w:hAnsiTheme="majorBidi" w:cstheme="majorBidi"/>
          <w:sz w:val="24"/>
          <w:szCs w:val="22"/>
        </w:rPr>
        <w:t xml:space="preserve"> III</w:t>
      </w:r>
      <w:r w:rsidRPr="00782461">
        <w:rPr>
          <w:rFonts w:asciiTheme="majorBidi" w:hAnsiTheme="majorBidi" w:cstheme="majorBidi"/>
          <w:sz w:val="24"/>
          <w:szCs w:val="22"/>
          <w:vertAlign w:val="subscript"/>
        </w:rPr>
        <w:t>1–5</w:t>
      </w:r>
      <w:r w:rsidRPr="00782461">
        <w:rPr>
          <w:rFonts w:asciiTheme="majorBidi" w:hAnsiTheme="majorBidi" w:cstheme="majorBidi"/>
          <w:sz w:val="24"/>
          <w:szCs w:val="22"/>
        </w:rPr>
        <w:t xml:space="preserve"> structures demonstrate various types of rebuilding such as additional walls, interior features, and repairs (Fig. </w:t>
      </w:r>
      <w:r w:rsidR="005B52A9" w:rsidRPr="00782461">
        <w:rPr>
          <w:rFonts w:asciiTheme="majorBidi" w:hAnsiTheme="majorBidi" w:cstheme="majorBidi"/>
          <w:sz w:val="24"/>
          <w:szCs w:val="22"/>
        </w:rPr>
        <w:t>4.</w:t>
      </w:r>
      <w:r w:rsidRPr="00782461">
        <w:rPr>
          <w:rFonts w:asciiTheme="majorBidi" w:hAnsiTheme="majorBidi" w:cstheme="majorBidi"/>
          <w:color w:val="FF0000"/>
          <w:sz w:val="24"/>
          <w:szCs w:val="22"/>
        </w:rPr>
        <w:t>42</w:t>
      </w:r>
      <w:r w:rsidRPr="00782461">
        <w:rPr>
          <w:rFonts w:asciiTheme="majorBidi" w:hAnsiTheme="majorBidi" w:cstheme="majorBidi"/>
          <w:sz w:val="24"/>
          <w:szCs w:val="22"/>
        </w:rPr>
        <w:t xml:space="preserve">). Walls are not, however, as firmly founded in </w:t>
      </w:r>
      <w:r w:rsidR="006D28BD">
        <w:rPr>
          <w:rFonts w:asciiTheme="majorBidi" w:hAnsiTheme="majorBidi" w:cstheme="majorBidi"/>
          <w:sz w:val="24"/>
          <w:szCs w:val="22"/>
        </w:rPr>
        <w:t>Sub-Period</w:t>
      </w:r>
      <w:r w:rsidRPr="00782461">
        <w:rPr>
          <w:rFonts w:asciiTheme="majorBidi" w:hAnsiTheme="majorBidi" w:cstheme="majorBidi"/>
          <w:sz w:val="24"/>
          <w:szCs w:val="22"/>
        </w:rPr>
        <w:t xml:space="preserve"> III</w:t>
      </w:r>
      <w:r w:rsidRPr="00782461">
        <w:rPr>
          <w:rFonts w:asciiTheme="majorBidi" w:hAnsiTheme="majorBidi" w:cstheme="majorBidi"/>
          <w:sz w:val="24"/>
          <w:szCs w:val="22"/>
          <w:vertAlign w:val="subscript"/>
        </w:rPr>
        <w:t>1–5</w:t>
      </w:r>
      <w:r w:rsidRPr="00782461">
        <w:rPr>
          <w:rFonts w:asciiTheme="majorBidi" w:hAnsiTheme="majorBidi" w:cstheme="majorBidi"/>
          <w:sz w:val="24"/>
          <w:szCs w:val="22"/>
        </w:rPr>
        <w:t xml:space="preserve"> as in previous occupations. Throughout Period III several structures are found with common, or closely abutted, walls which might indicate that such structures represent a socio-cultural unit. Open spaces between</w:t>
      </w:r>
      <w:r w:rsidRPr="00067D8A">
        <w:rPr>
          <w:rFonts w:asciiTheme="majorBidi" w:hAnsiTheme="majorBidi" w:cstheme="majorBidi"/>
          <w:sz w:val="24"/>
          <w:szCs w:val="22"/>
        </w:rPr>
        <w:t xml:space="preserve"> these structural clusters is very irregular, giving the impression that if such socio-cultural units are represented then they took shape rather haphazardly or according </w:t>
      </w:r>
      <w:r w:rsidRPr="00067D8A">
        <w:rPr>
          <w:rFonts w:asciiTheme="majorBidi" w:hAnsiTheme="majorBidi" w:cstheme="majorBidi"/>
          <w:sz w:val="24"/>
          <w:szCs w:val="22"/>
        </w:rPr>
        <w:lastRenderedPageBreak/>
        <w:t>to some agglutinative cultural process. Entrance to structures was either by a small lateral doorway or via the roof. It is interesting to note that almost every structure with an interior hearth was provided with a lateral doorway. Structures without such hearths were far more variable in this respect.</w:t>
      </w:r>
    </w:p>
    <w:p w14:paraId="38D792A3" w14:textId="6761B521" w:rsidR="0030226C" w:rsidRPr="00782461" w:rsidRDefault="0030226C" w:rsidP="00343CB5">
      <w:pPr>
        <w:pStyle w:val="BodyTextIndent"/>
        <w:rPr>
          <w:rFonts w:asciiTheme="majorBidi" w:hAnsiTheme="majorBidi" w:cstheme="majorBidi"/>
          <w:sz w:val="24"/>
          <w:szCs w:val="22"/>
        </w:rPr>
      </w:pPr>
      <w:r w:rsidRPr="00782461">
        <w:rPr>
          <w:rFonts w:asciiTheme="majorBidi" w:hAnsiTheme="majorBidi" w:cstheme="majorBidi"/>
          <w:sz w:val="24"/>
          <w:szCs w:val="22"/>
        </w:rPr>
        <w:t xml:space="preserve">The large rectangular multi-chambered mud-brick ovens are identified for the last time in </w:t>
      </w:r>
      <w:r w:rsidR="006D28BD">
        <w:rPr>
          <w:rFonts w:asciiTheme="majorBidi" w:hAnsiTheme="majorBidi" w:cstheme="majorBidi"/>
          <w:sz w:val="24"/>
          <w:szCs w:val="22"/>
        </w:rPr>
        <w:t>Sub-Period</w:t>
      </w:r>
      <w:r w:rsidRPr="00782461">
        <w:rPr>
          <w:rFonts w:asciiTheme="majorBidi" w:hAnsiTheme="majorBidi" w:cstheme="majorBidi"/>
          <w:sz w:val="24"/>
          <w:szCs w:val="22"/>
        </w:rPr>
        <w:t xml:space="preserve"> III</w:t>
      </w:r>
      <w:r w:rsidRPr="00782461">
        <w:rPr>
          <w:rFonts w:asciiTheme="majorBidi" w:hAnsiTheme="majorBidi" w:cstheme="majorBidi"/>
          <w:sz w:val="24"/>
          <w:szCs w:val="22"/>
          <w:vertAlign w:val="subscript"/>
        </w:rPr>
        <w:t>4</w:t>
      </w:r>
      <w:r w:rsidRPr="00782461">
        <w:rPr>
          <w:rFonts w:asciiTheme="majorBidi" w:hAnsiTheme="majorBidi" w:cstheme="majorBidi"/>
          <w:sz w:val="24"/>
          <w:szCs w:val="22"/>
        </w:rPr>
        <w:t xml:space="preserve">. If these large possibly domed ovens are potter’s kilns, as Casal suggests, then their final appearance in this period might be related to two important factors. First, the increased variety and sophistication of the ceramic industry in Period IV combined with the </w:t>
      </w:r>
      <w:r w:rsidRPr="00782461">
        <w:rPr>
          <w:rFonts w:asciiTheme="majorBidi" w:hAnsiTheme="majorBidi" w:cstheme="majorBidi"/>
          <w:color w:val="auto"/>
          <w:sz w:val="24"/>
          <w:szCs w:val="22"/>
        </w:rPr>
        <w:t>disappearance of ‘kilns’ in habitation areas might represent an intensified industriali</w:t>
      </w:r>
      <w:r w:rsidR="00607418" w:rsidRPr="00782461">
        <w:rPr>
          <w:rFonts w:asciiTheme="majorBidi" w:hAnsiTheme="majorBidi" w:cstheme="majorBidi"/>
          <w:color w:val="auto"/>
          <w:sz w:val="24"/>
          <w:szCs w:val="22"/>
        </w:rPr>
        <w:t>s</w:t>
      </w:r>
      <w:r w:rsidRPr="00782461">
        <w:rPr>
          <w:rFonts w:asciiTheme="majorBidi" w:hAnsiTheme="majorBidi" w:cstheme="majorBidi"/>
          <w:color w:val="auto"/>
          <w:sz w:val="24"/>
          <w:szCs w:val="22"/>
        </w:rPr>
        <w:t xml:space="preserve">ation </w:t>
      </w:r>
      <w:r w:rsidR="00607418" w:rsidRPr="00782461">
        <w:rPr>
          <w:rFonts w:asciiTheme="majorBidi" w:hAnsiTheme="majorBidi" w:cstheme="majorBidi"/>
          <w:color w:val="auto"/>
          <w:sz w:val="24"/>
          <w:szCs w:val="22"/>
        </w:rPr>
        <w:t xml:space="preserve">in specialised areas </w:t>
      </w:r>
      <w:r w:rsidRPr="00782461">
        <w:rPr>
          <w:rFonts w:asciiTheme="majorBidi" w:hAnsiTheme="majorBidi" w:cstheme="majorBidi"/>
          <w:color w:val="auto"/>
          <w:sz w:val="24"/>
          <w:szCs w:val="22"/>
        </w:rPr>
        <w:t xml:space="preserve">of this category of material. Second, their disappearance in Period IV might </w:t>
      </w:r>
      <w:r w:rsidRPr="00782461">
        <w:rPr>
          <w:rFonts w:asciiTheme="majorBidi" w:hAnsiTheme="majorBidi" w:cstheme="majorBidi"/>
          <w:sz w:val="24"/>
          <w:szCs w:val="22"/>
        </w:rPr>
        <w:t>be related to the special functional structures recorded for that period.</w:t>
      </w:r>
      <w:r w:rsidR="00782461">
        <w:rPr>
          <w:rFonts w:asciiTheme="majorBidi" w:hAnsiTheme="majorBidi" w:cstheme="majorBidi"/>
          <w:sz w:val="24"/>
          <w:szCs w:val="22"/>
        </w:rPr>
        <w:t xml:space="preserve"> </w:t>
      </w:r>
      <w:r w:rsidRPr="00067D8A">
        <w:rPr>
          <w:rFonts w:asciiTheme="majorBidi" w:hAnsiTheme="majorBidi" w:cstheme="majorBidi"/>
          <w:sz w:val="24"/>
          <w:szCs w:val="22"/>
        </w:rPr>
        <w:t xml:space="preserve">Small windows were </w:t>
      </w:r>
      <w:r w:rsidRPr="00782461">
        <w:rPr>
          <w:rFonts w:asciiTheme="majorBidi" w:hAnsiTheme="majorBidi" w:cstheme="majorBidi"/>
          <w:sz w:val="24"/>
          <w:szCs w:val="22"/>
        </w:rPr>
        <w:t>recorded throughout Period III, and in one instance a mud-brick ‘shutter’ was found in place.</w:t>
      </w:r>
    </w:p>
    <w:p w14:paraId="41214451" w14:textId="2A6E8E41" w:rsidR="0030226C" w:rsidRPr="00067D8A" w:rsidRDefault="0030226C" w:rsidP="0030226C">
      <w:pPr>
        <w:pStyle w:val="BodyTextIndent"/>
        <w:rPr>
          <w:rFonts w:asciiTheme="majorBidi" w:hAnsiTheme="majorBidi" w:cstheme="majorBidi"/>
          <w:sz w:val="24"/>
          <w:szCs w:val="22"/>
        </w:rPr>
      </w:pPr>
      <w:r w:rsidRPr="00782461">
        <w:rPr>
          <w:rFonts w:asciiTheme="majorBidi" w:hAnsiTheme="majorBidi" w:cstheme="majorBidi"/>
          <w:sz w:val="24"/>
          <w:szCs w:val="22"/>
        </w:rPr>
        <w:t xml:space="preserve">Three wells, or three building phases of a single well, were found in </w:t>
      </w:r>
      <w:r w:rsidR="001E1DEF">
        <w:rPr>
          <w:rFonts w:asciiTheme="majorBidi" w:hAnsiTheme="majorBidi" w:cstheme="majorBidi"/>
          <w:sz w:val="24"/>
          <w:szCs w:val="22"/>
        </w:rPr>
        <w:t>Sub-Period</w:t>
      </w:r>
      <w:r w:rsidRPr="00782461">
        <w:rPr>
          <w:rFonts w:asciiTheme="majorBidi" w:hAnsiTheme="majorBidi" w:cstheme="majorBidi"/>
          <w:sz w:val="24"/>
          <w:szCs w:val="22"/>
        </w:rPr>
        <w:t xml:space="preserve"> III</w:t>
      </w:r>
      <w:r w:rsidRPr="00782461">
        <w:rPr>
          <w:rFonts w:asciiTheme="majorBidi" w:hAnsiTheme="majorBidi" w:cstheme="majorBidi"/>
          <w:sz w:val="24"/>
          <w:szCs w:val="22"/>
          <w:vertAlign w:val="subscript"/>
        </w:rPr>
        <w:t>2</w:t>
      </w:r>
      <w:r w:rsidRPr="00782461">
        <w:rPr>
          <w:rFonts w:asciiTheme="majorBidi" w:hAnsiTheme="majorBidi" w:cstheme="majorBidi"/>
          <w:sz w:val="24"/>
          <w:szCs w:val="22"/>
        </w:rPr>
        <w:t xml:space="preserve"> (Fig. </w:t>
      </w:r>
      <w:r w:rsidR="005B52A9" w:rsidRPr="00782461">
        <w:rPr>
          <w:rFonts w:asciiTheme="majorBidi" w:hAnsiTheme="majorBidi" w:cstheme="majorBidi"/>
          <w:sz w:val="24"/>
          <w:szCs w:val="22"/>
        </w:rPr>
        <w:t>4.</w:t>
      </w:r>
      <w:r w:rsidRPr="00782461">
        <w:rPr>
          <w:rFonts w:asciiTheme="majorBidi" w:hAnsiTheme="majorBidi" w:cstheme="majorBidi"/>
          <w:color w:val="FF0000"/>
          <w:sz w:val="24"/>
          <w:szCs w:val="22"/>
        </w:rPr>
        <w:t>4</w:t>
      </w:r>
      <w:r w:rsidR="00A31F21" w:rsidRPr="00782461">
        <w:rPr>
          <w:rFonts w:asciiTheme="majorBidi" w:hAnsiTheme="majorBidi" w:cstheme="majorBidi"/>
          <w:color w:val="FF0000"/>
          <w:sz w:val="24"/>
          <w:szCs w:val="22"/>
        </w:rPr>
        <w:t>3</w:t>
      </w:r>
      <w:r w:rsidRPr="00782461">
        <w:rPr>
          <w:rFonts w:asciiTheme="majorBidi" w:hAnsiTheme="majorBidi" w:cstheme="majorBidi"/>
          <w:sz w:val="24"/>
          <w:szCs w:val="22"/>
        </w:rPr>
        <w:t xml:space="preserve">). Unlike the well of Period II these wells were simple circular pits excavated into virgin soil. However, like the earlier well, they were located in a courtyard surrounded by structures. A multi-chambered mud-brick oven was also located in the courtyard. Other interesting structural features found in Period III were: a central pillar of </w:t>
      </w:r>
      <w:r w:rsidR="00804E61">
        <w:rPr>
          <w:rFonts w:asciiTheme="majorBidi" w:hAnsiTheme="majorBidi" w:cstheme="majorBidi"/>
          <w:sz w:val="24"/>
          <w:szCs w:val="22"/>
        </w:rPr>
        <w:t>mud-</w:t>
      </w:r>
      <w:r w:rsidRPr="00782461">
        <w:rPr>
          <w:rFonts w:asciiTheme="majorBidi" w:hAnsiTheme="majorBidi" w:cstheme="majorBidi"/>
          <w:sz w:val="24"/>
          <w:szCs w:val="22"/>
        </w:rPr>
        <w:t xml:space="preserve">brick within a </w:t>
      </w:r>
      <w:r w:rsidRPr="00782461">
        <w:rPr>
          <w:rFonts w:asciiTheme="majorBidi" w:hAnsiTheme="majorBidi" w:cstheme="majorBidi"/>
          <w:color w:val="auto"/>
          <w:sz w:val="24"/>
          <w:szCs w:val="22"/>
        </w:rPr>
        <w:t xml:space="preserve">room of </w:t>
      </w:r>
      <w:r w:rsidR="001E1DEF">
        <w:rPr>
          <w:rFonts w:asciiTheme="majorBidi" w:hAnsiTheme="majorBidi" w:cstheme="majorBidi"/>
          <w:color w:val="auto"/>
          <w:sz w:val="24"/>
          <w:szCs w:val="22"/>
        </w:rPr>
        <w:t>Sub-Period</w:t>
      </w:r>
      <w:r w:rsidR="00533293" w:rsidRPr="00782461">
        <w:rPr>
          <w:rFonts w:asciiTheme="majorBidi" w:hAnsiTheme="majorBidi" w:cstheme="majorBidi"/>
          <w:color w:val="auto"/>
          <w:sz w:val="24"/>
          <w:szCs w:val="22"/>
        </w:rPr>
        <w:t xml:space="preserve"> </w:t>
      </w:r>
      <w:r w:rsidRPr="00782461">
        <w:rPr>
          <w:rFonts w:asciiTheme="majorBidi" w:hAnsiTheme="majorBidi" w:cstheme="majorBidi"/>
          <w:color w:val="auto"/>
          <w:sz w:val="24"/>
          <w:szCs w:val="22"/>
        </w:rPr>
        <w:t>III</w:t>
      </w:r>
      <w:r w:rsidRPr="00782461">
        <w:rPr>
          <w:rFonts w:asciiTheme="majorBidi" w:hAnsiTheme="majorBidi" w:cstheme="majorBidi"/>
          <w:color w:val="auto"/>
          <w:sz w:val="24"/>
          <w:szCs w:val="22"/>
          <w:vertAlign w:val="subscript"/>
        </w:rPr>
        <w:t>3</w:t>
      </w:r>
      <w:r w:rsidRPr="00782461">
        <w:rPr>
          <w:rFonts w:asciiTheme="majorBidi" w:hAnsiTheme="majorBidi" w:cstheme="majorBidi"/>
          <w:color w:val="auto"/>
          <w:sz w:val="24"/>
          <w:szCs w:val="22"/>
        </w:rPr>
        <w:t xml:space="preserve">, and </w:t>
      </w:r>
      <w:r w:rsidRPr="00782461">
        <w:rPr>
          <w:rFonts w:asciiTheme="majorBidi" w:hAnsiTheme="majorBidi" w:cstheme="majorBidi"/>
          <w:sz w:val="24"/>
          <w:szCs w:val="22"/>
        </w:rPr>
        <w:t xml:space="preserve">a bench extending around three walls of a room in </w:t>
      </w:r>
      <w:r w:rsidR="001E1DEF">
        <w:rPr>
          <w:rFonts w:asciiTheme="majorBidi" w:hAnsiTheme="majorBidi" w:cstheme="majorBidi"/>
          <w:sz w:val="24"/>
          <w:szCs w:val="22"/>
        </w:rPr>
        <w:t>Sub-Period</w:t>
      </w:r>
      <w:r w:rsidRPr="00782461">
        <w:rPr>
          <w:rFonts w:asciiTheme="majorBidi" w:hAnsiTheme="majorBidi" w:cstheme="majorBidi"/>
          <w:sz w:val="24"/>
          <w:szCs w:val="22"/>
        </w:rPr>
        <w:t xml:space="preserve"> III</w:t>
      </w:r>
      <w:r w:rsidRPr="00782461">
        <w:rPr>
          <w:rFonts w:asciiTheme="majorBidi" w:hAnsiTheme="majorBidi" w:cstheme="majorBidi"/>
          <w:sz w:val="24"/>
          <w:szCs w:val="22"/>
          <w:vertAlign w:val="subscript"/>
        </w:rPr>
        <w:t>4</w:t>
      </w:r>
      <w:r w:rsidRPr="00782461">
        <w:rPr>
          <w:rFonts w:asciiTheme="majorBidi" w:hAnsiTheme="majorBidi" w:cstheme="majorBidi"/>
          <w:sz w:val="24"/>
          <w:szCs w:val="22"/>
        </w:rPr>
        <w:t>.</w:t>
      </w:r>
    </w:p>
    <w:p w14:paraId="3446ADBF" w14:textId="6E54103A"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A very </w:t>
      </w:r>
      <w:r w:rsidRPr="00782461">
        <w:rPr>
          <w:rFonts w:asciiTheme="majorBidi" w:hAnsiTheme="majorBidi" w:cstheme="majorBidi"/>
          <w:sz w:val="24"/>
          <w:szCs w:val="22"/>
        </w:rPr>
        <w:t xml:space="preserve">important feature of </w:t>
      </w:r>
      <w:r w:rsidR="001E1DEF">
        <w:rPr>
          <w:rFonts w:asciiTheme="majorBidi" w:hAnsiTheme="majorBidi" w:cstheme="majorBidi"/>
          <w:sz w:val="24"/>
          <w:szCs w:val="22"/>
        </w:rPr>
        <w:t>Sub-Period</w:t>
      </w:r>
      <w:r w:rsidRPr="00782461">
        <w:rPr>
          <w:rFonts w:asciiTheme="majorBidi" w:hAnsiTheme="majorBidi" w:cstheme="majorBidi"/>
          <w:sz w:val="24"/>
          <w:szCs w:val="22"/>
        </w:rPr>
        <w:t xml:space="preserve"> III</w:t>
      </w:r>
      <w:r w:rsidRPr="00782461">
        <w:rPr>
          <w:rFonts w:asciiTheme="majorBidi" w:hAnsiTheme="majorBidi" w:cstheme="majorBidi"/>
          <w:sz w:val="24"/>
          <w:szCs w:val="22"/>
          <w:vertAlign w:val="subscript"/>
        </w:rPr>
        <w:t>4</w:t>
      </w:r>
      <w:r w:rsidRPr="00782461">
        <w:rPr>
          <w:rFonts w:asciiTheme="majorBidi" w:hAnsiTheme="majorBidi" w:cstheme="majorBidi"/>
          <w:sz w:val="24"/>
          <w:szCs w:val="22"/>
        </w:rPr>
        <w:t xml:space="preserve"> was the construction of a retaining terrace wall to the south-west. The wall was constructed from large blocks of clay and the area behind the wall was then filled. Casal maintained that this was done with the purpose of increasing the areal expanse available for the construction of structural units. The exact function of this wall remains to be determined although its presence must have had a significant bearing on subsequent developments in Period IV.</w:t>
      </w:r>
    </w:p>
    <w:p w14:paraId="16843575" w14:textId="21AE8FCA" w:rsidR="0030226C" w:rsidRPr="00067D8A" w:rsidRDefault="001E1DEF" w:rsidP="0030226C">
      <w:pPr>
        <w:pStyle w:val="BodyTextIndent"/>
        <w:rPr>
          <w:rFonts w:asciiTheme="majorBidi" w:hAnsiTheme="majorBidi" w:cstheme="majorBidi"/>
          <w:sz w:val="24"/>
          <w:szCs w:val="22"/>
        </w:rPr>
      </w:pPr>
      <w:r>
        <w:rPr>
          <w:rFonts w:asciiTheme="majorBidi" w:hAnsiTheme="majorBidi" w:cstheme="majorBidi"/>
          <w:sz w:val="24"/>
          <w:szCs w:val="22"/>
        </w:rPr>
        <w:lastRenderedPageBreak/>
        <w:t>Sub-Period</w:t>
      </w:r>
      <w:r w:rsidR="0030226C" w:rsidRPr="00782461">
        <w:rPr>
          <w:rFonts w:asciiTheme="majorBidi" w:hAnsiTheme="majorBidi" w:cstheme="majorBidi"/>
          <w:sz w:val="24"/>
          <w:szCs w:val="22"/>
        </w:rPr>
        <w:t xml:space="preserve"> III</w:t>
      </w:r>
      <w:r w:rsidR="0030226C" w:rsidRPr="00782461">
        <w:rPr>
          <w:rFonts w:asciiTheme="majorBidi" w:hAnsiTheme="majorBidi" w:cstheme="majorBidi"/>
          <w:sz w:val="24"/>
          <w:szCs w:val="22"/>
          <w:vertAlign w:val="subscript"/>
        </w:rPr>
        <w:t>6</w:t>
      </w:r>
      <w:r w:rsidR="0030226C" w:rsidRPr="00782461">
        <w:rPr>
          <w:rFonts w:asciiTheme="majorBidi" w:hAnsiTheme="majorBidi" w:cstheme="majorBidi"/>
          <w:sz w:val="24"/>
          <w:szCs w:val="22"/>
        </w:rPr>
        <w:t xml:space="preserve"> was stratigraphically distinguished by the intentional levelling of the surface left by structures of </w:t>
      </w:r>
      <w:r>
        <w:rPr>
          <w:rFonts w:asciiTheme="majorBidi" w:hAnsiTheme="majorBidi" w:cstheme="majorBidi"/>
          <w:sz w:val="24"/>
          <w:szCs w:val="22"/>
        </w:rPr>
        <w:t>Sub-Period</w:t>
      </w:r>
      <w:r w:rsidR="0030226C" w:rsidRPr="00782461">
        <w:rPr>
          <w:rFonts w:asciiTheme="majorBidi" w:hAnsiTheme="majorBidi" w:cstheme="majorBidi"/>
          <w:sz w:val="24"/>
          <w:szCs w:val="22"/>
        </w:rPr>
        <w:t xml:space="preserve"> III</w:t>
      </w:r>
      <w:r w:rsidR="0030226C" w:rsidRPr="00782461">
        <w:rPr>
          <w:rFonts w:asciiTheme="majorBidi" w:hAnsiTheme="majorBidi" w:cstheme="majorBidi"/>
          <w:sz w:val="24"/>
          <w:szCs w:val="22"/>
          <w:vertAlign w:val="subscript"/>
        </w:rPr>
        <w:t>5</w:t>
      </w:r>
      <w:r w:rsidR="0030226C" w:rsidRPr="00782461">
        <w:rPr>
          <w:rFonts w:asciiTheme="majorBidi" w:hAnsiTheme="majorBidi" w:cstheme="majorBidi"/>
          <w:sz w:val="24"/>
          <w:szCs w:val="22"/>
        </w:rPr>
        <w:t>. Similarly, the end of III</w:t>
      </w:r>
      <w:r w:rsidR="0030226C" w:rsidRPr="00782461">
        <w:rPr>
          <w:rFonts w:asciiTheme="majorBidi" w:hAnsiTheme="majorBidi" w:cstheme="majorBidi"/>
          <w:sz w:val="24"/>
          <w:szCs w:val="22"/>
          <w:vertAlign w:val="subscript"/>
        </w:rPr>
        <w:t>6</w:t>
      </w:r>
      <w:r w:rsidR="0030226C" w:rsidRPr="00782461">
        <w:rPr>
          <w:rFonts w:asciiTheme="majorBidi" w:hAnsiTheme="majorBidi" w:cstheme="majorBidi"/>
          <w:sz w:val="24"/>
          <w:szCs w:val="22"/>
        </w:rPr>
        <w:t xml:space="preserve"> was intentionally levelled to facilitate the construction of Period IV structures. The initial occupation, III</w:t>
      </w:r>
      <w:r w:rsidR="0030226C" w:rsidRPr="00782461">
        <w:rPr>
          <w:rFonts w:asciiTheme="majorBidi" w:hAnsiTheme="majorBidi" w:cstheme="majorBidi"/>
          <w:sz w:val="24"/>
          <w:szCs w:val="22"/>
          <w:vertAlign w:val="subscript"/>
        </w:rPr>
        <w:t>6a</w:t>
      </w:r>
      <w:r w:rsidR="0030226C" w:rsidRPr="00782461">
        <w:rPr>
          <w:rFonts w:asciiTheme="majorBidi" w:hAnsiTheme="majorBidi" w:cstheme="majorBidi"/>
          <w:sz w:val="24"/>
          <w:szCs w:val="22"/>
        </w:rPr>
        <w:t xml:space="preserve">, is only slightly different from the earlier </w:t>
      </w:r>
      <w:r>
        <w:rPr>
          <w:rFonts w:asciiTheme="majorBidi" w:hAnsiTheme="majorBidi" w:cstheme="majorBidi"/>
          <w:sz w:val="24"/>
          <w:szCs w:val="22"/>
        </w:rPr>
        <w:t>sub-period</w:t>
      </w:r>
      <w:r w:rsidR="0030226C" w:rsidRPr="00782461">
        <w:rPr>
          <w:rFonts w:asciiTheme="majorBidi" w:hAnsiTheme="majorBidi" w:cstheme="majorBidi"/>
          <w:sz w:val="24"/>
          <w:szCs w:val="22"/>
        </w:rPr>
        <w:t>s of Period III</w:t>
      </w:r>
      <w:r w:rsidR="0030226C" w:rsidRPr="00067D8A">
        <w:rPr>
          <w:rFonts w:asciiTheme="majorBidi" w:hAnsiTheme="majorBidi" w:cstheme="majorBidi"/>
          <w:sz w:val="24"/>
          <w:szCs w:val="22"/>
        </w:rPr>
        <w:t xml:space="preserve"> (Fig. </w:t>
      </w:r>
      <w:r w:rsidR="005B52A9">
        <w:rPr>
          <w:rFonts w:asciiTheme="majorBidi" w:hAnsiTheme="majorBidi" w:cstheme="majorBidi"/>
          <w:sz w:val="24"/>
          <w:szCs w:val="22"/>
        </w:rPr>
        <w:t>4.</w:t>
      </w:r>
      <w:r w:rsidR="0030226C" w:rsidRPr="00067D8A">
        <w:rPr>
          <w:rFonts w:asciiTheme="majorBidi" w:hAnsiTheme="majorBidi" w:cstheme="majorBidi"/>
          <w:color w:val="FF0000"/>
          <w:sz w:val="24"/>
          <w:szCs w:val="22"/>
        </w:rPr>
        <w:t>43</w:t>
      </w:r>
      <w:r w:rsidR="0030226C" w:rsidRPr="00067D8A">
        <w:rPr>
          <w:rFonts w:asciiTheme="majorBidi" w:hAnsiTheme="majorBidi" w:cstheme="majorBidi"/>
          <w:sz w:val="24"/>
          <w:szCs w:val="22"/>
        </w:rPr>
        <w:t>). Many structures had an interior floor 25 cm lower than the level of surrounding living surfaces. Examples of complete ‘entrances’ were found</w:t>
      </w:r>
      <w:r w:rsidR="00533293">
        <w:rPr>
          <w:rFonts w:asciiTheme="majorBidi" w:hAnsiTheme="majorBidi" w:cstheme="majorBidi"/>
          <w:sz w:val="24"/>
          <w:szCs w:val="22"/>
        </w:rPr>
        <w:t>,</w:t>
      </w:r>
      <w:r w:rsidR="0030226C" w:rsidRPr="00067D8A">
        <w:rPr>
          <w:rFonts w:asciiTheme="majorBidi" w:hAnsiTheme="majorBidi" w:cstheme="majorBidi"/>
          <w:sz w:val="24"/>
          <w:szCs w:val="22"/>
        </w:rPr>
        <w:t xml:space="preserve"> all of which were very small: less than 1.0 m in height. Another structure </w:t>
      </w:r>
      <w:r w:rsidR="0030226C" w:rsidRPr="001E1DEF">
        <w:rPr>
          <w:rFonts w:asciiTheme="majorBidi" w:hAnsiTheme="majorBidi" w:cstheme="majorBidi"/>
          <w:sz w:val="24"/>
          <w:szCs w:val="22"/>
        </w:rPr>
        <w:t xml:space="preserve">in </w:t>
      </w:r>
      <w:r w:rsidRPr="001E1DEF">
        <w:rPr>
          <w:rFonts w:asciiTheme="majorBidi" w:hAnsiTheme="majorBidi" w:cstheme="majorBidi"/>
          <w:sz w:val="24"/>
          <w:szCs w:val="22"/>
        </w:rPr>
        <w:t>Sub-Period</w:t>
      </w:r>
      <w:r w:rsidR="0030226C" w:rsidRPr="001E1DEF">
        <w:rPr>
          <w:rFonts w:asciiTheme="majorBidi" w:hAnsiTheme="majorBidi" w:cstheme="majorBidi"/>
          <w:sz w:val="24"/>
          <w:szCs w:val="22"/>
        </w:rPr>
        <w:t xml:space="preserve"> III</w:t>
      </w:r>
      <w:r w:rsidR="0030226C" w:rsidRPr="001E1DEF">
        <w:rPr>
          <w:rFonts w:asciiTheme="majorBidi" w:hAnsiTheme="majorBidi" w:cstheme="majorBidi"/>
          <w:sz w:val="24"/>
          <w:szCs w:val="22"/>
          <w:vertAlign w:val="subscript"/>
        </w:rPr>
        <w:t>6a</w:t>
      </w:r>
      <w:r w:rsidR="0030226C" w:rsidRPr="00067D8A">
        <w:rPr>
          <w:rFonts w:asciiTheme="majorBidi" w:hAnsiTheme="majorBidi" w:cstheme="majorBidi"/>
          <w:sz w:val="24"/>
          <w:szCs w:val="22"/>
        </w:rPr>
        <w:t xml:space="preserve"> had a large pit excavated into the interior surface. Located to the west of this structure, and constructed with </w:t>
      </w:r>
      <w:r w:rsidR="0036021B">
        <w:rPr>
          <w:rFonts w:asciiTheme="majorBidi" w:hAnsiTheme="majorBidi" w:cstheme="majorBidi"/>
          <w:sz w:val="24"/>
          <w:szCs w:val="22"/>
        </w:rPr>
        <w:t>mud-</w:t>
      </w:r>
      <w:r w:rsidR="0030226C" w:rsidRPr="00067D8A">
        <w:rPr>
          <w:rFonts w:asciiTheme="majorBidi" w:hAnsiTheme="majorBidi" w:cstheme="majorBidi"/>
          <w:sz w:val="24"/>
          <w:szCs w:val="22"/>
        </w:rPr>
        <w:t xml:space="preserve">bricks, </w:t>
      </w:r>
      <w:r w:rsidR="00782461">
        <w:rPr>
          <w:rFonts w:asciiTheme="majorBidi" w:hAnsiTheme="majorBidi" w:cstheme="majorBidi"/>
          <w:sz w:val="24"/>
          <w:szCs w:val="22"/>
        </w:rPr>
        <w:t xml:space="preserve">there </w:t>
      </w:r>
      <w:r w:rsidR="0030226C" w:rsidRPr="00067D8A">
        <w:rPr>
          <w:rFonts w:asciiTheme="majorBidi" w:hAnsiTheme="majorBidi" w:cstheme="majorBidi"/>
          <w:sz w:val="24"/>
          <w:szCs w:val="22"/>
        </w:rPr>
        <w:t>was a small tomb containing a single individual. Two walls of the tomb abutted this other structure and an associated entrance had been sealed. The entrance to the tomb itself had been sealed and then another wall constructed in front of that entrance. Only a single ceramic container was found in association with the burial, but outside the tomb were the only examples from Mundigak of bronze axes and a single adze. This tomb is the only one located within a habitation area at Mundigak, and it provides a stratigraphic correlation for burials located on another mound.</w:t>
      </w:r>
    </w:p>
    <w:p w14:paraId="69037E67" w14:textId="4657E4E8" w:rsidR="0030226C" w:rsidRPr="00067D8A" w:rsidRDefault="0030226C" w:rsidP="00A04B90">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Two successive groups of burials were defined on Mound C located below structures of </w:t>
      </w:r>
      <w:r w:rsidRPr="00782461">
        <w:rPr>
          <w:rFonts w:asciiTheme="majorBidi" w:hAnsiTheme="majorBidi" w:cstheme="majorBidi"/>
          <w:color w:val="auto"/>
          <w:sz w:val="24"/>
          <w:szCs w:val="22"/>
        </w:rPr>
        <w:t xml:space="preserve">Period IV. The earliest (perhaps earlier than </w:t>
      </w:r>
      <w:r w:rsidR="001E1DEF">
        <w:rPr>
          <w:rFonts w:asciiTheme="majorBidi" w:hAnsiTheme="majorBidi" w:cstheme="majorBidi"/>
          <w:color w:val="auto"/>
          <w:sz w:val="24"/>
          <w:szCs w:val="22"/>
        </w:rPr>
        <w:t>Sub-Period</w:t>
      </w:r>
      <w:r w:rsidRPr="00782461">
        <w:rPr>
          <w:rFonts w:asciiTheme="majorBidi" w:hAnsiTheme="majorBidi" w:cstheme="majorBidi"/>
          <w:color w:val="auto"/>
          <w:sz w:val="24"/>
          <w:szCs w:val="22"/>
        </w:rPr>
        <w:t xml:space="preserve"> III</w:t>
      </w:r>
      <w:r w:rsidRPr="00782461">
        <w:rPr>
          <w:rFonts w:asciiTheme="majorBidi" w:hAnsiTheme="majorBidi" w:cstheme="majorBidi"/>
          <w:color w:val="auto"/>
          <w:sz w:val="24"/>
          <w:szCs w:val="22"/>
          <w:vertAlign w:val="subscript"/>
        </w:rPr>
        <w:t>6</w:t>
      </w:r>
      <w:r w:rsidRPr="00782461">
        <w:rPr>
          <w:rFonts w:asciiTheme="majorBidi" w:hAnsiTheme="majorBidi" w:cstheme="majorBidi"/>
          <w:color w:val="auto"/>
          <w:sz w:val="24"/>
          <w:szCs w:val="22"/>
        </w:rPr>
        <w:t xml:space="preserve">) consisted of single flexed burials placed in irregularly shaped pits excavated into virgin soil. No diagnostic material was found with these early burials, with grave goods being limited to flint tools, a single necklace of cow’s teeth, and a single bead bracelet. The later(?) group of burials were placed in tombs similar to that identified in </w:t>
      </w:r>
      <w:r w:rsidR="001E1DEF">
        <w:rPr>
          <w:rFonts w:asciiTheme="majorBidi" w:hAnsiTheme="majorBidi" w:cstheme="majorBidi"/>
          <w:color w:val="auto"/>
          <w:sz w:val="24"/>
          <w:szCs w:val="22"/>
        </w:rPr>
        <w:t>Sub-Period</w:t>
      </w:r>
      <w:r w:rsidRPr="00782461">
        <w:rPr>
          <w:rFonts w:asciiTheme="majorBidi" w:hAnsiTheme="majorBidi" w:cstheme="majorBidi"/>
          <w:color w:val="auto"/>
          <w:sz w:val="24"/>
          <w:szCs w:val="22"/>
        </w:rPr>
        <w:t xml:space="preserve"> III</w:t>
      </w:r>
      <w:r w:rsidRPr="00782461">
        <w:rPr>
          <w:rFonts w:asciiTheme="majorBidi" w:hAnsiTheme="majorBidi" w:cstheme="majorBidi"/>
          <w:color w:val="auto"/>
          <w:sz w:val="24"/>
          <w:szCs w:val="22"/>
          <w:vertAlign w:val="subscript"/>
        </w:rPr>
        <w:t>6</w:t>
      </w:r>
      <w:r w:rsidRPr="00782461">
        <w:rPr>
          <w:rFonts w:asciiTheme="majorBidi" w:hAnsiTheme="majorBidi" w:cstheme="majorBidi"/>
          <w:color w:val="auto"/>
          <w:sz w:val="24"/>
          <w:szCs w:val="22"/>
        </w:rPr>
        <w:t xml:space="preserve">. These ossuaries were rectangular and constructed from </w:t>
      </w:r>
      <w:r w:rsidR="00804E61">
        <w:rPr>
          <w:rFonts w:asciiTheme="majorBidi" w:hAnsiTheme="majorBidi" w:cstheme="majorBidi"/>
          <w:color w:val="auto"/>
          <w:sz w:val="24"/>
          <w:szCs w:val="22"/>
        </w:rPr>
        <w:t>mud-</w:t>
      </w:r>
      <w:r w:rsidRPr="00782461">
        <w:rPr>
          <w:rFonts w:asciiTheme="majorBidi" w:hAnsiTheme="majorBidi" w:cstheme="majorBidi"/>
          <w:color w:val="auto"/>
          <w:sz w:val="24"/>
          <w:szCs w:val="22"/>
        </w:rPr>
        <w:t xml:space="preserve">bricks. Puddled clay floors were constructed first and then brick walls were set into them. The </w:t>
      </w:r>
      <w:r w:rsidRPr="00067D8A">
        <w:rPr>
          <w:rFonts w:asciiTheme="majorBidi" w:hAnsiTheme="majorBidi" w:cstheme="majorBidi"/>
          <w:sz w:val="24"/>
          <w:szCs w:val="22"/>
        </w:rPr>
        <w:t xml:space="preserve">predominant form of internment involved multiple burials although a few single burials were found. Skulls were carefully arranged in a row along one of the walls </w:t>
      </w:r>
      <w:r w:rsidR="007C33F0">
        <w:rPr>
          <w:rFonts w:asciiTheme="majorBidi" w:hAnsiTheme="majorBidi" w:cstheme="majorBidi"/>
          <w:color w:val="FF0000"/>
          <w:sz w:val="24"/>
          <w:szCs w:val="22"/>
        </w:rPr>
        <w:t xml:space="preserve">(e.g. Ossuary C. 27) </w:t>
      </w:r>
      <w:r w:rsidRPr="00067D8A">
        <w:rPr>
          <w:rFonts w:asciiTheme="majorBidi" w:hAnsiTheme="majorBidi" w:cstheme="majorBidi"/>
          <w:sz w:val="24"/>
          <w:szCs w:val="22"/>
        </w:rPr>
        <w:t>while the remaining skeletal parts were scattered about the interior of the tomb. Only rarely were articulated limbs located. The skulls appear to have been placed</w:t>
      </w:r>
      <w:r w:rsidRPr="00067D8A">
        <w:rPr>
          <w:rFonts w:asciiTheme="majorBidi" w:hAnsiTheme="majorBidi" w:cstheme="majorBidi"/>
          <w:i/>
          <w:iCs/>
          <w:sz w:val="24"/>
          <w:szCs w:val="22"/>
        </w:rPr>
        <w:t xml:space="preserve"> in situ, </w:t>
      </w:r>
      <w:r w:rsidRPr="00067D8A">
        <w:rPr>
          <w:rFonts w:asciiTheme="majorBidi" w:hAnsiTheme="majorBidi" w:cstheme="majorBidi"/>
          <w:sz w:val="24"/>
          <w:szCs w:val="22"/>
        </w:rPr>
        <w:t xml:space="preserve">while the rest of the </w:t>
      </w:r>
      <w:r w:rsidRPr="00067D8A">
        <w:rPr>
          <w:rFonts w:asciiTheme="majorBidi" w:hAnsiTheme="majorBidi" w:cstheme="majorBidi"/>
          <w:sz w:val="24"/>
          <w:szCs w:val="22"/>
        </w:rPr>
        <w:lastRenderedPageBreak/>
        <w:t xml:space="preserve">body was either mutilated or de-fleshed in some manner and placed in the tomb at a later date. A single instance of a lamb’s remains was found deposited in a like manner in one tomb. Besides a few vessels of decorated ware, isolated pendants, and a few blue and white beads, grave goods were very rare. There was nothing to indicate any differential social status except perhaps the fact of the burial itself. Unfortunately, the size of excavations at Mound C was very limited. It is interesting to note, however, that this is the only mound at Mundigak besides Mound A to have materials </w:t>
      </w:r>
      <w:r w:rsidRPr="00920C02">
        <w:rPr>
          <w:rFonts w:asciiTheme="majorBidi" w:hAnsiTheme="majorBidi" w:cstheme="majorBidi"/>
          <w:sz w:val="24"/>
          <w:szCs w:val="22"/>
        </w:rPr>
        <w:t xml:space="preserve">datable </w:t>
      </w:r>
      <w:r w:rsidR="0036021B">
        <w:rPr>
          <w:rFonts w:asciiTheme="majorBidi" w:hAnsiTheme="majorBidi" w:cstheme="majorBidi"/>
          <w:sz w:val="24"/>
          <w:szCs w:val="22"/>
        </w:rPr>
        <w:t xml:space="preserve">before </w:t>
      </w:r>
      <w:r w:rsidRPr="00920C02">
        <w:rPr>
          <w:rFonts w:asciiTheme="majorBidi" w:hAnsiTheme="majorBidi" w:cstheme="majorBidi"/>
          <w:sz w:val="24"/>
          <w:szCs w:val="22"/>
        </w:rPr>
        <w:t>Period IV. This concentrated location away from Mound A might indicate that the concept of a specially designated area for burying the dead was well developed by this time.</w:t>
      </w:r>
    </w:p>
    <w:p w14:paraId="46151866" w14:textId="474A5F62" w:rsidR="0030226C" w:rsidRPr="00920C02" w:rsidRDefault="001E1DEF" w:rsidP="0030226C">
      <w:pPr>
        <w:pStyle w:val="BodyTextIndent"/>
        <w:rPr>
          <w:rFonts w:asciiTheme="majorBidi" w:hAnsiTheme="majorBidi" w:cstheme="majorBidi"/>
          <w:color w:val="auto"/>
          <w:sz w:val="24"/>
          <w:szCs w:val="22"/>
        </w:rPr>
      </w:pPr>
      <w:r>
        <w:rPr>
          <w:rFonts w:asciiTheme="majorBidi" w:hAnsiTheme="majorBidi" w:cstheme="majorBidi"/>
          <w:color w:val="auto"/>
          <w:sz w:val="24"/>
          <w:szCs w:val="22"/>
        </w:rPr>
        <w:t>Sub-Period</w:t>
      </w:r>
      <w:r w:rsidR="0030226C" w:rsidRPr="00920C02">
        <w:rPr>
          <w:rFonts w:asciiTheme="majorBidi" w:hAnsiTheme="majorBidi" w:cstheme="majorBidi"/>
          <w:color w:val="auto"/>
          <w:sz w:val="24"/>
          <w:szCs w:val="22"/>
        </w:rPr>
        <w:t xml:space="preserve"> III</w:t>
      </w:r>
      <w:r w:rsidR="0030226C" w:rsidRPr="00920C02">
        <w:rPr>
          <w:rFonts w:asciiTheme="majorBidi" w:hAnsiTheme="majorBidi" w:cstheme="majorBidi"/>
          <w:color w:val="auto"/>
          <w:sz w:val="24"/>
          <w:szCs w:val="22"/>
          <w:vertAlign w:val="subscript"/>
        </w:rPr>
        <w:t>6b</w:t>
      </w:r>
      <w:r w:rsidR="0030226C" w:rsidRPr="00920C02">
        <w:rPr>
          <w:rFonts w:asciiTheme="majorBidi" w:hAnsiTheme="majorBidi" w:cstheme="majorBidi"/>
          <w:color w:val="auto"/>
          <w:sz w:val="24"/>
          <w:szCs w:val="22"/>
        </w:rPr>
        <w:t xml:space="preserve"> had only a few structures, all of which seemed to centre on a single row of rooms. However, several free-standing walls were found leading off to the north</w:t>
      </w:r>
      <w:r w:rsidR="00370C1B" w:rsidRPr="00920C02">
        <w:rPr>
          <w:rFonts w:asciiTheme="majorBidi" w:hAnsiTheme="majorBidi" w:cstheme="majorBidi"/>
          <w:color w:val="auto"/>
          <w:sz w:val="24"/>
          <w:szCs w:val="22"/>
        </w:rPr>
        <w:t xml:space="preserve"> that might be rooms open at their northern end</w:t>
      </w:r>
      <w:r w:rsidR="0030226C" w:rsidRPr="00920C02">
        <w:rPr>
          <w:rFonts w:asciiTheme="majorBidi" w:hAnsiTheme="majorBidi" w:cstheme="majorBidi"/>
          <w:color w:val="auto"/>
          <w:sz w:val="24"/>
          <w:szCs w:val="22"/>
        </w:rPr>
        <w:t xml:space="preserve">. Some of these structures had been filled-in with </w:t>
      </w:r>
      <w:r w:rsidR="0036021B">
        <w:rPr>
          <w:rFonts w:asciiTheme="majorBidi" w:hAnsiTheme="majorBidi" w:cstheme="majorBidi"/>
          <w:color w:val="auto"/>
          <w:sz w:val="24"/>
          <w:szCs w:val="22"/>
        </w:rPr>
        <w:t>mud-</w:t>
      </w:r>
      <w:r w:rsidR="0030226C" w:rsidRPr="00920C02">
        <w:rPr>
          <w:rFonts w:asciiTheme="majorBidi" w:hAnsiTheme="majorBidi" w:cstheme="majorBidi"/>
          <w:color w:val="auto"/>
          <w:sz w:val="24"/>
          <w:szCs w:val="22"/>
        </w:rPr>
        <w:t xml:space="preserve">brick by the building activities of Period IV. Several structures were definable for the last occupation of </w:t>
      </w:r>
      <w:r>
        <w:rPr>
          <w:rFonts w:asciiTheme="majorBidi" w:hAnsiTheme="majorBidi" w:cstheme="majorBidi"/>
          <w:color w:val="auto"/>
          <w:sz w:val="24"/>
          <w:szCs w:val="22"/>
        </w:rPr>
        <w:t>Sub-Period</w:t>
      </w:r>
      <w:r w:rsidR="0030226C" w:rsidRPr="00920C02">
        <w:rPr>
          <w:rFonts w:asciiTheme="majorBidi" w:hAnsiTheme="majorBidi" w:cstheme="majorBidi"/>
          <w:color w:val="auto"/>
          <w:sz w:val="24"/>
          <w:szCs w:val="22"/>
        </w:rPr>
        <w:t xml:space="preserve"> III</w:t>
      </w:r>
      <w:r w:rsidR="0030226C" w:rsidRPr="00920C02">
        <w:rPr>
          <w:rFonts w:asciiTheme="majorBidi" w:hAnsiTheme="majorBidi" w:cstheme="majorBidi"/>
          <w:color w:val="auto"/>
          <w:sz w:val="24"/>
          <w:szCs w:val="22"/>
          <w:vertAlign w:val="subscript"/>
        </w:rPr>
        <w:t>6c</w:t>
      </w:r>
      <w:r w:rsidR="0030226C" w:rsidRPr="00920C02">
        <w:rPr>
          <w:rFonts w:asciiTheme="majorBidi" w:hAnsiTheme="majorBidi" w:cstheme="majorBidi"/>
          <w:color w:val="auto"/>
          <w:sz w:val="24"/>
          <w:szCs w:val="22"/>
        </w:rPr>
        <w:t>, among which was a single example of a rectangular structure divided into a large and small room. This final occupation underwent several modifications and re-buildings which centred on the gradual addition or alteration of open spaces surrounding various blocks of structures. After Period III</w:t>
      </w:r>
      <w:r w:rsidR="0030226C" w:rsidRPr="00920C02">
        <w:rPr>
          <w:rFonts w:asciiTheme="majorBidi" w:hAnsiTheme="majorBidi" w:cstheme="majorBidi"/>
          <w:color w:val="auto"/>
          <w:sz w:val="24"/>
          <w:szCs w:val="22"/>
          <w:vertAlign w:val="subscript"/>
        </w:rPr>
        <w:t>6c</w:t>
      </w:r>
      <w:r w:rsidR="0030226C" w:rsidRPr="00920C02">
        <w:rPr>
          <w:rFonts w:asciiTheme="majorBidi" w:hAnsiTheme="majorBidi" w:cstheme="majorBidi"/>
          <w:color w:val="auto"/>
          <w:sz w:val="24"/>
          <w:szCs w:val="22"/>
        </w:rPr>
        <w:t xml:space="preserve"> there is a pronounced change in the function of the structures built on Mound A. From Period I through III</w:t>
      </w:r>
      <w:r w:rsidR="0030226C" w:rsidRPr="00920C02">
        <w:rPr>
          <w:rFonts w:asciiTheme="majorBidi" w:hAnsiTheme="majorBidi" w:cstheme="majorBidi"/>
          <w:color w:val="auto"/>
          <w:sz w:val="24"/>
          <w:szCs w:val="22"/>
          <w:vertAlign w:val="subscript"/>
        </w:rPr>
        <w:t>6c</w:t>
      </w:r>
      <w:r w:rsidR="0030226C" w:rsidRPr="00920C02">
        <w:rPr>
          <w:rFonts w:asciiTheme="majorBidi" w:hAnsiTheme="majorBidi" w:cstheme="majorBidi"/>
          <w:color w:val="auto"/>
          <w:sz w:val="24"/>
          <w:szCs w:val="22"/>
        </w:rPr>
        <w:t xml:space="preserve"> the general impression has been one of structures and debris associated with multi</w:t>
      </w:r>
      <w:r w:rsidR="003E2442" w:rsidRPr="00920C02">
        <w:rPr>
          <w:rFonts w:asciiTheme="majorBidi" w:hAnsiTheme="majorBidi" w:cstheme="majorBidi"/>
          <w:color w:val="auto"/>
          <w:sz w:val="24"/>
          <w:szCs w:val="22"/>
        </w:rPr>
        <w:t>-</w:t>
      </w:r>
      <w:r w:rsidR="0030226C" w:rsidRPr="00920C02">
        <w:rPr>
          <w:rFonts w:asciiTheme="majorBidi" w:hAnsiTheme="majorBidi" w:cstheme="majorBidi"/>
          <w:color w:val="auto"/>
          <w:sz w:val="24"/>
          <w:szCs w:val="22"/>
        </w:rPr>
        <w:t>purpose activities necessitated by a sedentary agricultural way of life. After Period III, however, a very different picture emerges.</w:t>
      </w:r>
    </w:p>
    <w:p w14:paraId="3255D8DF" w14:textId="77777777" w:rsidR="005F3FF4" w:rsidRPr="00920C02" w:rsidRDefault="003E2442">
      <w:pPr>
        <w:pStyle w:val="BodyTextIndent"/>
        <w:ind w:firstLine="0"/>
        <w:rPr>
          <w:rFonts w:asciiTheme="majorBidi" w:hAnsiTheme="majorBidi" w:cstheme="majorBidi"/>
          <w:i/>
          <w:iCs/>
          <w:color w:val="auto"/>
          <w:sz w:val="24"/>
          <w:szCs w:val="22"/>
        </w:rPr>
      </w:pPr>
      <w:r w:rsidRPr="00920C02">
        <w:rPr>
          <w:rFonts w:asciiTheme="majorBidi" w:hAnsiTheme="majorBidi" w:cstheme="majorBidi"/>
          <w:i/>
          <w:iCs/>
          <w:color w:val="auto"/>
          <w:sz w:val="24"/>
          <w:szCs w:val="22"/>
        </w:rPr>
        <w:t>Period IV</w:t>
      </w:r>
    </w:p>
    <w:p w14:paraId="226DB85B" w14:textId="66D6575D" w:rsidR="005F3FF4" w:rsidRPr="00920C02" w:rsidRDefault="0030226C" w:rsidP="003E0412">
      <w:pPr>
        <w:pStyle w:val="BodyTextIndent"/>
        <w:ind w:firstLine="0"/>
        <w:rPr>
          <w:rFonts w:asciiTheme="majorBidi" w:hAnsiTheme="majorBidi" w:cstheme="majorBidi"/>
          <w:sz w:val="24"/>
          <w:szCs w:val="22"/>
        </w:rPr>
      </w:pPr>
      <w:r w:rsidRPr="00067D8A">
        <w:rPr>
          <w:rFonts w:asciiTheme="majorBidi" w:hAnsiTheme="majorBidi" w:cstheme="majorBidi"/>
          <w:sz w:val="24"/>
          <w:szCs w:val="22"/>
        </w:rPr>
        <w:t xml:space="preserve">On </w:t>
      </w:r>
      <w:r w:rsidRPr="00920C02">
        <w:rPr>
          <w:rFonts w:asciiTheme="majorBidi" w:hAnsiTheme="majorBidi" w:cstheme="majorBidi"/>
          <w:sz w:val="24"/>
          <w:szCs w:val="22"/>
        </w:rPr>
        <w:t xml:space="preserve">Mound A, the </w:t>
      </w:r>
      <w:r w:rsidR="001E1DEF">
        <w:rPr>
          <w:rFonts w:asciiTheme="majorBidi" w:hAnsiTheme="majorBidi" w:cstheme="majorBidi"/>
          <w:sz w:val="24"/>
          <w:szCs w:val="22"/>
        </w:rPr>
        <w:t>Sub-Period</w:t>
      </w:r>
      <w:r w:rsidRPr="00920C02">
        <w:rPr>
          <w:rFonts w:asciiTheme="majorBidi" w:hAnsiTheme="majorBidi" w:cstheme="majorBidi"/>
          <w:sz w:val="24"/>
          <w:szCs w:val="22"/>
        </w:rPr>
        <w:t xml:space="preserve"> III</w:t>
      </w:r>
      <w:r w:rsidRPr="00920C02">
        <w:rPr>
          <w:rFonts w:asciiTheme="majorBidi" w:hAnsiTheme="majorBidi" w:cstheme="majorBidi"/>
          <w:sz w:val="24"/>
          <w:szCs w:val="22"/>
          <w:vertAlign w:val="subscript"/>
        </w:rPr>
        <w:t>6</w:t>
      </w:r>
      <w:r w:rsidRPr="00920C02">
        <w:rPr>
          <w:rFonts w:asciiTheme="majorBidi" w:hAnsiTheme="majorBidi" w:cstheme="majorBidi"/>
          <w:sz w:val="24"/>
          <w:szCs w:val="22"/>
        </w:rPr>
        <w:t xml:space="preserve"> structures were levelled to provide a surface for the construction of a building which marks a significant variation from previous architectural traditions. Its style could indicate that it is associated with a particular social segment or </w:t>
      </w:r>
      <w:r w:rsidRPr="00920C02">
        <w:rPr>
          <w:rFonts w:asciiTheme="majorBidi" w:hAnsiTheme="majorBidi" w:cstheme="majorBidi"/>
          <w:sz w:val="24"/>
          <w:szCs w:val="22"/>
        </w:rPr>
        <w:lastRenderedPageBreak/>
        <w:t xml:space="preserve">function. Equally important during Period IV was the occupation of new areas at the site, and the construction of special function structures. These newly occupied areas included Mounds B, D, E, F, G, H, and I (Fig. </w:t>
      </w:r>
      <w:r w:rsidR="005B52A9" w:rsidRPr="00920C02">
        <w:rPr>
          <w:rFonts w:asciiTheme="majorBidi" w:hAnsiTheme="majorBidi" w:cstheme="majorBidi"/>
          <w:sz w:val="24"/>
          <w:szCs w:val="22"/>
        </w:rPr>
        <w:t>4.</w:t>
      </w:r>
      <w:r w:rsidRPr="00920C02">
        <w:rPr>
          <w:rFonts w:asciiTheme="majorBidi" w:hAnsiTheme="majorBidi" w:cstheme="majorBidi"/>
          <w:color w:val="FF0000"/>
          <w:sz w:val="24"/>
          <w:szCs w:val="22"/>
        </w:rPr>
        <w:t>37</w:t>
      </w:r>
      <w:r w:rsidRPr="00920C02">
        <w:rPr>
          <w:rFonts w:asciiTheme="majorBidi" w:hAnsiTheme="majorBidi" w:cstheme="majorBidi"/>
          <w:sz w:val="24"/>
          <w:szCs w:val="22"/>
        </w:rPr>
        <w:t xml:space="preserve">). Unfortunately, it is precisely these structures of Period IV </w:t>
      </w:r>
      <w:r w:rsidR="003E0412" w:rsidRPr="00920C02">
        <w:rPr>
          <w:rFonts w:asciiTheme="majorBidi" w:hAnsiTheme="majorBidi" w:cstheme="majorBidi"/>
          <w:sz w:val="24"/>
          <w:szCs w:val="22"/>
        </w:rPr>
        <w:t>which</w:t>
      </w:r>
      <w:r w:rsidR="003E0412" w:rsidRPr="00067D8A">
        <w:rPr>
          <w:rFonts w:asciiTheme="majorBidi" w:hAnsiTheme="majorBidi" w:cstheme="majorBidi"/>
          <w:sz w:val="24"/>
          <w:szCs w:val="22"/>
        </w:rPr>
        <w:t xml:space="preserve"> were heavily devastated by later erosion at the site, but fortunately many were </w:t>
      </w:r>
      <w:r w:rsidR="00920C02">
        <w:rPr>
          <w:rFonts w:asciiTheme="majorBidi" w:hAnsiTheme="majorBidi" w:cstheme="majorBidi"/>
          <w:sz w:val="24"/>
          <w:szCs w:val="22"/>
        </w:rPr>
        <w:t>preserved due to a fire that hardened the</w:t>
      </w:r>
      <w:r w:rsidR="003E0412" w:rsidRPr="00067D8A">
        <w:rPr>
          <w:rFonts w:asciiTheme="majorBidi" w:hAnsiTheme="majorBidi" w:cstheme="majorBidi"/>
          <w:sz w:val="24"/>
          <w:szCs w:val="22"/>
        </w:rPr>
        <w:t xml:space="preserve"> mud-brick</w:t>
      </w:r>
      <w:r w:rsidR="00920C02">
        <w:rPr>
          <w:rFonts w:asciiTheme="majorBidi" w:hAnsiTheme="majorBidi" w:cstheme="majorBidi"/>
          <w:sz w:val="24"/>
          <w:szCs w:val="22"/>
        </w:rPr>
        <w:t>s</w:t>
      </w:r>
      <w:r w:rsidR="00640ECA">
        <w:rPr>
          <w:rFonts w:asciiTheme="majorBidi" w:hAnsiTheme="majorBidi" w:cstheme="majorBidi"/>
          <w:sz w:val="24"/>
          <w:szCs w:val="22"/>
        </w:rPr>
        <w:t xml:space="preserve"> (giving the appearance of </w:t>
      </w:r>
      <w:r w:rsidR="00640ECA" w:rsidRPr="00804E61">
        <w:rPr>
          <w:rFonts w:asciiTheme="majorBidi" w:hAnsiTheme="majorBidi" w:cstheme="majorBidi"/>
          <w:color w:val="auto"/>
          <w:sz w:val="24"/>
          <w:szCs w:val="22"/>
        </w:rPr>
        <w:t>fired</w:t>
      </w:r>
      <w:r w:rsidR="00640ECA">
        <w:rPr>
          <w:rFonts w:asciiTheme="majorBidi" w:hAnsiTheme="majorBidi" w:cstheme="majorBidi"/>
          <w:sz w:val="24"/>
          <w:szCs w:val="22"/>
        </w:rPr>
        <w:t>-brick)</w:t>
      </w:r>
      <w:r w:rsidR="003E0412" w:rsidRPr="00067D8A">
        <w:rPr>
          <w:rFonts w:asciiTheme="majorBidi" w:hAnsiTheme="majorBidi" w:cstheme="majorBidi"/>
          <w:sz w:val="24"/>
          <w:szCs w:val="22"/>
        </w:rPr>
        <w:t>,</w:t>
      </w:r>
      <w:r w:rsidRPr="00067D8A">
        <w:rPr>
          <w:rFonts w:asciiTheme="majorBidi" w:hAnsiTheme="majorBidi" w:cstheme="majorBidi"/>
          <w:sz w:val="24"/>
          <w:szCs w:val="22"/>
        </w:rPr>
        <w:t xml:space="preserve"> </w:t>
      </w:r>
      <w:r w:rsidR="000C37B0">
        <w:rPr>
          <w:rFonts w:asciiTheme="majorBidi" w:hAnsiTheme="majorBidi" w:cstheme="majorBidi"/>
          <w:sz w:val="24"/>
          <w:szCs w:val="22"/>
        </w:rPr>
        <w:t>or else</w:t>
      </w:r>
      <w:r w:rsidR="000C37B0" w:rsidRPr="00067D8A">
        <w:rPr>
          <w:rFonts w:asciiTheme="majorBidi" w:hAnsiTheme="majorBidi" w:cstheme="majorBidi"/>
          <w:sz w:val="24"/>
          <w:szCs w:val="22"/>
        </w:rPr>
        <w:t xml:space="preserve"> </w:t>
      </w:r>
      <w:r w:rsidRPr="00067D8A">
        <w:rPr>
          <w:rFonts w:asciiTheme="majorBidi" w:hAnsiTheme="majorBidi" w:cstheme="majorBidi"/>
          <w:sz w:val="24"/>
          <w:szCs w:val="22"/>
        </w:rPr>
        <w:t xml:space="preserve">they would </w:t>
      </w:r>
      <w:r w:rsidR="000C37B0">
        <w:rPr>
          <w:rFonts w:asciiTheme="majorBidi" w:hAnsiTheme="majorBidi" w:cstheme="majorBidi"/>
          <w:sz w:val="24"/>
          <w:szCs w:val="22"/>
        </w:rPr>
        <w:t xml:space="preserve">likely </w:t>
      </w:r>
      <w:r w:rsidRPr="00067D8A">
        <w:rPr>
          <w:rFonts w:asciiTheme="majorBidi" w:hAnsiTheme="majorBidi" w:cstheme="majorBidi"/>
          <w:sz w:val="24"/>
          <w:szCs w:val="22"/>
        </w:rPr>
        <w:t xml:space="preserve">have completely disappeared. </w:t>
      </w:r>
      <w:r w:rsidR="00E021B2">
        <w:rPr>
          <w:rFonts w:asciiTheme="majorBidi" w:hAnsiTheme="majorBidi" w:cstheme="majorBidi"/>
          <w:sz w:val="24"/>
          <w:szCs w:val="22"/>
        </w:rPr>
        <w:t xml:space="preserve">There were no </w:t>
      </w:r>
      <w:r w:rsidRPr="00067D8A">
        <w:rPr>
          <w:rFonts w:asciiTheme="majorBidi" w:hAnsiTheme="majorBidi" w:cstheme="majorBidi"/>
          <w:sz w:val="24"/>
          <w:szCs w:val="22"/>
        </w:rPr>
        <w:t>connecting stratigraphic trenches between major structures</w:t>
      </w:r>
      <w:r w:rsidR="00E021B2">
        <w:rPr>
          <w:rFonts w:asciiTheme="majorBidi" w:hAnsiTheme="majorBidi" w:cstheme="majorBidi"/>
          <w:sz w:val="24"/>
          <w:szCs w:val="22"/>
        </w:rPr>
        <w:t xml:space="preserve"> to confirm </w:t>
      </w:r>
      <w:r w:rsidRPr="00067D8A">
        <w:rPr>
          <w:rFonts w:asciiTheme="majorBidi" w:hAnsiTheme="majorBidi" w:cstheme="majorBidi"/>
          <w:sz w:val="24"/>
          <w:szCs w:val="22"/>
        </w:rPr>
        <w:t>associations</w:t>
      </w:r>
      <w:r w:rsidR="00E021B2">
        <w:rPr>
          <w:rFonts w:asciiTheme="majorBidi" w:hAnsiTheme="majorBidi" w:cstheme="majorBidi"/>
          <w:sz w:val="24"/>
          <w:szCs w:val="22"/>
        </w:rPr>
        <w:t>, but</w:t>
      </w:r>
      <w:r w:rsidRPr="00067D8A">
        <w:rPr>
          <w:rFonts w:asciiTheme="majorBidi" w:hAnsiTheme="majorBidi" w:cstheme="majorBidi"/>
          <w:sz w:val="24"/>
          <w:szCs w:val="22"/>
        </w:rPr>
        <w:t xml:space="preserve"> Casal established contemporaneity between structures on the basis of associated ceramics, and </w:t>
      </w:r>
      <w:r w:rsidR="00E021B2" w:rsidRPr="00067D8A">
        <w:rPr>
          <w:rFonts w:asciiTheme="majorBidi" w:hAnsiTheme="majorBidi" w:cstheme="majorBidi"/>
          <w:sz w:val="24"/>
          <w:szCs w:val="22"/>
        </w:rPr>
        <w:t xml:space="preserve">divided </w:t>
      </w:r>
      <w:r w:rsidRPr="00067D8A">
        <w:rPr>
          <w:rFonts w:asciiTheme="majorBidi" w:hAnsiTheme="majorBidi" w:cstheme="majorBidi"/>
          <w:sz w:val="24"/>
          <w:szCs w:val="22"/>
        </w:rPr>
        <w:t xml:space="preserve">Period IV into three major </w:t>
      </w:r>
      <w:r w:rsidR="001E1DEF">
        <w:rPr>
          <w:rFonts w:asciiTheme="majorBidi" w:hAnsiTheme="majorBidi" w:cstheme="majorBidi"/>
          <w:sz w:val="24"/>
          <w:szCs w:val="22"/>
        </w:rPr>
        <w:t>Sub-Period</w:t>
      </w:r>
      <w:r w:rsidRPr="00920C02">
        <w:rPr>
          <w:rFonts w:asciiTheme="majorBidi" w:hAnsiTheme="majorBidi" w:cstheme="majorBidi"/>
          <w:sz w:val="24"/>
          <w:szCs w:val="22"/>
        </w:rPr>
        <w:t>s (IV</w:t>
      </w:r>
      <w:r w:rsidRPr="00920C02">
        <w:rPr>
          <w:rFonts w:asciiTheme="majorBidi" w:hAnsiTheme="majorBidi" w:cstheme="majorBidi"/>
          <w:sz w:val="24"/>
          <w:szCs w:val="22"/>
          <w:vertAlign w:val="subscript"/>
        </w:rPr>
        <w:t>1</w:t>
      </w:r>
      <w:r w:rsidRPr="00920C02">
        <w:rPr>
          <w:rFonts w:asciiTheme="majorBidi" w:hAnsiTheme="majorBidi" w:cstheme="majorBidi"/>
          <w:sz w:val="24"/>
          <w:szCs w:val="22"/>
        </w:rPr>
        <w:t>–</w:t>
      </w:r>
      <w:r w:rsidRPr="00920C02">
        <w:rPr>
          <w:rFonts w:asciiTheme="majorBidi" w:hAnsiTheme="majorBidi" w:cstheme="majorBidi"/>
          <w:sz w:val="24"/>
          <w:szCs w:val="22"/>
          <w:vertAlign w:val="subscript"/>
        </w:rPr>
        <w:t>3</w:t>
      </w:r>
      <w:r w:rsidRPr="00920C02">
        <w:rPr>
          <w:rFonts w:asciiTheme="majorBidi" w:hAnsiTheme="majorBidi" w:cstheme="majorBidi"/>
          <w:sz w:val="24"/>
          <w:szCs w:val="22"/>
        </w:rPr>
        <w:t>)</w:t>
      </w:r>
      <w:r w:rsidR="009420E8" w:rsidRPr="00920C02">
        <w:rPr>
          <w:rFonts w:asciiTheme="majorBidi" w:hAnsiTheme="majorBidi" w:cstheme="majorBidi"/>
          <w:sz w:val="24"/>
          <w:szCs w:val="22"/>
        </w:rPr>
        <w:t>,</w:t>
      </w:r>
      <w:r w:rsidRPr="00920C02">
        <w:rPr>
          <w:rFonts w:asciiTheme="majorBidi" w:hAnsiTheme="majorBidi" w:cstheme="majorBidi"/>
          <w:sz w:val="24"/>
          <w:szCs w:val="22"/>
        </w:rPr>
        <w:t xml:space="preserve"> the first of which is by far the most impressive and without parallel in prehistoric Afghanistan.</w:t>
      </w:r>
    </w:p>
    <w:p w14:paraId="664650A0" w14:textId="6EDC6024" w:rsidR="0030226C" w:rsidRPr="00920C02" w:rsidRDefault="001E1DEF" w:rsidP="0030226C">
      <w:pPr>
        <w:pStyle w:val="BodyTextIndent"/>
        <w:rPr>
          <w:rFonts w:asciiTheme="majorBidi" w:hAnsiTheme="majorBidi" w:cstheme="majorBidi"/>
          <w:color w:val="auto"/>
          <w:sz w:val="24"/>
          <w:szCs w:val="22"/>
        </w:rPr>
      </w:pPr>
      <w:r>
        <w:rPr>
          <w:rFonts w:asciiTheme="majorBidi" w:hAnsiTheme="majorBidi" w:cstheme="majorBidi"/>
          <w:sz w:val="24"/>
          <w:szCs w:val="22"/>
        </w:rPr>
        <w:t>Sub-Period</w:t>
      </w:r>
      <w:r w:rsidR="0030226C" w:rsidRPr="00920C02">
        <w:rPr>
          <w:rFonts w:asciiTheme="majorBidi" w:hAnsiTheme="majorBidi" w:cstheme="majorBidi"/>
          <w:sz w:val="24"/>
          <w:szCs w:val="22"/>
        </w:rPr>
        <w:t xml:space="preserve"> IV</w:t>
      </w:r>
      <w:r w:rsidR="0030226C" w:rsidRPr="00920C02">
        <w:rPr>
          <w:rFonts w:asciiTheme="majorBidi" w:hAnsiTheme="majorBidi" w:cstheme="majorBidi"/>
          <w:sz w:val="24"/>
          <w:szCs w:val="22"/>
          <w:vertAlign w:val="subscript"/>
        </w:rPr>
        <w:t>1</w:t>
      </w:r>
      <w:r w:rsidR="0030226C" w:rsidRPr="00920C02">
        <w:rPr>
          <w:rFonts w:asciiTheme="majorBidi" w:hAnsiTheme="majorBidi" w:cstheme="majorBidi"/>
          <w:sz w:val="24"/>
          <w:szCs w:val="22"/>
        </w:rPr>
        <w:t>, Casal’s ‘Epoch of the Palace’, was characterised by the construction of large</w:t>
      </w:r>
      <w:r w:rsidR="0030226C" w:rsidRPr="00067D8A">
        <w:rPr>
          <w:rFonts w:asciiTheme="majorBidi" w:hAnsiTheme="majorBidi" w:cstheme="majorBidi"/>
          <w:sz w:val="24"/>
          <w:szCs w:val="22"/>
        </w:rPr>
        <w:t xml:space="preserve"> monumental structures and enclosing walls (Figs. </w:t>
      </w:r>
      <w:r w:rsidR="005B52A9">
        <w:rPr>
          <w:rFonts w:asciiTheme="majorBidi" w:hAnsiTheme="majorBidi" w:cstheme="majorBidi"/>
          <w:sz w:val="24"/>
          <w:szCs w:val="22"/>
        </w:rPr>
        <w:t>4.</w:t>
      </w:r>
      <w:r w:rsidR="0030226C" w:rsidRPr="00067D8A">
        <w:rPr>
          <w:rFonts w:asciiTheme="majorBidi" w:hAnsiTheme="majorBidi" w:cstheme="majorBidi"/>
          <w:color w:val="FF0000"/>
          <w:sz w:val="24"/>
          <w:szCs w:val="22"/>
        </w:rPr>
        <w:t>44-51</w:t>
      </w:r>
      <w:r w:rsidR="0030226C" w:rsidRPr="00067D8A">
        <w:rPr>
          <w:rFonts w:asciiTheme="majorBidi" w:hAnsiTheme="majorBidi" w:cstheme="majorBidi"/>
          <w:sz w:val="24"/>
          <w:szCs w:val="22"/>
        </w:rPr>
        <w:t xml:space="preserve">). The ‘Palace’ was a large monumental building located on Mound A, which underwent several rebuilding phases. There is little evidence to definitely indicate that this structure represents a ‘palace’, but there can be no doubt that it was monumental, significantly different from previous and contemporary structures, and culturally important. However, to designate it as a ‘palace’ implies a degree and level of </w:t>
      </w:r>
      <w:r w:rsidR="0030226C" w:rsidRPr="00920C02">
        <w:rPr>
          <w:rFonts w:asciiTheme="majorBidi" w:hAnsiTheme="majorBidi" w:cstheme="majorBidi"/>
          <w:color w:val="auto"/>
          <w:sz w:val="24"/>
          <w:szCs w:val="22"/>
        </w:rPr>
        <w:t>political organisation</w:t>
      </w:r>
      <w:r w:rsidR="00E021B2">
        <w:rPr>
          <w:rFonts w:asciiTheme="majorBidi" w:hAnsiTheme="majorBidi" w:cstheme="majorBidi"/>
          <w:color w:val="auto"/>
          <w:sz w:val="24"/>
          <w:szCs w:val="22"/>
        </w:rPr>
        <w:t>,</w:t>
      </w:r>
      <w:r w:rsidR="0030226C" w:rsidRPr="00920C02">
        <w:rPr>
          <w:rFonts w:asciiTheme="majorBidi" w:hAnsiTheme="majorBidi" w:cstheme="majorBidi"/>
          <w:color w:val="auto"/>
          <w:sz w:val="24"/>
          <w:szCs w:val="22"/>
        </w:rPr>
        <w:t xml:space="preserve"> which cannot be presently </w:t>
      </w:r>
      <w:r w:rsidR="00E021B2">
        <w:rPr>
          <w:rFonts w:asciiTheme="majorBidi" w:hAnsiTheme="majorBidi" w:cstheme="majorBidi"/>
          <w:color w:val="auto"/>
          <w:sz w:val="24"/>
          <w:szCs w:val="22"/>
        </w:rPr>
        <w:t>confirmed</w:t>
      </w:r>
      <w:r w:rsidR="0030226C" w:rsidRPr="00920C02">
        <w:rPr>
          <w:rFonts w:asciiTheme="majorBidi" w:hAnsiTheme="majorBidi" w:cstheme="majorBidi"/>
          <w:color w:val="auto"/>
          <w:sz w:val="24"/>
          <w:szCs w:val="22"/>
        </w:rPr>
        <w:t>. The façade was embellished with a line of engaged semi-columns</w:t>
      </w:r>
      <w:r w:rsidR="0030226C" w:rsidRPr="00920C02">
        <w:rPr>
          <w:rStyle w:val="EndnoteReference"/>
          <w:rFonts w:asciiTheme="majorBidi" w:hAnsiTheme="majorBidi" w:cstheme="majorBidi"/>
          <w:color w:val="auto"/>
          <w:sz w:val="24"/>
          <w:szCs w:val="22"/>
        </w:rPr>
        <w:endnoteReference w:id="25"/>
      </w:r>
      <w:r w:rsidR="0030226C" w:rsidRPr="00920C02">
        <w:rPr>
          <w:rFonts w:asciiTheme="majorBidi" w:hAnsiTheme="majorBidi" w:cstheme="majorBidi"/>
          <w:color w:val="auto"/>
          <w:sz w:val="24"/>
          <w:szCs w:val="22"/>
        </w:rPr>
        <w:t xml:space="preserve"> (henceforth ‘colonnade’). This distinctive architectural device is seen elsewhere in the Bronze Age such as at the ‘temple’ on Mound G at Mundigak (see below, where the engaged ‘semi-columns’ are projecting triangles) and at the ‘palace’ at Dashli 3, with its rows of external repeated projecting buttresses. It is possible that the device originated in fourth millennium BC </w:t>
      </w:r>
      <w:r w:rsidR="00920C02" w:rsidRPr="00920C02">
        <w:rPr>
          <w:rFonts w:asciiTheme="majorBidi" w:hAnsiTheme="majorBidi" w:cstheme="majorBidi"/>
          <w:color w:val="auto"/>
          <w:sz w:val="24"/>
          <w:szCs w:val="22"/>
        </w:rPr>
        <w:t>at Uruk/</w:t>
      </w:r>
      <w:r w:rsidR="0030226C" w:rsidRPr="00920C02">
        <w:rPr>
          <w:rFonts w:asciiTheme="majorBidi" w:hAnsiTheme="majorBidi" w:cstheme="majorBidi"/>
          <w:color w:val="auto"/>
          <w:sz w:val="24"/>
          <w:szCs w:val="22"/>
        </w:rPr>
        <w:t>Warka in Mesopotamia, in the cone-decorated engaged semi-columns at the ‘White Temple’,</w:t>
      </w:r>
      <w:r w:rsidR="0030226C" w:rsidRPr="00920C02">
        <w:rPr>
          <w:rStyle w:val="EndnoteReference"/>
          <w:rFonts w:asciiTheme="majorBidi" w:hAnsiTheme="majorBidi" w:cstheme="majorBidi"/>
          <w:color w:val="auto"/>
          <w:sz w:val="24"/>
          <w:szCs w:val="22"/>
        </w:rPr>
        <w:endnoteReference w:id="26"/>
      </w:r>
      <w:r w:rsidR="0030226C" w:rsidRPr="00920C02">
        <w:rPr>
          <w:rFonts w:asciiTheme="majorBidi" w:hAnsiTheme="majorBidi" w:cstheme="majorBidi"/>
          <w:color w:val="auto"/>
          <w:sz w:val="24"/>
          <w:szCs w:val="22"/>
        </w:rPr>
        <w:t xml:space="preserve"> </w:t>
      </w:r>
      <w:r w:rsidR="00F452CE" w:rsidRPr="00920C02">
        <w:rPr>
          <w:rFonts w:asciiTheme="majorBidi" w:hAnsiTheme="majorBidi" w:cstheme="majorBidi"/>
          <w:color w:val="auto"/>
          <w:sz w:val="24"/>
          <w:szCs w:val="22"/>
        </w:rPr>
        <w:t>al</w:t>
      </w:r>
      <w:r w:rsidR="0030226C" w:rsidRPr="00920C02">
        <w:rPr>
          <w:rFonts w:asciiTheme="majorBidi" w:hAnsiTheme="majorBidi" w:cstheme="majorBidi"/>
          <w:color w:val="auto"/>
          <w:sz w:val="24"/>
          <w:szCs w:val="22"/>
        </w:rPr>
        <w:t>though such features might have origin</w:t>
      </w:r>
      <w:r w:rsidR="00920C02" w:rsidRPr="00920C02">
        <w:rPr>
          <w:rFonts w:asciiTheme="majorBidi" w:hAnsiTheme="majorBidi" w:cstheme="majorBidi"/>
          <w:color w:val="auto"/>
          <w:sz w:val="24"/>
          <w:szCs w:val="22"/>
        </w:rPr>
        <w:t>ated locally</w:t>
      </w:r>
      <w:r w:rsidR="000C37B0">
        <w:rPr>
          <w:rFonts w:asciiTheme="majorBidi" w:hAnsiTheme="majorBidi" w:cstheme="majorBidi"/>
          <w:color w:val="auto"/>
          <w:sz w:val="24"/>
          <w:szCs w:val="22"/>
        </w:rPr>
        <w:t xml:space="preserve"> in Afghanistan</w:t>
      </w:r>
      <w:r w:rsidR="0030226C" w:rsidRPr="00920C02">
        <w:rPr>
          <w:rFonts w:asciiTheme="majorBidi" w:hAnsiTheme="majorBidi" w:cstheme="majorBidi"/>
          <w:color w:val="auto"/>
          <w:sz w:val="24"/>
          <w:szCs w:val="22"/>
        </w:rPr>
        <w:t xml:space="preserve"> and subsequently have a long later history in Central Asia.</w:t>
      </w:r>
      <w:r w:rsidR="0030226C" w:rsidRPr="00920C02">
        <w:rPr>
          <w:rStyle w:val="EndnoteReference"/>
          <w:rFonts w:asciiTheme="majorBidi" w:hAnsiTheme="majorBidi" w:cstheme="majorBidi"/>
          <w:color w:val="auto"/>
          <w:sz w:val="24"/>
          <w:szCs w:val="22"/>
        </w:rPr>
        <w:endnoteReference w:id="27"/>
      </w:r>
    </w:p>
    <w:p w14:paraId="328FF499" w14:textId="176147FB" w:rsidR="0030226C" w:rsidRPr="00067D8A" w:rsidRDefault="0030226C" w:rsidP="0030226C">
      <w:pPr>
        <w:pStyle w:val="BodyTextIndent"/>
        <w:rPr>
          <w:rFonts w:asciiTheme="majorBidi" w:hAnsiTheme="majorBidi" w:cstheme="majorBidi"/>
          <w:sz w:val="24"/>
          <w:szCs w:val="22"/>
        </w:rPr>
      </w:pPr>
      <w:r w:rsidRPr="00920C02">
        <w:rPr>
          <w:rFonts w:asciiTheme="majorBidi" w:hAnsiTheme="majorBidi" w:cstheme="majorBidi"/>
          <w:color w:val="auto"/>
          <w:sz w:val="24"/>
          <w:szCs w:val="22"/>
        </w:rPr>
        <w:lastRenderedPageBreak/>
        <w:t xml:space="preserve">This important structure was located at the highest point of the site - Mound A. </w:t>
      </w:r>
      <w:r w:rsidRPr="00067D8A">
        <w:rPr>
          <w:rFonts w:asciiTheme="majorBidi" w:hAnsiTheme="majorBidi" w:cstheme="majorBidi"/>
          <w:sz w:val="24"/>
          <w:szCs w:val="22"/>
        </w:rPr>
        <w:t>When this building was constructed, Mound A must have been an imposing edifice with its 11 metres of elevation resulting from previous occupations and its surrounding(?) terrace wall</w:t>
      </w:r>
      <w:r w:rsidR="000C37B0">
        <w:rPr>
          <w:rFonts w:asciiTheme="majorBidi" w:hAnsiTheme="majorBidi" w:cstheme="majorBidi"/>
          <w:sz w:val="24"/>
          <w:szCs w:val="22"/>
        </w:rPr>
        <w:t xml:space="preserve"> </w:t>
      </w:r>
      <w:r w:rsidRPr="00920C02">
        <w:rPr>
          <w:rFonts w:asciiTheme="majorBidi" w:hAnsiTheme="majorBidi" w:cstheme="majorBidi"/>
          <w:sz w:val="24"/>
          <w:szCs w:val="22"/>
        </w:rPr>
        <w:t>constructed in Period III.</w:t>
      </w:r>
      <w:r w:rsidR="00F452CE" w:rsidRPr="00920C02">
        <w:rPr>
          <w:rStyle w:val="EndnoteReference"/>
          <w:rFonts w:asciiTheme="majorBidi" w:hAnsiTheme="majorBidi" w:cstheme="majorBidi"/>
          <w:sz w:val="24"/>
          <w:szCs w:val="22"/>
        </w:rPr>
        <w:endnoteReference w:id="28"/>
      </w:r>
      <w:r w:rsidRPr="00920C02">
        <w:rPr>
          <w:rFonts w:asciiTheme="majorBidi" w:hAnsiTheme="majorBidi" w:cstheme="majorBidi"/>
          <w:sz w:val="24"/>
          <w:szCs w:val="22"/>
        </w:rPr>
        <w:t xml:space="preserve"> From</w:t>
      </w:r>
      <w:r w:rsidRPr="00067D8A">
        <w:rPr>
          <w:rFonts w:asciiTheme="majorBidi" w:hAnsiTheme="majorBidi" w:cstheme="majorBidi"/>
          <w:sz w:val="24"/>
          <w:szCs w:val="22"/>
        </w:rPr>
        <w:t xml:space="preserve"> the top of the mound it was possible to see not only the other structures at the site, but also the surrounding countryside. The initial structure plan underwent at least three </w:t>
      </w:r>
      <w:r w:rsidRPr="00920C02">
        <w:rPr>
          <w:rFonts w:asciiTheme="majorBidi" w:hAnsiTheme="majorBidi" w:cstheme="majorBidi"/>
          <w:color w:val="auto"/>
          <w:sz w:val="24"/>
          <w:szCs w:val="22"/>
        </w:rPr>
        <w:t xml:space="preserve">rebuilding phases of which </w:t>
      </w:r>
      <w:r w:rsidRPr="00067D8A">
        <w:rPr>
          <w:rFonts w:asciiTheme="majorBidi" w:hAnsiTheme="majorBidi" w:cstheme="majorBidi"/>
          <w:sz w:val="24"/>
          <w:szCs w:val="22"/>
        </w:rPr>
        <w:t xml:space="preserve">only the last was a significant alteration. Until the last rebuilding, the area north of the colonnaded wall was kept free of other structures so that this building was equally visible in areas away from the mound. Although only the northern wall with its east-west colonnades remains (Figs </w:t>
      </w:r>
      <w:r w:rsidR="005B52A9">
        <w:rPr>
          <w:rFonts w:asciiTheme="majorBidi" w:hAnsiTheme="majorBidi" w:cstheme="majorBidi"/>
          <w:sz w:val="24"/>
          <w:szCs w:val="22"/>
        </w:rPr>
        <w:t>4.</w:t>
      </w:r>
      <w:r w:rsidRPr="00067D8A">
        <w:rPr>
          <w:rFonts w:asciiTheme="majorBidi" w:hAnsiTheme="majorBidi" w:cstheme="majorBidi"/>
          <w:color w:val="FF0000"/>
          <w:sz w:val="24"/>
          <w:szCs w:val="22"/>
        </w:rPr>
        <w:t>44-46</w:t>
      </w:r>
      <w:r w:rsidRPr="00067D8A">
        <w:rPr>
          <w:rFonts w:asciiTheme="majorBidi" w:hAnsiTheme="majorBidi" w:cstheme="majorBidi"/>
          <w:sz w:val="24"/>
          <w:szCs w:val="22"/>
        </w:rPr>
        <w:t>) it is possible that such colonnades existed on all building faces. Similarly, the only remaining entrance was through the north wall, but it is impossible to rule out the existence of other</w:t>
      </w:r>
      <w:r w:rsidR="000C37B0">
        <w:rPr>
          <w:rFonts w:asciiTheme="majorBidi" w:hAnsiTheme="majorBidi" w:cstheme="majorBidi"/>
          <w:sz w:val="24"/>
          <w:szCs w:val="22"/>
        </w:rPr>
        <w:t xml:space="preserve"> entrance</w:t>
      </w:r>
      <w:r w:rsidRPr="00067D8A">
        <w:rPr>
          <w:rFonts w:asciiTheme="majorBidi" w:hAnsiTheme="majorBidi" w:cstheme="majorBidi"/>
          <w:sz w:val="24"/>
          <w:szCs w:val="22"/>
        </w:rPr>
        <w:t xml:space="preserve">s. The structure’s exterior walls appear to be aligned with the cardinal points of the compass, but such is not the case for </w:t>
      </w:r>
      <w:r w:rsidR="000C37B0">
        <w:rPr>
          <w:rFonts w:asciiTheme="majorBidi" w:hAnsiTheme="majorBidi" w:cstheme="majorBidi"/>
          <w:sz w:val="24"/>
          <w:szCs w:val="22"/>
        </w:rPr>
        <w:t xml:space="preserve">the </w:t>
      </w:r>
      <w:r w:rsidRPr="00067D8A">
        <w:rPr>
          <w:rFonts w:asciiTheme="majorBidi" w:hAnsiTheme="majorBidi" w:cstheme="majorBidi"/>
          <w:sz w:val="24"/>
          <w:szCs w:val="22"/>
        </w:rPr>
        <w:t xml:space="preserve">interior walls. A similar alignment can be defined for other </w:t>
      </w:r>
      <w:r w:rsidRPr="00920C02">
        <w:rPr>
          <w:rFonts w:asciiTheme="majorBidi" w:hAnsiTheme="majorBidi" w:cstheme="majorBidi"/>
          <w:sz w:val="24"/>
          <w:szCs w:val="22"/>
        </w:rPr>
        <w:t>monumental structures of Period IV except</w:t>
      </w:r>
      <w:r w:rsidRPr="00067D8A">
        <w:rPr>
          <w:rFonts w:asciiTheme="majorBidi" w:hAnsiTheme="majorBidi" w:cstheme="majorBidi"/>
          <w:sz w:val="24"/>
          <w:szCs w:val="22"/>
        </w:rPr>
        <w:t xml:space="preserve"> for one portion of a large enclosing wall which goes off at a slight north-east angle. This building orientation results in Casal’s ‘Palace’ and ‘Temple’ structures being located in the same east-west line, which is parallel to one formed by the enclosing walls. It is doubtful that such alignment was the result of chance.</w:t>
      </w:r>
    </w:p>
    <w:p w14:paraId="57A76FB1" w14:textId="1BFBDE58" w:rsidR="0030226C" w:rsidRPr="00067D8A" w:rsidRDefault="0030226C" w:rsidP="00C7357E">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The primary focus of construction appears to have been the large exterior walls faced with partial colonnades of which only the north wall remains. </w:t>
      </w:r>
      <w:r w:rsidR="00C7357E" w:rsidRPr="00067D8A">
        <w:rPr>
          <w:rFonts w:asciiTheme="majorBidi" w:hAnsiTheme="majorBidi" w:cstheme="majorBidi"/>
          <w:sz w:val="24"/>
          <w:szCs w:val="22"/>
        </w:rPr>
        <w:t xml:space="preserve">The colonnades, like the wall, were constructed with </w:t>
      </w:r>
      <w:r w:rsidR="00920C02">
        <w:rPr>
          <w:rFonts w:asciiTheme="majorBidi" w:hAnsiTheme="majorBidi" w:cstheme="majorBidi"/>
          <w:sz w:val="24"/>
          <w:szCs w:val="22"/>
        </w:rPr>
        <w:t xml:space="preserve">bricks that were </w:t>
      </w:r>
      <w:r w:rsidR="00C7357E" w:rsidRPr="00067D8A">
        <w:rPr>
          <w:rFonts w:asciiTheme="majorBidi" w:hAnsiTheme="majorBidi" w:cstheme="majorBidi"/>
          <w:sz w:val="24"/>
          <w:szCs w:val="22"/>
        </w:rPr>
        <w:t>fired</w:t>
      </w:r>
      <w:r w:rsidR="00920C02">
        <w:rPr>
          <w:rFonts w:asciiTheme="majorBidi" w:hAnsiTheme="majorBidi" w:cstheme="majorBidi"/>
          <w:sz w:val="24"/>
          <w:szCs w:val="22"/>
        </w:rPr>
        <w:t xml:space="preserve"> in a conflagration</w:t>
      </w:r>
      <w:r w:rsidR="000C37B0">
        <w:rPr>
          <w:rFonts w:asciiTheme="majorBidi" w:hAnsiTheme="majorBidi" w:cstheme="majorBidi"/>
          <w:sz w:val="24"/>
          <w:szCs w:val="22"/>
        </w:rPr>
        <w:t>. Nonetheless</w:t>
      </w:r>
      <w:r w:rsidRPr="00067D8A">
        <w:rPr>
          <w:rFonts w:asciiTheme="majorBidi" w:hAnsiTheme="majorBidi" w:cstheme="majorBidi"/>
          <w:sz w:val="24"/>
          <w:szCs w:val="22"/>
        </w:rPr>
        <w:t xml:space="preserve">, the colonnades’ exterior was plastered, painted white and topped with a brick frieze of opposing stepped </w:t>
      </w:r>
      <w:r w:rsidRPr="00920C02">
        <w:rPr>
          <w:rFonts w:asciiTheme="majorBidi" w:hAnsiTheme="majorBidi" w:cstheme="majorBidi"/>
          <w:color w:val="auto"/>
          <w:sz w:val="24"/>
          <w:szCs w:val="22"/>
        </w:rPr>
        <w:t xml:space="preserve">merlons </w:t>
      </w:r>
      <w:r w:rsidRPr="00067D8A">
        <w:rPr>
          <w:rFonts w:asciiTheme="majorBidi" w:hAnsiTheme="majorBidi" w:cstheme="majorBidi"/>
          <w:sz w:val="24"/>
          <w:szCs w:val="22"/>
        </w:rPr>
        <w:t xml:space="preserve">(Fig. </w:t>
      </w:r>
      <w:r w:rsidR="005B52A9">
        <w:rPr>
          <w:rFonts w:asciiTheme="majorBidi" w:hAnsiTheme="majorBidi" w:cstheme="majorBidi"/>
          <w:sz w:val="24"/>
          <w:szCs w:val="22"/>
        </w:rPr>
        <w:t>4.</w:t>
      </w:r>
      <w:r w:rsidRPr="00067D8A">
        <w:rPr>
          <w:rFonts w:asciiTheme="majorBidi" w:hAnsiTheme="majorBidi" w:cstheme="majorBidi"/>
          <w:color w:val="FF0000"/>
          <w:sz w:val="24"/>
          <w:szCs w:val="22"/>
        </w:rPr>
        <w:t>44</w:t>
      </w:r>
      <w:r w:rsidRPr="00067D8A">
        <w:rPr>
          <w:rFonts w:asciiTheme="majorBidi" w:hAnsiTheme="majorBidi" w:cstheme="majorBidi"/>
          <w:sz w:val="24"/>
          <w:szCs w:val="22"/>
        </w:rPr>
        <w:t>). The wall remnant was 2</w:t>
      </w:r>
      <w:r w:rsidRPr="00067D8A">
        <w:rPr>
          <w:rFonts w:asciiTheme="majorBidi" w:hAnsiTheme="majorBidi" w:cstheme="majorBidi"/>
          <w:color w:val="auto"/>
          <w:sz w:val="24"/>
          <w:szCs w:val="22"/>
        </w:rPr>
        <w:t>·</w:t>
      </w:r>
      <w:r w:rsidRPr="00067D8A">
        <w:rPr>
          <w:rFonts w:asciiTheme="majorBidi" w:hAnsiTheme="majorBidi" w:cstheme="majorBidi"/>
          <w:sz w:val="24"/>
          <w:szCs w:val="22"/>
        </w:rPr>
        <w:t xml:space="preserve">3 m high and originally taller. North of the wall was a broad brick walkway. South of the wall, and sometimes attached to the wall, were several small rectangular </w:t>
      </w:r>
      <w:r w:rsidRPr="00F452CE">
        <w:rPr>
          <w:rFonts w:asciiTheme="majorBidi" w:hAnsiTheme="majorBidi" w:cstheme="majorBidi"/>
          <w:sz w:val="24"/>
          <w:szCs w:val="22"/>
        </w:rPr>
        <w:t>habitation(?)</w:t>
      </w:r>
      <w:r w:rsidRPr="00067D8A">
        <w:rPr>
          <w:rFonts w:asciiTheme="majorBidi" w:hAnsiTheme="majorBidi" w:cstheme="majorBidi"/>
          <w:sz w:val="24"/>
          <w:szCs w:val="22"/>
        </w:rPr>
        <w:t xml:space="preserve"> structures similar to those described for earlier periods. Access to these structures was either through a stepped entrance that opened onto a large ‘courtyard’ or </w:t>
      </w:r>
      <w:r w:rsidRPr="00067D8A">
        <w:rPr>
          <w:rFonts w:asciiTheme="majorBidi" w:hAnsiTheme="majorBidi" w:cstheme="majorBidi"/>
          <w:sz w:val="24"/>
          <w:szCs w:val="22"/>
        </w:rPr>
        <w:lastRenderedPageBreak/>
        <w:t xml:space="preserve">through </w:t>
      </w:r>
      <w:r w:rsidRPr="00920C02">
        <w:rPr>
          <w:rFonts w:asciiTheme="majorBidi" w:hAnsiTheme="majorBidi" w:cstheme="majorBidi"/>
          <w:color w:val="auto"/>
          <w:sz w:val="24"/>
          <w:szCs w:val="22"/>
        </w:rPr>
        <w:t xml:space="preserve">another entrance that led directly into one of the small interior rooms. These interior </w:t>
      </w:r>
      <w:r w:rsidR="00F452CE" w:rsidRPr="00920C02">
        <w:rPr>
          <w:rFonts w:asciiTheme="majorBidi" w:hAnsiTheme="majorBidi" w:cstheme="majorBidi"/>
          <w:color w:val="auto"/>
          <w:sz w:val="24"/>
          <w:szCs w:val="22"/>
        </w:rPr>
        <w:t xml:space="preserve">rooms </w:t>
      </w:r>
      <w:r w:rsidRPr="00920C02">
        <w:rPr>
          <w:rFonts w:asciiTheme="majorBidi" w:hAnsiTheme="majorBidi" w:cstheme="majorBidi"/>
          <w:color w:val="auto"/>
          <w:sz w:val="24"/>
          <w:szCs w:val="22"/>
        </w:rPr>
        <w:t xml:space="preserve">were not significantly different from those found in </w:t>
      </w:r>
      <w:r w:rsidR="001E1DEF">
        <w:rPr>
          <w:rFonts w:asciiTheme="majorBidi" w:hAnsiTheme="majorBidi" w:cstheme="majorBidi"/>
          <w:color w:val="auto"/>
          <w:sz w:val="24"/>
          <w:szCs w:val="22"/>
        </w:rPr>
        <w:t>Sub-Period</w:t>
      </w:r>
      <w:r w:rsidRPr="00920C02">
        <w:rPr>
          <w:rFonts w:asciiTheme="majorBidi" w:hAnsiTheme="majorBidi" w:cstheme="majorBidi"/>
          <w:color w:val="auto"/>
          <w:sz w:val="24"/>
          <w:szCs w:val="22"/>
        </w:rPr>
        <w:t xml:space="preserve"> III</w:t>
      </w:r>
      <w:r w:rsidRPr="00920C02">
        <w:rPr>
          <w:rFonts w:asciiTheme="majorBidi" w:hAnsiTheme="majorBidi" w:cstheme="majorBidi"/>
          <w:color w:val="auto"/>
          <w:sz w:val="24"/>
          <w:szCs w:val="22"/>
          <w:vertAlign w:val="subscript"/>
        </w:rPr>
        <w:t>6</w:t>
      </w:r>
      <w:r w:rsidRPr="00920C02">
        <w:rPr>
          <w:rFonts w:asciiTheme="majorBidi" w:hAnsiTheme="majorBidi" w:cstheme="majorBidi"/>
          <w:color w:val="auto"/>
          <w:sz w:val="24"/>
          <w:szCs w:val="22"/>
        </w:rPr>
        <w:t xml:space="preserve">, and except for the organisation imposed on them by the colonnaded wall and ‘courtyard’, they were haphazardly arranged. The first two re-buildings (in </w:t>
      </w:r>
      <w:r w:rsidR="001E1DEF">
        <w:rPr>
          <w:rFonts w:asciiTheme="majorBidi" w:hAnsiTheme="majorBidi" w:cstheme="majorBidi"/>
          <w:color w:val="auto"/>
          <w:sz w:val="24"/>
          <w:szCs w:val="22"/>
        </w:rPr>
        <w:t>Sub-Period</w:t>
      </w:r>
      <w:r w:rsidRPr="00920C02">
        <w:rPr>
          <w:rFonts w:asciiTheme="majorBidi" w:hAnsiTheme="majorBidi" w:cstheme="majorBidi"/>
          <w:color w:val="auto"/>
          <w:sz w:val="24"/>
          <w:szCs w:val="22"/>
        </w:rPr>
        <w:t>s IV</w:t>
      </w:r>
      <w:r w:rsidRPr="00920C02">
        <w:rPr>
          <w:rFonts w:asciiTheme="majorBidi" w:hAnsiTheme="majorBidi" w:cstheme="majorBidi"/>
          <w:color w:val="auto"/>
          <w:sz w:val="24"/>
          <w:szCs w:val="22"/>
          <w:vertAlign w:val="subscript"/>
        </w:rPr>
        <w:t>la–b</w:t>
      </w:r>
      <w:r w:rsidRPr="00920C02">
        <w:rPr>
          <w:rFonts w:asciiTheme="majorBidi" w:hAnsiTheme="majorBidi" w:cstheme="majorBidi"/>
          <w:color w:val="auto"/>
          <w:sz w:val="24"/>
          <w:szCs w:val="22"/>
        </w:rPr>
        <w:t xml:space="preserve">) are almost </w:t>
      </w:r>
      <w:r w:rsidRPr="00067D8A">
        <w:rPr>
          <w:rFonts w:asciiTheme="majorBidi" w:hAnsiTheme="majorBidi" w:cstheme="majorBidi"/>
          <w:sz w:val="24"/>
          <w:szCs w:val="22"/>
        </w:rPr>
        <w:t xml:space="preserve">exclusively concerned with these interior structures. Successive re-buildings resulted primarily in a proliferation in the number of rooms and a thickening of walls (Fig. </w:t>
      </w:r>
      <w:r w:rsidR="005B52A9">
        <w:rPr>
          <w:rFonts w:asciiTheme="majorBidi" w:hAnsiTheme="majorBidi" w:cstheme="majorBidi"/>
          <w:sz w:val="24"/>
          <w:szCs w:val="22"/>
        </w:rPr>
        <w:t>4.</w:t>
      </w:r>
      <w:r w:rsidRPr="00067D8A">
        <w:rPr>
          <w:rFonts w:asciiTheme="majorBidi" w:hAnsiTheme="majorBidi" w:cstheme="majorBidi"/>
          <w:color w:val="FF0000"/>
          <w:sz w:val="24"/>
          <w:szCs w:val="22"/>
        </w:rPr>
        <w:t>48</w:t>
      </w:r>
      <w:r w:rsidRPr="00067D8A">
        <w:rPr>
          <w:rFonts w:asciiTheme="majorBidi" w:hAnsiTheme="majorBidi" w:cstheme="majorBidi"/>
          <w:sz w:val="24"/>
          <w:szCs w:val="22"/>
        </w:rPr>
        <w:t xml:space="preserve">). The north end of the large courtyard became divided into a series of rooms distinguished by the construction of two substantial walls perpendicular to the colonnaded wall. These new structures continue to reflect habitation activities indicated by the presence of interior ovens, drains, wall-lamp niches, and at least one kitchen area. In contrast the third rebuilding, </w:t>
      </w:r>
      <w:r w:rsidR="001E1DEF">
        <w:rPr>
          <w:rFonts w:asciiTheme="majorBidi" w:hAnsiTheme="majorBidi" w:cstheme="majorBidi"/>
          <w:sz w:val="24"/>
          <w:szCs w:val="22"/>
        </w:rPr>
        <w:t>Sub-Period</w:t>
      </w:r>
      <w:r w:rsidRPr="00067D8A">
        <w:rPr>
          <w:rFonts w:asciiTheme="majorBidi" w:hAnsiTheme="majorBidi" w:cstheme="majorBidi"/>
          <w:sz w:val="24"/>
          <w:szCs w:val="22"/>
        </w:rPr>
        <w:t xml:space="preserve"> IV</w:t>
      </w:r>
      <w:r w:rsidRPr="00067D8A">
        <w:rPr>
          <w:rFonts w:asciiTheme="majorBidi" w:hAnsiTheme="majorBidi" w:cstheme="majorBidi"/>
          <w:sz w:val="24"/>
          <w:szCs w:val="22"/>
          <w:vertAlign w:val="subscript"/>
        </w:rPr>
        <w:t>lc</w:t>
      </w:r>
      <w:r w:rsidRPr="00067D8A">
        <w:rPr>
          <w:rFonts w:asciiTheme="majorBidi" w:hAnsiTheme="majorBidi" w:cstheme="majorBidi"/>
          <w:sz w:val="24"/>
          <w:szCs w:val="22"/>
        </w:rPr>
        <w:t>, represents significant architectural and, possibly, functional changes for this complex of structures.</w:t>
      </w:r>
    </w:p>
    <w:p w14:paraId="4D74B889" w14:textId="053C38AA" w:rsidR="0030226C" w:rsidRPr="00067D8A" w:rsidRDefault="0030226C" w:rsidP="005C22B7">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During </w:t>
      </w:r>
      <w:r w:rsidR="001E1DEF">
        <w:rPr>
          <w:rFonts w:asciiTheme="majorBidi" w:hAnsiTheme="majorBidi" w:cstheme="majorBidi"/>
          <w:sz w:val="24"/>
          <w:szCs w:val="22"/>
        </w:rPr>
        <w:t>Sub-Period</w:t>
      </w:r>
      <w:r w:rsidRPr="00067D8A">
        <w:rPr>
          <w:rFonts w:asciiTheme="majorBidi" w:hAnsiTheme="majorBidi" w:cstheme="majorBidi"/>
          <w:sz w:val="24"/>
          <w:szCs w:val="22"/>
        </w:rPr>
        <w:t xml:space="preserve"> IV</w:t>
      </w:r>
      <w:r w:rsidRPr="00067D8A">
        <w:rPr>
          <w:rFonts w:asciiTheme="majorBidi" w:hAnsiTheme="majorBidi" w:cstheme="majorBidi"/>
          <w:sz w:val="24"/>
          <w:szCs w:val="22"/>
          <w:vertAlign w:val="subscript"/>
        </w:rPr>
        <w:t>lc</w:t>
      </w:r>
      <w:r w:rsidRPr="00067D8A">
        <w:rPr>
          <w:rFonts w:asciiTheme="majorBidi" w:hAnsiTheme="majorBidi" w:cstheme="majorBidi"/>
          <w:sz w:val="24"/>
          <w:szCs w:val="22"/>
        </w:rPr>
        <w:t xml:space="preserve"> major new structures are constructed north of the colonnaded wall. These elongated rectangular structures would have completely obscured the colonnaded wall from view. Moreover, structures on both sides of the colonnaded wall no longer appear concerned with habitation activities. These new structures are generally lacking the interior features which characterised the previous ones, and in one instance a room contained an unusual quantity of alabaster bowls and bronze </w:t>
      </w:r>
      <w:r w:rsidR="00BA11F4">
        <w:rPr>
          <w:rFonts w:asciiTheme="majorBidi" w:hAnsiTheme="majorBidi" w:cstheme="majorBidi"/>
          <w:sz w:val="24"/>
          <w:szCs w:val="22"/>
        </w:rPr>
        <w:t xml:space="preserve">projectile </w:t>
      </w:r>
      <w:r w:rsidRPr="00067D8A">
        <w:rPr>
          <w:rFonts w:asciiTheme="majorBidi" w:hAnsiTheme="majorBidi" w:cstheme="majorBidi"/>
          <w:sz w:val="24"/>
          <w:szCs w:val="22"/>
        </w:rPr>
        <w:t xml:space="preserve">points. Stairways located in some structures indicate the presence of an upper storey, or at least reflect the importance of having access to or from the roof. The previous colonnaded wall continued to be used but many of the structures south of it were filled with </w:t>
      </w:r>
      <w:r w:rsidRPr="000526DA">
        <w:rPr>
          <w:rFonts w:asciiTheme="majorBidi" w:hAnsiTheme="majorBidi" w:cstheme="majorBidi"/>
          <w:sz w:val="24"/>
          <w:szCs w:val="22"/>
          <w:highlight w:val="yellow"/>
        </w:rPr>
        <w:t>fired</w:t>
      </w:r>
      <w:r w:rsidRPr="00067D8A">
        <w:rPr>
          <w:rFonts w:asciiTheme="majorBidi" w:hAnsiTheme="majorBidi" w:cstheme="majorBidi"/>
          <w:sz w:val="24"/>
          <w:szCs w:val="22"/>
        </w:rPr>
        <w:t xml:space="preserve"> brick in the construction of a large platform which was made accessible by a series of stairways added onto the old entrance. Five metres behind and parallel to the old wall a new colonnaded wall was built. The construction of a new and taller colonnaded wall must have added significantly to the overall terraced effect of Mound A.</w:t>
      </w:r>
      <w:r w:rsidR="00D92F05">
        <w:rPr>
          <w:rStyle w:val="EndnoteReference"/>
          <w:rFonts w:asciiTheme="majorBidi" w:hAnsiTheme="majorBidi" w:cstheme="majorBidi"/>
          <w:sz w:val="24"/>
          <w:szCs w:val="22"/>
        </w:rPr>
        <w:endnoteReference w:id="29"/>
      </w:r>
      <w:r w:rsidRPr="00067D8A">
        <w:rPr>
          <w:rFonts w:asciiTheme="majorBidi" w:hAnsiTheme="majorBidi" w:cstheme="majorBidi"/>
          <w:sz w:val="24"/>
          <w:szCs w:val="22"/>
        </w:rPr>
        <w:t xml:space="preserve"> The platform had received several coatings of white and/or red plaster. A wall trench had been excavated for the foundation of this new wall (it cut through </w:t>
      </w:r>
      <w:r w:rsidR="001E1DEF">
        <w:rPr>
          <w:rFonts w:asciiTheme="majorBidi" w:hAnsiTheme="majorBidi" w:cstheme="majorBidi"/>
          <w:sz w:val="24"/>
          <w:szCs w:val="22"/>
        </w:rPr>
        <w:t>Sub-Period</w:t>
      </w:r>
      <w:r w:rsidRPr="00067D8A">
        <w:rPr>
          <w:rFonts w:asciiTheme="majorBidi" w:hAnsiTheme="majorBidi" w:cstheme="majorBidi"/>
          <w:sz w:val="24"/>
          <w:szCs w:val="22"/>
        </w:rPr>
        <w:t xml:space="preserve"> IV</w:t>
      </w:r>
      <w:r w:rsidR="00BA11F4">
        <w:rPr>
          <w:rFonts w:asciiTheme="majorBidi" w:hAnsiTheme="majorBidi" w:cstheme="majorBidi"/>
          <w:sz w:val="24"/>
          <w:szCs w:val="22"/>
          <w:vertAlign w:val="subscript"/>
        </w:rPr>
        <w:t>1</w:t>
      </w:r>
      <w:r w:rsidRPr="00067D8A">
        <w:rPr>
          <w:rFonts w:asciiTheme="majorBidi" w:hAnsiTheme="majorBidi" w:cstheme="majorBidi"/>
          <w:sz w:val="24"/>
          <w:szCs w:val="22"/>
          <w:vertAlign w:val="subscript"/>
        </w:rPr>
        <w:t>a–b</w:t>
      </w:r>
      <w:r w:rsidRPr="00067D8A">
        <w:rPr>
          <w:rFonts w:asciiTheme="majorBidi" w:hAnsiTheme="majorBidi" w:cstheme="majorBidi"/>
          <w:sz w:val="24"/>
          <w:szCs w:val="22"/>
        </w:rPr>
        <w:t xml:space="preserve">) and then </w:t>
      </w:r>
      <w:r w:rsidRPr="00067D8A">
        <w:rPr>
          <w:rFonts w:asciiTheme="majorBidi" w:hAnsiTheme="majorBidi" w:cstheme="majorBidi"/>
          <w:sz w:val="24"/>
          <w:szCs w:val="22"/>
        </w:rPr>
        <w:lastRenderedPageBreak/>
        <w:t xml:space="preserve">filled with large stones after construction of the wall. Structures located south of this new wall were no longer haphazardly arranged, but were organised along a grid pattern with varying sized rooms (Fig. </w:t>
      </w:r>
      <w:r w:rsidR="005B52A9">
        <w:rPr>
          <w:rFonts w:asciiTheme="majorBidi" w:hAnsiTheme="majorBidi" w:cstheme="majorBidi"/>
          <w:sz w:val="24"/>
          <w:szCs w:val="22"/>
        </w:rPr>
        <w:t>4.</w:t>
      </w:r>
      <w:r w:rsidRPr="00067D8A">
        <w:rPr>
          <w:rFonts w:asciiTheme="majorBidi" w:hAnsiTheme="majorBidi" w:cstheme="majorBidi"/>
          <w:color w:val="FF0000"/>
          <w:sz w:val="24"/>
          <w:szCs w:val="22"/>
        </w:rPr>
        <w:t>48</w:t>
      </w:r>
      <w:r w:rsidRPr="00067D8A">
        <w:rPr>
          <w:rFonts w:asciiTheme="majorBidi" w:hAnsiTheme="majorBidi" w:cstheme="majorBidi"/>
          <w:sz w:val="24"/>
          <w:szCs w:val="22"/>
        </w:rPr>
        <w:t>). These rooms were extremely small and void of any internal features. Wall remnants indicate that the walls were never very high and it is doubtful that they were used as habitations. The floors of these units had been very carefully filled and levelled. Unfortunately, this last rebuilding was heavily eroded making it difficult to assemble an overall plan.</w:t>
      </w:r>
    </w:p>
    <w:p w14:paraId="11D83471" w14:textId="519A6C43" w:rsidR="00014A00" w:rsidRPr="00067D8A" w:rsidRDefault="00014A00" w:rsidP="00014A00">
      <w:pPr>
        <w:pStyle w:val="BodyTextIndent"/>
        <w:rPr>
          <w:rFonts w:asciiTheme="majorBidi" w:hAnsiTheme="majorBidi" w:cstheme="majorBidi"/>
          <w:sz w:val="24"/>
          <w:szCs w:val="22"/>
        </w:rPr>
      </w:pPr>
      <w:r w:rsidRPr="00067D8A">
        <w:rPr>
          <w:rFonts w:asciiTheme="majorBidi" w:hAnsiTheme="majorBidi" w:cstheme="majorBidi"/>
          <w:sz w:val="24"/>
          <w:szCs w:val="22"/>
        </w:rPr>
        <w:t>West of Mound A, Mounds B and D produced remains of an enclosing wall complete with</w:t>
      </w:r>
      <w:r w:rsidRPr="00067D8A">
        <w:rPr>
          <w:rFonts w:asciiTheme="majorBidi" w:hAnsiTheme="majorBidi" w:cstheme="majorBidi"/>
          <w:color w:val="FF0000"/>
          <w:sz w:val="24"/>
          <w:szCs w:val="22"/>
        </w:rPr>
        <w:t xml:space="preserve"> </w:t>
      </w:r>
      <w:r w:rsidR="00BA11F4">
        <w:rPr>
          <w:rFonts w:asciiTheme="majorBidi" w:hAnsiTheme="majorBidi" w:cstheme="majorBidi"/>
          <w:color w:val="FF0000"/>
          <w:sz w:val="24"/>
          <w:szCs w:val="22"/>
        </w:rPr>
        <w:t xml:space="preserve">square </w:t>
      </w:r>
      <w:r w:rsidRPr="00067D8A">
        <w:rPr>
          <w:rFonts w:asciiTheme="majorBidi" w:hAnsiTheme="majorBidi" w:cstheme="majorBidi"/>
          <w:sz w:val="24"/>
          <w:szCs w:val="22"/>
        </w:rPr>
        <w:t xml:space="preserve">‘bastions’ (Figs </w:t>
      </w:r>
      <w:r>
        <w:rPr>
          <w:rFonts w:asciiTheme="majorBidi" w:hAnsiTheme="majorBidi" w:cstheme="majorBidi"/>
          <w:color w:val="FF0000"/>
          <w:sz w:val="24"/>
          <w:szCs w:val="22"/>
        </w:rPr>
        <w:t>4.</w:t>
      </w:r>
      <w:r w:rsidRPr="00067D8A">
        <w:rPr>
          <w:rFonts w:asciiTheme="majorBidi" w:hAnsiTheme="majorBidi" w:cstheme="majorBidi"/>
          <w:color w:val="FF0000"/>
          <w:sz w:val="24"/>
          <w:szCs w:val="22"/>
        </w:rPr>
        <w:t xml:space="preserve">37, </w:t>
      </w:r>
      <w:r>
        <w:rPr>
          <w:rFonts w:asciiTheme="majorBidi" w:hAnsiTheme="majorBidi" w:cstheme="majorBidi"/>
          <w:color w:val="FF0000"/>
          <w:sz w:val="24"/>
          <w:szCs w:val="22"/>
        </w:rPr>
        <w:t>4.</w:t>
      </w:r>
      <w:r w:rsidRPr="00067D8A">
        <w:rPr>
          <w:rFonts w:asciiTheme="majorBidi" w:hAnsiTheme="majorBidi" w:cstheme="majorBidi"/>
          <w:color w:val="FF0000"/>
          <w:sz w:val="24"/>
          <w:szCs w:val="22"/>
        </w:rPr>
        <w:t xml:space="preserve">49, </w:t>
      </w:r>
      <w:r>
        <w:rPr>
          <w:rFonts w:asciiTheme="majorBidi" w:hAnsiTheme="majorBidi" w:cstheme="majorBidi"/>
          <w:color w:val="FF0000"/>
          <w:sz w:val="24"/>
          <w:szCs w:val="22"/>
        </w:rPr>
        <w:t>4.</w:t>
      </w:r>
      <w:r w:rsidRPr="00067D8A">
        <w:rPr>
          <w:rFonts w:asciiTheme="majorBidi" w:hAnsiTheme="majorBidi" w:cstheme="majorBidi"/>
          <w:color w:val="FF0000"/>
          <w:sz w:val="24"/>
          <w:szCs w:val="22"/>
        </w:rPr>
        <w:t xml:space="preserve">50, </w:t>
      </w:r>
      <w:r>
        <w:rPr>
          <w:rFonts w:asciiTheme="majorBidi" w:hAnsiTheme="majorBidi" w:cstheme="majorBidi"/>
          <w:color w:val="FF0000"/>
          <w:sz w:val="24"/>
          <w:szCs w:val="22"/>
        </w:rPr>
        <w:t>4.</w:t>
      </w:r>
      <w:r w:rsidRPr="00067D8A">
        <w:rPr>
          <w:rFonts w:asciiTheme="majorBidi" w:hAnsiTheme="majorBidi" w:cstheme="majorBidi"/>
          <w:color w:val="FF0000"/>
          <w:sz w:val="24"/>
          <w:szCs w:val="22"/>
        </w:rPr>
        <w:t>51</w:t>
      </w:r>
      <w:r w:rsidRPr="00067D8A">
        <w:rPr>
          <w:rFonts w:asciiTheme="majorBidi" w:hAnsiTheme="majorBidi" w:cstheme="majorBidi"/>
          <w:sz w:val="24"/>
          <w:szCs w:val="22"/>
        </w:rPr>
        <w:t xml:space="preserve">). These structures were erected directly on virgin soil and consisted of two thick parallel walls of </w:t>
      </w:r>
      <w:r w:rsidR="00BA11F4">
        <w:rPr>
          <w:rFonts w:asciiTheme="majorBidi" w:hAnsiTheme="majorBidi" w:cstheme="majorBidi"/>
          <w:sz w:val="24"/>
          <w:szCs w:val="22"/>
        </w:rPr>
        <w:t>mud-</w:t>
      </w:r>
      <w:r w:rsidRPr="00067D8A">
        <w:rPr>
          <w:rFonts w:asciiTheme="majorBidi" w:hAnsiTheme="majorBidi" w:cstheme="majorBidi"/>
          <w:sz w:val="24"/>
          <w:szCs w:val="22"/>
        </w:rPr>
        <w:t xml:space="preserve">brick resting on foundations of stone and clay. </w:t>
      </w:r>
      <w:r w:rsidRPr="00BA11F4">
        <w:rPr>
          <w:rFonts w:asciiTheme="majorBidi" w:hAnsiTheme="majorBidi" w:cstheme="majorBidi"/>
          <w:color w:val="auto"/>
          <w:sz w:val="24"/>
          <w:szCs w:val="22"/>
        </w:rPr>
        <w:t xml:space="preserve">Regularly spaced rectangular projecting buttresses characterised </w:t>
      </w:r>
      <w:r w:rsidRPr="00067D8A">
        <w:rPr>
          <w:rFonts w:asciiTheme="majorBidi" w:hAnsiTheme="majorBidi" w:cstheme="majorBidi"/>
          <w:sz w:val="24"/>
          <w:szCs w:val="22"/>
        </w:rPr>
        <w:t xml:space="preserve">the exterior wall while the interior separating the two walls was divided into small rooms. The floors of these rooms had been raised significantly above the level of the exterior living surfaces. The frequency of stairways associated with these rooms indicate that access to either the roof or an upper storey was of </w:t>
      </w:r>
      <w:r w:rsidRPr="00BA11F4">
        <w:rPr>
          <w:rFonts w:asciiTheme="majorBidi" w:hAnsiTheme="majorBidi" w:cstheme="majorBidi"/>
          <w:color w:val="auto"/>
          <w:sz w:val="24"/>
          <w:szCs w:val="22"/>
        </w:rPr>
        <w:t xml:space="preserve">some importance. This arrangement is </w:t>
      </w:r>
      <w:r w:rsidR="00BA11F4" w:rsidRPr="00BA11F4">
        <w:rPr>
          <w:rFonts w:asciiTheme="majorBidi" w:hAnsiTheme="majorBidi" w:cstheme="majorBidi"/>
          <w:color w:val="auto"/>
          <w:sz w:val="24"/>
          <w:szCs w:val="22"/>
        </w:rPr>
        <w:t xml:space="preserve">seen in Oxus Civilisation architecture, and is also </w:t>
      </w:r>
      <w:r w:rsidRPr="00BA11F4">
        <w:rPr>
          <w:rFonts w:asciiTheme="majorBidi" w:hAnsiTheme="majorBidi" w:cstheme="majorBidi"/>
          <w:color w:val="auto"/>
          <w:sz w:val="24"/>
          <w:szCs w:val="22"/>
        </w:rPr>
        <w:t xml:space="preserve">similar to the later Achaemenid ramparts at Kandahar, where the ‘rooms’ </w:t>
      </w:r>
      <w:r w:rsidR="009A25A1">
        <w:rPr>
          <w:rFonts w:asciiTheme="majorBidi" w:hAnsiTheme="majorBidi" w:cstheme="majorBidi"/>
          <w:color w:val="auto"/>
          <w:sz w:val="24"/>
          <w:szCs w:val="22"/>
        </w:rPr>
        <w:t>we</w:t>
      </w:r>
      <w:r w:rsidRPr="00BA11F4">
        <w:rPr>
          <w:rFonts w:asciiTheme="majorBidi" w:hAnsiTheme="majorBidi" w:cstheme="majorBidi"/>
          <w:color w:val="auto"/>
          <w:sz w:val="24"/>
          <w:szCs w:val="22"/>
        </w:rPr>
        <w:t>re interpreted as casemates.</w:t>
      </w:r>
      <w:r w:rsidRPr="00BA11F4">
        <w:rPr>
          <w:rStyle w:val="EndnoteReference"/>
          <w:rFonts w:asciiTheme="majorBidi" w:hAnsiTheme="majorBidi" w:cstheme="majorBidi"/>
          <w:color w:val="auto"/>
          <w:sz w:val="24"/>
          <w:szCs w:val="22"/>
        </w:rPr>
        <w:endnoteReference w:id="30"/>
      </w:r>
      <w:r w:rsidRPr="00BA11F4">
        <w:rPr>
          <w:rFonts w:asciiTheme="majorBidi" w:hAnsiTheme="majorBidi" w:cstheme="majorBidi"/>
          <w:color w:val="auto"/>
          <w:sz w:val="24"/>
          <w:szCs w:val="22"/>
        </w:rPr>
        <w:t xml:space="preserve"> Two completely separate examples of such enclosing walls were defined west of Mound A </w:t>
      </w:r>
      <w:r>
        <w:rPr>
          <w:rFonts w:asciiTheme="majorBidi" w:hAnsiTheme="majorBidi" w:cstheme="majorBidi"/>
          <w:color w:val="FF0000"/>
          <w:sz w:val="24"/>
          <w:szCs w:val="22"/>
        </w:rPr>
        <w:t>(Fig. 4.37)</w:t>
      </w:r>
      <w:r w:rsidRPr="00067D8A">
        <w:rPr>
          <w:rFonts w:asciiTheme="majorBidi" w:hAnsiTheme="majorBidi" w:cstheme="majorBidi"/>
          <w:sz w:val="24"/>
          <w:szCs w:val="22"/>
        </w:rPr>
        <w:t>. The nearest, and most extensively excavated example</w:t>
      </w:r>
      <w:r>
        <w:rPr>
          <w:rFonts w:asciiTheme="majorBidi" w:hAnsiTheme="majorBidi" w:cstheme="majorBidi"/>
          <w:sz w:val="24"/>
          <w:szCs w:val="22"/>
        </w:rPr>
        <w:t xml:space="preserve"> </w:t>
      </w:r>
      <w:r>
        <w:rPr>
          <w:rFonts w:asciiTheme="majorBidi" w:hAnsiTheme="majorBidi" w:cstheme="majorBidi"/>
          <w:color w:val="FF0000"/>
          <w:sz w:val="24"/>
          <w:szCs w:val="22"/>
        </w:rPr>
        <w:t>(Fig. 4.49)</w:t>
      </w:r>
      <w:r w:rsidRPr="00067D8A">
        <w:rPr>
          <w:rFonts w:asciiTheme="majorBidi" w:hAnsiTheme="majorBidi" w:cstheme="majorBidi"/>
          <w:sz w:val="24"/>
          <w:szCs w:val="22"/>
        </w:rPr>
        <w:t xml:space="preserve">, </w:t>
      </w:r>
      <w:r w:rsidR="009A25A1">
        <w:rPr>
          <w:rFonts w:asciiTheme="majorBidi" w:hAnsiTheme="majorBidi" w:cstheme="majorBidi"/>
          <w:sz w:val="24"/>
          <w:szCs w:val="22"/>
        </w:rPr>
        <w:t>wa</w:t>
      </w:r>
      <w:r w:rsidRPr="00067D8A">
        <w:rPr>
          <w:rFonts w:asciiTheme="majorBidi" w:hAnsiTheme="majorBidi" w:cstheme="majorBidi"/>
          <w:sz w:val="24"/>
          <w:szCs w:val="22"/>
        </w:rPr>
        <w:t xml:space="preserve">s about 100 m away while </w:t>
      </w:r>
      <w:r w:rsidR="009A25A1">
        <w:rPr>
          <w:rFonts w:asciiTheme="majorBidi" w:hAnsiTheme="majorBidi" w:cstheme="majorBidi"/>
          <w:sz w:val="24"/>
          <w:szCs w:val="22"/>
        </w:rPr>
        <w:t xml:space="preserve">the </w:t>
      </w:r>
      <w:r w:rsidRPr="00067D8A">
        <w:rPr>
          <w:rFonts w:asciiTheme="majorBidi" w:hAnsiTheme="majorBidi" w:cstheme="majorBidi"/>
          <w:sz w:val="24"/>
          <w:szCs w:val="22"/>
        </w:rPr>
        <w:t>second example was 150 m away parallel to the first</w:t>
      </w:r>
      <w:r>
        <w:rPr>
          <w:rFonts w:asciiTheme="majorBidi" w:hAnsiTheme="majorBidi" w:cstheme="majorBidi"/>
          <w:sz w:val="24"/>
          <w:szCs w:val="22"/>
        </w:rPr>
        <w:t xml:space="preserve"> </w:t>
      </w:r>
      <w:r w:rsidRPr="00D34785">
        <w:rPr>
          <w:rFonts w:asciiTheme="majorBidi" w:hAnsiTheme="majorBidi" w:cstheme="majorBidi"/>
          <w:color w:val="FF0000"/>
          <w:sz w:val="24"/>
          <w:szCs w:val="22"/>
        </w:rPr>
        <w:t>(Fig. 4.50)</w:t>
      </w:r>
      <w:r w:rsidRPr="00067D8A">
        <w:rPr>
          <w:rFonts w:asciiTheme="majorBidi" w:hAnsiTheme="majorBidi" w:cstheme="majorBidi"/>
          <w:sz w:val="24"/>
          <w:szCs w:val="22"/>
        </w:rPr>
        <w:t>. Both examples were orientated in the same cardinal directions as the walls of the ‘palace’ and the terrace walls of Mound A. The wall nearest Mound A was located on a natural elevation significantly higher than the second wall, which would have contributed greatly to the overall terraced, or stepped, profile that the entire settlement was now assuming.</w:t>
      </w:r>
    </w:p>
    <w:p w14:paraId="2E609045" w14:textId="6A3A04E1" w:rsidR="0030226C" w:rsidRPr="00067D8A" w:rsidRDefault="0030226C" w:rsidP="006D141B">
      <w:pPr>
        <w:pStyle w:val="BodyTextIndent"/>
        <w:rPr>
          <w:rFonts w:asciiTheme="majorBidi" w:hAnsiTheme="majorBidi" w:cstheme="majorBidi"/>
          <w:sz w:val="24"/>
          <w:szCs w:val="22"/>
        </w:rPr>
      </w:pPr>
      <w:r w:rsidRPr="00067D8A">
        <w:rPr>
          <w:rFonts w:asciiTheme="majorBidi" w:hAnsiTheme="majorBidi" w:cstheme="majorBidi"/>
          <w:sz w:val="24"/>
          <w:szCs w:val="22"/>
        </w:rPr>
        <w:lastRenderedPageBreak/>
        <w:t xml:space="preserve">The easternmost extent of these walls is unknown, but it is reasonably certain that they incorporated at least Mound A and possibly Mound G, with its ‘temple’ structure (Figs </w:t>
      </w:r>
      <w:r w:rsidR="005B52A9">
        <w:rPr>
          <w:rFonts w:asciiTheme="majorBidi" w:hAnsiTheme="majorBidi" w:cstheme="majorBidi"/>
          <w:color w:val="FF0000"/>
          <w:sz w:val="24"/>
          <w:szCs w:val="22"/>
        </w:rPr>
        <w:t>4.</w:t>
      </w:r>
      <w:r w:rsidRPr="00067D8A">
        <w:rPr>
          <w:rFonts w:asciiTheme="majorBidi" w:hAnsiTheme="majorBidi" w:cstheme="majorBidi"/>
          <w:color w:val="FF0000"/>
          <w:sz w:val="24"/>
          <w:szCs w:val="22"/>
        </w:rPr>
        <w:t xml:space="preserve">37, </w:t>
      </w:r>
      <w:r w:rsidR="005B52A9">
        <w:rPr>
          <w:rFonts w:asciiTheme="majorBidi" w:hAnsiTheme="majorBidi" w:cstheme="majorBidi"/>
          <w:color w:val="FF0000"/>
          <w:sz w:val="24"/>
          <w:szCs w:val="22"/>
        </w:rPr>
        <w:t>4.</w:t>
      </w:r>
      <w:r w:rsidRPr="00067D8A">
        <w:rPr>
          <w:rFonts w:asciiTheme="majorBidi" w:hAnsiTheme="majorBidi" w:cstheme="majorBidi"/>
          <w:color w:val="FF0000"/>
          <w:sz w:val="24"/>
          <w:szCs w:val="22"/>
        </w:rPr>
        <w:t>51</w:t>
      </w:r>
      <w:r w:rsidRPr="00067D8A">
        <w:rPr>
          <w:rFonts w:asciiTheme="majorBidi" w:hAnsiTheme="majorBidi" w:cstheme="majorBidi"/>
          <w:sz w:val="24"/>
          <w:szCs w:val="22"/>
        </w:rPr>
        <w:t>).</w:t>
      </w:r>
      <w:r w:rsidR="00474B63">
        <w:rPr>
          <w:rStyle w:val="EndnoteReference"/>
          <w:rFonts w:asciiTheme="majorBidi" w:hAnsiTheme="majorBidi" w:cstheme="majorBidi"/>
          <w:sz w:val="24"/>
          <w:szCs w:val="22"/>
        </w:rPr>
        <w:endnoteReference w:id="31"/>
      </w:r>
      <w:r w:rsidRPr="00067D8A">
        <w:rPr>
          <w:rFonts w:asciiTheme="majorBidi" w:hAnsiTheme="majorBidi" w:cstheme="majorBidi"/>
          <w:sz w:val="24"/>
          <w:szCs w:val="22"/>
        </w:rPr>
        <w:t xml:space="preserve"> At both corners bastion-like structures were found, constructed in the same architectural style as the walls. The south bastion was a simple rectangular room with exterior buttresses </w:t>
      </w:r>
      <w:r w:rsidR="006D141B">
        <w:rPr>
          <w:rFonts w:asciiTheme="majorBidi" w:hAnsiTheme="majorBidi" w:cstheme="majorBidi"/>
          <w:sz w:val="24"/>
          <w:szCs w:val="22"/>
        </w:rPr>
        <w:t>(</w:t>
      </w:r>
      <w:r w:rsidR="006D141B">
        <w:rPr>
          <w:rFonts w:asciiTheme="majorBidi" w:hAnsiTheme="majorBidi" w:cstheme="majorBidi"/>
          <w:color w:val="FF0000"/>
          <w:sz w:val="24"/>
          <w:szCs w:val="22"/>
        </w:rPr>
        <w:t xml:space="preserve">Fig. 4.50) </w:t>
      </w:r>
      <w:r w:rsidRPr="00067D8A">
        <w:rPr>
          <w:rFonts w:asciiTheme="majorBidi" w:hAnsiTheme="majorBidi" w:cstheme="majorBidi"/>
          <w:sz w:val="24"/>
          <w:szCs w:val="22"/>
        </w:rPr>
        <w:t xml:space="preserve">whereas </w:t>
      </w:r>
      <w:r w:rsidRPr="00BA11F4">
        <w:rPr>
          <w:rFonts w:asciiTheme="majorBidi" w:hAnsiTheme="majorBidi" w:cstheme="majorBidi"/>
          <w:color w:val="auto"/>
          <w:sz w:val="24"/>
          <w:szCs w:val="22"/>
        </w:rPr>
        <w:t xml:space="preserve">the northern </w:t>
      </w:r>
      <w:r w:rsidR="006D141B" w:rsidRPr="00BA11F4">
        <w:rPr>
          <w:rFonts w:asciiTheme="majorBidi" w:hAnsiTheme="majorBidi" w:cstheme="majorBidi"/>
          <w:color w:val="auto"/>
          <w:sz w:val="24"/>
          <w:szCs w:val="22"/>
        </w:rPr>
        <w:t xml:space="preserve">bastion </w:t>
      </w:r>
      <w:r w:rsidRPr="00BA11F4">
        <w:rPr>
          <w:rFonts w:asciiTheme="majorBidi" w:hAnsiTheme="majorBidi" w:cstheme="majorBidi"/>
          <w:color w:val="auto"/>
          <w:sz w:val="24"/>
          <w:szCs w:val="22"/>
        </w:rPr>
        <w:t xml:space="preserve">was divided </w:t>
      </w:r>
      <w:r w:rsidRPr="00067D8A">
        <w:rPr>
          <w:rFonts w:asciiTheme="majorBidi" w:hAnsiTheme="majorBidi" w:cstheme="majorBidi"/>
          <w:sz w:val="24"/>
          <w:szCs w:val="22"/>
        </w:rPr>
        <w:t>into four inner rooms, and was possibly two stories high</w:t>
      </w:r>
      <w:r w:rsidR="006D141B">
        <w:rPr>
          <w:rFonts w:asciiTheme="majorBidi" w:hAnsiTheme="majorBidi" w:cstheme="majorBidi"/>
          <w:sz w:val="24"/>
          <w:szCs w:val="22"/>
        </w:rPr>
        <w:t xml:space="preserve"> </w:t>
      </w:r>
      <w:r w:rsidR="006D141B">
        <w:rPr>
          <w:rFonts w:asciiTheme="majorBidi" w:hAnsiTheme="majorBidi" w:cstheme="majorBidi"/>
          <w:color w:val="FF0000"/>
          <w:sz w:val="24"/>
          <w:szCs w:val="22"/>
        </w:rPr>
        <w:t>(Fig. 4.49)</w:t>
      </w:r>
      <w:r w:rsidRPr="00067D8A">
        <w:rPr>
          <w:rFonts w:asciiTheme="majorBidi" w:hAnsiTheme="majorBidi" w:cstheme="majorBidi"/>
          <w:sz w:val="24"/>
          <w:szCs w:val="22"/>
        </w:rPr>
        <w:t>.</w:t>
      </w:r>
      <w:r w:rsidR="00474B63">
        <w:rPr>
          <w:rStyle w:val="EndnoteReference"/>
          <w:rFonts w:asciiTheme="majorBidi" w:hAnsiTheme="majorBidi" w:cstheme="majorBidi"/>
          <w:sz w:val="24"/>
          <w:szCs w:val="22"/>
        </w:rPr>
        <w:endnoteReference w:id="32"/>
      </w:r>
      <w:r w:rsidRPr="00067D8A">
        <w:rPr>
          <w:rFonts w:asciiTheme="majorBidi" w:hAnsiTheme="majorBidi" w:cstheme="majorBidi"/>
          <w:sz w:val="24"/>
          <w:szCs w:val="22"/>
        </w:rPr>
        <w:t xml:space="preserve"> Similar one room bastion-like structures were located two metres to the east along the exterior face of both west-east walls, and a similar but completely separate bastion-like </w:t>
      </w:r>
      <w:r w:rsidRPr="00BA11F4">
        <w:rPr>
          <w:rFonts w:asciiTheme="majorBidi" w:hAnsiTheme="majorBidi" w:cstheme="majorBidi"/>
          <w:color w:val="auto"/>
          <w:sz w:val="24"/>
          <w:szCs w:val="22"/>
        </w:rPr>
        <w:t xml:space="preserve">structure </w:t>
      </w:r>
      <w:r w:rsidR="006D141B" w:rsidRPr="00BA11F4">
        <w:rPr>
          <w:rFonts w:asciiTheme="majorBidi" w:hAnsiTheme="majorBidi" w:cstheme="majorBidi"/>
          <w:color w:val="auto"/>
          <w:sz w:val="24"/>
          <w:szCs w:val="22"/>
        </w:rPr>
        <w:t xml:space="preserve">or ‘barbican’ </w:t>
      </w:r>
      <w:r w:rsidRPr="00BA11F4">
        <w:rPr>
          <w:rFonts w:asciiTheme="majorBidi" w:hAnsiTheme="majorBidi" w:cstheme="majorBidi"/>
          <w:color w:val="auto"/>
          <w:sz w:val="24"/>
          <w:szCs w:val="22"/>
        </w:rPr>
        <w:t xml:space="preserve">was </w:t>
      </w:r>
      <w:r w:rsidRPr="00067D8A">
        <w:rPr>
          <w:rFonts w:asciiTheme="majorBidi" w:hAnsiTheme="majorBidi" w:cstheme="majorBidi"/>
          <w:sz w:val="24"/>
          <w:szCs w:val="22"/>
        </w:rPr>
        <w:t>found north of the north-west corner bastion. Abutting this bastion was another perpendicular enclosing wall which presumably extend</w:t>
      </w:r>
      <w:r w:rsidR="009A25A1">
        <w:rPr>
          <w:rFonts w:asciiTheme="majorBidi" w:hAnsiTheme="majorBidi" w:cstheme="majorBidi"/>
          <w:sz w:val="24"/>
          <w:szCs w:val="22"/>
        </w:rPr>
        <w:t>ed</w:t>
      </w:r>
      <w:r w:rsidRPr="00067D8A">
        <w:rPr>
          <w:rFonts w:asciiTheme="majorBidi" w:hAnsiTheme="majorBidi" w:cstheme="majorBidi"/>
          <w:sz w:val="24"/>
          <w:szCs w:val="22"/>
        </w:rPr>
        <w:t xml:space="preserve"> westward until it join</w:t>
      </w:r>
      <w:r w:rsidR="009A25A1">
        <w:rPr>
          <w:rFonts w:asciiTheme="majorBidi" w:hAnsiTheme="majorBidi" w:cstheme="majorBidi"/>
          <w:sz w:val="24"/>
          <w:szCs w:val="22"/>
        </w:rPr>
        <w:t>ed</w:t>
      </w:r>
      <w:r w:rsidRPr="00067D8A">
        <w:rPr>
          <w:rFonts w:asciiTheme="majorBidi" w:hAnsiTheme="majorBidi" w:cstheme="majorBidi"/>
          <w:sz w:val="24"/>
          <w:szCs w:val="22"/>
        </w:rPr>
        <w:t xml:space="preserve"> the most western north–south wall.</w:t>
      </w:r>
    </w:p>
    <w:p w14:paraId="498B69E7" w14:textId="77777777" w:rsidR="0030226C" w:rsidRPr="00067D8A" w:rsidRDefault="0030226C" w:rsidP="00474B63">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Excavations in areas adjacent to these walls and bastions </w:t>
      </w:r>
      <w:r w:rsidRPr="00BA11F4">
        <w:rPr>
          <w:rFonts w:asciiTheme="majorBidi" w:hAnsiTheme="majorBidi" w:cstheme="majorBidi"/>
          <w:color w:val="auto"/>
          <w:sz w:val="24"/>
          <w:szCs w:val="22"/>
        </w:rPr>
        <w:t xml:space="preserve">disclosed </w:t>
      </w:r>
      <w:r w:rsidR="00474B63" w:rsidRPr="00BA11F4">
        <w:rPr>
          <w:rFonts w:asciiTheme="majorBidi" w:hAnsiTheme="majorBidi" w:cstheme="majorBidi"/>
          <w:color w:val="auto"/>
          <w:sz w:val="24"/>
          <w:szCs w:val="22"/>
        </w:rPr>
        <w:t>many</w:t>
      </w:r>
      <w:r w:rsidRPr="00BA11F4">
        <w:rPr>
          <w:rFonts w:asciiTheme="majorBidi" w:hAnsiTheme="majorBidi" w:cstheme="majorBidi"/>
          <w:color w:val="auto"/>
          <w:sz w:val="24"/>
          <w:szCs w:val="22"/>
        </w:rPr>
        <w:t xml:space="preserve"> more </w:t>
      </w:r>
      <w:r w:rsidRPr="00067D8A">
        <w:rPr>
          <w:rFonts w:asciiTheme="majorBidi" w:hAnsiTheme="majorBidi" w:cstheme="majorBidi"/>
          <w:sz w:val="24"/>
          <w:szCs w:val="22"/>
        </w:rPr>
        <w:t>typical house-like structures. There was no apparent organisation to these structures other than that dictated by the proximity of the large walls. These structures were characterised by numerous habitation type features such as interior hearths. In the area of the north-west corner bastions several different styles of ovens (oval, circular, rectangular, single and multi-chambered) were found suggesting that this might have been an industrial area. In the same area were also several examples of drains. The limited excavations on Mound C, between Mounds A and B, suggest that the area enclosed by these large walls was densely occupied.</w:t>
      </w:r>
    </w:p>
    <w:p w14:paraId="046A9DA9" w14:textId="11B61E0C" w:rsidR="0030226C" w:rsidRPr="00067D8A" w:rsidRDefault="00474B63" w:rsidP="0030226C">
      <w:pPr>
        <w:pStyle w:val="BodyTextIndent"/>
        <w:rPr>
          <w:rFonts w:asciiTheme="majorBidi" w:hAnsiTheme="majorBidi" w:cstheme="majorBidi"/>
          <w:sz w:val="24"/>
          <w:szCs w:val="22"/>
        </w:rPr>
      </w:pPr>
      <w:r w:rsidRPr="00BA11F4">
        <w:rPr>
          <w:rFonts w:asciiTheme="majorBidi" w:hAnsiTheme="majorBidi" w:cstheme="majorBidi"/>
          <w:color w:val="auto"/>
          <w:sz w:val="24"/>
          <w:szCs w:val="22"/>
        </w:rPr>
        <w:t>On</w:t>
      </w:r>
      <w:r w:rsidR="0030226C" w:rsidRPr="00BA11F4">
        <w:rPr>
          <w:rFonts w:asciiTheme="majorBidi" w:hAnsiTheme="majorBidi" w:cstheme="majorBidi"/>
          <w:color w:val="auto"/>
          <w:sz w:val="24"/>
          <w:szCs w:val="22"/>
        </w:rPr>
        <w:t xml:space="preserve"> </w:t>
      </w:r>
      <w:r w:rsidR="0030226C" w:rsidRPr="00067D8A">
        <w:rPr>
          <w:rFonts w:asciiTheme="majorBidi" w:hAnsiTheme="majorBidi" w:cstheme="majorBidi"/>
          <w:sz w:val="24"/>
          <w:szCs w:val="22"/>
        </w:rPr>
        <w:t xml:space="preserve">Mound G excavations revealed a large monumental structure referred to by Casal as a ‘temple’ (Figs </w:t>
      </w:r>
      <w:r w:rsidR="005B52A9">
        <w:rPr>
          <w:rFonts w:asciiTheme="majorBidi" w:hAnsiTheme="majorBidi" w:cstheme="majorBidi"/>
          <w:sz w:val="24"/>
          <w:szCs w:val="22"/>
        </w:rPr>
        <w:t>4.</w:t>
      </w:r>
      <w:r w:rsidR="0030226C" w:rsidRPr="00067D8A">
        <w:rPr>
          <w:rFonts w:asciiTheme="majorBidi" w:hAnsiTheme="majorBidi" w:cstheme="majorBidi"/>
          <w:color w:val="FF0000"/>
          <w:sz w:val="24"/>
          <w:szCs w:val="22"/>
        </w:rPr>
        <w:t>51</w:t>
      </w:r>
      <w:r w:rsidR="0030226C" w:rsidRPr="00067D8A">
        <w:rPr>
          <w:rFonts w:asciiTheme="majorBidi" w:hAnsiTheme="majorBidi" w:cstheme="majorBidi"/>
          <w:sz w:val="24"/>
          <w:szCs w:val="22"/>
        </w:rPr>
        <w:t>).</w:t>
      </w:r>
      <w:r>
        <w:rPr>
          <w:rStyle w:val="EndnoteReference"/>
          <w:rFonts w:asciiTheme="majorBidi" w:hAnsiTheme="majorBidi" w:cstheme="majorBidi"/>
          <w:sz w:val="24"/>
          <w:szCs w:val="22"/>
        </w:rPr>
        <w:endnoteReference w:id="33"/>
      </w:r>
      <w:r w:rsidR="0030226C" w:rsidRPr="00067D8A">
        <w:rPr>
          <w:rFonts w:asciiTheme="majorBidi" w:hAnsiTheme="majorBidi" w:cstheme="majorBidi"/>
          <w:sz w:val="24"/>
          <w:szCs w:val="22"/>
        </w:rPr>
        <w:t xml:space="preserve"> This structure had an orientation parallel to that of the ‘palace’ and was in a direct west-east line with it. The structure was built mostly on virgin soil and in a technique similar to that of the enclosing walls. Unfortunately, the southern part was heavily eroded, but there is no reason to believe that it differed significantly from the excavated portion. Two massive </w:t>
      </w:r>
      <w:r w:rsidR="0030226C" w:rsidRPr="00BA11F4">
        <w:rPr>
          <w:rFonts w:asciiTheme="majorBidi" w:hAnsiTheme="majorBidi" w:cstheme="majorBidi"/>
          <w:color w:val="auto"/>
          <w:sz w:val="24"/>
          <w:szCs w:val="22"/>
        </w:rPr>
        <w:t xml:space="preserve">parallel external walls formed the structure’s perimeter. The internal area between </w:t>
      </w:r>
      <w:r w:rsidR="0030226C" w:rsidRPr="00BA11F4">
        <w:rPr>
          <w:rFonts w:asciiTheme="majorBidi" w:hAnsiTheme="majorBidi" w:cstheme="majorBidi"/>
          <w:color w:val="auto"/>
          <w:sz w:val="24"/>
          <w:szCs w:val="22"/>
        </w:rPr>
        <w:lastRenderedPageBreak/>
        <w:t>these walls was divided into small rooms which were not used for habitation</w:t>
      </w:r>
      <w:r w:rsidRPr="00BA11F4">
        <w:rPr>
          <w:rFonts w:asciiTheme="majorBidi" w:hAnsiTheme="majorBidi" w:cstheme="majorBidi"/>
          <w:color w:val="auto"/>
          <w:sz w:val="24"/>
          <w:szCs w:val="22"/>
        </w:rPr>
        <w:t xml:space="preserve"> and probably served a purely structural function</w:t>
      </w:r>
      <w:r w:rsidR="0030226C" w:rsidRPr="00BA11F4">
        <w:rPr>
          <w:rFonts w:asciiTheme="majorBidi" w:hAnsiTheme="majorBidi" w:cstheme="majorBidi"/>
          <w:color w:val="auto"/>
          <w:sz w:val="24"/>
          <w:szCs w:val="22"/>
        </w:rPr>
        <w:t xml:space="preserve">. Massive projecting triangular buttresses were constructed </w:t>
      </w:r>
      <w:r w:rsidR="0030226C" w:rsidRPr="00067D8A">
        <w:rPr>
          <w:rFonts w:asciiTheme="majorBidi" w:hAnsiTheme="majorBidi" w:cstheme="majorBidi"/>
          <w:sz w:val="24"/>
          <w:szCs w:val="22"/>
        </w:rPr>
        <w:t xml:space="preserve">from </w:t>
      </w:r>
      <w:r w:rsidR="0030226C" w:rsidRPr="000526DA">
        <w:rPr>
          <w:rFonts w:asciiTheme="majorBidi" w:hAnsiTheme="majorBidi" w:cstheme="majorBidi"/>
          <w:sz w:val="24"/>
          <w:szCs w:val="22"/>
          <w:highlight w:val="yellow"/>
        </w:rPr>
        <w:t>fired</w:t>
      </w:r>
      <w:r w:rsidR="0030226C" w:rsidRPr="00067D8A">
        <w:rPr>
          <w:rFonts w:asciiTheme="majorBidi" w:hAnsiTheme="majorBidi" w:cstheme="majorBidi"/>
          <w:sz w:val="24"/>
          <w:szCs w:val="22"/>
        </w:rPr>
        <w:t xml:space="preserve"> brick along the external face of the perimeter walls</w:t>
      </w:r>
      <w:r w:rsidR="00B515C4">
        <w:rPr>
          <w:rFonts w:asciiTheme="majorBidi" w:hAnsiTheme="majorBidi" w:cstheme="majorBidi"/>
          <w:sz w:val="24"/>
          <w:szCs w:val="22"/>
        </w:rPr>
        <w:t xml:space="preserve"> </w:t>
      </w:r>
      <w:r w:rsidR="00B515C4">
        <w:rPr>
          <w:rFonts w:asciiTheme="majorBidi" w:hAnsiTheme="majorBidi" w:cstheme="majorBidi"/>
          <w:color w:val="FF0000"/>
          <w:sz w:val="24"/>
          <w:szCs w:val="22"/>
        </w:rPr>
        <w:t>(Fig. 4.00)</w:t>
      </w:r>
      <w:r w:rsidR="0030226C" w:rsidRPr="00067D8A">
        <w:rPr>
          <w:rFonts w:asciiTheme="majorBidi" w:hAnsiTheme="majorBidi" w:cstheme="majorBidi"/>
          <w:sz w:val="24"/>
          <w:szCs w:val="22"/>
        </w:rPr>
        <w:t>. Only one construction phase could be determined, and it, like the last rebuilding phase of the ‘palace’</w:t>
      </w:r>
      <w:r w:rsidR="00BA11F4">
        <w:rPr>
          <w:rFonts w:asciiTheme="majorBidi" w:hAnsiTheme="majorBidi" w:cstheme="majorBidi"/>
          <w:sz w:val="24"/>
          <w:szCs w:val="22"/>
        </w:rPr>
        <w:t>,</w:t>
      </w:r>
      <w:r w:rsidR="0030226C" w:rsidRPr="00067D8A">
        <w:rPr>
          <w:rFonts w:asciiTheme="majorBidi" w:hAnsiTheme="majorBidi" w:cstheme="majorBidi"/>
          <w:sz w:val="24"/>
          <w:szCs w:val="22"/>
        </w:rPr>
        <w:t xml:space="preserve"> demonstrates a high degree of organisation. No entrance was located, but it might have been in the eroded south wall. A large rectangular structure with its eastern two-thirds divided into small rooms dominates the centre of the ‘temple’. The western part of this building consists of a large open area or courtyard. Centrally located at the north end of this courtyard was a large basin </w:t>
      </w:r>
      <w:r w:rsidR="00BA11F4">
        <w:rPr>
          <w:rFonts w:asciiTheme="majorBidi" w:hAnsiTheme="majorBidi" w:cstheme="majorBidi"/>
          <w:sz w:val="24"/>
          <w:szCs w:val="22"/>
        </w:rPr>
        <w:t xml:space="preserve">that was </w:t>
      </w:r>
      <w:r w:rsidR="0030226C" w:rsidRPr="00067D8A">
        <w:rPr>
          <w:rFonts w:asciiTheme="majorBidi" w:hAnsiTheme="majorBidi" w:cstheme="majorBidi"/>
          <w:sz w:val="24"/>
          <w:szCs w:val="22"/>
        </w:rPr>
        <w:t>considerably elevated above the surrounding living surface. The immediate area was ash covered and located directly behind the basin was a ceramic drain which extended east-west between the main wall and smaller L-shaped wall associated with the interior building. This smaller wall formed the western boundary of a little chamber interpreted as representing a shrine complex. In the south-east corner was a large square rectangular masonry structure with white plastered benches. A similar bench was found along the east wall. In the centre of the chamber was a large rectangular hearth painted red with a small step on the west side. The rooms to the east were of various sizes and a few of them had interior hearths and other small features. Although there is nothing to indicate that this was a religious structure it certainly was not a habitation either. Whatever the function, it presents an interesting contrast to the rest of the site.</w:t>
      </w:r>
    </w:p>
    <w:p w14:paraId="092F0E9A" w14:textId="056AB908" w:rsidR="0030226C" w:rsidRPr="00BA11F4" w:rsidRDefault="001E1DEF" w:rsidP="000B3161">
      <w:pPr>
        <w:pStyle w:val="BodyTextIndent"/>
        <w:rPr>
          <w:rFonts w:asciiTheme="majorBidi" w:hAnsiTheme="majorBidi" w:cstheme="majorBidi"/>
          <w:color w:val="auto"/>
          <w:sz w:val="24"/>
          <w:szCs w:val="22"/>
        </w:rPr>
      </w:pPr>
      <w:r>
        <w:rPr>
          <w:rFonts w:asciiTheme="majorBidi" w:hAnsiTheme="majorBidi" w:cstheme="majorBidi"/>
          <w:sz w:val="24"/>
          <w:szCs w:val="22"/>
        </w:rPr>
        <w:t>Sub-Period</w:t>
      </w:r>
      <w:r w:rsidR="0030226C" w:rsidRPr="00BA11F4">
        <w:rPr>
          <w:rFonts w:asciiTheme="majorBidi" w:hAnsiTheme="majorBidi" w:cstheme="majorBidi"/>
          <w:sz w:val="24"/>
          <w:szCs w:val="22"/>
        </w:rPr>
        <w:t xml:space="preserve"> IV</w:t>
      </w:r>
      <w:r w:rsidR="0030226C" w:rsidRPr="00BA11F4">
        <w:rPr>
          <w:rFonts w:asciiTheme="majorBidi" w:hAnsiTheme="majorBidi" w:cstheme="majorBidi"/>
          <w:sz w:val="24"/>
          <w:szCs w:val="22"/>
          <w:vertAlign w:val="subscript"/>
        </w:rPr>
        <w:t>1</w:t>
      </w:r>
      <w:r w:rsidR="0030226C" w:rsidRPr="00BA11F4">
        <w:rPr>
          <w:rFonts w:asciiTheme="majorBidi" w:hAnsiTheme="majorBidi" w:cstheme="majorBidi"/>
          <w:sz w:val="24"/>
          <w:szCs w:val="22"/>
        </w:rPr>
        <w:t xml:space="preserve"> therefore demonstrates both continuity and change with the preceding Periods at</w:t>
      </w:r>
      <w:r w:rsidR="0030226C" w:rsidRPr="00067D8A">
        <w:rPr>
          <w:rFonts w:asciiTheme="majorBidi" w:hAnsiTheme="majorBidi" w:cstheme="majorBidi"/>
          <w:sz w:val="24"/>
          <w:szCs w:val="22"/>
        </w:rPr>
        <w:t xml:space="preserve"> Mundigak. Perhaps the most distinctive change was in the appearance of special function architecture (Figs </w:t>
      </w:r>
      <w:r w:rsidR="005B52A9">
        <w:rPr>
          <w:rFonts w:asciiTheme="majorBidi" w:hAnsiTheme="majorBidi" w:cstheme="majorBidi"/>
          <w:sz w:val="24"/>
          <w:szCs w:val="22"/>
        </w:rPr>
        <w:t>4.</w:t>
      </w:r>
      <w:r w:rsidR="0030226C" w:rsidRPr="00067D8A">
        <w:rPr>
          <w:rFonts w:asciiTheme="majorBidi" w:hAnsiTheme="majorBidi" w:cstheme="majorBidi"/>
          <w:color w:val="FF0000"/>
          <w:sz w:val="24"/>
          <w:szCs w:val="22"/>
        </w:rPr>
        <w:t>44</w:t>
      </w:r>
      <w:r w:rsidR="0030226C" w:rsidRPr="00067D8A">
        <w:rPr>
          <w:rFonts w:asciiTheme="majorBidi" w:hAnsiTheme="majorBidi" w:cstheme="majorBidi"/>
          <w:sz w:val="24"/>
          <w:szCs w:val="22"/>
        </w:rPr>
        <w:t xml:space="preserve">, </w:t>
      </w:r>
      <w:r w:rsidR="005B52A9">
        <w:rPr>
          <w:rFonts w:asciiTheme="majorBidi" w:hAnsiTheme="majorBidi" w:cstheme="majorBidi"/>
          <w:sz w:val="24"/>
          <w:szCs w:val="22"/>
        </w:rPr>
        <w:t>4.</w:t>
      </w:r>
      <w:r w:rsidR="0030226C" w:rsidRPr="00067D8A">
        <w:rPr>
          <w:rFonts w:asciiTheme="majorBidi" w:hAnsiTheme="majorBidi" w:cstheme="majorBidi"/>
          <w:color w:val="FF0000"/>
          <w:sz w:val="24"/>
          <w:szCs w:val="22"/>
        </w:rPr>
        <w:t>51</w:t>
      </w:r>
      <w:r w:rsidR="0030226C" w:rsidRPr="00067D8A">
        <w:rPr>
          <w:rFonts w:asciiTheme="majorBidi" w:hAnsiTheme="majorBidi" w:cstheme="majorBidi"/>
          <w:sz w:val="24"/>
          <w:szCs w:val="22"/>
        </w:rPr>
        <w:t xml:space="preserve">). While the specific function of the structures of </w:t>
      </w:r>
      <w:r>
        <w:rPr>
          <w:rFonts w:asciiTheme="majorBidi" w:hAnsiTheme="majorBidi" w:cstheme="majorBidi"/>
          <w:sz w:val="24"/>
          <w:szCs w:val="22"/>
        </w:rPr>
        <w:t>Sub-Period</w:t>
      </w:r>
      <w:r w:rsidR="0030226C" w:rsidRPr="00067D8A">
        <w:rPr>
          <w:rFonts w:asciiTheme="majorBidi" w:hAnsiTheme="majorBidi" w:cstheme="majorBidi"/>
          <w:sz w:val="24"/>
          <w:szCs w:val="22"/>
        </w:rPr>
        <w:t xml:space="preserve"> IV</w:t>
      </w:r>
      <w:r w:rsidR="0030226C" w:rsidRPr="00067D8A">
        <w:rPr>
          <w:rFonts w:asciiTheme="majorBidi" w:hAnsiTheme="majorBidi" w:cstheme="majorBidi"/>
          <w:sz w:val="24"/>
          <w:szCs w:val="22"/>
          <w:vertAlign w:val="subscript"/>
        </w:rPr>
        <w:t>1</w:t>
      </w:r>
      <w:r w:rsidR="0030226C" w:rsidRPr="00067D8A">
        <w:rPr>
          <w:rFonts w:asciiTheme="majorBidi" w:hAnsiTheme="majorBidi" w:cstheme="majorBidi"/>
          <w:sz w:val="24"/>
          <w:szCs w:val="22"/>
        </w:rPr>
        <w:t xml:space="preserve"> is </w:t>
      </w:r>
      <w:r w:rsidR="001B1D5E" w:rsidRPr="00BA11F4">
        <w:rPr>
          <w:rFonts w:asciiTheme="majorBidi" w:hAnsiTheme="majorBidi" w:cstheme="majorBidi"/>
          <w:color w:val="auto"/>
          <w:sz w:val="24"/>
          <w:szCs w:val="22"/>
        </w:rPr>
        <w:t>speculative</w:t>
      </w:r>
      <w:r w:rsidR="0030226C" w:rsidRPr="00BA11F4">
        <w:rPr>
          <w:rFonts w:asciiTheme="majorBidi" w:hAnsiTheme="majorBidi" w:cstheme="majorBidi"/>
          <w:color w:val="auto"/>
          <w:sz w:val="24"/>
          <w:szCs w:val="22"/>
        </w:rPr>
        <w:t xml:space="preserve">, they clearly represent a monumental remodelling of the settlement, and this would </w:t>
      </w:r>
      <w:r w:rsidR="0030226C" w:rsidRPr="00067D8A">
        <w:rPr>
          <w:rFonts w:asciiTheme="majorBidi" w:hAnsiTheme="majorBidi" w:cstheme="majorBidi"/>
          <w:sz w:val="24"/>
          <w:szCs w:val="22"/>
        </w:rPr>
        <w:t xml:space="preserve">presumably only have been possible as a result of specific transformations in the socio-economy of the inhabitants, which may </w:t>
      </w:r>
      <w:r w:rsidR="0030226C" w:rsidRPr="00BA11F4">
        <w:rPr>
          <w:rFonts w:asciiTheme="majorBidi" w:hAnsiTheme="majorBidi" w:cstheme="majorBidi"/>
          <w:color w:val="auto"/>
          <w:sz w:val="24"/>
          <w:szCs w:val="22"/>
        </w:rPr>
        <w:t xml:space="preserve">indicate an increase in inequality and </w:t>
      </w:r>
      <w:r w:rsidR="0030226C" w:rsidRPr="00BA11F4">
        <w:rPr>
          <w:rFonts w:asciiTheme="majorBidi" w:hAnsiTheme="majorBidi" w:cstheme="majorBidi"/>
          <w:color w:val="auto"/>
          <w:sz w:val="24"/>
          <w:szCs w:val="22"/>
        </w:rPr>
        <w:lastRenderedPageBreak/>
        <w:t xml:space="preserve">complexity. </w:t>
      </w:r>
      <w:r w:rsidR="009E76BE" w:rsidRPr="00BA11F4">
        <w:rPr>
          <w:rFonts w:asciiTheme="majorBidi" w:hAnsiTheme="majorBidi" w:cstheme="majorBidi"/>
          <w:color w:val="auto"/>
          <w:sz w:val="24"/>
          <w:szCs w:val="22"/>
        </w:rPr>
        <w:t xml:space="preserve">This </w:t>
      </w:r>
      <w:r w:rsidR="00BA11F4" w:rsidRPr="00BA11F4">
        <w:rPr>
          <w:rFonts w:asciiTheme="majorBidi" w:hAnsiTheme="majorBidi" w:cstheme="majorBidi"/>
          <w:color w:val="auto"/>
          <w:sz w:val="24"/>
          <w:szCs w:val="22"/>
        </w:rPr>
        <w:t xml:space="preserve">suggestion </w:t>
      </w:r>
      <w:r w:rsidR="009E76BE" w:rsidRPr="00BA11F4">
        <w:rPr>
          <w:rFonts w:asciiTheme="majorBidi" w:hAnsiTheme="majorBidi" w:cstheme="majorBidi"/>
          <w:color w:val="auto"/>
          <w:sz w:val="24"/>
          <w:szCs w:val="22"/>
        </w:rPr>
        <w:t xml:space="preserve">is reinforced by </w:t>
      </w:r>
      <w:r w:rsidR="00BA11F4" w:rsidRPr="00BA11F4">
        <w:rPr>
          <w:rFonts w:asciiTheme="majorBidi" w:hAnsiTheme="majorBidi" w:cstheme="majorBidi"/>
          <w:color w:val="auto"/>
          <w:sz w:val="24"/>
          <w:szCs w:val="22"/>
        </w:rPr>
        <w:t xml:space="preserve">the </w:t>
      </w:r>
      <w:r w:rsidR="002C4577" w:rsidRPr="00BA11F4">
        <w:rPr>
          <w:rFonts w:asciiTheme="majorBidi" w:hAnsiTheme="majorBidi" w:cstheme="majorBidi"/>
          <w:color w:val="auto"/>
          <w:sz w:val="24"/>
          <w:szCs w:val="22"/>
        </w:rPr>
        <w:t>enclosing</w:t>
      </w:r>
      <w:r w:rsidR="009E76BE" w:rsidRPr="00BA11F4">
        <w:rPr>
          <w:rFonts w:asciiTheme="majorBidi" w:hAnsiTheme="majorBidi" w:cstheme="majorBidi"/>
          <w:color w:val="auto"/>
          <w:sz w:val="24"/>
          <w:szCs w:val="22"/>
        </w:rPr>
        <w:t xml:space="preserve"> </w:t>
      </w:r>
      <w:r w:rsidR="00BA11F4" w:rsidRPr="00BA11F4">
        <w:rPr>
          <w:rFonts w:asciiTheme="majorBidi" w:hAnsiTheme="majorBidi" w:cstheme="majorBidi"/>
          <w:color w:val="auto"/>
          <w:sz w:val="24"/>
          <w:szCs w:val="22"/>
        </w:rPr>
        <w:t xml:space="preserve">of </w:t>
      </w:r>
      <w:r w:rsidR="009E76BE" w:rsidRPr="00BA11F4">
        <w:rPr>
          <w:rFonts w:asciiTheme="majorBidi" w:hAnsiTheme="majorBidi" w:cstheme="majorBidi"/>
          <w:color w:val="auto"/>
          <w:sz w:val="24"/>
          <w:szCs w:val="22"/>
        </w:rPr>
        <w:t xml:space="preserve">the settlement with elaborate ramparts which, </w:t>
      </w:r>
      <w:r w:rsidR="002C4577" w:rsidRPr="00BA11F4">
        <w:rPr>
          <w:rFonts w:asciiTheme="majorBidi" w:hAnsiTheme="majorBidi" w:cstheme="majorBidi"/>
          <w:color w:val="auto"/>
          <w:sz w:val="24"/>
          <w:szCs w:val="22"/>
        </w:rPr>
        <w:t xml:space="preserve">with its projecting buttresses - more closely spaced than required </w:t>
      </w:r>
      <w:r w:rsidR="000B3161" w:rsidRPr="00BA11F4">
        <w:rPr>
          <w:rFonts w:asciiTheme="majorBidi" w:hAnsiTheme="majorBidi" w:cstheme="majorBidi"/>
          <w:color w:val="auto"/>
          <w:sz w:val="24"/>
          <w:szCs w:val="22"/>
        </w:rPr>
        <w:t>by</w:t>
      </w:r>
      <w:r w:rsidR="002C4577" w:rsidRPr="00BA11F4">
        <w:rPr>
          <w:rFonts w:asciiTheme="majorBidi" w:hAnsiTheme="majorBidi" w:cstheme="majorBidi"/>
          <w:color w:val="auto"/>
          <w:sz w:val="24"/>
          <w:szCs w:val="22"/>
        </w:rPr>
        <w:t xml:space="preserve"> purely structural purposes </w:t>
      </w:r>
      <w:r w:rsidR="00E021B2">
        <w:rPr>
          <w:rFonts w:asciiTheme="majorBidi" w:hAnsiTheme="majorBidi" w:cstheme="majorBidi"/>
          <w:color w:val="auto"/>
          <w:sz w:val="24"/>
          <w:szCs w:val="22"/>
        </w:rPr>
        <w:t>–</w:t>
      </w:r>
      <w:r w:rsidR="002C4577" w:rsidRPr="00BA11F4">
        <w:rPr>
          <w:rFonts w:asciiTheme="majorBidi" w:hAnsiTheme="majorBidi" w:cstheme="majorBidi"/>
          <w:color w:val="auto"/>
          <w:sz w:val="24"/>
          <w:szCs w:val="22"/>
        </w:rPr>
        <w:t xml:space="preserve"> </w:t>
      </w:r>
      <w:r w:rsidR="00E021B2">
        <w:rPr>
          <w:rFonts w:asciiTheme="majorBidi" w:hAnsiTheme="majorBidi" w:cstheme="majorBidi"/>
          <w:color w:val="auto"/>
          <w:sz w:val="24"/>
          <w:szCs w:val="22"/>
        </w:rPr>
        <w:t xml:space="preserve">likely </w:t>
      </w:r>
      <w:r w:rsidR="002C4577" w:rsidRPr="00BA11F4">
        <w:rPr>
          <w:rFonts w:asciiTheme="majorBidi" w:hAnsiTheme="majorBidi" w:cstheme="majorBidi"/>
          <w:color w:val="auto"/>
          <w:sz w:val="24"/>
          <w:szCs w:val="22"/>
        </w:rPr>
        <w:t xml:space="preserve">has a decorative and monumental </w:t>
      </w:r>
      <w:r w:rsidR="00BA11F4" w:rsidRPr="00BA11F4">
        <w:rPr>
          <w:rFonts w:asciiTheme="majorBidi" w:hAnsiTheme="majorBidi" w:cstheme="majorBidi"/>
          <w:color w:val="auto"/>
          <w:sz w:val="24"/>
          <w:szCs w:val="22"/>
        </w:rPr>
        <w:t>ra</w:t>
      </w:r>
      <w:r w:rsidR="00B711C7" w:rsidRPr="00BA11F4">
        <w:rPr>
          <w:rFonts w:asciiTheme="majorBidi" w:hAnsiTheme="majorBidi" w:cstheme="majorBidi"/>
          <w:color w:val="auto"/>
          <w:sz w:val="24"/>
          <w:szCs w:val="22"/>
        </w:rPr>
        <w:t xml:space="preserve">ther than </w:t>
      </w:r>
      <w:r w:rsidR="00BA11F4" w:rsidRPr="00BA11F4">
        <w:rPr>
          <w:rFonts w:asciiTheme="majorBidi" w:hAnsiTheme="majorBidi" w:cstheme="majorBidi"/>
          <w:color w:val="auto"/>
          <w:sz w:val="24"/>
          <w:szCs w:val="22"/>
        </w:rPr>
        <w:t xml:space="preserve">a </w:t>
      </w:r>
      <w:r w:rsidR="00B711C7" w:rsidRPr="00BA11F4">
        <w:rPr>
          <w:rFonts w:asciiTheme="majorBidi" w:hAnsiTheme="majorBidi" w:cstheme="majorBidi"/>
          <w:color w:val="auto"/>
          <w:sz w:val="24"/>
          <w:szCs w:val="22"/>
        </w:rPr>
        <w:t>purely defensive</w:t>
      </w:r>
      <w:r w:rsidR="00BA11F4" w:rsidRPr="00BA11F4">
        <w:rPr>
          <w:rFonts w:asciiTheme="majorBidi" w:hAnsiTheme="majorBidi" w:cstheme="majorBidi"/>
          <w:color w:val="auto"/>
          <w:sz w:val="24"/>
          <w:szCs w:val="22"/>
        </w:rPr>
        <w:t xml:space="preserve"> purpose</w:t>
      </w:r>
      <w:r w:rsidR="002C4577" w:rsidRPr="00BA11F4">
        <w:rPr>
          <w:rFonts w:asciiTheme="majorBidi" w:hAnsiTheme="majorBidi" w:cstheme="majorBidi"/>
          <w:color w:val="auto"/>
          <w:sz w:val="24"/>
          <w:szCs w:val="22"/>
        </w:rPr>
        <w:t>, recalling the buttress</w:t>
      </w:r>
      <w:r w:rsidR="00B711C7" w:rsidRPr="00BA11F4">
        <w:rPr>
          <w:rFonts w:asciiTheme="majorBidi" w:hAnsiTheme="majorBidi" w:cstheme="majorBidi"/>
          <w:color w:val="auto"/>
          <w:sz w:val="24"/>
          <w:szCs w:val="22"/>
        </w:rPr>
        <w:t>ing/colonnading of the monumental buildings themselves. A</w:t>
      </w:r>
      <w:r w:rsidR="009E76BE" w:rsidRPr="00BA11F4">
        <w:rPr>
          <w:rFonts w:asciiTheme="majorBidi" w:hAnsiTheme="majorBidi" w:cstheme="majorBidi"/>
          <w:color w:val="auto"/>
          <w:sz w:val="24"/>
          <w:szCs w:val="22"/>
        </w:rPr>
        <w:t>s reconstructed by Dumarçay</w:t>
      </w:r>
      <w:r w:rsidR="009E76BE" w:rsidRPr="00BA11F4">
        <w:rPr>
          <w:rStyle w:val="EndnoteReference"/>
          <w:rFonts w:asciiTheme="majorBidi" w:hAnsiTheme="majorBidi" w:cstheme="majorBidi"/>
          <w:color w:val="auto"/>
          <w:sz w:val="24"/>
          <w:szCs w:val="22"/>
        </w:rPr>
        <w:endnoteReference w:id="34"/>
      </w:r>
      <w:r w:rsidR="009E76BE" w:rsidRPr="00BA11F4">
        <w:rPr>
          <w:rFonts w:asciiTheme="majorBidi" w:hAnsiTheme="majorBidi" w:cstheme="majorBidi"/>
          <w:color w:val="auto"/>
          <w:sz w:val="24"/>
          <w:szCs w:val="22"/>
        </w:rPr>
        <w:t xml:space="preserve"> </w:t>
      </w:r>
      <w:r w:rsidR="002C4577" w:rsidRPr="00BA11F4">
        <w:rPr>
          <w:rFonts w:asciiTheme="majorBidi" w:hAnsiTheme="majorBidi" w:cstheme="majorBidi"/>
          <w:color w:val="auto"/>
          <w:sz w:val="24"/>
          <w:szCs w:val="22"/>
        </w:rPr>
        <w:t>and super-imposed on Casal’s map</w:t>
      </w:r>
      <w:r w:rsidR="000B3161" w:rsidRPr="00BA11F4">
        <w:rPr>
          <w:rFonts w:asciiTheme="majorBidi" w:hAnsiTheme="majorBidi" w:cstheme="majorBidi"/>
          <w:color w:val="auto"/>
          <w:sz w:val="24"/>
          <w:szCs w:val="22"/>
        </w:rPr>
        <w:t>, these ramparts</w:t>
      </w:r>
      <w:r w:rsidR="002C4577" w:rsidRPr="00BA11F4">
        <w:rPr>
          <w:rFonts w:asciiTheme="majorBidi" w:hAnsiTheme="majorBidi" w:cstheme="majorBidi"/>
          <w:color w:val="auto"/>
          <w:sz w:val="24"/>
          <w:szCs w:val="22"/>
        </w:rPr>
        <w:t xml:space="preserve"> </w:t>
      </w:r>
      <w:r w:rsidR="009E76BE" w:rsidRPr="00BA11F4">
        <w:rPr>
          <w:rFonts w:asciiTheme="majorBidi" w:hAnsiTheme="majorBidi" w:cstheme="majorBidi"/>
          <w:color w:val="auto"/>
          <w:sz w:val="24"/>
          <w:szCs w:val="22"/>
        </w:rPr>
        <w:t>comprise inner and outer enclosures</w:t>
      </w:r>
      <w:r w:rsidR="00B711C7" w:rsidRPr="00BA11F4">
        <w:rPr>
          <w:rFonts w:asciiTheme="majorBidi" w:hAnsiTheme="majorBidi" w:cstheme="majorBidi"/>
          <w:color w:val="auto"/>
          <w:sz w:val="24"/>
          <w:szCs w:val="22"/>
        </w:rPr>
        <w:t xml:space="preserve"> with the ‘palace’ in the centre of the inner enclosure, (</w:t>
      </w:r>
      <w:r w:rsidR="00B711C7">
        <w:rPr>
          <w:rFonts w:asciiTheme="majorBidi" w:hAnsiTheme="majorBidi" w:cstheme="majorBidi"/>
          <w:color w:val="FF0000"/>
          <w:sz w:val="24"/>
          <w:szCs w:val="22"/>
        </w:rPr>
        <w:t>Fig. 4.00</w:t>
      </w:r>
      <w:r w:rsidR="00B711C7" w:rsidRPr="00BA11F4">
        <w:rPr>
          <w:rFonts w:asciiTheme="majorBidi" w:hAnsiTheme="majorBidi" w:cstheme="majorBidi"/>
          <w:color w:val="auto"/>
          <w:sz w:val="24"/>
          <w:szCs w:val="22"/>
        </w:rPr>
        <w:t>) occupying the highest and most prominent position</w:t>
      </w:r>
      <w:r w:rsidR="00BA11F4" w:rsidRPr="00BA11F4">
        <w:rPr>
          <w:rFonts w:asciiTheme="majorBidi" w:hAnsiTheme="majorBidi" w:cstheme="majorBidi"/>
          <w:color w:val="auto"/>
          <w:sz w:val="24"/>
          <w:szCs w:val="22"/>
        </w:rPr>
        <w:t xml:space="preserve"> on the settlement</w:t>
      </w:r>
      <w:r w:rsidR="00B711C7" w:rsidRPr="00BA11F4">
        <w:rPr>
          <w:rFonts w:asciiTheme="majorBidi" w:hAnsiTheme="majorBidi" w:cstheme="majorBidi"/>
          <w:color w:val="auto"/>
          <w:sz w:val="24"/>
          <w:szCs w:val="22"/>
        </w:rPr>
        <w:t xml:space="preserve">. This arrangement anticipates the classic arrangement of the standard later Central Asian town of citadel and lower town, or </w:t>
      </w:r>
      <w:r w:rsidR="00B711C7" w:rsidRPr="00BA11F4">
        <w:rPr>
          <w:rFonts w:asciiTheme="majorBidi" w:hAnsiTheme="majorBidi" w:cstheme="majorBidi"/>
          <w:i/>
          <w:iCs/>
          <w:color w:val="auto"/>
          <w:sz w:val="24"/>
          <w:szCs w:val="22"/>
        </w:rPr>
        <w:t>arg</w:t>
      </w:r>
      <w:r w:rsidR="00B711C7" w:rsidRPr="00BA11F4">
        <w:rPr>
          <w:rFonts w:asciiTheme="majorBidi" w:hAnsiTheme="majorBidi" w:cstheme="majorBidi"/>
          <w:color w:val="auto"/>
          <w:sz w:val="24"/>
          <w:szCs w:val="22"/>
        </w:rPr>
        <w:t xml:space="preserve"> and </w:t>
      </w:r>
      <w:r w:rsidR="00B711C7" w:rsidRPr="00BA11F4">
        <w:rPr>
          <w:rFonts w:asciiTheme="majorBidi" w:hAnsiTheme="majorBidi" w:cstheme="majorBidi"/>
          <w:i/>
          <w:iCs/>
          <w:color w:val="auto"/>
          <w:sz w:val="24"/>
          <w:szCs w:val="22"/>
        </w:rPr>
        <w:t>shahristan</w:t>
      </w:r>
      <w:r w:rsidR="00B711C7" w:rsidRPr="00BA11F4">
        <w:rPr>
          <w:rFonts w:asciiTheme="majorBidi" w:hAnsiTheme="majorBidi" w:cstheme="majorBidi"/>
          <w:color w:val="auto"/>
          <w:sz w:val="24"/>
          <w:szCs w:val="22"/>
        </w:rPr>
        <w:t>. Interestingly, the ‘temple’ is outside of either of Dumarçay’s projected enclosures which - if it is a religious building - implies a separate ‘sacred enclave’</w:t>
      </w:r>
      <w:r w:rsidR="00BA11F4">
        <w:rPr>
          <w:rFonts w:asciiTheme="majorBidi" w:hAnsiTheme="majorBidi" w:cstheme="majorBidi"/>
          <w:color w:val="auto"/>
          <w:sz w:val="24"/>
          <w:szCs w:val="22"/>
        </w:rPr>
        <w:t>.</w:t>
      </w:r>
    </w:p>
    <w:p w14:paraId="6D4FD1E1" w14:textId="4453CA53" w:rsidR="00B711C7" w:rsidRPr="00A540FD" w:rsidRDefault="00B711C7" w:rsidP="00C059EA">
      <w:pPr>
        <w:pStyle w:val="BodyTextIndent"/>
        <w:rPr>
          <w:rFonts w:asciiTheme="majorBidi" w:hAnsiTheme="majorBidi" w:cstheme="majorBidi"/>
          <w:color w:val="FF0000"/>
          <w:sz w:val="24"/>
          <w:szCs w:val="22"/>
        </w:rPr>
      </w:pPr>
      <w:r w:rsidRPr="00BA11F4">
        <w:rPr>
          <w:rFonts w:asciiTheme="majorBidi" w:hAnsiTheme="majorBidi" w:cstheme="majorBidi"/>
          <w:color w:val="auto"/>
          <w:sz w:val="24"/>
          <w:szCs w:val="22"/>
        </w:rPr>
        <w:t xml:space="preserve">We must therefore consider the ‘ramparts’ as </w:t>
      </w:r>
      <w:r w:rsidR="005F1654" w:rsidRPr="00BA11F4">
        <w:rPr>
          <w:rFonts w:asciiTheme="majorBidi" w:hAnsiTheme="majorBidi" w:cstheme="majorBidi"/>
          <w:color w:val="auto"/>
          <w:sz w:val="24"/>
          <w:szCs w:val="22"/>
        </w:rPr>
        <w:t xml:space="preserve">monumental structures in much the same way as the ‘palace’ and ‘temple’ are, part of an overall monumentalisation of Mundigak </w:t>
      </w:r>
      <w:r w:rsidR="00C059EA" w:rsidRPr="00BA11F4">
        <w:rPr>
          <w:rFonts w:asciiTheme="majorBidi" w:hAnsiTheme="majorBidi" w:cstheme="majorBidi"/>
          <w:color w:val="auto"/>
          <w:sz w:val="24"/>
          <w:szCs w:val="22"/>
        </w:rPr>
        <w:t>that marks</w:t>
      </w:r>
      <w:r w:rsidR="005F1654" w:rsidRPr="00BA11F4">
        <w:rPr>
          <w:rFonts w:asciiTheme="majorBidi" w:hAnsiTheme="majorBidi" w:cstheme="majorBidi"/>
          <w:color w:val="auto"/>
          <w:sz w:val="24"/>
          <w:szCs w:val="22"/>
        </w:rPr>
        <w:t xml:space="preserve"> Period IV. The command of resources to build th</w:t>
      </w:r>
      <w:r w:rsidR="00BA11F4" w:rsidRPr="00BA11F4">
        <w:rPr>
          <w:rFonts w:asciiTheme="majorBidi" w:hAnsiTheme="majorBidi" w:cstheme="majorBidi"/>
          <w:color w:val="auto"/>
          <w:sz w:val="24"/>
          <w:szCs w:val="22"/>
        </w:rPr>
        <w:t>e</w:t>
      </w:r>
      <w:r w:rsidR="005F1654" w:rsidRPr="00BA11F4">
        <w:rPr>
          <w:rFonts w:asciiTheme="majorBidi" w:hAnsiTheme="majorBidi" w:cstheme="majorBidi"/>
          <w:color w:val="auto"/>
          <w:sz w:val="24"/>
          <w:szCs w:val="22"/>
        </w:rPr>
        <w:t>s</w:t>
      </w:r>
      <w:r w:rsidR="00BA11F4" w:rsidRPr="00BA11F4">
        <w:rPr>
          <w:rFonts w:asciiTheme="majorBidi" w:hAnsiTheme="majorBidi" w:cstheme="majorBidi"/>
          <w:color w:val="auto"/>
          <w:sz w:val="24"/>
          <w:szCs w:val="22"/>
        </w:rPr>
        <w:t>e structures</w:t>
      </w:r>
      <w:r w:rsidR="005F1654" w:rsidRPr="00BA11F4">
        <w:rPr>
          <w:rFonts w:asciiTheme="majorBidi" w:hAnsiTheme="majorBidi" w:cstheme="majorBidi"/>
          <w:color w:val="auto"/>
          <w:sz w:val="24"/>
          <w:szCs w:val="22"/>
        </w:rPr>
        <w:t xml:space="preserve">, plus the need </w:t>
      </w:r>
      <w:r w:rsidR="006005F4" w:rsidRPr="00BA11F4">
        <w:rPr>
          <w:rFonts w:asciiTheme="majorBidi" w:hAnsiTheme="majorBidi" w:cstheme="majorBidi"/>
          <w:color w:val="auto"/>
          <w:sz w:val="24"/>
          <w:szCs w:val="22"/>
        </w:rPr>
        <w:t>make a major architectural statement, implies a renewed status for Mundigak, of more than just a major settlement. Just what this status might be must remain a matter of speculation, but it does lend support to Whitehouse’s initial suggestion that Mundigak anticipated Kandahar as the regional centre.</w:t>
      </w:r>
      <w:r w:rsidR="006005F4" w:rsidRPr="00BA11F4">
        <w:rPr>
          <w:rStyle w:val="EndnoteReference"/>
          <w:rFonts w:asciiTheme="majorBidi" w:hAnsiTheme="majorBidi" w:cstheme="majorBidi"/>
          <w:color w:val="auto"/>
          <w:sz w:val="24"/>
          <w:szCs w:val="22"/>
        </w:rPr>
        <w:endnoteReference w:id="35"/>
      </w:r>
      <w:r w:rsidR="006005F4" w:rsidRPr="00BA11F4">
        <w:rPr>
          <w:rFonts w:asciiTheme="majorBidi" w:hAnsiTheme="majorBidi" w:cstheme="majorBidi"/>
          <w:color w:val="auto"/>
          <w:sz w:val="24"/>
          <w:szCs w:val="22"/>
        </w:rPr>
        <w:t xml:space="preserve"> </w:t>
      </w:r>
      <w:r w:rsidR="006005F4">
        <w:rPr>
          <w:rFonts w:asciiTheme="majorBidi" w:hAnsiTheme="majorBidi" w:cstheme="majorBidi"/>
          <w:color w:val="FF0000"/>
          <w:sz w:val="24"/>
          <w:szCs w:val="22"/>
        </w:rPr>
        <w:t>In this connection</w:t>
      </w:r>
      <w:r w:rsidR="00A540FD">
        <w:rPr>
          <w:rFonts w:asciiTheme="majorBidi" w:hAnsiTheme="majorBidi" w:cstheme="majorBidi"/>
          <w:color w:val="FF0000"/>
          <w:sz w:val="24"/>
          <w:szCs w:val="22"/>
        </w:rPr>
        <w:t xml:space="preserve"> it is worth observing that a village and site just 3 km to the south of Mundigak (albeit with no material earlier than Parthian), preserves the name ‘Arukh’, derived from the Achaemenid </w:t>
      </w:r>
      <w:r w:rsidR="00A540FD">
        <w:rPr>
          <w:rFonts w:asciiTheme="majorBidi" w:hAnsiTheme="majorBidi" w:cstheme="majorBidi"/>
          <w:i/>
          <w:iCs/>
          <w:color w:val="FF0000"/>
          <w:sz w:val="24"/>
          <w:szCs w:val="22"/>
        </w:rPr>
        <w:t>Harahuvatiš</w:t>
      </w:r>
      <w:r w:rsidR="00A540FD">
        <w:rPr>
          <w:rFonts w:asciiTheme="majorBidi" w:hAnsiTheme="majorBidi" w:cstheme="majorBidi"/>
          <w:color w:val="FF0000"/>
          <w:sz w:val="24"/>
          <w:szCs w:val="22"/>
        </w:rPr>
        <w:t xml:space="preserve">/Greek </w:t>
      </w:r>
      <w:r w:rsidR="00A540FD">
        <w:rPr>
          <w:rFonts w:asciiTheme="majorBidi" w:hAnsiTheme="majorBidi" w:cstheme="majorBidi"/>
          <w:i/>
          <w:iCs/>
          <w:color w:val="FF0000"/>
          <w:sz w:val="24"/>
          <w:szCs w:val="22"/>
        </w:rPr>
        <w:t>Arachosia</w:t>
      </w:r>
      <w:r w:rsidR="00C059EA">
        <w:rPr>
          <w:rFonts w:asciiTheme="majorBidi" w:hAnsiTheme="majorBidi" w:cstheme="majorBidi"/>
          <w:color w:val="FF0000"/>
          <w:sz w:val="24"/>
          <w:szCs w:val="22"/>
        </w:rPr>
        <w:t xml:space="preserve">/Early Islamic </w:t>
      </w:r>
      <w:r w:rsidR="00C059EA">
        <w:rPr>
          <w:rFonts w:asciiTheme="majorBidi" w:hAnsiTheme="majorBidi" w:cstheme="majorBidi"/>
          <w:i/>
          <w:iCs/>
          <w:color w:val="FF0000"/>
          <w:sz w:val="24"/>
          <w:szCs w:val="22"/>
        </w:rPr>
        <w:t>ar-Rukhaj</w:t>
      </w:r>
      <w:r w:rsidR="00A540FD">
        <w:rPr>
          <w:rFonts w:asciiTheme="majorBidi" w:hAnsiTheme="majorBidi" w:cstheme="majorBidi"/>
          <w:color w:val="FF0000"/>
          <w:sz w:val="24"/>
          <w:szCs w:val="22"/>
        </w:rPr>
        <w:t>, the ancient name for the region.</w:t>
      </w:r>
      <w:r w:rsidR="00A540FD">
        <w:rPr>
          <w:rStyle w:val="EndnoteReference"/>
          <w:rFonts w:asciiTheme="majorBidi" w:hAnsiTheme="majorBidi" w:cstheme="majorBidi"/>
          <w:color w:val="FF0000"/>
          <w:sz w:val="24"/>
          <w:szCs w:val="22"/>
        </w:rPr>
        <w:endnoteReference w:id="36"/>
      </w:r>
    </w:p>
    <w:p w14:paraId="2A339DD3" w14:textId="66F4B7A2" w:rsidR="0030226C" w:rsidRPr="00067D8A" w:rsidRDefault="0030226C" w:rsidP="005077FE">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Casal maintained </w:t>
      </w:r>
      <w:r w:rsidRPr="00BA11F4">
        <w:rPr>
          <w:rFonts w:asciiTheme="majorBidi" w:hAnsiTheme="majorBidi" w:cstheme="majorBidi"/>
          <w:color w:val="auto"/>
          <w:sz w:val="24"/>
          <w:szCs w:val="22"/>
        </w:rPr>
        <w:t xml:space="preserve">that the </w:t>
      </w:r>
      <w:r w:rsidR="001E1DEF">
        <w:rPr>
          <w:rFonts w:asciiTheme="majorBidi" w:hAnsiTheme="majorBidi" w:cstheme="majorBidi"/>
          <w:color w:val="auto"/>
          <w:sz w:val="24"/>
          <w:szCs w:val="22"/>
        </w:rPr>
        <w:t>Sub-Period</w:t>
      </w:r>
      <w:r w:rsidRPr="00BA11F4">
        <w:rPr>
          <w:rFonts w:asciiTheme="majorBidi" w:hAnsiTheme="majorBidi" w:cstheme="majorBidi"/>
          <w:color w:val="auto"/>
          <w:sz w:val="24"/>
          <w:szCs w:val="22"/>
        </w:rPr>
        <w:t xml:space="preserve"> IV</w:t>
      </w:r>
      <w:r w:rsidRPr="00BA11F4">
        <w:rPr>
          <w:rFonts w:asciiTheme="majorBidi" w:hAnsiTheme="majorBidi" w:cstheme="majorBidi"/>
          <w:color w:val="auto"/>
          <w:sz w:val="24"/>
          <w:szCs w:val="22"/>
          <w:vertAlign w:val="subscript"/>
        </w:rPr>
        <w:t xml:space="preserve">1 </w:t>
      </w:r>
      <w:r w:rsidRPr="00BA11F4">
        <w:rPr>
          <w:rFonts w:asciiTheme="majorBidi" w:hAnsiTheme="majorBidi" w:cstheme="majorBidi"/>
          <w:color w:val="auto"/>
          <w:sz w:val="24"/>
          <w:szCs w:val="22"/>
        </w:rPr>
        <w:t>occupation met with a violent end resulting in partial abandonment of the site. The scattered examples of burned buildings</w:t>
      </w:r>
      <w:r w:rsidR="00E02DC8">
        <w:rPr>
          <w:rFonts w:asciiTheme="majorBidi" w:hAnsiTheme="majorBidi" w:cstheme="majorBidi"/>
          <w:color w:val="auto"/>
          <w:sz w:val="24"/>
          <w:szCs w:val="22"/>
        </w:rPr>
        <w:t xml:space="preserve"> reinforce the likelihood that </w:t>
      </w:r>
      <w:r w:rsidRPr="00BA11F4">
        <w:rPr>
          <w:rFonts w:asciiTheme="majorBidi" w:hAnsiTheme="majorBidi" w:cstheme="majorBidi"/>
          <w:color w:val="auto"/>
          <w:sz w:val="24"/>
          <w:szCs w:val="22"/>
        </w:rPr>
        <w:t xml:space="preserve">the ‘palace’ and ‘temple’ appear to have fallen into disuse and did not regain prominence again </w:t>
      </w:r>
      <w:r w:rsidR="005077FE" w:rsidRPr="00BA11F4">
        <w:rPr>
          <w:rFonts w:asciiTheme="majorBidi" w:hAnsiTheme="majorBidi" w:cstheme="majorBidi"/>
          <w:color w:val="auto"/>
          <w:sz w:val="24"/>
          <w:szCs w:val="22"/>
        </w:rPr>
        <w:t xml:space="preserve">during </w:t>
      </w:r>
      <w:r w:rsidR="00BA11F4">
        <w:rPr>
          <w:rFonts w:asciiTheme="majorBidi" w:hAnsiTheme="majorBidi" w:cstheme="majorBidi"/>
          <w:color w:val="auto"/>
          <w:sz w:val="24"/>
          <w:szCs w:val="22"/>
        </w:rPr>
        <w:t xml:space="preserve">the later </w:t>
      </w:r>
      <w:r w:rsidR="00B871A2">
        <w:rPr>
          <w:rFonts w:asciiTheme="majorBidi" w:hAnsiTheme="majorBidi" w:cstheme="majorBidi"/>
          <w:color w:val="auto"/>
          <w:sz w:val="24"/>
          <w:szCs w:val="22"/>
        </w:rPr>
        <w:t>phase</w:t>
      </w:r>
      <w:r w:rsidR="00BA11F4">
        <w:rPr>
          <w:rFonts w:asciiTheme="majorBidi" w:hAnsiTheme="majorBidi" w:cstheme="majorBidi"/>
          <w:color w:val="auto"/>
          <w:sz w:val="24"/>
          <w:szCs w:val="22"/>
        </w:rPr>
        <w:t xml:space="preserve">s of </w:t>
      </w:r>
      <w:r w:rsidR="005077FE" w:rsidRPr="00BA11F4">
        <w:rPr>
          <w:rFonts w:asciiTheme="majorBidi" w:hAnsiTheme="majorBidi" w:cstheme="majorBidi"/>
          <w:color w:val="auto"/>
          <w:sz w:val="24"/>
          <w:szCs w:val="22"/>
        </w:rPr>
        <w:t>Period IV</w:t>
      </w:r>
      <w:r w:rsidRPr="00BA11F4">
        <w:rPr>
          <w:rFonts w:asciiTheme="majorBidi" w:hAnsiTheme="majorBidi" w:cstheme="majorBidi"/>
          <w:color w:val="auto"/>
          <w:sz w:val="24"/>
          <w:szCs w:val="22"/>
        </w:rPr>
        <w:t xml:space="preserve">. Contrastingly, several of the structures </w:t>
      </w:r>
      <w:r w:rsidRPr="00BA11F4">
        <w:rPr>
          <w:rFonts w:asciiTheme="majorBidi" w:hAnsiTheme="majorBidi" w:cstheme="majorBidi"/>
          <w:color w:val="auto"/>
          <w:sz w:val="24"/>
          <w:szCs w:val="22"/>
        </w:rPr>
        <w:lastRenderedPageBreak/>
        <w:t xml:space="preserve">associated with the enclosing walls appear to have been continuously inhabited throughout </w:t>
      </w:r>
      <w:r w:rsidR="001E1DEF">
        <w:rPr>
          <w:rFonts w:asciiTheme="majorBidi" w:hAnsiTheme="majorBidi" w:cstheme="majorBidi"/>
          <w:color w:val="auto"/>
          <w:sz w:val="24"/>
          <w:szCs w:val="22"/>
        </w:rPr>
        <w:t>Sub-Period</w:t>
      </w:r>
      <w:r w:rsidRPr="00BA11F4">
        <w:rPr>
          <w:rFonts w:asciiTheme="majorBidi" w:hAnsiTheme="majorBidi" w:cstheme="majorBidi"/>
          <w:color w:val="auto"/>
          <w:sz w:val="24"/>
          <w:szCs w:val="22"/>
        </w:rPr>
        <w:t xml:space="preserve"> IV</w:t>
      </w:r>
      <w:r w:rsidRPr="00BA11F4">
        <w:rPr>
          <w:rFonts w:asciiTheme="majorBidi" w:hAnsiTheme="majorBidi" w:cstheme="majorBidi"/>
          <w:color w:val="auto"/>
          <w:sz w:val="24"/>
          <w:szCs w:val="22"/>
          <w:vertAlign w:val="subscript"/>
        </w:rPr>
        <w:t>1</w:t>
      </w:r>
      <w:r w:rsidRPr="00067D8A">
        <w:rPr>
          <w:rFonts w:asciiTheme="majorBidi" w:hAnsiTheme="majorBidi" w:cstheme="majorBidi"/>
          <w:sz w:val="24"/>
          <w:szCs w:val="22"/>
        </w:rPr>
        <w:t>. In</w:t>
      </w:r>
      <w:r w:rsidR="00E02DC8">
        <w:rPr>
          <w:rFonts w:asciiTheme="majorBidi" w:hAnsiTheme="majorBidi" w:cstheme="majorBidi"/>
          <w:sz w:val="24"/>
          <w:szCs w:val="22"/>
        </w:rPr>
        <w:t xml:space="preserve"> the first edition of this volume, Shaffer suggested that</w:t>
      </w:r>
      <w:r w:rsidRPr="00067D8A">
        <w:rPr>
          <w:rFonts w:asciiTheme="majorBidi" w:hAnsiTheme="majorBidi" w:cstheme="majorBidi"/>
          <w:sz w:val="24"/>
          <w:szCs w:val="22"/>
        </w:rPr>
        <w:t xml:space="preserve"> given the problems created by large amounts of erosion and the lack of adequate stratigraphic data, the three-</w:t>
      </w:r>
      <w:r w:rsidR="001E1DEF">
        <w:rPr>
          <w:rFonts w:asciiTheme="majorBidi" w:hAnsiTheme="majorBidi" w:cstheme="majorBidi"/>
          <w:sz w:val="24"/>
          <w:szCs w:val="22"/>
        </w:rPr>
        <w:t>sub-period</w:t>
      </w:r>
      <w:r w:rsidRPr="00067D8A">
        <w:rPr>
          <w:rFonts w:asciiTheme="majorBidi" w:hAnsiTheme="majorBidi" w:cstheme="majorBidi"/>
          <w:sz w:val="24"/>
          <w:szCs w:val="22"/>
        </w:rPr>
        <w:t xml:space="preserve"> division of </w:t>
      </w:r>
      <w:r w:rsidR="006D28BD">
        <w:rPr>
          <w:rFonts w:asciiTheme="majorBidi" w:hAnsiTheme="majorBidi" w:cstheme="majorBidi"/>
          <w:sz w:val="24"/>
          <w:szCs w:val="22"/>
        </w:rPr>
        <w:t>Period IV might</w:t>
      </w:r>
      <w:r w:rsidRPr="00067D8A">
        <w:rPr>
          <w:rFonts w:asciiTheme="majorBidi" w:hAnsiTheme="majorBidi" w:cstheme="majorBidi"/>
          <w:sz w:val="24"/>
          <w:szCs w:val="22"/>
        </w:rPr>
        <w:t xml:space="preserve"> be challenged</w:t>
      </w:r>
      <w:r w:rsidR="00643F67">
        <w:rPr>
          <w:rFonts w:asciiTheme="majorBidi" w:hAnsiTheme="majorBidi" w:cstheme="majorBidi"/>
          <w:sz w:val="24"/>
          <w:szCs w:val="22"/>
        </w:rPr>
        <w:t>,</w:t>
      </w:r>
      <w:r w:rsidR="00462685">
        <w:rPr>
          <w:rStyle w:val="EndnoteReference"/>
          <w:rFonts w:asciiTheme="majorBidi" w:hAnsiTheme="majorBidi" w:cstheme="majorBidi"/>
          <w:sz w:val="24"/>
          <w:szCs w:val="22"/>
        </w:rPr>
        <w:endnoteReference w:id="37"/>
      </w:r>
      <w:r w:rsidR="00643F67">
        <w:rPr>
          <w:rFonts w:asciiTheme="majorBidi" w:hAnsiTheme="majorBidi" w:cstheme="majorBidi"/>
          <w:sz w:val="24"/>
          <w:szCs w:val="22"/>
        </w:rPr>
        <w:t xml:space="preserve"> but new excavations that might clarify </w:t>
      </w:r>
      <w:r w:rsidR="00F73149">
        <w:rPr>
          <w:rFonts w:asciiTheme="majorBidi" w:hAnsiTheme="majorBidi" w:cstheme="majorBidi"/>
          <w:sz w:val="24"/>
          <w:szCs w:val="22"/>
        </w:rPr>
        <w:t xml:space="preserve">things </w:t>
      </w:r>
      <w:r w:rsidR="00643F67">
        <w:rPr>
          <w:rFonts w:asciiTheme="majorBidi" w:hAnsiTheme="majorBidi" w:cstheme="majorBidi"/>
          <w:sz w:val="24"/>
          <w:szCs w:val="22"/>
        </w:rPr>
        <w:t>are unlikely in the immediate future</w:t>
      </w:r>
    </w:p>
    <w:p w14:paraId="193A6F83" w14:textId="70AA6C2E" w:rsidR="0030226C" w:rsidRPr="00067D8A" w:rsidRDefault="0030226C" w:rsidP="0030226C">
      <w:pPr>
        <w:pStyle w:val="BodyTextIndent"/>
        <w:rPr>
          <w:rFonts w:asciiTheme="majorBidi" w:hAnsiTheme="majorBidi" w:cstheme="majorBidi"/>
          <w:sz w:val="24"/>
          <w:szCs w:val="22"/>
        </w:rPr>
      </w:pPr>
      <w:r w:rsidRPr="00F73149">
        <w:rPr>
          <w:rFonts w:asciiTheme="majorBidi" w:hAnsiTheme="majorBidi" w:cstheme="majorBidi"/>
          <w:sz w:val="24"/>
          <w:szCs w:val="22"/>
        </w:rPr>
        <w:t xml:space="preserve">Wherever </w:t>
      </w:r>
      <w:r w:rsidR="001E1DEF" w:rsidRPr="00F73149">
        <w:rPr>
          <w:rFonts w:asciiTheme="majorBidi" w:hAnsiTheme="majorBidi" w:cstheme="majorBidi"/>
          <w:sz w:val="24"/>
          <w:szCs w:val="22"/>
        </w:rPr>
        <w:t>Sub-Period</w:t>
      </w:r>
      <w:r w:rsidRPr="00F73149">
        <w:rPr>
          <w:rFonts w:asciiTheme="majorBidi" w:hAnsiTheme="majorBidi" w:cstheme="majorBidi"/>
          <w:sz w:val="24"/>
          <w:szCs w:val="22"/>
        </w:rPr>
        <w:t xml:space="preserve"> IV</w:t>
      </w:r>
      <w:r w:rsidRPr="00F73149">
        <w:rPr>
          <w:rFonts w:asciiTheme="majorBidi" w:hAnsiTheme="majorBidi" w:cstheme="majorBidi"/>
          <w:sz w:val="24"/>
          <w:szCs w:val="22"/>
          <w:vertAlign w:val="subscript"/>
        </w:rPr>
        <w:t>2</w:t>
      </w:r>
      <w:r w:rsidRPr="00F73149">
        <w:rPr>
          <w:rFonts w:asciiTheme="majorBidi" w:hAnsiTheme="majorBidi" w:cstheme="majorBidi"/>
          <w:sz w:val="24"/>
          <w:szCs w:val="22"/>
        </w:rPr>
        <w:t xml:space="preserve"> was found (mainly Mound B) it was of shallow depth and the structures demonstrated continuous occupation from </w:t>
      </w:r>
      <w:r w:rsidR="001E1DEF" w:rsidRPr="00F73149">
        <w:rPr>
          <w:rFonts w:asciiTheme="majorBidi" w:hAnsiTheme="majorBidi" w:cstheme="majorBidi"/>
          <w:sz w:val="24"/>
          <w:szCs w:val="22"/>
        </w:rPr>
        <w:t>Sub-Period</w:t>
      </w:r>
      <w:r w:rsidRPr="00F73149">
        <w:rPr>
          <w:rFonts w:asciiTheme="majorBidi" w:hAnsiTheme="majorBidi" w:cstheme="majorBidi"/>
          <w:sz w:val="24"/>
          <w:szCs w:val="22"/>
        </w:rPr>
        <w:t xml:space="preserve"> IV</w:t>
      </w:r>
      <w:r w:rsidRPr="00F73149">
        <w:rPr>
          <w:rFonts w:asciiTheme="majorBidi" w:hAnsiTheme="majorBidi" w:cstheme="majorBidi"/>
          <w:sz w:val="24"/>
          <w:szCs w:val="22"/>
          <w:vertAlign w:val="subscript"/>
        </w:rPr>
        <w:t>1</w:t>
      </w:r>
      <w:r w:rsidRPr="00F73149">
        <w:rPr>
          <w:rFonts w:asciiTheme="majorBidi" w:hAnsiTheme="majorBidi" w:cstheme="majorBidi"/>
          <w:sz w:val="24"/>
          <w:szCs w:val="22"/>
        </w:rPr>
        <w:t>. The few new structures which were located continued to utilise old walls including the enclosing walls. Foundations</w:t>
      </w:r>
      <w:r w:rsidRPr="00067D8A">
        <w:rPr>
          <w:rFonts w:asciiTheme="majorBidi" w:hAnsiTheme="majorBidi" w:cstheme="majorBidi"/>
          <w:sz w:val="24"/>
          <w:szCs w:val="22"/>
        </w:rPr>
        <w:t xml:space="preserve"> </w:t>
      </w:r>
      <w:r w:rsidRPr="00F73149">
        <w:rPr>
          <w:rFonts w:asciiTheme="majorBidi" w:hAnsiTheme="majorBidi" w:cstheme="majorBidi"/>
          <w:color w:val="auto"/>
          <w:sz w:val="24"/>
          <w:szCs w:val="22"/>
        </w:rPr>
        <w:t>when present were slight and the basic preparation was a simple levelling of the soil. Small sondages away from the enclosing walls indicated that there was some expansion into previously uninhabited areas</w:t>
      </w:r>
      <w:r w:rsidR="00C947BA" w:rsidRPr="00F73149">
        <w:rPr>
          <w:rFonts w:asciiTheme="majorBidi" w:hAnsiTheme="majorBidi" w:cstheme="majorBidi"/>
          <w:color w:val="auto"/>
          <w:sz w:val="24"/>
          <w:szCs w:val="22"/>
        </w:rPr>
        <w:t>, confirming the suggestion above of an ‘outer town’</w:t>
      </w:r>
      <w:r w:rsidRPr="00F73149">
        <w:rPr>
          <w:rFonts w:asciiTheme="majorBidi" w:hAnsiTheme="majorBidi" w:cstheme="majorBidi"/>
          <w:color w:val="auto"/>
          <w:sz w:val="24"/>
          <w:szCs w:val="22"/>
        </w:rPr>
        <w:t xml:space="preserve">. The </w:t>
      </w:r>
      <w:r w:rsidRPr="00067D8A">
        <w:rPr>
          <w:rFonts w:asciiTheme="majorBidi" w:hAnsiTheme="majorBidi" w:cstheme="majorBidi"/>
          <w:sz w:val="24"/>
          <w:szCs w:val="22"/>
        </w:rPr>
        <w:t>ceramics show a continuation of previous motifs and vessel forms with some changes and alterations, and metal artefacts demonstrate a marked frequency increase</w:t>
      </w:r>
      <w:r w:rsidR="00F73149">
        <w:rPr>
          <w:rFonts w:asciiTheme="majorBidi" w:hAnsiTheme="majorBidi" w:cstheme="majorBidi"/>
          <w:sz w:val="24"/>
          <w:szCs w:val="22"/>
        </w:rPr>
        <w:t xml:space="preserve"> (see below)</w:t>
      </w:r>
      <w:r w:rsidRPr="00067D8A">
        <w:rPr>
          <w:rFonts w:asciiTheme="majorBidi" w:hAnsiTheme="majorBidi" w:cstheme="majorBidi"/>
          <w:sz w:val="24"/>
          <w:szCs w:val="22"/>
        </w:rPr>
        <w:t xml:space="preserve">. This </w:t>
      </w:r>
      <w:r w:rsidR="001E1DEF">
        <w:rPr>
          <w:rFonts w:asciiTheme="majorBidi" w:hAnsiTheme="majorBidi" w:cstheme="majorBidi"/>
          <w:sz w:val="24"/>
          <w:szCs w:val="22"/>
        </w:rPr>
        <w:t>sub-period</w:t>
      </w:r>
      <w:r w:rsidRPr="00067D8A">
        <w:rPr>
          <w:rFonts w:asciiTheme="majorBidi" w:hAnsiTheme="majorBidi" w:cstheme="majorBidi"/>
          <w:sz w:val="24"/>
          <w:szCs w:val="22"/>
        </w:rPr>
        <w:t xml:space="preserve"> seems to be distinguishable more on the basis of ceramics than on stratigraphic data. </w:t>
      </w:r>
      <w:r w:rsidRPr="00F73149">
        <w:rPr>
          <w:rFonts w:asciiTheme="majorBidi" w:hAnsiTheme="majorBidi" w:cstheme="majorBidi"/>
          <w:sz w:val="24"/>
          <w:szCs w:val="22"/>
        </w:rPr>
        <w:t>Casal propose</w:t>
      </w:r>
      <w:r w:rsidR="00F73149" w:rsidRPr="00F73149">
        <w:rPr>
          <w:rFonts w:asciiTheme="majorBidi" w:hAnsiTheme="majorBidi" w:cstheme="majorBidi"/>
          <w:sz w:val="24"/>
          <w:szCs w:val="22"/>
        </w:rPr>
        <w:t>d</w:t>
      </w:r>
      <w:r w:rsidRPr="00F73149">
        <w:rPr>
          <w:rFonts w:asciiTheme="majorBidi" w:hAnsiTheme="majorBidi" w:cstheme="majorBidi"/>
          <w:sz w:val="24"/>
          <w:szCs w:val="22"/>
        </w:rPr>
        <w:t xml:space="preserve"> that the end of </w:t>
      </w:r>
      <w:r w:rsidR="001E1DEF" w:rsidRPr="00F73149">
        <w:rPr>
          <w:rFonts w:asciiTheme="majorBidi" w:hAnsiTheme="majorBidi" w:cstheme="majorBidi"/>
          <w:sz w:val="24"/>
          <w:szCs w:val="22"/>
        </w:rPr>
        <w:t>Sub-Period</w:t>
      </w:r>
      <w:r w:rsidRPr="00F73149">
        <w:rPr>
          <w:rFonts w:asciiTheme="majorBidi" w:hAnsiTheme="majorBidi" w:cstheme="majorBidi"/>
          <w:sz w:val="24"/>
          <w:szCs w:val="22"/>
        </w:rPr>
        <w:t xml:space="preserve"> IV</w:t>
      </w:r>
      <w:r w:rsidRPr="00F73149">
        <w:rPr>
          <w:rFonts w:asciiTheme="majorBidi" w:hAnsiTheme="majorBidi" w:cstheme="majorBidi"/>
          <w:sz w:val="24"/>
          <w:szCs w:val="22"/>
          <w:vertAlign w:val="subscript"/>
        </w:rPr>
        <w:t>2</w:t>
      </w:r>
      <w:r w:rsidRPr="00F73149">
        <w:rPr>
          <w:rFonts w:asciiTheme="majorBidi" w:hAnsiTheme="majorBidi" w:cstheme="majorBidi"/>
          <w:sz w:val="24"/>
          <w:szCs w:val="22"/>
        </w:rPr>
        <w:t xml:space="preserve"> was caused by a possible earthquake with the site being abandoned for a short period. Such an earthquake could also account for the evidence of destruction </w:t>
      </w:r>
      <w:r w:rsidR="00F73149">
        <w:rPr>
          <w:rFonts w:asciiTheme="majorBidi" w:hAnsiTheme="majorBidi" w:cstheme="majorBidi"/>
          <w:sz w:val="24"/>
          <w:szCs w:val="22"/>
        </w:rPr>
        <w:t xml:space="preserve">(and conflagration) </w:t>
      </w:r>
      <w:r w:rsidRPr="00F73149">
        <w:rPr>
          <w:rFonts w:asciiTheme="majorBidi" w:hAnsiTheme="majorBidi" w:cstheme="majorBidi"/>
          <w:sz w:val="24"/>
          <w:szCs w:val="22"/>
        </w:rPr>
        <w:t xml:space="preserve">noted at the end of </w:t>
      </w:r>
      <w:r w:rsidR="001E1DEF" w:rsidRPr="00F73149">
        <w:rPr>
          <w:rFonts w:asciiTheme="majorBidi" w:hAnsiTheme="majorBidi" w:cstheme="majorBidi"/>
          <w:sz w:val="24"/>
          <w:szCs w:val="22"/>
        </w:rPr>
        <w:t>Sub-Period</w:t>
      </w:r>
      <w:r w:rsidRPr="00F73149">
        <w:rPr>
          <w:rFonts w:asciiTheme="majorBidi" w:hAnsiTheme="majorBidi" w:cstheme="majorBidi"/>
          <w:sz w:val="24"/>
          <w:szCs w:val="22"/>
        </w:rPr>
        <w:t xml:space="preserve"> IV</w:t>
      </w:r>
      <w:r w:rsidRPr="00F73149">
        <w:rPr>
          <w:rFonts w:asciiTheme="majorBidi" w:hAnsiTheme="majorBidi" w:cstheme="majorBidi"/>
          <w:sz w:val="24"/>
          <w:szCs w:val="22"/>
          <w:vertAlign w:val="subscript"/>
        </w:rPr>
        <w:t>1.</w:t>
      </w:r>
    </w:p>
    <w:p w14:paraId="71D4AF7B" w14:textId="78BA452B" w:rsidR="0030226C" w:rsidRPr="00067D8A" w:rsidRDefault="001E1DEF" w:rsidP="0022688B">
      <w:pPr>
        <w:pStyle w:val="BodyTextIndent"/>
        <w:rPr>
          <w:rFonts w:asciiTheme="majorBidi" w:hAnsiTheme="majorBidi" w:cstheme="majorBidi"/>
          <w:sz w:val="24"/>
          <w:szCs w:val="22"/>
        </w:rPr>
      </w:pPr>
      <w:r w:rsidRPr="00F73149">
        <w:rPr>
          <w:rFonts w:asciiTheme="majorBidi" w:hAnsiTheme="majorBidi" w:cstheme="majorBidi"/>
          <w:sz w:val="24"/>
          <w:szCs w:val="22"/>
        </w:rPr>
        <w:t>Sub-Period</w:t>
      </w:r>
      <w:r w:rsidR="0030226C" w:rsidRPr="00F73149">
        <w:rPr>
          <w:rFonts w:asciiTheme="majorBidi" w:hAnsiTheme="majorBidi" w:cstheme="majorBidi"/>
          <w:sz w:val="24"/>
          <w:szCs w:val="22"/>
        </w:rPr>
        <w:t xml:space="preserve"> IV</w:t>
      </w:r>
      <w:r w:rsidR="0030226C" w:rsidRPr="00F73149">
        <w:rPr>
          <w:rFonts w:asciiTheme="majorBidi" w:hAnsiTheme="majorBidi" w:cstheme="majorBidi"/>
          <w:sz w:val="24"/>
          <w:szCs w:val="22"/>
          <w:vertAlign w:val="subscript"/>
        </w:rPr>
        <w:t>3</w:t>
      </w:r>
      <w:r w:rsidR="0030226C" w:rsidRPr="00F73149">
        <w:rPr>
          <w:rFonts w:asciiTheme="majorBidi" w:hAnsiTheme="majorBidi" w:cstheme="majorBidi"/>
          <w:sz w:val="24"/>
          <w:szCs w:val="22"/>
        </w:rPr>
        <w:t xml:space="preserve"> is also known mainly from Mound B. Structures are concentrated around</w:t>
      </w:r>
      <w:r w:rsidR="0030226C" w:rsidRPr="00067D8A">
        <w:rPr>
          <w:rFonts w:asciiTheme="majorBidi" w:hAnsiTheme="majorBidi" w:cstheme="majorBidi"/>
          <w:sz w:val="24"/>
          <w:szCs w:val="22"/>
        </w:rPr>
        <w:t xml:space="preserve"> </w:t>
      </w:r>
      <w:r w:rsidR="00F73149">
        <w:rPr>
          <w:rFonts w:asciiTheme="majorBidi" w:hAnsiTheme="majorBidi" w:cstheme="majorBidi"/>
          <w:sz w:val="24"/>
          <w:szCs w:val="22"/>
        </w:rPr>
        <w:t>earlier</w:t>
      </w:r>
      <w:r w:rsidR="00F73149" w:rsidRPr="00067D8A">
        <w:rPr>
          <w:rFonts w:asciiTheme="majorBidi" w:hAnsiTheme="majorBidi" w:cstheme="majorBidi"/>
          <w:sz w:val="24"/>
          <w:szCs w:val="22"/>
        </w:rPr>
        <w:t xml:space="preserve"> </w:t>
      </w:r>
      <w:r w:rsidR="0030226C" w:rsidRPr="00067D8A">
        <w:rPr>
          <w:rFonts w:asciiTheme="majorBidi" w:hAnsiTheme="majorBidi" w:cstheme="majorBidi"/>
          <w:sz w:val="24"/>
          <w:szCs w:val="22"/>
        </w:rPr>
        <w:t>walls, but a new enclosing wall was constructed parallel and a little to the north of the older ones. The new wall was effectively three major parallel walls</w:t>
      </w:r>
      <w:r w:rsidR="00F73149">
        <w:rPr>
          <w:rFonts w:asciiTheme="majorBidi" w:hAnsiTheme="majorBidi" w:cstheme="majorBidi"/>
          <w:sz w:val="24"/>
          <w:szCs w:val="22"/>
        </w:rPr>
        <w:t>, and t</w:t>
      </w:r>
      <w:r w:rsidR="0030226C" w:rsidRPr="00067D8A">
        <w:rPr>
          <w:rFonts w:asciiTheme="majorBidi" w:hAnsiTheme="majorBidi" w:cstheme="majorBidi"/>
          <w:sz w:val="24"/>
          <w:szCs w:val="22"/>
        </w:rPr>
        <w:t>he two exterior walls ha</w:t>
      </w:r>
      <w:r w:rsidR="00F73149">
        <w:rPr>
          <w:rFonts w:asciiTheme="majorBidi" w:hAnsiTheme="majorBidi" w:cstheme="majorBidi"/>
          <w:sz w:val="24"/>
          <w:szCs w:val="22"/>
        </w:rPr>
        <w:t>d</w:t>
      </w:r>
      <w:r w:rsidR="0030226C" w:rsidRPr="00067D8A">
        <w:rPr>
          <w:rFonts w:asciiTheme="majorBidi" w:hAnsiTheme="majorBidi" w:cstheme="majorBidi"/>
          <w:sz w:val="24"/>
          <w:szCs w:val="22"/>
        </w:rPr>
        <w:t xml:space="preserve"> a small rubble-filled core thereby forming a single massive wall. As in the previous </w:t>
      </w:r>
      <w:r>
        <w:rPr>
          <w:rFonts w:asciiTheme="majorBidi" w:hAnsiTheme="majorBidi" w:cstheme="majorBidi"/>
          <w:sz w:val="24"/>
          <w:szCs w:val="22"/>
        </w:rPr>
        <w:t>sub-period</w:t>
      </w:r>
      <w:r w:rsidR="0030226C" w:rsidRPr="00067D8A">
        <w:rPr>
          <w:rFonts w:asciiTheme="majorBidi" w:hAnsiTheme="majorBidi" w:cstheme="majorBidi"/>
          <w:sz w:val="24"/>
          <w:szCs w:val="22"/>
        </w:rPr>
        <w:t xml:space="preserve">s, the remaining interior space was divided into small rooms used for habitation. Interior stairways again indicate that access to an upper storey or the roof was an important aspect of these dwellings. North of the wall was a large open space of unknown function. Most structures </w:t>
      </w:r>
      <w:r w:rsidR="00F73149">
        <w:rPr>
          <w:rFonts w:asciiTheme="majorBidi" w:hAnsiTheme="majorBidi" w:cstheme="majorBidi"/>
          <w:sz w:val="24"/>
          <w:szCs w:val="22"/>
        </w:rPr>
        <w:lastRenderedPageBreak/>
        <w:t>we</w:t>
      </w:r>
      <w:r w:rsidR="00F73149" w:rsidRPr="00067D8A">
        <w:rPr>
          <w:rFonts w:asciiTheme="majorBidi" w:hAnsiTheme="majorBidi" w:cstheme="majorBidi"/>
          <w:sz w:val="24"/>
          <w:szCs w:val="22"/>
        </w:rPr>
        <w:t xml:space="preserve">re </w:t>
      </w:r>
      <w:r w:rsidR="0030226C" w:rsidRPr="00067D8A">
        <w:rPr>
          <w:rFonts w:asciiTheme="majorBidi" w:hAnsiTheme="majorBidi" w:cstheme="majorBidi"/>
          <w:sz w:val="24"/>
          <w:szCs w:val="22"/>
        </w:rPr>
        <w:t xml:space="preserve">described as being much more carelessly constructed when compared with those of the preceding phases, but are otherwise very similar. Again, the major distinction for this </w:t>
      </w:r>
      <w:r>
        <w:rPr>
          <w:rFonts w:asciiTheme="majorBidi" w:hAnsiTheme="majorBidi" w:cstheme="majorBidi"/>
          <w:sz w:val="24"/>
          <w:szCs w:val="22"/>
        </w:rPr>
        <w:t>sub-period</w:t>
      </w:r>
      <w:r w:rsidR="0030226C" w:rsidRPr="00067D8A">
        <w:rPr>
          <w:rFonts w:asciiTheme="majorBidi" w:hAnsiTheme="majorBidi" w:cstheme="majorBidi"/>
          <w:sz w:val="24"/>
          <w:szCs w:val="22"/>
        </w:rPr>
        <w:t xml:space="preserve"> is to be found in the ceramic artefacts and the disappearance of previous forms and motifs (most notably animal motifs; see below). Structures from this </w:t>
      </w:r>
      <w:r>
        <w:rPr>
          <w:rFonts w:asciiTheme="majorBidi" w:hAnsiTheme="majorBidi" w:cstheme="majorBidi"/>
          <w:sz w:val="24"/>
          <w:szCs w:val="22"/>
        </w:rPr>
        <w:t>sub-period</w:t>
      </w:r>
      <w:r w:rsidR="0030226C" w:rsidRPr="00067D8A">
        <w:rPr>
          <w:rFonts w:asciiTheme="majorBidi" w:hAnsiTheme="majorBidi" w:cstheme="majorBidi"/>
          <w:sz w:val="24"/>
          <w:szCs w:val="22"/>
        </w:rPr>
        <w:t xml:space="preserve"> have also been located on other mounds, but these preserved parts are usually shallow and highly eroded. The single piece of stone sculpture from the site was found in the upper 15 cm of deposits </w:t>
      </w:r>
      <w:r w:rsidR="0030226C" w:rsidRPr="00F73149">
        <w:rPr>
          <w:rFonts w:asciiTheme="majorBidi" w:hAnsiTheme="majorBidi" w:cstheme="majorBidi"/>
          <w:sz w:val="24"/>
          <w:szCs w:val="22"/>
        </w:rPr>
        <w:t xml:space="preserve">attributable to </w:t>
      </w:r>
      <w:r w:rsidRPr="00F73149">
        <w:rPr>
          <w:rFonts w:asciiTheme="majorBidi" w:hAnsiTheme="majorBidi" w:cstheme="majorBidi"/>
          <w:sz w:val="24"/>
          <w:szCs w:val="22"/>
        </w:rPr>
        <w:t>Sub-Period</w:t>
      </w:r>
      <w:r w:rsidR="0022688B" w:rsidRPr="00F73149">
        <w:rPr>
          <w:rFonts w:asciiTheme="majorBidi" w:hAnsiTheme="majorBidi" w:cstheme="majorBidi"/>
          <w:sz w:val="24"/>
          <w:szCs w:val="22"/>
        </w:rPr>
        <w:t xml:space="preserve"> IV</w:t>
      </w:r>
      <w:r w:rsidRPr="00F73149">
        <w:rPr>
          <w:rFonts w:asciiTheme="majorBidi" w:hAnsiTheme="majorBidi" w:cstheme="majorBidi"/>
          <w:sz w:val="24"/>
          <w:szCs w:val="22"/>
          <w:vertAlign w:val="subscript"/>
        </w:rPr>
        <w:t>3</w:t>
      </w:r>
      <w:r w:rsidR="0022688B" w:rsidRPr="00F73149">
        <w:rPr>
          <w:rFonts w:asciiTheme="majorBidi" w:hAnsiTheme="majorBidi" w:cstheme="majorBidi"/>
          <w:sz w:val="24"/>
          <w:szCs w:val="22"/>
          <w:vertAlign w:val="subscript"/>
        </w:rPr>
        <w:t>.</w:t>
      </w:r>
      <w:r w:rsidR="0022688B" w:rsidRPr="00F73149">
        <w:rPr>
          <w:rFonts w:asciiTheme="majorBidi" w:hAnsiTheme="majorBidi" w:cstheme="majorBidi"/>
          <w:sz w:val="24"/>
          <w:szCs w:val="22"/>
        </w:rPr>
        <w:t xml:space="preserve"> </w:t>
      </w:r>
      <w:r w:rsidR="0030226C" w:rsidRPr="00F73149">
        <w:rPr>
          <w:rFonts w:asciiTheme="majorBidi" w:hAnsiTheme="majorBidi" w:cstheme="majorBidi"/>
          <w:sz w:val="24"/>
          <w:szCs w:val="22"/>
        </w:rPr>
        <w:t xml:space="preserve">This final </w:t>
      </w:r>
      <w:r w:rsidRPr="00F73149">
        <w:rPr>
          <w:rFonts w:asciiTheme="majorBidi" w:hAnsiTheme="majorBidi" w:cstheme="majorBidi"/>
          <w:sz w:val="24"/>
          <w:szCs w:val="22"/>
        </w:rPr>
        <w:t>sub-period</w:t>
      </w:r>
      <w:r w:rsidR="0030226C" w:rsidRPr="00F73149">
        <w:rPr>
          <w:rFonts w:asciiTheme="majorBidi" w:hAnsiTheme="majorBidi" w:cstheme="majorBidi"/>
          <w:sz w:val="24"/>
          <w:szCs w:val="22"/>
        </w:rPr>
        <w:t xml:space="preserve"> of Period IV did not come to any violent</w:t>
      </w:r>
      <w:r w:rsidR="0030226C" w:rsidRPr="00067D8A">
        <w:rPr>
          <w:rFonts w:asciiTheme="majorBidi" w:hAnsiTheme="majorBidi" w:cstheme="majorBidi"/>
          <w:sz w:val="24"/>
          <w:szCs w:val="22"/>
        </w:rPr>
        <w:t xml:space="preserve"> end, and the difference between it and Period V again seems based mainly upon ceramic traits and the establishment of another monumental structure on Mound A.</w:t>
      </w:r>
    </w:p>
    <w:p w14:paraId="075CF90C" w14:textId="407952CF" w:rsidR="0030226C" w:rsidRPr="00067D8A" w:rsidRDefault="0030226C" w:rsidP="00AA59C6">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Up to this point the Mundigak sequence has basically demonstrated a record of continuous cultural development, albeit one beset with sampling and stratigraphic problems. However, subsequent to Period IV, the site appears to have been abandoned, and Period V belongs to </w:t>
      </w:r>
      <w:r w:rsidR="00C61BBA" w:rsidRPr="00067D8A">
        <w:rPr>
          <w:rFonts w:asciiTheme="majorBidi" w:hAnsiTheme="majorBidi" w:cstheme="majorBidi"/>
          <w:sz w:val="24"/>
          <w:szCs w:val="22"/>
        </w:rPr>
        <w:t xml:space="preserve">the late </w:t>
      </w:r>
      <w:r w:rsidR="00F73149">
        <w:rPr>
          <w:rFonts w:asciiTheme="majorBidi" w:hAnsiTheme="majorBidi" w:cstheme="majorBidi"/>
          <w:sz w:val="24"/>
          <w:szCs w:val="22"/>
        </w:rPr>
        <w:t xml:space="preserve">Bronze or early </w:t>
      </w:r>
      <w:r w:rsidRPr="00067D8A">
        <w:rPr>
          <w:rFonts w:asciiTheme="majorBidi" w:hAnsiTheme="majorBidi" w:cstheme="majorBidi"/>
          <w:sz w:val="24"/>
          <w:szCs w:val="22"/>
        </w:rPr>
        <w:t>Iron Age. Almost all charts and discussions of prehistoric cultural development in Afghanistan terminate with the end of Period IV</w:t>
      </w:r>
      <w:r w:rsidRPr="00067D8A">
        <w:rPr>
          <w:rFonts w:asciiTheme="majorBidi" w:hAnsiTheme="majorBidi" w:cstheme="majorBidi"/>
          <w:sz w:val="24"/>
          <w:szCs w:val="22"/>
          <w:vertAlign w:val="subscript"/>
        </w:rPr>
        <w:t>3</w:t>
      </w:r>
      <w:r w:rsidRPr="00067D8A">
        <w:rPr>
          <w:rFonts w:asciiTheme="majorBidi" w:hAnsiTheme="majorBidi" w:cstheme="majorBidi"/>
          <w:sz w:val="24"/>
          <w:szCs w:val="22"/>
        </w:rPr>
        <w:t>,</w:t>
      </w:r>
      <w:r w:rsidRPr="00067D8A">
        <w:rPr>
          <w:rStyle w:val="EndnoteReference"/>
          <w:rFonts w:asciiTheme="majorBidi" w:hAnsiTheme="majorBidi" w:cstheme="majorBidi"/>
          <w:sz w:val="24"/>
          <w:szCs w:val="22"/>
        </w:rPr>
        <w:endnoteReference w:id="38"/>
      </w:r>
      <w:r w:rsidRPr="00067D8A">
        <w:rPr>
          <w:rFonts w:asciiTheme="majorBidi" w:hAnsiTheme="majorBidi" w:cstheme="majorBidi"/>
          <w:sz w:val="24"/>
          <w:szCs w:val="22"/>
        </w:rPr>
        <w:t xml:space="preserve"> although the sequence continues for three more major periods. The interpretation that a major abandonment occurred after Period IV</w:t>
      </w:r>
      <w:r w:rsidRPr="00067D8A">
        <w:rPr>
          <w:rFonts w:asciiTheme="majorBidi" w:hAnsiTheme="majorBidi" w:cstheme="majorBidi"/>
          <w:sz w:val="24"/>
          <w:szCs w:val="22"/>
          <w:vertAlign w:val="subscript"/>
        </w:rPr>
        <w:t>3</w:t>
      </w:r>
      <w:r w:rsidRPr="00067D8A">
        <w:rPr>
          <w:rFonts w:asciiTheme="majorBidi" w:hAnsiTheme="majorBidi" w:cstheme="majorBidi"/>
          <w:sz w:val="24"/>
          <w:szCs w:val="22"/>
        </w:rPr>
        <w:t xml:space="preserve"> has been reinforced by the excavations at Said Qala, Deh Morasi, Shahr-i Sokhta and the Quetta valley, all of which failed to define a sequel to Mundigak IV type material. Moreover, this hiatus in cultural development seems to be contemporary with the development of the Mature Harappan culture in the Indus valley</w:t>
      </w:r>
      <w:r w:rsidR="00A6495A">
        <w:rPr>
          <w:rFonts w:asciiTheme="majorBidi" w:hAnsiTheme="majorBidi" w:cstheme="majorBidi"/>
          <w:sz w:val="24"/>
          <w:szCs w:val="22"/>
        </w:rPr>
        <w:t xml:space="preserve">, which is when there is evidence for contact between the Indus region, northern Afghanistan (i.e. Shortugaï; see Chapter 3), </w:t>
      </w:r>
      <w:r w:rsidRPr="00067D8A">
        <w:rPr>
          <w:rFonts w:asciiTheme="majorBidi" w:hAnsiTheme="majorBidi" w:cstheme="majorBidi"/>
          <w:sz w:val="24"/>
          <w:szCs w:val="22"/>
        </w:rPr>
        <w:t>eastern Iran</w:t>
      </w:r>
      <w:r w:rsidRPr="00067D8A">
        <w:rPr>
          <w:rStyle w:val="EndnoteReference"/>
          <w:rFonts w:asciiTheme="majorBidi" w:hAnsiTheme="majorBidi" w:cstheme="majorBidi"/>
          <w:sz w:val="24"/>
          <w:szCs w:val="22"/>
        </w:rPr>
        <w:endnoteReference w:id="39"/>
      </w:r>
      <w:r w:rsidRPr="00067D8A">
        <w:rPr>
          <w:rFonts w:asciiTheme="majorBidi" w:hAnsiTheme="majorBidi" w:cstheme="majorBidi"/>
          <w:sz w:val="24"/>
          <w:szCs w:val="22"/>
        </w:rPr>
        <w:t xml:space="preserve"> and Central Asia.</w:t>
      </w:r>
      <w:r w:rsidRPr="00067D8A">
        <w:rPr>
          <w:rStyle w:val="EndnoteReference"/>
          <w:rFonts w:asciiTheme="majorBidi" w:hAnsiTheme="majorBidi" w:cstheme="majorBidi"/>
          <w:sz w:val="24"/>
          <w:szCs w:val="22"/>
        </w:rPr>
        <w:endnoteReference w:id="40"/>
      </w:r>
      <w:r w:rsidRPr="00067D8A">
        <w:rPr>
          <w:rFonts w:asciiTheme="majorBidi" w:hAnsiTheme="majorBidi" w:cstheme="majorBidi"/>
          <w:sz w:val="24"/>
          <w:szCs w:val="22"/>
        </w:rPr>
        <w:t xml:space="preserve"> Throughout Mundigak III-IV there was evidence of some cultural interaction with the Indus region, and to further complicate the situation there is a pronounced dissimilarity between the material culture of Mundigak IV and V or, for that matter, between V and any other prehistoric culture yet defined in the area. Therefore, the culture sequence at Mundigak following Period IV is extremely problematical.</w:t>
      </w:r>
    </w:p>
    <w:p w14:paraId="14CB027A" w14:textId="77777777" w:rsidR="005F3FF4" w:rsidRDefault="00957D29">
      <w:pPr>
        <w:pStyle w:val="BodyTextIndent"/>
        <w:ind w:firstLine="0"/>
        <w:rPr>
          <w:rFonts w:asciiTheme="majorBidi" w:hAnsiTheme="majorBidi" w:cstheme="majorBidi"/>
          <w:i/>
          <w:iCs/>
          <w:sz w:val="24"/>
          <w:szCs w:val="22"/>
        </w:rPr>
      </w:pPr>
      <w:r>
        <w:rPr>
          <w:rFonts w:asciiTheme="majorBidi" w:hAnsiTheme="majorBidi" w:cstheme="majorBidi"/>
          <w:i/>
          <w:iCs/>
          <w:sz w:val="24"/>
          <w:szCs w:val="22"/>
        </w:rPr>
        <w:lastRenderedPageBreak/>
        <w:t>Period V</w:t>
      </w:r>
    </w:p>
    <w:p w14:paraId="4B2AAFE0" w14:textId="0C9FBE92" w:rsidR="00AD05F1" w:rsidRDefault="00AD05F1" w:rsidP="00AD05F1">
      <w:pPr>
        <w:pStyle w:val="BodyTextIndent"/>
        <w:ind w:firstLine="0"/>
        <w:rPr>
          <w:rFonts w:asciiTheme="majorBidi" w:hAnsiTheme="majorBidi" w:cstheme="majorBidi"/>
          <w:sz w:val="24"/>
          <w:szCs w:val="22"/>
        </w:rPr>
      </w:pPr>
      <w:r w:rsidRPr="00067D8A">
        <w:rPr>
          <w:rFonts w:asciiTheme="majorBidi" w:hAnsiTheme="majorBidi" w:cstheme="majorBidi"/>
          <w:sz w:val="24"/>
          <w:szCs w:val="22"/>
        </w:rPr>
        <w:t xml:space="preserve">No doubt many of the interpretative problems can be attributed to the heavy erosion witnessed by the upper levels of the site in conjunction with what appears to be disturbed stratigraphy. Casal </w:t>
      </w:r>
      <w:r w:rsidR="00A6495A" w:rsidRPr="00067D8A">
        <w:rPr>
          <w:rFonts w:asciiTheme="majorBidi" w:hAnsiTheme="majorBidi" w:cstheme="majorBidi"/>
          <w:sz w:val="24"/>
          <w:szCs w:val="22"/>
        </w:rPr>
        <w:t>refer</w:t>
      </w:r>
      <w:r w:rsidR="00A6495A">
        <w:rPr>
          <w:rFonts w:asciiTheme="majorBidi" w:hAnsiTheme="majorBidi" w:cstheme="majorBidi"/>
          <w:sz w:val="24"/>
          <w:szCs w:val="22"/>
        </w:rPr>
        <w:t>ed</w:t>
      </w:r>
      <w:r w:rsidR="00A6495A" w:rsidRPr="00067D8A">
        <w:rPr>
          <w:rFonts w:asciiTheme="majorBidi" w:hAnsiTheme="majorBidi" w:cstheme="majorBidi"/>
          <w:sz w:val="24"/>
          <w:szCs w:val="22"/>
        </w:rPr>
        <w:t xml:space="preserve"> </w:t>
      </w:r>
      <w:r w:rsidRPr="00067D8A">
        <w:rPr>
          <w:rFonts w:asciiTheme="majorBidi" w:hAnsiTheme="majorBidi" w:cstheme="majorBidi"/>
          <w:sz w:val="24"/>
          <w:szCs w:val="22"/>
        </w:rPr>
        <w:t xml:space="preserve">to the possibility of earthquakes, a not uncommon phenomenon in this area. Mound A was reoccupied and utilised for the construction of a large monumental building directly atop </w:t>
      </w:r>
      <w:r w:rsidRPr="00A6495A">
        <w:rPr>
          <w:rFonts w:asciiTheme="majorBidi" w:hAnsiTheme="majorBidi" w:cstheme="majorBidi"/>
          <w:sz w:val="24"/>
          <w:szCs w:val="22"/>
        </w:rPr>
        <w:t xml:space="preserve">remains of </w:t>
      </w:r>
      <w:r w:rsidR="001E1DEF" w:rsidRPr="00A6495A">
        <w:rPr>
          <w:rFonts w:asciiTheme="majorBidi" w:hAnsiTheme="majorBidi" w:cstheme="majorBidi"/>
          <w:sz w:val="24"/>
          <w:szCs w:val="22"/>
        </w:rPr>
        <w:t>Sub-Period</w:t>
      </w:r>
      <w:r w:rsidRPr="00A6495A">
        <w:rPr>
          <w:rFonts w:asciiTheme="majorBidi" w:hAnsiTheme="majorBidi" w:cstheme="majorBidi"/>
          <w:sz w:val="24"/>
          <w:szCs w:val="22"/>
        </w:rPr>
        <w:t xml:space="preserve"> IV</w:t>
      </w:r>
      <w:r w:rsidR="001E1DEF" w:rsidRPr="00A6495A">
        <w:rPr>
          <w:rFonts w:asciiTheme="majorBidi" w:hAnsiTheme="majorBidi" w:cstheme="majorBidi"/>
          <w:sz w:val="24"/>
          <w:szCs w:val="22"/>
          <w:vertAlign w:val="subscript"/>
        </w:rPr>
        <w:t>3</w:t>
      </w:r>
      <w:r w:rsidRPr="00067D8A">
        <w:rPr>
          <w:rFonts w:asciiTheme="majorBidi" w:hAnsiTheme="majorBidi" w:cstheme="majorBidi"/>
          <w:sz w:val="24"/>
          <w:szCs w:val="22"/>
        </w:rPr>
        <w:t xml:space="preserve"> (Fig. </w:t>
      </w:r>
      <w:r>
        <w:rPr>
          <w:rFonts w:asciiTheme="majorBidi" w:hAnsiTheme="majorBidi" w:cstheme="majorBidi"/>
          <w:sz w:val="24"/>
          <w:szCs w:val="22"/>
        </w:rPr>
        <w:t>4.</w:t>
      </w:r>
      <w:r w:rsidRPr="00067D8A">
        <w:rPr>
          <w:rFonts w:asciiTheme="majorBidi" w:hAnsiTheme="majorBidi" w:cstheme="majorBidi"/>
          <w:color w:val="FF0000"/>
          <w:sz w:val="24"/>
          <w:szCs w:val="22"/>
        </w:rPr>
        <w:t>52</w:t>
      </w:r>
      <w:r w:rsidRPr="00067D8A">
        <w:rPr>
          <w:rFonts w:asciiTheme="majorBidi" w:hAnsiTheme="majorBidi" w:cstheme="majorBidi"/>
          <w:sz w:val="24"/>
          <w:szCs w:val="22"/>
        </w:rPr>
        <w:t xml:space="preserve">). Construction involved the use of </w:t>
      </w:r>
      <w:r w:rsidR="001E1DEF">
        <w:rPr>
          <w:rFonts w:asciiTheme="majorBidi" w:hAnsiTheme="majorBidi" w:cstheme="majorBidi"/>
          <w:sz w:val="24"/>
          <w:szCs w:val="22"/>
        </w:rPr>
        <w:t>mud-</w:t>
      </w:r>
      <w:r w:rsidRPr="00067D8A">
        <w:rPr>
          <w:rFonts w:asciiTheme="majorBidi" w:hAnsiTheme="majorBidi" w:cstheme="majorBidi"/>
          <w:sz w:val="24"/>
          <w:szCs w:val="22"/>
        </w:rPr>
        <w:t xml:space="preserve">bricks placed atop a stone foundation. Previous structures were filled in with debris or covered with brick to form a level surface. The old colonnaded structures were completely covered with bricks in the construction of a large massive platform on the northern part of the mound. On the top of this platform were two small rooms occupying the highest elevation at the site. Directly south of these rooms, and at a lower elevation, were two long and narrow rectangular rooms encompassing almost the entire east-west distance of the mound’s summit. South of these rooms was another series of small rectangular rooms which could be divided into two groups: small rooms on the west and slightly larger rooms on the east. Indeed, the plan for this southern sector is strikingly similar to that of the last rebuilding in </w:t>
      </w:r>
      <w:r w:rsidR="001E1DEF" w:rsidRPr="00A6495A">
        <w:rPr>
          <w:rFonts w:asciiTheme="majorBidi" w:hAnsiTheme="majorBidi" w:cstheme="majorBidi"/>
          <w:sz w:val="24"/>
          <w:szCs w:val="22"/>
        </w:rPr>
        <w:t>Sub-Period</w:t>
      </w:r>
      <w:r w:rsidRPr="00067D8A">
        <w:rPr>
          <w:rFonts w:asciiTheme="majorBidi" w:hAnsiTheme="majorBidi" w:cstheme="majorBidi"/>
          <w:sz w:val="24"/>
          <w:szCs w:val="22"/>
        </w:rPr>
        <w:t xml:space="preserve"> IV</w:t>
      </w:r>
      <w:r w:rsidR="00A6495A">
        <w:rPr>
          <w:rFonts w:asciiTheme="majorBidi" w:hAnsiTheme="majorBidi" w:cstheme="majorBidi"/>
          <w:sz w:val="24"/>
          <w:szCs w:val="22"/>
          <w:vertAlign w:val="subscript"/>
        </w:rPr>
        <w:t>3</w:t>
      </w:r>
      <w:r w:rsidRPr="00067D8A">
        <w:rPr>
          <w:rFonts w:asciiTheme="majorBidi" w:hAnsiTheme="majorBidi" w:cstheme="majorBidi"/>
          <w:sz w:val="24"/>
          <w:szCs w:val="22"/>
        </w:rPr>
        <w:t xml:space="preserve">. The immediate summit area of the mound was terraced and it appears that the perimeter of this whole building complex was defined by these terrace walls. Unfortunately, these upper levels </w:t>
      </w:r>
      <w:r w:rsidR="006763B5">
        <w:rPr>
          <w:rFonts w:asciiTheme="majorBidi" w:hAnsiTheme="majorBidi" w:cstheme="majorBidi"/>
          <w:sz w:val="24"/>
          <w:szCs w:val="22"/>
        </w:rPr>
        <w:t>we</w:t>
      </w:r>
      <w:r w:rsidRPr="00067D8A">
        <w:rPr>
          <w:rFonts w:asciiTheme="majorBidi" w:hAnsiTheme="majorBidi" w:cstheme="majorBidi"/>
          <w:sz w:val="24"/>
          <w:szCs w:val="22"/>
        </w:rPr>
        <w:t>re very heavily eroded</w:t>
      </w:r>
      <w:r w:rsidR="006763B5">
        <w:rPr>
          <w:rFonts w:asciiTheme="majorBidi" w:hAnsiTheme="majorBidi" w:cstheme="majorBidi"/>
          <w:sz w:val="24"/>
          <w:szCs w:val="22"/>
        </w:rPr>
        <w:t>,</w:t>
      </w:r>
      <w:r w:rsidRPr="00067D8A">
        <w:rPr>
          <w:rFonts w:asciiTheme="majorBidi" w:hAnsiTheme="majorBidi" w:cstheme="majorBidi"/>
          <w:sz w:val="24"/>
          <w:szCs w:val="22"/>
        </w:rPr>
        <w:t xml:space="preserve"> preventing a full structural plan from being delineated. There can be no doubt that the elevated position of the whole structure, the terracing, the massive platform with elevated rooms atop it, and the fact that it was painted red and/or white made for a very impressive building.</w:t>
      </w:r>
    </w:p>
    <w:p w14:paraId="3FAA0F00" w14:textId="6D3CFA73"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The function of this massive Period V monument is unknown, but it is reasonably certain that it was not </w:t>
      </w:r>
      <w:r w:rsidR="006763B5" w:rsidRPr="00067D8A">
        <w:rPr>
          <w:rFonts w:asciiTheme="majorBidi" w:hAnsiTheme="majorBidi" w:cstheme="majorBidi"/>
          <w:sz w:val="24"/>
          <w:szCs w:val="22"/>
        </w:rPr>
        <w:t>a</w:t>
      </w:r>
      <w:r w:rsidRPr="00067D8A">
        <w:rPr>
          <w:rFonts w:asciiTheme="majorBidi" w:hAnsiTheme="majorBidi" w:cstheme="majorBidi"/>
          <w:sz w:val="24"/>
          <w:szCs w:val="22"/>
        </w:rPr>
        <w:t xml:space="preserve"> habitation, as it was completely devoid of the usual habitation features such as interior hearths. Furthermore, there is no indication that these rooms possessed any sort of roof </w:t>
      </w:r>
      <w:r w:rsidRPr="00067D8A">
        <w:rPr>
          <w:rFonts w:asciiTheme="majorBidi" w:hAnsiTheme="majorBidi" w:cstheme="majorBidi"/>
          <w:sz w:val="24"/>
          <w:szCs w:val="22"/>
        </w:rPr>
        <w:lastRenderedPageBreak/>
        <w:t>structure. The only indication as to the possible purpose of this structure was the location of a ‘human sacrifice’ just outside the foundation of the surrounding terrace</w:t>
      </w:r>
      <w:r w:rsidR="006763B5">
        <w:rPr>
          <w:rFonts w:asciiTheme="majorBidi" w:hAnsiTheme="majorBidi" w:cstheme="majorBidi"/>
          <w:sz w:val="24"/>
          <w:szCs w:val="22"/>
        </w:rPr>
        <w:t xml:space="preserve">, where </w:t>
      </w:r>
      <w:r w:rsidR="006763B5" w:rsidRPr="00067D8A">
        <w:rPr>
          <w:rFonts w:asciiTheme="majorBidi" w:hAnsiTheme="majorBidi" w:cstheme="majorBidi"/>
          <w:sz w:val="24"/>
          <w:szCs w:val="22"/>
        </w:rPr>
        <w:t xml:space="preserve">several human bones including an infant’s jaw bone were </w:t>
      </w:r>
      <w:r w:rsidR="006763B5">
        <w:rPr>
          <w:rFonts w:asciiTheme="majorBidi" w:hAnsiTheme="majorBidi" w:cstheme="majorBidi"/>
          <w:sz w:val="24"/>
          <w:szCs w:val="22"/>
        </w:rPr>
        <w:t>f</w:t>
      </w:r>
      <w:r w:rsidRPr="00067D8A">
        <w:rPr>
          <w:rFonts w:asciiTheme="majorBidi" w:hAnsiTheme="majorBidi" w:cstheme="majorBidi"/>
          <w:sz w:val="24"/>
          <w:szCs w:val="22"/>
        </w:rPr>
        <w:t xml:space="preserve">ound in association with the terrace wall foundation. The human ‘sacrifice’, combined with the stepped-pyramidal shape created by the terrace walls and the massiveness of the structure itself is certainly suggestive, as Casal noted, of the Mesopotamian ‘ziggurats’, but other monumental structures are now known elsewhere, </w:t>
      </w:r>
      <w:r w:rsidRPr="006763B5">
        <w:rPr>
          <w:rFonts w:asciiTheme="majorBidi" w:hAnsiTheme="majorBidi" w:cstheme="majorBidi"/>
          <w:color w:val="auto"/>
          <w:sz w:val="24"/>
          <w:szCs w:val="22"/>
        </w:rPr>
        <w:t>including Nad-i Ali in Seistan and Konar Sandal in south-east Iran</w:t>
      </w:r>
      <w:r w:rsidR="00906F70" w:rsidRPr="006763B5">
        <w:rPr>
          <w:rFonts w:asciiTheme="majorBidi" w:hAnsiTheme="majorBidi" w:cstheme="majorBidi"/>
          <w:color w:val="auto"/>
          <w:sz w:val="24"/>
          <w:szCs w:val="22"/>
        </w:rPr>
        <w:t xml:space="preserve"> </w:t>
      </w:r>
      <w:r w:rsidR="009C43AA" w:rsidRPr="006763B5">
        <w:rPr>
          <w:rFonts w:asciiTheme="majorBidi" w:hAnsiTheme="majorBidi" w:cstheme="majorBidi"/>
          <w:color w:val="auto"/>
          <w:sz w:val="24"/>
          <w:szCs w:val="22"/>
        </w:rPr>
        <w:t>(discussed below)</w:t>
      </w:r>
      <w:r w:rsidRPr="006763B5">
        <w:rPr>
          <w:rFonts w:asciiTheme="majorBidi" w:hAnsiTheme="majorBidi" w:cstheme="majorBidi"/>
          <w:color w:val="auto"/>
          <w:sz w:val="24"/>
          <w:szCs w:val="22"/>
        </w:rPr>
        <w:t xml:space="preserve">. </w:t>
      </w:r>
      <w:r w:rsidRPr="00067D8A">
        <w:rPr>
          <w:rFonts w:asciiTheme="majorBidi" w:hAnsiTheme="majorBidi" w:cstheme="majorBidi"/>
          <w:sz w:val="24"/>
          <w:szCs w:val="22"/>
        </w:rPr>
        <w:t>Nonetheless, the exact function of this interesting building remains to be determined.</w:t>
      </w:r>
    </w:p>
    <w:p w14:paraId="7A0E38AE" w14:textId="3F73BE2D"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Although the monumental structure was the only extensive area from this period excavated, it was not the only structure associated with Period V. Casal maintain</w:t>
      </w:r>
      <w:r w:rsidR="006763B5">
        <w:rPr>
          <w:rFonts w:asciiTheme="majorBidi" w:hAnsiTheme="majorBidi" w:cstheme="majorBidi"/>
          <w:sz w:val="24"/>
          <w:szCs w:val="22"/>
        </w:rPr>
        <w:t>ed</w:t>
      </w:r>
      <w:r w:rsidRPr="00067D8A">
        <w:rPr>
          <w:rFonts w:asciiTheme="majorBidi" w:hAnsiTheme="majorBidi" w:cstheme="majorBidi"/>
          <w:sz w:val="24"/>
          <w:szCs w:val="22"/>
        </w:rPr>
        <w:t xml:space="preserve"> that a whole series of habitations were to be found to the east side of Mound A and extending eastwards to the river, and there appear to be dwellings in areas immediately outside the terrace walls. It should also be noted that the main structure itself underwent at least one </w:t>
      </w:r>
      <w:r w:rsidR="001E1DEF">
        <w:rPr>
          <w:rFonts w:asciiTheme="majorBidi" w:hAnsiTheme="majorBidi" w:cstheme="majorBidi"/>
          <w:sz w:val="24"/>
          <w:szCs w:val="22"/>
        </w:rPr>
        <w:t>sub-period</w:t>
      </w:r>
      <w:r w:rsidR="001E1DEF" w:rsidRPr="00067D8A">
        <w:rPr>
          <w:rFonts w:asciiTheme="majorBidi" w:hAnsiTheme="majorBidi" w:cstheme="majorBidi"/>
          <w:sz w:val="24"/>
          <w:szCs w:val="22"/>
        </w:rPr>
        <w:t xml:space="preserve"> </w:t>
      </w:r>
      <w:r w:rsidRPr="00067D8A">
        <w:rPr>
          <w:rFonts w:asciiTheme="majorBidi" w:hAnsiTheme="majorBidi" w:cstheme="majorBidi"/>
          <w:sz w:val="24"/>
          <w:szCs w:val="22"/>
        </w:rPr>
        <w:t>of rebuilding.</w:t>
      </w:r>
    </w:p>
    <w:p w14:paraId="0EA16892" w14:textId="56B3AF7C" w:rsidR="00AD05F1" w:rsidRPr="006763B5" w:rsidRDefault="00AD05F1" w:rsidP="00AD05F1">
      <w:pPr>
        <w:pStyle w:val="BodyTextIndent"/>
        <w:rPr>
          <w:rFonts w:asciiTheme="majorBidi" w:hAnsiTheme="majorBidi" w:cstheme="majorBidi"/>
          <w:color w:val="auto"/>
          <w:sz w:val="24"/>
          <w:szCs w:val="22"/>
        </w:rPr>
      </w:pPr>
      <w:r w:rsidRPr="00067D8A">
        <w:rPr>
          <w:rFonts w:asciiTheme="majorBidi" w:hAnsiTheme="majorBidi" w:cstheme="majorBidi"/>
          <w:sz w:val="24"/>
          <w:szCs w:val="22"/>
        </w:rPr>
        <w:t xml:space="preserve">Architecturally and stratigraphically, there is no greater difference between Periods V and IV than there was between Periods IV and III. The major distinction between Periods IV and V is to be found in the ceramics. The only comparable ceramic industry is </w:t>
      </w:r>
      <w:r w:rsidR="006763B5">
        <w:rPr>
          <w:rFonts w:asciiTheme="majorBidi" w:hAnsiTheme="majorBidi" w:cstheme="majorBidi"/>
          <w:sz w:val="24"/>
          <w:szCs w:val="22"/>
        </w:rPr>
        <w:t xml:space="preserve">part of the Yaz I group in Bactria, which is </w:t>
      </w:r>
      <w:r w:rsidRPr="00067D8A">
        <w:rPr>
          <w:rFonts w:asciiTheme="majorBidi" w:hAnsiTheme="majorBidi" w:cstheme="majorBidi"/>
          <w:sz w:val="24"/>
          <w:szCs w:val="22"/>
        </w:rPr>
        <w:t>geographically distant and chronologically late</w:t>
      </w:r>
      <w:r w:rsidR="006763B5">
        <w:rPr>
          <w:rFonts w:asciiTheme="majorBidi" w:hAnsiTheme="majorBidi" w:cstheme="majorBidi"/>
          <w:sz w:val="24"/>
          <w:szCs w:val="22"/>
        </w:rPr>
        <w:t>r (early Iron Age)</w:t>
      </w:r>
      <w:r w:rsidRPr="00067D8A">
        <w:rPr>
          <w:rFonts w:asciiTheme="majorBidi" w:hAnsiTheme="majorBidi" w:cstheme="majorBidi"/>
          <w:sz w:val="24"/>
          <w:szCs w:val="22"/>
        </w:rPr>
        <w:t xml:space="preserve">. It appears that it was upon these ceramic comparisons that Casal based his contentions that a </w:t>
      </w:r>
      <w:r w:rsidRPr="006763B5">
        <w:rPr>
          <w:rFonts w:asciiTheme="majorBidi" w:hAnsiTheme="majorBidi" w:cstheme="majorBidi"/>
          <w:color w:val="auto"/>
          <w:sz w:val="24"/>
          <w:szCs w:val="22"/>
        </w:rPr>
        <w:t>period of abandonment separated Periods IV and V. However, Period V is now generally regarded as much later than Casal originally claimed.</w:t>
      </w:r>
    </w:p>
    <w:p w14:paraId="6135582B" w14:textId="77777777"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Although there are some continuities between Periods V and VI the latter is not included in this discussion of prehistoric Afghanistan. The presence of an iron technology and the associated cultural-ceramic affiliations indicate a late chronology for this period.</w:t>
      </w:r>
    </w:p>
    <w:p w14:paraId="56844D20" w14:textId="77777777" w:rsidR="0030226C" w:rsidRPr="00906F70" w:rsidRDefault="009C43AA" w:rsidP="0030226C">
      <w:pPr>
        <w:pStyle w:val="Heading3"/>
        <w:rPr>
          <w:rFonts w:asciiTheme="majorBidi" w:hAnsiTheme="majorBidi"/>
          <w:color w:val="auto"/>
          <w:lang w:val="en-GB"/>
        </w:rPr>
      </w:pPr>
      <w:r w:rsidRPr="009C43AA">
        <w:rPr>
          <w:rFonts w:asciiTheme="majorBidi" w:hAnsiTheme="majorBidi"/>
          <w:color w:val="auto"/>
          <w:lang w:val="en-GB"/>
        </w:rPr>
        <w:lastRenderedPageBreak/>
        <w:t>Chronology</w:t>
      </w:r>
    </w:p>
    <w:p w14:paraId="2C8FA6DC" w14:textId="77777777" w:rsidR="00906F70" w:rsidRDefault="00906F70" w:rsidP="0030226C">
      <w:pPr>
        <w:pStyle w:val="BodyText"/>
        <w:spacing w:line="480" w:lineRule="auto"/>
        <w:rPr>
          <w:rFonts w:asciiTheme="majorBidi" w:hAnsiTheme="majorBidi" w:cstheme="majorBidi"/>
          <w:sz w:val="24"/>
          <w:szCs w:val="22"/>
          <w:lang w:val="en-GB"/>
        </w:rPr>
      </w:pPr>
    </w:p>
    <w:p w14:paraId="1E00FE6C" w14:textId="6D857E18" w:rsidR="00685802" w:rsidRPr="006763B5" w:rsidRDefault="006763B5" w:rsidP="00685802">
      <w:pPr>
        <w:pStyle w:val="BodyText"/>
        <w:spacing w:line="480" w:lineRule="auto"/>
        <w:rPr>
          <w:rFonts w:asciiTheme="majorBidi" w:hAnsiTheme="majorBidi" w:cstheme="majorBidi"/>
          <w:color w:val="auto"/>
          <w:sz w:val="24"/>
          <w:szCs w:val="22"/>
          <w:lang w:val="en-GB"/>
        </w:rPr>
      </w:pPr>
      <w:r>
        <w:rPr>
          <w:rFonts w:asciiTheme="majorBidi" w:hAnsiTheme="majorBidi" w:cstheme="majorBidi"/>
          <w:sz w:val="24"/>
          <w:szCs w:val="22"/>
          <w:lang w:val="en-GB"/>
        </w:rPr>
        <w:t>There are only a limited number of radiocarbon dates that provide insight into</w:t>
      </w:r>
      <w:r w:rsidR="0030226C" w:rsidRPr="00067D8A">
        <w:rPr>
          <w:rFonts w:asciiTheme="majorBidi" w:hAnsiTheme="majorBidi" w:cstheme="majorBidi"/>
          <w:sz w:val="24"/>
          <w:szCs w:val="22"/>
          <w:lang w:val="en-GB"/>
        </w:rPr>
        <w:t xml:space="preserve"> the absolute chronology of the Mundigak sequence. At the time of excavation Casal obtained a series of </w:t>
      </w:r>
      <w:r w:rsidR="0030226C" w:rsidRPr="006763B5">
        <w:rPr>
          <w:rFonts w:asciiTheme="majorBidi" w:hAnsiTheme="majorBidi" w:cstheme="majorBidi"/>
          <w:color w:val="auto"/>
          <w:sz w:val="24"/>
          <w:szCs w:val="22"/>
          <w:lang w:val="en-GB"/>
        </w:rPr>
        <w:t>radiocarbon determinations for Periods I and III</w:t>
      </w:r>
      <w:r w:rsidR="00282F92">
        <w:rPr>
          <w:rStyle w:val="EndnoteReference"/>
          <w:rFonts w:asciiTheme="majorBidi" w:hAnsiTheme="majorBidi" w:cstheme="majorBidi"/>
          <w:color w:val="auto"/>
          <w:sz w:val="24"/>
          <w:szCs w:val="22"/>
          <w:lang w:val="en-GB"/>
        </w:rPr>
        <w:endnoteReference w:id="41"/>
      </w:r>
      <w:r w:rsidR="00282F92">
        <w:rPr>
          <w:rFonts w:asciiTheme="majorBidi" w:hAnsiTheme="majorBidi" w:cstheme="majorBidi"/>
          <w:color w:val="auto"/>
          <w:sz w:val="24"/>
          <w:szCs w:val="22"/>
          <w:lang w:val="en-GB"/>
        </w:rPr>
        <w:t>, which have been recalibrated</w:t>
      </w:r>
      <w:r w:rsidR="00282F92" w:rsidRPr="006763B5">
        <w:rPr>
          <w:rFonts w:asciiTheme="majorBidi" w:hAnsiTheme="majorBidi" w:cstheme="majorBidi"/>
          <w:color w:val="auto"/>
          <w:sz w:val="24"/>
          <w:szCs w:val="22"/>
          <w:lang w:val="en-GB"/>
        </w:rPr>
        <w:t>:</w:t>
      </w:r>
      <w:r w:rsidR="0030226C" w:rsidRPr="006763B5">
        <w:rPr>
          <w:rFonts w:asciiTheme="majorBidi" w:hAnsiTheme="majorBidi" w:cstheme="majorBidi"/>
          <w:color w:val="auto"/>
          <w:sz w:val="24"/>
          <w:szCs w:val="22"/>
          <w:lang w:val="en-GB"/>
        </w:rPr>
        <w:t xml:space="preserve"> </w:t>
      </w:r>
    </w:p>
    <w:p w14:paraId="6314C82D" w14:textId="73C89F0C" w:rsidR="00685802" w:rsidRPr="00E2251A" w:rsidRDefault="009C43AA" w:rsidP="00685802">
      <w:pPr>
        <w:pStyle w:val="BodyText"/>
        <w:spacing w:line="480" w:lineRule="auto"/>
        <w:rPr>
          <w:rFonts w:asciiTheme="majorBidi" w:hAnsiTheme="majorBidi" w:cstheme="majorBidi"/>
          <w:color w:val="auto"/>
          <w:sz w:val="24"/>
          <w:szCs w:val="22"/>
          <w:lang w:val="en-GB"/>
        </w:rPr>
      </w:pPr>
      <w:r w:rsidRPr="00E2251A">
        <w:rPr>
          <w:rFonts w:asciiTheme="majorBidi" w:hAnsiTheme="majorBidi" w:cstheme="majorBidi"/>
          <w:color w:val="auto"/>
          <w:sz w:val="24"/>
          <w:szCs w:val="22"/>
          <w:lang w:val="en-GB"/>
        </w:rPr>
        <w:tab/>
        <w:t>Period I</w:t>
      </w:r>
      <w:r w:rsidRPr="00E2251A">
        <w:rPr>
          <w:rFonts w:asciiTheme="majorBidi" w:hAnsiTheme="majorBidi" w:cstheme="majorBidi"/>
          <w:color w:val="auto"/>
          <w:sz w:val="24"/>
          <w:szCs w:val="22"/>
          <w:vertAlign w:val="subscript"/>
          <w:lang w:val="en-GB"/>
        </w:rPr>
        <w:t>5</w:t>
      </w:r>
      <w:r w:rsidRPr="00E2251A">
        <w:rPr>
          <w:rFonts w:asciiTheme="majorBidi" w:hAnsiTheme="majorBidi" w:cstheme="majorBidi"/>
          <w:color w:val="auto"/>
          <w:sz w:val="24"/>
          <w:szCs w:val="22"/>
          <w:lang w:val="en-GB"/>
        </w:rPr>
        <w:tab/>
      </w:r>
      <w:r w:rsidRPr="00E2251A">
        <w:rPr>
          <w:rFonts w:asciiTheme="majorBidi" w:hAnsiTheme="majorBidi" w:cstheme="majorBidi"/>
          <w:color w:val="auto"/>
          <w:sz w:val="24"/>
          <w:szCs w:val="22"/>
          <w:lang w:val="en-GB"/>
        </w:rPr>
        <w:tab/>
      </w:r>
      <w:r w:rsidR="00E2251A" w:rsidRPr="00E2251A">
        <w:rPr>
          <w:rFonts w:asciiTheme="majorBidi" w:hAnsiTheme="majorBidi" w:cstheme="majorBidi"/>
          <w:color w:val="auto"/>
          <w:sz w:val="24"/>
          <w:szCs w:val="22"/>
          <w:lang w:val="en-GB"/>
        </w:rPr>
        <w:t>GSY-50: 3,945±150 BP, 2,880-2,040 cal.</w:t>
      </w:r>
      <w:r w:rsidRPr="00E2251A">
        <w:rPr>
          <w:rFonts w:asciiTheme="majorBidi" w:hAnsiTheme="majorBidi" w:cstheme="majorBidi"/>
          <w:color w:val="auto"/>
          <w:sz w:val="24"/>
          <w:szCs w:val="22"/>
          <w:lang w:val="en-GB"/>
        </w:rPr>
        <w:t xml:space="preserve"> BC</w:t>
      </w:r>
    </w:p>
    <w:p w14:paraId="58219589" w14:textId="771D761A" w:rsidR="00E2251A" w:rsidRPr="00E2251A" w:rsidRDefault="00E2251A" w:rsidP="00E2251A">
      <w:pPr>
        <w:pStyle w:val="BodyText"/>
        <w:spacing w:line="480" w:lineRule="auto"/>
        <w:ind w:firstLine="720"/>
        <w:rPr>
          <w:rFonts w:asciiTheme="majorBidi" w:hAnsiTheme="majorBidi" w:cstheme="majorBidi"/>
          <w:color w:val="auto"/>
          <w:sz w:val="24"/>
          <w:szCs w:val="22"/>
          <w:lang w:val="en-GB"/>
        </w:rPr>
      </w:pPr>
      <w:r w:rsidRPr="00E2251A">
        <w:rPr>
          <w:rFonts w:asciiTheme="majorBidi" w:hAnsiTheme="majorBidi" w:cstheme="majorBidi"/>
          <w:color w:val="auto"/>
          <w:sz w:val="24"/>
          <w:szCs w:val="22"/>
          <w:lang w:val="en-GB"/>
        </w:rPr>
        <w:t>Period II</w:t>
      </w:r>
      <w:r w:rsidRPr="00E2251A">
        <w:rPr>
          <w:rFonts w:asciiTheme="majorBidi" w:hAnsiTheme="majorBidi" w:cstheme="majorBidi"/>
          <w:color w:val="auto"/>
          <w:sz w:val="24"/>
          <w:szCs w:val="22"/>
          <w:vertAlign w:val="subscript"/>
          <w:lang w:val="en-GB"/>
        </w:rPr>
        <w:t>1</w:t>
      </w:r>
      <w:r w:rsidRPr="00E2251A">
        <w:rPr>
          <w:rFonts w:asciiTheme="majorBidi" w:hAnsiTheme="majorBidi" w:cstheme="majorBidi"/>
          <w:color w:val="auto"/>
          <w:sz w:val="24"/>
          <w:szCs w:val="22"/>
          <w:lang w:val="en-GB"/>
        </w:rPr>
        <w:tab/>
      </w:r>
      <w:r w:rsidRPr="00E2251A">
        <w:rPr>
          <w:rFonts w:asciiTheme="majorBidi" w:hAnsiTheme="majorBidi" w:cstheme="majorBidi"/>
          <w:color w:val="auto"/>
          <w:sz w:val="24"/>
          <w:szCs w:val="22"/>
          <w:lang w:val="en-GB"/>
        </w:rPr>
        <w:tab/>
        <w:t>GSY-52: 3,480±115 BP, 2,130-1,520 cal. BC</w:t>
      </w:r>
    </w:p>
    <w:p w14:paraId="3781432B" w14:textId="29E9D691" w:rsidR="00685802" w:rsidRPr="00E2251A" w:rsidRDefault="009C43AA" w:rsidP="00685802">
      <w:pPr>
        <w:pStyle w:val="BodyText"/>
        <w:spacing w:line="480" w:lineRule="auto"/>
        <w:rPr>
          <w:rFonts w:asciiTheme="majorBidi" w:hAnsiTheme="majorBidi" w:cstheme="majorBidi"/>
          <w:color w:val="auto"/>
          <w:sz w:val="24"/>
          <w:szCs w:val="22"/>
          <w:lang w:val="en-GB"/>
        </w:rPr>
      </w:pPr>
      <w:r w:rsidRPr="00E2251A">
        <w:rPr>
          <w:rFonts w:asciiTheme="majorBidi" w:hAnsiTheme="majorBidi" w:cstheme="majorBidi"/>
          <w:color w:val="auto"/>
          <w:sz w:val="24"/>
          <w:szCs w:val="22"/>
          <w:lang w:val="en-GB"/>
        </w:rPr>
        <w:tab/>
        <w:t>Period III</w:t>
      </w:r>
      <w:r w:rsidRPr="00E2251A">
        <w:rPr>
          <w:rFonts w:asciiTheme="majorBidi" w:hAnsiTheme="majorBidi" w:cstheme="majorBidi"/>
          <w:color w:val="auto"/>
          <w:sz w:val="24"/>
          <w:szCs w:val="22"/>
          <w:vertAlign w:val="subscript"/>
          <w:lang w:val="en-GB"/>
        </w:rPr>
        <w:t>1</w:t>
      </w:r>
      <w:r w:rsidRPr="00E2251A">
        <w:rPr>
          <w:rFonts w:asciiTheme="majorBidi" w:hAnsiTheme="majorBidi" w:cstheme="majorBidi"/>
          <w:color w:val="auto"/>
          <w:sz w:val="24"/>
          <w:szCs w:val="22"/>
          <w:lang w:val="en-GB"/>
        </w:rPr>
        <w:tab/>
      </w:r>
      <w:r w:rsidRPr="00E2251A">
        <w:rPr>
          <w:rFonts w:asciiTheme="majorBidi" w:hAnsiTheme="majorBidi" w:cstheme="majorBidi"/>
          <w:color w:val="auto"/>
          <w:sz w:val="24"/>
          <w:szCs w:val="22"/>
          <w:lang w:val="en-GB"/>
        </w:rPr>
        <w:tab/>
      </w:r>
      <w:r w:rsidR="00E2251A" w:rsidRPr="00E2251A">
        <w:rPr>
          <w:rFonts w:asciiTheme="majorBidi" w:hAnsiTheme="majorBidi" w:cstheme="majorBidi"/>
          <w:color w:val="auto"/>
          <w:sz w:val="24"/>
          <w:szCs w:val="22"/>
          <w:lang w:val="en-GB"/>
        </w:rPr>
        <w:t>GSY-51: 2,995±110 BP, 1,494-927 cal. BC</w:t>
      </w:r>
    </w:p>
    <w:p w14:paraId="74FA8D8D" w14:textId="6B4994A3" w:rsidR="00685802" w:rsidRPr="00E2251A" w:rsidRDefault="009C43AA" w:rsidP="00685802">
      <w:pPr>
        <w:pStyle w:val="BodyText"/>
        <w:spacing w:line="480" w:lineRule="auto"/>
        <w:rPr>
          <w:rFonts w:asciiTheme="majorBidi" w:hAnsiTheme="majorBidi" w:cstheme="majorBidi"/>
          <w:color w:val="auto"/>
          <w:sz w:val="24"/>
          <w:szCs w:val="22"/>
          <w:lang w:val="en-GB"/>
        </w:rPr>
      </w:pPr>
      <w:r w:rsidRPr="00E2251A">
        <w:rPr>
          <w:rFonts w:asciiTheme="majorBidi" w:hAnsiTheme="majorBidi" w:cstheme="majorBidi"/>
          <w:color w:val="auto"/>
          <w:sz w:val="24"/>
          <w:szCs w:val="22"/>
          <w:lang w:val="en-GB"/>
        </w:rPr>
        <w:tab/>
        <w:t>Period III</w:t>
      </w:r>
      <w:r w:rsidRPr="00E2251A">
        <w:rPr>
          <w:rFonts w:asciiTheme="majorBidi" w:hAnsiTheme="majorBidi" w:cstheme="majorBidi"/>
          <w:color w:val="auto"/>
          <w:sz w:val="24"/>
          <w:szCs w:val="22"/>
          <w:vertAlign w:val="subscript"/>
          <w:lang w:val="en-GB"/>
        </w:rPr>
        <w:t>5</w:t>
      </w:r>
      <w:r w:rsidRPr="00E2251A">
        <w:rPr>
          <w:rFonts w:asciiTheme="majorBidi" w:hAnsiTheme="majorBidi" w:cstheme="majorBidi"/>
          <w:color w:val="auto"/>
          <w:sz w:val="24"/>
          <w:szCs w:val="22"/>
          <w:lang w:val="en-GB"/>
        </w:rPr>
        <w:tab/>
      </w:r>
      <w:r w:rsidRPr="00E2251A">
        <w:rPr>
          <w:rFonts w:asciiTheme="majorBidi" w:hAnsiTheme="majorBidi" w:cstheme="majorBidi"/>
          <w:color w:val="auto"/>
          <w:sz w:val="24"/>
          <w:szCs w:val="22"/>
          <w:lang w:val="en-GB"/>
        </w:rPr>
        <w:tab/>
      </w:r>
      <w:r w:rsidR="00E2251A" w:rsidRPr="00E2251A">
        <w:rPr>
          <w:rFonts w:asciiTheme="majorBidi" w:hAnsiTheme="majorBidi" w:cstheme="majorBidi"/>
          <w:color w:val="auto"/>
          <w:sz w:val="24"/>
          <w:szCs w:val="22"/>
          <w:lang w:val="en-GB"/>
        </w:rPr>
        <w:t>GSY-53; 4,185±150 BP, 3,330-2345 cal.</w:t>
      </w:r>
      <w:r w:rsidRPr="00E2251A">
        <w:rPr>
          <w:rFonts w:asciiTheme="majorBidi" w:hAnsiTheme="majorBidi" w:cstheme="majorBidi"/>
          <w:color w:val="auto"/>
          <w:sz w:val="24"/>
          <w:szCs w:val="22"/>
          <w:lang w:val="en-GB"/>
        </w:rPr>
        <w:t xml:space="preserve"> BC</w:t>
      </w:r>
    </w:p>
    <w:p w14:paraId="51772A20" w14:textId="74153363" w:rsidR="00F22F23" w:rsidRDefault="00D846B2" w:rsidP="00685802">
      <w:pPr>
        <w:pStyle w:val="BodyText"/>
        <w:spacing w:line="480" w:lineRule="auto"/>
        <w:rPr>
          <w:rFonts w:asciiTheme="majorBidi" w:hAnsiTheme="majorBidi" w:cstheme="majorBidi"/>
          <w:sz w:val="24"/>
          <w:szCs w:val="22"/>
          <w:lang w:val="en-GB"/>
        </w:rPr>
      </w:pPr>
      <w:r>
        <w:rPr>
          <w:rFonts w:asciiTheme="majorBidi" w:hAnsiTheme="majorBidi" w:cstheme="majorBidi"/>
          <w:sz w:val="24"/>
          <w:szCs w:val="22"/>
          <w:lang w:val="en-GB"/>
        </w:rPr>
        <w:t>When these dates were published, Coursaget and Le Run noted that “there are numerous difficulties in this sequence of dates”,</w:t>
      </w:r>
      <w:r>
        <w:rPr>
          <w:rStyle w:val="EndnoteReference"/>
          <w:rFonts w:asciiTheme="majorBidi" w:hAnsiTheme="majorBidi" w:cstheme="majorBidi"/>
          <w:sz w:val="24"/>
          <w:szCs w:val="22"/>
          <w:lang w:val="en-GB"/>
        </w:rPr>
        <w:endnoteReference w:id="42"/>
      </w:r>
      <w:r>
        <w:rPr>
          <w:rFonts w:asciiTheme="majorBidi" w:hAnsiTheme="majorBidi" w:cstheme="majorBidi"/>
          <w:sz w:val="24"/>
          <w:szCs w:val="22"/>
          <w:lang w:val="en-GB"/>
        </w:rPr>
        <w:t xml:space="preserve"> and this can be clarified by noting that they each </w:t>
      </w:r>
      <w:r w:rsidR="00E93887">
        <w:rPr>
          <w:rFonts w:asciiTheme="majorBidi" w:hAnsiTheme="majorBidi" w:cstheme="majorBidi"/>
          <w:sz w:val="24"/>
          <w:szCs w:val="22"/>
          <w:lang w:val="en-GB"/>
        </w:rPr>
        <w:t>have large uncertainty ranges</w:t>
      </w:r>
      <w:r>
        <w:rPr>
          <w:rFonts w:asciiTheme="majorBidi" w:hAnsiTheme="majorBidi" w:cstheme="majorBidi"/>
          <w:sz w:val="24"/>
          <w:szCs w:val="22"/>
          <w:lang w:val="en-GB"/>
        </w:rPr>
        <w:t xml:space="preserve">, the </w:t>
      </w:r>
      <w:r w:rsidR="005C3404">
        <w:rPr>
          <w:rFonts w:asciiTheme="majorBidi" w:hAnsiTheme="majorBidi" w:cstheme="majorBidi"/>
          <w:sz w:val="24"/>
          <w:szCs w:val="22"/>
          <w:lang w:val="en-GB"/>
        </w:rPr>
        <w:t xml:space="preserve">calibrated </w:t>
      </w:r>
      <w:r>
        <w:rPr>
          <w:rFonts w:asciiTheme="majorBidi" w:hAnsiTheme="majorBidi" w:cstheme="majorBidi"/>
          <w:sz w:val="24"/>
          <w:szCs w:val="22"/>
          <w:lang w:val="en-GB"/>
        </w:rPr>
        <w:t>date ranges do not conform to the stratigraphic phasing,</w:t>
      </w:r>
      <w:r w:rsidR="00E93887">
        <w:rPr>
          <w:rFonts w:asciiTheme="majorBidi" w:hAnsiTheme="majorBidi" w:cstheme="majorBidi"/>
          <w:sz w:val="24"/>
          <w:szCs w:val="22"/>
          <w:lang w:val="en-GB"/>
        </w:rPr>
        <w:t xml:space="preserve"> and </w:t>
      </w:r>
      <w:r w:rsidR="005C3404">
        <w:rPr>
          <w:rFonts w:asciiTheme="majorBidi" w:hAnsiTheme="majorBidi" w:cstheme="majorBidi"/>
          <w:sz w:val="24"/>
          <w:szCs w:val="22"/>
          <w:lang w:val="en-GB"/>
        </w:rPr>
        <w:t xml:space="preserve">they also </w:t>
      </w:r>
      <w:r w:rsidR="00E93887">
        <w:rPr>
          <w:rFonts w:asciiTheme="majorBidi" w:hAnsiTheme="majorBidi" w:cstheme="majorBidi"/>
          <w:sz w:val="24"/>
          <w:szCs w:val="22"/>
          <w:lang w:val="en-GB"/>
        </w:rPr>
        <w:t>bear little resemblance to the expected ages derived from the relative comparandae (see below)</w:t>
      </w:r>
      <w:r>
        <w:rPr>
          <w:rFonts w:asciiTheme="majorBidi" w:hAnsiTheme="majorBidi" w:cstheme="majorBidi"/>
          <w:sz w:val="24"/>
          <w:szCs w:val="22"/>
          <w:lang w:val="en-GB"/>
        </w:rPr>
        <w:t xml:space="preserve">. The dates are however not modern, so there appear to have been some </w:t>
      </w:r>
      <w:r w:rsidR="00E93887">
        <w:rPr>
          <w:rFonts w:asciiTheme="majorBidi" w:hAnsiTheme="majorBidi" w:cstheme="majorBidi"/>
          <w:sz w:val="24"/>
          <w:szCs w:val="22"/>
          <w:lang w:val="en-GB"/>
        </w:rPr>
        <w:t>contamination</w:t>
      </w:r>
      <w:r>
        <w:rPr>
          <w:rFonts w:asciiTheme="majorBidi" w:hAnsiTheme="majorBidi" w:cstheme="majorBidi"/>
          <w:sz w:val="24"/>
          <w:szCs w:val="22"/>
          <w:lang w:val="en-GB"/>
        </w:rPr>
        <w:t>, perhaps</w:t>
      </w:r>
      <w:r w:rsidR="00E93887">
        <w:rPr>
          <w:rFonts w:asciiTheme="majorBidi" w:hAnsiTheme="majorBidi" w:cstheme="majorBidi"/>
          <w:sz w:val="24"/>
          <w:szCs w:val="22"/>
          <w:lang w:val="en-GB"/>
        </w:rPr>
        <w:t xml:space="preserve"> from later pits that were not adequately isolated in the initial excavation</w:t>
      </w:r>
      <w:r w:rsidR="0030226C" w:rsidRPr="00067D8A">
        <w:rPr>
          <w:rFonts w:asciiTheme="majorBidi" w:hAnsiTheme="majorBidi" w:cstheme="majorBidi"/>
          <w:sz w:val="24"/>
          <w:szCs w:val="22"/>
          <w:lang w:val="en-GB"/>
        </w:rPr>
        <w:t>. Dales</w:t>
      </w:r>
      <w:r w:rsidR="0030226C" w:rsidRPr="00067D8A">
        <w:rPr>
          <w:rStyle w:val="EndnoteReference"/>
          <w:rFonts w:asciiTheme="majorBidi" w:hAnsiTheme="majorBidi" w:cstheme="majorBidi"/>
          <w:sz w:val="24"/>
          <w:szCs w:val="22"/>
          <w:lang w:val="en-GB"/>
        </w:rPr>
        <w:endnoteReference w:id="43"/>
      </w:r>
      <w:r w:rsidR="0030226C" w:rsidRPr="00067D8A">
        <w:rPr>
          <w:rFonts w:asciiTheme="majorBidi" w:hAnsiTheme="majorBidi" w:cstheme="majorBidi"/>
          <w:sz w:val="24"/>
          <w:szCs w:val="22"/>
          <w:lang w:val="en-GB"/>
        </w:rPr>
        <w:t xml:space="preserve"> independently processed some wood charcoal collected from Period I strata </w:t>
      </w:r>
      <w:r>
        <w:rPr>
          <w:rFonts w:asciiTheme="majorBidi" w:hAnsiTheme="majorBidi" w:cstheme="majorBidi"/>
          <w:sz w:val="24"/>
          <w:szCs w:val="22"/>
          <w:lang w:val="en-GB"/>
        </w:rPr>
        <w:t>in order to establish</w:t>
      </w:r>
      <w:r w:rsidR="0030226C" w:rsidRPr="00067D8A">
        <w:rPr>
          <w:rFonts w:asciiTheme="majorBidi" w:hAnsiTheme="majorBidi" w:cstheme="majorBidi"/>
          <w:sz w:val="24"/>
          <w:szCs w:val="22"/>
          <w:lang w:val="en-GB"/>
        </w:rPr>
        <w:t xml:space="preserve"> </w:t>
      </w:r>
      <w:r w:rsidR="00E93887">
        <w:rPr>
          <w:rFonts w:asciiTheme="majorBidi" w:hAnsiTheme="majorBidi" w:cstheme="majorBidi"/>
          <w:sz w:val="24"/>
          <w:szCs w:val="22"/>
          <w:lang w:val="en-GB"/>
        </w:rPr>
        <w:t>more</w:t>
      </w:r>
      <w:r w:rsidR="0030226C" w:rsidRPr="00067D8A">
        <w:rPr>
          <w:rFonts w:asciiTheme="majorBidi" w:hAnsiTheme="majorBidi" w:cstheme="majorBidi"/>
          <w:sz w:val="24"/>
          <w:szCs w:val="22"/>
          <w:lang w:val="en-GB"/>
        </w:rPr>
        <w:t xml:space="preserve"> accurate chronological parameters for the initial occupation</w:t>
      </w:r>
      <w:r w:rsidR="00E93887">
        <w:rPr>
          <w:rFonts w:asciiTheme="majorBidi" w:hAnsiTheme="majorBidi" w:cstheme="majorBidi"/>
          <w:sz w:val="24"/>
          <w:szCs w:val="22"/>
          <w:lang w:val="en-GB"/>
        </w:rPr>
        <w:t xml:space="preserve">, and these have also </w:t>
      </w:r>
      <w:r w:rsidR="0030226C" w:rsidRPr="00067D8A">
        <w:rPr>
          <w:rFonts w:asciiTheme="majorBidi" w:hAnsiTheme="majorBidi" w:cstheme="majorBidi"/>
          <w:sz w:val="24"/>
          <w:szCs w:val="22"/>
          <w:lang w:val="en-GB"/>
        </w:rPr>
        <w:t xml:space="preserve">been recalibrated </w:t>
      </w:r>
      <w:r>
        <w:rPr>
          <w:rFonts w:asciiTheme="majorBidi" w:hAnsiTheme="majorBidi" w:cstheme="majorBidi"/>
          <w:sz w:val="24"/>
          <w:szCs w:val="22"/>
          <w:lang w:val="en-GB"/>
        </w:rPr>
        <w:t xml:space="preserve">as follows </w:t>
      </w:r>
      <w:r w:rsidR="0030226C" w:rsidRPr="00067D8A">
        <w:rPr>
          <w:rFonts w:asciiTheme="majorBidi" w:hAnsiTheme="majorBidi" w:cstheme="majorBidi"/>
          <w:sz w:val="24"/>
          <w:szCs w:val="22"/>
          <w:lang w:val="en-GB"/>
        </w:rPr>
        <w:t xml:space="preserve">(see Fig. </w:t>
      </w:r>
      <w:r w:rsidR="005B52A9">
        <w:rPr>
          <w:rFonts w:asciiTheme="majorBidi" w:hAnsiTheme="majorBidi" w:cstheme="majorBidi"/>
          <w:sz w:val="24"/>
          <w:szCs w:val="22"/>
          <w:lang w:val="en-GB"/>
        </w:rPr>
        <w:t>4.</w:t>
      </w:r>
      <w:r w:rsidR="0030226C" w:rsidRPr="00067D8A">
        <w:rPr>
          <w:rFonts w:asciiTheme="majorBidi" w:hAnsiTheme="majorBidi" w:cstheme="majorBidi"/>
          <w:color w:val="FF0000"/>
          <w:sz w:val="24"/>
          <w:szCs w:val="22"/>
          <w:lang w:val="en-GB"/>
        </w:rPr>
        <w:t>2</w:t>
      </w:r>
      <w:r w:rsidR="0030226C" w:rsidRPr="00067D8A">
        <w:rPr>
          <w:rFonts w:asciiTheme="majorBidi" w:hAnsiTheme="majorBidi" w:cstheme="majorBidi"/>
          <w:sz w:val="24"/>
          <w:szCs w:val="22"/>
          <w:lang w:val="en-GB"/>
        </w:rPr>
        <w:t>): Period I</w:t>
      </w:r>
      <w:r w:rsidR="0030226C" w:rsidRPr="00067D8A">
        <w:rPr>
          <w:rFonts w:asciiTheme="majorBidi" w:hAnsiTheme="majorBidi" w:cstheme="majorBidi"/>
          <w:sz w:val="24"/>
          <w:szCs w:val="22"/>
          <w:vertAlign w:val="subscript"/>
          <w:lang w:val="en-GB"/>
        </w:rPr>
        <w:t>2–3</w:t>
      </w:r>
      <w:r w:rsidR="0030226C" w:rsidRPr="00067D8A">
        <w:rPr>
          <w:rFonts w:asciiTheme="majorBidi" w:hAnsiTheme="majorBidi" w:cstheme="majorBidi"/>
          <w:sz w:val="24"/>
          <w:szCs w:val="22"/>
          <w:lang w:val="en-GB"/>
        </w:rPr>
        <w:t xml:space="preserve"> (</w:t>
      </w:r>
      <w:r w:rsidR="00E93887" w:rsidRPr="00E2251A">
        <w:rPr>
          <w:rFonts w:asciiTheme="majorBidi" w:hAnsiTheme="majorBidi" w:cstheme="majorBidi"/>
          <w:color w:val="auto"/>
          <w:sz w:val="24"/>
          <w:szCs w:val="22"/>
          <w:lang w:val="en-GB"/>
        </w:rPr>
        <w:t>TF-1129: 4,947±107 BP</w:t>
      </w:r>
      <w:r w:rsidR="00E93887">
        <w:rPr>
          <w:rFonts w:asciiTheme="majorBidi" w:hAnsiTheme="majorBidi" w:cstheme="majorBidi"/>
          <w:color w:val="auto"/>
          <w:sz w:val="24"/>
          <w:szCs w:val="22"/>
          <w:lang w:val="en-GB"/>
        </w:rPr>
        <w:t>)</w:t>
      </w:r>
      <w:r w:rsidR="00E93887" w:rsidRPr="00E2251A">
        <w:rPr>
          <w:rFonts w:asciiTheme="majorBidi" w:hAnsiTheme="majorBidi" w:cstheme="majorBidi"/>
          <w:color w:val="auto"/>
          <w:sz w:val="24"/>
          <w:szCs w:val="22"/>
          <w:lang w:val="en-GB"/>
        </w:rPr>
        <w:t xml:space="preserve"> 3,975-3,520 cal. BC</w:t>
      </w:r>
      <w:r w:rsidR="0030226C" w:rsidRPr="00067D8A">
        <w:rPr>
          <w:rFonts w:asciiTheme="majorBidi" w:hAnsiTheme="majorBidi" w:cstheme="majorBidi"/>
          <w:sz w:val="24"/>
          <w:szCs w:val="22"/>
          <w:lang w:val="en-GB"/>
        </w:rPr>
        <w:t>; Period I</w:t>
      </w:r>
      <w:r w:rsidR="0030226C" w:rsidRPr="00067D8A">
        <w:rPr>
          <w:rFonts w:asciiTheme="majorBidi" w:hAnsiTheme="majorBidi" w:cstheme="majorBidi"/>
          <w:sz w:val="24"/>
          <w:szCs w:val="22"/>
          <w:vertAlign w:val="subscript"/>
          <w:lang w:val="en-GB"/>
        </w:rPr>
        <w:t>5</w:t>
      </w:r>
      <w:r w:rsidR="0030226C" w:rsidRPr="00067D8A">
        <w:rPr>
          <w:rFonts w:asciiTheme="majorBidi" w:hAnsiTheme="majorBidi" w:cstheme="majorBidi"/>
          <w:sz w:val="24"/>
          <w:szCs w:val="22"/>
          <w:lang w:val="en-GB"/>
        </w:rPr>
        <w:t xml:space="preserve"> (</w:t>
      </w:r>
      <w:r w:rsidR="00E93887" w:rsidRPr="00E2251A">
        <w:rPr>
          <w:rFonts w:asciiTheme="majorBidi" w:hAnsiTheme="majorBidi" w:cstheme="majorBidi"/>
          <w:color w:val="auto"/>
          <w:sz w:val="24"/>
          <w:szCs w:val="22"/>
          <w:lang w:val="en-GB"/>
        </w:rPr>
        <w:t>TF-1131: 4,568±102 BP</w:t>
      </w:r>
      <w:r w:rsidR="00E93887">
        <w:rPr>
          <w:rFonts w:asciiTheme="majorBidi" w:hAnsiTheme="majorBidi" w:cstheme="majorBidi"/>
          <w:color w:val="auto"/>
          <w:sz w:val="24"/>
          <w:szCs w:val="22"/>
          <w:lang w:val="en-GB"/>
        </w:rPr>
        <w:t>)</w:t>
      </w:r>
      <w:r w:rsidR="00E93887" w:rsidRPr="00E2251A">
        <w:rPr>
          <w:rFonts w:asciiTheme="majorBidi" w:hAnsiTheme="majorBidi" w:cstheme="majorBidi"/>
          <w:color w:val="auto"/>
          <w:sz w:val="24"/>
          <w:szCs w:val="22"/>
          <w:lang w:val="en-GB"/>
        </w:rPr>
        <w:t xml:space="preserve"> 3,630-2,940 cal. BC</w:t>
      </w:r>
      <w:r w:rsidR="0030226C" w:rsidRPr="00067D8A">
        <w:rPr>
          <w:rFonts w:asciiTheme="majorBidi" w:hAnsiTheme="majorBidi" w:cstheme="majorBidi"/>
          <w:smallCaps/>
          <w:sz w:val="24"/>
          <w:szCs w:val="22"/>
          <w:lang w:val="en-GB"/>
        </w:rPr>
        <w:t>;</w:t>
      </w:r>
      <w:r w:rsidR="0030226C" w:rsidRPr="00067D8A">
        <w:rPr>
          <w:rFonts w:asciiTheme="majorBidi" w:hAnsiTheme="majorBidi" w:cstheme="majorBidi"/>
          <w:sz w:val="24"/>
          <w:szCs w:val="22"/>
          <w:lang w:val="en-GB"/>
        </w:rPr>
        <w:t xml:space="preserve"> and, Period II, or I</w:t>
      </w:r>
      <w:r w:rsidR="0030226C" w:rsidRPr="00067D8A">
        <w:rPr>
          <w:rFonts w:asciiTheme="majorBidi" w:hAnsiTheme="majorBidi" w:cstheme="majorBidi"/>
          <w:sz w:val="24"/>
          <w:szCs w:val="22"/>
          <w:vertAlign w:val="subscript"/>
          <w:lang w:val="en-GB"/>
        </w:rPr>
        <w:t>5</w:t>
      </w:r>
      <w:r w:rsidR="0030226C" w:rsidRPr="00067D8A">
        <w:rPr>
          <w:rFonts w:asciiTheme="majorBidi" w:hAnsiTheme="majorBidi" w:cstheme="majorBidi"/>
          <w:sz w:val="24"/>
          <w:szCs w:val="22"/>
          <w:lang w:val="en-GB"/>
        </w:rPr>
        <w:t xml:space="preserve"> (</w:t>
      </w:r>
      <w:r w:rsidR="00E93887" w:rsidRPr="00E2251A">
        <w:rPr>
          <w:rFonts w:asciiTheme="majorBidi" w:hAnsiTheme="majorBidi" w:cstheme="majorBidi"/>
          <w:color w:val="auto"/>
          <w:sz w:val="24"/>
          <w:szCs w:val="22"/>
          <w:lang w:val="en-GB"/>
        </w:rPr>
        <w:t xml:space="preserve">TF-1132: </w:t>
      </w:r>
      <w:r w:rsidR="00282F92">
        <w:rPr>
          <w:rFonts w:asciiTheme="majorBidi" w:hAnsiTheme="majorBidi" w:cstheme="majorBidi"/>
          <w:color w:val="auto"/>
          <w:sz w:val="24"/>
          <w:szCs w:val="22"/>
          <w:lang w:val="en-GB"/>
        </w:rPr>
        <w:t>4</w:t>
      </w:r>
      <w:r w:rsidR="00E93887" w:rsidRPr="00E2251A">
        <w:rPr>
          <w:rFonts w:asciiTheme="majorBidi" w:hAnsiTheme="majorBidi" w:cstheme="majorBidi"/>
          <w:color w:val="auto"/>
          <w:sz w:val="24"/>
          <w:szCs w:val="22"/>
          <w:lang w:val="en-GB"/>
        </w:rPr>
        <w:t>,</w:t>
      </w:r>
      <w:r w:rsidR="00282F92">
        <w:rPr>
          <w:rFonts w:asciiTheme="majorBidi" w:hAnsiTheme="majorBidi" w:cstheme="majorBidi"/>
          <w:color w:val="auto"/>
          <w:sz w:val="24"/>
          <w:szCs w:val="22"/>
          <w:lang w:val="en-GB"/>
        </w:rPr>
        <w:t>8</w:t>
      </w:r>
      <w:r w:rsidR="00E93887" w:rsidRPr="00E2251A">
        <w:rPr>
          <w:rFonts w:asciiTheme="majorBidi" w:hAnsiTheme="majorBidi" w:cstheme="majorBidi"/>
          <w:color w:val="auto"/>
          <w:sz w:val="24"/>
          <w:szCs w:val="22"/>
          <w:lang w:val="en-GB"/>
        </w:rPr>
        <w:t>0</w:t>
      </w:r>
      <w:r w:rsidR="00282F92">
        <w:rPr>
          <w:rFonts w:asciiTheme="majorBidi" w:hAnsiTheme="majorBidi" w:cstheme="majorBidi"/>
          <w:color w:val="auto"/>
          <w:sz w:val="24"/>
          <w:szCs w:val="22"/>
          <w:lang w:val="en-GB"/>
        </w:rPr>
        <w:t>5</w:t>
      </w:r>
      <w:r w:rsidR="00E93887" w:rsidRPr="00E2251A">
        <w:rPr>
          <w:rFonts w:asciiTheme="majorBidi" w:hAnsiTheme="majorBidi" w:cstheme="majorBidi"/>
          <w:color w:val="auto"/>
          <w:sz w:val="24"/>
          <w:szCs w:val="22"/>
          <w:lang w:val="en-GB"/>
        </w:rPr>
        <w:t>±102 BP</w:t>
      </w:r>
      <w:r w:rsidR="00E93887">
        <w:rPr>
          <w:rFonts w:asciiTheme="majorBidi" w:hAnsiTheme="majorBidi" w:cstheme="majorBidi"/>
          <w:color w:val="auto"/>
          <w:sz w:val="24"/>
          <w:szCs w:val="22"/>
          <w:lang w:val="en-GB"/>
        </w:rPr>
        <w:t>)</w:t>
      </w:r>
      <w:r w:rsidR="00E93887" w:rsidRPr="00E2251A">
        <w:rPr>
          <w:rFonts w:asciiTheme="majorBidi" w:hAnsiTheme="majorBidi" w:cstheme="majorBidi"/>
          <w:color w:val="auto"/>
          <w:sz w:val="24"/>
          <w:szCs w:val="22"/>
          <w:lang w:val="en-GB"/>
        </w:rPr>
        <w:t xml:space="preserve">, </w:t>
      </w:r>
      <w:r w:rsidR="00282F92">
        <w:rPr>
          <w:rFonts w:asciiTheme="majorBidi" w:hAnsiTheme="majorBidi" w:cstheme="majorBidi"/>
          <w:color w:val="auto"/>
          <w:sz w:val="24"/>
          <w:szCs w:val="22"/>
          <w:lang w:val="en-GB"/>
        </w:rPr>
        <w:t>3</w:t>
      </w:r>
      <w:r w:rsidR="00E93887" w:rsidRPr="00E2251A">
        <w:rPr>
          <w:rFonts w:asciiTheme="majorBidi" w:hAnsiTheme="majorBidi" w:cstheme="majorBidi"/>
          <w:color w:val="auto"/>
          <w:sz w:val="24"/>
          <w:szCs w:val="22"/>
          <w:lang w:val="en-GB"/>
        </w:rPr>
        <w:t>,</w:t>
      </w:r>
      <w:r w:rsidR="00282F92">
        <w:rPr>
          <w:rFonts w:asciiTheme="majorBidi" w:hAnsiTheme="majorBidi" w:cstheme="majorBidi"/>
          <w:color w:val="auto"/>
          <w:sz w:val="24"/>
          <w:szCs w:val="22"/>
          <w:lang w:val="en-GB"/>
        </w:rPr>
        <w:t>7</w:t>
      </w:r>
      <w:r w:rsidR="00E93887" w:rsidRPr="00E2251A">
        <w:rPr>
          <w:rFonts w:asciiTheme="majorBidi" w:hAnsiTheme="majorBidi" w:cstheme="majorBidi"/>
          <w:color w:val="auto"/>
          <w:sz w:val="24"/>
          <w:szCs w:val="22"/>
          <w:lang w:val="en-GB"/>
        </w:rPr>
        <w:t>95-</w:t>
      </w:r>
      <w:r w:rsidR="00282F92">
        <w:rPr>
          <w:rFonts w:asciiTheme="majorBidi" w:hAnsiTheme="majorBidi" w:cstheme="majorBidi"/>
          <w:color w:val="auto"/>
          <w:sz w:val="24"/>
          <w:szCs w:val="22"/>
          <w:lang w:val="en-GB"/>
        </w:rPr>
        <w:t>3360</w:t>
      </w:r>
      <w:r w:rsidR="00E93887" w:rsidRPr="00E2251A">
        <w:rPr>
          <w:rFonts w:asciiTheme="majorBidi" w:hAnsiTheme="majorBidi" w:cstheme="majorBidi"/>
          <w:color w:val="auto"/>
          <w:sz w:val="24"/>
          <w:szCs w:val="22"/>
          <w:lang w:val="en-GB"/>
        </w:rPr>
        <w:t xml:space="preserve"> cal. BC</w:t>
      </w:r>
      <w:r w:rsidR="0030226C" w:rsidRPr="00067D8A">
        <w:rPr>
          <w:rFonts w:asciiTheme="majorBidi" w:hAnsiTheme="majorBidi" w:cstheme="majorBidi"/>
          <w:smallCaps/>
          <w:sz w:val="24"/>
          <w:szCs w:val="22"/>
          <w:lang w:val="en-GB"/>
        </w:rPr>
        <w:t>.</w:t>
      </w:r>
      <w:r w:rsidR="00282F92">
        <w:rPr>
          <w:rStyle w:val="EndnoteReference"/>
          <w:rFonts w:asciiTheme="majorBidi" w:hAnsiTheme="majorBidi" w:cstheme="majorBidi"/>
          <w:smallCaps/>
          <w:sz w:val="24"/>
          <w:szCs w:val="22"/>
          <w:lang w:val="en-GB"/>
        </w:rPr>
        <w:endnoteReference w:id="44"/>
      </w:r>
      <w:r w:rsidR="0030226C" w:rsidRPr="00067D8A">
        <w:rPr>
          <w:rFonts w:asciiTheme="majorBidi" w:hAnsiTheme="majorBidi" w:cstheme="majorBidi"/>
          <w:sz w:val="24"/>
          <w:szCs w:val="22"/>
          <w:lang w:val="en-GB"/>
        </w:rPr>
        <w:t xml:space="preserve"> </w:t>
      </w:r>
    </w:p>
    <w:p w14:paraId="45180F34" w14:textId="2B1EAB97" w:rsidR="0030226C" w:rsidRPr="00067D8A" w:rsidRDefault="0030226C" w:rsidP="003F31BB">
      <w:pPr>
        <w:pStyle w:val="BodyText"/>
        <w:spacing w:line="480" w:lineRule="auto"/>
        <w:ind w:firstLine="360"/>
        <w:rPr>
          <w:rFonts w:asciiTheme="majorBidi" w:hAnsiTheme="majorBidi" w:cstheme="majorBidi"/>
          <w:sz w:val="24"/>
          <w:szCs w:val="22"/>
        </w:rPr>
      </w:pPr>
      <w:r w:rsidRPr="00067D8A">
        <w:rPr>
          <w:rFonts w:asciiTheme="majorBidi" w:hAnsiTheme="majorBidi" w:cstheme="majorBidi"/>
          <w:sz w:val="24"/>
          <w:szCs w:val="22"/>
          <w:lang w:val="en-GB"/>
        </w:rPr>
        <w:t>The</w:t>
      </w:r>
      <w:r w:rsidR="00F22F23">
        <w:rPr>
          <w:rFonts w:asciiTheme="majorBidi" w:hAnsiTheme="majorBidi" w:cstheme="majorBidi"/>
          <w:sz w:val="24"/>
          <w:szCs w:val="22"/>
          <w:lang w:val="en-GB"/>
        </w:rPr>
        <w:t xml:space="preserve"> Dales</w:t>
      </w:r>
      <w:r w:rsidRPr="00067D8A">
        <w:rPr>
          <w:rFonts w:asciiTheme="majorBidi" w:hAnsiTheme="majorBidi" w:cstheme="majorBidi"/>
          <w:sz w:val="24"/>
          <w:szCs w:val="22"/>
          <w:lang w:val="en-GB"/>
        </w:rPr>
        <w:t xml:space="preserve"> dates suggest that the initial occupation of Mundigak (Period I</w:t>
      </w:r>
      <w:r w:rsidRPr="00067D8A">
        <w:rPr>
          <w:rFonts w:asciiTheme="majorBidi" w:hAnsiTheme="majorBidi" w:cstheme="majorBidi"/>
          <w:sz w:val="24"/>
          <w:szCs w:val="22"/>
          <w:vertAlign w:val="subscript"/>
          <w:lang w:val="en-GB"/>
        </w:rPr>
        <w:t>1–5</w:t>
      </w:r>
      <w:r w:rsidRPr="00067D8A">
        <w:rPr>
          <w:rFonts w:asciiTheme="majorBidi" w:hAnsiTheme="majorBidi" w:cstheme="majorBidi"/>
          <w:sz w:val="24"/>
          <w:szCs w:val="22"/>
          <w:lang w:val="en-GB"/>
        </w:rPr>
        <w:t xml:space="preserve">) occurred </w:t>
      </w:r>
      <w:r w:rsidR="00D846B2">
        <w:rPr>
          <w:rFonts w:asciiTheme="majorBidi" w:hAnsiTheme="majorBidi" w:cstheme="majorBidi"/>
          <w:sz w:val="24"/>
          <w:szCs w:val="22"/>
          <w:lang w:val="en-GB"/>
        </w:rPr>
        <w:t>during</w:t>
      </w:r>
      <w:r w:rsidR="00D846B2" w:rsidRPr="00067D8A">
        <w:rPr>
          <w:rFonts w:asciiTheme="majorBidi" w:hAnsiTheme="majorBidi" w:cstheme="majorBidi"/>
          <w:sz w:val="24"/>
          <w:szCs w:val="22"/>
          <w:lang w:val="en-GB"/>
        </w:rPr>
        <w:t xml:space="preserve"> </w:t>
      </w:r>
      <w:r w:rsidRPr="00067D8A">
        <w:rPr>
          <w:rFonts w:asciiTheme="majorBidi" w:hAnsiTheme="majorBidi" w:cstheme="majorBidi"/>
          <w:sz w:val="24"/>
          <w:szCs w:val="22"/>
          <w:lang w:val="en-GB"/>
        </w:rPr>
        <w:t xml:space="preserve">the </w:t>
      </w:r>
      <w:r w:rsidR="00F22F23">
        <w:rPr>
          <w:rFonts w:asciiTheme="majorBidi" w:hAnsiTheme="majorBidi" w:cstheme="majorBidi"/>
          <w:sz w:val="24"/>
          <w:szCs w:val="22"/>
          <w:lang w:val="en-GB"/>
        </w:rPr>
        <w:t>first half of</w:t>
      </w:r>
      <w:r w:rsidRPr="00067D8A">
        <w:rPr>
          <w:rFonts w:asciiTheme="majorBidi" w:hAnsiTheme="majorBidi" w:cstheme="majorBidi"/>
          <w:sz w:val="24"/>
          <w:szCs w:val="22"/>
          <w:lang w:val="en-GB"/>
        </w:rPr>
        <w:t xml:space="preserve"> the fourth millennium</w:t>
      </w:r>
      <w:r w:rsidRPr="00067D8A">
        <w:rPr>
          <w:rFonts w:asciiTheme="majorBidi" w:hAnsiTheme="majorBidi" w:cstheme="majorBidi"/>
          <w:smallCaps/>
          <w:sz w:val="24"/>
          <w:szCs w:val="22"/>
          <w:lang w:val="en-GB"/>
        </w:rPr>
        <w:t xml:space="preserve"> BC</w:t>
      </w:r>
      <w:r w:rsidRPr="00067D8A">
        <w:rPr>
          <w:rFonts w:asciiTheme="majorBidi" w:hAnsiTheme="majorBidi" w:cstheme="majorBidi"/>
          <w:sz w:val="24"/>
          <w:szCs w:val="22"/>
          <w:lang w:val="en-GB"/>
        </w:rPr>
        <w:t xml:space="preserve"> (</w:t>
      </w:r>
      <w:r w:rsidR="00F22F23" w:rsidRPr="00F22F23">
        <w:rPr>
          <w:rFonts w:asciiTheme="majorBidi" w:hAnsiTheme="majorBidi" w:cstheme="majorBidi"/>
          <w:i/>
          <w:sz w:val="24"/>
          <w:szCs w:val="22"/>
          <w:lang w:val="en-GB"/>
        </w:rPr>
        <w:t>c</w:t>
      </w:r>
      <w:r w:rsidR="00F22F23">
        <w:rPr>
          <w:rFonts w:asciiTheme="majorBidi" w:hAnsiTheme="majorBidi" w:cstheme="majorBidi"/>
          <w:sz w:val="24"/>
          <w:szCs w:val="22"/>
          <w:lang w:val="en-GB"/>
        </w:rPr>
        <w:t>.</w:t>
      </w:r>
      <w:r w:rsidRPr="00067D8A">
        <w:rPr>
          <w:rFonts w:asciiTheme="majorBidi" w:hAnsiTheme="majorBidi" w:cstheme="majorBidi"/>
          <w:sz w:val="24"/>
          <w:szCs w:val="22"/>
          <w:lang w:val="en-GB"/>
        </w:rPr>
        <w:t>4000–3500</w:t>
      </w:r>
      <w:r w:rsidRPr="00067D8A">
        <w:rPr>
          <w:rFonts w:asciiTheme="majorBidi" w:hAnsiTheme="majorBidi" w:cstheme="majorBidi"/>
          <w:smallCaps/>
          <w:sz w:val="24"/>
          <w:szCs w:val="22"/>
          <w:lang w:val="en-GB"/>
        </w:rPr>
        <w:t xml:space="preserve"> BC).</w:t>
      </w:r>
      <w:r w:rsidR="00F22F23">
        <w:rPr>
          <w:rFonts w:asciiTheme="majorBidi" w:hAnsiTheme="majorBidi" w:cstheme="majorBidi"/>
          <w:smallCaps/>
          <w:sz w:val="24"/>
          <w:szCs w:val="22"/>
          <w:lang w:val="en-GB"/>
        </w:rPr>
        <w:t xml:space="preserve"> </w:t>
      </w:r>
      <w:r w:rsidR="003F31BB">
        <w:rPr>
          <w:rFonts w:asciiTheme="majorBidi" w:hAnsiTheme="majorBidi" w:cstheme="majorBidi"/>
          <w:sz w:val="24"/>
          <w:szCs w:val="22"/>
          <w:lang w:val="en-GB"/>
        </w:rPr>
        <w:t>Casal’s</w:t>
      </w:r>
      <w:r w:rsidRPr="00067D8A">
        <w:rPr>
          <w:rFonts w:asciiTheme="majorBidi" w:hAnsiTheme="majorBidi" w:cstheme="majorBidi"/>
          <w:sz w:val="24"/>
          <w:szCs w:val="22"/>
        </w:rPr>
        <w:t xml:space="preserve"> Period II </w:t>
      </w:r>
      <w:r w:rsidR="003F31BB">
        <w:rPr>
          <w:rFonts w:asciiTheme="majorBidi" w:hAnsiTheme="majorBidi" w:cstheme="majorBidi"/>
          <w:sz w:val="24"/>
          <w:szCs w:val="22"/>
        </w:rPr>
        <w:t xml:space="preserve">date is </w:t>
      </w:r>
      <w:r w:rsidR="00F22F23">
        <w:rPr>
          <w:rFonts w:asciiTheme="majorBidi" w:hAnsiTheme="majorBidi" w:cstheme="majorBidi"/>
          <w:sz w:val="24"/>
          <w:szCs w:val="22"/>
        </w:rPr>
        <w:t xml:space="preserve">problematic, </w:t>
      </w:r>
      <w:r w:rsidR="003F31BB">
        <w:rPr>
          <w:rFonts w:asciiTheme="majorBidi" w:hAnsiTheme="majorBidi" w:cstheme="majorBidi"/>
          <w:sz w:val="24"/>
          <w:szCs w:val="22"/>
        </w:rPr>
        <w:t xml:space="preserve">and the Dales Period II </w:t>
      </w:r>
      <w:r w:rsidR="005C3404">
        <w:rPr>
          <w:rFonts w:asciiTheme="majorBidi" w:hAnsiTheme="majorBidi" w:cstheme="majorBidi"/>
          <w:sz w:val="24"/>
          <w:szCs w:val="22"/>
        </w:rPr>
        <w:t>date is from an uncertain stratigraphic context</w:t>
      </w:r>
      <w:r w:rsidR="003F31BB">
        <w:rPr>
          <w:rFonts w:asciiTheme="majorBidi" w:hAnsiTheme="majorBidi" w:cstheme="majorBidi"/>
          <w:sz w:val="24"/>
          <w:szCs w:val="22"/>
        </w:rPr>
        <w:t xml:space="preserve"> and </w:t>
      </w:r>
      <w:r w:rsidR="005C3404">
        <w:rPr>
          <w:rFonts w:asciiTheme="majorBidi" w:hAnsiTheme="majorBidi" w:cstheme="majorBidi"/>
          <w:sz w:val="24"/>
          <w:szCs w:val="22"/>
        </w:rPr>
        <w:t xml:space="preserve">is </w:t>
      </w:r>
      <w:r w:rsidR="003F31BB">
        <w:rPr>
          <w:rFonts w:asciiTheme="majorBidi" w:hAnsiTheme="majorBidi" w:cstheme="majorBidi"/>
          <w:sz w:val="24"/>
          <w:szCs w:val="22"/>
        </w:rPr>
        <w:t>statistically similar to his Period I</w:t>
      </w:r>
      <w:r w:rsidR="003F31BB" w:rsidRPr="000526DA">
        <w:rPr>
          <w:rFonts w:asciiTheme="majorBidi" w:hAnsiTheme="majorBidi" w:cstheme="majorBidi"/>
          <w:sz w:val="24"/>
          <w:szCs w:val="22"/>
          <w:vertAlign w:val="subscript"/>
        </w:rPr>
        <w:t>2-3</w:t>
      </w:r>
      <w:r w:rsidR="003F31BB">
        <w:rPr>
          <w:rFonts w:asciiTheme="majorBidi" w:hAnsiTheme="majorBidi" w:cstheme="majorBidi"/>
          <w:sz w:val="24"/>
          <w:szCs w:val="22"/>
        </w:rPr>
        <w:t xml:space="preserve"> date. S</w:t>
      </w:r>
      <w:r w:rsidRPr="00067D8A">
        <w:rPr>
          <w:rFonts w:asciiTheme="majorBidi" w:hAnsiTheme="majorBidi" w:cstheme="majorBidi"/>
          <w:sz w:val="24"/>
          <w:szCs w:val="22"/>
        </w:rPr>
        <w:t xml:space="preserve">ome appreciation of the chronology of Period II can be obtained by examining the </w:t>
      </w:r>
      <w:r w:rsidR="00F22F23">
        <w:rPr>
          <w:rFonts w:asciiTheme="majorBidi" w:hAnsiTheme="majorBidi" w:cstheme="majorBidi"/>
          <w:sz w:val="24"/>
          <w:szCs w:val="22"/>
        </w:rPr>
        <w:t>re</w:t>
      </w:r>
      <w:r w:rsidRPr="00067D8A">
        <w:rPr>
          <w:rFonts w:asciiTheme="majorBidi" w:hAnsiTheme="majorBidi" w:cstheme="majorBidi"/>
          <w:sz w:val="24"/>
          <w:szCs w:val="22"/>
        </w:rPr>
        <w:t xml:space="preserve">calibrated </w:t>
      </w:r>
      <w:r w:rsidR="00F22F23">
        <w:rPr>
          <w:rFonts w:asciiTheme="majorBidi" w:hAnsiTheme="majorBidi" w:cstheme="majorBidi"/>
          <w:sz w:val="24"/>
          <w:szCs w:val="22"/>
        </w:rPr>
        <w:t xml:space="preserve">range </w:t>
      </w:r>
      <w:r w:rsidRPr="00067D8A">
        <w:rPr>
          <w:rFonts w:asciiTheme="majorBidi" w:hAnsiTheme="majorBidi" w:cstheme="majorBidi"/>
          <w:sz w:val="24"/>
          <w:szCs w:val="22"/>
        </w:rPr>
        <w:t xml:space="preserve">for </w:t>
      </w:r>
      <w:r w:rsidR="00F22F23">
        <w:rPr>
          <w:rFonts w:asciiTheme="majorBidi" w:hAnsiTheme="majorBidi" w:cstheme="majorBidi"/>
          <w:sz w:val="24"/>
          <w:szCs w:val="22"/>
        </w:rPr>
        <w:t xml:space="preserve">the </w:t>
      </w:r>
      <w:r w:rsidR="003F31BB">
        <w:rPr>
          <w:rFonts w:asciiTheme="majorBidi" w:hAnsiTheme="majorBidi" w:cstheme="majorBidi"/>
          <w:sz w:val="24"/>
          <w:szCs w:val="22"/>
        </w:rPr>
        <w:t xml:space="preserve">Casal </w:t>
      </w:r>
      <w:r w:rsidR="00D127A1">
        <w:rPr>
          <w:rFonts w:asciiTheme="majorBidi" w:hAnsiTheme="majorBidi" w:cstheme="majorBidi"/>
          <w:sz w:val="24"/>
          <w:szCs w:val="22"/>
        </w:rPr>
        <w:t>Sub-</w:t>
      </w:r>
      <w:r w:rsidRPr="00067D8A">
        <w:rPr>
          <w:rFonts w:asciiTheme="majorBidi" w:hAnsiTheme="majorBidi" w:cstheme="majorBidi"/>
          <w:sz w:val="24"/>
          <w:szCs w:val="22"/>
        </w:rPr>
        <w:t>Period III</w:t>
      </w:r>
      <w:r w:rsidRPr="00067D8A">
        <w:rPr>
          <w:rFonts w:asciiTheme="majorBidi" w:hAnsiTheme="majorBidi" w:cstheme="majorBidi"/>
          <w:sz w:val="24"/>
          <w:szCs w:val="22"/>
          <w:vertAlign w:val="subscript"/>
        </w:rPr>
        <w:t>5</w:t>
      </w:r>
      <w:r w:rsidR="00F22F23">
        <w:rPr>
          <w:rFonts w:asciiTheme="majorBidi" w:hAnsiTheme="majorBidi" w:cstheme="majorBidi"/>
          <w:sz w:val="24"/>
          <w:szCs w:val="22"/>
        </w:rPr>
        <w:t xml:space="preserve"> date - </w:t>
      </w:r>
      <w:r w:rsidR="00F22F23" w:rsidRPr="00E2251A">
        <w:rPr>
          <w:rFonts w:asciiTheme="majorBidi" w:hAnsiTheme="majorBidi" w:cstheme="majorBidi"/>
          <w:color w:val="auto"/>
          <w:sz w:val="24"/>
          <w:szCs w:val="22"/>
          <w:lang w:val="en-GB"/>
        </w:rPr>
        <w:t>3,330-2345 cal. BC</w:t>
      </w:r>
      <w:r w:rsidR="00DF497B">
        <w:rPr>
          <w:rFonts w:asciiTheme="majorBidi" w:hAnsiTheme="majorBidi" w:cstheme="majorBidi"/>
          <w:color w:val="auto"/>
          <w:sz w:val="24"/>
          <w:szCs w:val="22"/>
          <w:lang w:val="en-GB"/>
        </w:rPr>
        <w:t xml:space="preserve">, which should provide a </w:t>
      </w:r>
      <w:r w:rsidR="00DF497B" w:rsidRPr="000526DA">
        <w:rPr>
          <w:rFonts w:asciiTheme="majorBidi" w:hAnsiTheme="majorBidi" w:cstheme="majorBidi"/>
          <w:i/>
          <w:color w:val="auto"/>
          <w:sz w:val="24"/>
          <w:szCs w:val="22"/>
          <w:lang w:val="en-GB"/>
        </w:rPr>
        <w:t>terminus ante quem</w:t>
      </w:r>
      <w:r w:rsidR="00DF497B">
        <w:rPr>
          <w:rFonts w:asciiTheme="majorBidi" w:hAnsiTheme="majorBidi" w:cstheme="majorBidi"/>
          <w:sz w:val="24"/>
          <w:szCs w:val="22"/>
        </w:rPr>
        <w:t xml:space="preserve"> for Period II and much of Period </w:t>
      </w:r>
      <w:r w:rsidR="00DF497B">
        <w:rPr>
          <w:rFonts w:asciiTheme="majorBidi" w:hAnsiTheme="majorBidi" w:cstheme="majorBidi"/>
          <w:sz w:val="24"/>
          <w:szCs w:val="22"/>
        </w:rPr>
        <w:lastRenderedPageBreak/>
        <w:t>III</w:t>
      </w:r>
      <w:r w:rsidRPr="00067D8A">
        <w:rPr>
          <w:rFonts w:asciiTheme="majorBidi" w:hAnsiTheme="majorBidi" w:cstheme="majorBidi"/>
          <w:sz w:val="24"/>
          <w:szCs w:val="22"/>
        </w:rPr>
        <w:t>.</w:t>
      </w:r>
      <w:r w:rsidRPr="00067D8A">
        <w:rPr>
          <w:rStyle w:val="EndnoteReference"/>
          <w:rFonts w:asciiTheme="majorBidi" w:hAnsiTheme="majorBidi" w:cstheme="majorBidi"/>
          <w:sz w:val="24"/>
          <w:szCs w:val="22"/>
        </w:rPr>
        <w:endnoteReference w:id="45"/>
      </w:r>
      <w:r w:rsidRPr="00067D8A">
        <w:rPr>
          <w:rFonts w:asciiTheme="majorBidi" w:hAnsiTheme="majorBidi" w:cstheme="majorBidi"/>
          <w:sz w:val="24"/>
          <w:szCs w:val="22"/>
        </w:rPr>
        <w:t xml:space="preserve"> Matters have not been helped by the </w:t>
      </w:r>
      <w:r w:rsidR="003F31BB">
        <w:rPr>
          <w:rFonts w:asciiTheme="majorBidi" w:hAnsiTheme="majorBidi" w:cstheme="majorBidi"/>
          <w:sz w:val="24"/>
          <w:szCs w:val="22"/>
        </w:rPr>
        <w:t>two</w:t>
      </w:r>
      <w:r w:rsidR="003F31BB" w:rsidRPr="00067D8A">
        <w:rPr>
          <w:rFonts w:asciiTheme="majorBidi" w:hAnsiTheme="majorBidi" w:cstheme="majorBidi"/>
          <w:sz w:val="24"/>
          <w:szCs w:val="22"/>
        </w:rPr>
        <w:t xml:space="preserve"> </w:t>
      </w:r>
      <w:r w:rsidRPr="00067D8A">
        <w:rPr>
          <w:rFonts w:asciiTheme="majorBidi" w:hAnsiTheme="majorBidi" w:cstheme="majorBidi"/>
          <w:sz w:val="24"/>
          <w:szCs w:val="22"/>
        </w:rPr>
        <w:t>published date</w:t>
      </w:r>
      <w:r w:rsidR="003F31BB">
        <w:rPr>
          <w:rFonts w:asciiTheme="majorBidi" w:hAnsiTheme="majorBidi" w:cstheme="majorBidi"/>
          <w:sz w:val="24"/>
          <w:szCs w:val="22"/>
        </w:rPr>
        <w:t>s</w:t>
      </w:r>
      <w:r w:rsidRPr="00067D8A">
        <w:rPr>
          <w:rFonts w:asciiTheme="majorBidi" w:hAnsiTheme="majorBidi" w:cstheme="majorBidi"/>
          <w:sz w:val="24"/>
          <w:szCs w:val="22"/>
        </w:rPr>
        <w:t xml:space="preserve"> for Mundigak Period IV</w:t>
      </w:r>
      <w:r w:rsidR="00DF497B">
        <w:rPr>
          <w:rFonts w:asciiTheme="majorBidi" w:hAnsiTheme="majorBidi" w:cstheme="majorBidi"/>
          <w:sz w:val="24"/>
          <w:szCs w:val="22"/>
        </w:rPr>
        <w:t>-</w:t>
      </w:r>
      <w:r w:rsidRPr="00067D8A">
        <w:rPr>
          <w:rFonts w:asciiTheme="majorBidi" w:hAnsiTheme="majorBidi" w:cstheme="majorBidi"/>
          <w:sz w:val="24"/>
          <w:szCs w:val="22"/>
        </w:rPr>
        <w:t xml:space="preserve">type material from Deh Morasi </w:t>
      </w:r>
      <w:r w:rsidR="003F31BB">
        <w:rPr>
          <w:rFonts w:asciiTheme="majorBidi" w:hAnsiTheme="majorBidi" w:cstheme="majorBidi"/>
          <w:sz w:val="24"/>
          <w:szCs w:val="22"/>
        </w:rPr>
        <w:t xml:space="preserve">(Period IIB), which are </w:t>
      </w:r>
      <w:r w:rsidR="00DF497B">
        <w:rPr>
          <w:rFonts w:asciiTheme="majorBidi" w:hAnsiTheme="majorBidi" w:cstheme="majorBidi"/>
          <w:sz w:val="24"/>
          <w:szCs w:val="22"/>
        </w:rPr>
        <w:t>dramatically different</w:t>
      </w:r>
      <w:r w:rsidR="003F31BB">
        <w:rPr>
          <w:rFonts w:asciiTheme="majorBidi" w:hAnsiTheme="majorBidi" w:cstheme="majorBidi"/>
          <w:sz w:val="24"/>
          <w:szCs w:val="22"/>
        </w:rPr>
        <w:t xml:space="preserve"> </w:t>
      </w:r>
      <w:r w:rsidR="00DF497B">
        <w:rPr>
          <w:rFonts w:asciiTheme="majorBidi" w:hAnsiTheme="majorBidi" w:cstheme="majorBidi"/>
          <w:sz w:val="24"/>
          <w:szCs w:val="22"/>
        </w:rPr>
        <w:t xml:space="preserve">from each other </w:t>
      </w:r>
      <w:r w:rsidR="003F31BB">
        <w:rPr>
          <w:rFonts w:asciiTheme="majorBidi" w:hAnsiTheme="majorBidi" w:cstheme="majorBidi"/>
          <w:sz w:val="24"/>
          <w:szCs w:val="22"/>
        </w:rPr>
        <w:t>(</w:t>
      </w:r>
      <w:r w:rsidR="00DF497B">
        <w:rPr>
          <w:rFonts w:asciiTheme="majorBidi" w:hAnsiTheme="majorBidi" w:cstheme="majorBidi"/>
          <w:sz w:val="24"/>
          <w:szCs w:val="22"/>
        </w:rPr>
        <w:t>P-1493: 4414</w:t>
      </w:r>
      <w:r w:rsidR="00DF497B" w:rsidRPr="00E2251A">
        <w:rPr>
          <w:rFonts w:asciiTheme="majorBidi" w:hAnsiTheme="majorBidi" w:cstheme="majorBidi"/>
          <w:color w:val="auto"/>
          <w:sz w:val="24"/>
          <w:szCs w:val="22"/>
          <w:lang w:val="en-GB"/>
        </w:rPr>
        <w:t>±</w:t>
      </w:r>
      <w:r w:rsidR="00DF497B">
        <w:rPr>
          <w:rFonts w:asciiTheme="majorBidi" w:hAnsiTheme="majorBidi" w:cstheme="majorBidi"/>
          <w:color w:val="auto"/>
          <w:sz w:val="24"/>
          <w:szCs w:val="22"/>
          <w:lang w:val="en-GB"/>
        </w:rPr>
        <w:t>53 BP, 3,330</w:t>
      </w:r>
      <w:r w:rsidR="00DF497B" w:rsidRPr="00DF497B">
        <w:rPr>
          <w:rFonts w:asciiTheme="majorBidi" w:hAnsiTheme="majorBidi" w:cstheme="majorBidi"/>
          <w:color w:val="auto"/>
          <w:sz w:val="24"/>
          <w:szCs w:val="22"/>
          <w:lang w:val="en-GB"/>
        </w:rPr>
        <w:t>-2</w:t>
      </w:r>
      <w:r w:rsidR="00DF497B">
        <w:rPr>
          <w:rFonts w:asciiTheme="majorBidi" w:hAnsiTheme="majorBidi" w:cstheme="majorBidi"/>
          <w:color w:val="auto"/>
          <w:sz w:val="24"/>
          <w:szCs w:val="22"/>
          <w:lang w:val="en-GB"/>
        </w:rPr>
        <w:t>,</w:t>
      </w:r>
      <w:r w:rsidR="00DF497B" w:rsidRPr="00DF497B">
        <w:rPr>
          <w:rFonts w:asciiTheme="majorBidi" w:hAnsiTheme="majorBidi" w:cstheme="majorBidi"/>
          <w:color w:val="auto"/>
          <w:sz w:val="24"/>
          <w:szCs w:val="22"/>
          <w:lang w:val="en-GB"/>
        </w:rPr>
        <w:t>91</w:t>
      </w:r>
      <w:r w:rsidR="00DF497B">
        <w:rPr>
          <w:rFonts w:asciiTheme="majorBidi" w:hAnsiTheme="majorBidi" w:cstheme="majorBidi"/>
          <w:color w:val="auto"/>
          <w:sz w:val="24"/>
          <w:szCs w:val="22"/>
          <w:lang w:val="en-GB"/>
        </w:rPr>
        <w:t>0</w:t>
      </w:r>
      <w:r w:rsidR="00DF497B" w:rsidRPr="00DF497B">
        <w:rPr>
          <w:rFonts w:asciiTheme="majorBidi" w:hAnsiTheme="majorBidi" w:cstheme="majorBidi"/>
          <w:color w:val="auto"/>
          <w:sz w:val="24"/>
          <w:szCs w:val="22"/>
          <w:lang w:val="en-GB"/>
        </w:rPr>
        <w:t xml:space="preserve"> </w:t>
      </w:r>
      <w:r w:rsidR="00DF497B">
        <w:rPr>
          <w:rFonts w:asciiTheme="majorBidi" w:hAnsiTheme="majorBidi" w:cstheme="majorBidi"/>
          <w:color w:val="auto"/>
          <w:sz w:val="24"/>
          <w:szCs w:val="22"/>
          <w:lang w:val="en-GB"/>
        </w:rPr>
        <w:t>cal. BC; P-2292: 5680</w:t>
      </w:r>
      <w:r w:rsidR="00DF497B" w:rsidRPr="00E2251A">
        <w:rPr>
          <w:rFonts w:asciiTheme="majorBidi" w:hAnsiTheme="majorBidi" w:cstheme="majorBidi"/>
          <w:color w:val="auto"/>
          <w:sz w:val="24"/>
          <w:szCs w:val="22"/>
          <w:lang w:val="en-GB"/>
        </w:rPr>
        <w:t>±</w:t>
      </w:r>
      <w:r w:rsidR="00DF497B">
        <w:rPr>
          <w:rFonts w:asciiTheme="majorBidi" w:hAnsiTheme="majorBidi" w:cstheme="majorBidi"/>
          <w:color w:val="auto"/>
          <w:sz w:val="24"/>
          <w:szCs w:val="22"/>
          <w:lang w:val="en-GB"/>
        </w:rPr>
        <w:t xml:space="preserve">300, </w:t>
      </w:r>
      <w:r w:rsidR="00DF497B" w:rsidRPr="00DF497B">
        <w:rPr>
          <w:rFonts w:asciiTheme="majorBidi" w:hAnsiTheme="majorBidi" w:cstheme="majorBidi"/>
          <w:color w:val="auto"/>
          <w:sz w:val="24"/>
          <w:szCs w:val="22"/>
          <w:lang w:val="en-GB"/>
        </w:rPr>
        <w:t>5</w:t>
      </w:r>
      <w:r w:rsidR="00DF497B">
        <w:rPr>
          <w:rFonts w:asciiTheme="majorBidi" w:hAnsiTheme="majorBidi" w:cstheme="majorBidi"/>
          <w:color w:val="auto"/>
          <w:sz w:val="24"/>
          <w:szCs w:val="22"/>
          <w:lang w:val="en-GB"/>
        </w:rPr>
        <w:t>,</w:t>
      </w:r>
      <w:r w:rsidR="00DF497B" w:rsidRPr="00DF497B">
        <w:rPr>
          <w:rFonts w:asciiTheme="majorBidi" w:hAnsiTheme="majorBidi" w:cstheme="majorBidi"/>
          <w:color w:val="auto"/>
          <w:sz w:val="24"/>
          <w:szCs w:val="22"/>
          <w:lang w:val="en-GB"/>
        </w:rPr>
        <w:t>29</w:t>
      </w:r>
      <w:r w:rsidR="00DF497B">
        <w:rPr>
          <w:rFonts w:asciiTheme="majorBidi" w:hAnsiTheme="majorBidi" w:cstheme="majorBidi"/>
          <w:color w:val="auto"/>
          <w:sz w:val="24"/>
          <w:szCs w:val="22"/>
          <w:lang w:val="en-GB"/>
        </w:rPr>
        <w:t>5</w:t>
      </w:r>
      <w:r w:rsidR="00DF497B" w:rsidRPr="00DF497B">
        <w:rPr>
          <w:rFonts w:asciiTheme="majorBidi" w:hAnsiTheme="majorBidi" w:cstheme="majorBidi"/>
          <w:color w:val="auto"/>
          <w:sz w:val="24"/>
          <w:szCs w:val="22"/>
          <w:lang w:val="en-GB"/>
        </w:rPr>
        <w:t>-3</w:t>
      </w:r>
      <w:r w:rsidR="00DF497B">
        <w:rPr>
          <w:rFonts w:asciiTheme="majorBidi" w:hAnsiTheme="majorBidi" w:cstheme="majorBidi"/>
          <w:color w:val="auto"/>
          <w:sz w:val="24"/>
          <w:szCs w:val="22"/>
          <w:lang w:val="en-GB"/>
        </w:rPr>
        <w:t>,</w:t>
      </w:r>
      <w:r w:rsidR="00DF497B" w:rsidRPr="00DF497B">
        <w:rPr>
          <w:rFonts w:asciiTheme="majorBidi" w:hAnsiTheme="majorBidi" w:cstheme="majorBidi"/>
          <w:color w:val="auto"/>
          <w:sz w:val="24"/>
          <w:szCs w:val="22"/>
          <w:lang w:val="en-GB"/>
        </w:rPr>
        <w:t>9</w:t>
      </w:r>
      <w:r w:rsidR="00DF497B">
        <w:rPr>
          <w:rFonts w:asciiTheme="majorBidi" w:hAnsiTheme="majorBidi" w:cstheme="majorBidi"/>
          <w:color w:val="auto"/>
          <w:sz w:val="24"/>
          <w:szCs w:val="22"/>
          <w:lang w:val="en-GB"/>
        </w:rPr>
        <w:t>60</w:t>
      </w:r>
      <w:r w:rsidR="00DF497B" w:rsidRPr="00DF497B">
        <w:rPr>
          <w:rFonts w:asciiTheme="majorBidi" w:hAnsiTheme="majorBidi" w:cstheme="majorBidi"/>
          <w:color w:val="auto"/>
          <w:sz w:val="24"/>
          <w:szCs w:val="22"/>
          <w:lang w:val="en-GB"/>
        </w:rPr>
        <w:t xml:space="preserve"> </w:t>
      </w:r>
      <w:r w:rsidR="00DF497B">
        <w:rPr>
          <w:rFonts w:asciiTheme="majorBidi" w:hAnsiTheme="majorBidi" w:cstheme="majorBidi"/>
          <w:color w:val="auto"/>
          <w:sz w:val="24"/>
          <w:szCs w:val="22"/>
          <w:lang w:val="en-GB"/>
        </w:rPr>
        <w:t xml:space="preserve">cal. BC; </w:t>
      </w:r>
      <w:r w:rsidR="003F31BB">
        <w:rPr>
          <w:rFonts w:asciiTheme="majorBidi" w:hAnsiTheme="majorBidi" w:cstheme="majorBidi"/>
          <w:sz w:val="24"/>
          <w:szCs w:val="22"/>
        </w:rPr>
        <w:t>see below</w:t>
      </w:r>
      <w:r w:rsidRPr="00067D8A">
        <w:rPr>
          <w:rFonts w:asciiTheme="majorBidi" w:hAnsiTheme="majorBidi" w:cstheme="majorBidi"/>
          <w:sz w:val="24"/>
          <w:szCs w:val="22"/>
        </w:rPr>
        <w:t>)</w:t>
      </w:r>
      <w:r w:rsidR="00D127A1">
        <w:rPr>
          <w:rFonts w:asciiTheme="majorBidi" w:hAnsiTheme="majorBidi" w:cstheme="majorBidi"/>
          <w:sz w:val="24"/>
          <w:szCs w:val="22"/>
        </w:rPr>
        <w:t>, with one having a range that is broadly similar to the Casal Sub-</w:t>
      </w:r>
      <w:r w:rsidR="00D127A1" w:rsidRPr="00067D8A">
        <w:rPr>
          <w:rFonts w:asciiTheme="majorBidi" w:hAnsiTheme="majorBidi" w:cstheme="majorBidi"/>
          <w:sz w:val="24"/>
          <w:szCs w:val="22"/>
        </w:rPr>
        <w:t>Period III</w:t>
      </w:r>
      <w:r w:rsidR="00D127A1" w:rsidRPr="00067D8A">
        <w:rPr>
          <w:rFonts w:asciiTheme="majorBidi" w:hAnsiTheme="majorBidi" w:cstheme="majorBidi"/>
          <w:sz w:val="24"/>
          <w:szCs w:val="22"/>
          <w:vertAlign w:val="subscript"/>
        </w:rPr>
        <w:t>5</w:t>
      </w:r>
      <w:r w:rsidR="00D127A1">
        <w:rPr>
          <w:rFonts w:asciiTheme="majorBidi" w:hAnsiTheme="majorBidi" w:cstheme="majorBidi"/>
          <w:sz w:val="24"/>
          <w:szCs w:val="22"/>
        </w:rPr>
        <w:t xml:space="preserve"> date and the other being earlier than the earliest date from either site</w:t>
      </w:r>
      <w:r w:rsidRPr="00067D8A">
        <w:rPr>
          <w:rFonts w:asciiTheme="majorBidi" w:hAnsiTheme="majorBidi" w:cstheme="majorBidi"/>
          <w:smallCaps/>
          <w:sz w:val="24"/>
          <w:szCs w:val="22"/>
        </w:rPr>
        <w:t>.</w:t>
      </w:r>
      <w:r w:rsidRPr="00067D8A">
        <w:rPr>
          <w:rStyle w:val="EndnoteReference"/>
          <w:rFonts w:asciiTheme="majorBidi" w:hAnsiTheme="majorBidi" w:cstheme="majorBidi"/>
          <w:smallCaps/>
          <w:sz w:val="24"/>
          <w:szCs w:val="22"/>
        </w:rPr>
        <w:endnoteReference w:id="46"/>
      </w:r>
      <w:r w:rsidRPr="00067D8A">
        <w:rPr>
          <w:rFonts w:asciiTheme="majorBidi" w:hAnsiTheme="majorBidi" w:cstheme="majorBidi"/>
          <w:sz w:val="24"/>
          <w:szCs w:val="22"/>
        </w:rPr>
        <w:t xml:space="preserve"> On the basis of ceramic comparisons Said Qala is similar to Mundigak III and perhaps early </w:t>
      </w:r>
      <w:r w:rsidR="001E1DEF">
        <w:rPr>
          <w:rFonts w:asciiTheme="majorBidi" w:hAnsiTheme="majorBidi" w:cstheme="majorBidi"/>
          <w:sz w:val="24"/>
          <w:szCs w:val="22"/>
        </w:rPr>
        <w:t>Sub-Period</w:t>
      </w:r>
      <w:r w:rsidRPr="00067D8A">
        <w:rPr>
          <w:rFonts w:asciiTheme="majorBidi" w:hAnsiTheme="majorBidi" w:cstheme="majorBidi"/>
          <w:sz w:val="24"/>
          <w:szCs w:val="22"/>
        </w:rPr>
        <w:t xml:space="preserve"> IV</w:t>
      </w:r>
      <w:r w:rsidRPr="00067D8A">
        <w:rPr>
          <w:rFonts w:asciiTheme="majorBidi" w:hAnsiTheme="majorBidi" w:cstheme="majorBidi"/>
          <w:sz w:val="24"/>
          <w:szCs w:val="22"/>
          <w:vertAlign w:val="subscript"/>
        </w:rPr>
        <w:t>1</w:t>
      </w:r>
      <w:r w:rsidR="00DF497B">
        <w:rPr>
          <w:rFonts w:asciiTheme="majorBidi" w:hAnsiTheme="majorBidi" w:cstheme="majorBidi"/>
          <w:sz w:val="24"/>
          <w:szCs w:val="22"/>
        </w:rPr>
        <w:t>, but t</w:t>
      </w:r>
      <w:r w:rsidR="00DF497B" w:rsidRPr="00067D8A">
        <w:rPr>
          <w:rFonts w:asciiTheme="majorBidi" w:hAnsiTheme="majorBidi" w:cstheme="majorBidi"/>
          <w:sz w:val="24"/>
          <w:szCs w:val="22"/>
        </w:rPr>
        <w:t xml:space="preserve">he </w:t>
      </w:r>
      <w:r w:rsidR="00D127A1">
        <w:rPr>
          <w:rFonts w:asciiTheme="majorBidi" w:hAnsiTheme="majorBidi" w:cstheme="majorBidi"/>
          <w:sz w:val="24"/>
          <w:szCs w:val="22"/>
        </w:rPr>
        <w:t>radio</w:t>
      </w:r>
      <w:r w:rsidR="00DF497B" w:rsidRPr="00067D8A">
        <w:rPr>
          <w:rFonts w:asciiTheme="majorBidi" w:hAnsiTheme="majorBidi" w:cstheme="majorBidi"/>
          <w:sz w:val="24"/>
          <w:szCs w:val="22"/>
        </w:rPr>
        <w:t xml:space="preserve">carbon dates from Said Qala are </w:t>
      </w:r>
      <w:r w:rsidR="00D127A1">
        <w:rPr>
          <w:rFonts w:asciiTheme="majorBidi" w:hAnsiTheme="majorBidi" w:cstheme="majorBidi"/>
          <w:sz w:val="24"/>
          <w:szCs w:val="22"/>
        </w:rPr>
        <w:t xml:space="preserve">also </w:t>
      </w:r>
      <w:r w:rsidR="00DF497B" w:rsidRPr="00067D8A">
        <w:rPr>
          <w:rFonts w:asciiTheme="majorBidi" w:hAnsiTheme="majorBidi" w:cstheme="majorBidi"/>
          <w:sz w:val="24"/>
          <w:szCs w:val="22"/>
        </w:rPr>
        <w:t>confusing</w:t>
      </w:r>
      <w:r w:rsidR="00DF497B">
        <w:rPr>
          <w:rFonts w:asciiTheme="majorBidi" w:hAnsiTheme="majorBidi" w:cstheme="majorBidi"/>
          <w:sz w:val="24"/>
          <w:szCs w:val="22"/>
        </w:rPr>
        <w:t xml:space="preserve"> (see below)</w:t>
      </w:r>
      <w:r w:rsidRPr="00067D8A">
        <w:rPr>
          <w:rFonts w:asciiTheme="majorBidi" w:hAnsiTheme="majorBidi" w:cstheme="majorBidi"/>
          <w:sz w:val="24"/>
          <w:szCs w:val="22"/>
        </w:rPr>
        <w:t xml:space="preserve">. </w:t>
      </w:r>
      <w:r w:rsidR="00DF497B">
        <w:rPr>
          <w:rFonts w:asciiTheme="majorBidi" w:hAnsiTheme="majorBidi" w:cstheme="majorBidi"/>
          <w:sz w:val="24"/>
          <w:szCs w:val="22"/>
        </w:rPr>
        <w:t>The</w:t>
      </w:r>
      <w:r w:rsidRPr="00067D8A">
        <w:rPr>
          <w:rFonts w:asciiTheme="majorBidi" w:hAnsiTheme="majorBidi" w:cstheme="majorBidi"/>
          <w:sz w:val="24"/>
          <w:szCs w:val="22"/>
        </w:rPr>
        <w:t xml:space="preserve"> three radiocarbon determinations from different strata </w:t>
      </w:r>
      <w:r w:rsidR="00DF497B">
        <w:rPr>
          <w:rFonts w:asciiTheme="majorBidi" w:hAnsiTheme="majorBidi" w:cstheme="majorBidi"/>
          <w:sz w:val="24"/>
          <w:szCs w:val="22"/>
        </w:rPr>
        <w:t>have been recalibrated as follows</w:t>
      </w:r>
      <w:r w:rsidRPr="00067D8A">
        <w:rPr>
          <w:rFonts w:asciiTheme="majorBidi" w:hAnsiTheme="majorBidi" w:cstheme="majorBidi"/>
          <w:sz w:val="24"/>
          <w:szCs w:val="22"/>
        </w:rPr>
        <w:t xml:space="preserve">: </w:t>
      </w:r>
      <w:r w:rsidR="006F7798" w:rsidRPr="006F7798">
        <w:rPr>
          <w:rFonts w:asciiTheme="majorBidi" w:hAnsiTheme="majorBidi" w:cstheme="majorBidi"/>
          <w:sz w:val="24"/>
          <w:szCs w:val="22"/>
        </w:rPr>
        <w:t>DIC-22</w:t>
      </w:r>
      <w:r w:rsidR="006F7798">
        <w:rPr>
          <w:rFonts w:asciiTheme="majorBidi" w:hAnsiTheme="majorBidi" w:cstheme="majorBidi"/>
          <w:sz w:val="24"/>
          <w:szCs w:val="22"/>
        </w:rPr>
        <w:t xml:space="preserve">: </w:t>
      </w:r>
      <w:r w:rsidR="006F7798" w:rsidRPr="006F7798">
        <w:rPr>
          <w:rFonts w:asciiTheme="majorBidi" w:hAnsiTheme="majorBidi" w:cstheme="majorBidi"/>
          <w:sz w:val="24"/>
          <w:szCs w:val="22"/>
        </w:rPr>
        <w:t>3</w:t>
      </w:r>
      <w:r w:rsidR="006F7798">
        <w:rPr>
          <w:rFonts w:asciiTheme="majorBidi" w:hAnsiTheme="majorBidi" w:cstheme="majorBidi"/>
          <w:sz w:val="24"/>
          <w:szCs w:val="22"/>
        </w:rPr>
        <w:t>,</w:t>
      </w:r>
      <w:r w:rsidR="006F7798" w:rsidRPr="006F7798">
        <w:rPr>
          <w:rFonts w:asciiTheme="majorBidi" w:hAnsiTheme="majorBidi" w:cstheme="majorBidi"/>
          <w:sz w:val="24"/>
          <w:szCs w:val="22"/>
        </w:rPr>
        <w:t>620</w:t>
      </w:r>
      <w:r w:rsidR="006F7798" w:rsidRPr="00E2251A">
        <w:rPr>
          <w:rFonts w:asciiTheme="majorBidi" w:hAnsiTheme="majorBidi" w:cstheme="majorBidi"/>
          <w:color w:val="auto"/>
          <w:sz w:val="24"/>
          <w:szCs w:val="22"/>
          <w:lang w:val="en-GB"/>
        </w:rPr>
        <w:t>±</w:t>
      </w:r>
      <w:r w:rsidR="006F7798" w:rsidRPr="006F7798">
        <w:rPr>
          <w:rFonts w:asciiTheme="majorBidi" w:hAnsiTheme="majorBidi" w:cstheme="majorBidi"/>
          <w:sz w:val="24"/>
          <w:szCs w:val="22"/>
        </w:rPr>
        <w:t>220</w:t>
      </w:r>
      <w:r w:rsidR="006F7798">
        <w:rPr>
          <w:rFonts w:asciiTheme="majorBidi" w:hAnsiTheme="majorBidi" w:cstheme="majorBidi"/>
          <w:sz w:val="24"/>
          <w:szCs w:val="22"/>
        </w:rPr>
        <w:t xml:space="preserve"> BP, </w:t>
      </w:r>
      <w:r w:rsidR="00D127A1" w:rsidRPr="006F7798">
        <w:rPr>
          <w:rFonts w:asciiTheme="majorBidi" w:hAnsiTheme="majorBidi" w:cstheme="majorBidi"/>
          <w:sz w:val="24"/>
          <w:szCs w:val="22"/>
        </w:rPr>
        <w:t>2</w:t>
      </w:r>
      <w:r w:rsidR="00D127A1">
        <w:rPr>
          <w:rFonts w:asciiTheme="majorBidi" w:hAnsiTheme="majorBidi" w:cstheme="majorBidi"/>
          <w:sz w:val="24"/>
          <w:szCs w:val="22"/>
        </w:rPr>
        <w:t>,</w:t>
      </w:r>
      <w:r w:rsidR="00D127A1" w:rsidRPr="006F7798">
        <w:rPr>
          <w:rFonts w:asciiTheme="majorBidi" w:hAnsiTheme="majorBidi" w:cstheme="majorBidi"/>
          <w:sz w:val="24"/>
          <w:szCs w:val="22"/>
        </w:rPr>
        <w:t>6</w:t>
      </w:r>
      <w:r w:rsidR="00D127A1">
        <w:rPr>
          <w:rFonts w:asciiTheme="majorBidi" w:hAnsiTheme="majorBidi" w:cstheme="majorBidi"/>
          <w:sz w:val="24"/>
          <w:szCs w:val="22"/>
        </w:rPr>
        <w:t>20</w:t>
      </w:r>
      <w:r w:rsidR="00D127A1" w:rsidRPr="006F7798">
        <w:rPr>
          <w:rFonts w:asciiTheme="majorBidi" w:hAnsiTheme="majorBidi" w:cstheme="majorBidi"/>
          <w:sz w:val="24"/>
          <w:szCs w:val="22"/>
        </w:rPr>
        <w:t>-1</w:t>
      </w:r>
      <w:r w:rsidR="00D127A1">
        <w:rPr>
          <w:rFonts w:asciiTheme="majorBidi" w:hAnsiTheme="majorBidi" w:cstheme="majorBidi"/>
          <w:sz w:val="24"/>
          <w:szCs w:val="22"/>
        </w:rPr>
        <w:t>,</w:t>
      </w:r>
      <w:r w:rsidR="00D127A1" w:rsidRPr="006F7798">
        <w:rPr>
          <w:rFonts w:asciiTheme="majorBidi" w:hAnsiTheme="majorBidi" w:cstheme="majorBidi"/>
          <w:sz w:val="24"/>
          <w:szCs w:val="22"/>
        </w:rPr>
        <w:t>4</w:t>
      </w:r>
      <w:r w:rsidR="00D127A1">
        <w:rPr>
          <w:rFonts w:asciiTheme="majorBidi" w:hAnsiTheme="majorBidi" w:cstheme="majorBidi"/>
          <w:sz w:val="24"/>
          <w:szCs w:val="22"/>
        </w:rPr>
        <w:t xml:space="preserve">50 </w:t>
      </w:r>
      <w:r w:rsidR="006F7798">
        <w:rPr>
          <w:rFonts w:asciiTheme="majorBidi" w:hAnsiTheme="majorBidi" w:cstheme="majorBidi"/>
          <w:sz w:val="24"/>
          <w:szCs w:val="22"/>
        </w:rPr>
        <w:t xml:space="preserve">cal. BC; </w:t>
      </w:r>
      <w:r w:rsidR="006F7798" w:rsidRPr="006F7798">
        <w:rPr>
          <w:rFonts w:asciiTheme="majorBidi" w:hAnsiTheme="majorBidi" w:cstheme="majorBidi"/>
          <w:sz w:val="24"/>
          <w:szCs w:val="22"/>
        </w:rPr>
        <w:t>DIC-20</w:t>
      </w:r>
      <w:r w:rsidR="006F7798">
        <w:rPr>
          <w:rFonts w:asciiTheme="majorBidi" w:hAnsiTheme="majorBidi" w:cstheme="majorBidi"/>
          <w:sz w:val="24"/>
          <w:szCs w:val="22"/>
        </w:rPr>
        <w:t xml:space="preserve">: </w:t>
      </w:r>
      <w:r w:rsidR="006F7798" w:rsidRPr="006F7798">
        <w:rPr>
          <w:rFonts w:asciiTheme="majorBidi" w:hAnsiTheme="majorBidi" w:cstheme="majorBidi"/>
          <w:sz w:val="24"/>
          <w:szCs w:val="22"/>
        </w:rPr>
        <w:t>3</w:t>
      </w:r>
      <w:r w:rsidR="006F7798">
        <w:rPr>
          <w:rFonts w:asciiTheme="majorBidi" w:hAnsiTheme="majorBidi" w:cstheme="majorBidi"/>
          <w:sz w:val="24"/>
          <w:szCs w:val="22"/>
        </w:rPr>
        <w:t>,</w:t>
      </w:r>
      <w:r w:rsidR="006F7798" w:rsidRPr="006F7798">
        <w:rPr>
          <w:rFonts w:asciiTheme="majorBidi" w:hAnsiTheme="majorBidi" w:cstheme="majorBidi"/>
          <w:sz w:val="24"/>
          <w:szCs w:val="22"/>
        </w:rPr>
        <w:t>710</w:t>
      </w:r>
      <w:r w:rsidR="006F7798" w:rsidRPr="00E2251A">
        <w:rPr>
          <w:rFonts w:asciiTheme="majorBidi" w:hAnsiTheme="majorBidi" w:cstheme="majorBidi"/>
          <w:color w:val="auto"/>
          <w:sz w:val="24"/>
          <w:szCs w:val="22"/>
          <w:lang w:val="en-GB"/>
        </w:rPr>
        <w:t>±</w:t>
      </w:r>
      <w:r w:rsidR="006F7798" w:rsidRPr="006F7798">
        <w:rPr>
          <w:rFonts w:asciiTheme="majorBidi" w:hAnsiTheme="majorBidi" w:cstheme="majorBidi"/>
          <w:sz w:val="24"/>
          <w:szCs w:val="22"/>
        </w:rPr>
        <w:t>90</w:t>
      </w:r>
      <w:r w:rsidR="006F7798">
        <w:rPr>
          <w:rFonts w:asciiTheme="majorBidi" w:hAnsiTheme="majorBidi" w:cstheme="majorBidi"/>
          <w:sz w:val="24"/>
          <w:szCs w:val="22"/>
        </w:rPr>
        <w:t xml:space="preserve"> BP, </w:t>
      </w:r>
      <w:r w:rsidR="00D127A1" w:rsidRPr="006F7798">
        <w:rPr>
          <w:rFonts w:asciiTheme="majorBidi" w:hAnsiTheme="majorBidi" w:cstheme="majorBidi"/>
          <w:sz w:val="24"/>
          <w:szCs w:val="22"/>
        </w:rPr>
        <w:t>2</w:t>
      </w:r>
      <w:r w:rsidR="00D127A1">
        <w:rPr>
          <w:rFonts w:asciiTheme="majorBidi" w:hAnsiTheme="majorBidi" w:cstheme="majorBidi"/>
          <w:sz w:val="24"/>
          <w:szCs w:val="22"/>
        </w:rPr>
        <w:t>,</w:t>
      </w:r>
      <w:r w:rsidR="00D127A1" w:rsidRPr="006F7798">
        <w:rPr>
          <w:rFonts w:asciiTheme="majorBidi" w:hAnsiTheme="majorBidi" w:cstheme="majorBidi"/>
          <w:sz w:val="24"/>
          <w:szCs w:val="22"/>
        </w:rPr>
        <w:t>45</w:t>
      </w:r>
      <w:r w:rsidR="00D127A1">
        <w:rPr>
          <w:rFonts w:asciiTheme="majorBidi" w:hAnsiTheme="majorBidi" w:cstheme="majorBidi"/>
          <w:sz w:val="24"/>
          <w:szCs w:val="22"/>
        </w:rPr>
        <w:t>5</w:t>
      </w:r>
      <w:r w:rsidR="00D127A1" w:rsidRPr="006F7798">
        <w:rPr>
          <w:rFonts w:asciiTheme="majorBidi" w:hAnsiTheme="majorBidi" w:cstheme="majorBidi"/>
          <w:sz w:val="24"/>
          <w:szCs w:val="22"/>
        </w:rPr>
        <w:t>-1</w:t>
      </w:r>
      <w:r w:rsidR="00D127A1">
        <w:rPr>
          <w:rFonts w:asciiTheme="majorBidi" w:hAnsiTheme="majorBidi" w:cstheme="majorBidi"/>
          <w:sz w:val="24"/>
          <w:szCs w:val="22"/>
        </w:rPr>
        <w:t>,</w:t>
      </w:r>
      <w:r w:rsidR="00D127A1" w:rsidRPr="006F7798">
        <w:rPr>
          <w:rFonts w:asciiTheme="majorBidi" w:hAnsiTheme="majorBidi" w:cstheme="majorBidi"/>
          <w:sz w:val="24"/>
          <w:szCs w:val="22"/>
        </w:rPr>
        <w:t>88</w:t>
      </w:r>
      <w:r w:rsidR="00D127A1">
        <w:rPr>
          <w:rFonts w:asciiTheme="majorBidi" w:hAnsiTheme="majorBidi" w:cstheme="majorBidi"/>
          <w:sz w:val="24"/>
          <w:szCs w:val="22"/>
        </w:rPr>
        <w:t xml:space="preserve">5 </w:t>
      </w:r>
      <w:r w:rsidR="006F7798">
        <w:rPr>
          <w:rFonts w:asciiTheme="majorBidi" w:hAnsiTheme="majorBidi" w:cstheme="majorBidi"/>
          <w:sz w:val="24"/>
          <w:szCs w:val="22"/>
        </w:rPr>
        <w:t xml:space="preserve">cal. BC; </w:t>
      </w:r>
      <w:r w:rsidR="006F7798" w:rsidRPr="006F7798">
        <w:rPr>
          <w:rFonts w:asciiTheme="majorBidi" w:hAnsiTheme="majorBidi" w:cstheme="majorBidi"/>
          <w:sz w:val="24"/>
          <w:szCs w:val="22"/>
        </w:rPr>
        <w:t>DIC-18</w:t>
      </w:r>
      <w:r w:rsidR="006F7798">
        <w:rPr>
          <w:rFonts w:asciiTheme="majorBidi" w:hAnsiTheme="majorBidi" w:cstheme="majorBidi"/>
          <w:sz w:val="24"/>
          <w:szCs w:val="22"/>
        </w:rPr>
        <w:t xml:space="preserve">: </w:t>
      </w:r>
      <w:r w:rsidR="006F7798" w:rsidRPr="006F7798">
        <w:rPr>
          <w:rFonts w:asciiTheme="majorBidi" w:hAnsiTheme="majorBidi" w:cstheme="majorBidi"/>
          <w:sz w:val="24"/>
          <w:szCs w:val="22"/>
        </w:rPr>
        <w:t>3</w:t>
      </w:r>
      <w:r w:rsidR="006F7798">
        <w:rPr>
          <w:rFonts w:asciiTheme="majorBidi" w:hAnsiTheme="majorBidi" w:cstheme="majorBidi"/>
          <w:sz w:val="24"/>
          <w:szCs w:val="22"/>
        </w:rPr>
        <w:t>,</w:t>
      </w:r>
      <w:r w:rsidR="006F7798" w:rsidRPr="006F7798">
        <w:rPr>
          <w:rFonts w:asciiTheme="majorBidi" w:hAnsiTheme="majorBidi" w:cstheme="majorBidi"/>
          <w:sz w:val="24"/>
          <w:szCs w:val="22"/>
        </w:rPr>
        <w:t>800</w:t>
      </w:r>
      <w:r w:rsidR="006F7798" w:rsidRPr="00E2251A">
        <w:rPr>
          <w:rFonts w:asciiTheme="majorBidi" w:hAnsiTheme="majorBidi" w:cstheme="majorBidi"/>
          <w:color w:val="auto"/>
          <w:sz w:val="24"/>
          <w:szCs w:val="22"/>
          <w:lang w:val="en-GB"/>
        </w:rPr>
        <w:t>±</w:t>
      </w:r>
      <w:r w:rsidR="006F7798" w:rsidRPr="006F7798">
        <w:rPr>
          <w:rFonts w:asciiTheme="majorBidi" w:hAnsiTheme="majorBidi" w:cstheme="majorBidi"/>
          <w:sz w:val="24"/>
          <w:szCs w:val="22"/>
        </w:rPr>
        <w:t>220</w:t>
      </w:r>
      <w:r w:rsidR="006F7798">
        <w:rPr>
          <w:rFonts w:asciiTheme="majorBidi" w:hAnsiTheme="majorBidi" w:cstheme="majorBidi"/>
          <w:sz w:val="24"/>
          <w:szCs w:val="22"/>
        </w:rPr>
        <w:t xml:space="preserve"> BP, </w:t>
      </w:r>
      <w:r w:rsidR="00D127A1" w:rsidRPr="006F7798">
        <w:rPr>
          <w:rFonts w:asciiTheme="majorBidi" w:hAnsiTheme="majorBidi" w:cstheme="majorBidi"/>
          <w:sz w:val="24"/>
          <w:szCs w:val="22"/>
        </w:rPr>
        <w:t>2</w:t>
      </w:r>
      <w:r w:rsidR="00D127A1">
        <w:rPr>
          <w:rFonts w:asciiTheme="majorBidi" w:hAnsiTheme="majorBidi" w:cstheme="majorBidi"/>
          <w:sz w:val="24"/>
          <w:szCs w:val="22"/>
        </w:rPr>
        <w:t>,</w:t>
      </w:r>
      <w:r w:rsidR="00D127A1" w:rsidRPr="006F7798">
        <w:rPr>
          <w:rFonts w:asciiTheme="majorBidi" w:hAnsiTheme="majorBidi" w:cstheme="majorBidi"/>
          <w:sz w:val="24"/>
          <w:szCs w:val="22"/>
        </w:rPr>
        <w:t>8</w:t>
      </w:r>
      <w:r w:rsidR="00D127A1">
        <w:rPr>
          <w:rFonts w:asciiTheme="majorBidi" w:hAnsiTheme="majorBidi" w:cstheme="majorBidi"/>
          <w:sz w:val="24"/>
          <w:szCs w:val="22"/>
        </w:rPr>
        <w:t>80</w:t>
      </w:r>
      <w:r w:rsidR="00D127A1" w:rsidRPr="006F7798">
        <w:rPr>
          <w:rFonts w:asciiTheme="majorBidi" w:hAnsiTheme="majorBidi" w:cstheme="majorBidi"/>
          <w:sz w:val="24"/>
          <w:szCs w:val="22"/>
        </w:rPr>
        <w:t>-1</w:t>
      </w:r>
      <w:r w:rsidR="00D127A1">
        <w:rPr>
          <w:rFonts w:asciiTheme="majorBidi" w:hAnsiTheme="majorBidi" w:cstheme="majorBidi"/>
          <w:sz w:val="24"/>
          <w:szCs w:val="22"/>
        </w:rPr>
        <w:t>,</w:t>
      </w:r>
      <w:r w:rsidR="00D127A1" w:rsidRPr="006F7798">
        <w:rPr>
          <w:rFonts w:asciiTheme="majorBidi" w:hAnsiTheme="majorBidi" w:cstheme="majorBidi"/>
          <w:sz w:val="24"/>
          <w:szCs w:val="22"/>
        </w:rPr>
        <w:t>695</w:t>
      </w:r>
      <w:r w:rsidR="00D127A1">
        <w:rPr>
          <w:rFonts w:asciiTheme="majorBidi" w:hAnsiTheme="majorBidi" w:cstheme="majorBidi"/>
          <w:sz w:val="24"/>
          <w:szCs w:val="22"/>
        </w:rPr>
        <w:t xml:space="preserve"> </w:t>
      </w:r>
      <w:r w:rsidR="006F7798">
        <w:rPr>
          <w:rFonts w:asciiTheme="majorBidi" w:hAnsiTheme="majorBidi" w:cstheme="majorBidi"/>
          <w:sz w:val="24"/>
          <w:szCs w:val="22"/>
        </w:rPr>
        <w:t>cal. BC</w:t>
      </w:r>
      <w:r w:rsidRPr="00067D8A">
        <w:rPr>
          <w:rFonts w:asciiTheme="majorBidi" w:hAnsiTheme="majorBidi" w:cstheme="majorBidi"/>
          <w:sz w:val="24"/>
          <w:szCs w:val="22"/>
        </w:rPr>
        <w:t>),</w:t>
      </w:r>
      <w:r w:rsidR="00D127A1">
        <w:rPr>
          <w:rStyle w:val="EndnoteReference"/>
          <w:rFonts w:asciiTheme="majorBidi" w:hAnsiTheme="majorBidi" w:cstheme="majorBidi"/>
          <w:sz w:val="24"/>
          <w:szCs w:val="22"/>
        </w:rPr>
        <w:endnoteReference w:id="47"/>
      </w:r>
      <w:r w:rsidRPr="00067D8A">
        <w:rPr>
          <w:rFonts w:asciiTheme="majorBidi" w:hAnsiTheme="majorBidi" w:cstheme="majorBidi"/>
          <w:sz w:val="24"/>
          <w:szCs w:val="22"/>
        </w:rPr>
        <w:t xml:space="preserve"> </w:t>
      </w:r>
      <w:r w:rsidR="00D127A1">
        <w:rPr>
          <w:rFonts w:asciiTheme="majorBidi" w:hAnsiTheme="majorBidi" w:cstheme="majorBidi"/>
          <w:sz w:val="24"/>
          <w:szCs w:val="22"/>
        </w:rPr>
        <w:t xml:space="preserve">and these ranges are all considerably later than expected. This brief comparison </w:t>
      </w:r>
      <w:r w:rsidR="004403DA">
        <w:rPr>
          <w:rFonts w:asciiTheme="majorBidi" w:hAnsiTheme="majorBidi" w:cstheme="majorBidi"/>
          <w:sz w:val="24"/>
          <w:szCs w:val="22"/>
        </w:rPr>
        <w:t xml:space="preserve">highlights the problems with the absolute dates from late prehistoric phases in southern Afghanistan, and </w:t>
      </w:r>
      <w:r w:rsidRPr="00067D8A">
        <w:rPr>
          <w:rFonts w:asciiTheme="majorBidi" w:hAnsiTheme="majorBidi" w:cstheme="majorBidi"/>
          <w:sz w:val="24"/>
          <w:szCs w:val="22"/>
        </w:rPr>
        <w:t>indicat</w:t>
      </w:r>
      <w:r w:rsidR="004403DA">
        <w:rPr>
          <w:rFonts w:asciiTheme="majorBidi" w:hAnsiTheme="majorBidi" w:cstheme="majorBidi"/>
          <w:sz w:val="24"/>
          <w:szCs w:val="22"/>
        </w:rPr>
        <w:t>es</w:t>
      </w:r>
      <w:r w:rsidRPr="00067D8A">
        <w:rPr>
          <w:rFonts w:asciiTheme="majorBidi" w:hAnsiTheme="majorBidi" w:cstheme="majorBidi"/>
          <w:sz w:val="24"/>
          <w:szCs w:val="22"/>
        </w:rPr>
        <w:t xml:space="preserve"> how tentative any assessment of the absolute dating for the Mundigak sequence is. </w:t>
      </w:r>
      <w:r w:rsidR="004403DA">
        <w:rPr>
          <w:rFonts w:asciiTheme="majorBidi" w:hAnsiTheme="majorBidi" w:cstheme="majorBidi"/>
          <w:sz w:val="24"/>
          <w:szCs w:val="22"/>
        </w:rPr>
        <w:t>There are also problems with the absolute dates from the earliest phases of Mehrgarh, in Pakistan Baluchistan (see Chapter 3).</w:t>
      </w:r>
      <w:r w:rsidR="004403DA">
        <w:rPr>
          <w:rStyle w:val="EndnoteReference"/>
          <w:rFonts w:asciiTheme="majorBidi" w:hAnsiTheme="majorBidi" w:cstheme="majorBidi"/>
          <w:sz w:val="24"/>
          <w:szCs w:val="22"/>
        </w:rPr>
        <w:endnoteReference w:id="48"/>
      </w:r>
      <w:r w:rsidR="004403DA">
        <w:rPr>
          <w:rFonts w:asciiTheme="majorBidi" w:hAnsiTheme="majorBidi" w:cstheme="majorBidi"/>
          <w:sz w:val="24"/>
          <w:szCs w:val="22"/>
        </w:rPr>
        <w:t xml:space="preserve"> T</w:t>
      </w:r>
      <w:r w:rsidRPr="00067D8A">
        <w:rPr>
          <w:rFonts w:asciiTheme="majorBidi" w:hAnsiTheme="majorBidi" w:cstheme="majorBidi"/>
          <w:sz w:val="24"/>
          <w:szCs w:val="22"/>
        </w:rPr>
        <w:t>he following chronology is based on the radiocarbon dates and comparative material from outside Afghanistan, which will be presented below.</w:t>
      </w:r>
    </w:p>
    <w:p w14:paraId="470C1CF9" w14:textId="79546D83" w:rsidR="0030226C" w:rsidRPr="00067D8A" w:rsidRDefault="0030226C" w:rsidP="00AD05F1">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As noted above, </w:t>
      </w:r>
      <w:r w:rsidR="00BE5F65">
        <w:rPr>
          <w:rFonts w:asciiTheme="majorBidi" w:hAnsiTheme="majorBidi" w:cstheme="majorBidi"/>
          <w:sz w:val="24"/>
          <w:szCs w:val="22"/>
        </w:rPr>
        <w:t xml:space="preserve">Mundigak </w:t>
      </w:r>
      <w:r w:rsidRPr="004403DA">
        <w:rPr>
          <w:rFonts w:asciiTheme="majorBidi" w:hAnsiTheme="majorBidi" w:cstheme="majorBidi"/>
          <w:sz w:val="24"/>
          <w:szCs w:val="22"/>
        </w:rPr>
        <w:t>Period I likely spanned the early fourth millennium BC (</w:t>
      </w:r>
      <w:r w:rsidR="004403DA" w:rsidRPr="004403DA">
        <w:rPr>
          <w:rFonts w:asciiTheme="majorBidi" w:hAnsiTheme="majorBidi" w:cstheme="majorBidi"/>
          <w:i/>
          <w:sz w:val="24"/>
          <w:szCs w:val="22"/>
        </w:rPr>
        <w:t>c</w:t>
      </w:r>
      <w:r w:rsidR="004403DA" w:rsidRPr="004403DA">
        <w:rPr>
          <w:rFonts w:asciiTheme="majorBidi" w:hAnsiTheme="majorBidi" w:cstheme="majorBidi"/>
          <w:sz w:val="24"/>
          <w:szCs w:val="22"/>
        </w:rPr>
        <w:t>.4000–3500</w:t>
      </w:r>
      <w:r w:rsidR="004403DA" w:rsidRPr="004403DA">
        <w:rPr>
          <w:rFonts w:asciiTheme="majorBidi" w:hAnsiTheme="majorBidi" w:cstheme="majorBidi"/>
          <w:smallCaps/>
          <w:sz w:val="24"/>
          <w:szCs w:val="22"/>
        </w:rPr>
        <w:t xml:space="preserve"> BC</w:t>
      </w:r>
      <w:r w:rsidRPr="004403DA">
        <w:rPr>
          <w:rFonts w:asciiTheme="majorBidi" w:hAnsiTheme="majorBidi" w:cstheme="majorBidi"/>
          <w:sz w:val="24"/>
          <w:szCs w:val="22"/>
        </w:rPr>
        <w:t>). Period II probably represents a rather short occupation at the site, which occurred about the middle of the fourth millennium</w:t>
      </w:r>
      <w:r w:rsidRPr="004403DA">
        <w:rPr>
          <w:rFonts w:asciiTheme="majorBidi" w:hAnsiTheme="majorBidi" w:cstheme="majorBidi"/>
          <w:smallCaps/>
          <w:sz w:val="24"/>
          <w:szCs w:val="22"/>
        </w:rPr>
        <w:t xml:space="preserve"> BC</w:t>
      </w:r>
      <w:r w:rsidRPr="004403DA">
        <w:rPr>
          <w:rFonts w:asciiTheme="majorBidi" w:hAnsiTheme="majorBidi" w:cstheme="majorBidi"/>
          <w:sz w:val="24"/>
          <w:szCs w:val="22"/>
        </w:rPr>
        <w:t xml:space="preserve"> (</w:t>
      </w:r>
      <w:r w:rsidR="004403DA" w:rsidRPr="000526DA">
        <w:rPr>
          <w:rFonts w:asciiTheme="majorBidi" w:hAnsiTheme="majorBidi" w:cstheme="majorBidi"/>
          <w:i/>
          <w:sz w:val="24"/>
          <w:szCs w:val="22"/>
        </w:rPr>
        <w:t>c</w:t>
      </w:r>
      <w:r w:rsidR="004403DA" w:rsidRPr="004403DA">
        <w:rPr>
          <w:rFonts w:asciiTheme="majorBidi" w:hAnsiTheme="majorBidi" w:cstheme="majorBidi"/>
          <w:sz w:val="24"/>
          <w:szCs w:val="22"/>
        </w:rPr>
        <w:t>.</w:t>
      </w:r>
      <w:r w:rsidRPr="004403DA">
        <w:rPr>
          <w:rFonts w:asciiTheme="majorBidi" w:hAnsiTheme="majorBidi" w:cstheme="majorBidi"/>
          <w:sz w:val="24"/>
          <w:szCs w:val="22"/>
        </w:rPr>
        <w:t>3500</w:t>
      </w:r>
      <w:r w:rsidRPr="004403DA">
        <w:rPr>
          <w:rFonts w:asciiTheme="majorBidi" w:hAnsiTheme="majorBidi" w:cstheme="majorBidi"/>
          <w:smallCaps/>
          <w:sz w:val="24"/>
          <w:szCs w:val="22"/>
        </w:rPr>
        <w:t xml:space="preserve"> BC</w:t>
      </w:r>
      <w:r w:rsidRPr="004403DA">
        <w:rPr>
          <w:rFonts w:asciiTheme="majorBidi" w:hAnsiTheme="majorBidi" w:cstheme="majorBidi"/>
          <w:sz w:val="24"/>
          <w:szCs w:val="22"/>
        </w:rPr>
        <w:t xml:space="preserve">) and </w:t>
      </w:r>
      <w:r w:rsidR="004403DA" w:rsidRPr="004403DA">
        <w:rPr>
          <w:rFonts w:asciiTheme="majorBidi" w:hAnsiTheme="majorBidi" w:cstheme="majorBidi"/>
          <w:sz w:val="24"/>
          <w:szCs w:val="22"/>
        </w:rPr>
        <w:t xml:space="preserve">perhaps </w:t>
      </w:r>
      <w:r w:rsidRPr="004403DA">
        <w:rPr>
          <w:rFonts w:asciiTheme="majorBidi" w:hAnsiTheme="majorBidi" w:cstheme="majorBidi"/>
          <w:sz w:val="24"/>
          <w:szCs w:val="22"/>
        </w:rPr>
        <w:t>lasted for one or two hundred years at most. Mundigak III would date no earlier than the mid-fourth millennium</w:t>
      </w:r>
      <w:r w:rsidRPr="004403DA">
        <w:rPr>
          <w:rFonts w:asciiTheme="majorBidi" w:hAnsiTheme="majorBidi" w:cstheme="majorBidi"/>
          <w:smallCaps/>
          <w:sz w:val="24"/>
          <w:szCs w:val="22"/>
        </w:rPr>
        <w:t xml:space="preserve"> BC</w:t>
      </w:r>
      <w:r w:rsidRPr="004403DA">
        <w:rPr>
          <w:rFonts w:asciiTheme="majorBidi" w:hAnsiTheme="majorBidi" w:cstheme="majorBidi"/>
          <w:sz w:val="24"/>
          <w:szCs w:val="22"/>
        </w:rPr>
        <w:t xml:space="preserve"> and persisted through </w:t>
      </w:r>
      <w:r w:rsidR="00BF4A64">
        <w:rPr>
          <w:rFonts w:asciiTheme="majorBidi" w:hAnsiTheme="majorBidi" w:cstheme="majorBidi"/>
          <w:sz w:val="24"/>
          <w:szCs w:val="22"/>
        </w:rPr>
        <w:t>potentially continued in</w:t>
      </w:r>
      <w:r w:rsidRPr="004403DA">
        <w:rPr>
          <w:rFonts w:asciiTheme="majorBidi" w:hAnsiTheme="majorBidi" w:cstheme="majorBidi"/>
          <w:sz w:val="24"/>
          <w:szCs w:val="22"/>
        </w:rPr>
        <w:t>to the first centur</w:t>
      </w:r>
      <w:r w:rsidR="00BF4A64">
        <w:rPr>
          <w:rFonts w:asciiTheme="majorBidi" w:hAnsiTheme="majorBidi" w:cstheme="majorBidi"/>
          <w:sz w:val="24"/>
          <w:szCs w:val="22"/>
        </w:rPr>
        <w:t>y</w:t>
      </w:r>
      <w:r w:rsidRPr="004403DA">
        <w:rPr>
          <w:rFonts w:asciiTheme="majorBidi" w:hAnsiTheme="majorBidi" w:cstheme="majorBidi"/>
          <w:sz w:val="24"/>
          <w:szCs w:val="22"/>
        </w:rPr>
        <w:t xml:space="preserve"> of the third millennium</w:t>
      </w:r>
      <w:r w:rsidRPr="004403DA">
        <w:rPr>
          <w:rFonts w:asciiTheme="majorBidi" w:hAnsiTheme="majorBidi" w:cstheme="majorBidi"/>
          <w:smallCaps/>
          <w:sz w:val="24"/>
          <w:szCs w:val="22"/>
        </w:rPr>
        <w:t xml:space="preserve"> BC</w:t>
      </w:r>
      <w:r w:rsidRPr="004403DA">
        <w:rPr>
          <w:rFonts w:asciiTheme="majorBidi" w:hAnsiTheme="majorBidi" w:cstheme="majorBidi"/>
          <w:sz w:val="24"/>
          <w:szCs w:val="22"/>
        </w:rPr>
        <w:t xml:space="preserve"> (</w:t>
      </w:r>
      <w:r w:rsidR="004403DA" w:rsidRPr="000526DA">
        <w:rPr>
          <w:rFonts w:asciiTheme="majorBidi" w:hAnsiTheme="majorBidi" w:cstheme="majorBidi"/>
          <w:i/>
          <w:sz w:val="24"/>
          <w:szCs w:val="22"/>
        </w:rPr>
        <w:t>c</w:t>
      </w:r>
      <w:r w:rsidR="004403DA" w:rsidRPr="004403DA">
        <w:rPr>
          <w:rFonts w:asciiTheme="majorBidi" w:hAnsiTheme="majorBidi" w:cstheme="majorBidi"/>
          <w:sz w:val="24"/>
          <w:szCs w:val="22"/>
        </w:rPr>
        <w:t>.</w:t>
      </w:r>
      <w:r w:rsidRPr="004403DA">
        <w:rPr>
          <w:rFonts w:asciiTheme="majorBidi" w:hAnsiTheme="majorBidi" w:cstheme="majorBidi"/>
          <w:sz w:val="24"/>
          <w:szCs w:val="22"/>
        </w:rPr>
        <w:t>3500</w:t>
      </w:r>
      <w:r w:rsidR="004403DA" w:rsidRPr="004403DA">
        <w:rPr>
          <w:rFonts w:asciiTheme="majorBidi" w:hAnsiTheme="majorBidi" w:cstheme="majorBidi"/>
          <w:sz w:val="24"/>
          <w:szCs w:val="22"/>
        </w:rPr>
        <w:t>/3400</w:t>
      </w:r>
      <w:r w:rsidRPr="004403DA">
        <w:rPr>
          <w:rFonts w:asciiTheme="majorBidi" w:hAnsiTheme="majorBidi" w:cstheme="majorBidi"/>
          <w:sz w:val="24"/>
          <w:szCs w:val="22"/>
        </w:rPr>
        <w:t>–</w:t>
      </w:r>
      <w:r w:rsidR="00BF4A64">
        <w:rPr>
          <w:rFonts w:asciiTheme="majorBidi" w:hAnsiTheme="majorBidi" w:cstheme="majorBidi"/>
          <w:sz w:val="24"/>
          <w:szCs w:val="22"/>
        </w:rPr>
        <w:t>/3000</w:t>
      </w:r>
      <w:r w:rsidRPr="004403DA">
        <w:rPr>
          <w:rFonts w:asciiTheme="majorBidi" w:hAnsiTheme="majorBidi" w:cstheme="majorBidi"/>
          <w:sz w:val="24"/>
          <w:szCs w:val="22"/>
        </w:rPr>
        <w:t>2</w:t>
      </w:r>
      <w:r w:rsidR="00BF4A64">
        <w:rPr>
          <w:rFonts w:asciiTheme="majorBidi" w:hAnsiTheme="majorBidi" w:cstheme="majorBidi"/>
          <w:sz w:val="24"/>
          <w:szCs w:val="22"/>
        </w:rPr>
        <w:t>9</w:t>
      </w:r>
      <w:r w:rsidRPr="004403DA">
        <w:rPr>
          <w:rFonts w:asciiTheme="majorBidi" w:hAnsiTheme="majorBidi" w:cstheme="majorBidi"/>
          <w:sz w:val="24"/>
          <w:szCs w:val="22"/>
        </w:rPr>
        <w:t>00</w:t>
      </w:r>
      <w:r w:rsidRPr="004403DA">
        <w:rPr>
          <w:rFonts w:asciiTheme="majorBidi" w:hAnsiTheme="majorBidi" w:cstheme="majorBidi"/>
          <w:smallCaps/>
          <w:sz w:val="24"/>
          <w:szCs w:val="22"/>
        </w:rPr>
        <w:t xml:space="preserve"> BC).</w:t>
      </w:r>
      <w:r w:rsidRPr="004403DA">
        <w:rPr>
          <w:rFonts w:asciiTheme="majorBidi" w:hAnsiTheme="majorBidi" w:cstheme="majorBidi"/>
          <w:sz w:val="24"/>
          <w:szCs w:val="22"/>
        </w:rPr>
        <w:t xml:space="preserve"> </w:t>
      </w:r>
      <w:r w:rsidR="001E1DEF" w:rsidRPr="004403DA">
        <w:rPr>
          <w:rFonts w:asciiTheme="majorBidi" w:hAnsiTheme="majorBidi" w:cstheme="majorBidi"/>
          <w:sz w:val="24"/>
          <w:szCs w:val="22"/>
        </w:rPr>
        <w:t>Sub-Period</w:t>
      </w:r>
      <w:r w:rsidRPr="004403DA">
        <w:rPr>
          <w:rFonts w:asciiTheme="majorBidi" w:hAnsiTheme="majorBidi" w:cstheme="majorBidi"/>
          <w:sz w:val="24"/>
          <w:szCs w:val="22"/>
        </w:rPr>
        <w:t xml:space="preserve"> III</w:t>
      </w:r>
      <w:r w:rsidRPr="004403DA">
        <w:rPr>
          <w:rFonts w:asciiTheme="majorBidi" w:hAnsiTheme="majorBidi" w:cstheme="majorBidi"/>
          <w:sz w:val="24"/>
          <w:szCs w:val="22"/>
          <w:vertAlign w:val="subscript"/>
        </w:rPr>
        <w:t>6</w:t>
      </w:r>
      <w:r w:rsidRPr="004403DA">
        <w:rPr>
          <w:rFonts w:asciiTheme="majorBidi" w:hAnsiTheme="majorBidi" w:cstheme="majorBidi"/>
          <w:sz w:val="24"/>
          <w:szCs w:val="22"/>
        </w:rPr>
        <w:t xml:space="preserve"> and Period IV </w:t>
      </w:r>
      <w:r w:rsidR="00BF4A64">
        <w:rPr>
          <w:rFonts w:asciiTheme="majorBidi" w:hAnsiTheme="majorBidi" w:cstheme="majorBidi"/>
          <w:sz w:val="24"/>
          <w:szCs w:val="22"/>
        </w:rPr>
        <w:t>likely</w:t>
      </w:r>
      <w:r w:rsidR="004403DA" w:rsidRPr="004403DA">
        <w:rPr>
          <w:rFonts w:asciiTheme="majorBidi" w:hAnsiTheme="majorBidi" w:cstheme="majorBidi"/>
          <w:sz w:val="24"/>
          <w:szCs w:val="22"/>
        </w:rPr>
        <w:t xml:space="preserve"> spanned</w:t>
      </w:r>
      <w:r w:rsidR="00BF4A64">
        <w:rPr>
          <w:rFonts w:asciiTheme="majorBidi" w:hAnsiTheme="majorBidi" w:cstheme="majorBidi"/>
          <w:sz w:val="24"/>
          <w:szCs w:val="22"/>
        </w:rPr>
        <w:t xml:space="preserve"> the early to mid-</w:t>
      </w:r>
      <w:r w:rsidRPr="004403DA">
        <w:rPr>
          <w:rFonts w:asciiTheme="majorBidi" w:hAnsiTheme="majorBidi" w:cstheme="majorBidi"/>
          <w:sz w:val="24"/>
          <w:szCs w:val="22"/>
        </w:rPr>
        <w:t>third millennium</w:t>
      </w:r>
      <w:r w:rsidRPr="004403DA">
        <w:rPr>
          <w:rFonts w:asciiTheme="majorBidi" w:hAnsiTheme="majorBidi" w:cstheme="majorBidi"/>
          <w:smallCaps/>
          <w:sz w:val="24"/>
          <w:szCs w:val="22"/>
        </w:rPr>
        <w:t xml:space="preserve"> BC</w:t>
      </w:r>
      <w:r w:rsidRPr="004403DA">
        <w:rPr>
          <w:rFonts w:asciiTheme="majorBidi" w:hAnsiTheme="majorBidi" w:cstheme="majorBidi"/>
          <w:sz w:val="24"/>
          <w:szCs w:val="22"/>
        </w:rPr>
        <w:t xml:space="preserve"> (</w:t>
      </w:r>
      <w:r w:rsidR="004403DA" w:rsidRPr="000526DA">
        <w:rPr>
          <w:rFonts w:asciiTheme="majorBidi" w:hAnsiTheme="majorBidi" w:cstheme="majorBidi"/>
          <w:i/>
          <w:sz w:val="24"/>
          <w:szCs w:val="22"/>
        </w:rPr>
        <w:t>c</w:t>
      </w:r>
      <w:r w:rsidR="004403DA" w:rsidRPr="004403DA">
        <w:rPr>
          <w:rFonts w:asciiTheme="majorBidi" w:hAnsiTheme="majorBidi" w:cstheme="majorBidi"/>
          <w:sz w:val="24"/>
          <w:szCs w:val="22"/>
        </w:rPr>
        <w:t>.</w:t>
      </w:r>
      <w:r w:rsidR="00AD05F1" w:rsidRPr="004403DA">
        <w:rPr>
          <w:rFonts w:asciiTheme="majorBidi" w:hAnsiTheme="majorBidi" w:cstheme="majorBidi"/>
          <w:sz w:val="24"/>
          <w:szCs w:val="22"/>
        </w:rPr>
        <w:t>3000</w:t>
      </w:r>
      <w:r w:rsidR="004403DA" w:rsidRPr="004403DA">
        <w:rPr>
          <w:rFonts w:asciiTheme="majorBidi" w:hAnsiTheme="majorBidi" w:cstheme="majorBidi"/>
          <w:sz w:val="24"/>
          <w:szCs w:val="22"/>
        </w:rPr>
        <w:t>/2</w:t>
      </w:r>
      <w:r w:rsidR="00BF4A64">
        <w:rPr>
          <w:rFonts w:asciiTheme="majorBidi" w:hAnsiTheme="majorBidi" w:cstheme="majorBidi"/>
          <w:sz w:val="24"/>
          <w:szCs w:val="22"/>
        </w:rPr>
        <w:t>9</w:t>
      </w:r>
      <w:r w:rsidR="004403DA" w:rsidRPr="004403DA">
        <w:rPr>
          <w:rFonts w:asciiTheme="majorBidi" w:hAnsiTheme="majorBidi" w:cstheme="majorBidi"/>
          <w:sz w:val="24"/>
          <w:szCs w:val="22"/>
        </w:rPr>
        <w:t>00</w:t>
      </w:r>
      <w:r w:rsidR="00AD05F1" w:rsidRPr="004403DA">
        <w:rPr>
          <w:rFonts w:asciiTheme="majorBidi" w:hAnsiTheme="majorBidi" w:cstheme="majorBidi"/>
          <w:sz w:val="24"/>
          <w:szCs w:val="22"/>
        </w:rPr>
        <w:t>–</w:t>
      </w:r>
      <w:r w:rsidR="00BF4A64">
        <w:rPr>
          <w:rFonts w:asciiTheme="majorBidi" w:hAnsiTheme="majorBidi" w:cstheme="majorBidi"/>
          <w:sz w:val="24"/>
          <w:szCs w:val="22"/>
        </w:rPr>
        <w:t>2500/</w:t>
      </w:r>
      <w:r w:rsidR="00AD05F1" w:rsidRPr="004403DA">
        <w:rPr>
          <w:rFonts w:asciiTheme="majorBidi" w:hAnsiTheme="majorBidi" w:cstheme="majorBidi"/>
          <w:sz w:val="24"/>
          <w:szCs w:val="22"/>
        </w:rPr>
        <w:t>2</w:t>
      </w:r>
      <w:r w:rsidR="00BF4A64">
        <w:rPr>
          <w:rFonts w:asciiTheme="majorBidi" w:hAnsiTheme="majorBidi" w:cstheme="majorBidi"/>
          <w:sz w:val="24"/>
          <w:szCs w:val="22"/>
        </w:rPr>
        <w:t>4</w:t>
      </w:r>
      <w:r w:rsidR="00AD05F1" w:rsidRPr="004403DA">
        <w:rPr>
          <w:rFonts w:asciiTheme="majorBidi" w:hAnsiTheme="majorBidi" w:cstheme="majorBidi"/>
          <w:sz w:val="24"/>
          <w:szCs w:val="22"/>
        </w:rPr>
        <w:t>00</w:t>
      </w:r>
      <w:r w:rsidR="00AD05F1" w:rsidRPr="004403DA">
        <w:rPr>
          <w:rFonts w:asciiTheme="majorBidi" w:hAnsiTheme="majorBidi" w:cstheme="majorBidi"/>
          <w:smallCaps/>
          <w:sz w:val="24"/>
          <w:szCs w:val="22"/>
        </w:rPr>
        <w:t xml:space="preserve"> </w:t>
      </w:r>
      <w:r w:rsidRPr="004403DA">
        <w:rPr>
          <w:rFonts w:asciiTheme="majorBidi" w:hAnsiTheme="majorBidi" w:cstheme="majorBidi"/>
          <w:smallCaps/>
          <w:sz w:val="24"/>
          <w:szCs w:val="22"/>
        </w:rPr>
        <w:t>BC)</w:t>
      </w:r>
      <w:r w:rsidR="00BF4A64">
        <w:rPr>
          <w:rFonts w:asciiTheme="majorBidi" w:hAnsiTheme="majorBidi" w:cstheme="majorBidi"/>
          <w:smallCaps/>
          <w:sz w:val="24"/>
          <w:szCs w:val="22"/>
        </w:rPr>
        <w:t>.</w:t>
      </w:r>
      <w:r w:rsidRPr="004403DA">
        <w:rPr>
          <w:rStyle w:val="EndnoteReference"/>
          <w:rFonts w:asciiTheme="majorBidi" w:hAnsiTheme="majorBidi" w:cstheme="majorBidi"/>
          <w:sz w:val="24"/>
          <w:szCs w:val="22"/>
        </w:rPr>
        <w:endnoteReference w:id="49"/>
      </w:r>
      <w:r w:rsidR="00BE5F65" w:rsidRPr="00BE5F65">
        <w:rPr>
          <w:rFonts w:asciiTheme="majorBidi" w:hAnsiTheme="majorBidi" w:cstheme="majorBidi"/>
          <w:sz w:val="24"/>
          <w:szCs w:val="22"/>
        </w:rPr>
        <w:t xml:space="preserve"> </w:t>
      </w:r>
      <w:r w:rsidR="00BF4A64">
        <w:rPr>
          <w:rFonts w:asciiTheme="majorBidi" w:hAnsiTheme="majorBidi" w:cstheme="majorBidi"/>
          <w:sz w:val="24"/>
          <w:szCs w:val="22"/>
        </w:rPr>
        <w:t xml:space="preserve">The degree to which there was contemporaneity between the developments in Helmand taking place at sites like Shahr-i Sokhta (II-III) and Mundigak (III-IV) and those in the Indus River basin are much </w:t>
      </w:r>
      <w:r w:rsidR="00BF4A64">
        <w:rPr>
          <w:rFonts w:asciiTheme="majorBidi" w:hAnsiTheme="majorBidi" w:cstheme="majorBidi"/>
          <w:sz w:val="24"/>
          <w:szCs w:val="22"/>
        </w:rPr>
        <w:lastRenderedPageBreak/>
        <w:t xml:space="preserve">debated, and current views suggest that Mundigak </w:t>
      </w:r>
      <w:r w:rsidR="00BE5F65">
        <w:rPr>
          <w:rFonts w:asciiTheme="majorBidi" w:hAnsiTheme="majorBidi" w:cstheme="majorBidi"/>
          <w:sz w:val="24"/>
          <w:szCs w:val="22"/>
        </w:rPr>
        <w:t>Sub-Period IV</w:t>
      </w:r>
      <w:r w:rsidR="00BE5F65" w:rsidRPr="000526DA">
        <w:rPr>
          <w:rFonts w:asciiTheme="majorBidi" w:hAnsiTheme="majorBidi" w:cstheme="majorBidi"/>
          <w:sz w:val="24"/>
          <w:szCs w:val="22"/>
          <w:vertAlign w:val="subscript"/>
        </w:rPr>
        <w:t>1</w:t>
      </w:r>
      <w:r w:rsidR="00BE5F65">
        <w:rPr>
          <w:rFonts w:asciiTheme="majorBidi" w:hAnsiTheme="majorBidi" w:cstheme="majorBidi"/>
          <w:sz w:val="24"/>
          <w:szCs w:val="22"/>
        </w:rPr>
        <w:t xml:space="preserve"> </w:t>
      </w:r>
      <w:r w:rsidR="00BF4A64">
        <w:rPr>
          <w:rFonts w:asciiTheme="majorBidi" w:hAnsiTheme="majorBidi" w:cstheme="majorBidi"/>
          <w:sz w:val="24"/>
          <w:szCs w:val="22"/>
        </w:rPr>
        <w:t xml:space="preserve">dates to the early third millennium BC, </w:t>
      </w:r>
      <w:r w:rsidR="00BE5F65">
        <w:rPr>
          <w:rFonts w:asciiTheme="majorBidi" w:hAnsiTheme="majorBidi" w:cstheme="majorBidi"/>
          <w:sz w:val="24"/>
          <w:szCs w:val="22"/>
        </w:rPr>
        <w:t xml:space="preserve">pre-dating the urban </w:t>
      </w:r>
      <w:r w:rsidR="00BF4A64">
        <w:rPr>
          <w:rFonts w:asciiTheme="majorBidi" w:hAnsiTheme="majorBidi" w:cstheme="majorBidi"/>
          <w:sz w:val="24"/>
          <w:szCs w:val="22"/>
        </w:rPr>
        <w:t xml:space="preserve">(Mature) </w:t>
      </w:r>
      <w:r w:rsidR="00BE5F65">
        <w:rPr>
          <w:rFonts w:asciiTheme="majorBidi" w:hAnsiTheme="majorBidi" w:cstheme="majorBidi"/>
          <w:sz w:val="24"/>
          <w:szCs w:val="22"/>
        </w:rPr>
        <w:t>phase of the Indus Civilisation (see below).</w:t>
      </w:r>
      <w:r w:rsidR="00BE5F65">
        <w:rPr>
          <w:rStyle w:val="EndnoteReference"/>
          <w:rFonts w:asciiTheme="majorBidi" w:hAnsiTheme="majorBidi" w:cstheme="majorBidi"/>
          <w:sz w:val="24"/>
          <w:szCs w:val="22"/>
        </w:rPr>
        <w:endnoteReference w:id="50"/>
      </w:r>
    </w:p>
    <w:p w14:paraId="36C0698E" w14:textId="77777777" w:rsidR="0030226C" w:rsidRPr="008414C2" w:rsidRDefault="009C43AA" w:rsidP="00E42C31">
      <w:pPr>
        <w:pStyle w:val="Heading3"/>
        <w:rPr>
          <w:rFonts w:asciiTheme="majorBidi" w:hAnsiTheme="majorBidi"/>
          <w:color w:val="auto"/>
          <w:lang w:val="en-GB"/>
        </w:rPr>
      </w:pPr>
      <w:r w:rsidRPr="009C43AA">
        <w:rPr>
          <w:rFonts w:asciiTheme="majorBidi" w:hAnsiTheme="majorBidi"/>
          <w:color w:val="auto"/>
          <w:lang w:val="en-GB"/>
        </w:rPr>
        <w:t>Ceramics</w:t>
      </w:r>
    </w:p>
    <w:p w14:paraId="65F2B872" w14:textId="766AD02E" w:rsidR="0030226C" w:rsidRPr="00067D8A" w:rsidRDefault="0030226C" w:rsidP="000526DA">
      <w:pPr>
        <w:pStyle w:val="BodyText"/>
        <w:spacing w:line="480" w:lineRule="auto"/>
        <w:rPr>
          <w:rFonts w:asciiTheme="majorBidi" w:hAnsiTheme="majorBidi" w:cstheme="majorBidi"/>
          <w:sz w:val="24"/>
          <w:szCs w:val="22"/>
        </w:rPr>
      </w:pPr>
      <w:r w:rsidRPr="00067D8A">
        <w:rPr>
          <w:rFonts w:asciiTheme="majorBidi" w:hAnsiTheme="majorBidi" w:cstheme="majorBidi"/>
          <w:sz w:val="24"/>
          <w:szCs w:val="22"/>
          <w:lang w:val="en-GB"/>
        </w:rPr>
        <w:t xml:space="preserve">Perhaps no other aspect of the material found at Mundigak has received as much attention as </w:t>
      </w:r>
      <w:r w:rsidRPr="00264752">
        <w:rPr>
          <w:rFonts w:asciiTheme="majorBidi" w:hAnsiTheme="majorBidi" w:cstheme="majorBidi"/>
          <w:color w:val="auto"/>
          <w:sz w:val="24"/>
          <w:szCs w:val="22"/>
          <w:lang w:val="en-GB"/>
        </w:rPr>
        <w:t>the ceramics</w:t>
      </w:r>
      <w:r w:rsidR="008978D5">
        <w:rPr>
          <w:rFonts w:asciiTheme="majorBidi" w:hAnsiTheme="majorBidi" w:cstheme="majorBidi"/>
          <w:color w:val="auto"/>
          <w:sz w:val="24"/>
          <w:szCs w:val="22"/>
          <w:lang w:val="en-GB"/>
        </w:rPr>
        <w:t>, and this material continues to act</w:t>
      </w:r>
      <w:r w:rsidRPr="00264752">
        <w:rPr>
          <w:rFonts w:asciiTheme="majorBidi" w:hAnsiTheme="majorBidi" w:cstheme="majorBidi"/>
          <w:color w:val="auto"/>
          <w:sz w:val="24"/>
          <w:szCs w:val="22"/>
          <w:lang w:val="en-GB"/>
        </w:rPr>
        <w:t xml:space="preserve"> </w:t>
      </w:r>
      <w:r w:rsidR="00E42C31" w:rsidRPr="00264752">
        <w:rPr>
          <w:rFonts w:asciiTheme="majorBidi" w:hAnsiTheme="majorBidi" w:cstheme="majorBidi"/>
          <w:color w:val="auto"/>
          <w:sz w:val="24"/>
          <w:szCs w:val="22"/>
          <w:lang w:val="en-GB"/>
        </w:rPr>
        <w:t xml:space="preserve">a </w:t>
      </w:r>
      <w:r w:rsidRPr="00264752">
        <w:rPr>
          <w:rFonts w:asciiTheme="majorBidi" w:hAnsiTheme="majorBidi" w:cstheme="majorBidi"/>
          <w:color w:val="auto"/>
          <w:sz w:val="24"/>
          <w:szCs w:val="22"/>
          <w:lang w:val="en-GB"/>
        </w:rPr>
        <w:t>primary reference point</w:t>
      </w:r>
      <w:r w:rsidR="008978D5">
        <w:rPr>
          <w:rFonts w:asciiTheme="majorBidi" w:hAnsiTheme="majorBidi" w:cstheme="majorBidi"/>
          <w:color w:val="auto"/>
          <w:sz w:val="24"/>
          <w:szCs w:val="22"/>
          <w:lang w:val="en-GB"/>
        </w:rPr>
        <w:t xml:space="preserve"> for understanding the relative chronology four southern Afghanistan and the surrounding regions</w:t>
      </w:r>
      <w:r w:rsidRPr="00264752">
        <w:rPr>
          <w:rFonts w:asciiTheme="majorBidi" w:hAnsiTheme="majorBidi" w:cstheme="majorBidi"/>
          <w:color w:val="auto"/>
          <w:sz w:val="24"/>
          <w:szCs w:val="22"/>
          <w:lang w:val="en-GB"/>
        </w:rPr>
        <w:t>.</w:t>
      </w:r>
      <w:r w:rsidR="00583C6B">
        <w:rPr>
          <w:rFonts w:asciiTheme="majorBidi" w:hAnsiTheme="majorBidi" w:cstheme="majorBidi"/>
          <w:color w:val="auto"/>
          <w:sz w:val="24"/>
          <w:szCs w:val="22"/>
          <w:lang w:val="en-GB"/>
        </w:rPr>
        <w:t xml:space="preserve"> </w:t>
      </w:r>
      <w:r w:rsidR="00845518" w:rsidRPr="00264752">
        <w:rPr>
          <w:rFonts w:asciiTheme="majorBidi" w:hAnsiTheme="majorBidi" w:cstheme="majorBidi"/>
          <w:color w:val="auto"/>
          <w:sz w:val="24"/>
          <w:szCs w:val="22"/>
        </w:rPr>
        <w:t xml:space="preserve">One of the </w:t>
      </w:r>
      <w:r w:rsidR="00845518" w:rsidRPr="00067D8A">
        <w:rPr>
          <w:rFonts w:asciiTheme="majorBidi" w:hAnsiTheme="majorBidi" w:cstheme="majorBidi"/>
          <w:sz w:val="24"/>
          <w:szCs w:val="22"/>
        </w:rPr>
        <w:t xml:space="preserve">basic </w:t>
      </w:r>
      <w:r w:rsidR="00845518" w:rsidRPr="00264752">
        <w:rPr>
          <w:rFonts w:asciiTheme="majorBidi" w:hAnsiTheme="majorBidi" w:cstheme="majorBidi"/>
          <w:sz w:val="24"/>
          <w:szCs w:val="22"/>
        </w:rPr>
        <w:t xml:space="preserve">problems centres on the relationship between </w:t>
      </w:r>
      <w:r w:rsidR="001E1DEF" w:rsidRPr="00264752">
        <w:rPr>
          <w:rFonts w:asciiTheme="majorBidi" w:hAnsiTheme="majorBidi" w:cstheme="majorBidi"/>
          <w:sz w:val="24"/>
          <w:szCs w:val="22"/>
        </w:rPr>
        <w:t>Sub-Period</w:t>
      </w:r>
      <w:r w:rsidR="00845518" w:rsidRPr="00264752">
        <w:rPr>
          <w:rFonts w:asciiTheme="majorBidi" w:hAnsiTheme="majorBidi" w:cstheme="majorBidi"/>
          <w:sz w:val="24"/>
          <w:szCs w:val="22"/>
        </w:rPr>
        <w:t>s I</w:t>
      </w:r>
      <w:r w:rsidR="00845518" w:rsidRPr="00264752">
        <w:rPr>
          <w:rFonts w:asciiTheme="majorBidi" w:hAnsiTheme="majorBidi" w:cstheme="majorBidi"/>
          <w:sz w:val="24"/>
          <w:szCs w:val="22"/>
          <w:vertAlign w:val="subscript"/>
        </w:rPr>
        <w:t>1–3</w:t>
      </w:r>
      <w:r w:rsidR="00845518" w:rsidRPr="00264752">
        <w:rPr>
          <w:rFonts w:asciiTheme="majorBidi" w:hAnsiTheme="majorBidi" w:cstheme="majorBidi"/>
          <w:sz w:val="24"/>
          <w:szCs w:val="22"/>
        </w:rPr>
        <w:t xml:space="preserve"> and </w:t>
      </w:r>
      <w:r w:rsidR="001E1DEF" w:rsidRPr="00264752">
        <w:rPr>
          <w:rFonts w:asciiTheme="majorBidi" w:hAnsiTheme="majorBidi" w:cstheme="majorBidi"/>
          <w:sz w:val="24"/>
          <w:szCs w:val="22"/>
        </w:rPr>
        <w:t>Sub-Period</w:t>
      </w:r>
      <w:r w:rsidR="00845518" w:rsidRPr="00264752">
        <w:rPr>
          <w:rFonts w:asciiTheme="majorBidi" w:hAnsiTheme="majorBidi" w:cstheme="majorBidi"/>
          <w:sz w:val="24"/>
          <w:szCs w:val="22"/>
        </w:rPr>
        <w:t>s I</w:t>
      </w:r>
      <w:r w:rsidR="00845518" w:rsidRPr="00264752">
        <w:rPr>
          <w:rFonts w:asciiTheme="majorBidi" w:hAnsiTheme="majorBidi" w:cstheme="majorBidi"/>
          <w:sz w:val="24"/>
          <w:szCs w:val="22"/>
          <w:vertAlign w:val="subscript"/>
        </w:rPr>
        <w:t>4–5</w:t>
      </w:r>
      <w:r w:rsidR="00845518" w:rsidRPr="00264752">
        <w:rPr>
          <w:rFonts w:asciiTheme="majorBidi" w:hAnsiTheme="majorBidi" w:cstheme="majorBidi"/>
          <w:sz w:val="24"/>
          <w:szCs w:val="22"/>
        </w:rPr>
        <w:t xml:space="preserve">, </w:t>
      </w:r>
      <w:r w:rsidRPr="00264752">
        <w:rPr>
          <w:rFonts w:asciiTheme="majorBidi" w:hAnsiTheme="majorBidi" w:cstheme="majorBidi"/>
          <w:sz w:val="24"/>
          <w:szCs w:val="22"/>
        </w:rPr>
        <w:t>and whether the latter should be a more clearly distinguished stratigraphic-cultural unit</w:t>
      </w:r>
      <w:r w:rsidR="008978D5">
        <w:rPr>
          <w:rFonts w:asciiTheme="majorBidi" w:hAnsiTheme="majorBidi" w:cstheme="majorBidi"/>
          <w:sz w:val="24"/>
          <w:szCs w:val="22"/>
        </w:rPr>
        <w:t xml:space="preserve">, which </w:t>
      </w:r>
      <w:r w:rsidR="00680D07">
        <w:rPr>
          <w:rFonts w:asciiTheme="majorBidi" w:hAnsiTheme="majorBidi" w:cstheme="majorBidi"/>
          <w:sz w:val="24"/>
          <w:szCs w:val="22"/>
        </w:rPr>
        <w:t xml:space="preserve">derives from the fact that no substantial architecture was revealed in the deposits until Sub-Periods </w:t>
      </w:r>
      <w:r w:rsidR="00680D07" w:rsidRPr="00264752">
        <w:rPr>
          <w:rFonts w:asciiTheme="majorBidi" w:hAnsiTheme="majorBidi" w:cstheme="majorBidi"/>
          <w:sz w:val="24"/>
          <w:szCs w:val="22"/>
        </w:rPr>
        <w:t>I</w:t>
      </w:r>
      <w:r w:rsidR="00680D07" w:rsidRPr="00264752">
        <w:rPr>
          <w:rFonts w:asciiTheme="majorBidi" w:hAnsiTheme="majorBidi" w:cstheme="majorBidi"/>
          <w:sz w:val="24"/>
          <w:szCs w:val="22"/>
          <w:vertAlign w:val="subscript"/>
        </w:rPr>
        <w:t>4–5</w:t>
      </w:r>
      <w:r w:rsidR="00680D07">
        <w:rPr>
          <w:rFonts w:asciiTheme="majorBidi" w:hAnsiTheme="majorBidi" w:cstheme="majorBidi"/>
          <w:sz w:val="24"/>
          <w:szCs w:val="22"/>
        </w:rPr>
        <w:t xml:space="preserve">. </w:t>
      </w:r>
      <w:r w:rsidRPr="00264752">
        <w:rPr>
          <w:rFonts w:asciiTheme="majorBidi" w:hAnsiTheme="majorBidi" w:cstheme="majorBidi"/>
          <w:sz w:val="24"/>
          <w:szCs w:val="22"/>
        </w:rPr>
        <w:t xml:space="preserve">The </w:t>
      </w:r>
      <w:r w:rsidR="00680D07">
        <w:rPr>
          <w:rFonts w:asciiTheme="majorBidi" w:hAnsiTheme="majorBidi" w:cstheme="majorBidi"/>
          <w:sz w:val="24"/>
          <w:szCs w:val="22"/>
        </w:rPr>
        <w:t xml:space="preserve">Period I </w:t>
      </w:r>
      <w:r w:rsidRPr="00264752">
        <w:rPr>
          <w:rFonts w:asciiTheme="majorBidi" w:hAnsiTheme="majorBidi" w:cstheme="majorBidi"/>
          <w:sz w:val="24"/>
          <w:szCs w:val="22"/>
        </w:rPr>
        <w:t xml:space="preserve">pottery (Fig. </w:t>
      </w:r>
      <w:r w:rsidR="005B52A9" w:rsidRPr="00264752">
        <w:rPr>
          <w:rFonts w:asciiTheme="majorBidi" w:hAnsiTheme="majorBidi" w:cstheme="majorBidi"/>
          <w:sz w:val="24"/>
          <w:szCs w:val="22"/>
        </w:rPr>
        <w:t>4.</w:t>
      </w:r>
      <w:r w:rsidRPr="00264752">
        <w:rPr>
          <w:rFonts w:asciiTheme="majorBidi" w:hAnsiTheme="majorBidi" w:cstheme="majorBidi"/>
          <w:sz w:val="24"/>
          <w:szCs w:val="22"/>
        </w:rPr>
        <w:t xml:space="preserve">15) is a buff-red ware predominantly wheel-made (90%) with small quantities of handmade (10%) varieties; however, by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 xml:space="preserve"> I</w:t>
      </w:r>
      <w:r w:rsidRPr="00264752">
        <w:rPr>
          <w:rFonts w:asciiTheme="majorBidi" w:hAnsiTheme="majorBidi" w:cstheme="majorBidi"/>
          <w:sz w:val="24"/>
          <w:szCs w:val="22"/>
          <w:vertAlign w:val="subscript"/>
        </w:rPr>
        <w:t>4</w:t>
      </w:r>
      <w:r w:rsidRPr="00264752">
        <w:rPr>
          <w:rFonts w:asciiTheme="majorBidi" w:hAnsiTheme="majorBidi" w:cstheme="majorBidi"/>
          <w:sz w:val="24"/>
          <w:szCs w:val="22"/>
        </w:rPr>
        <w:t xml:space="preserve"> </w:t>
      </w:r>
      <w:r w:rsidR="009D4B06">
        <w:rPr>
          <w:rFonts w:asciiTheme="majorBidi" w:hAnsiTheme="majorBidi" w:cstheme="majorBidi"/>
          <w:sz w:val="24"/>
          <w:szCs w:val="22"/>
        </w:rPr>
        <w:t xml:space="preserve">pottery that had been shaped through slow rotation </w:t>
      </w:r>
      <w:r w:rsidR="00A23E24">
        <w:rPr>
          <w:rFonts w:asciiTheme="majorBidi" w:hAnsiTheme="majorBidi" w:cstheme="majorBidi"/>
          <w:sz w:val="24"/>
          <w:szCs w:val="22"/>
        </w:rPr>
        <w:t xml:space="preserve">(perhaps on </w:t>
      </w:r>
      <w:r w:rsidR="009D4B06">
        <w:rPr>
          <w:rFonts w:asciiTheme="majorBidi" w:hAnsiTheme="majorBidi" w:cstheme="majorBidi"/>
          <w:sz w:val="24"/>
          <w:szCs w:val="22"/>
        </w:rPr>
        <w:t>a tournette</w:t>
      </w:r>
      <w:r w:rsidR="00A23E24">
        <w:rPr>
          <w:rFonts w:asciiTheme="majorBidi" w:hAnsiTheme="majorBidi" w:cstheme="majorBidi"/>
          <w:sz w:val="24"/>
          <w:szCs w:val="22"/>
        </w:rPr>
        <w:t xml:space="preserve">; i.e. ‘turned’ rather than ‘thrown’) </w:t>
      </w:r>
      <w:r w:rsidRPr="00264752">
        <w:rPr>
          <w:rFonts w:asciiTheme="majorBidi" w:hAnsiTheme="majorBidi" w:cstheme="majorBidi"/>
          <w:sz w:val="24"/>
          <w:szCs w:val="22"/>
        </w:rPr>
        <w:t xml:space="preserve">had decreased significantly in frequency to 70%, though it increased again in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 xml:space="preserve"> I</w:t>
      </w:r>
      <w:r w:rsidRPr="00264752">
        <w:rPr>
          <w:rFonts w:asciiTheme="majorBidi" w:hAnsiTheme="majorBidi" w:cstheme="majorBidi"/>
          <w:sz w:val="24"/>
          <w:szCs w:val="22"/>
          <w:vertAlign w:val="subscript"/>
        </w:rPr>
        <w:t>5</w:t>
      </w:r>
      <w:r w:rsidRPr="00264752">
        <w:rPr>
          <w:rFonts w:asciiTheme="majorBidi" w:hAnsiTheme="majorBidi" w:cstheme="majorBidi"/>
          <w:sz w:val="24"/>
          <w:szCs w:val="22"/>
        </w:rPr>
        <w:t xml:space="preserve"> to 80%. Vessel forms are limited to straight-angular or curved wall bowls in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 xml:space="preserve"> I</w:t>
      </w:r>
      <w:r w:rsidRPr="00264752">
        <w:rPr>
          <w:rFonts w:asciiTheme="majorBidi" w:hAnsiTheme="majorBidi" w:cstheme="majorBidi"/>
          <w:sz w:val="24"/>
          <w:szCs w:val="22"/>
          <w:vertAlign w:val="subscript"/>
        </w:rPr>
        <w:t>2–3</w:t>
      </w:r>
      <w:r w:rsidRPr="00264752">
        <w:rPr>
          <w:rFonts w:asciiTheme="majorBidi" w:hAnsiTheme="majorBidi" w:cstheme="majorBidi"/>
          <w:sz w:val="24"/>
          <w:szCs w:val="22"/>
        </w:rPr>
        <w:t xml:space="preserve">, and only straight-sided vessels in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 xml:space="preserve"> I</w:t>
      </w:r>
      <w:r w:rsidRPr="00264752">
        <w:rPr>
          <w:rFonts w:asciiTheme="majorBidi" w:hAnsiTheme="majorBidi" w:cstheme="majorBidi"/>
          <w:sz w:val="24"/>
          <w:szCs w:val="22"/>
          <w:vertAlign w:val="subscript"/>
        </w:rPr>
        <w:t>4–5</w:t>
      </w:r>
      <w:r w:rsidRPr="00264752">
        <w:rPr>
          <w:rFonts w:asciiTheme="majorBidi" w:hAnsiTheme="majorBidi" w:cstheme="majorBidi"/>
          <w:sz w:val="24"/>
          <w:szCs w:val="22"/>
        </w:rPr>
        <w:t xml:space="preserve">. In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s I</w:t>
      </w:r>
      <w:r w:rsidRPr="00264752">
        <w:rPr>
          <w:rFonts w:asciiTheme="majorBidi" w:hAnsiTheme="majorBidi" w:cstheme="majorBidi"/>
          <w:sz w:val="24"/>
          <w:szCs w:val="22"/>
          <w:vertAlign w:val="subscript"/>
        </w:rPr>
        <w:t xml:space="preserve">4–5 </w:t>
      </w:r>
      <w:r w:rsidRPr="00264752">
        <w:rPr>
          <w:rFonts w:asciiTheme="majorBidi" w:hAnsiTheme="majorBidi" w:cstheme="majorBidi"/>
          <w:sz w:val="24"/>
          <w:szCs w:val="22"/>
        </w:rPr>
        <w:t>collared globular</w:t>
      </w:r>
      <w:r w:rsidRPr="00067D8A">
        <w:rPr>
          <w:rFonts w:asciiTheme="majorBidi" w:hAnsiTheme="majorBidi" w:cstheme="majorBidi"/>
          <w:sz w:val="24"/>
          <w:szCs w:val="22"/>
        </w:rPr>
        <w:t xml:space="preserve"> jars appear for the first time.</w:t>
      </w:r>
    </w:p>
    <w:p w14:paraId="2B9ACF32" w14:textId="6AAAD675" w:rsidR="0030226C" w:rsidRPr="00264752" w:rsidRDefault="00264752" w:rsidP="00843FE8">
      <w:pPr>
        <w:pStyle w:val="BodyTextIndent"/>
        <w:rPr>
          <w:rFonts w:asciiTheme="majorBidi" w:hAnsiTheme="majorBidi" w:cstheme="majorBidi"/>
          <w:sz w:val="24"/>
          <w:szCs w:val="22"/>
        </w:rPr>
      </w:pPr>
      <w:r>
        <w:rPr>
          <w:rFonts w:asciiTheme="majorBidi" w:hAnsiTheme="majorBidi" w:cstheme="majorBidi"/>
          <w:sz w:val="24"/>
          <w:szCs w:val="22"/>
        </w:rPr>
        <w:t xml:space="preserve">Little attention was given to the undecorated pottery in </w:t>
      </w:r>
      <w:r w:rsidR="0030226C" w:rsidRPr="00067D8A">
        <w:rPr>
          <w:rFonts w:asciiTheme="majorBidi" w:hAnsiTheme="majorBidi" w:cstheme="majorBidi"/>
          <w:sz w:val="24"/>
          <w:szCs w:val="22"/>
        </w:rPr>
        <w:t>Casal</w:t>
      </w:r>
      <w:r>
        <w:rPr>
          <w:rFonts w:asciiTheme="majorBidi" w:hAnsiTheme="majorBidi" w:cstheme="majorBidi"/>
          <w:sz w:val="24"/>
          <w:szCs w:val="22"/>
        </w:rPr>
        <w:t>’s original report</w:t>
      </w:r>
      <w:r w:rsidR="0030226C" w:rsidRPr="00067D8A">
        <w:rPr>
          <w:rFonts w:asciiTheme="majorBidi" w:hAnsiTheme="majorBidi" w:cstheme="majorBidi"/>
          <w:sz w:val="24"/>
          <w:szCs w:val="22"/>
        </w:rPr>
        <w:t xml:space="preserve">, </w:t>
      </w:r>
      <w:r w:rsidR="00843FE8" w:rsidRPr="00067D8A">
        <w:rPr>
          <w:rFonts w:asciiTheme="majorBidi" w:hAnsiTheme="majorBidi" w:cstheme="majorBidi"/>
          <w:sz w:val="24"/>
          <w:szCs w:val="22"/>
        </w:rPr>
        <w:t xml:space="preserve">so </w:t>
      </w:r>
      <w:r w:rsidR="008978D5">
        <w:rPr>
          <w:rFonts w:asciiTheme="majorBidi" w:hAnsiTheme="majorBidi" w:cstheme="majorBidi"/>
          <w:sz w:val="24"/>
          <w:szCs w:val="22"/>
        </w:rPr>
        <w:t xml:space="preserve">as for most sites excavated in this and earlier periods, </w:t>
      </w:r>
      <w:r w:rsidR="00843FE8" w:rsidRPr="00067D8A">
        <w:rPr>
          <w:rFonts w:asciiTheme="majorBidi" w:hAnsiTheme="majorBidi" w:cstheme="majorBidi"/>
          <w:sz w:val="24"/>
          <w:szCs w:val="22"/>
        </w:rPr>
        <w:t>discussion must centre on decorated pottery</w:t>
      </w:r>
      <w:r w:rsidR="0030226C" w:rsidRPr="00067D8A">
        <w:rPr>
          <w:rFonts w:asciiTheme="majorBidi" w:hAnsiTheme="majorBidi" w:cstheme="majorBidi"/>
          <w:sz w:val="24"/>
          <w:szCs w:val="22"/>
        </w:rPr>
        <w:t xml:space="preserve">. The basic decorative pattern for Period I involved the execution of black geometric motifs on a red background with a few rare exceptions. Important geometric motifs include carelessly-drawn vertical or overlapping diagonal lines, and more carefully drawn: (1) triangles with interior cross-hatching with triangular or circular dotted tips; (2) vertical lines; (3) large festoons; and (4) a zigzag pattern with interior cross-hatching. From these major motifs </w:t>
      </w:r>
      <w:r w:rsidR="0030226C" w:rsidRPr="00264752">
        <w:rPr>
          <w:rFonts w:asciiTheme="majorBidi" w:hAnsiTheme="majorBidi" w:cstheme="majorBidi"/>
          <w:sz w:val="24"/>
          <w:szCs w:val="22"/>
        </w:rPr>
        <w:t xml:space="preserve">only the triangular (1) and a modified festoon (3) persist into </w:t>
      </w:r>
      <w:r w:rsidR="001E1DEF" w:rsidRPr="00264752">
        <w:rPr>
          <w:rFonts w:asciiTheme="majorBidi" w:hAnsiTheme="majorBidi" w:cstheme="majorBidi"/>
          <w:sz w:val="24"/>
          <w:szCs w:val="22"/>
        </w:rPr>
        <w:t>Sub-Period</w:t>
      </w:r>
      <w:r w:rsidR="0030226C" w:rsidRPr="00264752">
        <w:rPr>
          <w:rFonts w:asciiTheme="majorBidi" w:hAnsiTheme="majorBidi" w:cstheme="majorBidi"/>
          <w:sz w:val="24"/>
          <w:szCs w:val="22"/>
        </w:rPr>
        <w:t>s I</w:t>
      </w:r>
      <w:r w:rsidR="0030226C" w:rsidRPr="00264752">
        <w:rPr>
          <w:rFonts w:asciiTheme="majorBidi" w:hAnsiTheme="majorBidi" w:cstheme="majorBidi"/>
          <w:sz w:val="24"/>
          <w:szCs w:val="22"/>
          <w:vertAlign w:val="subscript"/>
        </w:rPr>
        <w:t xml:space="preserve">4–5 </w:t>
      </w:r>
      <w:r w:rsidR="0030226C" w:rsidRPr="00264752">
        <w:rPr>
          <w:rFonts w:asciiTheme="majorBidi" w:hAnsiTheme="majorBidi" w:cstheme="majorBidi"/>
          <w:sz w:val="24"/>
          <w:szCs w:val="22"/>
        </w:rPr>
        <w:t>and provide continuity for the entire period (</w:t>
      </w:r>
      <w:r w:rsidR="001E1DEF" w:rsidRPr="00264752">
        <w:rPr>
          <w:rFonts w:asciiTheme="majorBidi" w:hAnsiTheme="majorBidi" w:cstheme="majorBidi"/>
          <w:sz w:val="24"/>
          <w:szCs w:val="22"/>
        </w:rPr>
        <w:t>Sub-Period</w:t>
      </w:r>
      <w:r w:rsidR="0030226C" w:rsidRPr="00264752">
        <w:rPr>
          <w:rFonts w:asciiTheme="majorBidi" w:hAnsiTheme="majorBidi" w:cstheme="majorBidi"/>
          <w:sz w:val="24"/>
          <w:szCs w:val="22"/>
        </w:rPr>
        <w:t>s I</w:t>
      </w:r>
      <w:r w:rsidR="0030226C" w:rsidRPr="00264752">
        <w:rPr>
          <w:rFonts w:asciiTheme="majorBidi" w:hAnsiTheme="majorBidi" w:cstheme="majorBidi"/>
          <w:sz w:val="24"/>
          <w:szCs w:val="22"/>
          <w:vertAlign w:val="subscript"/>
        </w:rPr>
        <w:t>2–5</w:t>
      </w:r>
      <w:r w:rsidR="0030226C" w:rsidRPr="00264752">
        <w:rPr>
          <w:rFonts w:asciiTheme="majorBidi" w:hAnsiTheme="majorBidi" w:cstheme="majorBidi"/>
          <w:sz w:val="24"/>
          <w:szCs w:val="22"/>
        </w:rPr>
        <w:t>).</w:t>
      </w:r>
    </w:p>
    <w:p w14:paraId="6D0B8C93" w14:textId="371B895A" w:rsidR="0030226C" w:rsidRPr="00264752" w:rsidRDefault="00707E89" w:rsidP="0030226C">
      <w:pPr>
        <w:pStyle w:val="BodyTextIndent"/>
        <w:rPr>
          <w:rFonts w:asciiTheme="majorBidi" w:hAnsiTheme="majorBidi" w:cstheme="majorBidi"/>
          <w:sz w:val="24"/>
          <w:szCs w:val="22"/>
        </w:rPr>
      </w:pPr>
      <w:r>
        <w:rPr>
          <w:rFonts w:asciiTheme="majorBidi" w:hAnsiTheme="majorBidi" w:cstheme="majorBidi"/>
          <w:sz w:val="24"/>
          <w:szCs w:val="22"/>
        </w:rPr>
        <w:lastRenderedPageBreak/>
        <w:t xml:space="preserve">Fairservis </w:t>
      </w:r>
      <w:r w:rsidR="0030226C" w:rsidRPr="00264752">
        <w:rPr>
          <w:rFonts w:asciiTheme="majorBidi" w:hAnsiTheme="majorBidi" w:cstheme="majorBidi"/>
          <w:sz w:val="24"/>
          <w:szCs w:val="22"/>
        </w:rPr>
        <w:t>argued</w:t>
      </w:r>
      <w:r w:rsidR="0030226C" w:rsidRPr="00264752">
        <w:rPr>
          <w:rStyle w:val="EndnoteReference"/>
          <w:rFonts w:asciiTheme="majorBidi" w:hAnsiTheme="majorBidi" w:cstheme="majorBidi"/>
          <w:sz w:val="24"/>
          <w:szCs w:val="22"/>
        </w:rPr>
        <w:endnoteReference w:id="51"/>
      </w:r>
      <w:r w:rsidR="0030226C" w:rsidRPr="00264752">
        <w:rPr>
          <w:rFonts w:asciiTheme="majorBidi" w:hAnsiTheme="majorBidi" w:cstheme="majorBidi"/>
          <w:sz w:val="24"/>
          <w:szCs w:val="22"/>
        </w:rPr>
        <w:t xml:space="preserve"> that </w:t>
      </w:r>
      <w:r w:rsidR="001E1DEF" w:rsidRPr="00264752">
        <w:rPr>
          <w:rFonts w:asciiTheme="majorBidi" w:hAnsiTheme="majorBidi" w:cstheme="majorBidi"/>
          <w:sz w:val="24"/>
          <w:szCs w:val="22"/>
        </w:rPr>
        <w:t>Sub-Period</w:t>
      </w:r>
      <w:r w:rsidR="0030226C" w:rsidRPr="00264752">
        <w:rPr>
          <w:rFonts w:asciiTheme="majorBidi" w:hAnsiTheme="majorBidi" w:cstheme="majorBidi"/>
          <w:sz w:val="24"/>
          <w:szCs w:val="22"/>
        </w:rPr>
        <w:t>s I</w:t>
      </w:r>
      <w:r w:rsidR="0030226C" w:rsidRPr="00264752">
        <w:rPr>
          <w:rFonts w:asciiTheme="majorBidi" w:hAnsiTheme="majorBidi" w:cstheme="majorBidi"/>
          <w:sz w:val="24"/>
          <w:szCs w:val="22"/>
          <w:vertAlign w:val="subscript"/>
        </w:rPr>
        <w:t>4–5</w:t>
      </w:r>
      <w:r w:rsidR="0030226C" w:rsidRPr="00264752">
        <w:rPr>
          <w:rFonts w:asciiTheme="majorBidi" w:hAnsiTheme="majorBidi" w:cstheme="majorBidi"/>
          <w:sz w:val="24"/>
          <w:szCs w:val="22"/>
        </w:rPr>
        <w:t xml:space="preserve"> are ceramically different and therefore stratigraphically distinct from </w:t>
      </w:r>
      <w:r w:rsidR="001E1DEF" w:rsidRPr="00264752">
        <w:rPr>
          <w:rFonts w:asciiTheme="majorBidi" w:hAnsiTheme="majorBidi" w:cstheme="majorBidi"/>
          <w:sz w:val="24"/>
          <w:szCs w:val="22"/>
        </w:rPr>
        <w:t>Sub-Period</w:t>
      </w:r>
      <w:r w:rsidR="0030226C" w:rsidRPr="00264752">
        <w:rPr>
          <w:rFonts w:asciiTheme="majorBidi" w:hAnsiTheme="majorBidi" w:cstheme="majorBidi"/>
          <w:sz w:val="24"/>
          <w:szCs w:val="22"/>
        </w:rPr>
        <w:t>s I</w:t>
      </w:r>
      <w:r w:rsidR="009D4B06">
        <w:rPr>
          <w:rFonts w:asciiTheme="majorBidi" w:hAnsiTheme="majorBidi" w:cstheme="majorBidi"/>
          <w:sz w:val="24"/>
          <w:szCs w:val="22"/>
          <w:vertAlign w:val="subscript"/>
        </w:rPr>
        <w:t>1</w:t>
      </w:r>
      <w:r w:rsidR="0030226C" w:rsidRPr="00264752">
        <w:rPr>
          <w:rFonts w:asciiTheme="majorBidi" w:hAnsiTheme="majorBidi" w:cstheme="majorBidi"/>
          <w:sz w:val="24"/>
          <w:szCs w:val="22"/>
          <w:vertAlign w:val="subscript"/>
        </w:rPr>
        <w:t>–</w:t>
      </w:r>
      <w:r w:rsidR="009E301B">
        <w:rPr>
          <w:rFonts w:asciiTheme="majorBidi" w:hAnsiTheme="majorBidi" w:cstheme="majorBidi"/>
          <w:sz w:val="24"/>
          <w:szCs w:val="22"/>
          <w:vertAlign w:val="subscript"/>
        </w:rPr>
        <w:t>3</w:t>
      </w:r>
      <w:r w:rsidR="005B52A9" w:rsidRPr="00264752">
        <w:rPr>
          <w:rFonts w:asciiTheme="majorBidi" w:hAnsiTheme="majorBidi" w:cstheme="majorBidi"/>
          <w:sz w:val="24"/>
          <w:szCs w:val="22"/>
          <w:vertAlign w:val="subscript"/>
        </w:rPr>
        <w:t>.</w:t>
      </w:r>
      <w:r w:rsidR="0030226C" w:rsidRPr="00264752">
        <w:rPr>
          <w:rFonts w:asciiTheme="majorBidi" w:hAnsiTheme="majorBidi" w:cstheme="majorBidi"/>
          <w:sz w:val="24"/>
          <w:szCs w:val="22"/>
        </w:rPr>
        <w:t xml:space="preserve"> This distinction is based upon initial appearance of jar and cup(?) forms and a distinctively different design repertoire incorporating bichrome motifs in the later phases. Given the small exposure and associated sample of </w:t>
      </w:r>
      <w:r w:rsidR="001E1DEF" w:rsidRPr="00264752">
        <w:rPr>
          <w:rFonts w:asciiTheme="majorBidi" w:hAnsiTheme="majorBidi" w:cstheme="majorBidi"/>
          <w:sz w:val="24"/>
          <w:szCs w:val="22"/>
        </w:rPr>
        <w:t>Sub-Period</w:t>
      </w:r>
      <w:r w:rsidR="0030226C" w:rsidRPr="00264752">
        <w:rPr>
          <w:rFonts w:asciiTheme="majorBidi" w:hAnsiTheme="majorBidi" w:cstheme="majorBidi"/>
          <w:sz w:val="24"/>
          <w:szCs w:val="22"/>
        </w:rPr>
        <w:t xml:space="preserve"> I</w:t>
      </w:r>
      <w:r w:rsidR="009D4B06">
        <w:rPr>
          <w:rFonts w:asciiTheme="majorBidi" w:hAnsiTheme="majorBidi" w:cstheme="majorBidi"/>
          <w:sz w:val="24"/>
          <w:szCs w:val="22"/>
          <w:vertAlign w:val="subscript"/>
        </w:rPr>
        <w:t>1</w:t>
      </w:r>
      <w:r w:rsidR="0030226C" w:rsidRPr="00264752">
        <w:rPr>
          <w:rFonts w:asciiTheme="majorBidi" w:hAnsiTheme="majorBidi" w:cstheme="majorBidi"/>
          <w:sz w:val="24"/>
          <w:szCs w:val="22"/>
          <w:vertAlign w:val="subscript"/>
        </w:rPr>
        <w:t>–3</w:t>
      </w:r>
      <w:r w:rsidR="0030226C" w:rsidRPr="00264752">
        <w:rPr>
          <w:rFonts w:asciiTheme="majorBidi" w:hAnsiTheme="majorBidi" w:cstheme="majorBidi"/>
          <w:sz w:val="24"/>
          <w:szCs w:val="22"/>
        </w:rPr>
        <w:t>, however, it seems premature to rule out the existence of jar or cup forms in those phases. The argument for a significantly different design repertoire is simply not convincing on the basis of published data</w:t>
      </w:r>
      <w:r w:rsidR="009D4B06">
        <w:rPr>
          <w:rFonts w:asciiTheme="majorBidi" w:hAnsiTheme="majorBidi" w:cstheme="majorBidi"/>
          <w:sz w:val="24"/>
          <w:szCs w:val="22"/>
        </w:rPr>
        <w:t>, as t</w:t>
      </w:r>
      <w:r w:rsidR="0030226C" w:rsidRPr="00264752">
        <w:rPr>
          <w:rFonts w:asciiTheme="majorBidi" w:hAnsiTheme="majorBidi" w:cstheme="majorBidi"/>
          <w:sz w:val="24"/>
          <w:szCs w:val="22"/>
        </w:rPr>
        <w:t xml:space="preserve">he predominant motifs in </w:t>
      </w:r>
      <w:r w:rsidR="001E1DEF" w:rsidRPr="00264752">
        <w:rPr>
          <w:rFonts w:asciiTheme="majorBidi" w:hAnsiTheme="majorBidi" w:cstheme="majorBidi"/>
          <w:sz w:val="24"/>
          <w:szCs w:val="22"/>
        </w:rPr>
        <w:t>Sub-Period</w:t>
      </w:r>
      <w:r w:rsidR="0030226C" w:rsidRPr="00264752">
        <w:rPr>
          <w:rFonts w:asciiTheme="majorBidi" w:hAnsiTheme="majorBidi" w:cstheme="majorBidi"/>
          <w:sz w:val="24"/>
          <w:szCs w:val="22"/>
        </w:rPr>
        <w:t>s I</w:t>
      </w:r>
      <w:r w:rsidR="0030226C" w:rsidRPr="00264752">
        <w:rPr>
          <w:rFonts w:asciiTheme="majorBidi" w:hAnsiTheme="majorBidi" w:cstheme="majorBidi"/>
          <w:sz w:val="24"/>
          <w:szCs w:val="22"/>
          <w:vertAlign w:val="subscript"/>
        </w:rPr>
        <w:t>4–5</w:t>
      </w:r>
      <w:r w:rsidR="0030226C" w:rsidRPr="00264752">
        <w:rPr>
          <w:rFonts w:asciiTheme="majorBidi" w:hAnsiTheme="majorBidi" w:cstheme="majorBidi"/>
          <w:sz w:val="24"/>
          <w:szCs w:val="22"/>
        </w:rPr>
        <w:t xml:space="preserve"> were all found in the earlier phases. Striking new motifs, including bichromes, appear, but are all listed as unique examples and total eleven sherds. Although the total ceramic sample size is unknown, if one takes into consideration the area excavated for </w:t>
      </w:r>
      <w:r w:rsidR="001E1DEF" w:rsidRPr="00264752">
        <w:rPr>
          <w:rFonts w:asciiTheme="majorBidi" w:hAnsiTheme="majorBidi" w:cstheme="majorBidi"/>
          <w:sz w:val="24"/>
          <w:szCs w:val="22"/>
        </w:rPr>
        <w:t>Sub-Period</w:t>
      </w:r>
      <w:r w:rsidR="0030226C" w:rsidRPr="00264752">
        <w:rPr>
          <w:rFonts w:asciiTheme="majorBidi" w:hAnsiTheme="majorBidi" w:cstheme="majorBidi"/>
          <w:sz w:val="24"/>
          <w:szCs w:val="22"/>
        </w:rPr>
        <w:t>s I</w:t>
      </w:r>
      <w:r w:rsidR="0030226C" w:rsidRPr="00264752">
        <w:rPr>
          <w:rFonts w:asciiTheme="majorBidi" w:hAnsiTheme="majorBidi" w:cstheme="majorBidi"/>
          <w:sz w:val="24"/>
          <w:szCs w:val="22"/>
          <w:vertAlign w:val="subscript"/>
        </w:rPr>
        <w:t>4–5</w:t>
      </w:r>
      <w:r w:rsidR="0030226C" w:rsidRPr="00264752">
        <w:rPr>
          <w:rFonts w:asciiTheme="majorBidi" w:hAnsiTheme="majorBidi" w:cstheme="majorBidi"/>
          <w:sz w:val="24"/>
          <w:szCs w:val="22"/>
        </w:rPr>
        <w:t xml:space="preserve"> and sherd counts from comparable </w:t>
      </w:r>
      <w:r w:rsidR="00BE5F65">
        <w:rPr>
          <w:rFonts w:asciiTheme="majorBidi" w:hAnsiTheme="majorBidi" w:cstheme="majorBidi"/>
          <w:sz w:val="24"/>
          <w:szCs w:val="22"/>
        </w:rPr>
        <w:t>deposits</w:t>
      </w:r>
      <w:r w:rsidR="00BE5F65" w:rsidRPr="00264752">
        <w:rPr>
          <w:rFonts w:asciiTheme="majorBidi" w:hAnsiTheme="majorBidi" w:cstheme="majorBidi"/>
          <w:sz w:val="24"/>
          <w:szCs w:val="22"/>
        </w:rPr>
        <w:t xml:space="preserve"> </w:t>
      </w:r>
      <w:r w:rsidR="0030226C" w:rsidRPr="00264752">
        <w:rPr>
          <w:rFonts w:asciiTheme="majorBidi" w:hAnsiTheme="majorBidi" w:cstheme="majorBidi"/>
          <w:sz w:val="24"/>
          <w:szCs w:val="22"/>
        </w:rPr>
        <w:t>at Said Qala Tepe,</w:t>
      </w:r>
      <w:r w:rsidR="009D4B06" w:rsidRPr="00067D8A">
        <w:rPr>
          <w:rStyle w:val="EndnoteReference"/>
          <w:rFonts w:asciiTheme="majorBidi" w:hAnsiTheme="majorBidi" w:cstheme="majorBidi"/>
          <w:sz w:val="24"/>
          <w:szCs w:val="22"/>
        </w:rPr>
        <w:endnoteReference w:id="52"/>
      </w:r>
      <w:r w:rsidR="0030226C" w:rsidRPr="00264752">
        <w:rPr>
          <w:rFonts w:asciiTheme="majorBidi" w:hAnsiTheme="majorBidi" w:cstheme="majorBidi"/>
          <w:sz w:val="24"/>
          <w:szCs w:val="22"/>
        </w:rPr>
        <w:t xml:space="preserve"> the total sample size of excavated</w:t>
      </w:r>
      <w:r w:rsidR="009D4B06">
        <w:rPr>
          <w:rFonts w:asciiTheme="majorBidi" w:hAnsiTheme="majorBidi" w:cstheme="majorBidi"/>
          <w:sz w:val="24"/>
          <w:szCs w:val="22"/>
        </w:rPr>
        <w:t xml:space="preserve"> sherds</w:t>
      </w:r>
      <w:r w:rsidR="0030226C" w:rsidRPr="00067D8A">
        <w:rPr>
          <w:rFonts w:asciiTheme="majorBidi" w:hAnsiTheme="majorBidi" w:cstheme="majorBidi"/>
          <w:sz w:val="24"/>
          <w:szCs w:val="22"/>
        </w:rPr>
        <w:t xml:space="preserve"> must have been into the thousands. It is difficult to weigh the significance of eleven sherds as </w:t>
      </w:r>
      <w:r w:rsidR="009D4B06">
        <w:rPr>
          <w:rFonts w:asciiTheme="majorBidi" w:hAnsiTheme="majorBidi" w:cstheme="majorBidi"/>
          <w:sz w:val="24"/>
          <w:szCs w:val="22"/>
        </w:rPr>
        <w:t xml:space="preserve">being </w:t>
      </w:r>
      <w:r w:rsidR="0030226C" w:rsidRPr="00067D8A">
        <w:rPr>
          <w:rFonts w:asciiTheme="majorBidi" w:hAnsiTheme="majorBidi" w:cstheme="majorBidi"/>
          <w:sz w:val="24"/>
          <w:szCs w:val="22"/>
        </w:rPr>
        <w:t>indicati</w:t>
      </w:r>
      <w:r w:rsidR="009D4B06">
        <w:rPr>
          <w:rFonts w:asciiTheme="majorBidi" w:hAnsiTheme="majorBidi" w:cstheme="majorBidi"/>
          <w:sz w:val="24"/>
          <w:szCs w:val="22"/>
        </w:rPr>
        <w:t>ve of</w:t>
      </w:r>
      <w:r w:rsidR="0030226C" w:rsidRPr="00067D8A">
        <w:rPr>
          <w:rFonts w:asciiTheme="majorBidi" w:hAnsiTheme="majorBidi" w:cstheme="majorBidi"/>
          <w:sz w:val="24"/>
          <w:szCs w:val="22"/>
        </w:rPr>
        <w:t xml:space="preserve"> a new design repertoire, especially in view of the continuity demonstrated by other motifs and vessel forms. Such sherds are certainly important as possible indicators of communication with groups having different ceramic stylistic traditions, or of the development of new locally produced vessel types, potentially with a special function and/or limited market, but by themselves are not sufficient </w:t>
      </w:r>
      <w:r w:rsidR="0030226C" w:rsidRPr="00264752">
        <w:rPr>
          <w:rFonts w:asciiTheme="majorBidi" w:hAnsiTheme="majorBidi" w:cstheme="majorBidi"/>
          <w:sz w:val="24"/>
          <w:szCs w:val="22"/>
        </w:rPr>
        <w:t xml:space="preserve">indicators of significant cultural changes. The ceramics of Mundigak </w:t>
      </w:r>
      <w:r w:rsidR="001E1DEF" w:rsidRPr="00264752">
        <w:rPr>
          <w:rFonts w:asciiTheme="majorBidi" w:hAnsiTheme="majorBidi" w:cstheme="majorBidi"/>
          <w:sz w:val="24"/>
          <w:szCs w:val="22"/>
        </w:rPr>
        <w:t>Sub-Period</w:t>
      </w:r>
      <w:r w:rsidR="0030226C" w:rsidRPr="00264752">
        <w:rPr>
          <w:rFonts w:asciiTheme="majorBidi" w:hAnsiTheme="majorBidi" w:cstheme="majorBidi"/>
          <w:sz w:val="24"/>
          <w:szCs w:val="22"/>
        </w:rPr>
        <w:t>s I</w:t>
      </w:r>
      <w:r w:rsidR="009D4B06">
        <w:rPr>
          <w:rFonts w:asciiTheme="majorBidi" w:hAnsiTheme="majorBidi" w:cstheme="majorBidi"/>
          <w:sz w:val="24"/>
          <w:szCs w:val="22"/>
          <w:vertAlign w:val="subscript"/>
        </w:rPr>
        <w:t>1</w:t>
      </w:r>
      <w:r w:rsidR="0030226C" w:rsidRPr="00264752">
        <w:rPr>
          <w:rFonts w:asciiTheme="majorBidi" w:hAnsiTheme="majorBidi" w:cstheme="majorBidi"/>
          <w:sz w:val="24"/>
          <w:szCs w:val="22"/>
          <w:vertAlign w:val="subscript"/>
        </w:rPr>
        <w:t>–5</w:t>
      </w:r>
      <w:r w:rsidR="0030226C" w:rsidRPr="00264752">
        <w:rPr>
          <w:rFonts w:asciiTheme="majorBidi" w:hAnsiTheme="majorBidi" w:cstheme="majorBidi"/>
          <w:sz w:val="24"/>
          <w:szCs w:val="22"/>
        </w:rPr>
        <w:t xml:space="preserve"> then seem to represent a single cultural development demonstrating a limited degree of internal change with a wide range of variation.</w:t>
      </w:r>
    </w:p>
    <w:p w14:paraId="6F1CD451" w14:textId="7241877B" w:rsidR="0030226C" w:rsidRPr="00264752" w:rsidRDefault="0030226C" w:rsidP="00577C8C">
      <w:pPr>
        <w:pStyle w:val="BodyTextIndent"/>
        <w:rPr>
          <w:rFonts w:asciiTheme="majorBidi" w:hAnsiTheme="majorBidi" w:cstheme="majorBidi"/>
          <w:sz w:val="24"/>
          <w:szCs w:val="22"/>
        </w:rPr>
      </w:pPr>
      <w:r w:rsidRPr="00264752">
        <w:rPr>
          <w:rFonts w:asciiTheme="majorBidi" w:hAnsiTheme="majorBidi" w:cstheme="majorBidi"/>
          <w:sz w:val="24"/>
          <w:szCs w:val="22"/>
        </w:rPr>
        <w:t xml:space="preserve">Discussions of the Period II ceramics (Fig. </w:t>
      </w:r>
      <w:r w:rsidR="005B52A9" w:rsidRPr="00264752">
        <w:rPr>
          <w:rFonts w:asciiTheme="majorBidi" w:hAnsiTheme="majorBidi" w:cstheme="majorBidi"/>
          <w:sz w:val="24"/>
          <w:szCs w:val="22"/>
        </w:rPr>
        <w:t>4.</w:t>
      </w:r>
      <w:r w:rsidRPr="00264752">
        <w:rPr>
          <w:rFonts w:asciiTheme="majorBidi" w:hAnsiTheme="majorBidi" w:cstheme="majorBidi"/>
          <w:sz w:val="24"/>
          <w:szCs w:val="22"/>
        </w:rPr>
        <w:t xml:space="preserve">16) have centred upon the seemingly abrupt change in the relative percentages of </w:t>
      </w:r>
      <w:r w:rsidR="00577C8C" w:rsidRPr="00264752">
        <w:rPr>
          <w:rFonts w:asciiTheme="majorBidi" w:hAnsiTheme="majorBidi" w:cstheme="majorBidi"/>
          <w:sz w:val="24"/>
          <w:szCs w:val="22"/>
        </w:rPr>
        <w:t xml:space="preserve">handmade versus </w:t>
      </w:r>
      <w:r w:rsidR="009D4B06">
        <w:rPr>
          <w:rFonts w:asciiTheme="majorBidi" w:hAnsiTheme="majorBidi" w:cstheme="majorBidi"/>
          <w:sz w:val="24"/>
          <w:szCs w:val="22"/>
        </w:rPr>
        <w:t>turned</w:t>
      </w:r>
      <w:r w:rsidR="00577C8C" w:rsidRPr="00264752">
        <w:rPr>
          <w:rFonts w:asciiTheme="majorBidi" w:hAnsiTheme="majorBidi" w:cstheme="majorBidi"/>
          <w:sz w:val="24"/>
          <w:szCs w:val="22"/>
        </w:rPr>
        <w:t xml:space="preserve"> </w:t>
      </w:r>
      <w:r w:rsidRPr="00264752">
        <w:rPr>
          <w:rFonts w:asciiTheme="majorBidi" w:hAnsiTheme="majorBidi" w:cstheme="majorBidi"/>
          <w:sz w:val="24"/>
          <w:szCs w:val="22"/>
        </w:rPr>
        <w:t xml:space="preserve">pottery. Handmade pottery in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 xml:space="preserve"> II</w:t>
      </w:r>
      <w:r w:rsidRPr="00264752">
        <w:rPr>
          <w:rFonts w:asciiTheme="majorBidi" w:hAnsiTheme="majorBidi" w:cstheme="majorBidi"/>
          <w:sz w:val="24"/>
          <w:szCs w:val="22"/>
          <w:vertAlign w:val="subscript"/>
        </w:rPr>
        <w:t>1</w:t>
      </w:r>
      <w:r w:rsidRPr="00264752">
        <w:rPr>
          <w:rFonts w:asciiTheme="majorBidi" w:hAnsiTheme="majorBidi" w:cstheme="majorBidi"/>
          <w:sz w:val="24"/>
          <w:szCs w:val="22"/>
        </w:rPr>
        <w:t xml:space="preserve"> increases to 97% of the total against 3% for </w:t>
      </w:r>
      <w:r w:rsidR="009D4B06">
        <w:rPr>
          <w:rFonts w:asciiTheme="majorBidi" w:hAnsiTheme="majorBidi" w:cstheme="majorBidi"/>
          <w:sz w:val="24"/>
          <w:szCs w:val="22"/>
        </w:rPr>
        <w:t>turned</w:t>
      </w:r>
      <w:r w:rsidRPr="00264752">
        <w:rPr>
          <w:rFonts w:asciiTheme="majorBidi" w:hAnsiTheme="majorBidi" w:cstheme="majorBidi"/>
          <w:sz w:val="24"/>
          <w:szCs w:val="22"/>
        </w:rPr>
        <w:t xml:space="preserve">. These percentages are in marked contrast to those noted for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 xml:space="preserve"> I</w:t>
      </w:r>
      <w:r w:rsidRPr="00264752">
        <w:rPr>
          <w:rFonts w:asciiTheme="majorBidi" w:hAnsiTheme="majorBidi" w:cstheme="majorBidi"/>
          <w:sz w:val="24"/>
          <w:szCs w:val="22"/>
          <w:vertAlign w:val="subscript"/>
        </w:rPr>
        <w:t>5</w:t>
      </w:r>
      <w:r w:rsidRPr="00264752">
        <w:rPr>
          <w:rFonts w:asciiTheme="majorBidi" w:hAnsiTheme="majorBidi" w:cstheme="majorBidi"/>
          <w:sz w:val="24"/>
          <w:szCs w:val="22"/>
        </w:rPr>
        <w:t xml:space="preserve"> above. Casal interpreted this change as representing a phase of cultural stagnation and this was initially accepted, but there are many problems with this interpretation of the data. First, the sample size that the 97% relates to is not </w:t>
      </w:r>
      <w:r w:rsidRPr="00264752">
        <w:rPr>
          <w:rFonts w:asciiTheme="majorBidi" w:hAnsiTheme="majorBidi" w:cstheme="majorBidi"/>
          <w:sz w:val="24"/>
          <w:szCs w:val="22"/>
        </w:rPr>
        <w:lastRenderedPageBreak/>
        <w:t xml:space="preserve">given, and it is not clear whether the sample sizes from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s I</w:t>
      </w:r>
      <w:r w:rsidRPr="00264752">
        <w:rPr>
          <w:rFonts w:asciiTheme="majorBidi" w:hAnsiTheme="majorBidi" w:cstheme="majorBidi"/>
          <w:sz w:val="24"/>
          <w:szCs w:val="22"/>
          <w:vertAlign w:val="subscript"/>
        </w:rPr>
        <w:t>1– 3</w:t>
      </w:r>
      <w:r w:rsidRPr="00264752">
        <w:rPr>
          <w:rFonts w:asciiTheme="majorBidi" w:hAnsiTheme="majorBidi" w:cstheme="majorBidi"/>
          <w:sz w:val="24"/>
          <w:szCs w:val="22"/>
        </w:rPr>
        <w:t xml:space="preserve"> with its greatly reduced excavation area, and presumably reduced sample, are directly comparable to the larger sampling of Period II. Data from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s I</w:t>
      </w:r>
      <w:r w:rsidRPr="00264752">
        <w:rPr>
          <w:rFonts w:asciiTheme="majorBidi" w:hAnsiTheme="majorBidi" w:cstheme="majorBidi"/>
          <w:sz w:val="24"/>
          <w:szCs w:val="22"/>
          <w:vertAlign w:val="subscript"/>
        </w:rPr>
        <w:t xml:space="preserve">4–5 </w:t>
      </w:r>
      <w:r w:rsidRPr="00264752">
        <w:rPr>
          <w:rFonts w:asciiTheme="majorBidi" w:hAnsiTheme="majorBidi" w:cstheme="majorBidi"/>
          <w:sz w:val="24"/>
          <w:szCs w:val="22"/>
        </w:rPr>
        <w:t xml:space="preserve">indicates that the ratio of handmade versus </w:t>
      </w:r>
      <w:r w:rsidR="009D4B06">
        <w:rPr>
          <w:rFonts w:asciiTheme="majorBidi" w:hAnsiTheme="majorBidi" w:cstheme="majorBidi"/>
          <w:sz w:val="24"/>
          <w:szCs w:val="22"/>
        </w:rPr>
        <w:t>turned</w:t>
      </w:r>
      <w:r w:rsidRPr="00264752">
        <w:rPr>
          <w:rFonts w:asciiTheme="majorBidi" w:hAnsiTheme="majorBidi" w:cstheme="majorBidi"/>
          <w:sz w:val="24"/>
          <w:szCs w:val="22"/>
        </w:rPr>
        <w:t xml:space="preserve"> was variable between those two sub-phases</w:t>
      </w:r>
      <w:r w:rsidR="009D4B06">
        <w:rPr>
          <w:rFonts w:asciiTheme="majorBidi" w:hAnsiTheme="majorBidi" w:cstheme="majorBidi"/>
          <w:sz w:val="24"/>
          <w:szCs w:val="22"/>
        </w:rPr>
        <w:t xml:space="preserve"> (see above)</w:t>
      </w:r>
      <w:r w:rsidRPr="00264752">
        <w:rPr>
          <w:rFonts w:asciiTheme="majorBidi" w:hAnsiTheme="majorBidi" w:cstheme="majorBidi"/>
          <w:sz w:val="24"/>
          <w:szCs w:val="22"/>
        </w:rPr>
        <w:t>. Second</w:t>
      </w:r>
      <w:r w:rsidRPr="00067D8A">
        <w:rPr>
          <w:rFonts w:asciiTheme="majorBidi" w:hAnsiTheme="majorBidi" w:cstheme="majorBidi"/>
          <w:sz w:val="24"/>
          <w:szCs w:val="22"/>
        </w:rPr>
        <w:t xml:space="preserve">, Casal notes that decorated </w:t>
      </w:r>
      <w:r w:rsidR="009D4B06">
        <w:rPr>
          <w:rFonts w:asciiTheme="majorBidi" w:hAnsiTheme="majorBidi" w:cstheme="majorBidi"/>
          <w:sz w:val="24"/>
          <w:szCs w:val="22"/>
        </w:rPr>
        <w:t>turned</w:t>
      </w:r>
      <w:r w:rsidRPr="00067D8A">
        <w:rPr>
          <w:rFonts w:asciiTheme="majorBidi" w:hAnsiTheme="majorBidi" w:cstheme="majorBidi"/>
          <w:sz w:val="24"/>
          <w:szCs w:val="22"/>
        </w:rPr>
        <w:t xml:space="preserve"> pottery </w:t>
      </w:r>
      <w:r w:rsidR="009D4B06">
        <w:rPr>
          <w:rFonts w:asciiTheme="majorBidi" w:hAnsiTheme="majorBidi" w:cstheme="majorBidi"/>
          <w:sz w:val="24"/>
          <w:szCs w:val="22"/>
        </w:rPr>
        <w:t>wa</w:t>
      </w:r>
      <w:r w:rsidRPr="00067D8A">
        <w:rPr>
          <w:rFonts w:asciiTheme="majorBidi" w:hAnsiTheme="majorBidi" w:cstheme="majorBidi"/>
          <w:sz w:val="24"/>
          <w:szCs w:val="22"/>
        </w:rPr>
        <w:t xml:space="preserve">s replaced almost entirely by crude handmade undecorated pottery. It is not clear, however, whether these frequency variations reflect a shift in ceramic technology or a change in the relative frequency of undecorated versus decorated pottery, or a combination of both. A shift to undecorated pottery might relate to shifts in areal functional activities as is </w:t>
      </w:r>
      <w:r w:rsidRPr="009D4B06">
        <w:rPr>
          <w:rFonts w:asciiTheme="majorBidi" w:hAnsiTheme="majorBidi" w:cstheme="majorBidi"/>
          <w:color w:val="auto"/>
          <w:sz w:val="24"/>
          <w:szCs w:val="22"/>
        </w:rPr>
        <w:t xml:space="preserve">partially suggested by the architecture. Casal’s description and Shaffer’s examination of these </w:t>
      </w:r>
      <w:r w:rsidRPr="00067D8A">
        <w:rPr>
          <w:rFonts w:asciiTheme="majorBidi" w:hAnsiTheme="majorBidi" w:cstheme="majorBidi"/>
          <w:sz w:val="24"/>
          <w:szCs w:val="22"/>
        </w:rPr>
        <w:t>handmade ceramics has indicated that they are very similar to Said Qala Coarse</w:t>
      </w:r>
      <w:r w:rsidRPr="00067D8A">
        <w:rPr>
          <w:rStyle w:val="EndnoteReference"/>
          <w:rFonts w:asciiTheme="majorBidi" w:hAnsiTheme="majorBidi" w:cstheme="majorBidi"/>
          <w:sz w:val="24"/>
          <w:szCs w:val="22"/>
        </w:rPr>
        <w:endnoteReference w:id="53"/>
      </w:r>
      <w:r w:rsidRPr="00067D8A">
        <w:rPr>
          <w:rFonts w:asciiTheme="majorBidi" w:hAnsiTheme="majorBidi" w:cstheme="majorBidi"/>
          <w:sz w:val="24"/>
          <w:szCs w:val="22"/>
        </w:rPr>
        <w:t xml:space="preserve"> and Quetta Slate Temper</w:t>
      </w:r>
      <w:r w:rsidRPr="00067D8A">
        <w:rPr>
          <w:rStyle w:val="EndnoteReference"/>
          <w:rFonts w:asciiTheme="majorBidi" w:hAnsiTheme="majorBidi" w:cstheme="majorBidi"/>
          <w:sz w:val="24"/>
          <w:szCs w:val="22"/>
        </w:rPr>
        <w:endnoteReference w:id="54"/>
      </w:r>
      <w:r w:rsidRPr="00067D8A">
        <w:rPr>
          <w:rFonts w:asciiTheme="majorBidi" w:hAnsiTheme="majorBidi" w:cstheme="majorBidi"/>
          <w:sz w:val="24"/>
          <w:szCs w:val="22"/>
        </w:rPr>
        <w:t xml:space="preserve"> pottery types, which are known to persist into Mundigak IV. At Said Qala Tepe</w:t>
      </w:r>
      <w:r w:rsidRPr="00067D8A">
        <w:rPr>
          <w:rStyle w:val="EndnoteReference"/>
          <w:rFonts w:asciiTheme="majorBidi" w:hAnsiTheme="majorBidi" w:cstheme="majorBidi"/>
          <w:sz w:val="24"/>
          <w:szCs w:val="22"/>
        </w:rPr>
        <w:endnoteReference w:id="55"/>
      </w:r>
      <w:r w:rsidRPr="00067D8A">
        <w:rPr>
          <w:rFonts w:asciiTheme="majorBidi" w:hAnsiTheme="majorBidi" w:cstheme="majorBidi"/>
          <w:sz w:val="24"/>
          <w:szCs w:val="22"/>
        </w:rPr>
        <w:t xml:space="preserve"> it was demonstrated that these types were very consistent in vessel form (similar to ones at Mundigak), but that their relative frequency fluctuated significantly within any given </w:t>
      </w:r>
      <w:r w:rsidRPr="00264752">
        <w:rPr>
          <w:rFonts w:asciiTheme="majorBidi" w:hAnsiTheme="majorBidi" w:cstheme="majorBidi"/>
          <w:sz w:val="24"/>
          <w:szCs w:val="22"/>
        </w:rPr>
        <w:t>occupation horizon.</w:t>
      </w:r>
      <w:r w:rsidRPr="00264752">
        <w:rPr>
          <w:rStyle w:val="EndnoteReference"/>
          <w:rFonts w:asciiTheme="majorBidi" w:hAnsiTheme="majorBidi" w:cstheme="majorBidi"/>
          <w:sz w:val="24"/>
          <w:szCs w:val="22"/>
        </w:rPr>
        <w:endnoteReference w:id="56"/>
      </w:r>
      <w:r w:rsidRPr="00264752">
        <w:rPr>
          <w:rFonts w:asciiTheme="majorBidi" w:hAnsiTheme="majorBidi" w:cstheme="majorBidi"/>
          <w:sz w:val="24"/>
          <w:szCs w:val="22"/>
        </w:rPr>
        <w:t xml:space="preserve"> Similar fluctuations can be found in Period II where by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 xml:space="preserve"> II</w:t>
      </w:r>
      <w:r w:rsidRPr="00264752">
        <w:rPr>
          <w:rFonts w:asciiTheme="majorBidi" w:hAnsiTheme="majorBidi" w:cstheme="majorBidi"/>
          <w:sz w:val="24"/>
          <w:szCs w:val="22"/>
          <w:vertAlign w:val="subscript"/>
        </w:rPr>
        <w:t>3</w:t>
      </w:r>
      <w:r w:rsidRPr="00264752">
        <w:rPr>
          <w:rFonts w:asciiTheme="majorBidi" w:hAnsiTheme="majorBidi" w:cstheme="majorBidi"/>
          <w:sz w:val="24"/>
          <w:szCs w:val="22"/>
        </w:rPr>
        <w:t xml:space="preserve"> handmade pottery has a frequency of only 60%. Moreover, continuity in architecture and other artefact types, including an increased frequency in metal and luxury objects, can hardly be said to reflect cultural ‘stagnation’. Therefore, the changed frequency of handmade versus </w:t>
      </w:r>
      <w:r w:rsidR="009D4B06">
        <w:rPr>
          <w:rFonts w:asciiTheme="majorBidi" w:hAnsiTheme="majorBidi" w:cstheme="majorBidi"/>
          <w:sz w:val="24"/>
          <w:szCs w:val="22"/>
        </w:rPr>
        <w:t>turned</w:t>
      </w:r>
      <w:r w:rsidRPr="00264752">
        <w:rPr>
          <w:rFonts w:asciiTheme="majorBidi" w:hAnsiTheme="majorBidi" w:cstheme="majorBidi"/>
          <w:sz w:val="24"/>
          <w:szCs w:val="22"/>
        </w:rPr>
        <w:t xml:space="preserve"> pottery may reflect important cultural factors, but it does not indicate a well-defined cultural change from Period I and certainly not a period of cultural ‘stagnation’ or ‘devolution’.</w:t>
      </w:r>
    </w:p>
    <w:p w14:paraId="400A1D70" w14:textId="078D37BE" w:rsidR="0030226C" w:rsidRPr="00264752" w:rsidRDefault="0030226C" w:rsidP="0030226C">
      <w:pPr>
        <w:pStyle w:val="BodyTextIndent"/>
        <w:rPr>
          <w:rFonts w:asciiTheme="majorBidi" w:hAnsiTheme="majorBidi" w:cstheme="majorBidi"/>
          <w:sz w:val="24"/>
          <w:szCs w:val="22"/>
        </w:rPr>
      </w:pPr>
      <w:r w:rsidRPr="00264752">
        <w:rPr>
          <w:rFonts w:asciiTheme="majorBidi" w:hAnsiTheme="majorBidi" w:cstheme="majorBidi"/>
          <w:sz w:val="24"/>
          <w:szCs w:val="22"/>
        </w:rPr>
        <w:t xml:space="preserve">All pottery in Period II was manufactured from a buff-red paste, but the handmade pottery had coarse tempering materials (chaff and/or crushed rock) added. Among the handmade pottery the predominant vessel forms are the simple angular-walled bowls, and a large, wide-mouthed straight-sided jar with a pinched rim (Fig. </w:t>
      </w:r>
      <w:r w:rsidR="005B52A9" w:rsidRPr="00264752">
        <w:rPr>
          <w:rFonts w:asciiTheme="majorBidi" w:hAnsiTheme="majorBidi" w:cstheme="majorBidi"/>
          <w:sz w:val="24"/>
          <w:szCs w:val="22"/>
        </w:rPr>
        <w:t>4.</w:t>
      </w:r>
      <w:r w:rsidRPr="00264752">
        <w:rPr>
          <w:rFonts w:asciiTheme="majorBidi" w:hAnsiTheme="majorBidi" w:cstheme="majorBidi"/>
          <w:sz w:val="24"/>
          <w:szCs w:val="22"/>
        </w:rPr>
        <w:t xml:space="preserve">16 nos 1–2), which appear for the first time in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 xml:space="preserve"> II</w:t>
      </w:r>
      <w:r w:rsidRPr="00264752">
        <w:rPr>
          <w:rFonts w:asciiTheme="majorBidi" w:hAnsiTheme="majorBidi" w:cstheme="majorBidi"/>
          <w:sz w:val="24"/>
          <w:szCs w:val="22"/>
          <w:vertAlign w:val="subscript"/>
        </w:rPr>
        <w:t>1</w:t>
      </w:r>
      <w:r w:rsidRPr="00264752">
        <w:rPr>
          <w:rFonts w:asciiTheme="majorBidi" w:hAnsiTheme="majorBidi" w:cstheme="majorBidi"/>
          <w:sz w:val="24"/>
          <w:szCs w:val="22"/>
        </w:rPr>
        <w:t xml:space="preserve"> and continues through to Period IV. A shallow flat-bottomed bowl with vertical walls (Fig. </w:t>
      </w:r>
      <w:r w:rsidR="005B52A9" w:rsidRPr="00264752">
        <w:rPr>
          <w:rFonts w:asciiTheme="majorBidi" w:hAnsiTheme="majorBidi" w:cstheme="majorBidi"/>
          <w:sz w:val="24"/>
          <w:szCs w:val="22"/>
        </w:rPr>
        <w:t>4.</w:t>
      </w:r>
      <w:r w:rsidRPr="00264752">
        <w:rPr>
          <w:rFonts w:asciiTheme="majorBidi" w:hAnsiTheme="majorBidi" w:cstheme="majorBidi"/>
          <w:sz w:val="24"/>
          <w:szCs w:val="22"/>
        </w:rPr>
        <w:t xml:space="preserve">16 no. 3) appears in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 xml:space="preserve"> II</w:t>
      </w:r>
      <w:r w:rsidRPr="00264752">
        <w:rPr>
          <w:rFonts w:asciiTheme="majorBidi" w:hAnsiTheme="majorBidi" w:cstheme="majorBidi"/>
          <w:sz w:val="24"/>
          <w:szCs w:val="22"/>
          <w:vertAlign w:val="subscript"/>
        </w:rPr>
        <w:t>2</w:t>
      </w:r>
      <w:r w:rsidRPr="00264752">
        <w:rPr>
          <w:rFonts w:asciiTheme="majorBidi" w:hAnsiTheme="majorBidi" w:cstheme="majorBidi"/>
          <w:sz w:val="24"/>
          <w:szCs w:val="22"/>
        </w:rPr>
        <w:t xml:space="preserve">, and another bowl with sharply </w:t>
      </w:r>
      <w:r w:rsidRPr="00264752">
        <w:rPr>
          <w:rFonts w:asciiTheme="majorBidi" w:hAnsiTheme="majorBidi" w:cstheme="majorBidi"/>
          <w:sz w:val="24"/>
          <w:szCs w:val="22"/>
        </w:rPr>
        <w:lastRenderedPageBreak/>
        <w:t xml:space="preserve">incurving walls (Fig. </w:t>
      </w:r>
      <w:r w:rsidR="005B52A9" w:rsidRPr="00264752">
        <w:rPr>
          <w:rFonts w:asciiTheme="majorBidi" w:hAnsiTheme="majorBidi" w:cstheme="majorBidi"/>
          <w:sz w:val="24"/>
          <w:szCs w:val="22"/>
        </w:rPr>
        <w:t>4.</w:t>
      </w:r>
      <w:r w:rsidRPr="00264752">
        <w:rPr>
          <w:rFonts w:asciiTheme="majorBidi" w:hAnsiTheme="majorBidi" w:cstheme="majorBidi"/>
          <w:sz w:val="24"/>
          <w:szCs w:val="22"/>
        </w:rPr>
        <w:t xml:space="preserve">16 no. 4) appears in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 xml:space="preserve"> II</w:t>
      </w:r>
      <w:r w:rsidR="005B52A9" w:rsidRPr="00264752">
        <w:rPr>
          <w:rFonts w:asciiTheme="majorBidi" w:hAnsiTheme="majorBidi" w:cstheme="majorBidi"/>
          <w:sz w:val="24"/>
          <w:szCs w:val="22"/>
          <w:vertAlign w:val="subscript"/>
        </w:rPr>
        <w:t>4.</w:t>
      </w:r>
      <w:r w:rsidRPr="00264752">
        <w:rPr>
          <w:rFonts w:asciiTheme="majorBidi" w:hAnsiTheme="majorBidi" w:cstheme="majorBidi"/>
          <w:sz w:val="24"/>
          <w:szCs w:val="22"/>
        </w:rPr>
        <w:t xml:space="preserve"> Both these handmade vessel forms continue though to Period IV. A single example of a handmade pedestal vessel was found in Period II. Casal mentions that a few handmade examples were decorated, but notes that the overwhelming majority were undecorated.</w:t>
      </w:r>
    </w:p>
    <w:p w14:paraId="5F182ED2" w14:textId="291FA9ED" w:rsidR="0030226C" w:rsidRPr="00264752" w:rsidRDefault="0030226C" w:rsidP="0030226C">
      <w:pPr>
        <w:pStyle w:val="BodyTextIndent"/>
        <w:rPr>
          <w:rFonts w:asciiTheme="majorBidi" w:hAnsiTheme="majorBidi" w:cstheme="majorBidi"/>
          <w:sz w:val="24"/>
          <w:szCs w:val="22"/>
        </w:rPr>
      </w:pPr>
      <w:r w:rsidRPr="00264752">
        <w:rPr>
          <w:rFonts w:asciiTheme="majorBidi" w:hAnsiTheme="majorBidi" w:cstheme="majorBidi"/>
          <w:sz w:val="24"/>
          <w:szCs w:val="22"/>
        </w:rPr>
        <w:t xml:space="preserve">Both decorated and undecorated examples of </w:t>
      </w:r>
      <w:r w:rsidR="009D4B06">
        <w:rPr>
          <w:rFonts w:asciiTheme="majorBidi" w:hAnsiTheme="majorBidi" w:cstheme="majorBidi"/>
          <w:sz w:val="24"/>
          <w:szCs w:val="22"/>
        </w:rPr>
        <w:t>turned</w:t>
      </w:r>
      <w:r w:rsidRPr="00264752">
        <w:rPr>
          <w:rFonts w:asciiTheme="majorBidi" w:hAnsiTheme="majorBidi" w:cstheme="majorBidi"/>
          <w:sz w:val="24"/>
          <w:szCs w:val="22"/>
        </w:rPr>
        <w:t xml:space="preserve"> pottery were found, however, and by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 xml:space="preserve"> II</w:t>
      </w:r>
      <w:r w:rsidRPr="00264752">
        <w:rPr>
          <w:rFonts w:asciiTheme="majorBidi" w:hAnsiTheme="majorBidi" w:cstheme="majorBidi"/>
          <w:sz w:val="24"/>
          <w:szCs w:val="22"/>
          <w:vertAlign w:val="subscript"/>
        </w:rPr>
        <w:t xml:space="preserve">3 </w:t>
      </w:r>
      <w:r w:rsidRPr="00264752">
        <w:rPr>
          <w:rFonts w:asciiTheme="majorBidi" w:hAnsiTheme="majorBidi" w:cstheme="majorBidi"/>
          <w:sz w:val="24"/>
          <w:szCs w:val="22"/>
        </w:rPr>
        <w:t xml:space="preserve">the frequency of </w:t>
      </w:r>
      <w:r w:rsidR="009D4B06">
        <w:rPr>
          <w:rFonts w:asciiTheme="majorBidi" w:hAnsiTheme="majorBidi" w:cstheme="majorBidi"/>
          <w:sz w:val="24"/>
          <w:szCs w:val="22"/>
        </w:rPr>
        <w:t>turned</w:t>
      </w:r>
      <w:r w:rsidRPr="00264752">
        <w:rPr>
          <w:rFonts w:asciiTheme="majorBidi" w:hAnsiTheme="majorBidi" w:cstheme="majorBidi"/>
          <w:sz w:val="24"/>
          <w:szCs w:val="22"/>
        </w:rPr>
        <w:t xml:space="preserve"> pottery had reached 40%. The most common vessel forms were the angular-walled bowls and the globular collared jars recorded for Period I. Ring bases were common on bowls and a single pedestalled vessel was found. Decoration was found mainly on bowls whose surface had been treated with a thin white or buff coloured wash. Motifs were confined by black geometries the most</w:t>
      </w:r>
      <w:r w:rsidRPr="00067D8A">
        <w:rPr>
          <w:rFonts w:asciiTheme="majorBidi" w:hAnsiTheme="majorBidi" w:cstheme="majorBidi"/>
          <w:sz w:val="24"/>
          <w:szCs w:val="22"/>
        </w:rPr>
        <w:t xml:space="preserve"> common of which included: festoons </w:t>
      </w:r>
      <w:r w:rsidRPr="00264752">
        <w:rPr>
          <w:rFonts w:asciiTheme="majorBidi" w:hAnsiTheme="majorBidi" w:cstheme="majorBidi"/>
          <w:sz w:val="24"/>
          <w:szCs w:val="22"/>
        </w:rPr>
        <w:t xml:space="preserve">below the rim (found in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s I</w:t>
      </w:r>
      <w:r w:rsidRPr="00264752">
        <w:rPr>
          <w:rFonts w:asciiTheme="majorBidi" w:hAnsiTheme="majorBidi" w:cstheme="majorBidi"/>
          <w:sz w:val="24"/>
          <w:szCs w:val="22"/>
          <w:vertAlign w:val="subscript"/>
        </w:rPr>
        <w:t>4–5</w:t>
      </w:r>
      <w:r w:rsidRPr="00264752">
        <w:rPr>
          <w:rFonts w:asciiTheme="majorBidi" w:hAnsiTheme="majorBidi" w:cstheme="majorBidi"/>
          <w:sz w:val="24"/>
          <w:szCs w:val="22"/>
        </w:rPr>
        <w:t xml:space="preserve">); undulating horizontal lines interspaced with horizontal lines (Fig. </w:t>
      </w:r>
      <w:r w:rsidR="005B52A9" w:rsidRPr="00264752">
        <w:rPr>
          <w:rFonts w:asciiTheme="majorBidi" w:hAnsiTheme="majorBidi" w:cstheme="majorBidi"/>
          <w:sz w:val="24"/>
          <w:szCs w:val="22"/>
        </w:rPr>
        <w:t>4.</w:t>
      </w:r>
      <w:r w:rsidRPr="00264752">
        <w:rPr>
          <w:rFonts w:asciiTheme="majorBidi" w:hAnsiTheme="majorBidi" w:cstheme="majorBidi"/>
          <w:sz w:val="24"/>
          <w:szCs w:val="22"/>
        </w:rPr>
        <w:t xml:space="preserve">16 no. 6) (frequent in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s III</w:t>
      </w:r>
      <w:r w:rsidRPr="00264752">
        <w:rPr>
          <w:rFonts w:asciiTheme="majorBidi" w:hAnsiTheme="majorBidi" w:cstheme="majorBidi"/>
          <w:sz w:val="24"/>
          <w:szCs w:val="22"/>
          <w:vertAlign w:val="subscript"/>
        </w:rPr>
        <w:t>1– 3</w:t>
      </w:r>
      <w:r w:rsidRPr="00264752">
        <w:rPr>
          <w:rFonts w:asciiTheme="majorBidi" w:hAnsiTheme="majorBidi" w:cstheme="majorBidi"/>
          <w:sz w:val="24"/>
          <w:szCs w:val="22"/>
        </w:rPr>
        <w:t xml:space="preserve">); and, an undulating line bordered by a lower horizontal line and filled with hatches (Fig. </w:t>
      </w:r>
      <w:r w:rsidR="005B52A9" w:rsidRPr="00264752">
        <w:rPr>
          <w:rFonts w:asciiTheme="majorBidi" w:hAnsiTheme="majorBidi" w:cstheme="majorBidi"/>
          <w:sz w:val="24"/>
          <w:szCs w:val="22"/>
        </w:rPr>
        <w:t>4.</w:t>
      </w:r>
      <w:r w:rsidRPr="00264752">
        <w:rPr>
          <w:rFonts w:asciiTheme="majorBidi" w:hAnsiTheme="majorBidi" w:cstheme="majorBidi"/>
          <w:sz w:val="24"/>
          <w:szCs w:val="22"/>
        </w:rPr>
        <w:t xml:space="preserve">16 no. 5) (also frequent in later periods). A unique sherd with a motif having a straight line with opposing perpendicular lines at opposite ends (Fig. </w:t>
      </w:r>
      <w:r w:rsidR="005B52A9" w:rsidRPr="00264752">
        <w:rPr>
          <w:rFonts w:asciiTheme="majorBidi" w:hAnsiTheme="majorBidi" w:cstheme="majorBidi"/>
          <w:sz w:val="24"/>
          <w:szCs w:val="22"/>
        </w:rPr>
        <w:t>4.</w:t>
      </w:r>
      <w:r w:rsidRPr="00264752">
        <w:rPr>
          <w:rFonts w:asciiTheme="majorBidi" w:hAnsiTheme="majorBidi" w:cstheme="majorBidi"/>
          <w:sz w:val="24"/>
          <w:szCs w:val="22"/>
        </w:rPr>
        <w:t xml:space="preserve">16 no. 7) was found in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 xml:space="preserve"> II</w:t>
      </w:r>
      <w:r w:rsidR="005B52A9" w:rsidRPr="00264752">
        <w:rPr>
          <w:rFonts w:asciiTheme="majorBidi" w:hAnsiTheme="majorBidi" w:cstheme="majorBidi"/>
          <w:sz w:val="24"/>
          <w:szCs w:val="22"/>
          <w:vertAlign w:val="subscript"/>
        </w:rPr>
        <w:t>4.</w:t>
      </w:r>
      <w:r w:rsidRPr="00264752">
        <w:rPr>
          <w:rFonts w:asciiTheme="majorBidi" w:hAnsiTheme="majorBidi" w:cstheme="majorBidi"/>
          <w:sz w:val="24"/>
          <w:szCs w:val="22"/>
        </w:rPr>
        <w:t xml:space="preserve"> This particular motif became increasingly popular in later periods.</w:t>
      </w:r>
    </w:p>
    <w:p w14:paraId="3DC92606" w14:textId="77465B24" w:rsidR="0030226C" w:rsidRPr="00067D8A" w:rsidRDefault="0030226C" w:rsidP="0030226C">
      <w:pPr>
        <w:pStyle w:val="BodyTextIndent"/>
        <w:rPr>
          <w:rFonts w:asciiTheme="majorBidi" w:hAnsiTheme="majorBidi" w:cstheme="majorBidi"/>
          <w:sz w:val="24"/>
          <w:szCs w:val="22"/>
        </w:rPr>
      </w:pPr>
      <w:r w:rsidRPr="00264752">
        <w:rPr>
          <w:rFonts w:asciiTheme="majorBidi" w:hAnsiTheme="majorBidi" w:cstheme="majorBidi"/>
          <w:sz w:val="24"/>
          <w:szCs w:val="22"/>
        </w:rPr>
        <w:t xml:space="preserve">A single buff paste sherd with a ‘grey slipped’ exterior (perhaps overfired?) and light red interior was found in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 xml:space="preserve"> II</w:t>
      </w:r>
      <w:r w:rsidRPr="00264752">
        <w:rPr>
          <w:rFonts w:asciiTheme="majorBidi" w:hAnsiTheme="majorBidi" w:cstheme="majorBidi"/>
          <w:sz w:val="24"/>
          <w:szCs w:val="22"/>
          <w:vertAlign w:val="subscript"/>
        </w:rPr>
        <w:t>1</w:t>
      </w:r>
      <w:r w:rsidRPr="00264752">
        <w:rPr>
          <w:rFonts w:asciiTheme="majorBidi" w:hAnsiTheme="majorBidi" w:cstheme="majorBidi"/>
          <w:sz w:val="24"/>
          <w:szCs w:val="22"/>
        </w:rPr>
        <w:t>. It was decorated with a brown motif of parallel horizontal lines bordering a panel characterised by a central undulating</w:t>
      </w:r>
      <w:r w:rsidRPr="00067D8A">
        <w:rPr>
          <w:rFonts w:asciiTheme="majorBidi" w:hAnsiTheme="majorBidi" w:cstheme="majorBidi"/>
          <w:sz w:val="24"/>
          <w:szCs w:val="22"/>
        </w:rPr>
        <w:t xml:space="preserve"> line offset on both sides by opposing hatch marks (Fig. </w:t>
      </w:r>
      <w:r w:rsidR="005B52A9">
        <w:rPr>
          <w:rFonts w:asciiTheme="majorBidi" w:hAnsiTheme="majorBidi" w:cstheme="majorBidi"/>
          <w:sz w:val="24"/>
          <w:szCs w:val="22"/>
        </w:rPr>
        <w:t>4.</w:t>
      </w:r>
      <w:r w:rsidRPr="00067D8A">
        <w:rPr>
          <w:rFonts w:asciiTheme="majorBidi" w:hAnsiTheme="majorBidi" w:cstheme="majorBidi"/>
          <w:sz w:val="24"/>
          <w:szCs w:val="22"/>
        </w:rPr>
        <w:t>16 no. 8). This sherd, like the eleven unique sherds from Period I, was significantly different from the rest of the ceramics. Casal noted its strong resemblance to pottery from Period II at Rana-Ghundai in northern Baluchistan.</w:t>
      </w:r>
      <w:r w:rsidRPr="00067D8A">
        <w:rPr>
          <w:rStyle w:val="EndnoteReference"/>
          <w:rFonts w:asciiTheme="majorBidi" w:hAnsiTheme="majorBidi" w:cstheme="majorBidi"/>
          <w:sz w:val="24"/>
          <w:szCs w:val="22"/>
        </w:rPr>
        <w:endnoteReference w:id="57"/>
      </w:r>
      <w:r w:rsidRPr="00067D8A">
        <w:rPr>
          <w:rFonts w:asciiTheme="majorBidi" w:hAnsiTheme="majorBidi" w:cstheme="majorBidi"/>
          <w:sz w:val="24"/>
          <w:szCs w:val="22"/>
        </w:rPr>
        <w:t xml:space="preserve"> However, the sherd is even more similar</w:t>
      </w:r>
      <w:r w:rsidRPr="00067D8A">
        <w:rPr>
          <w:rStyle w:val="EndnoteReference"/>
          <w:rFonts w:asciiTheme="majorBidi" w:hAnsiTheme="majorBidi" w:cstheme="majorBidi"/>
          <w:sz w:val="24"/>
          <w:szCs w:val="22"/>
        </w:rPr>
        <w:endnoteReference w:id="58"/>
      </w:r>
      <w:r w:rsidRPr="00067D8A">
        <w:rPr>
          <w:rFonts w:asciiTheme="majorBidi" w:hAnsiTheme="majorBidi" w:cstheme="majorBidi"/>
          <w:sz w:val="24"/>
          <w:szCs w:val="22"/>
        </w:rPr>
        <w:t xml:space="preserve"> to de Cardi’s ‘loop-and-tassel’ design</w:t>
      </w:r>
      <w:r w:rsidRPr="00067D8A">
        <w:rPr>
          <w:rStyle w:val="EndnoteReference"/>
          <w:rFonts w:asciiTheme="majorBidi" w:hAnsiTheme="majorBidi" w:cstheme="majorBidi"/>
          <w:sz w:val="24"/>
          <w:szCs w:val="22"/>
        </w:rPr>
        <w:endnoteReference w:id="59"/>
      </w:r>
      <w:r w:rsidRPr="00067D8A">
        <w:rPr>
          <w:rFonts w:asciiTheme="majorBidi" w:hAnsiTheme="majorBidi" w:cstheme="majorBidi"/>
          <w:sz w:val="24"/>
          <w:szCs w:val="22"/>
        </w:rPr>
        <w:t xml:space="preserve"> seen on Togau ware found at Siah II. Togau ware of this period at Siah is also associated with later Kot Dijian and Amri pottery </w:t>
      </w:r>
      <w:r w:rsidRPr="00067D8A">
        <w:rPr>
          <w:rFonts w:asciiTheme="majorBidi" w:hAnsiTheme="majorBidi" w:cstheme="majorBidi"/>
          <w:sz w:val="24"/>
          <w:szCs w:val="22"/>
        </w:rPr>
        <w:lastRenderedPageBreak/>
        <w:t xml:space="preserve">that is similar to </w:t>
      </w:r>
      <w:r w:rsidRPr="00264752">
        <w:rPr>
          <w:rFonts w:asciiTheme="majorBidi" w:hAnsiTheme="majorBidi" w:cstheme="majorBidi"/>
          <w:sz w:val="24"/>
          <w:szCs w:val="22"/>
        </w:rPr>
        <w:t xml:space="preserve">the unique sherds found in Mundigak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s I</w:t>
      </w:r>
      <w:r w:rsidRPr="00264752">
        <w:rPr>
          <w:rFonts w:asciiTheme="majorBidi" w:hAnsiTheme="majorBidi" w:cstheme="majorBidi"/>
          <w:sz w:val="24"/>
          <w:szCs w:val="22"/>
          <w:vertAlign w:val="subscript"/>
        </w:rPr>
        <w:t>4–5</w:t>
      </w:r>
      <w:r w:rsidRPr="00264752">
        <w:rPr>
          <w:rFonts w:asciiTheme="majorBidi" w:hAnsiTheme="majorBidi" w:cstheme="majorBidi"/>
          <w:sz w:val="24"/>
          <w:szCs w:val="22"/>
        </w:rPr>
        <w:t xml:space="preserve"> (see discussion below on </w:t>
      </w:r>
      <w:r w:rsidR="009D4B06">
        <w:rPr>
          <w:rFonts w:asciiTheme="majorBidi" w:hAnsiTheme="majorBidi" w:cstheme="majorBidi"/>
          <w:sz w:val="24"/>
          <w:szCs w:val="22"/>
        </w:rPr>
        <w:t>external</w:t>
      </w:r>
      <w:r w:rsidR="009D4B06" w:rsidRPr="00264752">
        <w:rPr>
          <w:rFonts w:asciiTheme="majorBidi" w:hAnsiTheme="majorBidi" w:cstheme="majorBidi"/>
          <w:sz w:val="24"/>
          <w:szCs w:val="22"/>
        </w:rPr>
        <w:t xml:space="preserve"> </w:t>
      </w:r>
      <w:r w:rsidRPr="00264752">
        <w:rPr>
          <w:rFonts w:asciiTheme="majorBidi" w:hAnsiTheme="majorBidi" w:cstheme="majorBidi"/>
          <w:sz w:val="24"/>
          <w:szCs w:val="22"/>
        </w:rPr>
        <w:t>relationships). To resolve the problem of different but contemporary intrusive types occurring in two stratigraphic levels at Mundigak, Mughal stated that ‘… the single specimen from Mundigak II</w:t>
      </w:r>
      <w:r w:rsidRPr="00264752">
        <w:rPr>
          <w:rFonts w:asciiTheme="majorBidi" w:hAnsiTheme="majorBidi" w:cstheme="majorBidi"/>
          <w:sz w:val="24"/>
          <w:szCs w:val="22"/>
          <w:vertAlign w:val="subscript"/>
        </w:rPr>
        <w:t>1</w:t>
      </w:r>
      <w:r w:rsidRPr="00264752">
        <w:rPr>
          <w:rFonts w:asciiTheme="majorBidi" w:hAnsiTheme="majorBidi" w:cstheme="majorBidi"/>
          <w:sz w:val="24"/>
          <w:szCs w:val="22"/>
        </w:rPr>
        <w:t xml:space="preserve"> level may also be placed with the assemblages of level I.’</w:t>
      </w:r>
      <w:r w:rsidRPr="00264752">
        <w:rPr>
          <w:rStyle w:val="EndnoteReference"/>
          <w:rFonts w:asciiTheme="majorBidi" w:hAnsiTheme="majorBidi" w:cstheme="majorBidi"/>
          <w:sz w:val="24"/>
          <w:szCs w:val="22"/>
        </w:rPr>
        <w:endnoteReference w:id="60"/>
      </w:r>
      <w:r w:rsidRPr="00264752">
        <w:rPr>
          <w:rFonts w:asciiTheme="majorBidi" w:hAnsiTheme="majorBidi" w:cstheme="majorBidi"/>
          <w:sz w:val="24"/>
          <w:szCs w:val="22"/>
        </w:rPr>
        <w:t xml:space="preserve"> However, Casal gives an exact provenance for this sherd and it appears to be definitely associated with the fill of a structure from Period II</w:t>
      </w:r>
      <w:r w:rsidRPr="00264752">
        <w:rPr>
          <w:rFonts w:asciiTheme="majorBidi" w:hAnsiTheme="majorBidi" w:cstheme="majorBidi"/>
          <w:sz w:val="24"/>
          <w:szCs w:val="22"/>
          <w:vertAlign w:val="subscript"/>
        </w:rPr>
        <w:t>1</w:t>
      </w:r>
      <w:r w:rsidRPr="00264752">
        <w:rPr>
          <w:rFonts w:asciiTheme="majorBidi" w:hAnsiTheme="majorBidi" w:cstheme="majorBidi"/>
          <w:sz w:val="24"/>
          <w:szCs w:val="22"/>
        </w:rPr>
        <w:t xml:space="preserve">. The specific question which this sherd, and the entire </w:t>
      </w:r>
      <w:r w:rsidR="009D4B06">
        <w:rPr>
          <w:rFonts w:asciiTheme="majorBidi" w:hAnsiTheme="majorBidi" w:cstheme="majorBidi"/>
          <w:sz w:val="24"/>
          <w:szCs w:val="22"/>
        </w:rPr>
        <w:t xml:space="preserve">Periods I and II </w:t>
      </w:r>
      <w:r w:rsidRPr="00264752">
        <w:rPr>
          <w:rFonts w:asciiTheme="majorBidi" w:hAnsiTheme="majorBidi" w:cstheme="majorBidi"/>
          <w:sz w:val="24"/>
          <w:szCs w:val="22"/>
        </w:rPr>
        <w:t>ceramic assemblage, focuses on is: ‘How culturally distinct are Mundigak I and II?’ Are these separate and distinct cultural periods or do they represent a cultural continuum which happened to be separated by a midden deposit? It is argued here that Mundigak I</w:t>
      </w:r>
      <w:r w:rsidRPr="00264752">
        <w:rPr>
          <w:rFonts w:asciiTheme="majorBidi" w:hAnsiTheme="majorBidi" w:cstheme="majorBidi"/>
          <w:sz w:val="24"/>
          <w:szCs w:val="22"/>
          <w:vertAlign w:val="subscript"/>
        </w:rPr>
        <w:t>1– 3</w:t>
      </w:r>
      <w:r w:rsidRPr="00264752">
        <w:rPr>
          <w:rFonts w:asciiTheme="majorBidi" w:hAnsiTheme="majorBidi" w:cstheme="majorBidi"/>
          <w:sz w:val="24"/>
          <w:szCs w:val="22"/>
        </w:rPr>
        <w:t xml:space="preserve"> are known only from a very limited sample and that I</w:t>
      </w:r>
      <w:r w:rsidRPr="00264752">
        <w:rPr>
          <w:rFonts w:asciiTheme="majorBidi" w:hAnsiTheme="majorBidi" w:cstheme="majorBidi"/>
          <w:sz w:val="24"/>
          <w:szCs w:val="22"/>
          <w:vertAlign w:val="subscript"/>
        </w:rPr>
        <w:t xml:space="preserve">4–5 </w:t>
      </w:r>
      <w:r w:rsidRPr="00264752">
        <w:rPr>
          <w:rFonts w:asciiTheme="majorBidi" w:hAnsiTheme="majorBidi" w:cstheme="majorBidi"/>
          <w:sz w:val="24"/>
          <w:szCs w:val="22"/>
        </w:rPr>
        <w:t>is not much different from II</w:t>
      </w:r>
      <w:r w:rsidRPr="00264752">
        <w:rPr>
          <w:rFonts w:asciiTheme="majorBidi" w:hAnsiTheme="majorBidi" w:cstheme="majorBidi"/>
          <w:sz w:val="24"/>
          <w:szCs w:val="22"/>
          <w:vertAlign w:val="subscript"/>
        </w:rPr>
        <w:t>1–3</w:t>
      </w:r>
      <w:r w:rsidRPr="00264752">
        <w:rPr>
          <w:rFonts w:asciiTheme="majorBidi" w:hAnsiTheme="majorBidi" w:cstheme="majorBidi"/>
          <w:sz w:val="24"/>
          <w:szCs w:val="22"/>
        </w:rPr>
        <w:t xml:space="preserve"> if the question of handmade </w:t>
      </w:r>
      <w:r w:rsidRPr="00264752">
        <w:rPr>
          <w:rFonts w:asciiTheme="majorBidi" w:hAnsiTheme="majorBidi" w:cstheme="majorBidi"/>
          <w:i/>
          <w:sz w:val="24"/>
          <w:szCs w:val="22"/>
        </w:rPr>
        <w:t>vs.</w:t>
      </w:r>
      <w:r w:rsidRPr="00264752">
        <w:rPr>
          <w:rFonts w:asciiTheme="majorBidi" w:hAnsiTheme="majorBidi" w:cstheme="majorBidi"/>
          <w:sz w:val="24"/>
          <w:szCs w:val="22"/>
        </w:rPr>
        <w:t xml:space="preserve"> </w:t>
      </w:r>
      <w:r w:rsidR="009D4B06">
        <w:rPr>
          <w:rFonts w:asciiTheme="majorBidi" w:hAnsiTheme="majorBidi" w:cstheme="majorBidi"/>
          <w:sz w:val="24"/>
          <w:szCs w:val="22"/>
        </w:rPr>
        <w:t>turned</w:t>
      </w:r>
      <w:r w:rsidRPr="00264752">
        <w:rPr>
          <w:rFonts w:asciiTheme="majorBidi" w:hAnsiTheme="majorBidi" w:cstheme="majorBidi"/>
          <w:sz w:val="24"/>
          <w:szCs w:val="22"/>
        </w:rPr>
        <w:t xml:space="preserve"> pottery is placed in proper </w:t>
      </w:r>
      <w:r w:rsidRPr="009D4B06">
        <w:rPr>
          <w:rFonts w:asciiTheme="majorBidi" w:hAnsiTheme="majorBidi" w:cstheme="majorBidi"/>
          <w:color w:val="auto"/>
          <w:sz w:val="24"/>
          <w:szCs w:val="22"/>
        </w:rPr>
        <w:t xml:space="preserve">perspective. It is proposed here that </w:t>
      </w:r>
      <w:r w:rsidRPr="00264752">
        <w:rPr>
          <w:rFonts w:asciiTheme="majorBidi" w:hAnsiTheme="majorBidi" w:cstheme="majorBidi"/>
          <w:sz w:val="24"/>
          <w:szCs w:val="22"/>
        </w:rPr>
        <w:t xml:space="preserve">Mundigak Period I (and especially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s I</w:t>
      </w:r>
      <w:r w:rsidRPr="00264752">
        <w:rPr>
          <w:rFonts w:asciiTheme="majorBidi" w:hAnsiTheme="majorBidi" w:cstheme="majorBidi"/>
          <w:sz w:val="24"/>
          <w:szCs w:val="22"/>
          <w:vertAlign w:val="subscript"/>
        </w:rPr>
        <w:t>4–5</w:t>
      </w:r>
      <w:r w:rsidRPr="00264752">
        <w:rPr>
          <w:rFonts w:asciiTheme="majorBidi" w:hAnsiTheme="majorBidi" w:cstheme="majorBidi"/>
          <w:sz w:val="24"/>
          <w:szCs w:val="22"/>
        </w:rPr>
        <w:t>) and Period II represent the same basic period of cultural development, demonstrating a continuum of change. A similar cultural continuum can be determined for the ceramics of Mundigak Periods II–III.</w:t>
      </w:r>
    </w:p>
    <w:p w14:paraId="68C4980F" w14:textId="1E0734BF" w:rsidR="00E5027D" w:rsidRPr="00067D8A" w:rsidRDefault="00E5027D" w:rsidP="00E5027D">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Although </w:t>
      </w:r>
      <w:r w:rsidRPr="00264752">
        <w:rPr>
          <w:rFonts w:asciiTheme="majorBidi" w:hAnsiTheme="majorBidi" w:cstheme="majorBidi"/>
          <w:sz w:val="24"/>
          <w:szCs w:val="22"/>
        </w:rPr>
        <w:t xml:space="preserve">Period III represents a continuous development from the previous periods, it contained some strikingly new ceramic styles (Figs 4.18–4.21). </w:t>
      </w:r>
      <w:r w:rsidR="00A23E24">
        <w:rPr>
          <w:rFonts w:asciiTheme="majorBidi" w:hAnsiTheme="majorBidi" w:cstheme="majorBidi"/>
          <w:sz w:val="24"/>
          <w:szCs w:val="22"/>
        </w:rPr>
        <w:t>Turned</w:t>
      </w:r>
      <w:r w:rsidRPr="00264752">
        <w:rPr>
          <w:rFonts w:asciiTheme="majorBidi" w:hAnsiTheme="majorBidi" w:cstheme="majorBidi"/>
          <w:sz w:val="24"/>
          <w:szCs w:val="22"/>
        </w:rPr>
        <w:t xml:space="preserve"> pottery gradually became dominant, increasing from 45% in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 xml:space="preserve"> III</w:t>
      </w:r>
      <w:r w:rsidRPr="00264752">
        <w:rPr>
          <w:rFonts w:asciiTheme="majorBidi" w:hAnsiTheme="majorBidi" w:cstheme="majorBidi"/>
          <w:sz w:val="24"/>
          <w:szCs w:val="22"/>
          <w:vertAlign w:val="subscript"/>
        </w:rPr>
        <w:t>1</w:t>
      </w:r>
      <w:r w:rsidRPr="00264752">
        <w:rPr>
          <w:rFonts w:asciiTheme="majorBidi" w:hAnsiTheme="majorBidi" w:cstheme="majorBidi"/>
          <w:sz w:val="24"/>
          <w:szCs w:val="22"/>
        </w:rPr>
        <w:t xml:space="preserve"> to 85% in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 xml:space="preserve"> III</w:t>
      </w:r>
      <w:r w:rsidRPr="00264752">
        <w:rPr>
          <w:rFonts w:asciiTheme="majorBidi" w:hAnsiTheme="majorBidi" w:cstheme="majorBidi"/>
          <w:sz w:val="24"/>
          <w:szCs w:val="22"/>
          <w:vertAlign w:val="subscript"/>
        </w:rPr>
        <w:t>6</w:t>
      </w:r>
      <w:r w:rsidRPr="00264752">
        <w:rPr>
          <w:rFonts w:asciiTheme="majorBidi" w:hAnsiTheme="majorBidi" w:cstheme="majorBidi"/>
          <w:sz w:val="24"/>
          <w:szCs w:val="22"/>
        </w:rPr>
        <w:t>. It is interesting to note that handmade pottery never disappear</w:t>
      </w:r>
      <w:r w:rsidR="00A23E24">
        <w:rPr>
          <w:rFonts w:asciiTheme="majorBidi" w:hAnsiTheme="majorBidi" w:cstheme="majorBidi"/>
          <w:sz w:val="24"/>
          <w:szCs w:val="22"/>
        </w:rPr>
        <w:t>ed</w:t>
      </w:r>
      <w:r w:rsidRPr="00264752">
        <w:rPr>
          <w:rFonts w:asciiTheme="majorBidi" w:hAnsiTheme="majorBidi" w:cstheme="majorBidi"/>
          <w:sz w:val="24"/>
          <w:szCs w:val="22"/>
        </w:rPr>
        <w:t xml:space="preserve"> from the Mundigak sequence and assumes a stable relative frequency similar to that found in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 xml:space="preserve"> III</w:t>
      </w:r>
      <w:r w:rsidRPr="00264752">
        <w:rPr>
          <w:rFonts w:asciiTheme="majorBidi" w:hAnsiTheme="majorBidi" w:cstheme="majorBidi"/>
          <w:sz w:val="24"/>
          <w:szCs w:val="22"/>
          <w:vertAlign w:val="subscript"/>
        </w:rPr>
        <w:t>6</w:t>
      </w:r>
      <w:r w:rsidRPr="00264752">
        <w:rPr>
          <w:rFonts w:asciiTheme="majorBidi" w:hAnsiTheme="majorBidi" w:cstheme="majorBidi"/>
          <w:sz w:val="24"/>
          <w:szCs w:val="22"/>
        </w:rPr>
        <w:t xml:space="preserve"> (15%). More important, it is during this period that the Quetta style of pottery (Quetta Ware) is found, which is similar to Geoksyur and Shahr-i Sokhta pottery,</w:t>
      </w:r>
      <w:r w:rsidR="00A23E24">
        <w:rPr>
          <w:rStyle w:val="EndnoteReference"/>
          <w:rFonts w:asciiTheme="majorBidi" w:hAnsiTheme="majorBidi" w:cstheme="majorBidi"/>
          <w:sz w:val="24"/>
          <w:szCs w:val="22"/>
        </w:rPr>
        <w:endnoteReference w:id="61"/>
      </w:r>
      <w:r w:rsidRPr="00264752">
        <w:rPr>
          <w:rFonts w:asciiTheme="majorBidi" w:hAnsiTheme="majorBidi" w:cstheme="majorBidi"/>
          <w:sz w:val="24"/>
          <w:szCs w:val="22"/>
        </w:rPr>
        <w:t xml:space="preserve"> and thus indicates connections with southern Turkmenistan, eastern Iran and northern Baluchistan.</w:t>
      </w:r>
      <w:r w:rsidRPr="00264752">
        <w:rPr>
          <w:rStyle w:val="EndnoteReference"/>
          <w:rFonts w:asciiTheme="majorBidi" w:hAnsiTheme="majorBidi" w:cstheme="majorBidi"/>
          <w:sz w:val="24"/>
          <w:szCs w:val="22"/>
        </w:rPr>
        <w:endnoteReference w:id="62"/>
      </w:r>
      <w:r w:rsidRPr="00264752">
        <w:rPr>
          <w:rFonts w:asciiTheme="majorBidi" w:hAnsiTheme="majorBidi" w:cstheme="majorBidi"/>
          <w:sz w:val="24"/>
          <w:szCs w:val="22"/>
        </w:rPr>
        <w:t xml:space="preserve"> However, the ceramic diversity found in this period</w:t>
      </w:r>
      <w:r w:rsidR="00A23E24">
        <w:rPr>
          <w:rFonts w:asciiTheme="majorBidi" w:hAnsiTheme="majorBidi" w:cstheme="majorBidi"/>
          <w:sz w:val="24"/>
          <w:szCs w:val="22"/>
        </w:rPr>
        <w:t xml:space="preserve"> </w:t>
      </w:r>
      <w:r w:rsidRPr="00264752">
        <w:rPr>
          <w:rFonts w:asciiTheme="majorBidi" w:hAnsiTheme="majorBidi" w:cstheme="majorBidi"/>
          <w:sz w:val="24"/>
          <w:szCs w:val="22"/>
        </w:rPr>
        <w:t>makes a descriptive summary of Period III ceramics difficult. To facilitate</w:t>
      </w:r>
      <w:r w:rsidRPr="00067D8A">
        <w:rPr>
          <w:rFonts w:asciiTheme="majorBidi" w:hAnsiTheme="majorBidi" w:cstheme="majorBidi"/>
          <w:sz w:val="24"/>
          <w:szCs w:val="22"/>
        </w:rPr>
        <w:t xml:space="preserve"> description and comparisons the following categories have been imposed on the data: Handmade; </w:t>
      </w:r>
      <w:r w:rsidR="00A23E24">
        <w:rPr>
          <w:rFonts w:asciiTheme="majorBidi" w:hAnsiTheme="majorBidi" w:cstheme="majorBidi"/>
          <w:sz w:val="24"/>
          <w:szCs w:val="22"/>
        </w:rPr>
        <w:t>Turned</w:t>
      </w:r>
      <w:r w:rsidRPr="00067D8A">
        <w:rPr>
          <w:rFonts w:asciiTheme="majorBidi" w:hAnsiTheme="majorBidi" w:cstheme="majorBidi"/>
          <w:sz w:val="24"/>
          <w:szCs w:val="22"/>
        </w:rPr>
        <w:t>, Undecorated and Decorated; and finally, Intrusive or Special Function.</w:t>
      </w:r>
    </w:p>
    <w:p w14:paraId="590A5628" w14:textId="77777777"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i/>
          <w:iCs/>
          <w:sz w:val="24"/>
          <w:szCs w:val="22"/>
        </w:rPr>
        <w:lastRenderedPageBreak/>
        <w:t>Period III Handmade Pottery</w:t>
      </w:r>
      <w:r w:rsidRPr="00067D8A">
        <w:rPr>
          <w:rFonts w:asciiTheme="majorBidi" w:hAnsiTheme="majorBidi" w:cstheme="majorBidi"/>
          <w:sz w:val="24"/>
          <w:szCs w:val="22"/>
        </w:rPr>
        <w:t xml:space="preserve"> (Fig. </w:t>
      </w:r>
      <w:r w:rsidR="005B52A9">
        <w:rPr>
          <w:rFonts w:asciiTheme="majorBidi" w:hAnsiTheme="majorBidi" w:cstheme="majorBidi"/>
          <w:sz w:val="24"/>
          <w:szCs w:val="22"/>
        </w:rPr>
        <w:t>4.</w:t>
      </w:r>
      <w:r w:rsidRPr="00067D8A">
        <w:rPr>
          <w:rFonts w:asciiTheme="majorBidi" w:hAnsiTheme="majorBidi" w:cstheme="majorBidi"/>
          <w:sz w:val="24"/>
          <w:szCs w:val="22"/>
        </w:rPr>
        <w:t>17 nos 1–2). The paste and vessel forms for handmade pottery remain unchanged from previous periods. The major vessel forms are: the large mouth, straight-sided globular jars; and, straight-angular walled bowls. The shallow bowl forms become more infrequent. Exterior surfaces are almost always heavily stained with carbon, indicating use near an open fire. Vessels made with the rock tempered paste quite often have a thin buff wash applied to the exterior.</w:t>
      </w:r>
    </w:p>
    <w:p w14:paraId="7C982D25" w14:textId="419B3D4A" w:rsidR="0030226C" w:rsidRPr="00264752" w:rsidRDefault="0030226C" w:rsidP="0030226C">
      <w:pPr>
        <w:pStyle w:val="BodyTextIndent"/>
        <w:rPr>
          <w:rFonts w:asciiTheme="majorBidi" w:hAnsiTheme="majorBidi" w:cstheme="majorBidi"/>
          <w:sz w:val="24"/>
          <w:szCs w:val="22"/>
        </w:rPr>
      </w:pPr>
      <w:r w:rsidRPr="00067D8A">
        <w:rPr>
          <w:rFonts w:asciiTheme="majorBidi" w:hAnsiTheme="majorBidi" w:cstheme="majorBidi"/>
          <w:i/>
          <w:iCs/>
          <w:sz w:val="24"/>
          <w:szCs w:val="22"/>
        </w:rPr>
        <w:t xml:space="preserve">Period III </w:t>
      </w:r>
      <w:r w:rsidR="00A23E24">
        <w:rPr>
          <w:rFonts w:asciiTheme="majorBidi" w:hAnsiTheme="majorBidi" w:cstheme="majorBidi"/>
          <w:i/>
          <w:iCs/>
          <w:sz w:val="24"/>
          <w:szCs w:val="22"/>
        </w:rPr>
        <w:t>Turned</w:t>
      </w:r>
      <w:r w:rsidRPr="00067D8A">
        <w:rPr>
          <w:rFonts w:asciiTheme="majorBidi" w:hAnsiTheme="majorBidi" w:cstheme="majorBidi"/>
          <w:i/>
          <w:iCs/>
          <w:sz w:val="24"/>
          <w:szCs w:val="22"/>
        </w:rPr>
        <w:t xml:space="preserve"> Pottery, Undecorated</w:t>
      </w:r>
      <w:r w:rsidRPr="00067D8A">
        <w:rPr>
          <w:rFonts w:asciiTheme="majorBidi" w:hAnsiTheme="majorBidi" w:cstheme="majorBidi"/>
          <w:sz w:val="24"/>
          <w:szCs w:val="22"/>
        </w:rPr>
        <w:t>. Undecorated wheel-made pottery was manufactured from a buff-red paste with either a self- or sand-temper.</w:t>
      </w:r>
      <w:r w:rsidRPr="00067D8A">
        <w:rPr>
          <w:rStyle w:val="EndnoteReference"/>
          <w:rFonts w:asciiTheme="majorBidi" w:hAnsiTheme="majorBidi" w:cstheme="majorBidi"/>
          <w:sz w:val="24"/>
          <w:szCs w:val="22"/>
        </w:rPr>
        <w:endnoteReference w:id="63"/>
      </w:r>
      <w:r w:rsidRPr="00067D8A">
        <w:rPr>
          <w:rFonts w:asciiTheme="majorBidi" w:hAnsiTheme="majorBidi" w:cstheme="majorBidi"/>
          <w:sz w:val="24"/>
          <w:szCs w:val="22"/>
        </w:rPr>
        <w:t xml:space="preserve"> Two variants were found, one whose surface colour is identical to the paste, and another where the surface had a thin buff wash. Globular jars with simple everted rims were found in the earliest phases and collared jars </w:t>
      </w:r>
      <w:r w:rsidRPr="00264752">
        <w:rPr>
          <w:rFonts w:asciiTheme="majorBidi" w:hAnsiTheme="majorBidi" w:cstheme="majorBidi"/>
          <w:sz w:val="24"/>
          <w:szCs w:val="22"/>
        </w:rPr>
        <w:t xml:space="preserve">appear initially in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 xml:space="preserve"> III</w:t>
      </w:r>
      <w:r w:rsidRPr="00264752">
        <w:rPr>
          <w:rFonts w:asciiTheme="majorBidi" w:hAnsiTheme="majorBidi" w:cstheme="majorBidi"/>
          <w:sz w:val="24"/>
          <w:szCs w:val="22"/>
          <w:vertAlign w:val="subscript"/>
        </w:rPr>
        <w:t>56</w:t>
      </w:r>
      <w:r w:rsidRPr="00264752">
        <w:rPr>
          <w:rFonts w:asciiTheme="majorBidi" w:hAnsiTheme="majorBidi" w:cstheme="majorBidi"/>
          <w:sz w:val="24"/>
          <w:szCs w:val="22"/>
        </w:rPr>
        <w:t xml:space="preserve">. The straight-angular walled bowl predominates between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s III</w:t>
      </w:r>
      <w:r w:rsidRPr="00264752">
        <w:rPr>
          <w:rFonts w:asciiTheme="majorBidi" w:hAnsiTheme="majorBidi" w:cstheme="majorBidi"/>
          <w:sz w:val="24"/>
          <w:szCs w:val="22"/>
          <w:vertAlign w:val="subscript"/>
        </w:rPr>
        <w:t>1–4</w:t>
      </w:r>
      <w:r w:rsidRPr="00264752">
        <w:rPr>
          <w:rFonts w:asciiTheme="majorBidi" w:hAnsiTheme="majorBidi" w:cstheme="majorBidi"/>
          <w:sz w:val="24"/>
          <w:szCs w:val="22"/>
        </w:rPr>
        <w:t xml:space="preserve">, but begins to co-vary with a S-profile wall bowl in </w:t>
      </w:r>
      <w:r w:rsidR="001E1DEF" w:rsidRPr="00264752">
        <w:rPr>
          <w:rFonts w:asciiTheme="majorBidi" w:hAnsiTheme="majorBidi" w:cstheme="majorBidi"/>
          <w:sz w:val="24"/>
          <w:szCs w:val="22"/>
        </w:rPr>
        <w:t>Sub-Period</w:t>
      </w:r>
      <w:r w:rsidRPr="00264752">
        <w:rPr>
          <w:rFonts w:asciiTheme="majorBidi" w:hAnsiTheme="majorBidi" w:cstheme="majorBidi"/>
          <w:sz w:val="24"/>
          <w:szCs w:val="22"/>
        </w:rPr>
        <w:t>s III</w:t>
      </w:r>
      <w:r w:rsidRPr="00264752">
        <w:rPr>
          <w:rFonts w:asciiTheme="majorBidi" w:hAnsiTheme="majorBidi" w:cstheme="majorBidi"/>
          <w:sz w:val="24"/>
          <w:szCs w:val="22"/>
          <w:vertAlign w:val="subscript"/>
        </w:rPr>
        <w:t>5–6</w:t>
      </w:r>
      <w:r w:rsidRPr="00264752">
        <w:rPr>
          <w:rFonts w:asciiTheme="majorBidi" w:hAnsiTheme="majorBidi" w:cstheme="majorBidi"/>
          <w:sz w:val="24"/>
          <w:szCs w:val="22"/>
        </w:rPr>
        <w:t>. It seems that a small relatively straight-sided beaker was also manufactured.</w:t>
      </w:r>
    </w:p>
    <w:p w14:paraId="7508E4DE" w14:textId="7E9EA291" w:rsidR="0030226C" w:rsidRPr="00067D8A" w:rsidRDefault="0030226C" w:rsidP="0030226C">
      <w:pPr>
        <w:pStyle w:val="BodyTextIndent"/>
        <w:rPr>
          <w:rFonts w:asciiTheme="majorBidi" w:hAnsiTheme="majorBidi" w:cstheme="majorBidi"/>
          <w:sz w:val="24"/>
          <w:szCs w:val="22"/>
        </w:rPr>
      </w:pPr>
      <w:r w:rsidRPr="00264752">
        <w:rPr>
          <w:rFonts w:asciiTheme="majorBidi" w:hAnsiTheme="majorBidi" w:cstheme="majorBidi"/>
          <w:i/>
          <w:iCs/>
          <w:sz w:val="24"/>
          <w:szCs w:val="22"/>
        </w:rPr>
        <w:t xml:space="preserve">Period III </w:t>
      </w:r>
      <w:r w:rsidR="00583C6B">
        <w:rPr>
          <w:rFonts w:asciiTheme="majorBidi" w:hAnsiTheme="majorBidi" w:cstheme="majorBidi"/>
          <w:i/>
          <w:iCs/>
          <w:sz w:val="24"/>
          <w:szCs w:val="22"/>
        </w:rPr>
        <w:t>Turned</w:t>
      </w:r>
      <w:r w:rsidRPr="00264752">
        <w:rPr>
          <w:rFonts w:asciiTheme="majorBidi" w:hAnsiTheme="majorBidi" w:cstheme="majorBidi"/>
          <w:i/>
          <w:iCs/>
          <w:sz w:val="24"/>
          <w:szCs w:val="22"/>
        </w:rPr>
        <w:t xml:space="preserve"> Pottery, Decorated</w:t>
      </w:r>
      <w:r w:rsidRPr="00264752">
        <w:rPr>
          <w:rFonts w:asciiTheme="majorBidi" w:hAnsiTheme="majorBidi" w:cstheme="majorBidi"/>
          <w:sz w:val="24"/>
          <w:szCs w:val="22"/>
        </w:rPr>
        <w:t xml:space="preserve"> (Figs </w:t>
      </w:r>
      <w:r w:rsidR="005B52A9" w:rsidRPr="00264752">
        <w:rPr>
          <w:rFonts w:asciiTheme="majorBidi" w:hAnsiTheme="majorBidi" w:cstheme="majorBidi"/>
          <w:sz w:val="24"/>
          <w:szCs w:val="22"/>
        </w:rPr>
        <w:t>4.</w:t>
      </w:r>
      <w:r w:rsidRPr="00264752">
        <w:rPr>
          <w:rFonts w:asciiTheme="majorBidi" w:hAnsiTheme="majorBidi" w:cstheme="majorBidi"/>
          <w:sz w:val="24"/>
          <w:szCs w:val="22"/>
        </w:rPr>
        <w:t xml:space="preserve">17 nos 3–12; </w:t>
      </w:r>
      <w:r w:rsidR="005B52A9" w:rsidRPr="00264752">
        <w:rPr>
          <w:rFonts w:asciiTheme="majorBidi" w:hAnsiTheme="majorBidi" w:cstheme="majorBidi"/>
          <w:sz w:val="24"/>
          <w:szCs w:val="22"/>
        </w:rPr>
        <w:t>4.</w:t>
      </w:r>
      <w:r w:rsidRPr="00264752">
        <w:rPr>
          <w:rFonts w:asciiTheme="majorBidi" w:hAnsiTheme="majorBidi" w:cstheme="majorBidi"/>
          <w:sz w:val="24"/>
          <w:szCs w:val="22"/>
        </w:rPr>
        <w:t xml:space="preserve">18). The vast majority of decorated </w:t>
      </w:r>
      <w:r w:rsidR="00583C6B">
        <w:rPr>
          <w:rFonts w:asciiTheme="majorBidi" w:hAnsiTheme="majorBidi" w:cstheme="majorBidi"/>
          <w:sz w:val="24"/>
          <w:szCs w:val="22"/>
        </w:rPr>
        <w:t>turned</w:t>
      </w:r>
      <w:r w:rsidRPr="00264752">
        <w:rPr>
          <w:rFonts w:asciiTheme="majorBidi" w:hAnsiTheme="majorBidi" w:cstheme="majorBidi"/>
          <w:sz w:val="24"/>
          <w:szCs w:val="22"/>
        </w:rPr>
        <w:t xml:space="preserve"> pottery is of a single</w:t>
      </w:r>
      <w:r w:rsidRPr="00067D8A">
        <w:rPr>
          <w:rFonts w:asciiTheme="majorBidi" w:hAnsiTheme="majorBidi" w:cstheme="majorBidi"/>
          <w:sz w:val="24"/>
          <w:szCs w:val="22"/>
        </w:rPr>
        <w:t xml:space="preserve"> basic type with two variants. Both variants have a buff-red paste with self- or sand-tempering. The major difference is that one has its surface coated with a very thin white translucent wash or no wash at all, while the other’s surfaces are coated with a cream-buff opaque wash.</w:t>
      </w:r>
      <w:r w:rsidRPr="00067D8A">
        <w:rPr>
          <w:rStyle w:val="EndnoteReference"/>
          <w:rFonts w:asciiTheme="majorBidi" w:hAnsiTheme="majorBidi" w:cstheme="majorBidi"/>
          <w:sz w:val="24"/>
          <w:szCs w:val="22"/>
        </w:rPr>
        <w:endnoteReference w:id="64"/>
      </w:r>
      <w:r w:rsidRPr="00067D8A">
        <w:rPr>
          <w:rFonts w:asciiTheme="majorBidi" w:hAnsiTheme="majorBidi" w:cstheme="majorBidi"/>
          <w:sz w:val="24"/>
          <w:szCs w:val="22"/>
        </w:rPr>
        <w:t xml:space="preserve"> At present it is impossible to determine if these variants were the result of conscious production or merely firing, paste, or other variables, which were allowed to fluctuate because of their cultural insignificance. Identical vessel forms and vessel form changes as found among undecorated pottery are delineated among the decorated pottery, but there is higher frequency of ring and pedestal based </w:t>
      </w:r>
      <w:r w:rsidRPr="003B23F3">
        <w:rPr>
          <w:rFonts w:asciiTheme="majorBidi" w:hAnsiTheme="majorBidi" w:cstheme="majorBidi"/>
          <w:sz w:val="24"/>
          <w:szCs w:val="22"/>
        </w:rPr>
        <w:t xml:space="preserve">bowls among decorated pottery. Black or red motifs are almost exclusively geometric until </w:t>
      </w:r>
      <w:r w:rsidR="001E1DEF" w:rsidRPr="003B23F3">
        <w:rPr>
          <w:rFonts w:asciiTheme="majorBidi" w:hAnsiTheme="majorBidi" w:cstheme="majorBidi"/>
          <w:sz w:val="24"/>
          <w:szCs w:val="22"/>
        </w:rPr>
        <w:t>Sub-Period</w:t>
      </w:r>
      <w:r w:rsidRPr="00067D8A">
        <w:rPr>
          <w:rFonts w:asciiTheme="majorBidi" w:hAnsiTheme="majorBidi" w:cstheme="majorBidi"/>
          <w:sz w:val="24"/>
          <w:szCs w:val="22"/>
        </w:rPr>
        <w:t xml:space="preserve"> III</w:t>
      </w:r>
      <w:r w:rsidRPr="00067D8A">
        <w:rPr>
          <w:rFonts w:asciiTheme="majorBidi" w:hAnsiTheme="majorBidi" w:cstheme="majorBidi"/>
          <w:sz w:val="24"/>
          <w:szCs w:val="22"/>
          <w:vertAlign w:val="subscript"/>
        </w:rPr>
        <w:t>6</w:t>
      </w:r>
      <w:r w:rsidRPr="00067D8A">
        <w:rPr>
          <w:rFonts w:asciiTheme="majorBidi" w:hAnsiTheme="majorBidi" w:cstheme="majorBidi"/>
          <w:sz w:val="24"/>
          <w:szCs w:val="22"/>
        </w:rPr>
        <w:t xml:space="preserve"> when what appear to be plant motifs are identified (palm fronds/pipal leaves or a stylised leaf). Particularly popular </w:t>
      </w:r>
      <w:r w:rsidRPr="00067D8A">
        <w:rPr>
          <w:rFonts w:asciiTheme="majorBidi" w:hAnsiTheme="majorBidi" w:cstheme="majorBidi"/>
          <w:sz w:val="24"/>
          <w:szCs w:val="22"/>
        </w:rPr>
        <w:lastRenderedPageBreak/>
        <w:t>motifs include: festoons; festoons and horizontal, vertical or zigzag lines; horizontal and vertical zigzag lines; open panels formed by multiple lines; and, more rarely stepped triangles and unaligned stars or undulating lines. The open spaces within these motifs were commonly filled with hachures, undulating lines, and rarely cross-hachures. Motifs often divided the vessel into thirds or quarters and, in the case of bowls, incorporated large open areas into the overall design. Often, however, decoration was confined to a few horizontal bands around the vessel rim.</w:t>
      </w:r>
    </w:p>
    <w:p w14:paraId="7140FF5F" w14:textId="3076146B"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An important, but infrequent (less than 10%), type of decorated pottery which appears first in </w:t>
      </w:r>
      <w:r w:rsidR="001E1DEF" w:rsidRPr="003B23F3">
        <w:rPr>
          <w:rFonts w:asciiTheme="majorBidi" w:hAnsiTheme="majorBidi" w:cstheme="majorBidi"/>
          <w:sz w:val="24"/>
          <w:szCs w:val="22"/>
        </w:rPr>
        <w:t>Sub-Period</w:t>
      </w:r>
      <w:r w:rsidRPr="00067D8A">
        <w:rPr>
          <w:rFonts w:asciiTheme="majorBidi" w:hAnsiTheme="majorBidi" w:cstheme="majorBidi"/>
          <w:sz w:val="24"/>
          <w:szCs w:val="22"/>
        </w:rPr>
        <w:t xml:space="preserve"> III</w:t>
      </w:r>
      <w:r w:rsidRPr="00067D8A">
        <w:rPr>
          <w:rFonts w:asciiTheme="majorBidi" w:hAnsiTheme="majorBidi" w:cstheme="majorBidi"/>
          <w:sz w:val="24"/>
          <w:szCs w:val="22"/>
          <w:vertAlign w:val="subscript"/>
        </w:rPr>
        <w:t>1</w:t>
      </w:r>
      <w:r w:rsidRPr="00067D8A">
        <w:rPr>
          <w:rFonts w:asciiTheme="majorBidi" w:hAnsiTheme="majorBidi" w:cstheme="majorBidi"/>
          <w:sz w:val="24"/>
          <w:szCs w:val="22"/>
        </w:rPr>
        <w:t xml:space="preserve"> and occurs with increasing frequency throughout the Period III is Quetta Ware (Figs </w:t>
      </w:r>
      <w:r w:rsidR="005B52A9">
        <w:rPr>
          <w:rFonts w:asciiTheme="majorBidi" w:hAnsiTheme="majorBidi" w:cstheme="majorBidi"/>
          <w:sz w:val="24"/>
          <w:szCs w:val="22"/>
        </w:rPr>
        <w:t>4.</w:t>
      </w:r>
      <w:r w:rsidRPr="00067D8A">
        <w:rPr>
          <w:rFonts w:asciiTheme="majorBidi" w:hAnsiTheme="majorBidi" w:cstheme="majorBidi"/>
          <w:sz w:val="24"/>
          <w:szCs w:val="22"/>
        </w:rPr>
        <w:t xml:space="preserve">19, </w:t>
      </w:r>
      <w:r w:rsidR="005B52A9">
        <w:rPr>
          <w:rFonts w:asciiTheme="majorBidi" w:hAnsiTheme="majorBidi" w:cstheme="majorBidi"/>
          <w:sz w:val="24"/>
          <w:szCs w:val="22"/>
        </w:rPr>
        <w:t>4.</w:t>
      </w:r>
      <w:r w:rsidRPr="00067D8A">
        <w:rPr>
          <w:rFonts w:asciiTheme="majorBidi" w:hAnsiTheme="majorBidi" w:cstheme="majorBidi"/>
          <w:sz w:val="24"/>
          <w:szCs w:val="22"/>
        </w:rPr>
        <w:t>20).</w:t>
      </w:r>
      <w:r w:rsidRPr="00067D8A">
        <w:rPr>
          <w:rStyle w:val="EndnoteReference"/>
          <w:rFonts w:asciiTheme="majorBidi" w:hAnsiTheme="majorBidi" w:cstheme="majorBidi"/>
          <w:sz w:val="24"/>
          <w:szCs w:val="22"/>
        </w:rPr>
        <w:endnoteReference w:id="65"/>
      </w:r>
      <w:r w:rsidRPr="00067D8A">
        <w:rPr>
          <w:rFonts w:asciiTheme="majorBidi" w:hAnsiTheme="majorBidi" w:cstheme="majorBidi"/>
          <w:sz w:val="24"/>
          <w:szCs w:val="22"/>
        </w:rPr>
        <w:t xml:space="preserve"> Its paste colour is generally buff (although a light red is not uncommon) and it has a self- or sand-temper. The surfaces are coated with a thick to thin buff slip</w:t>
      </w:r>
      <w:r w:rsidRPr="00067D8A">
        <w:rPr>
          <w:rStyle w:val="EndnoteReference"/>
          <w:rFonts w:asciiTheme="majorBidi" w:hAnsiTheme="majorBidi" w:cstheme="majorBidi"/>
          <w:sz w:val="24"/>
          <w:szCs w:val="22"/>
        </w:rPr>
        <w:endnoteReference w:id="66"/>
      </w:r>
      <w:r w:rsidRPr="00067D8A">
        <w:rPr>
          <w:rFonts w:asciiTheme="majorBidi" w:hAnsiTheme="majorBidi" w:cstheme="majorBidi"/>
          <w:sz w:val="24"/>
          <w:szCs w:val="22"/>
        </w:rPr>
        <w:t xml:space="preserve"> which ranges in colour from white to cream and occasionally has a grey, or even greenish, colour resulting from either primary or secondary firing. The primary vessel forms seem to be beakers and to a much lesser extent bowls and jars. However, the most distinctive trait of this pottery is its motifs. The black, and more rarely red, motifs are entirely geometric, </w:t>
      </w:r>
      <w:r w:rsidR="003B23F3">
        <w:rPr>
          <w:rFonts w:asciiTheme="majorBidi" w:hAnsiTheme="majorBidi" w:cstheme="majorBidi"/>
          <w:sz w:val="24"/>
          <w:szCs w:val="22"/>
        </w:rPr>
        <w:t>and</w:t>
      </w:r>
      <w:r w:rsidR="003B23F3" w:rsidRPr="00067D8A">
        <w:rPr>
          <w:rFonts w:asciiTheme="majorBidi" w:hAnsiTheme="majorBidi" w:cstheme="majorBidi"/>
          <w:sz w:val="24"/>
          <w:szCs w:val="22"/>
        </w:rPr>
        <w:t xml:space="preserve"> </w:t>
      </w:r>
      <w:r w:rsidRPr="00067D8A">
        <w:rPr>
          <w:rFonts w:asciiTheme="majorBidi" w:hAnsiTheme="majorBidi" w:cstheme="majorBidi"/>
          <w:sz w:val="24"/>
          <w:szCs w:val="22"/>
        </w:rPr>
        <w:t>Casal and others distinguish</w:t>
      </w:r>
      <w:r w:rsidR="003B23F3">
        <w:rPr>
          <w:rFonts w:asciiTheme="majorBidi" w:hAnsiTheme="majorBidi" w:cstheme="majorBidi"/>
          <w:sz w:val="24"/>
          <w:szCs w:val="22"/>
        </w:rPr>
        <w:t>ed</w:t>
      </w:r>
      <w:r w:rsidRPr="00067D8A">
        <w:rPr>
          <w:rFonts w:asciiTheme="majorBidi" w:hAnsiTheme="majorBidi" w:cstheme="majorBidi"/>
          <w:sz w:val="24"/>
          <w:szCs w:val="22"/>
        </w:rPr>
        <w:t xml:space="preserve"> two variants based upon differing emphasis on either solid or linear motifs. The solid variant (Fig. </w:t>
      </w:r>
      <w:r w:rsidR="005B52A9">
        <w:rPr>
          <w:rFonts w:asciiTheme="majorBidi" w:hAnsiTheme="majorBidi" w:cstheme="majorBidi"/>
          <w:sz w:val="24"/>
          <w:szCs w:val="22"/>
        </w:rPr>
        <w:t>4.</w:t>
      </w:r>
      <w:r w:rsidRPr="00067D8A">
        <w:rPr>
          <w:rFonts w:asciiTheme="majorBidi" w:hAnsiTheme="majorBidi" w:cstheme="majorBidi"/>
          <w:sz w:val="24"/>
          <w:szCs w:val="22"/>
        </w:rPr>
        <w:t xml:space="preserve">19) emphasises solid geometric motifs to the extent of sometimes producing a negative effect. Common motifs of this variant are: stepped triangles; triangles; opposing triangles; diamonds with an internal square and black dot; checkerboard diamonds; and, light coloured ellipses and crosses from by, or surrounded by, stepped triangles. The linear variety (Fig. </w:t>
      </w:r>
      <w:r w:rsidR="005B52A9">
        <w:rPr>
          <w:rFonts w:asciiTheme="majorBidi" w:hAnsiTheme="majorBidi" w:cstheme="majorBidi"/>
          <w:sz w:val="24"/>
          <w:szCs w:val="22"/>
        </w:rPr>
        <w:t>4.</w:t>
      </w:r>
      <w:r w:rsidRPr="00067D8A">
        <w:rPr>
          <w:rFonts w:asciiTheme="majorBidi" w:hAnsiTheme="majorBidi" w:cstheme="majorBidi"/>
          <w:sz w:val="24"/>
          <w:szCs w:val="22"/>
        </w:rPr>
        <w:t>20) is characterised by closely set thick lines forming opposing stepped triangles, parallel zigzag lines, and parallel zigzag lines infilled with crosshatching. In both variants, the motifs are executed in a single horizontal band near the rim which is sometimes divided into panels. As noted above, Quetta Ware demonstrates a generic similarity to other Mundigak ceramics</w:t>
      </w:r>
      <w:r w:rsidR="003B23F3">
        <w:rPr>
          <w:rFonts w:asciiTheme="majorBidi" w:hAnsiTheme="majorBidi" w:cstheme="majorBidi"/>
          <w:sz w:val="24"/>
          <w:szCs w:val="22"/>
        </w:rPr>
        <w:t>, but is also related to</w:t>
      </w:r>
      <w:r w:rsidRPr="00067D8A">
        <w:rPr>
          <w:rFonts w:asciiTheme="majorBidi" w:hAnsiTheme="majorBidi" w:cstheme="majorBidi"/>
          <w:sz w:val="24"/>
          <w:szCs w:val="22"/>
        </w:rPr>
        <w:t xml:space="preserve"> Geoksyur and Shahr-i Sokhta pottery.</w:t>
      </w:r>
      <w:r w:rsidRPr="00067D8A">
        <w:rPr>
          <w:rStyle w:val="EndnoteReference"/>
          <w:rFonts w:asciiTheme="majorBidi" w:hAnsiTheme="majorBidi" w:cstheme="majorBidi"/>
          <w:sz w:val="24"/>
          <w:szCs w:val="22"/>
        </w:rPr>
        <w:endnoteReference w:id="67"/>
      </w:r>
    </w:p>
    <w:p w14:paraId="6591E0E9" w14:textId="2BCA7DA3"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i/>
          <w:iCs/>
          <w:sz w:val="24"/>
          <w:szCs w:val="22"/>
        </w:rPr>
        <w:lastRenderedPageBreak/>
        <w:t xml:space="preserve">Period III </w:t>
      </w:r>
      <w:r w:rsidR="003B23F3">
        <w:rPr>
          <w:rFonts w:asciiTheme="majorBidi" w:hAnsiTheme="majorBidi" w:cstheme="majorBidi"/>
          <w:i/>
          <w:iCs/>
          <w:sz w:val="24"/>
          <w:szCs w:val="22"/>
        </w:rPr>
        <w:t>Turned</w:t>
      </w:r>
      <w:r w:rsidRPr="00067D8A">
        <w:rPr>
          <w:rFonts w:asciiTheme="majorBidi" w:hAnsiTheme="majorBidi" w:cstheme="majorBidi"/>
          <w:i/>
          <w:iCs/>
          <w:sz w:val="24"/>
          <w:szCs w:val="22"/>
        </w:rPr>
        <w:t xml:space="preserve"> Pottery, Intrusive or Special Function.</w:t>
      </w:r>
      <w:r w:rsidRPr="00067D8A">
        <w:rPr>
          <w:rFonts w:asciiTheme="majorBidi" w:hAnsiTheme="majorBidi" w:cstheme="majorBidi"/>
          <w:sz w:val="24"/>
          <w:szCs w:val="22"/>
        </w:rPr>
        <w:t xml:space="preserve"> Included in this category are those ceramics which because of their rarity or aberrant motifs and/or vessel form indicate that they are intended for limited/special functions or represent foreign imports (Fig. </w:t>
      </w:r>
      <w:r w:rsidR="005B52A9">
        <w:rPr>
          <w:rFonts w:asciiTheme="majorBidi" w:hAnsiTheme="majorBidi" w:cstheme="majorBidi"/>
          <w:sz w:val="24"/>
          <w:szCs w:val="22"/>
        </w:rPr>
        <w:t>4.</w:t>
      </w:r>
      <w:r w:rsidRPr="00067D8A">
        <w:rPr>
          <w:rFonts w:asciiTheme="majorBidi" w:hAnsiTheme="majorBidi" w:cstheme="majorBidi"/>
          <w:sz w:val="24"/>
          <w:szCs w:val="22"/>
        </w:rPr>
        <w:t xml:space="preserve">21). Amri (in Sind) style bichromes, identified for the first time in Period I, are found in small quantities throughout Period III (Fig. </w:t>
      </w:r>
      <w:r w:rsidR="005B52A9">
        <w:rPr>
          <w:rFonts w:asciiTheme="majorBidi" w:hAnsiTheme="majorBidi" w:cstheme="majorBidi"/>
          <w:sz w:val="24"/>
          <w:szCs w:val="22"/>
        </w:rPr>
        <w:t>4.</w:t>
      </w:r>
      <w:r w:rsidRPr="00067D8A">
        <w:rPr>
          <w:rFonts w:asciiTheme="majorBidi" w:hAnsiTheme="majorBidi" w:cstheme="majorBidi"/>
          <w:sz w:val="24"/>
          <w:szCs w:val="22"/>
        </w:rPr>
        <w:t xml:space="preserve">21, nos 1–5). Of particular importance was the location of a double-rim </w:t>
      </w:r>
      <w:r w:rsidRPr="003B23F3">
        <w:rPr>
          <w:rFonts w:asciiTheme="majorBidi" w:hAnsiTheme="majorBidi" w:cstheme="majorBidi"/>
          <w:sz w:val="24"/>
          <w:szCs w:val="22"/>
        </w:rPr>
        <w:t xml:space="preserve">white slipped Amri vessel in </w:t>
      </w:r>
      <w:r w:rsidR="001E1DEF" w:rsidRPr="003B23F3">
        <w:rPr>
          <w:rFonts w:asciiTheme="majorBidi" w:hAnsiTheme="majorBidi" w:cstheme="majorBidi"/>
          <w:sz w:val="24"/>
          <w:szCs w:val="22"/>
        </w:rPr>
        <w:t>Sub-Period</w:t>
      </w:r>
      <w:r w:rsidRPr="003B23F3">
        <w:rPr>
          <w:rFonts w:asciiTheme="majorBidi" w:hAnsiTheme="majorBidi" w:cstheme="majorBidi"/>
          <w:sz w:val="24"/>
          <w:szCs w:val="22"/>
        </w:rPr>
        <w:t xml:space="preserve"> III</w:t>
      </w:r>
      <w:r w:rsidRPr="003B23F3">
        <w:rPr>
          <w:rFonts w:asciiTheme="majorBidi" w:hAnsiTheme="majorBidi" w:cstheme="majorBidi"/>
          <w:sz w:val="24"/>
          <w:szCs w:val="22"/>
          <w:vertAlign w:val="subscript"/>
        </w:rPr>
        <w:t>4</w:t>
      </w:r>
      <w:r w:rsidRPr="003B23F3">
        <w:rPr>
          <w:rFonts w:asciiTheme="majorBidi" w:hAnsiTheme="majorBidi" w:cstheme="majorBidi"/>
          <w:sz w:val="24"/>
          <w:szCs w:val="22"/>
        </w:rPr>
        <w:t xml:space="preserve"> (Fig. </w:t>
      </w:r>
      <w:r w:rsidR="005B52A9" w:rsidRPr="003B23F3">
        <w:rPr>
          <w:rFonts w:asciiTheme="majorBidi" w:hAnsiTheme="majorBidi" w:cstheme="majorBidi"/>
          <w:sz w:val="24"/>
          <w:szCs w:val="22"/>
        </w:rPr>
        <w:t>4.</w:t>
      </w:r>
      <w:r w:rsidRPr="003B23F3">
        <w:rPr>
          <w:rFonts w:asciiTheme="majorBidi" w:hAnsiTheme="majorBidi" w:cstheme="majorBidi"/>
          <w:sz w:val="24"/>
          <w:szCs w:val="22"/>
        </w:rPr>
        <w:t xml:space="preserve">21, no. 12). Also found in </w:t>
      </w:r>
      <w:r w:rsidR="001E1DEF" w:rsidRPr="003B23F3">
        <w:rPr>
          <w:rFonts w:asciiTheme="majorBidi" w:hAnsiTheme="majorBidi" w:cstheme="majorBidi"/>
          <w:sz w:val="24"/>
          <w:szCs w:val="22"/>
        </w:rPr>
        <w:t>Sub-Period</w:t>
      </w:r>
      <w:r w:rsidRPr="003B23F3">
        <w:rPr>
          <w:rFonts w:asciiTheme="majorBidi" w:hAnsiTheme="majorBidi" w:cstheme="majorBidi"/>
          <w:sz w:val="24"/>
          <w:szCs w:val="22"/>
        </w:rPr>
        <w:t xml:space="preserve"> III</w:t>
      </w:r>
      <w:r w:rsidRPr="003B23F3">
        <w:rPr>
          <w:rFonts w:asciiTheme="majorBidi" w:hAnsiTheme="majorBidi" w:cstheme="majorBidi"/>
          <w:sz w:val="24"/>
          <w:szCs w:val="22"/>
          <w:vertAlign w:val="subscript"/>
        </w:rPr>
        <w:t>4</w:t>
      </w:r>
      <w:r w:rsidRPr="003B23F3">
        <w:rPr>
          <w:rFonts w:asciiTheme="majorBidi" w:hAnsiTheme="majorBidi" w:cstheme="majorBidi"/>
          <w:sz w:val="24"/>
          <w:szCs w:val="22"/>
        </w:rPr>
        <w:t xml:space="preserve"> were sherds decorated in the style of Amri or Nal (central Baluchistan) bi- or polychromes (Fig. </w:t>
      </w:r>
      <w:r w:rsidR="005B52A9" w:rsidRPr="003B23F3">
        <w:rPr>
          <w:rFonts w:asciiTheme="majorBidi" w:hAnsiTheme="majorBidi" w:cstheme="majorBidi"/>
          <w:sz w:val="24"/>
          <w:szCs w:val="22"/>
        </w:rPr>
        <w:t>4.</w:t>
      </w:r>
      <w:r w:rsidRPr="003B23F3">
        <w:rPr>
          <w:rFonts w:asciiTheme="majorBidi" w:hAnsiTheme="majorBidi" w:cstheme="majorBidi"/>
          <w:sz w:val="24"/>
          <w:szCs w:val="22"/>
        </w:rPr>
        <w:t xml:space="preserve">21, nos 6–8). These sherds had large black geometric motifs infilled with different colours (yellow, red-orange and white). Another important sherd from </w:t>
      </w:r>
      <w:r w:rsidR="001E1DEF" w:rsidRPr="003B23F3">
        <w:rPr>
          <w:rFonts w:asciiTheme="majorBidi" w:hAnsiTheme="majorBidi" w:cstheme="majorBidi"/>
          <w:sz w:val="24"/>
          <w:szCs w:val="22"/>
        </w:rPr>
        <w:t>Sub-Period</w:t>
      </w:r>
      <w:r w:rsidRPr="003B23F3">
        <w:rPr>
          <w:rFonts w:asciiTheme="majorBidi" w:hAnsiTheme="majorBidi" w:cstheme="majorBidi"/>
          <w:sz w:val="24"/>
          <w:szCs w:val="22"/>
        </w:rPr>
        <w:t xml:space="preserve"> III</w:t>
      </w:r>
      <w:r w:rsidRPr="003B23F3">
        <w:rPr>
          <w:rFonts w:asciiTheme="majorBidi" w:hAnsiTheme="majorBidi" w:cstheme="majorBidi"/>
          <w:sz w:val="24"/>
          <w:szCs w:val="22"/>
          <w:vertAlign w:val="subscript"/>
        </w:rPr>
        <w:t>4</w:t>
      </w:r>
      <w:r w:rsidRPr="003B23F3">
        <w:rPr>
          <w:rFonts w:asciiTheme="majorBidi" w:hAnsiTheme="majorBidi" w:cstheme="majorBidi"/>
          <w:sz w:val="24"/>
          <w:szCs w:val="22"/>
        </w:rPr>
        <w:t xml:space="preserve"> has a very dense buff paste with an excellently executed pipal leaf motif (Fig. </w:t>
      </w:r>
      <w:r w:rsidR="005B52A9" w:rsidRPr="003B23F3">
        <w:rPr>
          <w:rFonts w:asciiTheme="majorBidi" w:hAnsiTheme="majorBidi" w:cstheme="majorBidi"/>
          <w:sz w:val="24"/>
          <w:szCs w:val="22"/>
        </w:rPr>
        <w:t>4.</w:t>
      </w:r>
      <w:r w:rsidRPr="003B23F3">
        <w:rPr>
          <w:rFonts w:asciiTheme="majorBidi" w:hAnsiTheme="majorBidi" w:cstheme="majorBidi"/>
          <w:sz w:val="24"/>
          <w:szCs w:val="22"/>
        </w:rPr>
        <w:t>21, no. 10) in the style of Faiz Mohammad-type pottery from the Quetta valley.</w:t>
      </w:r>
      <w:r w:rsidRPr="003B23F3">
        <w:rPr>
          <w:rStyle w:val="EndnoteReference"/>
          <w:rFonts w:asciiTheme="majorBidi" w:hAnsiTheme="majorBidi" w:cstheme="majorBidi"/>
          <w:sz w:val="24"/>
          <w:szCs w:val="22"/>
        </w:rPr>
        <w:endnoteReference w:id="68"/>
      </w:r>
      <w:r w:rsidRPr="003B23F3">
        <w:rPr>
          <w:rFonts w:asciiTheme="majorBidi" w:hAnsiTheme="majorBidi" w:cstheme="majorBidi"/>
          <w:sz w:val="24"/>
          <w:szCs w:val="22"/>
        </w:rPr>
        <w:t xml:space="preserve"> Finally, from </w:t>
      </w:r>
      <w:r w:rsidR="001E1DEF" w:rsidRPr="003B23F3">
        <w:rPr>
          <w:rFonts w:asciiTheme="majorBidi" w:hAnsiTheme="majorBidi" w:cstheme="majorBidi"/>
          <w:sz w:val="24"/>
          <w:szCs w:val="22"/>
        </w:rPr>
        <w:t>Sub-Period</w:t>
      </w:r>
      <w:r w:rsidRPr="003B23F3">
        <w:rPr>
          <w:rFonts w:asciiTheme="majorBidi" w:hAnsiTheme="majorBidi" w:cstheme="majorBidi"/>
          <w:sz w:val="24"/>
          <w:szCs w:val="22"/>
        </w:rPr>
        <w:t xml:space="preserve"> III</w:t>
      </w:r>
      <w:r w:rsidRPr="003B23F3">
        <w:rPr>
          <w:rFonts w:asciiTheme="majorBidi" w:hAnsiTheme="majorBidi" w:cstheme="majorBidi"/>
          <w:sz w:val="24"/>
          <w:szCs w:val="22"/>
          <w:vertAlign w:val="subscript"/>
        </w:rPr>
        <w:t>5</w:t>
      </w:r>
      <w:r w:rsidRPr="003B23F3">
        <w:rPr>
          <w:rFonts w:asciiTheme="majorBidi" w:hAnsiTheme="majorBidi" w:cstheme="majorBidi"/>
          <w:sz w:val="24"/>
          <w:szCs w:val="22"/>
        </w:rPr>
        <w:t xml:space="preserve"> several sherds from a vessel with a large horizontal brown band near the rim resembling</w:t>
      </w:r>
      <w:r w:rsidRPr="00067D8A">
        <w:rPr>
          <w:rFonts w:asciiTheme="majorBidi" w:hAnsiTheme="majorBidi" w:cstheme="majorBidi"/>
          <w:sz w:val="24"/>
          <w:szCs w:val="22"/>
        </w:rPr>
        <w:t xml:space="preserve"> closely the Kot Dijian pottery from the Indus region (Fig. </w:t>
      </w:r>
      <w:r w:rsidR="005B52A9">
        <w:rPr>
          <w:rFonts w:asciiTheme="majorBidi" w:hAnsiTheme="majorBidi" w:cstheme="majorBidi"/>
          <w:sz w:val="24"/>
          <w:szCs w:val="22"/>
        </w:rPr>
        <w:t>4.</w:t>
      </w:r>
      <w:r w:rsidRPr="00067D8A">
        <w:rPr>
          <w:rFonts w:asciiTheme="majorBidi" w:hAnsiTheme="majorBidi" w:cstheme="majorBidi"/>
          <w:sz w:val="24"/>
          <w:szCs w:val="22"/>
        </w:rPr>
        <w:t>21, no. 9).</w:t>
      </w:r>
    </w:p>
    <w:p w14:paraId="286E3F29" w14:textId="1242977B"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The ceramics from Period IV (Figs </w:t>
      </w:r>
      <w:r w:rsidR="005B52A9">
        <w:rPr>
          <w:rFonts w:asciiTheme="majorBidi" w:hAnsiTheme="majorBidi" w:cstheme="majorBidi"/>
          <w:sz w:val="24"/>
          <w:szCs w:val="22"/>
        </w:rPr>
        <w:t>4.</w:t>
      </w:r>
      <w:r w:rsidRPr="00067D8A">
        <w:rPr>
          <w:rFonts w:asciiTheme="majorBidi" w:hAnsiTheme="majorBidi" w:cstheme="majorBidi"/>
          <w:sz w:val="24"/>
          <w:szCs w:val="22"/>
        </w:rPr>
        <w:t>22–</w:t>
      </w:r>
      <w:r w:rsidR="005B52A9">
        <w:rPr>
          <w:rFonts w:asciiTheme="majorBidi" w:hAnsiTheme="majorBidi" w:cstheme="majorBidi"/>
          <w:sz w:val="24"/>
          <w:szCs w:val="22"/>
        </w:rPr>
        <w:t>4.</w:t>
      </w:r>
      <w:r w:rsidRPr="00067D8A">
        <w:rPr>
          <w:rFonts w:asciiTheme="majorBidi" w:hAnsiTheme="majorBidi" w:cstheme="majorBidi"/>
          <w:sz w:val="24"/>
          <w:szCs w:val="22"/>
        </w:rPr>
        <w:t>32) are marked by several changes in vessel forms, motifs, the appearance of a new red paste</w:t>
      </w:r>
      <w:r w:rsidR="003B23F3">
        <w:rPr>
          <w:rFonts w:asciiTheme="majorBidi" w:hAnsiTheme="majorBidi" w:cstheme="majorBidi"/>
          <w:sz w:val="24"/>
          <w:szCs w:val="22"/>
        </w:rPr>
        <w:t>,</w:t>
      </w:r>
      <w:r w:rsidRPr="00067D8A">
        <w:rPr>
          <w:rFonts w:asciiTheme="majorBidi" w:hAnsiTheme="majorBidi" w:cstheme="majorBidi"/>
          <w:sz w:val="24"/>
          <w:szCs w:val="22"/>
        </w:rPr>
        <w:t xml:space="preserve"> and the disappearance of Quetta Ware. Among the </w:t>
      </w:r>
      <w:r w:rsidR="003B23F3">
        <w:rPr>
          <w:rFonts w:asciiTheme="majorBidi" w:hAnsiTheme="majorBidi" w:cstheme="majorBidi"/>
          <w:sz w:val="24"/>
          <w:szCs w:val="22"/>
        </w:rPr>
        <w:t>turned</w:t>
      </w:r>
      <w:r w:rsidRPr="00067D8A">
        <w:rPr>
          <w:rFonts w:asciiTheme="majorBidi" w:hAnsiTheme="majorBidi" w:cstheme="majorBidi"/>
          <w:sz w:val="24"/>
          <w:szCs w:val="22"/>
        </w:rPr>
        <w:t xml:space="preserve"> pottery a true red paste increases in frequency at the expense of the previous buff-red paste. This transition in ceramic paste colours is potentially related to the new types of large ovens (‘kilns’) also associated with Period IV, though the red paste pottery is also characterised by an increasing utilization of a red slip decorated with distinctive, but related, black motifs. There is also an increased frequency and variety of limited or special function pottery.</w:t>
      </w:r>
    </w:p>
    <w:p w14:paraId="2879CCAE" w14:textId="1FBA052E"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i/>
          <w:iCs/>
          <w:sz w:val="24"/>
          <w:szCs w:val="22"/>
        </w:rPr>
        <w:t>Period IV, Handmade Pottery.</w:t>
      </w:r>
      <w:r w:rsidRPr="00067D8A">
        <w:rPr>
          <w:rFonts w:asciiTheme="majorBidi" w:hAnsiTheme="majorBidi" w:cstheme="majorBidi"/>
          <w:sz w:val="24"/>
          <w:szCs w:val="22"/>
        </w:rPr>
        <w:t xml:space="preserve"> Casal commented that handmade pottery becomes rare during Period IV. However, examination of the Mundigak pottery at the National Museum in Kabul in the 1970s indicated that it was still present in some frequency. Moreover, Casal’s </w:t>
      </w:r>
      <w:r w:rsidRPr="00067D8A">
        <w:rPr>
          <w:rFonts w:asciiTheme="majorBidi" w:hAnsiTheme="majorBidi" w:cstheme="majorBidi"/>
          <w:sz w:val="24"/>
          <w:szCs w:val="22"/>
        </w:rPr>
        <w:lastRenderedPageBreak/>
        <w:t>frequency chart (1961: Fig. 48) indicates that the major jar vessel form which characterised the handmade pottery in earlier periods maintained the same frequency level in Period IV as it had at the end of Period III.</w:t>
      </w:r>
      <w:r w:rsidRPr="00067D8A">
        <w:rPr>
          <w:rStyle w:val="EndnoteReference"/>
          <w:rFonts w:asciiTheme="majorBidi" w:hAnsiTheme="majorBidi" w:cstheme="majorBidi"/>
          <w:sz w:val="24"/>
          <w:szCs w:val="22"/>
        </w:rPr>
        <w:endnoteReference w:id="69"/>
      </w:r>
      <w:r w:rsidRPr="00067D8A">
        <w:rPr>
          <w:rFonts w:asciiTheme="majorBidi" w:hAnsiTheme="majorBidi" w:cstheme="majorBidi"/>
          <w:sz w:val="24"/>
          <w:szCs w:val="22"/>
        </w:rPr>
        <w:t xml:space="preserve"> These factors suggest that handmade pottery continued to be manufactured, albeit at a reduced frequency (less than 10%?), and utilised as utility vessels.</w:t>
      </w:r>
    </w:p>
    <w:p w14:paraId="63ADFF4F" w14:textId="54C8D95E"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i/>
          <w:iCs/>
          <w:sz w:val="24"/>
          <w:szCs w:val="22"/>
        </w:rPr>
        <w:t xml:space="preserve">Period IV, </w:t>
      </w:r>
      <w:r w:rsidR="006858D3">
        <w:rPr>
          <w:rFonts w:asciiTheme="majorBidi" w:hAnsiTheme="majorBidi" w:cstheme="majorBidi"/>
          <w:i/>
          <w:iCs/>
          <w:sz w:val="24"/>
          <w:szCs w:val="22"/>
        </w:rPr>
        <w:t>Turned</w:t>
      </w:r>
      <w:r w:rsidRPr="00067D8A">
        <w:rPr>
          <w:rFonts w:asciiTheme="majorBidi" w:hAnsiTheme="majorBidi" w:cstheme="majorBidi"/>
          <w:i/>
          <w:iCs/>
          <w:sz w:val="24"/>
          <w:szCs w:val="22"/>
        </w:rPr>
        <w:t xml:space="preserve"> Pottery, Undecorated.</w:t>
      </w:r>
      <w:r w:rsidRPr="00067D8A">
        <w:rPr>
          <w:rFonts w:asciiTheme="majorBidi" w:hAnsiTheme="majorBidi" w:cstheme="majorBidi"/>
          <w:sz w:val="24"/>
          <w:szCs w:val="22"/>
        </w:rPr>
        <w:t xml:space="preserve"> Besides the introduction of red paste, undecorated wheel-made pottery underwent significant vessel form changes. It is important to note that these vessel form changes are equally as applicable to wheel-made decorated pottery. A major change occurs among bowl forms in that the previous angular-wall form is essentially replaced by the S-shaped wall form encountered first </w:t>
      </w:r>
      <w:r w:rsidRPr="006858D3">
        <w:rPr>
          <w:rFonts w:asciiTheme="majorBidi" w:hAnsiTheme="majorBidi" w:cstheme="majorBidi"/>
          <w:sz w:val="24"/>
          <w:szCs w:val="22"/>
        </w:rPr>
        <w:t xml:space="preserve">in </w:t>
      </w:r>
      <w:r w:rsidR="001E1DEF" w:rsidRPr="006858D3">
        <w:rPr>
          <w:rFonts w:asciiTheme="majorBidi" w:hAnsiTheme="majorBidi" w:cstheme="majorBidi"/>
          <w:sz w:val="24"/>
          <w:szCs w:val="22"/>
        </w:rPr>
        <w:t>Sub-Period</w:t>
      </w:r>
      <w:r w:rsidRPr="006858D3">
        <w:rPr>
          <w:rFonts w:asciiTheme="majorBidi" w:hAnsiTheme="majorBidi" w:cstheme="majorBidi"/>
          <w:sz w:val="24"/>
          <w:szCs w:val="22"/>
        </w:rPr>
        <w:t>s</w:t>
      </w:r>
      <w:r w:rsidRPr="00067D8A">
        <w:rPr>
          <w:rFonts w:asciiTheme="majorBidi" w:hAnsiTheme="majorBidi" w:cstheme="majorBidi"/>
          <w:sz w:val="24"/>
          <w:szCs w:val="22"/>
        </w:rPr>
        <w:t xml:space="preserve"> III</w:t>
      </w:r>
      <w:r w:rsidRPr="00067D8A">
        <w:rPr>
          <w:rFonts w:asciiTheme="majorBidi" w:hAnsiTheme="majorBidi" w:cstheme="majorBidi"/>
          <w:sz w:val="24"/>
          <w:szCs w:val="22"/>
          <w:vertAlign w:val="subscript"/>
        </w:rPr>
        <w:t>5–6</w:t>
      </w:r>
      <w:r w:rsidRPr="00067D8A">
        <w:rPr>
          <w:rFonts w:asciiTheme="majorBidi" w:hAnsiTheme="majorBidi" w:cstheme="majorBidi"/>
          <w:sz w:val="24"/>
          <w:szCs w:val="22"/>
        </w:rPr>
        <w:t>. Recorded for the first time in Period IV is a simple hemispherical form which increases in frequency</w:t>
      </w:r>
      <w:r w:rsidR="006858D3">
        <w:rPr>
          <w:rFonts w:asciiTheme="majorBidi" w:hAnsiTheme="majorBidi" w:cstheme="majorBidi"/>
          <w:sz w:val="24"/>
          <w:szCs w:val="22"/>
        </w:rPr>
        <w:t xml:space="preserve"> over time</w:t>
      </w:r>
      <w:r w:rsidRPr="00067D8A">
        <w:rPr>
          <w:rFonts w:asciiTheme="majorBidi" w:hAnsiTheme="majorBidi" w:cstheme="majorBidi"/>
          <w:sz w:val="24"/>
          <w:szCs w:val="22"/>
        </w:rPr>
        <w:t>, and more rarely a sharply carinated form. Except for a large relatively straight-sided variety, jar forms are almost exclusively globular with collars having straight or everted lips. Beakers are now predominantly manufactured with an S-shaped wall profile. Some of the smaller beakers may have pedestal bases with flaring or carinated walls.</w:t>
      </w:r>
    </w:p>
    <w:p w14:paraId="25285A35" w14:textId="78B29F93" w:rsidR="0030226C" w:rsidRPr="00067D8A" w:rsidRDefault="0030226C" w:rsidP="00025BB7">
      <w:pPr>
        <w:pStyle w:val="BodyTextIndent"/>
        <w:rPr>
          <w:rFonts w:asciiTheme="majorBidi" w:hAnsiTheme="majorBidi" w:cstheme="majorBidi"/>
          <w:sz w:val="24"/>
          <w:szCs w:val="22"/>
        </w:rPr>
      </w:pPr>
      <w:r w:rsidRPr="00067D8A">
        <w:rPr>
          <w:rFonts w:asciiTheme="majorBidi" w:hAnsiTheme="majorBidi" w:cstheme="majorBidi"/>
          <w:i/>
          <w:iCs/>
          <w:sz w:val="24"/>
          <w:szCs w:val="22"/>
        </w:rPr>
        <w:t xml:space="preserve">Period IV, </w:t>
      </w:r>
      <w:r w:rsidR="006858D3">
        <w:rPr>
          <w:rFonts w:asciiTheme="majorBidi" w:hAnsiTheme="majorBidi" w:cstheme="majorBidi"/>
          <w:i/>
          <w:iCs/>
          <w:sz w:val="24"/>
          <w:szCs w:val="22"/>
        </w:rPr>
        <w:t>Turned</w:t>
      </w:r>
      <w:r w:rsidRPr="00067D8A">
        <w:rPr>
          <w:rFonts w:asciiTheme="majorBidi" w:hAnsiTheme="majorBidi" w:cstheme="majorBidi"/>
          <w:i/>
          <w:iCs/>
          <w:sz w:val="24"/>
          <w:szCs w:val="22"/>
        </w:rPr>
        <w:t xml:space="preserve"> Pottery, Decorated.</w:t>
      </w:r>
      <w:r w:rsidRPr="00067D8A">
        <w:rPr>
          <w:rFonts w:asciiTheme="majorBidi" w:hAnsiTheme="majorBidi" w:cstheme="majorBidi"/>
          <w:sz w:val="24"/>
          <w:szCs w:val="22"/>
        </w:rPr>
        <w:t xml:space="preserve"> The most striking feature of the decorated wheel-made pottery was the significant frequency increase of stemmed goblets (Fig. </w:t>
      </w:r>
      <w:r w:rsidR="005B52A9">
        <w:rPr>
          <w:rFonts w:asciiTheme="majorBidi" w:hAnsiTheme="majorBidi" w:cstheme="majorBidi"/>
          <w:sz w:val="24"/>
          <w:szCs w:val="22"/>
        </w:rPr>
        <w:t>4.</w:t>
      </w:r>
      <w:r w:rsidRPr="00067D8A">
        <w:rPr>
          <w:rFonts w:asciiTheme="majorBidi" w:hAnsiTheme="majorBidi" w:cstheme="majorBidi"/>
          <w:sz w:val="24"/>
          <w:szCs w:val="22"/>
        </w:rPr>
        <w:t>24) with incurving sides (first identified in III</w:t>
      </w:r>
      <w:r w:rsidRPr="00067D8A">
        <w:rPr>
          <w:rFonts w:asciiTheme="majorBidi" w:hAnsiTheme="majorBidi" w:cstheme="majorBidi"/>
          <w:sz w:val="24"/>
          <w:szCs w:val="22"/>
          <w:vertAlign w:val="subscript"/>
        </w:rPr>
        <w:t>5</w:t>
      </w:r>
      <w:r w:rsidRPr="00067D8A">
        <w:rPr>
          <w:rFonts w:asciiTheme="majorBidi" w:hAnsiTheme="majorBidi" w:cstheme="majorBidi"/>
          <w:sz w:val="24"/>
          <w:szCs w:val="22"/>
        </w:rPr>
        <w:t xml:space="preserve">) in </w:t>
      </w:r>
      <w:r w:rsidR="001E1DEF" w:rsidRPr="006858D3">
        <w:rPr>
          <w:rFonts w:asciiTheme="majorBidi" w:hAnsiTheme="majorBidi" w:cstheme="majorBidi"/>
          <w:sz w:val="24"/>
          <w:szCs w:val="22"/>
        </w:rPr>
        <w:t>Sub-Period</w:t>
      </w:r>
      <w:r w:rsidRPr="006858D3">
        <w:rPr>
          <w:rFonts w:asciiTheme="majorBidi" w:hAnsiTheme="majorBidi" w:cstheme="majorBidi"/>
          <w:sz w:val="24"/>
          <w:szCs w:val="22"/>
        </w:rPr>
        <w:t xml:space="preserve"> IV</w:t>
      </w:r>
      <w:r w:rsidRPr="006858D3">
        <w:rPr>
          <w:rFonts w:asciiTheme="majorBidi" w:hAnsiTheme="majorBidi" w:cstheme="majorBidi"/>
          <w:sz w:val="24"/>
          <w:szCs w:val="22"/>
          <w:vertAlign w:val="subscript"/>
        </w:rPr>
        <w:t>1</w:t>
      </w:r>
      <w:r w:rsidRPr="006858D3">
        <w:rPr>
          <w:rFonts w:asciiTheme="majorBidi" w:hAnsiTheme="majorBidi" w:cstheme="majorBidi"/>
          <w:sz w:val="24"/>
          <w:szCs w:val="22"/>
        </w:rPr>
        <w:t xml:space="preserve"> and its equally significant decrease in </w:t>
      </w:r>
      <w:r w:rsidR="001E1DEF" w:rsidRPr="006858D3">
        <w:rPr>
          <w:rFonts w:asciiTheme="majorBidi" w:hAnsiTheme="majorBidi" w:cstheme="majorBidi"/>
          <w:sz w:val="24"/>
          <w:szCs w:val="22"/>
        </w:rPr>
        <w:t>Sub-Period</w:t>
      </w:r>
      <w:r w:rsidRPr="006858D3">
        <w:rPr>
          <w:rFonts w:asciiTheme="majorBidi" w:hAnsiTheme="majorBidi" w:cstheme="majorBidi"/>
          <w:sz w:val="24"/>
          <w:szCs w:val="22"/>
        </w:rPr>
        <w:t>s IV</w:t>
      </w:r>
      <w:r w:rsidRPr="006858D3">
        <w:rPr>
          <w:rFonts w:asciiTheme="majorBidi" w:hAnsiTheme="majorBidi" w:cstheme="majorBidi"/>
          <w:sz w:val="24"/>
          <w:szCs w:val="22"/>
          <w:vertAlign w:val="subscript"/>
        </w:rPr>
        <w:t>2–</w:t>
      </w:r>
      <w:r w:rsidR="006858D3">
        <w:rPr>
          <w:rFonts w:asciiTheme="majorBidi" w:hAnsiTheme="majorBidi" w:cstheme="majorBidi"/>
          <w:sz w:val="24"/>
          <w:szCs w:val="22"/>
          <w:vertAlign w:val="subscript"/>
        </w:rPr>
        <w:t>3</w:t>
      </w:r>
      <w:r w:rsidR="00025BB7" w:rsidRPr="006858D3">
        <w:rPr>
          <w:rFonts w:asciiTheme="majorBidi" w:hAnsiTheme="majorBidi" w:cstheme="majorBidi"/>
          <w:sz w:val="24"/>
          <w:szCs w:val="22"/>
          <w:vertAlign w:val="subscript"/>
        </w:rPr>
        <w:t>.</w:t>
      </w:r>
      <w:r w:rsidR="005B52A9" w:rsidRPr="006858D3">
        <w:rPr>
          <w:rFonts w:asciiTheme="majorBidi" w:hAnsiTheme="majorBidi" w:cstheme="majorBidi"/>
          <w:sz w:val="24"/>
          <w:szCs w:val="22"/>
          <w:vertAlign w:val="subscript"/>
        </w:rPr>
        <w:t>.</w:t>
      </w:r>
      <w:r w:rsidRPr="006858D3">
        <w:rPr>
          <w:rFonts w:asciiTheme="majorBidi" w:hAnsiTheme="majorBidi" w:cstheme="majorBidi"/>
          <w:sz w:val="24"/>
          <w:szCs w:val="22"/>
        </w:rPr>
        <w:t xml:space="preserve"> These vessels were decorated</w:t>
      </w:r>
      <w:r w:rsidRPr="00067D8A">
        <w:rPr>
          <w:rFonts w:asciiTheme="majorBidi" w:hAnsiTheme="majorBidi" w:cstheme="majorBidi"/>
          <w:sz w:val="24"/>
          <w:szCs w:val="22"/>
        </w:rPr>
        <w:t xml:space="preserve"> with an extremely high frequency of zoomorphic motifs which are themselves a significant addition to the Mundigak motif repertoire. Horned caprids (ibex?), felines, birds and fish were depicted in a solid or hatched style in a wide horizontal band. Equally frequent were solid or hatched floral motifs, especially the pipal leaf. Geometric motif combinations of parallel zigzag and tight undulating lines executed diagonally were also recorded on these vessels. A related vessel form, which had the same frequency pattern as the above form is a short-stemmed goblet with an S-shaped wall, </w:t>
      </w:r>
      <w:r w:rsidRPr="00067D8A">
        <w:rPr>
          <w:rFonts w:asciiTheme="majorBidi" w:hAnsiTheme="majorBidi" w:cstheme="majorBidi"/>
          <w:sz w:val="24"/>
          <w:szCs w:val="22"/>
        </w:rPr>
        <w:lastRenderedPageBreak/>
        <w:t>sometimes marked by a sharp carination. This form is usually decorated with geometri</w:t>
      </w:r>
      <w:r w:rsidR="006858D3">
        <w:rPr>
          <w:rFonts w:asciiTheme="majorBidi" w:hAnsiTheme="majorBidi" w:cstheme="majorBidi"/>
          <w:sz w:val="24"/>
          <w:szCs w:val="22"/>
        </w:rPr>
        <w:t>c motifs</w:t>
      </w:r>
      <w:r w:rsidRPr="00067D8A">
        <w:rPr>
          <w:rFonts w:asciiTheme="majorBidi" w:hAnsiTheme="majorBidi" w:cstheme="majorBidi"/>
          <w:sz w:val="24"/>
          <w:szCs w:val="22"/>
        </w:rPr>
        <w:t xml:space="preserve"> particularly a band of parallel zigzag lines.</w:t>
      </w:r>
    </w:p>
    <w:p w14:paraId="18197B4C" w14:textId="40B2974B" w:rsidR="0030226C" w:rsidRPr="00067D8A" w:rsidRDefault="0030226C" w:rsidP="0080307C">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Another </w:t>
      </w:r>
      <w:r w:rsidRPr="006858D3">
        <w:rPr>
          <w:rFonts w:asciiTheme="majorBidi" w:hAnsiTheme="majorBidi" w:cstheme="majorBidi"/>
          <w:sz w:val="24"/>
          <w:szCs w:val="22"/>
        </w:rPr>
        <w:t xml:space="preserve">important change was the decreased frequency of Quetta Ware in </w:t>
      </w:r>
      <w:r w:rsidR="001E1DEF" w:rsidRPr="006858D3">
        <w:rPr>
          <w:rFonts w:asciiTheme="majorBidi" w:hAnsiTheme="majorBidi" w:cstheme="majorBidi"/>
          <w:sz w:val="24"/>
          <w:szCs w:val="22"/>
        </w:rPr>
        <w:t>Sub-Period</w:t>
      </w:r>
      <w:r w:rsidRPr="006858D3">
        <w:rPr>
          <w:rFonts w:asciiTheme="majorBidi" w:hAnsiTheme="majorBidi" w:cstheme="majorBidi"/>
          <w:sz w:val="24"/>
          <w:szCs w:val="22"/>
        </w:rPr>
        <w:t xml:space="preserve"> IV</w:t>
      </w:r>
      <w:r w:rsidRPr="006858D3">
        <w:rPr>
          <w:rFonts w:asciiTheme="majorBidi" w:hAnsiTheme="majorBidi" w:cstheme="majorBidi"/>
          <w:sz w:val="24"/>
          <w:szCs w:val="22"/>
          <w:vertAlign w:val="subscript"/>
        </w:rPr>
        <w:t>1</w:t>
      </w:r>
      <w:r w:rsidRPr="006858D3">
        <w:rPr>
          <w:rFonts w:asciiTheme="majorBidi" w:hAnsiTheme="majorBidi" w:cstheme="majorBidi"/>
          <w:sz w:val="24"/>
          <w:szCs w:val="22"/>
        </w:rPr>
        <w:t xml:space="preserve"> (Fig. </w:t>
      </w:r>
      <w:r w:rsidR="005B52A9" w:rsidRPr="006858D3">
        <w:rPr>
          <w:rFonts w:asciiTheme="majorBidi" w:hAnsiTheme="majorBidi" w:cstheme="majorBidi"/>
          <w:sz w:val="24"/>
          <w:szCs w:val="22"/>
        </w:rPr>
        <w:t>4.</w:t>
      </w:r>
      <w:r w:rsidRPr="006858D3">
        <w:rPr>
          <w:rFonts w:asciiTheme="majorBidi" w:hAnsiTheme="majorBidi" w:cstheme="majorBidi"/>
          <w:sz w:val="24"/>
          <w:szCs w:val="22"/>
        </w:rPr>
        <w:t xml:space="preserve">26) and its total absence from </w:t>
      </w:r>
      <w:r w:rsidR="001E1DEF" w:rsidRPr="006858D3">
        <w:rPr>
          <w:rFonts w:asciiTheme="majorBidi" w:hAnsiTheme="majorBidi" w:cstheme="majorBidi"/>
          <w:sz w:val="24"/>
          <w:szCs w:val="22"/>
        </w:rPr>
        <w:t>Sub-Period</w:t>
      </w:r>
      <w:r w:rsidRPr="006858D3">
        <w:rPr>
          <w:rFonts w:asciiTheme="majorBidi" w:hAnsiTheme="majorBidi" w:cstheme="majorBidi"/>
          <w:sz w:val="24"/>
          <w:szCs w:val="22"/>
        </w:rPr>
        <w:t xml:space="preserve"> IV</w:t>
      </w:r>
      <w:r w:rsidRPr="006858D3">
        <w:rPr>
          <w:rFonts w:asciiTheme="majorBidi" w:hAnsiTheme="majorBidi" w:cstheme="majorBidi"/>
          <w:sz w:val="24"/>
          <w:szCs w:val="22"/>
          <w:vertAlign w:val="subscript"/>
        </w:rPr>
        <w:t>2–</w:t>
      </w:r>
      <w:r w:rsidR="006858D3" w:rsidRPr="006858D3">
        <w:rPr>
          <w:rFonts w:asciiTheme="majorBidi" w:hAnsiTheme="majorBidi" w:cstheme="majorBidi"/>
          <w:sz w:val="24"/>
          <w:szCs w:val="22"/>
          <w:vertAlign w:val="subscript"/>
        </w:rPr>
        <w:t>3</w:t>
      </w:r>
      <w:r w:rsidR="0080307C" w:rsidRPr="006858D3">
        <w:rPr>
          <w:rFonts w:asciiTheme="majorBidi" w:hAnsiTheme="majorBidi" w:cstheme="majorBidi"/>
          <w:sz w:val="24"/>
          <w:szCs w:val="22"/>
          <w:vertAlign w:val="subscript"/>
        </w:rPr>
        <w:t>.</w:t>
      </w:r>
      <w:r w:rsidR="005B52A9" w:rsidRPr="006858D3">
        <w:rPr>
          <w:rFonts w:asciiTheme="majorBidi" w:hAnsiTheme="majorBidi" w:cstheme="majorBidi"/>
          <w:sz w:val="24"/>
          <w:szCs w:val="22"/>
          <w:vertAlign w:val="subscript"/>
        </w:rPr>
        <w:t>.</w:t>
      </w:r>
      <w:r w:rsidRPr="006858D3">
        <w:rPr>
          <w:rFonts w:asciiTheme="majorBidi" w:hAnsiTheme="majorBidi" w:cstheme="majorBidi"/>
          <w:sz w:val="24"/>
          <w:szCs w:val="22"/>
        </w:rPr>
        <w:t xml:space="preserve"> Those examples which are found lack the characteristic solid geometric motifs so</w:t>
      </w:r>
      <w:r w:rsidRPr="00067D8A">
        <w:rPr>
          <w:rFonts w:asciiTheme="majorBidi" w:hAnsiTheme="majorBidi" w:cstheme="majorBidi"/>
          <w:sz w:val="24"/>
          <w:szCs w:val="22"/>
        </w:rPr>
        <w:t xml:space="preserve"> common previously. Even the linear style of Quetta Ware lacks the usual geometric elements such as stepped triangles, crosses, etc. Motifs on the few examples found are mostly curvilinear or quasi-floral (termed </w:t>
      </w:r>
      <w:r w:rsidRPr="00067D8A">
        <w:rPr>
          <w:rFonts w:asciiTheme="majorBidi" w:hAnsiTheme="majorBidi" w:cstheme="majorBidi"/>
          <w:i/>
          <w:sz w:val="24"/>
          <w:szCs w:val="22"/>
        </w:rPr>
        <w:t>bucranium</w:t>
      </w:r>
      <w:r w:rsidRPr="00067D8A">
        <w:rPr>
          <w:rFonts w:asciiTheme="majorBidi" w:hAnsiTheme="majorBidi" w:cstheme="majorBidi"/>
          <w:sz w:val="24"/>
          <w:szCs w:val="22"/>
        </w:rPr>
        <w:t xml:space="preserve"> by some). Interestingly a certain degree of stylistic similarity can be distilled between the previous Quetta style and the motif combinations found on the remaining decorated pottery of Period IV.</w:t>
      </w:r>
    </w:p>
    <w:p w14:paraId="249BD67F" w14:textId="6C5A480E"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The </w:t>
      </w:r>
      <w:r w:rsidRPr="006858D3">
        <w:rPr>
          <w:rFonts w:asciiTheme="majorBidi" w:hAnsiTheme="majorBidi" w:cstheme="majorBidi"/>
          <w:sz w:val="24"/>
          <w:szCs w:val="22"/>
        </w:rPr>
        <w:t xml:space="preserve">remaining decorated pottery of Period IV, especially that from </w:t>
      </w:r>
      <w:r w:rsidR="001E1DEF" w:rsidRPr="006858D3">
        <w:rPr>
          <w:rFonts w:asciiTheme="majorBidi" w:hAnsiTheme="majorBidi" w:cstheme="majorBidi"/>
          <w:sz w:val="24"/>
          <w:szCs w:val="22"/>
        </w:rPr>
        <w:t>Sub-Period</w:t>
      </w:r>
      <w:r w:rsidRPr="006858D3">
        <w:rPr>
          <w:rFonts w:asciiTheme="majorBidi" w:hAnsiTheme="majorBidi" w:cstheme="majorBidi"/>
          <w:sz w:val="24"/>
          <w:szCs w:val="22"/>
        </w:rPr>
        <w:t xml:space="preserve"> IV</w:t>
      </w:r>
      <w:r w:rsidRPr="006858D3">
        <w:rPr>
          <w:rFonts w:asciiTheme="majorBidi" w:hAnsiTheme="majorBidi" w:cstheme="majorBidi"/>
          <w:sz w:val="24"/>
          <w:szCs w:val="22"/>
          <w:vertAlign w:val="subscript"/>
        </w:rPr>
        <w:t xml:space="preserve">1 </w:t>
      </w:r>
      <w:r w:rsidRPr="006858D3">
        <w:rPr>
          <w:rFonts w:asciiTheme="majorBidi" w:hAnsiTheme="majorBidi" w:cstheme="majorBidi"/>
          <w:sz w:val="24"/>
          <w:szCs w:val="22"/>
        </w:rPr>
        <w:t xml:space="preserve">demonstrates a generic continuity with that in previous periods (Figs </w:t>
      </w:r>
      <w:r w:rsidR="005B52A9" w:rsidRPr="006858D3">
        <w:rPr>
          <w:rFonts w:asciiTheme="majorBidi" w:hAnsiTheme="majorBidi" w:cstheme="majorBidi"/>
          <w:sz w:val="24"/>
          <w:szCs w:val="22"/>
        </w:rPr>
        <w:t>4.</w:t>
      </w:r>
      <w:r w:rsidRPr="006858D3">
        <w:rPr>
          <w:rFonts w:asciiTheme="majorBidi" w:hAnsiTheme="majorBidi" w:cstheme="majorBidi"/>
          <w:sz w:val="24"/>
          <w:szCs w:val="22"/>
        </w:rPr>
        <w:t xml:space="preserve">22, </w:t>
      </w:r>
      <w:r w:rsidR="005B52A9" w:rsidRPr="006858D3">
        <w:rPr>
          <w:rFonts w:asciiTheme="majorBidi" w:hAnsiTheme="majorBidi" w:cstheme="majorBidi"/>
          <w:sz w:val="24"/>
          <w:szCs w:val="22"/>
        </w:rPr>
        <w:t>4.</w:t>
      </w:r>
      <w:r w:rsidRPr="006858D3">
        <w:rPr>
          <w:rFonts w:asciiTheme="majorBidi" w:hAnsiTheme="majorBidi" w:cstheme="majorBidi"/>
          <w:sz w:val="24"/>
          <w:szCs w:val="22"/>
        </w:rPr>
        <w:t xml:space="preserve">23, </w:t>
      </w:r>
      <w:r w:rsidR="005B52A9" w:rsidRPr="0086540F">
        <w:rPr>
          <w:rFonts w:asciiTheme="majorBidi" w:hAnsiTheme="majorBidi" w:cstheme="majorBidi"/>
          <w:sz w:val="24"/>
          <w:szCs w:val="22"/>
        </w:rPr>
        <w:t>4.</w:t>
      </w:r>
      <w:r w:rsidRPr="0086540F">
        <w:rPr>
          <w:rFonts w:asciiTheme="majorBidi" w:hAnsiTheme="majorBidi" w:cstheme="majorBidi"/>
          <w:sz w:val="24"/>
          <w:szCs w:val="22"/>
        </w:rPr>
        <w:t xml:space="preserve">25). There is a definite tendency to utilise a more opaque white or cream coloured wash and the motifs are predominantly black. In general, there is a </w:t>
      </w:r>
      <w:r w:rsidRPr="001F5282">
        <w:rPr>
          <w:rFonts w:asciiTheme="majorBidi" w:hAnsiTheme="majorBidi" w:cstheme="majorBidi"/>
          <w:sz w:val="24"/>
          <w:szCs w:val="22"/>
        </w:rPr>
        <w:t xml:space="preserve">much greater use of hatching to fill-in large open areas eliminating some of the ‘openness’ of the preceding period. There is </w:t>
      </w:r>
      <w:r w:rsidR="006858D3">
        <w:rPr>
          <w:rFonts w:asciiTheme="majorBidi" w:hAnsiTheme="majorBidi" w:cstheme="majorBidi"/>
          <w:sz w:val="24"/>
          <w:szCs w:val="22"/>
        </w:rPr>
        <w:t xml:space="preserve">also </w:t>
      </w:r>
      <w:r w:rsidRPr="006858D3">
        <w:rPr>
          <w:rFonts w:asciiTheme="majorBidi" w:hAnsiTheme="majorBidi" w:cstheme="majorBidi"/>
          <w:sz w:val="24"/>
          <w:szCs w:val="22"/>
        </w:rPr>
        <w:t xml:space="preserve">a much greater usage of parallel zigzag lines both horizontally and vertically. Tightly undulating lines are used as free motifs in place of simple solid lines, and also as a sort of hatching. New geometric motifs are limited and include circles within circles and more rarely intersecting circles. The previously mentioned animal and plant motifs are significant additions, but the animal motifs are infrequent in </w:t>
      </w:r>
      <w:r w:rsidR="001E1DEF" w:rsidRPr="006858D3">
        <w:rPr>
          <w:rFonts w:asciiTheme="majorBidi" w:hAnsiTheme="majorBidi" w:cstheme="majorBidi"/>
          <w:sz w:val="24"/>
          <w:szCs w:val="22"/>
        </w:rPr>
        <w:t>Sub-Period</w:t>
      </w:r>
      <w:r w:rsidRPr="006858D3">
        <w:rPr>
          <w:rFonts w:asciiTheme="majorBidi" w:hAnsiTheme="majorBidi" w:cstheme="majorBidi"/>
          <w:sz w:val="24"/>
          <w:szCs w:val="22"/>
        </w:rPr>
        <w:t xml:space="preserve"> IV</w:t>
      </w:r>
      <w:r w:rsidRPr="006858D3">
        <w:rPr>
          <w:rFonts w:asciiTheme="majorBidi" w:hAnsiTheme="majorBidi" w:cstheme="majorBidi"/>
          <w:sz w:val="24"/>
          <w:szCs w:val="22"/>
          <w:vertAlign w:val="subscript"/>
        </w:rPr>
        <w:t>2</w:t>
      </w:r>
      <w:r w:rsidRPr="006858D3">
        <w:rPr>
          <w:rFonts w:asciiTheme="majorBidi" w:hAnsiTheme="majorBidi" w:cstheme="majorBidi"/>
          <w:sz w:val="24"/>
          <w:szCs w:val="22"/>
        </w:rPr>
        <w:t xml:space="preserve"> and disappear by </w:t>
      </w:r>
      <w:r w:rsidR="001E1DEF" w:rsidRPr="006858D3">
        <w:rPr>
          <w:rFonts w:asciiTheme="majorBidi" w:hAnsiTheme="majorBidi" w:cstheme="majorBidi"/>
          <w:sz w:val="24"/>
          <w:szCs w:val="22"/>
        </w:rPr>
        <w:t>Sub-Period</w:t>
      </w:r>
      <w:r w:rsidRPr="006858D3">
        <w:rPr>
          <w:rFonts w:asciiTheme="majorBidi" w:hAnsiTheme="majorBidi" w:cstheme="majorBidi"/>
          <w:sz w:val="24"/>
          <w:szCs w:val="22"/>
        </w:rPr>
        <w:t xml:space="preserve"> IV</w:t>
      </w:r>
      <w:r w:rsidR="006858D3" w:rsidRPr="006858D3">
        <w:rPr>
          <w:rFonts w:asciiTheme="majorBidi" w:hAnsiTheme="majorBidi" w:cstheme="majorBidi"/>
          <w:sz w:val="24"/>
          <w:szCs w:val="22"/>
          <w:vertAlign w:val="subscript"/>
        </w:rPr>
        <w:t>3</w:t>
      </w:r>
      <w:r w:rsidR="005B52A9" w:rsidRPr="006858D3">
        <w:rPr>
          <w:rFonts w:asciiTheme="majorBidi" w:hAnsiTheme="majorBidi" w:cstheme="majorBidi"/>
          <w:sz w:val="24"/>
          <w:szCs w:val="22"/>
          <w:vertAlign w:val="subscript"/>
        </w:rPr>
        <w:t>.</w:t>
      </w:r>
      <w:r w:rsidRPr="006858D3">
        <w:rPr>
          <w:rFonts w:asciiTheme="majorBidi" w:hAnsiTheme="majorBidi" w:cstheme="majorBidi"/>
          <w:sz w:val="24"/>
          <w:szCs w:val="22"/>
        </w:rPr>
        <w:t xml:space="preserve"> Plant motifs, especially the pipal leaf, continue throughout the period in decreasing frequency</w:t>
      </w:r>
      <w:r w:rsidRPr="00067D8A">
        <w:rPr>
          <w:rFonts w:asciiTheme="majorBidi" w:hAnsiTheme="majorBidi" w:cstheme="majorBidi"/>
          <w:sz w:val="24"/>
          <w:szCs w:val="22"/>
        </w:rPr>
        <w:t>. Solid geometric motifs are rare and usually confined to beakers.</w:t>
      </w:r>
    </w:p>
    <w:p w14:paraId="09808F58" w14:textId="1DB0D883"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The later </w:t>
      </w:r>
      <w:r w:rsidR="001E1DEF">
        <w:rPr>
          <w:rFonts w:asciiTheme="majorBidi" w:hAnsiTheme="majorBidi" w:cstheme="majorBidi"/>
          <w:sz w:val="24"/>
          <w:szCs w:val="22"/>
        </w:rPr>
        <w:t>Sub-Period</w:t>
      </w:r>
      <w:r w:rsidRPr="00067D8A">
        <w:rPr>
          <w:rFonts w:asciiTheme="majorBidi" w:hAnsiTheme="majorBidi" w:cstheme="majorBidi"/>
          <w:sz w:val="24"/>
          <w:szCs w:val="22"/>
        </w:rPr>
        <w:t>s IV</w:t>
      </w:r>
      <w:r w:rsidRPr="00067D8A">
        <w:rPr>
          <w:rFonts w:asciiTheme="majorBidi" w:hAnsiTheme="majorBidi" w:cstheme="majorBidi"/>
          <w:sz w:val="24"/>
          <w:szCs w:val="22"/>
          <w:vertAlign w:val="subscript"/>
        </w:rPr>
        <w:t>2–3</w:t>
      </w:r>
      <w:r w:rsidRPr="00067D8A">
        <w:rPr>
          <w:rFonts w:asciiTheme="majorBidi" w:hAnsiTheme="majorBidi" w:cstheme="majorBidi"/>
          <w:sz w:val="24"/>
          <w:szCs w:val="22"/>
        </w:rPr>
        <w:t xml:space="preserve">, are distinguished by an increasing quantity of red-slipped red ware decorated with black motifs. These motifs are not radically different from those already recorded and would if anything appear to be generic with the previous ones. Perhaps one of the </w:t>
      </w:r>
      <w:r w:rsidRPr="00067D8A">
        <w:rPr>
          <w:rFonts w:asciiTheme="majorBidi" w:hAnsiTheme="majorBidi" w:cstheme="majorBidi"/>
          <w:sz w:val="24"/>
          <w:szCs w:val="22"/>
        </w:rPr>
        <w:lastRenderedPageBreak/>
        <w:t xml:space="preserve">more distinguishing aspects of this decorated pottery is its correlation with shallow hemispherical bowls with everted rims and a shallow sharply-angular walled bowl (Fig. </w:t>
      </w:r>
      <w:r w:rsidR="005B52A9">
        <w:rPr>
          <w:rFonts w:asciiTheme="majorBidi" w:hAnsiTheme="majorBidi" w:cstheme="majorBidi"/>
          <w:sz w:val="24"/>
          <w:szCs w:val="22"/>
        </w:rPr>
        <w:t>4.</w:t>
      </w:r>
      <w:r w:rsidRPr="00067D8A">
        <w:rPr>
          <w:rFonts w:asciiTheme="majorBidi" w:hAnsiTheme="majorBidi" w:cstheme="majorBidi"/>
          <w:sz w:val="24"/>
          <w:szCs w:val="22"/>
        </w:rPr>
        <w:t xml:space="preserve">30, nos 2, 3). The co-variance between this black–red slipped red ware and Quetta Ware has not yet received adequate attention, but it is interesting to note that in the same </w:t>
      </w:r>
      <w:r w:rsidR="001E1DEF">
        <w:rPr>
          <w:rFonts w:asciiTheme="majorBidi" w:hAnsiTheme="majorBidi" w:cstheme="majorBidi"/>
          <w:sz w:val="24"/>
          <w:szCs w:val="22"/>
        </w:rPr>
        <w:t>sub-period</w:t>
      </w:r>
      <w:r w:rsidRPr="00067D8A">
        <w:rPr>
          <w:rFonts w:asciiTheme="majorBidi" w:hAnsiTheme="majorBidi" w:cstheme="majorBidi"/>
          <w:sz w:val="24"/>
          <w:szCs w:val="22"/>
        </w:rPr>
        <w:t>s of Period IV, several interesting possible intrusive pottery types are recorded from regions to the south-east.</w:t>
      </w:r>
    </w:p>
    <w:p w14:paraId="2407E834" w14:textId="246EEDD0"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i/>
          <w:iCs/>
          <w:sz w:val="24"/>
          <w:szCs w:val="22"/>
        </w:rPr>
        <w:t xml:space="preserve">Period IV, </w:t>
      </w:r>
      <w:r w:rsidR="006858D3">
        <w:rPr>
          <w:rFonts w:asciiTheme="majorBidi" w:hAnsiTheme="majorBidi" w:cstheme="majorBidi"/>
          <w:i/>
          <w:iCs/>
          <w:sz w:val="24"/>
          <w:szCs w:val="22"/>
        </w:rPr>
        <w:t>Turned</w:t>
      </w:r>
      <w:r w:rsidRPr="00067D8A">
        <w:rPr>
          <w:rFonts w:asciiTheme="majorBidi" w:hAnsiTheme="majorBidi" w:cstheme="majorBidi"/>
          <w:i/>
          <w:iCs/>
          <w:sz w:val="24"/>
          <w:szCs w:val="22"/>
        </w:rPr>
        <w:t xml:space="preserve"> Pottery, Intrusive or Special Function.</w:t>
      </w:r>
      <w:r w:rsidRPr="00067D8A">
        <w:rPr>
          <w:rFonts w:asciiTheme="majorBidi" w:hAnsiTheme="majorBidi" w:cstheme="majorBidi"/>
          <w:sz w:val="24"/>
          <w:szCs w:val="22"/>
        </w:rPr>
        <w:t xml:space="preserve"> This category of pottery continued to indicate the possibility of interaction between Mundigak and regions to the south-east, particulary northern Baluchistan and the Indus valley. Throughout Period IV sherds could be isolated which resembled material produced in these regions (Figs </w:t>
      </w:r>
      <w:r w:rsidR="005B52A9">
        <w:rPr>
          <w:rFonts w:asciiTheme="majorBidi" w:hAnsiTheme="majorBidi" w:cstheme="majorBidi"/>
          <w:sz w:val="24"/>
          <w:szCs w:val="22"/>
        </w:rPr>
        <w:t>4.</w:t>
      </w:r>
      <w:r w:rsidRPr="00067D8A">
        <w:rPr>
          <w:rFonts w:asciiTheme="majorBidi" w:hAnsiTheme="majorBidi" w:cstheme="majorBidi"/>
          <w:sz w:val="24"/>
          <w:szCs w:val="22"/>
        </w:rPr>
        <w:t xml:space="preserve">27, </w:t>
      </w:r>
      <w:r w:rsidR="005B52A9">
        <w:rPr>
          <w:rFonts w:asciiTheme="majorBidi" w:hAnsiTheme="majorBidi" w:cstheme="majorBidi"/>
          <w:sz w:val="24"/>
          <w:szCs w:val="22"/>
        </w:rPr>
        <w:t>4.</w:t>
      </w:r>
      <w:r w:rsidRPr="00067D8A">
        <w:rPr>
          <w:rFonts w:asciiTheme="majorBidi" w:hAnsiTheme="majorBidi" w:cstheme="majorBidi"/>
          <w:sz w:val="24"/>
          <w:szCs w:val="22"/>
        </w:rPr>
        <w:t>32).</w:t>
      </w:r>
    </w:p>
    <w:p w14:paraId="5E63E66F" w14:textId="0ED46D8B" w:rsidR="0030226C" w:rsidRPr="006858D3" w:rsidRDefault="001E1DEF" w:rsidP="0030226C">
      <w:pPr>
        <w:pStyle w:val="BodyTextIndent"/>
        <w:rPr>
          <w:rFonts w:asciiTheme="majorBidi" w:hAnsiTheme="majorBidi" w:cstheme="majorBidi"/>
          <w:sz w:val="24"/>
          <w:szCs w:val="22"/>
        </w:rPr>
      </w:pPr>
      <w:r w:rsidRPr="006858D3">
        <w:rPr>
          <w:rFonts w:asciiTheme="majorBidi" w:hAnsiTheme="majorBidi" w:cstheme="majorBidi"/>
          <w:sz w:val="24"/>
          <w:szCs w:val="22"/>
        </w:rPr>
        <w:t>Sub-Period</w:t>
      </w:r>
      <w:r w:rsidR="0030226C" w:rsidRPr="006858D3">
        <w:rPr>
          <w:rFonts w:asciiTheme="majorBidi" w:hAnsiTheme="majorBidi" w:cstheme="majorBidi"/>
          <w:sz w:val="24"/>
          <w:szCs w:val="22"/>
        </w:rPr>
        <w:t xml:space="preserve"> IV</w:t>
      </w:r>
      <w:r w:rsidR="0030226C" w:rsidRPr="006858D3">
        <w:rPr>
          <w:rFonts w:asciiTheme="majorBidi" w:hAnsiTheme="majorBidi" w:cstheme="majorBidi"/>
          <w:sz w:val="24"/>
          <w:szCs w:val="22"/>
          <w:vertAlign w:val="subscript"/>
        </w:rPr>
        <w:t xml:space="preserve">1 </w:t>
      </w:r>
      <w:r w:rsidR="0030226C" w:rsidRPr="006858D3">
        <w:rPr>
          <w:rFonts w:asciiTheme="majorBidi" w:hAnsiTheme="majorBidi" w:cstheme="majorBidi"/>
          <w:sz w:val="24"/>
          <w:szCs w:val="22"/>
        </w:rPr>
        <w:t>had several examples of a large collarless jar with everted rim similar to pottery found at Kot Diji.</w:t>
      </w:r>
      <w:r w:rsidR="0030226C" w:rsidRPr="006858D3">
        <w:rPr>
          <w:rStyle w:val="EndnoteReference"/>
          <w:rFonts w:asciiTheme="majorBidi" w:hAnsiTheme="majorBidi" w:cstheme="majorBidi"/>
          <w:sz w:val="24"/>
          <w:szCs w:val="22"/>
        </w:rPr>
        <w:endnoteReference w:id="70"/>
      </w:r>
      <w:r w:rsidR="0030226C" w:rsidRPr="006858D3">
        <w:rPr>
          <w:rFonts w:asciiTheme="majorBidi" w:hAnsiTheme="majorBidi" w:cstheme="majorBidi"/>
          <w:sz w:val="24"/>
          <w:szCs w:val="22"/>
        </w:rPr>
        <w:t xml:space="preserve"> Two rim sherds from what appear to be S-shaped beakers with a sharply carinated double-rim and fish scale motif (1961: Fig. 83, nos 306, 306a) are very different from anything else found at Mundigak, but similar in style and form to Amri and Kot Diji material. Several examples of the Faiz Mohammed Painted wares were also found in </w:t>
      </w:r>
      <w:r w:rsidRPr="006858D3">
        <w:rPr>
          <w:rFonts w:asciiTheme="majorBidi" w:hAnsiTheme="majorBidi" w:cstheme="majorBidi"/>
          <w:sz w:val="24"/>
          <w:szCs w:val="22"/>
        </w:rPr>
        <w:t>Sub-Periods</w:t>
      </w:r>
      <w:r w:rsidR="0030226C" w:rsidRPr="006858D3">
        <w:rPr>
          <w:rFonts w:asciiTheme="majorBidi" w:hAnsiTheme="majorBidi" w:cstheme="majorBidi"/>
          <w:sz w:val="24"/>
          <w:szCs w:val="22"/>
        </w:rPr>
        <w:t xml:space="preserve"> IV</w:t>
      </w:r>
      <w:r w:rsidR="0030226C" w:rsidRPr="006858D3">
        <w:rPr>
          <w:rFonts w:asciiTheme="majorBidi" w:hAnsiTheme="majorBidi" w:cstheme="majorBidi"/>
          <w:sz w:val="24"/>
          <w:szCs w:val="22"/>
          <w:vertAlign w:val="subscript"/>
        </w:rPr>
        <w:t>1–2</w:t>
      </w:r>
      <w:r w:rsidR="0030226C" w:rsidRPr="006858D3">
        <w:rPr>
          <w:rFonts w:asciiTheme="majorBidi" w:hAnsiTheme="majorBidi" w:cstheme="majorBidi"/>
          <w:sz w:val="24"/>
          <w:szCs w:val="22"/>
        </w:rPr>
        <w:t xml:space="preserve">. Also located in </w:t>
      </w:r>
      <w:r w:rsidRPr="006858D3">
        <w:rPr>
          <w:rFonts w:asciiTheme="majorBidi" w:hAnsiTheme="majorBidi" w:cstheme="majorBidi"/>
          <w:sz w:val="24"/>
          <w:szCs w:val="22"/>
        </w:rPr>
        <w:t>Sub-Periods</w:t>
      </w:r>
      <w:r w:rsidR="0030226C" w:rsidRPr="006858D3">
        <w:rPr>
          <w:rFonts w:asciiTheme="majorBidi" w:hAnsiTheme="majorBidi" w:cstheme="majorBidi"/>
          <w:sz w:val="24"/>
          <w:szCs w:val="22"/>
        </w:rPr>
        <w:t xml:space="preserve"> IV</w:t>
      </w:r>
      <w:r w:rsidR="0030226C" w:rsidRPr="006858D3">
        <w:rPr>
          <w:rFonts w:asciiTheme="majorBidi" w:hAnsiTheme="majorBidi" w:cstheme="majorBidi"/>
          <w:sz w:val="24"/>
          <w:szCs w:val="22"/>
          <w:vertAlign w:val="subscript"/>
        </w:rPr>
        <w:t>1–2</w:t>
      </w:r>
      <w:r w:rsidR="0030226C" w:rsidRPr="006858D3">
        <w:rPr>
          <w:rFonts w:asciiTheme="majorBidi" w:hAnsiTheme="majorBidi" w:cstheme="majorBidi"/>
          <w:sz w:val="24"/>
          <w:szCs w:val="22"/>
        </w:rPr>
        <w:t xml:space="preserve"> was a red and black bichrome pottery which was similar in manufacture and style to the pottery definitely indigenous to Mundigak.</w:t>
      </w:r>
    </w:p>
    <w:p w14:paraId="398C1E78" w14:textId="6B916E32" w:rsidR="0030226C" w:rsidRPr="00067D8A" w:rsidRDefault="0030226C" w:rsidP="005501F2">
      <w:pPr>
        <w:pStyle w:val="BodyTextIndent"/>
        <w:rPr>
          <w:rFonts w:asciiTheme="majorBidi" w:hAnsiTheme="majorBidi" w:cstheme="majorBidi"/>
          <w:sz w:val="24"/>
          <w:szCs w:val="22"/>
        </w:rPr>
      </w:pPr>
      <w:r w:rsidRPr="006858D3">
        <w:rPr>
          <w:rFonts w:asciiTheme="majorBidi" w:hAnsiTheme="majorBidi" w:cstheme="majorBidi"/>
          <w:sz w:val="24"/>
          <w:szCs w:val="22"/>
        </w:rPr>
        <w:t xml:space="preserve">Faiz Mohammad Painted pottery was also found in </w:t>
      </w:r>
      <w:r w:rsidR="001E1DEF" w:rsidRPr="006858D3">
        <w:rPr>
          <w:rFonts w:asciiTheme="majorBidi" w:hAnsiTheme="majorBidi" w:cstheme="majorBidi"/>
          <w:sz w:val="24"/>
          <w:szCs w:val="22"/>
        </w:rPr>
        <w:t>Sub-Period</w:t>
      </w:r>
      <w:r w:rsidRPr="006858D3">
        <w:rPr>
          <w:rFonts w:asciiTheme="majorBidi" w:hAnsiTheme="majorBidi" w:cstheme="majorBidi"/>
          <w:sz w:val="24"/>
          <w:szCs w:val="22"/>
        </w:rPr>
        <w:t xml:space="preserve"> IV</w:t>
      </w:r>
      <w:r w:rsidRPr="006858D3">
        <w:rPr>
          <w:rFonts w:asciiTheme="majorBidi" w:hAnsiTheme="majorBidi" w:cstheme="majorBidi"/>
          <w:sz w:val="24"/>
          <w:szCs w:val="22"/>
          <w:vertAlign w:val="subscript"/>
        </w:rPr>
        <w:t>3</w:t>
      </w:r>
      <w:r w:rsidRPr="006858D3">
        <w:rPr>
          <w:rFonts w:asciiTheme="majorBidi" w:hAnsiTheme="majorBidi" w:cstheme="majorBidi"/>
          <w:sz w:val="24"/>
          <w:szCs w:val="22"/>
        </w:rPr>
        <w:t xml:space="preserve"> as was a complete vessel (Fig. </w:t>
      </w:r>
      <w:r w:rsidR="005B52A9" w:rsidRPr="006858D3">
        <w:rPr>
          <w:rFonts w:asciiTheme="majorBidi" w:hAnsiTheme="majorBidi" w:cstheme="majorBidi"/>
          <w:sz w:val="24"/>
          <w:szCs w:val="22"/>
        </w:rPr>
        <w:t>4.</w:t>
      </w:r>
      <w:r w:rsidRPr="006858D3">
        <w:rPr>
          <w:rFonts w:asciiTheme="majorBidi" w:hAnsiTheme="majorBidi" w:cstheme="majorBidi"/>
          <w:sz w:val="24"/>
          <w:szCs w:val="22"/>
        </w:rPr>
        <w:t>32, no. 3) of Quetta Wet-Ware type pottery, which is typically found in Baluchistan and the Indus region in pre-Harappan contexts.</w:t>
      </w:r>
      <w:r w:rsidR="006858D3">
        <w:rPr>
          <w:rStyle w:val="EndnoteReference"/>
          <w:rFonts w:asciiTheme="majorBidi" w:hAnsiTheme="majorBidi" w:cstheme="majorBidi"/>
          <w:sz w:val="24"/>
          <w:szCs w:val="22"/>
        </w:rPr>
        <w:endnoteReference w:id="71"/>
      </w:r>
      <w:r w:rsidRPr="006858D3">
        <w:rPr>
          <w:rFonts w:asciiTheme="majorBidi" w:hAnsiTheme="majorBidi" w:cstheme="majorBidi"/>
          <w:sz w:val="24"/>
          <w:szCs w:val="22"/>
        </w:rPr>
        <w:t xml:space="preserve"> Also found in </w:t>
      </w:r>
      <w:r w:rsidR="001E1DEF" w:rsidRPr="006858D3">
        <w:rPr>
          <w:rFonts w:asciiTheme="majorBidi" w:hAnsiTheme="majorBidi" w:cstheme="majorBidi"/>
          <w:sz w:val="24"/>
          <w:szCs w:val="22"/>
        </w:rPr>
        <w:t>Sub-Period</w:t>
      </w:r>
      <w:r w:rsidRPr="006858D3">
        <w:rPr>
          <w:rFonts w:asciiTheme="majorBidi" w:hAnsiTheme="majorBidi" w:cstheme="majorBidi"/>
          <w:sz w:val="24"/>
          <w:szCs w:val="22"/>
        </w:rPr>
        <w:t xml:space="preserve"> IV</w:t>
      </w:r>
      <w:r w:rsidRPr="006858D3">
        <w:rPr>
          <w:rFonts w:asciiTheme="majorBidi" w:hAnsiTheme="majorBidi" w:cstheme="majorBidi"/>
          <w:sz w:val="24"/>
          <w:szCs w:val="22"/>
          <w:vertAlign w:val="subscript"/>
        </w:rPr>
        <w:t>3</w:t>
      </w:r>
      <w:r w:rsidRPr="006858D3">
        <w:rPr>
          <w:rFonts w:asciiTheme="majorBidi" w:hAnsiTheme="majorBidi" w:cstheme="majorBidi"/>
          <w:sz w:val="24"/>
          <w:szCs w:val="22"/>
        </w:rPr>
        <w:t xml:space="preserve"> (1961: Fig. </w:t>
      </w:r>
      <w:r w:rsidR="006858D3">
        <w:rPr>
          <w:rFonts w:asciiTheme="majorBidi" w:hAnsiTheme="majorBidi" w:cstheme="majorBidi"/>
          <w:sz w:val="24"/>
          <w:szCs w:val="22"/>
        </w:rPr>
        <w:t>102</w:t>
      </w:r>
      <w:r w:rsidRPr="006858D3">
        <w:rPr>
          <w:rFonts w:asciiTheme="majorBidi" w:hAnsiTheme="majorBidi" w:cstheme="majorBidi"/>
          <w:sz w:val="24"/>
          <w:szCs w:val="22"/>
        </w:rPr>
        <w:t>, no. 485) was an isolated example of a pipal leaf motif executed in black with red infilling similar to the Sothi Ware designs seen at the eastern Indus site of Kalibangan, in northern Rajasthan.</w:t>
      </w:r>
      <w:r w:rsidRPr="006858D3">
        <w:rPr>
          <w:rStyle w:val="EndnoteReference"/>
          <w:rFonts w:asciiTheme="majorBidi" w:hAnsiTheme="majorBidi" w:cstheme="majorBidi"/>
          <w:sz w:val="24"/>
          <w:szCs w:val="22"/>
        </w:rPr>
        <w:endnoteReference w:id="72"/>
      </w:r>
      <w:r w:rsidRPr="006858D3">
        <w:rPr>
          <w:rFonts w:asciiTheme="majorBidi" w:hAnsiTheme="majorBidi" w:cstheme="majorBidi"/>
          <w:sz w:val="24"/>
          <w:szCs w:val="22"/>
        </w:rPr>
        <w:t xml:space="preserve"> There are also examples of an intersecting circle motif infilled with hatching,</w:t>
      </w:r>
      <w:r w:rsidR="005501F2" w:rsidRPr="006858D3">
        <w:rPr>
          <w:rStyle w:val="EndnoteReference"/>
          <w:rFonts w:asciiTheme="majorBidi" w:hAnsiTheme="majorBidi" w:cstheme="majorBidi"/>
          <w:sz w:val="24"/>
          <w:szCs w:val="22"/>
        </w:rPr>
        <w:endnoteReference w:id="73"/>
      </w:r>
      <w:r w:rsidRPr="006858D3">
        <w:rPr>
          <w:rFonts w:asciiTheme="majorBidi" w:hAnsiTheme="majorBidi" w:cstheme="majorBidi"/>
          <w:sz w:val="24"/>
          <w:szCs w:val="22"/>
        </w:rPr>
        <w:t xml:space="preserve"> which is very similar to late Amri and Kot Dijian examples. It is clear from these </w:t>
      </w:r>
      <w:r w:rsidRPr="006858D3">
        <w:rPr>
          <w:rFonts w:asciiTheme="majorBidi" w:hAnsiTheme="majorBidi" w:cstheme="majorBidi"/>
          <w:sz w:val="24"/>
          <w:szCs w:val="22"/>
        </w:rPr>
        <w:lastRenderedPageBreak/>
        <w:t xml:space="preserve">specific examples, and others, that during </w:t>
      </w:r>
      <w:r w:rsidR="001E1DEF" w:rsidRPr="006858D3">
        <w:rPr>
          <w:rFonts w:asciiTheme="majorBidi" w:hAnsiTheme="majorBidi" w:cstheme="majorBidi"/>
          <w:sz w:val="24"/>
          <w:szCs w:val="22"/>
        </w:rPr>
        <w:t>Sub-Period</w:t>
      </w:r>
      <w:r w:rsidRPr="006858D3">
        <w:rPr>
          <w:rFonts w:asciiTheme="majorBidi" w:hAnsiTheme="majorBidi" w:cstheme="majorBidi"/>
          <w:sz w:val="24"/>
          <w:szCs w:val="22"/>
        </w:rPr>
        <w:t>s IV</w:t>
      </w:r>
      <w:r w:rsidRPr="006858D3">
        <w:rPr>
          <w:rFonts w:asciiTheme="majorBidi" w:hAnsiTheme="majorBidi" w:cstheme="majorBidi"/>
          <w:sz w:val="24"/>
          <w:szCs w:val="22"/>
          <w:vertAlign w:val="subscript"/>
        </w:rPr>
        <w:t>1–3</w:t>
      </w:r>
      <w:r w:rsidRPr="006858D3">
        <w:rPr>
          <w:rFonts w:asciiTheme="majorBidi" w:hAnsiTheme="majorBidi" w:cstheme="majorBidi"/>
          <w:sz w:val="24"/>
          <w:szCs w:val="22"/>
        </w:rPr>
        <w:t xml:space="preserve"> there was </w:t>
      </w:r>
      <w:r w:rsidR="0086540F">
        <w:rPr>
          <w:rFonts w:asciiTheme="majorBidi" w:hAnsiTheme="majorBidi" w:cstheme="majorBidi"/>
          <w:sz w:val="24"/>
          <w:szCs w:val="22"/>
        </w:rPr>
        <w:t xml:space="preserve">some form of </w:t>
      </w:r>
      <w:r w:rsidRPr="006858D3">
        <w:rPr>
          <w:rFonts w:asciiTheme="majorBidi" w:hAnsiTheme="majorBidi" w:cstheme="majorBidi"/>
          <w:sz w:val="24"/>
          <w:szCs w:val="22"/>
        </w:rPr>
        <w:t>communication between Mundigak and Baluchistan and the Indus region.</w:t>
      </w:r>
    </w:p>
    <w:p w14:paraId="4F79BBE2" w14:textId="77777777"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Unlike previous fluctuations in handmade pottery (Periods I–III), which were confined to the coarse tempered utilitarian vessels (also persisting into Period V) handmade pottery in Period V had new vessel forms, black-on-red slipped decoration, and was made from a finer paste. It is difficult to evaluate the significance of this change since no relative frequency data are available for this period. Most of the handmade ceramics appear to be bowls, but not all bowls were handmade. Overall, regardless of manufacturing method, these new forms were deeper and more curvilinear. Among the various varieties, three basic bowl forms can be defined: (1) simple hemispherical; (2) a form with the lower three-quarters being a straight-angular wall with a slight convex curve ending in an S-shaped, straight or incurving lip; and, (3) a more globular bowl with an S-shaped profile. Simple circular handles are a common feature on many vessels particularly the last vessel form (3). In contrast, jar vessel forms, both decorated and undecorated, were predominantly wheel-made. Both collared and un-collared globular jars were found with either everted or simple rims. Judging from the illustrations, jars appear to be mainly large in size and sometimes manufactured with spouts.</w:t>
      </w:r>
    </w:p>
    <w:p w14:paraId="0C29A239" w14:textId="77777777"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The almost completely geometric black or violet motifs are executed on a red slip which on some examples is extremely thin, almost a wash. A few highly stylised ‘stick’ figure zoomorphic motifs were found, and, more rarely, a horizontal frieze of horns. The basic decorative style is highly conventionalised, consisting of a single horizontal band of cross-hatching near the vessel rim. Sometimes multiple bands were found separated by open spaces which could be filled with additional simple geometric motifs. Extending downward from these bands, and dividing the vessel surface into panels, are a series of solid or multiple-lined isosceles triangles or, more rarely, diamond motifs. Sometimes these elements are joined at the </w:t>
      </w:r>
      <w:r w:rsidRPr="00067D8A">
        <w:rPr>
          <w:rFonts w:asciiTheme="majorBidi" w:hAnsiTheme="majorBidi" w:cstheme="majorBidi"/>
          <w:sz w:val="24"/>
          <w:szCs w:val="22"/>
        </w:rPr>
        <w:lastRenderedPageBreak/>
        <w:t>top by a festooned band. These motif combinations are found on both bowls and jars. However, on jar forms a more simple pattern of cross-hatched triangles can be found as well as cordons emphasizing the motifs.</w:t>
      </w:r>
    </w:p>
    <w:p w14:paraId="3441255F" w14:textId="77777777" w:rsidR="0030226C" w:rsidRPr="005501F2" w:rsidRDefault="009C43AA" w:rsidP="0030226C">
      <w:pPr>
        <w:pStyle w:val="Heading3"/>
        <w:rPr>
          <w:rFonts w:asciiTheme="majorBidi" w:hAnsiTheme="majorBidi"/>
          <w:color w:val="auto"/>
          <w:lang w:val="en-GB"/>
        </w:rPr>
      </w:pPr>
      <w:r w:rsidRPr="009C43AA">
        <w:rPr>
          <w:rFonts w:asciiTheme="majorBidi" w:hAnsiTheme="majorBidi"/>
          <w:color w:val="auto"/>
          <w:lang w:val="en-GB"/>
        </w:rPr>
        <w:t>Lithic Artefacts</w:t>
      </w:r>
    </w:p>
    <w:p w14:paraId="42437DFC" w14:textId="4522334F" w:rsidR="0030226C" w:rsidRPr="00067D8A" w:rsidRDefault="0030226C" w:rsidP="0030226C">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The lithic artefacts that are discussed here are those which have a utilitarian function. Those artefacts</w:t>
      </w:r>
      <w:r w:rsidR="0086540F">
        <w:rPr>
          <w:rFonts w:asciiTheme="majorBidi" w:hAnsiTheme="majorBidi" w:cstheme="majorBidi"/>
          <w:sz w:val="24"/>
          <w:szCs w:val="22"/>
          <w:lang w:val="en-GB"/>
        </w:rPr>
        <w:t>,</w:t>
      </w:r>
      <w:r w:rsidRPr="00067D8A">
        <w:rPr>
          <w:rFonts w:asciiTheme="majorBidi" w:hAnsiTheme="majorBidi" w:cstheme="majorBidi"/>
          <w:sz w:val="24"/>
          <w:szCs w:val="22"/>
          <w:lang w:val="en-GB"/>
        </w:rPr>
        <w:t xml:space="preserve"> which because of the nature of the object produced (beads, amulets, small vessels, etc.), stone of manufacture (semi-precious or precious), and comparatively small quantity</w:t>
      </w:r>
      <w:r w:rsidR="0086540F">
        <w:rPr>
          <w:rFonts w:asciiTheme="majorBidi" w:hAnsiTheme="majorBidi" w:cstheme="majorBidi"/>
          <w:sz w:val="24"/>
          <w:szCs w:val="22"/>
          <w:lang w:val="en-GB"/>
        </w:rPr>
        <w:t>,</w:t>
      </w:r>
      <w:r w:rsidRPr="00067D8A">
        <w:rPr>
          <w:rFonts w:asciiTheme="majorBidi" w:hAnsiTheme="majorBidi" w:cstheme="majorBidi"/>
          <w:sz w:val="24"/>
          <w:szCs w:val="22"/>
          <w:lang w:val="en-GB"/>
        </w:rPr>
        <w:t xml:space="preserve"> indicate a non-utilitarian function are discussed under Miscellaneous Artefacts.</w:t>
      </w:r>
    </w:p>
    <w:p w14:paraId="32450989" w14:textId="5DAC79AD"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Rectangular milling stones and associated rectangular to oval handstones were recorded in all occupational periods at Mundigak (Fig. </w:t>
      </w:r>
      <w:r w:rsidR="005B52A9">
        <w:rPr>
          <w:rFonts w:asciiTheme="majorBidi" w:hAnsiTheme="majorBidi" w:cstheme="majorBidi"/>
          <w:sz w:val="24"/>
          <w:szCs w:val="22"/>
        </w:rPr>
        <w:t>4.</w:t>
      </w:r>
      <w:r w:rsidRPr="00067D8A">
        <w:rPr>
          <w:rFonts w:asciiTheme="majorBidi" w:hAnsiTheme="majorBidi" w:cstheme="majorBidi"/>
          <w:sz w:val="24"/>
          <w:szCs w:val="22"/>
        </w:rPr>
        <w:t xml:space="preserve">37b). Milling stones were manufactured from medium to coarse grain basaltic boulders. They had a single level working surface (or concave depending upon degree of use) sometimes with one raised end. Many of these stones had their unworked surface smoothed by water action. Hand-stones were manufactured from a medium to fine grain basaltic cobble and had grinding scars on one or both surfaces. Besides these milling and hand-stones some crude mortars and pestles were identified for Period I (Fig. </w:t>
      </w:r>
      <w:r w:rsidR="005B52A9">
        <w:rPr>
          <w:rFonts w:asciiTheme="majorBidi" w:hAnsiTheme="majorBidi" w:cstheme="majorBidi"/>
          <w:sz w:val="24"/>
          <w:szCs w:val="22"/>
        </w:rPr>
        <w:t>4.</w:t>
      </w:r>
      <w:r w:rsidRPr="00067D8A">
        <w:rPr>
          <w:rFonts w:asciiTheme="majorBidi" w:hAnsiTheme="majorBidi" w:cstheme="majorBidi"/>
          <w:sz w:val="24"/>
          <w:szCs w:val="22"/>
        </w:rPr>
        <w:t>37c). Another type of ground</w:t>
      </w:r>
      <w:r w:rsidR="0086540F">
        <w:rPr>
          <w:rFonts w:asciiTheme="majorBidi" w:hAnsiTheme="majorBidi" w:cstheme="majorBidi"/>
          <w:sz w:val="24"/>
          <w:szCs w:val="22"/>
        </w:rPr>
        <w:t xml:space="preserve"> </w:t>
      </w:r>
      <w:r w:rsidRPr="00067D8A">
        <w:rPr>
          <w:rFonts w:asciiTheme="majorBidi" w:hAnsiTheme="majorBidi" w:cstheme="majorBidi"/>
          <w:sz w:val="24"/>
          <w:szCs w:val="22"/>
        </w:rPr>
        <w:t xml:space="preserve">stone artefact </w:t>
      </w:r>
      <w:r w:rsidRPr="0086540F">
        <w:rPr>
          <w:rFonts w:asciiTheme="majorBidi" w:hAnsiTheme="majorBidi" w:cstheme="majorBidi"/>
          <w:sz w:val="24"/>
          <w:szCs w:val="22"/>
        </w:rPr>
        <w:t xml:space="preserve">found in </w:t>
      </w:r>
      <w:r w:rsidR="001E1DEF" w:rsidRPr="0086540F">
        <w:rPr>
          <w:rFonts w:asciiTheme="majorBidi" w:hAnsiTheme="majorBidi" w:cstheme="majorBidi"/>
          <w:sz w:val="24"/>
          <w:szCs w:val="22"/>
        </w:rPr>
        <w:t>Sub-Period</w:t>
      </w:r>
      <w:r w:rsidRPr="0086540F">
        <w:rPr>
          <w:rFonts w:asciiTheme="majorBidi" w:hAnsiTheme="majorBidi" w:cstheme="majorBidi"/>
          <w:sz w:val="24"/>
          <w:szCs w:val="22"/>
        </w:rPr>
        <w:t>s I</w:t>
      </w:r>
      <w:r w:rsidRPr="0086540F">
        <w:rPr>
          <w:rFonts w:asciiTheme="majorBidi" w:hAnsiTheme="majorBidi" w:cstheme="majorBidi"/>
          <w:sz w:val="24"/>
          <w:szCs w:val="22"/>
          <w:vertAlign w:val="subscript"/>
        </w:rPr>
        <w:t>5</w:t>
      </w:r>
      <w:r w:rsidRPr="0086540F">
        <w:rPr>
          <w:rFonts w:asciiTheme="majorBidi" w:hAnsiTheme="majorBidi" w:cstheme="majorBidi"/>
          <w:sz w:val="24"/>
          <w:szCs w:val="22"/>
        </w:rPr>
        <w:t>–III</w:t>
      </w:r>
      <w:r w:rsidRPr="0086540F">
        <w:rPr>
          <w:rFonts w:asciiTheme="majorBidi" w:hAnsiTheme="majorBidi" w:cstheme="majorBidi"/>
          <w:sz w:val="24"/>
          <w:szCs w:val="22"/>
          <w:vertAlign w:val="subscript"/>
        </w:rPr>
        <w:t>6</w:t>
      </w:r>
      <w:r w:rsidRPr="0086540F">
        <w:rPr>
          <w:rFonts w:asciiTheme="majorBidi" w:hAnsiTheme="majorBidi" w:cstheme="majorBidi"/>
          <w:sz w:val="24"/>
          <w:szCs w:val="22"/>
        </w:rPr>
        <w:t xml:space="preserve"> was a perforated, large white limestone ‘weight’. Stones with a long axis groove appear in </w:t>
      </w:r>
      <w:r w:rsidR="001E1DEF" w:rsidRPr="0086540F">
        <w:rPr>
          <w:rFonts w:asciiTheme="majorBidi" w:hAnsiTheme="majorBidi" w:cstheme="majorBidi"/>
          <w:sz w:val="24"/>
          <w:szCs w:val="22"/>
        </w:rPr>
        <w:t>Sub-Period</w:t>
      </w:r>
      <w:r w:rsidRPr="0086540F">
        <w:rPr>
          <w:rFonts w:asciiTheme="majorBidi" w:hAnsiTheme="majorBidi" w:cstheme="majorBidi"/>
          <w:sz w:val="24"/>
          <w:szCs w:val="22"/>
        </w:rPr>
        <w:t xml:space="preserve"> III</w:t>
      </w:r>
      <w:r w:rsidRPr="0086540F">
        <w:rPr>
          <w:rFonts w:asciiTheme="majorBidi" w:hAnsiTheme="majorBidi" w:cstheme="majorBidi"/>
          <w:sz w:val="24"/>
          <w:szCs w:val="22"/>
          <w:vertAlign w:val="subscript"/>
        </w:rPr>
        <w:t>4</w:t>
      </w:r>
      <w:r w:rsidRPr="00067D8A">
        <w:rPr>
          <w:rFonts w:asciiTheme="majorBidi" w:hAnsiTheme="majorBidi" w:cstheme="majorBidi"/>
          <w:sz w:val="24"/>
          <w:szCs w:val="22"/>
        </w:rPr>
        <w:t xml:space="preserve"> and increase significantly in remaining occupations (‘counter-weights’?) (Figs </w:t>
      </w:r>
      <w:r w:rsidR="005B52A9">
        <w:rPr>
          <w:rFonts w:asciiTheme="majorBidi" w:hAnsiTheme="majorBidi" w:cstheme="majorBidi"/>
          <w:sz w:val="24"/>
          <w:szCs w:val="22"/>
        </w:rPr>
        <w:t>4.</w:t>
      </w:r>
      <w:r w:rsidRPr="00067D8A">
        <w:rPr>
          <w:rFonts w:asciiTheme="majorBidi" w:hAnsiTheme="majorBidi" w:cstheme="majorBidi"/>
          <w:sz w:val="24"/>
          <w:szCs w:val="22"/>
        </w:rPr>
        <w:t>34, no. 5). Large trapezoidal hoes retouched for hafting and having a polish resulting from use were located from the end of Period I until the final occupation.</w:t>
      </w:r>
    </w:p>
    <w:p w14:paraId="1D8B9035" w14:textId="77D20A84" w:rsidR="0030226C" w:rsidRPr="00067D8A" w:rsidRDefault="0030226C" w:rsidP="0030226C">
      <w:pPr>
        <w:pStyle w:val="BodyTextIndent"/>
        <w:rPr>
          <w:rFonts w:asciiTheme="majorBidi" w:hAnsiTheme="majorBidi" w:cstheme="majorBidi"/>
          <w:sz w:val="24"/>
          <w:szCs w:val="22"/>
        </w:rPr>
      </w:pPr>
      <w:r w:rsidRPr="0086540F">
        <w:rPr>
          <w:rFonts w:asciiTheme="majorBidi" w:hAnsiTheme="majorBidi" w:cstheme="majorBidi"/>
          <w:sz w:val="24"/>
          <w:szCs w:val="22"/>
        </w:rPr>
        <w:t xml:space="preserve">Beginning in </w:t>
      </w:r>
      <w:r w:rsidR="001E1DEF" w:rsidRPr="0086540F">
        <w:rPr>
          <w:rFonts w:asciiTheme="majorBidi" w:hAnsiTheme="majorBidi" w:cstheme="majorBidi"/>
          <w:sz w:val="24"/>
          <w:szCs w:val="22"/>
        </w:rPr>
        <w:t>Sub-Period</w:t>
      </w:r>
      <w:r w:rsidRPr="0086540F">
        <w:rPr>
          <w:rFonts w:asciiTheme="majorBidi" w:hAnsiTheme="majorBidi" w:cstheme="majorBidi"/>
          <w:sz w:val="24"/>
          <w:szCs w:val="22"/>
        </w:rPr>
        <w:t xml:space="preserve"> I</w:t>
      </w:r>
      <w:r w:rsidRPr="0086540F">
        <w:rPr>
          <w:rFonts w:asciiTheme="majorBidi" w:hAnsiTheme="majorBidi" w:cstheme="majorBidi"/>
          <w:sz w:val="24"/>
          <w:szCs w:val="22"/>
          <w:vertAlign w:val="subscript"/>
        </w:rPr>
        <w:t>4</w:t>
      </w:r>
      <w:r w:rsidRPr="0086540F">
        <w:rPr>
          <w:rFonts w:asciiTheme="majorBidi" w:hAnsiTheme="majorBidi" w:cstheme="majorBidi"/>
          <w:sz w:val="24"/>
          <w:szCs w:val="22"/>
        </w:rPr>
        <w:t xml:space="preserve"> and persisting</w:t>
      </w:r>
      <w:r w:rsidRPr="00067D8A">
        <w:rPr>
          <w:rFonts w:asciiTheme="majorBidi" w:hAnsiTheme="majorBidi" w:cstheme="majorBidi"/>
          <w:sz w:val="24"/>
          <w:szCs w:val="22"/>
        </w:rPr>
        <w:t xml:space="preserve"> throughout the </w:t>
      </w:r>
      <w:r w:rsidR="0086540F">
        <w:rPr>
          <w:rFonts w:asciiTheme="majorBidi" w:hAnsiTheme="majorBidi" w:cstheme="majorBidi"/>
          <w:sz w:val="24"/>
          <w:szCs w:val="22"/>
        </w:rPr>
        <w:t>rest of the</w:t>
      </w:r>
      <w:r w:rsidR="0086540F" w:rsidRPr="00067D8A">
        <w:rPr>
          <w:rFonts w:asciiTheme="majorBidi" w:hAnsiTheme="majorBidi" w:cstheme="majorBidi"/>
          <w:sz w:val="24"/>
          <w:szCs w:val="22"/>
        </w:rPr>
        <w:t xml:space="preserve"> </w:t>
      </w:r>
      <w:r w:rsidRPr="00067D8A">
        <w:rPr>
          <w:rFonts w:asciiTheme="majorBidi" w:hAnsiTheme="majorBidi" w:cstheme="majorBidi"/>
          <w:sz w:val="24"/>
          <w:szCs w:val="22"/>
        </w:rPr>
        <w:t xml:space="preserve">sequence at Mundigak is a type of knife-scraper manufactured from large cortex flakes (Fig. </w:t>
      </w:r>
      <w:r w:rsidR="005B52A9">
        <w:rPr>
          <w:rFonts w:asciiTheme="majorBidi" w:hAnsiTheme="majorBidi" w:cstheme="majorBidi"/>
          <w:sz w:val="24"/>
          <w:szCs w:val="22"/>
        </w:rPr>
        <w:t>4.</w:t>
      </w:r>
      <w:r w:rsidRPr="00067D8A">
        <w:rPr>
          <w:rFonts w:asciiTheme="majorBidi" w:hAnsiTheme="majorBidi" w:cstheme="majorBidi"/>
          <w:sz w:val="24"/>
          <w:szCs w:val="22"/>
        </w:rPr>
        <w:t xml:space="preserve">34, nos 1–2). These flakes were usually retouched along one edge and were occasionally polished through usage. Flint artefacts appear for the first time in Period II, in the form of blades and points. Initially these blades are large and have triangular (Period II) (Fig. </w:t>
      </w:r>
      <w:r w:rsidR="005B52A9">
        <w:rPr>
          <w:rFonts w:asciiTheme="majorBidi" w:hAnsiTheme="majorBidi" w:cstheme="majorBidi"/>
          <w:sz w:val="24"/>
          <w:szCs w:val="22"/>
        </w:rPr>
        <w:t>4.</w:t>
      </w:r>
      <w:r w:rsidRPr="00067D8A">
        <w:rPr>
          <w:rFonts w:asciiTheme="majorBidi" w:hAnsiTheme="majorBidi" w:cstheme="majorBidi"/>
          <w:sz w:val="24"/>
          <w:szCs w:val="22"/>
        </w:rPr>
        <w:t xml:space="preserve">34, no. 3) and trapezoidal (Period </w:t>
      </w:r>
      <w:r w:rsidRPr="00067D8A">
        <w:rPr>
          <w:rFonts w:asciiTheme="majorBidi" w:hAnsiTheme="majorBidi" w:cstheme="majorBidi"/>
          <w:sz w:val="24"/>
          <w:szCs w:val="22"/>
        </w:rPr>
        <w:lastRenderedPageBreak/>
        <w:t xml:space="preserve">III) (Fig. </w:t>
      </w:r>
      <w:r w:rsidR="005B52A9">
        <w:rPr>
          <w:rFonts w:asciiTheme="majorBidi" w:hAnsiTheme="majorBidi" w:cstheme="majorBidi"/>
          <w:sz w:val="24"/>
          <w:szCs w:val="22"/>
        </w:rPr>
        <w:t>4.</w:t>
      </w:r>
      <w:r w:rsidRPr="00067D8A">
        <w:rPr>
          <w:rFonts w:asciiTheme="majorBidi" w:hAnsiTheme="majorBidi" w:cstheme="majorBidi"/>
          <w:sz w:val="24"/>
          <w:szCs w:val="22"/>
        </w:rPr>
        <w:t xml:space="preserve">34, no.3) 4) cross-sections, but are very rare. However, in </w:t>
      </w:r>
      <w:r w:rsidR="001E1DEF" w:rsidRPr="0086540F">
        <w:rPr>
          <w:rFonts w:asciiTheme="majorBidi" w:hAnsiTheme="majorBidi" w:cstheme="majorBidi"/>
          <w:sz w:val="24"/>
          <w:szCs w:val="22"/>
        </w:rPr>
        <w:t>Sub-Period</w:t>
      </w:r>
      <w:r w:rsidRPr="0086540F">
        <w:rPr>
          <w:rFonts w:asciiTheme="majorBidi" w:hAnsiTheme="majorBidi" w:cstheme="majorBidi"/>
          <w:sz w:val="24"/>
          <w:szCs w:val="22"/>
        </w:rPr>
        <w:t>s</w:t>
      </w:r>
      <w:r w:rsidRPr="00067D8A">
        <w:rPr>
          <w:rFonts w:asciiTheme="majorBidi" w:hAnsiTheme="majorBidi" w:cstheme="majorBidi"/>
          <w:sz w:val="24"/>
          <w:szCs w:val="22"/>
        </w:rPr>
        <w:t xml:space="preserve"> III</w:t>
      </w:r>
      <w:r w:rsidRPr="00067D8A">
        <w:rPr>
          <w:rFonts w:asciiTheme="majorBidi" w:hAnsiTheme="majorBidi" w:cstheme="majorBidi"/>
          <w:sz w:val="24"/>
          <w:szCs w:val="22"/>
          <w:vertAlign w:val="subscript"/>
        </w:rPr>
        <w:t xml:space="preserve">5–6 </w:t>
      </w:r>
      <w:r w:rsidRPr="00067D8A">
        <w:rPr>
          <w:rFonts w:asciiTheme="majorBidi" w:hAnsiTheme="majorBidi" w:cstheme="majorBidi"/>
          <w:sz w:val="24"/>
          <w:szCs w:val="22"/>
        </w:rPr>
        <w:t>microlithic (2–5 cm) blades are introduced in quantity and are located throughout the remaining periods of occupation. Bifacially flaked lanceolate flint points were found first in Period II</w:t>
      </w:r>
      <w:r w:rsidRPr="00067D8A">
        <w:rPr>
          <w:rFonts w:asciiTheme="majorBidi" w:hAnsiTheme="majorBidi" w:cstheme="majorBidi"/>
          <w:sz w:val="24"/>
          <w:szCs w:val="22"/>
          <w:vertAlign w:val="subscript"/>
        </w:rPr>
        <w:t>2</w:t>
      </w:r>
      <w:r w:rsidRPr="00067D8A">
        <w:rPr>
          <w:rFonts w:asciiTheme="majorBidi" w:hAnsiTheme="majorBidi" w:cstheme="majorBidi"/>
          <w:sz w:val="24"/>
          <w:szCs w:val="22"/>
        </w:rPr>
        <w:t xml:space="preserve"> and continue throughout the sequence (Fig. </w:t>
      </w:r>
      <w:r w:rsidR="005B52A9">
        <w:rPr>
          <w:rFonts w:asciiTheme="majorBidi" w:hAnsiTheme="majorBidi" w:cstheme="majorBidi"/>
          <w:sz w:val="24"/>
          <w:szCs w:val="22"/>
        </w:rPr>
        <w:t>4.</w:t>
      </w:r>
      <w:r w:rsidRPr="00067D8A">
        <w:rPr>
          <w:rFonts w:asciiTheme="majorBidi" w:hAnsiTheme="majorBidi" w:cstheme="majorBidi"/>
          <w:sz w:val="24"/>
          <w:szCs w:val="22"/>
        </w:rPr>
        <w:t xml:space="preserve">34, nos 8–10). Two types are distinguishable on the basis of size, large and small, with several examples of extremely large points located in </w:t>
      </w:r>
      <w:r w:rsidR="001E1DEF" w:rsidRPr="0086540F">
        <w:rPr>
          <w:rFonts w:asciiTheme="majorBidi" w:hAnsiTheme="majorBidi" w:cstheme="majorBidi"/>
          <w:sz w:val="24"/>
          <w:szCs w:val="22"/>
        </w:rPr>
        <w:t>Sub-Period</w:t>
      </w:r>
      <w:r w:rsidRPr="00067D8A">
        <w:rPr>
          <w:rFonts w:asciiTheme="majorBidi" w:hAnsiTheme="majorBidi" w:cstheme="majorBidi"/>
          <w:sz w:val="24"/>
          <w:szCs w:val="22"/>
        </w:rPr>
        <w:t xml:space="preserve"> III</w:t>
      </w:r>
      <w:r w:rsidRPr="00067D8A">
        <w:rPr>
          <w:rFonts w:asciiTheme="majorBidi" w:hAnsiTheme="majorBidi" w:cstheme="majorBidi"/>
          <w:sz w:val="24"/>
          <w:szCs w:val="22"/>
          <w:vertAlign w:val="subscript"/>
        </w:rPr>
        <w:t>e</w:t>
      </w:r>
      <w:r w:rsidRPr="00067D8A">
        <w:rPr>
          <w:rFonts w:asciiTheme="majorBidi" w:hAnsiTheme="majorBidi" w:cstheme="majorBidi"/>
          <w:sz w:val="24"/>
          <w:szCs w:val="22"/>
        </w:rPr>
        <w:t xml:space="preserve">. In Period IV a new type of point is introduced which is triangular with a rounded base and persists through Period VI (Fig. </w:t>
      </w:r>
      <w:r w:rsidR="005B52A9">
        <w:rPr>
          <w:rFonts w:asciiTheme="majorBidi" w:hAnsiTheme="majorBidi" w:cstheme="majorBidi"/>
          <w:sz w:val="24"/>
          <w:szCs w:val="22"/>
        </w:rPr>
        <w:t>4.</w:t>
      </w:r>
      <w:r w:rsidRPr="00067D8A">
        <w:rPr>
          <w:rFonts w:asciiTheme="majorBidi" w:hAnsiTheme="majorBidi" w:cstheme="majorBidi"/>
          <w:sz w:val="24"/>
          <w:szCs w:val="22"/>
        </w:rPr>
        <w:t xml:space="preserve">34, nos 11–13). It is important to note that points of all types are found in some quantity. Period IV is also distinguished by the appearance of several examples of a small concave sided cylindrical objects with central perforation, and Quetta Ware style geometric motifs engraved on their sides (Fig. </w:t>
      </w:r>
      <w:r w:rsidR="005B52A9">
        <w:rPr>
          <w:rFonts w:asciiTheme="majorBidi" w:hAnsiTheme="majorBidi" w:cstheme="majorBidi"/>
          <w:sz w:val="24"/>
          <w:szCs w:val="22"/>
        </w:rPr>
        <w:t>4.</w:t>
      </w:r>
      <w:r w:rsidRPr="00067D8A">
        <w:rPr>
          <w:rFonts w:asciiTheme="majorBidi" w:hAnsiTheme="majorBidi" w:cstheme="majorBidi"/>
          <w:sz w:val="24"/>
          <w:szCs w:val="22"/>
        </w:rPr>
        <w:t>34, nos. 6–7). These objects are manufactured from alabaster and other hard stones. A few pieces of unworked galena are also found in Period IV, but their purpose is unknown.</w:t>
      </w:r>
    </w:p>
    <w:p w14:paraId="0E280704" w14:textId="77777777" w:rsidR="0030226C" w:rsidRPr="005501F2" w:rsidRDefault="009C43AA" w:rsidP="0030226C">
      <w:pPr>
        <w:pStyle w:val="Heading3"/>
        <w:rPr>
          <w:rFonts w:asciiTheme="majorBidi" w:hAnsiTheme="majorBidi"/>
          <w:color w:val="auto"/>
          <w:lang w:val="en-GB"/>
        </w:rPr>
      </w:pPr>
      <w:r w:rsidRPr="009C43AA">
        <w:rPr>
          <w:rFonts w:asciiTheme="majorBidi" w:hAnsiTheme="majorBidi"/>
          <w:color w:val="auto"/>
          <w:lang w:val="en-GB"/>
        </w:rPr>
        <w:t>Bone Artefacts</w:t>
      </w:r>
    </w:p>
    <w:p w14:paraId="30A1DC0D" w14:textId="50FDB76F" w:rsidR="0030226C" w:rsidRPr="00067D8A" w:rsidRDefault="0030226C" w:rsidP="0030226C">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Bone artefacts were limited in variety and were found with frequency only in Periods I–III. Casal maintain</w:t>
      </w:r>
      <w:r w:rsidR="0086540F">
        <w:rPr>
          <w:rFonts w:asciiTheme="majorBidi" w:hAnsiTheme="majorBidi" w:cstheme="majorBidi"/>
          <w:sz w:val="24"/>
          <w:szCs w:val="22"/>
          <w:lang w:val="en-GB"/>
        </w:rPr>
        <w:t>ed</w:t>
      </w:r>
      <w:r w:rsidRPr="00067D8A">
        <w:rPr>
          <w:rFonts w:asciiTheme="majorBidi" w:hAnsiTheme="majorBidi" w:cstheme="majorBidi"/>
          <w:sz w:val="24"/>
          <w:szCs w:val="22"/>
          <w:lang w:val="en-GB"/>
        </w:rPr>
        <w:t xml:space="preserve"> that the distribution of bone artefacts, particularly pointed objects, co-varies with increased utilization of bronze points.</w:t>
      </w:r>
      <w:r w:rsidRPr="00067D8A">
        <w:rPr>
          <w:rStyle w:val="EndnoteReference"/>
          <w:rFonts w:asciiTheme="majorBidi" w:hAnsiTheme="majorBidi" w:cstheme="majorBidi"/>
          <w:sz w:val="24"/>
          <w:szCs w:val="22"/>
          <w:lang w:val="en-GB"/>
        </w:rPr>
        <w:endnoteReference w:id="74"/>
      </w:r>
      <w:r w:rsidRPr="00067D8A">
        <w:rPr>
          <w:rFonts w:asciiTheme="majorBidi" w:hAnsiTheme="majorBidi" w:cstheme="majorBidi"/>
          <w:sz w:val="24"/>
          <w:szCs w:val="22"/>
          <w:lang w:val="en-GB"/>
        </w:rPr>
        <w:t xml:space="preserve"> The most numerous bone artefacts were hundreds of pointed awl or punch fragments (Fig. </w:t>
      </w:r>
      <w:r w:rsidR="005B52A9">
        <w:rPr>
          <w:rFonts w:asciiTheme="majorBidi" w:hAnsiTheme="majorBidi" w:cstheme="majorBidi"/>
          <w:sz w:val="24"/>
          <w:szCs w:val="22"/>
          <w:lang w:val="en-GB"/>
        </w:rPr>
        <w:t>4.</w:t>
      </w:r>
      <w:r w:rsidRPr="00067D8A">
        <w:rPr>
          <w:rFonts w:asciiTheme="majorBidi" w:hAnsiTheme="majorBidi" w:cstheme="majorBidi"/>
          <w:sz w:val="24"/>
          <w:szCs w:val="22"/>
          <w:lang w:val="en-GB"/>
        </w:rPr>
        <w:t xml:space="preserve">34, no. 14). These awls, or punches, were manufactured from the long bones of various animals (sheep/goat?) and were polished from use. The first example is recorded in </w:t>
      </w:r>
      <w:r w:rsidR="001E1DEF" w:rsidRPr="0086540F">
        <w:rPr>
          <w:rFonts w:asciiTheme="majorBidi" w:hAnsiTheme="majorBidi" w:cstheme="majorBidi"/>
          <w:sz w:val="24"/>
          <w:szCs w:val="22"/>
          <w:lang w:val="en-GB"/>
        </w:rPr>
        <w:t>Sub-Period</w:t>
      </w:r>
      <w:r w:rsidRPr="00067D8A">
        <w:rPr>
          <w:rFonts w:asciiTheme="majorBidi" w:hAnsiTheme="majorBidi" w:cstheme="majorBidi"/>
          <w:sz w:val="24"/>
          <w:szCs w:val="22"/>
          <w:lang w:val="en-GB"/>
        </w:rPr>
        <w:t xml:space="preserve"> I</w:t>
      </w:r>
      <w:r w:rsidRPr="00067D8A">
        <w:rPr>
          <w:rFonts w:asciiTheme="majorBidi" w:hAnsiTheme="majorBidi" w:cstheme="majorBidi"/>
          <w:sz w:val="24"/>
          <w:szCs w:val="22"/>
          <w:vertAlign w:val="subscript"/>
          <w:lang w:val="en-GB"/>
        </w:rPr>
        <w:t>3</w:t>
      </w:r>
      <w:r w:rsidRPr="00067D8A">
        <w:rPr>
          <w:rFonts w:asciiTheme="majorBidi" w:hAnsiTheme="majorBidi" w:cstheme="majorBidi"/>
          <w:sz w:val="24"/>
          <w:szCs w:val="22"/>
          <w:lang w:val="en-GB"/>
        </w:rPr>
        <w:t xml:space="preserve"> reaches its greatest frequency of complete examples in </w:t>
      </w:r>
      <w:r w:rsidR="001E1DEF" w:rsidRPr="0086540F">
        <w:rPr>
          <w:rFonts w:asciiTheme="majorBidi" w:hAnsiTheme="majorBidi" w:cstheme="majorBidi"/>
          <w:sz w:val="24"/>
          <w:szCs w:val="22"/>
          <w:lang w:val="en-GB"/>
        </w:rPr>
        <w:t>Sub-Period</w:t>
      </w:r>
      <w:r w:rsidRPr="00067D8A">
        <w:rPr>
          <w:rFonts w:asciiTheme="majorBidi" w:hAnsiTheme="majorBidi" w:cstheme="majorBidi"/>
          <w:sz w:val="24"/>
          <w:szCs w:val="22"/>
          <w:lang w:val="en-GB"/>
        </w:rPr>
        <w:t xml:space="preserve"> II</w:t>
      </w:r>
      <w:r w:rsidRPr="00067D8A">
        <w:rPr>
          <w:rFonts w:asciiTheme="majorBidi" w:hAnsiTheme="majorBidi" w:cstheme="majorBidi"/>
          <w:sz w:val="24"/>
          <w:szCs w:val="22"/>
          <w:vertAlign w:val="subscript"/>
          <w:lang w:val="en-GB"/>
        </w:rPr>
        <w:t>3</w:t>
      </w:r>
      <w:r w:rsidRPr="00067D8A">
        <w:rPr>
          <w:rFonts w:asciiTheme="majorBidi" w:hAnsiTheme="majorBidi" w:cstheme="majorBidi"/>
          <w:sz w:val="24"/>
          <w:szCs w:val="22"/>
          <w:lang w:val="en-GB"/>
        </w:rPr>
        <w:t xml:space="preserve"> (88), progressively declines throughout Period III and bec</w:t>
      </w:r>
      <w:r w:rsidR="0086540F">
        <w:rPr>
          <w:rFonts w:asciiTheme="majorBidi" w:hAnsiTheme="majorBidi" w:cstheme="majorBidi"/>
          <w:sz w:val="24"/>
          <w:szCs w:val="22"/>
          <w:lang w:val="en-GB"/>
        </w:rPr>
        <w:t>a</w:t>
      </w:r>
      <w:r w:rsidRPr="00067D8A">
        <w:rPr>
          <w:rFonts w:asciiTheme="majorBidi" w:hAnsiTheme="majorBidi" w:cstheme="majorBidi"/>
          <w:sz w:val="24"/>
          <w:szCs w:val="22"/>
          <w:lang w:val="en-GB"/>
        </w:rPr>
        <w:t>me rare by Period IV. Another bone artefact found only in Period I (three examples) was a small polished rectangular piece of bone with several perforations whose function is unknown, though it may have been used in bead drilling. Bone spatulas are frequently found in Period III and, unlike the awls or punches, is encountered throughout Period IV. Rare examples of bone tubes were also found in Periods III–IV.</w:t>
      </w:r>
    </w:p>
    <w:p w14:paraId="4C83B005" w14:textId="77777777" w:rsidR="0030226C" w:rsidRPr="005501F2" w:rsidRDefault="009C43AA" w:rsidP="0030226C">
      <w:pPr>
        <w:pStyle w:val="Heading3"/>
        <w:rPr>
          <w:rFonts w:asciiTheme="majorBidi" w:hAnsiTheme="majorBidi"/>
          <w:color w:val="auto"/>
          <w:lang w:val="en-GB"/>
        </w:rPr>
      </w:pPr>
      <w:r w:rsidRPr="009C43AA">
        <w:rPr>
          <w:rFonts w:asciiTheme="majorBidi" w:hAnsiTheme="majorBidi"/>
          <w:color w:val="auto"/>
          <w:lang w:val="en-GB"/>
        </w:rPr>
        <w:lastRenderedPageBreak/>
        <w:t>Metal Artefacts</w:t>
      </w:r>
    </w:p>
    <w:p w14:paraId="73048CBA" w14:textId="2C144581" w:rsidR="0030226C" w:rsidRPr="0086540F" w:rsidRDefault="0030226C" w:rsidP="0030226C">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 xml:space="preserve">Metal artefacts were first found in </w:t>
      </w:r>
      <w:r w:rsidR="001E1DEF" w:rsidRPr="0086540F">
        <w:rPr>
          <w:rFonts w:asciiTheme="majorBidi" w:hAnsiTheme="majorBidi" w:cstheme="majorBidi"/>
          <w:sz w:val="24"/>
          <w:szCs w:val="22"/>
          <w:lang w:val="en-GB"/>
        </w:rPr>
        <w:t>Sub-Period</w:t>
      </w:r>
      <w:r w:rsidRPr="00067D8A">
        <w:rPr>
          <w:rFonts w:asciiTheme="majorBidi" w:hAnsiTheme="majorBidi" w:cstheme="majorBidi"/>
          <w:sz w:val="24"/>
          <w:szCs w:val="22"/>
          <w:lang w:val="en-GB"/>
        </w:rPr>
        <w:t xml:space="preserve"> I</w:t>
      </w:r>
      <w:r w:rsidRPr="00067D8A">
        <w:rPr>
          <w:rFonts w:asciiTheme="majorBidi" w:hAnsiTheme="majorBidi" w:cstheme="majorBidi"/>
          <w:sz w:val="24"/>
          <w:szCs w:val="22"/>
          <w:vertAlign w:val="subscript"/>
          <w:lang w:val="en-GB"/>
        </w:rPr>
        <w:t>2</w:t>
      </w:r>
      <w:r w:rsidRPr="00067D8A">
        <w:rPr>
          <w:rFonts w:asciiTheme="majorBidi" w:hAnsiTheme="majorBidi" w:cstheme="majorBidi"/>
          <w:sz w:val="24"/>
          <w:szCs w:val="22"/>
          <w:lang w:val="en-GB"/>
        </w:rPr>
        <w:t xml:space="preserve"> and increased in frequency and variety throughout the </w:t>
      </w:r>
      <w:r w:rsidR="0086540F">
        <w:rPr>
          <w:rFonts w:asciiTheme="majorBidi" w:hAnsiTheme="majorBidi" w:cstheme="majorBidi"/>
          <w:sz w:val="24"/>
          <w:szCs w:val="22"/>
          <w:lang w:val="en-GB"/>
        </w:rPr>
        <w:t xml:space="preserve">rest of the </w:t>
      </w:r>
      <w:r w:rsidRPr="00067D8A">
        <w:rPr>
          <w:rFonts w:asciiTheme="majorBidi" w:hAnsiTheme="majorBidi" w:cstheme="majorBidi"/>
          <w:sz w:val="24"/>
          <w:szCs w:val="22"/>
          <w:lang w:val="en-GB"/>
        </w:rPr>
        <w:t xml:space="preserve">sequence. The earliest example was a flat blade-like instrument which might have had a hafting tang (Fig. </w:t>
      </w:r>
      <w:r w:rsidR="005B52A9">
        <w:rPr>
          <w:rFonts w:asciiTheme="majorBidi" w:hAnsiTheme="majorBidi" w:cstheme="majorBidi"/>
          <w:sz w:val="24"/>
          <w:szCs w:val="22"/>
          <w:lang w:val="en-GB"/>
        </w:rPr>
        <w:t>4.</w:t>
      </w:r>
      <w:r w:rsidRPr="00067D8A">
        <w:rPr>
          <w:rFonts w:asciiTheme="majorBidi" w:hAnsiTheme="majorBidi" w:cstheme="majorBidi"/>
          <w:sz w:val="24"/>
          <w:szCs w:val="22"/>
          <w:lang w:val="en-GB"/>
        </w:rPr>
        <w:t>35, no. 10). However, the most frequent metal artefact of the entire Mundigak sequence was a simple type of bronze point or punch with a circular cross-</w:t>
      </w:r>
      <w:r w:rsidRPr="0086540F">
        <w:rPr>
          <w:rFonts w:asciiTheme="majorBidi" w:hAnsiTheme="majorBidi" w:cstheme="majorBidi"/>
          <w:sz w:val="24"/>
          <w:szCs w:val="22"/>
          <w:lang w:val="en-GB"/>
        </w:rPr>
        <w:t xml:space="preserve">section (Fig. </w:t>
      </w:r>
      <w:r w:rsidR="005B52A9" w:rsidRPr="0086540F">
        <w:rPr>
          <w:rFonts w:asciiTheme="majorBidi" w:hAnsiTheme="majorBidi" w:cstheme="majorBidi"/>
          <w:sz w:val="24"/>
          <w:szCs w:val="22"/>
          <w:lang w:val="en-GB"/>
        </w:rPr>
        <w:t>4.</w:t>
      </w:r>
      <w:r w:rsidRPr="0086540F">
        <w:rPr>
          <w:rFonts w:asciiTheme="majorBidi" w:hAnsiTheme="majorBidi" w:cstheme="majorBidi"/>
          <w:sz w:val="24"/>
          <w:szCs w:val="22"/>
          <w:lang w:val="en-GB"/>
        </w:rPr>
        <w:t xml:space="preserve">3 5, no. 11). It was first identified in </w:t>
      </w:r>
      <w:r w:rsidR="001E1DEF" w:rsidRPr="0086540F">
        <w:rPr>
          <w:rFonts w:asciiTheme="majorBidi" w:hAnsiTheme="majorBidi" w:cstheme="majorBidi"/>
          <w:sz w:val="24"/>
          <w:szCs w:val="22"/>
          <w:lang w:val="en-GB"/>
        </w:rPr>
        <w:t>Sub-Period</w:t>
      </w:r>
      <w:r w:rsidRPr="0086540F">
        <w:rPr>
          <w:rFonts w:asciiTheme="majorBidi" w:hAnsiTheme="majorBidi" w:cstheme="majorBidi"/>
          <w:sz w:val="24"/>
          <w:szCs w:val="22"/>
          <w:lang w:val="en-GB"/>
        </w:rPr>
        <w:t xml:space="preserve"> I</w:t>
      </w:r>
      <w:r w:rsidRPr="0086540F">
        <w:rPr>
          <w:rFonts w:asciiTheme="majorBidi" w:hAnsiTheme="majorBidi" w:cstheme="majorBidi"/>
          <w:sz w:val="24"/>
          <w:szCs w:val="22"/>
          <w:vertAlign w:val="subscript"/>
          <w:lang w:val="en-GB"/>
        </w:rPr>
        <w:t>4</w:t>
      </w:r>
      <w:r w:rsidRPr="0086540F">
        <w:rPr>
          <w:rFonts w:asciiTheme="majorBidi" w:hAnsiTheme="majorBidi" w:cstheme="majorBidi"/>
          <w:sz w:val="24"/>
          <w:szCs w:val="22"/>
          <w:lang w:val="en-GB"/>
        </w:rPr>
        <w:t xml:space="preserve"> and is so easily available that it replaces the bone awl/punch in Period IV. A single example of this point/punch was found in </w:t>
      </w:r>
      <w:r w:rsidR="001E1DEF" w:rsidRPr="0086540F">
        <w:rPr>
          <w:rFonts w:asciiTheme="majorBidi" w:hAnsiTheme="majorBidi" w:cstheme="majorBidi"/>
          <w:sz w:val="24"/>
          <w:szCs w:val="22"/>
          <w:lang w:val="en-GB"/>
        </w:rPr>
        <w:t>Sub-Period</w:t>
      </w:r>
      <w:r w:rsidRPr="0086540F">
        <w:rPr>
          <w:rFonts w:asciiTheme="majorBidi" w:hAnsiTheme="majorBidi" w:cstheme="majorBidi"/>
          <w:sz w:val="24"/>
          <w:szCs w:val="22"/>
          <w:lang w:val="en-GB"/>
        </w:rPr>
        <w:t xml:space="preserve"> IV</w:t>
      </w:r>
      <w:r w:rsidRPr="0086540F">
        <w:rPr>
          <w:rFonts w:asciiTheme="majorBidi" w:hAnsiTheme="majorBidi" w:cstheme="majorBidi"/>
          <w:sz w:val="24"/>
          <w:szCs w:val="22"/>
          <w:vertAlign w:val="subscript"/>
          <w:lang w:val="en-GB"/>
        </w:rPr>
        <w:t>3</w:t>
      </w:r>
      <w:r w:rsidRPr="0086540F">
        <w:rPr>
          <w:rFonts w:asciiTheme="majorBidi" w:hAnsiTheme="majorBidi" w:cstheme="majorBidi"/>
          <w:sz w:val="24"/>
          <w:szCs w:val="22"/>
          <w:lang w:val="en-GB"/>
        </w:rPr>
        <w:t xml:space="preserve"> still hafted into a bone handle confirming its functional designation as a punch. The first example of a true projectile point was identified in </w:t>
      </w:r>
      <w:r w:rsidR="001E1DEF" w:rsidRPr="0086540F">
        <w:rPr>
          <w:rFonts w:asciiTheme="majorBidi" w:hAnsiTheme="majorBidi" w:cstheme="majorBidi"/>
          <w:sz w:val="24"/>
          <w:szCs w:val="22"/>
          <w:lang w:val="en-GB"/>
        </w:rPr>
        <w:t>Sub-Period</w:t>
      </w:r>
      <w:r w:rsidRPr="0086540F">
        <w:rPr>
          <w:rFonts w:asciiTheme="majorBidi" w:hAnsiTheme="majorBidi" w:cstheme="majorBidi"/>
          <w:sz w:val="24"/>
          <w:szCs w:val="22"/>
          <w:lang w:val="en-GB"/>
        </w:rPr>
        <w:t xml:space="preserve"> II</w:t>
      </w:r>
      <w:r w:rsidRPr="0086540F">
        <w:rPr>
          <w:rFonts w:asciiTheme="majorBidi" w:hAnsiTheme="majorBidi" w:cstheme="majorBidi"/>
          <w:sz w:val="24"/>
          <w:szCs w:val="22"/>
          <w:vertAlign w:val="subscript"/>
          <w:lang w:val="en-GB"/>
        </w:rPr>
        <w:t>3</w:t>
      </w:r>
      <w:r w:rsidRPr="0086540F">
        <w:rPr>
          <w:rFonts w:asciiTheme="majorBidi" w:hAnsiTheme="majorBidi" w:cstheme="majorBidi"/>
          <w:sz w:val="24"/>
          <w:szCs w:val="22"/>
          <w:lang w:val="en-GB"/>
        </w:rPr>
        <w:t xml:space="preserve"> and was lanceolate in shape with an elliptical cross-section: the type became increasingly frequent in later periods. (Fig. </w:t>
      </w:r>
      <w:r w:rsidR="005B52A9" w:rsidRPr="0086540F">
        <w:rPr>
          <w:rFonts w:asciiTheme="majorBidi" w:hAnsiTheme="majorBidi" w:cstheme="majorBidi"/>
          <w:sz w:val="24"/>
          <w:szCs w:val="22"/>
          <w:lang w:val="en-GB"/>
        </w:rPr>
        <w:t>4.</w:t>
      </w:r>
      <w:r w:rsidRPr="0086540F">
        <w:rPr>
          <w:rFonts w:asciiTheme="majorBidi" w:hAnsiTheme="majorBidi" w:cstheme="majorBidi"/>
          <w:sz w:val="24"/>
          <w:szCs w:val="22"/>
          <w:lang w:val="en-GB"/>
        </w:rPr>
        <w:t xml:space="preserve">35, nos 12–13). In Period III a tanged lozenge-shaped point was introduced, and in Period IV a tanged oval-shaped point. Other possible weapons found in Period IV were a large lance head (Fig. </w:t>
      </w:r>
      <w:r w:rsidR="005B52A9" w:rsidRPr="0086540F">
        <w:rPr>
          <w:rFonts w:asciiTheme="majorBidi" w:hAnsiTheme="majorBidi" w:cstheme="majorBidi"/>
          <w:sz w:val="24"/>
          <w:szCs w:val="22"/>
          <w:lang w:val="en-GB"/>
        </w:rPr>
        <w:t>4.</w:t>
      </w:r>
      <w:r w:rsidRPr="0086540F">
        <w:rPr>
          <w:rFonts w:asciiTheme="majorBidi" w:hAnsiTheme="majorBidi" w:cstheme="majorBidi"/>
          <w:sz w:val="24"/>
          <w:szCs w:val="22"/>
          <w:lang w:val="en-GB"/>
        </w:rPr>
        <w:t xml:space="preserve">35, no. 16) and knife (sword) (Fig. </w:t>
      </w:r>
      <w:r w:rsidR="005B52A9" w:rsidRPr="0086540F">
        <w:rPr>
          <w:rFonts w:asciiTheme="majorBidi" w:hAnsiTheme="majorBidi" w:cstheme="majorBidi"/>
          <w:sz w:val="24"/>
          <w:szCs w:val="22"/>
          <w:lang w:val="en-GB"/>
        </w:rPr>
        <w:t>4.</w:t>
      </w:r>
      <w:r w:rsidRPr="0086540F">
        <w:rPr>
          <w:rFonts w:asciiTheme="majorBidi" w:hAnsiTheme="majorBidi" w:cstheme="majorBidi"/>
          <w:sz w:val="24"/>
          <w:szCs w:val="22"/>
          <w:lang w:val="en-GB"/>
        </w:rPr>
        <w:t>36, no. 14), but these artefact types were very rare.</w:t>
      </w:r>
    </w:p>
    <w:p w14:paraId="10979E67" w14:textId="456093C6" w:rsidR="0030226C" w:rsidRPr="00067D8A" w:rsidRDefault="0030226C" w:rsidP="00693551">
      <w:pPr>
        <w:pStyle w:val="BodyTextIndent"/>
        <w:rPr>
          <w:rFonts w:asciiTheme="majorBidi" w:hAnsiTheme="majorBidi" w:cstheme="majorBidi"/>
          <w:sz w:val="24"/>
          <w:szCs w:val="22"/>
        </w:rPr>
      </w:pPr>
      <w:r w:rsidRPr="0086540F">
        <w:rPr>
          <w:rFonts w:asciiTheme="majorBidi" w:hAnsiTheme="majorBidi" w:cstheme="majorBidi"/>
          <w:sz w:val="24"/>
          <w:szCs w:val="22"/>
        </w:rPr>
        <w:t xml:space="preserve">The first examples of ‘luxury’ metal artefacts were found in </w:t>
      </w:r>
      <w:r w:rsidR="001E1DEF" w:rsidRPr="0086540F">
        <w:rPr>
          <w:rFonts w:asciiTheme="majorBidi" w:hAnsiTheme="majorBidi" w:cstheme="majorBidi"/>
          <w:sz w:val="24"/>
          <w:szCs w:val="22"/>
        </w:rPr>
        <w:t>Sub-Period</w:t>
      </w:r>
      <w:r w:rsidRPr="0086540F">
        <w:rPr>
          <w:rFonts w:asciiTheme="majorBidi" w:hAnsiTheme="majorBidi" w:cstheme="majorBidi"/>
          <w:sz w:val="24"/>
          <w:szCs w:val="22"/>
        </w:rPr>
        <w:t xml:space="preserve"> II</w:t>
      </w:r>
      <w:r w:rsidR="0086540F" w:rsidRPr="0086540F">
        <w:rPr>
          <w:rFonts w:asciiTheme="majorBidi" w:hAnsiTheme="majorBidi" w:cstheme="majorBidi"/>
          <w:sz w:val="24"/>
          <w:szCs w:val="22"/>
          <w:vertAlign w:val="subscript"/>
        </w:rPr>
        <w:t>3</w:t>
      </w:r>
      <w:r w:rsidR="00410783" w:rsidRPr="0086540F">
        <w:rPr>
          <w:rFonts w:asciiTheme="majorBidi" w:hAnsiTheme="majorBidi" w:cstheme="majorBidi"/>
          <w:sz w:val="24"/>
          <w:szCs w:val="22"/>
          <w:vertAlign w:val="subscript"/>
        </w:rPr>
        <w:t>.</w:t>
      </w:r>
      <w:r w:rsidR="005B52A9" w:rsidRPr="0086540F">
        <w:rPr>
          <w:rFonts w:asciiTheme="majorBidi" w:hAnsiTheme="majorBidi" w:cstheme="majorBidi"/>
          <w:sz w:val="24"/>
          <w:szCs w:val="22"/>
          <w:vertAlign w:val="subscript"/>
        </w:rPr>
        <w:t>.</w:t>
      </w:r>
      <w:r w:rsidRPr="0086540F">
        <w:rPr>
          <w:rFonts w:asciiTheme="majorBidi" w:hAnsiTheme="majorBidi" w:cstheme="majorBidi"/>
          <w:sz w:val="24"/>
          <w:szCs w:val="22"/>
        </w:rPr>
        <w:t xml:space="preserve"> These two artefacts were pins, one with a double-volute end while the other had a flattened and perforated end (Fig. </w:t>
      </w:r>
      <w:r w:rsidR="005B52A9" w:rsidRPr="0086540F">
        <w:rPr>
          <w:rFonts w:asciiTheme="majorBidi" w:hAnsiTheme="majorBidi" w:cstheme="majorBidi"/>
          <w:sz w:val="24"/>
          <w:szCs w:val="22"/>
        </w:rPr>
        <w:t>4.</w:t>
      </w:r>
      <w:r w:rsidRPr="0086540F">
        <w:rPr>
          <w:rFonts w:asciiTheme="majorBidi" w:hAnsiTheme="majorBidi" w:cstheme="majorBidi"/>
          <w:sz w:val="24"/>
          <w:szCs w:val="22"/>
        </w:rPr>
        <w:t xml:space="preserve">36, nos 6–7). Similar pins with flat ends and twisted shafts were also found in Period III (Fig. </w:t>
      </w:r>
      <w:r w:rsidR="005B52A9" w:rsidRPr="0086540F">
        <w:rPr>
          <w:rFonts w:asciiTheme="majorBidi" w:hAnsiTheme="majorBidi" w:cstheme="majorBidi"/>
          <w:sz w:val="24"/>
          <w:szCs w:val="22"/>
        </w:rPr>
        <w:t>4.</w:t>
      </w:r>
      <w:r w:rsidRPr="0086540F">
        <w:rPr>
          <w:rFonts w:asciiTheme="majorBidi" w:hAnsiTheme="majorBidi" w:cstheme="majorBidi"/>
          <w:sz w:val="24"/>
          <w:szCs w:val="22"/>
        </w:rPr>
        <w:t xml:space="preserve">36, no. 8). However, the greatest number and variety of ‘luxury’ type objects were found in </w:t>
      </w:r>
      <w:r w:rsidR="001E1DEF" w:rsidRPr="0086540F">
        <w:rPr>
          <w:rFonts w:asciiTheme="majorBidi" w:hAnsiTheme="majorBidi" w:cstheme="majorBidi"/>
          <w:sz w:val="24"/>
          <w:szCs w:val="22"/>
        </w:rPr>
        <w:t>Sub-Period</w:t>
      </w:r>
      <w:r w:rsidRPr="0086540F">
        <w:rPr>
          <w:rFonts w:asciiTheme="majorBidi" w:hAnsiTheme="majorBidi" w:cstheme="majorBidi"/>
          <w:sz w:val="24"/>
          <w:szCs w:val="22"/>
        </w:rPr>
        <w:t xml:space="preserve"> IV</w:t>
      </w:r>
      <w:r w:rsidRPr="0086540F">
        <w:rPr>
          <w:rFonts w:asciiTheme="majorBidi" w:hAnsiTheme="majorBidi" w:cstheme="majorBidi"/>
          <w:sz w:val="24"/>
          <w:szCs w:val="22"/>
          <w:vertAlign w:val="subscript"/>
        </w:rPr>
        <w:t>1</w:t>
      </w:r>
      <w:r w:rsidRPr="0086540F">
        <w:rPr>
          <w:rFonts w:asciiTheme="majorBidi" w:hAnsiTheme="majorBidi" w:cstheme="majorBidi"/>
          <w:sz w:val="24"/>
          <w:szCs w:val="22"/>
        </w:rPr>
        <w:t xml:space="preserve">. Among such objects identified were: concave discs (mirrors) (Fig. </w:t>
      </w:r>
      <w:r w:rsidR="005B52A9" w:rsidRPr="0086540F">
        <w:rPr>
          <w:rFonts w:asciiTheme="majorBidi" w:hAnsiTheme="majorBidi" w:cstheme="majorBidi"/>
          <w:sz w:val="24"/>
          <w:szCs w:val="22"/>
        </w:rPr>
        <w:t>4.</w:t>
      </w:r>
      <w:r w:rsidRPr="0086540F">
        <w:rPr>
          <w:rFonts w:asciiTheme="majorBidi" w:hAnsiTheme="majorBidi" w:cstheme="majorBidi"/>
          <w:sz w:val="24"/>
          <w:szCs w:val="22"/>
        </w:rPr>
        <w:t>36, no. 13); double-volute, lozenge, and</w:t>
      </w:r>
      <w:r w:rsidRPr="00067D8A">
        <w:rPr>
          <w:rFonts w:asciiTheme="majorBidi" w:hAnsiTheme="majorBidi" w:cstheme="majorBidi"/>
          <w:sz w:val="24"/>
          <w:szCs w:val="22"/>
        </w:rPr>
        <w:t xml:space="preserve"> broad-flat headed pins (Fig. </w:t>
      </w:r>
      <w:r w:rsidR="005B52A9">
        <w:rPr>
          <w:rFonts w:asciiTheme="majorBidi" w:hAnsiTheme="majorBidi" w:cstheme="majorBidi"/>
          <w:sz w:val="24"/>
          <w:szCs w:val="22"/>
        </w:rPr>
        <w:t>4.</w:t>
      </w:r>
      <w:r w:rsidRPr="00067D8A">
        <w:rPr>
          <w:rFonts w:asciiTheme="majorBidi" w:hAnsiTheme="majorBidi" w:cstheme="majorBidi"/>
          <w:sz w:val="24"/>
          <w:szCs w:val="22"/>
        </w:rPr>
        <w:t>36, nos 18–20): handles for discs (mirrors); and a buckle. It is important to note that in at least two instances smelted</w:t>
      </w:r>
      <w:r w:rsidR="00693551" w:rsidRPr="00067D8A">
        <w:rPr>
          <w:rFonts w:asciiTheme="majorBidi" w:hAnsiTheme="majorBidi" w:cstheme="majorBidi"/>
          <w:sz w:val="24"/>
          <w:szCs w:val="22"/>
        </w:rPr>
        <w:t>(?)</w:t>
      </w:r>
      <w:r w:rsidR="00693551" w:rsidRPr="00067D8A">
        <w:rPr>
          <w:rFonts w:asciiTheme="majorBidi" w:hAnsiTheme="majorBidi" w:cstheme="majorBidi"/>
          <w:i/>
          <w:iCs/>
          <w:sz w:val="24"/>
          <w:szCs w:val="22"/>
        </w:rPr>
        <w:t xml:space="preserve"> iron</w:t>
      </w:r>
      <w:r w:rsidR="00693551" w:rsidRPr="00067D8A">
        <w:rPr>
          <w:rFonts w:asciiTheme="majorBidi" w:hAnsiTheme="majorBidi" w:cstheme="majorBidi"/>
          <w:sz w:val="24"/>
          <w:szCs w:val="22"/>
        </w:rPr>
        <w:t xml:space="preserve"> decorative buttons were found on objects in Period IV. </w:t>
      </w:r>
      <w:r w:rsidRPr="00067D8A">
        <w:rPr>
          <w:rFonts w:asciiTheme="majorBidi" w:hAnsiTheme="majorBidi" w:cstheme="majorBidi"/>
          <w:sz w:val="24"/>
          <w:szCs w:val="22"/>
        </w:rPr>
        <w:t xml:space="preserve">Frequently encountered utilitarian objects in Period III–IV were small curved knives or sickles (Fig. </w:t>
      </w:r>
      <w:r w:rsidR="005B52A9">
        <w:rPr>
          <w:rFonts w:asciiTheme="majorBidi" w:hAnsiTheme="majorBidi" w:cstheme="majorBidi"/>
          <w:sz w:val="24"/>
          <w:szCs w:val="22"/>
        </w:rPr>
        <w:t>4.</w:t>
      </w:r>
      <w:r w:rsidRPr="00067D8A">
        <w:rPr>
          <w:rFonts w:asciiTheme="majorBidi" w:hAnsiTheme="majorBidi" w:cstheme="majorBidi"/>
          <w:sz w:val="24"/>
          <w:szCs w:val="22"/>
        </w:rPr>
        <w:t xml:space="preserve">36, nos 1–2) and chisels, and, only in Period IV, a few barbed hooks. Three important metal artefacts located in </w:t>
      </w:r>
      <w:r w:rsidR="001E1DEF" w:rsidRPr="0086540F">
        <w:rPr>
          <w:rFonts w:asciiTheme="majorBidi" w:hAnsiTheme="majorBidi" w:cstheme="majorBidi"/>
          <w:sz w:val="24"/>
          <w:szCs w:val="22"/>
        </w:rPr>
        <w:t>Sub-Period</w:t>
      </w:r>
      <w:r w:rsidRPr="00067D8A">
        <w:rPr>
          <w:rFonts w:asciiTheme="majorBidi" w:hAnsiTheme="majorBidi" w:cstheme="majorBidi"/>
          <w:sz w:val="24"/>
          <w:szCs w:val="22"/>
        </w:rPr>
        <w:t xml:space="preserve"> III</w:t>
      </w:r>
      <w:r w:rsidRPr="00067D8A">
        <w:rPr>
          <w:rFonts w:asciiTheme="majorBidi" w:hAnsiTheme="majorBidi" w:cstheme="majorBidi"/>
          <w:sz w:val="24"/>
          <w:szCs w:val="22"/>
          <w:vertAlign w:val="subscript"/>
        </w:rPr>
        <w:t>6</w:t>
      </w:r>
      <w:r w:rsidRPr="00067D8A">
        <w:rPr>
          <w:rFonts w:asciiTheme="majorBidi" w:hAnsiTheme="majorBidi" w:cstheme="majorBidi"/>
          <w:sz w:val="24"/>
          <w:szCs w:val="22"/>
        </w:rPr>
        <w:t xml:space="preserve"> were the only examples of socket-hole axes (two) and an adze (Figs </w:t>
      </w:r>
      <w:r w:rsidR="005B52A9">
        <w:rPr>
          <w:rFonts w:asciiTheme="majorBidi" w:hAnsiTheme="majorBidi" w:cstheme="majorBidi"/>
          <w:sz w:val="24"/>
          <w:szCs w:val="22"/>
        </w:rPr>
        <w:t>4.</w:t>
      </w:r>
      <w:r w:rsidRPr="00067D8A">
        <w:rPr>
          <w:rFonts w:asciiTheme="majorBidi" w:hAnsiTheme="majorBidi" w:cstheme="majorBidi"/>
          <w:sz w:val="24"/>
          <w:szCs w:val="22"/>
        </w:rPr>
        <w:t xml:space="preserve">36, nos </w:t>
      </w:r>
      <w:r w:rsidRPr="00067D8A">
        <w:rPr>
          <w:rFonts w:asciiTheme="majorBidi" w:hAnsiTheme="majorBidi" w:cstheme="majorBidi"/>
          <w:sz w:val="24"/>
          <w:szCs w:val="22"/>
        </w:rPr>
        <w:lastRenderedPageBreak/>
        <w:t xml:space="preserve">3–5; </w:t>
      </w:r>
      <w:r w:rsidR="005B52A9">
        <w:rPr>
          <w:rFonts w:asciiTheme="majorBidi" w:hAnsiTheme="majorBidi" w:cstheme="majorBidi"/>
          <w:sz w:val="24"/>
          <w:szCs w:val="22"/>
        </w:rPr>
        <w:t>4.</w:t>
      </w:r>
      <w:r w:rsidRPr="00067D8A">
        <w:rPr>
          <w:rFonts w:asciiTheme="majorBidi" w:hAnsiTheme="majorBidi" w:cstheme="majorBidi"/>
          <w:sz w:val="24"/>
          <w:szCs w:val="22"/>
        </w:rPr>
        <w:t>38a). Most of the more common utilitarian and ‘luxury’ metal artefacts were also identified in Period V.</w:t>
      </w:r>
    </w:p>
    <w:p w14:paraId="23A49F60" w14:textId="3B5BF73F"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Elemental analysis of some of these artefacts indicated some interesting aspects of the metallurgical sophistication that they represent. Analysis of one artefact from </w:t>
      </w:r>
      <w:r w:rsidR="001E1DEF" w:rsidRPr="0086540F">
        <w:rPr>
          <w:rFonts w:asciiTheme="majorBidi" w:hAnsiTheme="majorBidi" w:cstheme="majorBidi"/>
          <w:sz w:val="24"/>
          <w:szCs w:val="22"/>
        </w:rPr>
        <w:t>Sub-Period</w:t>
      </w:r>
      <w:r w:rsidRPr="00067D8A">
        <w:rPr>
          <w:rFonts w:asciiTheme="majorBidi" w:hAnsiTheme="majorBidi" w:cstheme="majorBidi"/>
          <w:sz w:val="24"/>
          <w:szCs w:val="22"/>
        </w:rPr>
        <w:t xml:space="preserve"> 1</w:t>
      </w:r>
      <w:r w:rsidRPr="00067D8A">
        <w:rPr>
          <w:rFonts w:asciiTheme="majorBidi" w:hAnsiTheme="majorBidi" w:cstheme="majorBidi"/>
          <w:sz w:val="24"/>
          <w:szCs w:val="22"/>
          <w:vertAlign w:val="subscript"/>
        </w:rPr>
        <w:t>5</w:t>
      </w:r>
      <w:r w:rsidRPr="00067D8A">
        <w:rPr>
          <w:rFonts w:asciiTheme="majorBidi" w:hAnsiTheme="majorBidi" w:cstheme="majorBidi"/>
          <w:sz w:val="24"/>
          <w:szCs w:val="22"/>
        </w:rPr>
        <w:t xml:space="preserve"> demonstrated that it was a very low-tin bronze, with tin accounting for only about 1%, iron 0·15% and the remaining material being copper. Such a composition is a striking contrast to the high tin content of the </w:t>
      </w:r>
      <w:r w:rsidR="0086540F">
        <w:rPr>
          <w:rFonts w:asciiTheme="majorBidi" w:hAnsiTheme="majorBidi" w:cstheme="majorBidi"/>
          <w:sz w:val="24"/>
          <w:szCs w:val="22"/>
        </w:rPr>
        <w:t xml:space="preserve">apparently </w:t>
      </w:r>
      <w:r w:rsidRPr="00067D8A">
        <w:rPr>
          <w:rFonts w:asciiTheme="majorBidi" w:hAnsiTheme="majorBidi" w:cstheme="majorBidi"/>
          <w:sz w:val="24"/>
          <w:szCs w:val="22"/>
        </w:rPr>
        <w:t>chronologically earlier material from Ghar-i Mar. Of the artefacts subjected to analysis from Period III, only the axes and adze had a composition approaching that usually associated with bronze, with had a tin content of almost 5%, making it the highest recorded at Mundigak. This contrasts with the composition of other artefacts from this period, which is similar to that of Period I. Axes and adzes rely on weight, force and hardness for their efficiency tool</w:t>
      </w:r>
      <w:r w:rsidR="00184CBA">
        <w:rPr>
          <w:rFonts w:asciiTheme="majorBidi" w:hAnsiTheme="majorBidi" w:cstheme="majorBidi"/>
          <w:sz w:val="24"/>
          <w:szCs w:val="22"/>
        </w:rPr>
        <w:t>s</w:t>
      </w:r>
      <w:r w:rsidRPr="00067D8A">
        <w:rPr>
          <w:rFonts w:asciiTheme="majorBidi" w:hAnsiTheme="majorBidi" w:cstheme="majorBidi"/>
          <w:sz w:val="24"/>
          <w:szCs w:val="22"/>
        </w:rPr>
        <w:t xml:space="preserve">, and these characteristics are maximised by a high tin content. Other items such as points, pins or knives have different usages requiring different characteristics and this is reflected in their lower tin content. Therefore, </w:t>
      </w:r>
      <w:r w:rsidR="00184CBA">
        <w:rPr>
          <w:rFonts w:asciiTheme="majorBidi" w:hAnsiTheme="majorBidi" w:cstheme="majorBidi"/>
          <w:sz w:val="24"/>
          <w:szCs w:val="22"/>
        </w:rPr>
        <w:t xml:space="preserve">it appears that </w:t>
      </w:r>
      <w:r w:rsidRPr="00067D8A">
        <w:rPr>
          <w:rFonts w:asciiTheme="majorBidi" w:hAnsiTheme="majorBidi" w:cstheme="majorBidi"/>
          <w:sz w:val="24"/>
          <w:szCs w:val="22"/>
        </w:rPr>
        <w:t>by Period III the differential characteristics of various alloying compositions had been recognised and metallurgy was entering, or had entered, into a new phase of sophistication and presumably specialization. During Period IV the tin content of such items as pins increases slightly (1·5%) and traces of lead (1·6%) and other elements are found.</w:t>
      </w:r>
    </w:p>
    <w:p w14:paraId="7D82E410" w14:textId="77777777" w:rsidR="0030226C" w:rsidRPr="005501F2" w:rsidRDefault="009C43AA" w:rsidP="0030226C">
      <w:pPr>
        <w:pStyle w:val="Heading3"/>
        <w:rPr>
          <w:rFonts w:asciiTheme="majorBidi" w:hAnsiTheme="majorBidi"/>
          <w:color w:val="auto"/>
          <w:lang w:val="en-GB"/>
        </w:rPr>
      </w:pPr>
      <w:r w:rsidRPr="009C43AA">
        <w:rPr>
          <w:rFonts w:asciiTheme="majorBidi" w:hAnsiTheme="majorBidi"/>
          <w:color w:val="auto"/>
          <w:lang w:val="en-GB"/>
        </w:rPr>
        <w:t>Miscellaneous Artefacts</w:t>
      </w:r>
    </w:p>
    <w:p w14:paraId="217430E0" w14:textId="0CA20D2A" w:rsidR="0030226C" w:rsidRPr="00184CBA" w:rsidRDefault="0030226C" w:rsidP="0030226C">
      <w:pPr>
        <w:pStyle w:val="BodyTextIndent"/>
        <w:rPr>
          <w:rFonts w:asciiTheme="majorBidi" w:hAnsiTheme="majorBidi" w:cstheme="majorBidi"/>
          <w:sz w:val="24"/>
          <w:szCs w:val="22"/>
        </w:rPr>
      </w:pPr>
      <w:r w:rsidRPr="00184CBA">
        <w:rPr>
          <w:rFonts w:asciiTheme="majorBidi" w:hAnsiTheme="majorBidi" w:cstheme="majorBidi"/>
          <w:i/>
          <w:iCs/>
          <w:sz w:val="24"/>
          <w:szCs w:val="22"/>
        </w:rPr>
        <w:t>Spindle Whorls.</w:t>
      </w:r>
      <w:r w:rsidRPr="00184CBA">
        <w:rPr>
          <w:rFonts w:asciiTheme="majorBidi" w:hAnsiTheme="majorBidi" w:cstheme="majorBidi"/>
          <w:sz w:val="24"/>
          <w:szCs w:val="22"/>
        </w:rPr>
        <w:t xml:space="preserve"> During </w:t>
      </w:r>
      <w:r w:rsidR="001E1DEF" w:rsidRPr="00184CBA">
        <w:rPr>
          <w:rFonts w:asciiTheme="majorBidi" w:hAnsiTheme="majorBidi" w:cstheme="majorBidi"/>
          <w:sz w:val="24"/>
          <w:szCs w:val="22"/>
        </w:rPr>
        <w:t>Sub-Period</w:t>
      </w:r>
      <w:r w:rsidRPr="00184CBA">
        <w:rPr>
          <w:rFonts w:asciiTheme="majorBidi" w:hAnsiTheme="majorBidi" w:cstheme="majorBidi"/>
          <w:sz w:val="24"/>
          <w:szCs w:val="22"/>
        </w:rPr>
        <w:t>s I</w:t>
      </w:r>
      <w:r w:rsidRPr="00184CBA">
        <w:rPr>
          <w:rFonts w:asciiTheme="majorBidi" w:hAnsiTheme="majorBidi" w:cstheme="majorBidi"/>
          <w:sz w:val="24"/>
          <w:szCs w:val="22"/>
          <w:vertAlign w:val="subscript"/>
        </w:rPr>
        <w:t>4</w:t>
      </w:r>
      <w:r w:rsidRPr="00184CBA">
        <w:rPr>
          <w:rFonts w:asciiTheme="majorBidi" w:hAnsiTheme="majorBidi" w:cstheme="majorBidi"/>
          <w:sz w:val="24"/>
          <w:szCs w:val="22"/>
        </w:rPr>
        <w:t xml:space="preserve">– II two types of ceramic spindle whorls were found. The most frequent type was a cone shape (Fig. </w:t>
      </w:r>
      <w:r w:rsidR="005B52A9" w:rsidRPr="00184CBA">
        <w:rPr>
          <w:rFonts w:asciiTheme="majorBidi" w:hAnsiTheme="majorBidi" w:cstheme="majorBidi"/>
          <w:sz w:val="24"/>
          <w:szCs w:val="22"/>
        </w:rPr>
        <w:t>4.</w:t>
      </w:r>
      <w:r w:rsidRPr="00184CBA">
        <w:rPr>
          <w:rFonts w:asciiTheme="majorBidi" w:hAnsiTheme="majorBidi" w:cstheme="majorBidi"/>
          <w:sz w:val="24"/>
          <w:szCs w:val="22"/>
        </w:rPr>
        <w:t xml:space="preserve">34, no. 15) and the other was a truncated cone shape (Fig. </w:t>
      </w:r>
      <w:r w:rsidR="005B52A9" w:rsidRPr="00184CBA">
        <w:rPr>
          <w:rFonts w:asciiTheme="majorBidi" w:hAnsiTheme="majorBidi" w:cstheme="majorBidi"/>
          <w:sz w:val="24"/>
          <w:szCs w:val="22"/>
        </w:rPr>
        <w:t>4.</w:t>
      </w:r>
      <w:r w:rsidRPr="00184CBA">
        <w:rPr>
          <w:rFonts w:asciiTheme="majorBidi" w:hAnsiTheme="majorBidi" w:cstheme="majorBidi"/>
          <w:sz w:val="24"/>
          <w:szCs w:val="22"/>
        </w:rPr>
        <w:t xml:space="preserve">34, nos 16–17). Both types had a central perforation. In Period III both of these conical types decrease in frequency, and from </w:t>
      </w:r>
      <w:r w:rsidR="001E1DEF" w:rsidRPr="00184CBA">
        <w:rPr>
          <w:rFonts w:asciiTheme="majorBidi" w:hAnsiTheme="majorBidi" w:cstheme="majorBidi"/>
          <w:sz w:val="24"/>
          <w:szCs w:val="22"/>
        </w:rPr>
        <w:t>Sub-Period</w:t>
      </w:r>
      <w:r w:rsidRPr="00184CBA">
        <w:rPr>
          <w:rFonts w:asciiTheme="majorBidi" w:hAnsiTheme="majorBidi" w:cstheme="majorBidi"/>
          <w:sz w:val="24"/>
          <w:szCs w:val="22"/>
        </w:rPr>
        <w:t>s III</w:t>
      </w:r>
      <w:r w:rsidRPr="00184CBA">
        <w:rPr>
          <w:rFonts w:asciiTheme="majorBidi" w:hAnsiTheme="majorBidi" w:cstheme="majorBidi"/>
          <w:sz w:val="24"/>
          <w:szCs w:val="22"/>
          <w:vertAlign w:val="subscript"/>
        </w:rPr>
        <w:t>5</w:t>
      </w:r>
      <w:r w:rsidRPr="00184CBA">
        <w:rPr>
          <w:rFonts w:asciiTheme="majorBidi" w:hAnsiTheme="majorBidi" w:cstheme="majorBidi"/>
          <w:sz w:val="24"/>
          <w:szCs w:val="22"/>
        </w:rPr>
        <w:t xml:space="preserve">–V they are replaced by ceramic and stone (steatite) disc-shaped whorls (Fig. </w:t>
      </w:r>
      <w:r w:rsidR="005B52A9" w:rsidRPr="00184CBA">
        <w:rPr>
          <w:rFonts w:asciiTheme="majorBidi" w:hAnsiTheme="majorBidi" w:cstheme="majorBidi"/>
          <w:sz w:val="24"/>
          <w:szCs w:val="22"/>
        </w:rPr>
        <w:t>4.</w:t>
      </w:r>
      <w:r w:rsidRPr="00184CBA">
        <w:rPr>
          <w:rFonts w:asciiTheme="majorBidi" w:hAnsiTheme="majorBidi" w:cstheme="majorBidi"/>
          <w:sz w:val="24"/>
          <w:szCs w:val="22"/>
        </w:rPr>
        <w:t>34, nos 18–19).</w:t>
      </w:r>
    </w:p>
    <w:p w14:paraId="0183CCFB" w14:textId="0758B94A" w:rsidR="0030226C" w:rsidRPr="00184CBA" w:rsidRDefault="0030226C" w:rsidP="0030226C">
      <w:pPr>
        <w:pStyle w:val="BodyTextIndent"/>
        <w:rPr>
          <w:rFonts w:asciiTheme="majorBidi" w:hAnsiTheme="majorBidi" w:cstheme="majorBidi"/>
          <w:sz w:val="24"/>
          <w:szCs w:val="22"/>
        </w:rPr>
      </w:pPr>
      <w:r w:rsidRPr="00184CBA">
        <w:rPr>
          <w:rFonts w:asciiTheme="majorBidi" w:hAnsiTheme="majorBidi" w:cstheme="majorBidi"/>
          <w:i/>
          <w:iCs/>
          <w:sz w:val="24"/>
          <w:szCs w:val="22"/>
        </w:rPr>
        <w:lastRenderedPageBreak/>
        <w:t>Stone Vessels.</w:t>
      </w:r>
      <w:r w:rsidRPr="00184CBA">
        <w:rPr>
          <w:rFonts w:asciiTheme="majorBidi" w:hAnsiTheme="majorBidi" w:cstheme="majorBidi"/>
          <w:sz w:val="24"/>
          <w:szCs w:val="22"/>
        </w:rPr>
        <w:t xml:space="preserve"> The predominant type of stone vessel is the simple bowl with straight-angular walls manufactured from alabaster (Figs. </w:t>
      </w:r>
      <w:r w:rsidR="005B52A9" w:rsidRPr="00184CBA">
        <w:rPr>
          <w:rFonts w:asciiTheme="majorBidi" w:hAnsiTheme="majorBidi" w:cstheme="majorBidi"/>
          <w:sz w:val="24"/>
          <w:szCs w:val="22"/>
        </w:rPr>
        <w:t>4.</w:t>
      </w:r>
      <w:r w:rsidRPr="00184CBA">
        <w:rPr>
          <w:rFonts w:asciiTheme="majorBidi" w:hAnsiTheme="majorBidi" w:cstheme="majorBidi"/>
          <w:sz w:val="24"/>
          <w:szCs w:val="22"/>
        </w:rPr>
        <w:t xml:space="preserve">35, nos 1–2; </w:t>
      </w:r>
      <w:r w:rsidR="005B52A9" w:rsidRPr="00184CBA">
        <w:rPr>
          <w:rFonts w:asciiTheme="majorBidi" w:hAnsiTheme="majorBidi" w:cstheme="majorBidi"/>
          <w:sz w:val="24"/>
          <w:szCs w:val="22"/>
        </w:rPr>
        <w:t>4.</w:t>
      </w:r>
      <w:r w:rsidRPr="00184CBA">
        <w:rPr>
          <w:rFonts w:asciiTheme="majorBidi" w:hAnsiTheme="majorBidi" w:cstheme="majorBidi"/>
          <w:sz w:val="24"/>
          <w:szCs w:val="22"/>
        </w:rPr>
        <w:t xml:space="preserve">36a). It was first recorded in </w:t>
      </w:r>
      <w:r w:rsidR="001E1DEF" w:rsidRPr="00184CBA">
        <w:rPr>
          <w:rFonts w:asciiTheme="majorBidi" w:hAnsiTheme="majorBidi" w:cstheme="majorBidi"/>
          <w:sz w:val="24"/>
          <w:szCs w:val="22"/>
        </w:rPr>
        <w:t>Sub-Period</w:t>
      </w:r>
      <w:r w:rsidRPr="00184CBA">
        <w:rPr>
          <w:rFonts w:asciiTheme="majorBidi" w:hAnsiTheme="majorBidi" w:cstheme="majorBidi"/>
          <w:sz w:val="24"/>
          <w:szCs w:val="22"/>
        </w:rPr>
        <w:t xml:space="preserve"> I</w:t>
      </w:r>
      <w:r w:rsidRPr="00184CBA">
        <w:rPr>
          <w:rFonts w:asciiTheme="majorBidi" w:hAnsiTheme="majorBidi" w:cstheme="majorBidi"/>
          <w:sz w:val="24"/>
          <w:szCs w:val="22"/>
          <w:vertAlign w:val="subscript"/>
        </w:rPr>
        <w:t>2</w:t>
      </w:r>
      <w:r w:rsidRPr="00184CBA">
        <w:rPr>
          <w:rFonts w:asciiTheme="majorBidi" w:hAnsiTheme="majorBidi" w:cstheme="majorBidi"/>
          <w:sz w:val="24"/>
          <w:szCs w:val="22"/>
        </w:rPr>
        <w:t xml:space="preserve">, increased in frequency in </w:t>
      </w:r>
      <w:r w:rsidR="001E1DEF" w:rsidRPr="00184CBA">
        <w:rPr>
          <w:rFonts w:asciiTheme="majorBidi" w:hAnsiTheme="majorBidi" w:cstheme="majorBidi"/>
          <w:sz w:val="24"/>
          <w:szCs w:val="22"/>
        </w:rPr>
        <w:t>Sub-Period</w:t>
      </w:r>
      <w:r w:rsidRPr="00184CBA">
        <w:rPr>
          <w:rFonts w:asciiTheme="majorBidi" w:hAnsiTheme="majorBidi" w:cstheme="majorBidi"/>
          <w:sz w:val="24"/>
          <w:szCs w:val="22"/>
        </w:rPr>
        <w:t xml:space="preserve"> III</w:t>
      </w:r>
      <w:r w:rsidRPr="00184CBA">
        <w:rPr>
          <w:rFonts w:asciiTheme="majorBidi" w:hAnsiTheme="majorBidi" w:cstheme="majorBidi"/>
          <w:sz w:val="24"/>
          <w:szCs w:val="22"/>
          <w:vertAlign w:val="subscript"/>
        </w:rPr>
        <w:t>6</w:t>
      </w:r>
      <w:r w:rsidRPr="00184CBA">
        <w:rPr>
          <w:rFonts w:asciiTheme="majorBidi" w:hAnsiTheme="majorBidi" w:cstheme="majorBidi"/>
          <w:sz w:val="24"/>
          <w:szCs w:val="22"/>
        </w:rPr>
        <w:t xml:space="preserve">, and was located in even greater quantity during Period IV. There was also a significant increase in the variety of stone vessel forms during Period IV (Fig. </w:t>
      </w:r>
      <w:r w:rsidR="005B52A9" w:rsidRPr="00184CBA">
        <w:rPr>
          <w:rFonts w:asciiTheme="majorBidi" w:hAnsiTheme="majorBidi" w:cstheme="majorBidi"/>
          <w:sz w:val="24"/>
          <w:szCs w:val="22"/>
        </w:rPr>
        <w:t>4.</w:t>
      </w:r>
      <w:r w:rsidRPr="00184CBA">
        <w:rPr>
          <w:rFonts w:asciiTheme="majorBidi" w:hAnsiTheme="majorBidi" w:cstheme="majorBidi"/>
          <w:sz w:val="24"/>
          <w:szCs w:val="22"/>
        </w:rPr>
        <w:t>35, nos 3–9) including: small beakers with straight and carinated sides; bowls with curving sides; pedestal bowls/goblets; bowls with short vertical sides; pentagonal canisters, and stemmed goblets. Many examples were found with geometric motifs similar to that found on the pottery engraved on the sides. White veined marble was also used in the manufacture of these later varieties.</w:t>
      </w:r>
    </w:p>
    <w:p w14:paraId="385B773A" w14:textId="32100600" w:rsidR="0030226C" w:rsidRPr="00067D8A" w:rsidRDefault="0030226C" w:rsidP="0030226C">
      <w:pPr>
        <w:pStyle w:val="BodyTextIndent"/>
        <w:rPr>
          <w:rFonts w:asciiTheme="majorBidi" w:hAnsiTheme="majorBidi" w:cstheme="majorBidi"/>
          <w:sz w:val="24"/>
          <w:szCs w:val="22"/>
        </w:rPr>
      </w:pPr>
      <w:r w:rsidRPr="00184CBA">
        <w:rPr>
          <w:rFonts w:asciiTheme="majorBidi" w:hAnsiTheme="majorBidi" w:cstheme="majorBidi"/>
          <w:i/>
          <w:iCs/>
          <w:sz w:val="24"/>
          <w:szCs w:val="22"/>
        </w:rPr>
        <w:t>Beads</w:t>
      </w:r>
      <w:r w:rsidR="005501F2" w:rsidRPr="00184CBA">
        <w:rPr>
          <w:rFonts w:asciiTheme="majorBidi" w:hAnsiTheme="majorBidi" w:cstheme="majorBidi"/>
          <w:i/>
          <w:iCs/>
          <w:sz w:val="24"/>
          <w:szCs w:val="22"/>
        </w:rPr>
        <w:t xml:space="preserve"> </w:t>
      </w:r>
      <w:r w:rsidR="009C43AA" w:rsidRPr="00184CBA">
        <w:rPr>
          <w:rFonts w:asciiTheme="majorBidi" w:hAnsiTheme="majorBidi" w:cstheme="majorBidi"/>
          <w:i/>
          <w:iCs/>
          <w:color w:val="auto"/>
          <w:sz w:val="24"/>
          <w:szCs w:val="22"/>
        </w:rPr>
        <w:t>and</w:t>
      </w:r>
      <w:r w:rsidR="005501F2" w:rsidRPr="00184CBA">
        <w:rPr>
          <w:rFonts w:asciiTheme="majorBidi" w:hAnsiTheme="majorBidi" w:cstheme="majorBidi"/>
          <w:i/>
          <w:iCs/>
          <w:color w:val="auto"/>
          <w:sz w:val="24"/>
          <w:szCs w:val="22"/>
        </w:rPr>
        <w:t xml:space="preserve"> </w:t>
      </w:r>
      <w:r w:rsidRPr="00184CBA">
        <w:rPr>
          <w:rFonts w:asciiTheme="majorBidi" w:hAnsiTheme="majorBidi" w:cstheme="majorBidi"/>
          <w:i/>
          <w:iCs/>
          <w:sz w:val="24"/>
          <w:szCs w:val="22"/>
        </w:rPr>
        <w:t>Pendants.</w:t>
      </w:r>
      <w:r w:rsidRPr="00184CBA">
        <w:rPr>
          <w:rFonts w:asciiTheme="majorBidi" w:hAnsiTheme="majorBidi" w:cstheme="majorBidi"/>
          <w:sz w:val="24"/>
          <w:szCs w:val="22"/>
        </w:rPr>
        <w:t xml:space="preserve"> Only a limited number of beads were found in </w:t>
      </w:r>
      <w:r w:rsidR="001E1DEF" w:rsidRPr="00184CBA">
        <w:rPr>
          <w:rFonts w:asciiTheme="majorBidi" w:hAnsiTheme="majorBidi" w:cstheme="majorBidi"/>
          <w:sz w:val="24"/>
          <w:szCs w:val="22"/>
        </w:rPr>
        <w:t>Sub-Period</w:t>
      </w:r>
      <w:r w:rsidRPr="00184CBA">
        <w:rPr>
          <w:rFonts w:asciiTheme="majorBidi" w:hAnsiTheme="majorBidi" w:cstheme="majorBidi"/>
          <w:sz w:val="24"/>
          <w:szCs w:val="22"/>
        </w:rPr>
        <w:t>s 1</w:t>
      </w:r>
      <w:r w:rsidRPr="00184CBA">
        <w:rPr>
          <w:rFonts w:asciiTheme="majorBidi" w:hAnsiTheme="majorBidi" w:cstheme="majorBidi"/>
          <w:sz w:val="24"/>
          <w:szCs w:val="22"/>
          <w:vertAlign w:val="subscript"/>
        </w:rPr>
        <w:t>3</w:t>
      </w:r>
      <w:r w:rsidRPr="00184CBA">
        <w:rPr>
          <w:rFonts w:asciiTheme="majorBidi" w:hAnsiTheme="majorBidi" w:cstheme="majorBidi"/>
          <w:sz w:val="24"/>
          <w:szCs w:val="22"/>
        </w:rPr>
        <w:t>–II. Most of the shapes identified for these early periods will persist throughout the sequence and</w:t>
      </w:r>
      <w:r w:rsidRPr="00067D8A">
        <w:rPr>
          <w:rFonts w:asciiTheme="majorBidi" w:hAnsiTheme="majorBidi" w:cstheme="majorBidi"/>
          <w:sz w:val="24"/>
          <w:szCs w:val="22"/>
        </w:rPr>
        <w:t xml:space="preserve"> included: simple discs; tubular; trapezoidal; cylindrical; biconical; and lozenge. The material of manufacture included the following types of stones: various types of siliceous white limestone; shell; lapis lazuli (3); jade(?); blue stone (turquoise?); black or grey stone (steatite?); carnelian (2); quartzite; and pottery. Period III witnessed a significant quantitative increase in such beads half of which </w:t>
      </w:r>
      <w:r w:rsidRPr="00184CBA">
        <w:rPr>
          <w:rFonts w:asciiTheme="majorBidi" w:hAnsiTheme="majorBidi" w:cstheme="majorBidi"/>
          <w:sz w:val="24"/>
          <w:szCs w:val="22"/>
        </w:rPr>
        <w:t xml:space="preserve">were in association with the burials of </w:t>
      </w:r>
      <w:r w:rsidR="001E1DEF" w:rsidRPr="00184CBA">
        <w:rPr>
          <w:rFonts w:asciiTheme="majorBidi" w:hAnsiTheme="majorBidi" w:cstheme="majorBidi"/>
          <w:sz w:val="24"/>
          <w:szCs w:val="22"/>
        </w:rPr>
        <w:t>Sub-Period</w:t>
      </w:r>
      <w:r w:rsidRPr="00184CBA">
        <w:rPr>
          <w:rFonts w:asciiTheme="majorBidi" w:hAnsiTheme="majorBidi" w:cstheme="majorBidi"/>
          <w:sz w:val="24"/>
          <w:szCs w:val="22"/>
        </w:rPr>
        <w:t xml:space="preserve"> III</w:t>
      </w:r>
      <w:r w:rsidRPr="00184CBA">
        <w:rPr>
          <w:rFonts w:asciiTheme="majorBidi" w:hAnsiTheme="majorBidi" w:cstheme="majorBidi"/>
          <w:sz w:val="24"/>
          <w:szCs w:val="22"/>
          <w:vertAlign w:val="subscript"/>
        </w:rPr>
        <w:t>6</w:t>
      </w:r>
      <w:r w:rsidRPr="00184CBA">
        <w:rPr>
          <w:rFonts w:asciiTheme="majorBidi" w:hAnsiTheme="majorBidi" w:cstheme="majorBidi"/>
          <w:sz w:val="24"/>
          <w:szCs w:val="22"/>
        </w:rPr>
        <w:t xml:space="preserve">, and most of the remaining examples were also located in a </w:t>
      </w:r>
      <w:r w:rsidR="001E1DEF" w:rsidRPr="00184CBA">
        <w:rPr>
          <w:rFonts w:asciiTheme="majorBidi" w:hAnsiTheme="majorBidi" w:cstheme="majorBidi"/>
          <w:sz w:val="24"/>
          <w:szCs w:val="22"/>
        </w:rPr>
        <w:t>Sub-Period</w:t>
      </w:r>
      <w:r w:rsidRPr="00184CBA">
        <w:rPr>
          <w:rFonts w:asciiTheme="majorBidi" w:hAnsiTheme="majorBidi" w:cstheme="majorBidi"/>
          <w:sz w:val="24"/>
          <w:szCs w:val="22"/>
        </w:rPr>
        <w:t xml:space="preserve"> III</w:t>
      </w:r>
      <w:r w:rsidRPr="00184CBA">
        <w:rPr>
          <w:rFonts w:asciiTheme="majorBidi" w:hAnsiTheme="majorBidi" w:cstheme="majorBidi"/>
          <w:sz w:val="24"/>
          <w:szCs w:val="22"/>
          <w:vertAlign w:val="subscript"/>
        </w:rPr>
        <w:t>6</w:t>
      </w:r>
      <w:r w:rsidRPr="00184CBA">
        <w:rPr>
          <w:rFonts w:asciiTheme="majorBidi" w:hAnsiTheme="majorBidi" w:cstheme="majorBidi"/>
          <w:sz w:val="24"/>
          <w:szCs w:val="22"/>
        </w:rPr>
        <w:t xml:space="preserve"> provenance. Predominantly the beads of this period were manufactured from steatite (11), quartzite (13), siliceous limestone, and a few of lapis lazuli (4). The most prolific period for beads was Period IV, and particularly </w:t>
      </w:r>
      <w:r w:rsidR="001E1DEF" w:rsidRPr="00184CBA">
        <w:rPr>
          <w:rFonts w:asciiTheme="majorBidi" w:hAnsiTheme="majorBidi" w:cstheme="majorBidi"/>
          <w:sz w:val="24"/>
          <w:szCs w:val="22"/>
        </w:rPr>
        <w:t>Sub-Period</w:t>
      </w:r>
      <w:r w:rsidRPr="00184CBA">
        <w:rPr>
          <w:rFonts w:asciiTheme="majorBidi" w:hAnsiTheme="majorBidi" w:cstheme="majorBidi"/>
          <w:sz w:val="24"/>
          <w:szCs w:val="22"/>
        </w:rPr>
        <w:t xml:space="preserve"> IV</w:t>
      </w:r>
      <w:r w:rsidRPr="00184CBA">
        <w:rPr>
          <w:rFonts w:asciiTheme="majorBidi" w:hAnsiTheme="majorBidi" w:cstheme="majorBidi"/>
          <w:sz w:val="24"/>
          <w:szCs w:val="22"/>
          <w:vertAlign w:val="subscript"/>
        </w:rPr>
        <w:t>1</w:t>
      </w:r>
      <w:r w:rsidRPr="00184CBA">
        <w:rPr>
          <w:rFonts w:asciiTheme="majorBidi" w:hAnsiTheme="majorBidi" w:cstheme="majorBidi"/>
          <w:sz w:val="24"/>
          <w:szCs w:val="22"/>
        </w:rPr>
        <w:t>. Besides already-existing shapes the following new ones were identified: small biconical, multifaceted biconical, eight</w:t>
      </w:r>
      <w:r w:rsidRPr="00067D8A">
        <w:rPr>
          <w:rFonts w:asciiTheme="majorBidi" w:hAnsiTheme="majorBidi" w:cstheme="majorBidi"/>
          <w:sz w:val="24"/>
          <w:szCs w:val="22"/>
        </w:rPr>
        <w:t xml:space="preserve">-point star, truncated cone, rectangular with elliptical cross-section, oval with star cross-section, and irregular. Among materials of manufacture significant quantitative increases could be determined for lapis lazuli, carnelian and shell. Inlaid beads occur for the first time, represented by a single rectangular carnelian bead with a figure 8 in white. Bronze beads are also encountered for the first time in the form of a simple </w:t>
      </w:r>
      <w:r w:rsidRPr="00067D8A">
        <w:rPr>
          <w:rFonts w:asciiTheme="majorBidi" w:hAnsiTheme="majorBidi" w:cstheme="majorBidi"/>
          <w:sz w:val="24"/>
          <w:szCs w:val="22"/>
        </w:rPr>
        <w:lastRenderedPageBreak/>
        <w:t>tube and one small bell with an iron ball in the centre. Similar beads (except lapis lazuli) can be identified for Period V, but in less quantities.</w:t>
      </w:r>
    </w:p>
    <w:p w14:paraId="27F9AED6" w14:textId="5EB584DF"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i/>
          <w:iCs/>
          <w:sz w:val="24"/>
          <w:szCs w:val="22"/>
        </w:rPr>
        <w:t>Seals</w:t>
      </w:r>
      <w:r w:rsidRPr="00067D8A">
        <w:rPr>
          <w:rFonts w:asciiTheme="majorBidi" w:hAnsiTheme="majorBidi" w:cstheme="majorBidi"/>
          <w:sz w:val="24"/>
          <w:szCs w:val="22"/>
        </w:rPr>
        <w:t xml:space="preserve"> </w:t>
      </w:r>
      <w:r w:rsidRPr="00184CBA">
        <w:rPr>
          <w:rFonts w:asciiTheme="majorBidi" w:hAnsiTheme="majorBidi" w:cstheme="majorBidi"/>
          <w:sz w:val="24"/>
          <w:szCs w:val="22"/>
        </w:rPr>
        <w:t xml:space="preserve">(Fig. </w:t>
      </w:r>
      <w:r w:rsidR="005B52A9" w:rsidRPr="00184CBA">
        <w:rPr>
          <w:rFonts w:asciiTheme="majorBidi" w:hAnsiTheme="majorBidi" w:cstheme="majorBidi"/>
          <w:sz w:val="24"/>
          <w:szCs w:val="22"/>
        </w:rPr>
        <w:t>4.</w:t>
      </w:r>
      <w:r w:rsidRPr="00184CBA">
        <w:rPr>
          <w:rFonts w:asciiTheme="majorBidi" w:hAnsiTheme="majorBidi" w:cstheme="majorBidi"/>
          <w:sz w:val="24"/>
          <w:szCs w:val="22"/>
        </w:rPr>
        <w:t xml:space="preserve">40a, b). A single example of a steatite compartmented seal with geometric motifs was found in </w:t>
      </w:r>
      <w:r w:rsidR="001E1DEF" w:rsidRPr="00184CBA">
        <w:rPr>
          <w:rFonts w:asciiTheme="majorBidi" w:hAnsiTheme="majorBidi" w:cstheme="majorBidi"/>
          <w:sz w:val="24"/>
          <w:szCs w:val="22"/>
        </w:rPr>
        <w:t>Sub-Period</w:t>
      </w:r>
      <w:r w:rsidRPr="00184CBA">
        <w:rPr>
          <w:rFonts w:asciiTheme="majorBidi" w:hAnsiTheme="majorBidi" w:cstheme="majorBidi"/>
          <w:sz w:val="24"/>
          <w:szCs w:val="22"/>
        </w:rPr>
        <w:t xml:space="preserve"> II</w:t>
      </w:r>
      <w:r w:rsidRPr="00184CBA">
        <w:rPr>
          <w:rFonts w:asciiTheme="majorBidi" w:hAnsiTheme="majorBidi" w:cstheme="majorBidi"/>
          <w:sz w:val="24"/>
          <w:szCs w:val="22"/>
          <w:vertAlign w:val="subscript"/>
        </w:rPr>
        <w:t>2</w:t>
      </w:r>
      <w:r w:rsidRPr="00184CBA">
        <w:rPr>
          <w:rFonts w:asciiTheme="majorBidi" w:hAnsiTheme="majorBidi" w:cstheme="majorBidi"/>
          <w:sz w:val="24"/>
          <w:szCs w:val="22"/>
        </w:rPr>
        <w:t xml:space="preserve">. Such seals underwent a dramatic frequency increase in </w:t>
      </w:r>
      <w:r w:rsidR="001E1DEF" w:rsidRPr="00184CBA">
        <w:rPr>
          <w:rFonts w:asciiTheme="majorBidi" w:hAnsiTheme="majorBidi" w:cstheme="majorBidi"/>
          <w:sz w:val="24"/>
          <w:szCs w:val="22"/>
        </w:rPr>
        <w:t>Sub-Period</w:t>
      </w:r>
      <w:r w:rsidRPr="00184CBA">
        <w:rPr>
          <w:rFonts w:asciiTheme="majorBidi" w:hAnsiTheme="majorBidi" w:cstheme="majorBidi"/>
          <w:sz w:val="24"/>
          <w:szCs w:val="22"/>
        </w:rPr>
        <w:t xml:space="preserve"> III</w:t>
      </w:r>
      <w:r w:rsidRPr="00184CBA">
        <w:rPr>
          <w:rFonts w:asciiTheme="majorBidi" w:hAnsiTheme="majorBidi" w:cstheme="majorBidi"/>
          <w:sz w:val="24"/>
          <w:szCs w:val="22"/>
          <w:vertAlign w:val="subscript"/>
        </w:rPr>
        <w:t>6</w:t>
      </w:r>
      <w:r w:rsidRPr="00184CBA">
        <w:rPr>
          <w:rFonts w:asciiTheme="majorBidi" w:hAnsiTheme="majorBidi" w:cstheme="majorBidi"/>
          <w:sz w:val="24"/>
          <w:szCs w:val="22"/>
        </w:rPr>
        <w:t xml:space="preserve"> (30), although </w:t>
      </w:r>
      <w:r w:rsidR="00184CBA" w:rsidRPr="00184CBA">
        <w:rPr>
          <w:rFonts w:asciiTheme="majorBidi" w:hAnsiTheme="majorBidi" w:cstheme="majorBidi"/>
          <w:sz w:val="24"/>
          <w:szCs w:val="22"/>
        </w:rPr>
        <w:t xml:space="preserve">they were </w:t>
      </w:r>
      <w:r w:rsidRPr="00184CBA">
        <w:rPr>
          <w:rFonts w:asciiTheme="majorBidi" w:hAnsiTheme="majorBidi" w:cstheme="majorBidi"/>
          <w:sz w:val="24"/>
          <w:szCs w:val="22"/>
        </w:rPr>
        <w:t>infrequently found in the earlier phases of that period (</w:t>
      </w:r>
      <w:r w:rsidR="001E1DEF" w:rsidRPr="00184CBA">
        <w:rPr>
          <w:rFonts w:asciiTheme="majorBidi" w:hAnsiTheme="majorBidi" w:cstheme="majorBidi"/>
          <w:sz w:val="24"/>
          <w:szCs w:val="22"/>
        </w:rPr>
        <w:t>Sub-Period</w:t>
      </w:r>
      <w:r w:rsidRPr="00184CBA">
        <w:rPr>
          <w:rFonts w:asciiTheme="majorBidi" w:hAnsiTheme="majorBidi" w:cstheme="majorBidi"/>
          <w:sz w:val="24"/>
          <w:szCs w:val="22"/>
        </w:rPr>
        <w:t xml:space="preserve"> III</w:t>
      </w:r>
      <w:r w:rsidRPr="00184CBA">
        <w:rPr>
          <w:rFonts w:asciiTheme="majorBidi" w:hAnsiTheme="majorBidi" w:cstheme="majorBidi"/>
          <w:sz w:val="24"/>
          <w:szCs w:val="22"/>
          <w:vertAlign w:val="subscript"/>
        </w:rPr>
        <w:t>4</w:t>
      </w:r>
      <w:r w:rsidRPr="00184CBA">
        <w:rPr>
          <w:rFonts w:asciiTheme="majorBidi" w:hAnsiTheme="majorBidi" w:cstheme="majorBidi"/>
          <w:sz w:val="24"/>
          <w:szCs w:val="22"/>
        </w:rPr>
        <w:t xml:space="preserve"> = 2, </w:t>
      </w:r>
      <w:r w:rsidR="001E1DEF" w:rsidRPr="00184CBA">
        <w:rPr>
          <w:rFonts w:asciiTheme="majorBidi" w:hAnsiTheme="majorBidi" w:cstheme="majorBidi"/>
          <w:sz w:val="24"/>
          <w:szCs w:val="22"/>
        </w:rPr>
        <w:t>Sub-Period</w:t>
      </w:r>
      <w:r w:rsidRPr="00184CBA">
        <w:rPr>
          <w:rFonts w:asciiTheme="majorBidi" w:hAnsiTheme="majorBidi" w:cstheme="majorBidi"/>
          <w:sz w:val="24"/>
          <w:szCs w:val="22"/>
        </w:rPr>
        <w:t xml:space="preserve"> III</w:t>
      </w:r>
      <w:r w:rsidRPr="00184CBA">
        <w:rPr>
          <w:rFonts w:asciiTheme="majorBidi" w:hAnsiTheme="majorBidi" w:cstheme="majorBidi"/>
          <w:sz w:val="24"/>
          <w:szCs w:val="22"/>
          <w:vertAlign w:val="subscript"/>
        </w:rPr>
        <w:t>5</w:t>
      </w:r>
      <w:r w:rsidRPr="00184CBA">
        <w:rPr>
          <w:rFonts w:asciiTheme="majorBidi" w:hAnsiTheme="majorBidi" w:cstheme="majorBidi"/>
          <w:sz w:val="24"/>
          <w:szCs w:val="22"/>
        </w:rPr>
        <w:t xml:space="preserve"> = 3). The majority of these seals were rectangular with two central perforations. Identical seals made from bone were also found in </w:t>
      </w:r>
      <w:r w:rsidR="001E1DEF" w:rsidRPr="00184CBA">
        <w:rPr>
          <w:rFonts w:asciiTheme="majorBidi" w:hAnsiTheme="majorBidi" w:cstheme="majorBidi"/>
          <w:sz w:val="24"/>
          <w:szCs w:val="22"/>
        </w:rPr>
        <w:t>Sub-Period</w:t>
      </w:r>
      <w:r w:rsidRPr="00184CBA">
        <w:rPr>
          <w:rFonts w:asciiTheme="majorBidi" w:hAnsiTheme="majorBidi" w:cstheme="majorBidi"/>
          <w:sz w:val="24"/>
          <w:szCs w:val="22"/>
        </w:rPr>
        <w:t xml:space="preserve"> III</w:t>
      </w:r>
      <w:r w:rsidRPr="00184CBA">
        <w:rPr>
          <w:rFonts w:asciiTheme="majorBidi" w:hAnsiTheme="majorBidi" w:cstheme="majorBidi"/>
          <w:sz w:val="24"/>
          <w:szCs w:val="22"/>
          <w:vertAlign w:val="subscript"/>
        </w:rPr>
        <w:t>5</w:t>
      </w:r>
      <w:r w:rsidRPr="00184CBA">
        <w:rPr>
          <w:rFonts w:asciiTheme="majorBidi" w:hAnsiTheme="majorBidi" w:cstheme="majorBidi"/>
          <w:sz w:val="24"/>
          <w:szCs w:val="22"/>
        </w:rPr>
        <w:t xml:space="preserve"> (1) and </w:t>
      </w:r>
      <w:r w:rsidR="001E1DEF" w:rsidRPr="00184CBA">
        <w:rPr>
          <w:rFonts w:asciiTheme="majorBidi" w:hAnsiTheme="majorBidi" w:cstheme="majorBidi"/>
          <w:sz w:val="24"/>
          <w:szCs w:val="22"/>
        </w:rPr>
        <w:t>Sub-Period</w:t>
      </w:r>
      <w:r w:rsidRPr="00184CBA">
        <w:rPr>
          <w:rFonts w:asciiTheme="majorBidi" w:hAnsiTheme="majorBidi" w:cstheme="majorBidi"/>
          <w:sz w:val="24"/>
          <w:szCs w:val="22"/>
        </w:rPr>
        <w:t xml:space="preserve"> III</w:t>
      </w:r>
      <w:r w:rsidRPr="00184CBA">
        <w:rPr>
          <w:rFonts w:asciiTheme="majorBidi" w:hAnsiTheme="majorBidi" w:cstheme="majorBidi"/>
          <w:sz w:val="24"/>
          <w:szCs w:val="22"/>
          <w:vertAlign w:val="subscript"/>
        </w:rPr>
        <w:t>6</w:t>
      </w:r>
      <w:r w:rsidRPr="00184CBA">
        <w:rPr>
          <w:rFonts w:asciiTheme="majorBidi" w:hAnsiTheme="majorBidi" w:cstheme="majorBidi"/>
          <w:sz w:val="24"/>
          <w:szCs w:val="22"/>
        </w:rPr>
        <w:t xml:space="preserve"> (3). Yet another significant increase in seals occur</w:t>
      </w:r>
      <w:r w:rsidR="00184CBA" w:rsidRPr="00184CBA">
        <w:rPr>
          <w:rFonts w:asciiTheme="majorBidi" w:hAnsiTheme="majorBidi" w:cstheme="majorBidi"/>
          <w:sz w:val="24"/>
          <w:szCs w:val="22"/>
        </w:rPr>
        <w:t>ed</w:t>
      </w:r>
      <w:r w:rsidRPr="00184CBA">
        <w:rPr>
          <w:rFonts w:asciiTheme="majorBidi" w:hAnsiTheme="majorBidi" w:cstheme="majorBidi"/>
          <w:sz w:val="24"/>
          <w:szCs w:val="22"/>
        </w:rPr>
        <w:t xml:space="preserve"> in Period IV which is also distinguished by the introduction of several new geometric shapes of seals. The most noticeable addition was of notched edges encompassing the seal circumference. Metal seals were found in the last phases of Period IV but were rare, and one had a zoomorphic motif. Only a single compartmented seal was identified as belonging to Period V.</w:t>
      </w:r>
    </w:p>
    <w:p w14:paraId="30B5009D" w14:textId="255F0E72" w:rsidR="0030226C" w:rsidRPr="00067D8A" w:rsidRDefault="0030226C" w:rsidP="0030226C">
      <w:pPr>
        <w:pStyle w:val="BodyTextIndent"/>
        <w:rPr>
          <w:rFonts w:asciiTheme="majorBidi" w:hAnsiTheme="majorBidi" w:cstheme="majorBidi"/>
          <w:sz w:val="24"/>
          <w:szCs w:val="22"/>
        </w:rPr>
      </w:pPr>
      <w:r w:rsidRPr="00184CBA">
        <w:rPr>
          <w:rFonts w:asciiTheme="majorBidi" w:hAnsiTheme="majorBidi" w:cstheme="majorBidi"/>
          <w:i/>
          <w:iCs/>
          <w:sz w:val="24"/>
          <w:szCs w:val="22"/>
        </w:rPr>
        <w:t>Ceramic Figurines</w:t>
      </w:r>
      <w:r w:rsidRPr="00184CBA">
        <w:rPr>
          <w:rFonts w:asciiTheme="majorBidi" w:hAnsiTheme="majorBidi" w:cstheme="majorBidi"/>
          <w:sz w:val="24"/>
          <w:szCs w:val="22"/>
        </w:rPr>
        <w:t xml:space="preserve"> (Fig. </w:t>
      </w:r>
      <w:r w:rsidR="005B52A9" w:rsidRPr="00184CBA">
        <w:rPr>
          <w:rFonts w:asciiTheme="majorBidi" w:hAnsiTheme="majorBidi" w:cstheme="majorBidi"/>
          <w:sz w:val="24"/>
          <w:szCs w:val="22"/>
        </w:rPr>
        <w:t>4.</w:t>
      </w:r>
      <w:r w:rsidRPr="00184CBA">
        <w:rPr>
          <w:rFonts w:asciiTheme="majorBidi" w:hAnsiTheme="majorBidi" w:cstheme="majorBidi"/>
          <w:sz w:val="24"/>
          <w:szCs w:val="22"/>
        </w:rPr>
        <w:t xml:space="preserve">39). Only four figurines of humped bulls were found in </w:t>
      </w:r>
      <w:r w:rsidR="001E1DEF" w:rsidRPr="00184CBA">
        <w:rPr>
          <w:rFonts w:asciiTheme="majorBidi" w:hAnsiTheme="majorBidi" w:cstheme="majorBidi"/>
          <w:sz w:val="24"/>
          <w:szCs w:val="22"/>
        </w:rPr>
        <w:t>Sub-Period</w:t>
      </w:r>
      <w:r w:rsidRPr="00184CBA">
        <w:rPr>
          <w:rFonts w:asciiTheme="majorBidi" w:hAnsiTheme="majorBidi" w:cstheme="majorBidi"/>
          <w:sz w:val="24"/>
          <w:szCs w:val="22"/>
        </w:rPr>
        <w:t>s I</w:t>
      </w:r>
      <w:r w:rsidRPr="00184CBA">
        <w:rPr>
          <w:rFonts w:asciiTheme="majorBidi" w:hAnsiTheme="majorBidi" w:cstheme="majorBidi"/>
          <w:sz w:val="24"/>
          <w:szCs w:val="22"/>
          <w:vertAlign w:val="subscript"/>
        </w:rPr>
        <w:t>3–5</w:t>
      </w:r>
      <w:r w:rsidRPr="00184CBA">
        <w:rPr>
          <w:rFonts w:asciiTheme="majorBidi" w:hAnsiTheme="majorBidi" w:cstheme="majorBidi"/>
          <w:sz w:val="24"/>
          <w:szCs w:val="22"/>
        </w:rPr>
        <w:t>. Casal stated that such figurines increased in frequency during Period II, but no quantification was given. A single example of an anthropomorphic figurine was found in Period II. This is a crudely modelled human torso of indeterminate sex. Both zoomorphic and anthropomorphic figurines are numerous in Period III. Bull figurines are particularly numerous in the early phases of this period (</w:t>
      </w:r>
      <w:r w:rsidR="001E1DEF" w:rsidRPr="00184CBA">
        <w:rPr>
          <w:rFonts w:asciiTheme="majorBidi" w:hAnsiTheme="majorBidi" w:cstheme="majorBidi"/>
          <w:sz w:val="24"/>
          <w:szCs w:val="22"/>
        </w:rPr>
        <w:t>Sub-Period</w:t>
      </w:r>
      <w:r w:rsidRPr="00184CBA">
        <w:rPr>
          <w:rFonts w:asciiTheme="majorBidi" w:hAnsiTheme="majorBidi" w:cstheme="majorBidi"/>
          <w:sz w:val="24"/>
          <w:szCs w:val="22"/>
        </w:rPr>
        <w:t xml:space="preserve"> III</w:t>
      </w:r>
      <w:r w:rsidRPr="00184CBA">
        <w:rPr>
          <w:rFonts w:asciiTheme="majorBidi" w:hAnsiTheme="majorBidi" w:cstheme="majorBidi"/>
          <w:sz w:val="24"/>
          <w:szCs w:val="22"/>
          <w:vertAlign w:val="subscript"/>
        </w:rPr>
        <w:t xml:space="preserve">1 </w:t>
      </w:r>
      <w:r w:rsidRPr="00184CBA">
        <w:rPr>
          <w:rFonts w:asciiTheme="majorBidi" w:hAnsiTheme="majorBidi" w:cstheme="majorBidi"/>
          <w:sz w:val="24"/>
          <w:szCs w:val="22"/>
        </w:rPr>
        <w:t>= 71), but then progressively decline in the later phases (</w:t>
      </w:r>
      <w:r w:rsidR="001E1DEF" w:rsidRPr="00184CBA">
        <w:rPr>
          <w:rFonts w:asciiTheme="majorBidi" w:hAnsiTheme="majorBidi" w:cstheme="majorBidi"/>
          <w:sz w:val="24"/>
          <w:szCs w:val="22"/>
        </w:rPr>
        <w:t>Sub-Period</w:t>
      </w:r>
      <w:r w:rsidRPr="00184CBA">
        <w:rPr>
          <w:rFonts w:asciiTheme="majorBidi" w:hAnsiTheme="majorBidi" w:cstheme="majorBidi"/>
          <w:sz w:val="24"/>
          <w:szCs w:val="22"/>
        </w:rPr>
        <w:t xml:space="preserve"> III</w:t>
      </w:r>
      <w:r w:rsidRPr="00184CBA">
        <w:rPr>
          <w:rFonts w:asciiTheme="majorBidi" w:hAnsiTheme="majorBidi" w:cstheme="majorBidi"/>
          <w:sz w:val="24"/>
          <w:szCs w:val="22"/>
          <w:vertAlign w:val="subscript"/>
        </w:rPr>
        <w:t>6</w:t>
      </w:r>
      <w:r w:rsidRPr="00184CBA">
        <w:rPr>
          <w:rFonts w:asciiTheme="majorBidi" w:hAnsiTheme="majorBidi" w:cstheme="majorBidi"/>
          <w:sz w:val="24"/>
          <w:szCs w:val="22"/>
        </w:rPr>
        <w:t xml:space="preserve"> = 30). Two figurines resembling goats were also found in </w:t>
      </w:r>
      <w:r w:rsidR="001E1DEF" w:rsidRPr="00184CBA">
        <w:rPr>
          <w:rFonts w:asciiTheme="majorBidi" w:hAnsiTheme="majorBidi" w:cstheme="majorBidi"/>
          <w:sz w:val="24"/>
          <w:szCs w:val="22"/>
        </w:rPr>
        <w:t>Sub-Period</w:t>
      </w:r>
      <w:r w:rsidRPr="00184CBA">
        <w:rPr>
          <w:rFonts w:asciiTheme="majorBidi" w:hAnsiTheme="majorBidi" w:cstheme="majorBidi"/>
          <w:sz w:val="24"/>
          <w:szCs w:val="22"/>
        </w:rPr>
        <w:t xml:space="preserve"> III</w:t>
      </w:r>
      <w:r w:rsidRPr="00184CBA">
        <w:rPr>
          <w:rFonts w:asciiTheme="majorBidi" w:hAnsiTheme="majorBidi" w:cstheme="majorBidi"/>
          <w:sz w:val="24"/>
          <w:szCs w:val="22"/>
          <w:vertAlign w:val="subscript"/>
        </w:rPr>
        <w:t>1</w:t>
      </w:r>
      <w:r w:rsidRPr="00184CBA">
        <w:rPr>
          <w:rFonts w:asciiTheme="majorBidi" w:hAnsiTheme="majorBidi" w:cstheme="majorBidi"/>
          <w:sz w:val="24"/>
          <w:szCs w:val="22"/>
        </w:rPr>
        <w:t>. A similar increase can be defined for the anthropomorphic figurines. Unfortunately, Casal gives no actual counts but refers to them as being abundant (</w:t>
      </w:r>
      <w:r w:rsidR="001E1DEF" w:rsidRPr="00184CBA">
        <w:rPr>
          <w:rFonts w:asciiTheme="majorBidi" w:hAnsiTheme="majorBidi" w:cstheme="majorBidi"/>
          <w:sz w:val="24"/>
          <w:szCs w:val="22"/>
        </w:rPr>
        <w:t>Sub-Period</w:t>
      </w:r>
      <w:r w:rsidRPr="00184CBA">
        <w:rPr>
          <w:rFonts w:asciiTheme="majorBidi" w:hAnsiTheme="majorBidi" w:cstheme="majorBidi"/>
          <w:sz w:val="24"/>
          <w:szCs w:val="22"/>
        </w:rPr>
        <w:t xml:space="preserve"> III</w:t>
      </w:r>
      <w:r w:rsidRPr="00184CBA">
        <w:rPr>
          <w:rFonts w:asciiTheme="majorBidi" w:hAnsiTheme="majorBidi" w:cstheme="majorBidi"/>
          <w:sz w:val="24"/>
          <w:szCs w:val="22"/>
          <w:vertAlign w:val="subscript"/>
        </w:rPr>
        <w:t>1</w:t>
      </w:r>
      <w:r w:rsidRPr="00184CBA">
        <w:rPr>
          <w:rFonts w:asciiTheme="majorBidi" w:hAnsiTheme="majorBidi" w:cstheme="majorBidi"/>
          <w:sz w:val="24"/>
          <w:szCs w:val="22"/>
        </w:rPr>
        <w:t xml:space="preserve"> = 15). These figurines were predominantly females with prominent breasts. All figurines are highly stylised in a standing position. Arms are represented by mere wing-like projections while the lower portions are distinguished by broad flat hips. The body below the hips was not modelled at all. </w:t>
      </w:r>
      <w:r w:rsidRPr="00184CBA">
        <w:rPr>
          <w:rFonts w:asciiTheme="majorBidi" w:hAnsiTheme="majorBidi" w:cstheme="majorBidi"/>
          <w:sz w:val="24"/>
          <w:szCs w:val="22"/>
        </w:rPr>
        <w:lastRenderedPageBreak/>
        <w:t>A single figurine had some punctated motifs in the neck region which presumably represented a necklace.</w:t>
      </w:r>
      <w:r w:rsidR="00184CBA">
        <w:rPr>
          <w:rFonts w:asciiTheme="majorBidi" w:hAnsiTheme="majorBidi" w:cstheme="majorBidi"/>
          <w:sz w:val="24"/>
          <w:szCs w:val="22"/>
        </w:rPr>
        <w:t xml:space="preserve"> </w:t>
      </w:r>
    </w:p>
    <w:p w14:paraId="2AE55BB5" w14:textId="59EA6881" w:rsidR="0030226C" w:rsidRPr="00067D8A" w:rsidRDefault="0030226C" w:rsidP="005E75C8">
      <w:pPr>
        <w:pStyle w:val="BodyTextIndent"/>
        <w:rPr>
          <w:rFonts w:asciiTheme="majorBidi" w:hAnsiTheme="majorBidi" w:cstheme="majorBidi"/>
          <w:sz w:val="24"/>
          <w:szCs w:val="22"/>
        </w:rPr>
      </w:pPr>
      <w:r w:rsidRPr="00067D8A">
        <w:rPr>
          <w:rFonts w:asciiTheme="majorBidi" w:hAnsiTheme="majorBidi" w:cstheme="majorBidi"/>
          <w:sz w:val="24"/>
          <w:szCs w:val="22"/>
        </w:rPr>
        <w:t>Period IV was the final occurrence of figurines in any significant quantity</w:t>
      </w:r>
      <w:r w:rsidR="00184CBA">
        <w:rPr>
          <w:rFonts w:asciiTheme="majorBidi" w:hAnsiTheme="majorBidi" w:cstheme="majorBidi"/>
          <w:sz w:val="24"/>
          <w:szCs w:val="22"/>
        </w:rPr>
        <w:t>, and included a white calcite human head in Sub-Period IV3 deposits</w:t>
      </w:r>
      <w:r w:rsidRPr="00067D8A">
        <w:rPr>
          <w:rFonts w:asciiTheme="majorBidi" w:hAnsiTheme="majorBidi" w:cstheme="majorBidi"/>
          <w:sz w:val="24"/>
          <w:szCs w:val="22"/>
        </w:rPr>
        <w:t xml:space="preserve">. Two important points need to be made about </w:t>
      </w:r>
      <w:r w:rsidR="005E75C8" w:rsidRPr="00067D8A">
        <w:rPr>
          <w:rFonts w:asciiTheme="majorBidi" w:hAnsiTheme="majorBidi" w:cstheme="majorBidi"/>
          <w:sz w:val="24"/>
          <w:szCs w:val="22"/>
        </w:rPr>
        <w:t xml:space="preserve">the Period IV figurines. </w:t>
      </w:r>
      <w:r w:rsidRPr="00067D8A">
        <w:rPr>
          <w:rFonts w:asciiTheme="majorBidi" w:hAnsiTheme="majorBidi" w:cstheme="majorBidi"/>
          <w:sz w:val="24"/>
          <w:szCs w:val="22"/>
        </w:rPr>
        <w:t>First, considering the horizontal area of excavations in contrast to that of previous periods the quantity of figurines seems very small</w:t>
      </w:r>
      <w:r w:rsidR="00184CBA">
        <w:rPr>
          <w:rFonts w:asciiTheme="majorBidi" w:hAnsiTheme="majorBidi" w:cstheme="majorBidi"/>
          <w:sz w:val="24"/>
          <w:szCs w:val="22"/>
        </w:rPr>
        <w:t>, though it still</w:t>
      </w:r>
      <w:r w:rsidRPr="00067D8A">
        <w:rPr>
          <w:rFonts w:asciiTheme="majorBidi" w:hAnsiTheme="majorBidi" w:cstheme="majorBidi"/>
          <w:sz w:val="24"/>
          <w:szCs w:val="22"/>
        </w:rPr>
        <w:t xml:space="preserve"> appears that such figurines were actually less frequently made than in earlier periods. Second, according to available information, these figurines were conspicuously absent from both the ‘palace’ and ‘temple’ structures. </w:t>
      </w:r>
      <w:r w:rsidR="00184CBA">
        <w:rPr>
          <w:rFonts w:asciiTheme="majorBidi" w:hAnsiTheme="majorBidi" w:cstheme="majorBidi"/>
          <w:sz w:val="24"/>
          <w:szCs w:val="22"/>
        </w:rPr>
        <w:t>In Period IV, f</w:t>
      </w:r>
      <w:r w:rsidRPr="00067D8A">
        <w:rPr>
          <w:rFonts w:asciiTheme="majorBidi" w:hAnsiTheme="majorBidi" w:cstheme="majorBidi"/>
          <w:sz w:val="24"/>
          <w:szCs w:val="22"/>
        </w:rPr>
        <w:t>igurines were confined to the habitation areas surrounding the enclosure walls, or in the same contexts as they were located in the previous periods. Most zoomorphic figurines were highly stylised representations of the humped bull/cow. Several were found with painted decorations, including polychrome, or an appliqué collar. A few figurines represent caprids such as sheep/goat or ibex and a single figurine of a pig. Anthropomorphic figurines were predominantly female. A notable exception is a sculptured in the round male figurine decorated with polychrome paint. Most female figurines were highly stylised with pinched faces, prominent breasts, applique eves, winged arms, broad hips, and otherwise a rather flat profile. Appliqué and painted necklace and coiffures are recorded on many examples. All figurines are standing with one exception which has its legs crossed and extended out in front apparently to act as a support. Two very fine examples of female figurines modelled in the round in a style usually referred to as ‘Zhob’ figurines were located in Period IV. Only the upper torso was found but such figurines are usually depicted as seated when found at other sites. In contrast to Period IV only a single female figurine was found in Period V.</w:t>
      </w:r>
    </w:p>
    <w:p w14:paraId="3BFBEBF9" w14:textId="77777777" w:rsidR="0030226C" w:rsidRPr="005501F2" w:rsidRDefault="009C43AA" w:rsidP="0030226C">
      <w:pPr>
        <w:pStyle w:val="Heading3"/>
        <w:rPr>
          <w:rFonts w:asciiTheme="majorBidi" w:hAnsiTheme="majorBidi"/>
          <w:color w:val="auto"/>
          <w:lang w:val="en-GB"/>
        </w:rPr>
      </w:pPr>
      <w:r w:rsidRPr="009C43AA">
        <w:rPr>
          <w:rFonts w:asciiTheme="majorBidi" w:hAnsiTheme="majorBidi"/>
          <w:color w:val="auto"/>
          <w:lang w:val="en-GB"/>
        </w:rPr>
        <w:lastRenderedPageBreak/>
        <w:t>Faunal and Floral Remains</w:t>
      </w:r>
    </w:p>
    <w:p w14:paraId="4A98724B" w14:textId="6A52E408" w:rsidR="0030226C" w:rsidRPr="00067D8A" w:rsidRDefault="0030226C" w:rsidP="0030226C">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Domesticated animals were identified initially in Period I and included: sheep, goat, cattle, ass, horse and dog. Wild animals were represented by: gazelle, ibex and lynx. Period II had the same complex of domesticated and wild animals with the addition of a wild bird of prey. More important, the first cereal remains identified at Mundigak come from this period and included domesticated wheat (</w:t>
      </w:r>
      <w:r w:rsidRPr="00067D8A">
        <w:rPr>
          <w:rFonts w:asciiTheme="majorBidi" w:hAnsiTheme="majorBidi" w:cstheme="majorBidi"/>
          <w:i/>
          <w:iCs/>
          <w:sz w:val="24"/>
          <w:szCs w:val="22"/>
          <w:lang w:val="en-GB"/>
        </w:rPr>
        <w:t>Triticum compactium)</w:t>
      </w:r>
      <w:r w:rsidRPr="00067D8A">
        <w:rPr>
          <w:rFonts w:asciiTheme="majorBidi" w:hAnsiTheme="majorBidi" w:cstheme="majorBidi"/>
          <w:sz w:val="24"/>
          <w:szCs w:val="22"/>
          <w:lang w:val="en-GB"/>
        </w:rPr>
        <w:t>. The faunal remains in later periods include the same animals but no plant remains were identified. It is thus clear that the inhabitants of Mundigak were exploiting domesticated plants and animals from the initial occupation of the site</w:t>
      </w:r>
      <w:r w:rsidR="00184CBA">
        <w:rPr>
          <w:rFonts w:asciiTheme="majorBidi" w:hAnsiTheme="majorBidi" w:cstheme="majorBidi"/>
          <w:sz w:val="24"/>
          <w:szCs w:val="22"/>
          <w:lang w:val="en-GB"/>
        </w:rPr>
        <w:t>, which is not surprising considering the developments that had taken place in the surrounding regions in the preceding millennia (see Chapter 3)</w:t>
      </w:r>
      <w:r w:rsidRPr="00067D8A">
        <w:rPr>
          <w:rFonts w:asciiTheme="majorBidi" w:hAnsiTheme="majorBidi" w:cstheme="majorBidi"/>
          <w:sz w:val="24"/>
          <w:szCs w:val="22"/>
          <w:lang w:val="en-GB"/>
        </w:rPr>
        <w:t>.</w:t>
      </w:r>
    </w:p>
    <w:p w14:paraId="556581FC" w14:textId="77777777" w:rsidR="0030226C" w:rsidRPr="005501F2" w:rsidRDefault="009C43AA" w:rsidP="0030226C">
      <w:pPr>
        <w:pStyle w:val="Heading2"/>
        <w:rPr>
          <w:rFonts w:asciiTheme="majorBidi" w:hAnsiTheme="majorBidi"/>
          <w:color w:val="auto"/>
          <w:sz w:val="36"/>
          <w:szCs w:val="36"/>
          <w:lang w:val="en-GB"/>
        </w:rPr>
      </w:pPr>
      <w:r w:rsidRPr="009C43AA">
        <w:rPr>
          <w:rFonts w:asciiTheme="majorBidi" w:hAnsiTheme="majorBidi"/>
          <w:color w:val="auto"/>
          <w:sz w:val="36"/>
          <w:szCs w:val="36"/>
          <w:lang w:val="en-GB"/>
        </w:rPr>
        <w:t>Said Qala Tepe</w:t>
      </w:r>
    </w:p>
    <w:p w14:paraId="3238791D" w14:textId="77777777" w:rsidR="005501F2" w:rsidRDefault="005501F2" w:rsidP="0030226C">
      <w:pPr>
        <w:pStyle w:val="BodyText"/>
        <w:spacing w:line="480" w:lineRule="auto"/>
        <w:rPr>
          <w:rFonts w:asciiTheme="majorBidi" w:hAnsiTheme="majorBidi" w:cstheme="majorBidi"/>
          <w:sz w:val="24"/>
          <w:szCs w:val="22"/>
          <w:lang w:val="en-GB"/>
        </w:rPr>
      </w:pPr>
    </w:p>
    <w:p w14:paraId="3B8B1BD6" w14:textId="74872035" w:rsidR="0030226C" w:rsidRPr="00067D8A" w:rsidRDefault="0030226C" w:rsidP="00E11BA8">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Said Qala Tepe is located approximately 96 km south-east of Mundigak near Kandahar. This site is not comparable to Mundigak in terms of its absolute size (8 m of elevation and 200 m in diameter), areal extent of excavations (two 10 m squares and a 6 × 2 m sondage), or extensiveness of the cultural sequence (all occupations correspond to Mundigak III</w:t>
      </w:r>
      <w:r w:rsidRPr="00067D8A">
        <w:rPr>
          <w:rFonts w:asciiTheme="majorBidi" w:hAnsiTheme="majorBidi" w:cstheme="majorBidi"/>
          <w:sz w:val="24"/>
          <w:szCs w:val="22"/>
          <w:vertAlign w:val="subscript"/>
          <w:lang w:val="en-GB"/>
        </w:rPr>
        <w:t>5</w:t>
      </w:r>
      <w:r w:rsidRPr="00067D8A">
        <w:rPr>
          <w:rFonts w:asciiTheme="majorBidi" w:hAnsiTheme="majorBidi" w:cstheme="majorBidi"/>
          <w:sz w:val="24"/>
          <w:szCs w:val="22"/>
          <w:lang w:val="en-GB"/>
        </w:rPr>
        <w:t>–IV</w:t>
      </w:r>
      <w:r w:rsidRPr="00067D8A">
        <w:rPr>
          <w:rFonts w:asciiTheme="majorBidi" w:hAnsiTheme="majorBidi" w:cstheme="majorBidi"/>
          <w:sz w:val="24"/>
          <w:szCs w:val="22"/>
          <w:vertAlign w:val="subscript"/>
          <w:lang w:val="en-GB"/>
        </w:rPr>
        <w:t>1</w:t>
      </w:r>
      <w:r w:rsidRPr="00067D8A">
        <w:rPr>
          <w:rFonts w:asciiTheme="majorBidi" w:hAnsiTheme="majorBidi" w:cstheme="majorBidi"/>
          <w:sz w:val="24"/>
          <w:szCs w:val="22"/>
          <w:lang w:val="en-GB"/>
        </w:rPr>
        <w:t>)</w:t>
      </w:r>
      <w:r w:rsidR="00184CBA">
        <w:rPr>
          <w:rFonts w:asciiTheme="majorBidi" w:hAnsiTheme="majorBidi" w:cstheme="majorBidi"/>
          <w:sz w:val="24"/>
          <w:szCs w:val="22"/>
          <w:lang w:val="en-GB"/>
        </w:rPr>
        <w:t xml:space="preserve">. </w:t>
      </w:r>
      <w:r w:rsidRPr="00067D8A">
        <w:rPr>
          <w:rFonts w:asciiTheme="majorBidi" w:hAnsiTheme="majorBidi" w:cstheme="majorBidi"/>
          <w:sz w:val="24"/>
          <w:szCs w:val="22"/>
          <w:lang w:val="en-GB"/>
        </w:rPr>
        <w:t>The site was first tested by Fairservis,</w:t>
      </w:r>
      <w:r w:rsidRPr="00067D8A">
        <w:rPr>
          <w:rStyle w:val="EndnoteReference"/>
          <w:rFonts w:asciiTheme="majorBidi" w:hAnsiTheme="majorBidi" w:cstheme="majorBidi"/>
          <w:sz w:val="24"/>
          <w:szCs w:val="22"/>
          <w:lang w:val="en-GB"/>
        </w:rPr>
        <w:endnoteReference w:id="75"/>
      </w:r>
      <w:r w:rsidRPr="00067D8A">
        <w:rPr>
          <w:rFonts w:asciiTheme="majorBidi" w:hAnsiTheme="majorBidi" w:cstheme="majorBidi"/>
          <w:sz w:val="24"/>
          <w:szCs w:val="22"/>
          <w:lang w:val="en-GB"/>
        </w:rPr>
        <w:t xml:space="preserve"> however, the major excavations were conducted by Shaffer </w:t>
      </w:r>
      <w:r w:rsidR="000B36AF">
        <w:rPr>
          <w:rFonts w:asciiTheme="majorBidi" w:hAnsiTheme="majorBidi" w:cstheme="majorBidi"/>
          <w:sz w:val="24"/>
          <w:szCs w:val="22"/>
          <w:lang w:val="en-GB"/>
        </w:rPr>
        <w:t xml:space="preserve">in the 1970s, </w:t>
      </w:r>
      <w:r w:rsidRPr="00067D8A">
        <w:rPr>
          <w:rFonts w:asciiTheme="majorBidi" w:hAnsiTheme="majorBidi" w:cstheme="majorBidi"/>
          <w:sz w:val="24"/>
          <w:szCs w:val="22"/>
          <w:lang w:val="en-GB"/>
        </w:rPr>
        <w:t>almost twenty years later.</w:t>
      </w:r>
      <w:r w:rsidRPr="00067D8A">
        <w:rPr>
          <w:rStyle w:val="EndnoteReference"/>
          <w:rFonts w:asciiTheme="majorBidi" w:hAnsiTheme="majorBidi" w:cstheme="majorBidi"/>
          <w:sz w:val="24"/>
          <w:szCs w:val="22"/>
          <w:lang w:val="en-GB"/>
        </w:rPr>
        <w:endnoteReference w:id="76"/>
      </w:r>
      <w:r w:rsidRPr="00067D8A">
        <w:rPr>
          <w:rFonts w:asciiTheme="majorBidi" w:hAnsiTheme="majorBidi" w:cstheme="majorBidi"/>
          <w:sz w:val="24"/>
          <w:szCs w:val="22"/>
          <w:lang w:val="en-GB"/>
        </w:rPr>
        <w:t xml:space="preserve"> </w:t>
      </w:r>
      <w:r w:rsidR="000B36AF">
        <w:rPr>
          <w:rFonts w:asciiTheme="majorBidi" w:hAnsiTheme="majorBidi" w:cstheme="majorBidi"/>
          <w:sz w:val="24"/>
          <w:szCs w:val="22"/>
          <w:lang w:val="en-GB"/>
        </w:rPr>
        <w:t xml:space="preserve">Shaffer’s excavations made use of somewhat improved </w:t>
      </w:r>
      <w:r w:rsidR="000B36AF" w:rsidRPr="00067D8A">
        <w:rPr>
          <w:rFonts w:asciiTheme="majorBidi" w:hAnsiTheme="majorBidi" w:cstheme="majorBidi"/>
          <w:sz w:val="24"/>
          <w:szCs w:val="22"/>
          <w:lang w:val="en-GB"/>
        </w:rPr>
        <w:t xml:space="preserve">methods of artefact retrieval and quantitative analysis </w:t>
      </w:r>
      <w:r w:rsidR="000B36AF">
        <w:rPr>
          <w:rFonts w:asciiTheme="majorBidi" w:hAnsiTheme="majorBidi" w:cstheme="majorBidi"/>
          <w:sz w:val="24"/>
          <w:szCs w:val="22"/>
          <w:lang w:val="en-GB"/>
        </w:rPr>
        <w:t>in comparison to what was attempted at Mundigak, but these were still very much of their time</w:t>
      </w:r>
      <w:r w:rsidR="000B36AF" w:rsidRPr="00067D8A">
        <w:rPr>
          <w:rFonts w:asciiTheme="majorBidi" w:hAnsiTheme="majorBidi" w:cstheme="majorBidi"/>
          <w:sz w:val="24"/>
          <w:szCs w:val="22"/>
          <w:lang w:val="en-GB"/>
        </w:rPr>
        <w:t xml:space="preserve">. </w:t>
      </w:r>
      <w:r w:rsidRPr="00067D8A">
        <w:rPr>
          <w:rFonts w:asciiTheme="majorBidi" w:hAnsiTheme="majorBidi" w:cstheme="majorBidi"/>
          <w:sz w:val="24"/>
          <w:szCs w:val="22"/>
          <w:lang w:val="en-GB"/>
        </w:rPr>
        <w:t>The discussion presented here differs from previous reports on these excavations, principally in that previous reports retained the field designations for major occupations which were numbered from top to bottom, whereas here major occupations are numbered from the bottom to reflect the site sequence. Three radiocarbon dates and hindsight have also significantly altered the original interpretation.</w:t>
      </w:r>
    </w:p>
    <w:p w14:paraId="62B7B376" w14:textId="77777777" w:rsidR="0030226C" w:rsidRPr="003A064D" w:rsidRDefault="009C43AA" w:rsidP="0030226C">
      <w:pPr>
        <w:pStyle w:val="Heading3"/>
        <w:rPr>
          <w:rFonts w:asciiTheme="majorBidi" w:hAnsiTheme="majorBidi"/>
          <w:color w:val="auto"/>
          <w:lang w:val="en-GB"/>
        </w:rPr>
      </w:pPr>
      <w:r w:rsidRPr="009C43AA">
        <w:rPr>
          <w:rFonts w:asciiTheme="majorBidi" w:hAnsiTheme="majorBidi"/>
          <w:color w:val="auto"/>
          <w:lang w:val="en-GB"/>
        </w:rPr>
        <w:t>Stratigraphy and Architecture</w:t>
      </w:r>
    </w:p>
    <w:p w14:paraId="3C6CA416" w14:textId="77777777" w:rsidR="003A064D" w:rsidRDefault="003A064D" w:rsidP="0030226C">
      <w:pPr>
        <w:pStyle w:val="BodyText"/>
        <w:spacing w:line="480" w:lineRule="auto"/>
        <w:rPr>
          <w:rFonts w:asciiTheme="majorBidi" w:hAnsiTheme="majorBidi" w:cstheme="majorBidi"/>
          <w:sz w:val="24"/>
          <w:szCs w:val="22"/>
          <w:lang w:val="en-GB"/>
        </w:rPr>
      </w:pPr>
    </w:p>
    <w:p w14:paraId="2EDFC140" w14:textId="77777777" w:rsidR="0030226C" w:rsidRPr="00067D8A" w:rsidRDefault="0030226C" w:rsidP="0030226C">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lastRenderedPageBreak/>
        <w:t xml:space="preserve">The initial occupation at Said Qala Tepe, Period I, is known only from the lowest 3 m of deposits in the sondage (Fig. </w:t>
      </w:r>
      <w:r w:rsidR="005B52A9">
        <w:rPr>
          <w:rFonts w:asciiTheme="majorBidi" w:hAnsiTheme="majorBidi" w:cstheme="majorBidi"/>
          <w:sz w:val="24"/>
          <w:szCs w:val="22"/>
          <w:lang w:val="en-GB"/>
        </w:rPr>
        <w:t>4.</w:t>
      </w:r>
      <w:r w:rsidRPr="00067D8A">
        <w:rPr>
          <w:rFonts w:asciiTheme="majorBidi" w:hAnsiTheme="majorBidi" w:cstheme="majorBidi"/>
          <w:sz w:val="24"/>
          <w:szCs w:val="22"/>
          <w:lang w:val="en-GB"/>
        </w:rPr>
        <w:t>41). These deposits are characterised by several layers and lenses of differential soil deposition which can be distinguished on the basis of different colours, textures and cultural content. Although different, these depositions indicate continuous occupation throughout this period, and analysis of the associated artefacts adds validity to grouping these deposits into a single occupation period. The limited areal extent of the sondage precludes any definitive statements being made about architectural characteristics of this period, but it does appear that simple rectangular structures of mud-brick were constructed.</w:t>
      </w:r>
    </w:p>
    <w:p w14:paraId="5905853F" w14:textId="77777777"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Period II is likewise primarily known only from the sondage although a final occupational phase was delineated in the other excavated areas. The outstanding feature of this period was the construction of a large mud-brick wall of unknown function. Previous deposits of Period I were levelled in preparing the area for construction of the wall. The wall was constructed entirely of mud-brick and clay fill. After levelling</w:t>
      </w:r>
      <w:r w:rsidR="003A064D">
        <w:rPr>
          <w:rFonts w:asciiTheme="majorBidi" w:hAnsiTheme="majorBidi" w:cstheme="majorBidi"/>
          <w:sz w:val="24"/>
          <w:szCs w:val="22"/>
        </w:rPr>
        <w:t>,</w:t>
      </w:r>
      <w:r w:rsidRPr="00067D8A">
        <w:rPr>
          <w:rFonts w:asciiTheme="majorBidi" w:hAnsiTheme="majorBidi" w:cstheme="majorBidi"/>
          <w:sz w:val="24"/>
          <w:szCs w:val="22"/>
        </w:rPr>
        <w:t xml:space="preserve"> a very wide wall (3·3+ m and estimated up to 6 m) was constructed of solid mud-brick up to a height of 80 cm. At this height two separate wall faces were constructed of mud-brick (1</w:t>
      </w:r>
      <w:r w:rsidRPr="00067D8A">
        <w:rPr>
          <w:rFonts w:asciiTheme="majorBidi" w:hAnsiTheme="majorBidi" w:cstheme="majorBidi"/>
          <w:color w:val="auto"/>
          <w:sz w:val="24"/>
          <w:szCs w:val="22"/>
        </w:rPr>
        <w:t>·</w:t>
      </w:r>
      <w:r w:rsidRPr="00067D8A">
        <w:rPr>
          <w:rFonts w:asciiTheme="majorBidi" w:hAnsiTheme="majorBidi" w:cstheme="majorBidi"/>
          <w:sz w:val="24"/>
          <w:szCs w:val="22"/>
        </w:rPr>
        <w:t xml:space="preserve">5 m thick) up to a height of 3+ m. The area between these two walls was filled with undifferentiated clay free of any cultural debris. Only the south face of this wall was exposed in the excavations and there is no indication as to its function or overall shape. Several layers and lenses of differentiated clay soils abut the south face, and the remains of at least one mud-brick structure can be determined. These deposits are then sealed by a significant amount of wall fall from this wall providing a stratigraphic boundary between Periods II and III. Additional structures from Period II were located in the other excavated area. Two large trapezoidal mud-brick structures with lateral entrances were separated by a large open space from a series of small rectangular room structures (Fig. </w:t>
      </w:r>
      <w:r w:rsidR="005B52A9">
        <w:rPr>
          <w:rFonts w:asciiTheme="majorBidi" w:hAnsiTheme="majorBidi" w:cstheme="majorBidi"/>
          <w:sz w:val="24"/>
          <w:szCs w:val="22"/>
        </w:rPr>
        <w:t>4.</w:t>
      </w:r>
      <w:r w:rsidRPr="00067D8A">
        <w:rPr>
          <w:rFonts w:asciiTheme="majorBidi" w:hAnsiTheme="majorBidi" w:cstheme="majorBidi"/>
          <w:sz w:val="24"/>
          <w:szCs w:val="22"/>
        </w:rPr>
        <w:t xml:space="preserve">42). These small rooms had several common walls and a rather haphazard arrangement. The most distinctive feature found in these rooms was a large rectangular interior oven constructed from </w:t>
      </w:r>
      <w:r w:rsidRPr="00067D8A">
        <w:rPr>
          <w:rFonts w:asciiTheme="majorBidi" w:hAnsiTheme="majorBidi" w:cstheme="majorBidi"/>
          <w:sz w:val="24"/>
          <w:szCs w:val="22"/>
        </w:rPr>
        <w:lastRenderedPageBreak/>
        <w:t>mud-bricks and abutted against the wall. This feature had an interior clay-lined fire-pit with a long narrow trench providing access to the interior fire-pit from outside the oven. Such a trench might have functioned as a bellows providing oxygen to the fire. Judging from the stratigraphic position of these structures they must represent a final occupational phase of Period II.</w:t>
      </w:r>
    </w:p>
    <w:p w14:paraId="43D5A94A" w14:textId="6272504A"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The final major prehistoric occupation at the site, Period III, was located in both excavation units. In the sondage it consisted of a series of differentiated deposits sandwiched between the wall fall and a depositional layer which contained ‘Kushano-Sasanian’ pottery and correlated with the large cemetery of that period located in the other excavated areas.</w:t>
      </w:r>
      <w:r w:rsidRPr="00067D8A">
        <w:rPr>
          <w:rStyle w:val="EndnoteReference"/>
          <w:rFonts w:asciiTheme="majorBidi" w:hAnsiTheme="majorBidi" w:cstheme="majorBidi"/>
          <w:sz w:val="24"/>
          <w:szCs w:val="22"/>
        </w:rPr>
        <w:endnoteReference w:id="77"/>
      </w:r>
      <w:r w:rsidRPr="00067D8A">
        <w:rPr>
          <w:rFonts w:asciiTheme="majorBidi" w:hAnsiTheme="majorBidi" w:cstheme="majorBidi"/>
          <w:sz w:val="24"/>
          <w:szCs w:val="22"/>
        </w:rPr>
        <w:t xml:space="preserve"> Excavations outside of the sondage indicated that at least four phases of occupation could be determined for this period (IIIA–D). The first three phases represented continuous building and rebuilding of small rectangular mud-brick structures similar to those found at Mundigak III (Fig. </w:t>
      </w:r>
      <w:r w:rsidR="005B52A9">
        <w:rPr>
          <w:rFonts w:asciiTheme="majorBidi" w:hAnsiTheme="majorBidi" w:cstheme="majorBidi"/>
          <w:sz w:val="24"/>
          <w:szCs w:val="22"/>
        </w:rPr>
        <w:t>4.</w:t>
      </w:r>
      <w:r w:rsidRPr="00067D8A">
        <w:rPr>
          <w:rFonts w:asciiTheme="majorBidi" w:hAnsiTheme="majorBidi" w:cstheme="majorBidi"/>
          <w:sz w:val="24"/>
          <w:szCs w:val="22"/>
        </w:rPr>
        <w:t>43). Walls were constructed with both single and double coursed mud-brick and only rarely were entrances definable. Several structures had interior ovens similar to those found at Mundigak, while others only had a simple clay-lined fire-pit. A single structure in Phase IIIA had two milling stone fragments set into the floor with a centrally located groove on the upper edge. Between these two stones were extensive ash and bone deposits suggesting that it represents a spit-roast. In Phase IIIC some of these structures had their walls founded in a trench with the first few wall courses being headers with the remaining wall constructed of stretchers. The final occupation phase, IIID, was represented by a series of small mud-brick and</w:t>
      </w:r>
      <w:r w:rsidRPr="00067D8A">
        <w:rPr>
          <w:rFonts w:asciiTheme="majorBidi" w:hAnsiTheme="majorBidi" w:cstheme="majorBidi"/>
          <w:i/>
          <w:iCs/>
          <w:sz w:val="24"/>
          <w:szCs w:val="22"/>
        </w:rPr>
        <w:t xml:space="preserve"> </w:t>
      </w:r>
      <w:r w:rsidR="00D00CA9">
        <w:rPr>
          <w:rFonts w:asciiTheme="majorBidi" w:hAnsiTheme="majorBidi" w:cstheme="majorBidi"/>
          <w:i/>
          <w:iCs/>
          <w:sz w:val="24"/>
          <w:szCs w:val="22"/>
        </w:rPr>
        <w:t xml:space="preserve">pakhsa </w:t>
      </w:r>
      <w:r w:rsidRPr="00067D8A">
        <w:rPr>
          <w:rFonts w:asciiTheme="majorBidi" w:hAnsiTheme="majorBidi" w:cstheme="majorBidi"/>
          <w:sz w:val="24"/>
          <w:szCs w:val="22"/>
        </w:rPr>
        <w:t xml:space="preserve">structures which appeared to function as storage bins or work areas but were not related to any habitation structures. Also located in this final phase were several extremely large rubbish pits. The areas of the site tested were not occupied after this period until utilisation as a cemetery by a much later ‘Kushano-Sasanian’ group. However, it is possible that other areas of the site, or around the site, continued to be occupied as the cemetery cut through a deposition layer that contains extensive prehistoric ceramics but no occupational features. The ceramics from this level have </w:t>
      </w:r>
      <w:r w:rsidRPr="00067D8A">
        <w:rPr>
          <w:rFonts w:asciiTheme="majorBidi" w:hAnsiTheme="majorBidi" w:cstheme="majorBidi"/>
          <w:sz w:val="24"/>
          <w:szCs w:val="22"/>
        </w:rPr>
        <w:lastRenderedPageBreak/>
        <w:t>been analysed under the designation of Period IV while the cemetery constitutes Period V and the modern surface of the mound Period VI.</w:t>
      </w:r>
    </w:p>
    <w:p w14:paraId="76CC48D5" w14:textId="77777777" w:rsidR="0030226C" w:rsidRPr="003A064D" w:rsidRDefault="009C43AA" w:rsidP="0030226C">
      <w:pPr>
        <w:pStyle w:val="Heading3"/>
        <w:rPr>
          <w:rFonts w:asciiTheme="majorBidi" w:hAnsiTheme="majorBidi"/>
          <w:color w:val="auto"/>
          <w:lang w:val="en-GB"/>
        </w:rPr>
      </w:pPr>
      <w:r w:rsidRPr="009C43AA">
        <w:rPr>
          <w:rFonts w:asciiTheme="majorBidi" w:hAnsiTheme="majorBidi"/>
          <w:color w:val="auto"/>
          <w:lang w:val="en-GB"/>
        </w:rPr>
        <w:t>Chronology</w:t>
      </w:r>
    </w:p>
    <w:p w14:paraId="16130220" w14:textId="75DA3650" w:rsidR="0030226C" w:rsidRPr="00067D8A" w:rsidRDefault="0030226C" w:rsidP="008620C3">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Three radiocarbon dates have been processed from the site, one from each different period. The dates from each period have been recalibrated: Period I (</w:t>
      </w:r>
      <w:r w:rsidR="00D127A1" w:rsidRPr="006F7798">
        <w:rPr>
          <w:rFonts w:asciiTheme="majorBidi" w:hAnsiTheme="majorBidi" w:cstheme="majorBidi"/>
          <w:sz w:val="24"/>
          <w:szCs w:val="22"/>
        </w:rPr>
        <w:t>DIC-22</w:t>
      </w:r>
      <w:r w:rsidR="00D127A1">
        <w:rPr>
          <w:rFonts w:asciiTheme="majorBidi" w:hAnsiTheme="majorBidi" w:cstheme="majorBidi"/>
          <w:sz w:val="24"/>
          <w:szCs w:val="22"/>
        </w:rPr>
        <w:t xml:space="preserve">: </w:t>
      </w:r>
      <w:r w:rsidR="00D127A1" w:rsidRPr="006F7798">
        <w:rPr>
          <w:rFonts w:asciiTheme="majorBidi" w:hAnsiTheme="majorBidi" w:cstheme="majorBidi"/>
          <w:sz w:val="24"/>
          <w:szCs w:val="22"/>
        </w:rPr>
        <w:t>3</w:t>
      </w:r>
      <w:r w:rsidR="00D127A1">
        <w:rPr>
          <w:rFonts w:asciiTheme="majorBidi" w:hAnsiTheme="majorBidi" w:cstheme="majorBidi"/>
          <w:sz w:val="24"/>
          <w:szCs w:val="22"/>
        </w:rPr>
        <w:t>,</w:t>
      </w:r>
      <w:r w:rsidR="00D127A1" w:rsidRPr="006F7798">
        <w:rPr>
          <w:rFonts w:asciiTheme="majorBidi" w:hAnsiTheme="majorBidi" w:cstheme="majorBidi"/>
          <w:sz w:val="24"/>
          <w:szCs w:val="22"/>
        </w:rPr>
        <w:t>620</w:t>
      </w:r>
      <w:r w:rsidR="00D127A1" w:rsidRPr="00E2251A">
        <w:rPr>
          <w:rFonts w:asciiTheme="majorBidi" w:hAnsiTheme="majorBidi" w:cstheme="majorBidi"/>
          <w:color w:val="auto"/>
          <w:sz w:val="24"/>
          <w:szCs w:val="22"/>
          <w:lang w:val="en-GB"/>
        </w:rPr>
        <w:t>±</w:t>
      </w:r>
      <w:r w:rsidR="00D127A1" w:rsidRPr="006F7798">
        <w:rPr>
          <w:rFonts w:asciiTheme="majorBidi" w:hAnsiTheme="majorBidi" w:cstheme="majorBidi"/>
          <w:sz w:val="24"/>
          <w:szCs w:val="22"/>
        </w:rPr>
        <w:t>220</w:t>
      </w:r>
      <w:r w:rsidR="00D127A1">
        <w:rPr>
          <w:rFonts w:asciiTheme="majorBidi" w:hAnsiTheme="majorBidi" w:cstheme="majorBidi"/>
          <w:sz w:val="24"/>
          <w:szCs w:val="22"/>
        </w:rPr>
        <w:t xml:space="preserve"> BP) </w:t>
      </w:r>
      <w:r w:rsidR="00D127A1" w:rsidRPr="006F7798">
        <w:rPr>
          <w:rFonts w:asciiTheme="majorBidi" w:hAnsiTheme="majorBidi" w:cstheme="majorBidi"/>
          <w:sz w:val="24"/>
          <w:szCs w:val="22"/>
        </w:rPr>
        <w:t>2</w:t>
      </w:r>
      <w:r w:rsidR="00D127A1">
        <w:rPr>
          <w:rFonts w:asciiTheme="majorBidi" w:hAnsiTheme="majorBidi" w:cstheme="majorBidi"/>
          <w:sz w:val="24"/>
          <w:szCs w:val="22"/>
        </w:rPr>
        <w:t>,</w:t>
      </w:r>
      <w:r w:rsidR="00D127A1" w:rsidRPr="006F7798">
        <w:rPr>
          <w:rFonts w:asciiTheme="majorBidi" w:hAnsiTheme="majorBidi" w:cstheme="majorBidi"/>
          <w:sz w:val="24"/>
          <w:szCs w:val="22"/>
        </w:rPr>
        <w:t>6</w:t>
      </w:r>
      <w:r w:rsidR="00D127A1">
        <w:rPr>
          <w:rFonts w:asciiTheme="majorBidi" w:hAnsiTheme="majorBidi" w:cstheme="majorBidi"/>
          <w:sz w:val="24"/>
          <w:szCs w:val="22"/>
        </w:rPr>
        <w:t>20</w:t>
      </w:r>
      <w:r w:rsidR="00D127A1" w:rsidRPr="006F7798">
        <w:rPr>
          <w:rFonts w:asciiTheme="majorBidi" w:hAnsiTheme="majorBidi" w:cstheme="majorBidi"/>
          <w:sz w:val="24"/>
          <w:szCs w:val="22"/>
        </w:rPr>
        <w:t>-1</w:t>
      </w:r>
      <w:r w:rsidR="00D127A1">
        <w:rPr>
          <w:rFonts w:asciiTheme="majorBidi" w:hAnsiTheme="majorBidi" w:cstheme="majorBidi"/>
          <w:sz w:val="24"/>
          <w:szCs w:val="22"/>
        </w:rPr>
        <w:t>,</w:t>
      </w:r>
      <w:r w:rsidR="00D127A1" w:rsidRPr="006F7798">
        <w:rPr>
          <w:rFonts w:asciiTheme="majorBidi" w:hAnsiTheme="majorBidi" w:cstheme="majorBidi"/>
          <w:sz w:val="24"/>
          <w:szCs w:val="22"/>
        </w:rPr>
        <w:t>4</w:t>
      </w:r>
      <w:r w:rsidR="00D127A1">
        <w:rPr>
          <w:rFonts w:asciiTheme="majorBidi" w:hAnsiTheme="majorBidi" w:cstheme="majorBidi"/>
          <w:sz w:val="24"/>
          <w:szCs w:val="22"/>
        </w:rPr>
        <w:t xml:space="preserve">50 </w:t>
      </w:r>
      <w:r w:rsidRPr="00067D8A">
        <w:rPr>
          <w:rFonts w:asciiTheme="majorBidi" w:hAnsiTheme="majorBidi" w:cstheme="majorBidi"/>
          <w:sz w:val="24"/>
          <w:szCs w:val="22"/>
          <w:lang w:val="en-GB"/>
        </w:rPr>
        <w:t>cal BC, Period II (</w:t>
      </w:r>
      <w:r w:rsidR="00D127A1" w:rsidRPr="006F7798">
        <w:rPr>
          <w:rFonts w:asciiTheme="majorBidi" w:hAnsiTheme="majorBidi" w:cstheme="majorBidi"/>
          <w:sz w:val="24"/>
          <w:szCs w:val="22"/>
        </w:rPr>
        <w:t>DIC-20</w:t>
      </w:r>
      <w:r w:rsidR="00D127A1">
        <w:rPr>
          <w:rFonts w:asciiTheme="majorBidi" w:hAnsiTheme="majorBidi" w:cstheme="majorBidi"/>
          <w:sz w:val="24"/>
          <w:szCs w:val="22"/>
        </w:rPr>
        <w:t xml:space="preserve">: </w:t>
      </w:r>
      <w:r w:rsidR="00D127A1" w:rsidRPr="006F7798">
        <w:rPr>
          <w:rFonts w:asciiTheme="majorBidi" w:hAnsiTheme="majorBidi" w:cstheme="majorBidi"/>
          <w:sz w:val="24"/>
          <w:szCs w:val="22"/>
        </w:rPr>
        <w:t>3</w:t>
      </w:r>
      <w:r w:rsidR="00D127A1">
        <w:rPr>
          <w:rFonts w:asciiTheme="majorBidi" w:hAnsiTheme="majorBidi" w:cstheme="majorBidi"/>
          <w:sz w:val="24"/>
          <w:szCs w:val="22"/>
        </w:rPr>
        <w:t>,</w:t>
      </w:r>
      <w:r w:rsidR="00D127A1" w:rsidRPr="006F7798">
        <w:rPr>
          <w:rFonts w:asciiTheme="majorBidi" w:hAnsiTheme="majorBidi" w:cstheme="majorBidi"/>
          <w:sz w:val="24"/>
          <w:szCs w:val="22"/>
        </w:rPr>
        <w:t>710</w:t>
      </w:r>
      <w:r w:rsidR="00D127A1" w:rsidRPr="00E2251A">
        <w:rPr>
          <w:rFonts w:asciiTheme="majorBidi" w:hAnsiTheme="majorBidi" w:cstheme="majorBidi"/>
          <w:color w:val="auto"/>
          <w:sz w:val="24"/>
          <w:szCs w:val="22"/>
          <w:lang w:val="en-GB"/>
        </w:rPr>
        <w:t>±</w:t>
      </w:r>
      <w:r w:rsidR="00D127A1" w:rsidRPr="006F7798">
        <w:rPr>
          <w:rFonts w:asciiTheme="majorBidi" w:hAnsiTheme="majorBidi" w:cstheme="majorBidi"/>
          <w:sz w:val="24"/>
          <w:szCs w:val="22"/>
        </w:rPr>
        <w:t>90</w:t>
      </w:r>
      <w:r w:rsidR="00D127A1">
        <w:rPr>
          <w:rFonts w:asciiTheme="majorBidi" w:hAnsiTheme="majorBidi" w:cstheme="majorBidi"/>
          <w:sz w:val="24"/>
          <w:szCs w:val="22"/>
        </w:rPr>
        <w:t xml:space="preserve"> BP) </w:t>
      </w:r>
      <w:r w:rsidR="00D127A1" w:rsidRPr="006F7798">
        <w:rPr>
          <w:rFonts w:asciiTheme="majorBidi" w:hAnsiTheme="majorBidi" w:cstheme="majorBidi"/>
          <w:sz w:val="24"/>
          <w:szCs w:val="22"/>
        </w:rPr>
        <w:t>2</w:t>
      </w:r>
      <w:r w:rsidR="00D127A1">
        <w:rPr>
          <w:rFonts w:asciiTheme="majorBidi" w:hAnsiTheme="majorBidi" w:cstheme="majorBidi"/>
          <w:sz w:val="24"/>
          <w:szCs w:val="22"/>
        </w:rPr>
        <w:t>,</w:t>
      </w:r>
      <w:r w:rsidR="00D127A1" w:rsidRPr="006F7798">
        <w:rPr>
          <w:rFonts w:asciiTheme="majorBidi" w:hAnsiTheme="majorBidi" w:cstheme="majorBidi"/>
          <w:sz w:val="24"/>
          <w:szCs w:val="22"/>
        </w:rPr>
        <w:t>45</w:t>
      </w:r>
      <w:r w:rsidR="00D127A1">
        <w:rPr>
          <w:rFonts w:asciiTheme="majorBidi" w:hAnsiTheme="majorBidi" w:cstheme="majorBidi"/>
          <w:sz w:val="24"/>
          <w:szCs w:val="22"/>
        </w:rPr>
        <w:t>5</w:t>
      </w:r>
      <w:r w:rsidR="00D127A1" w:rsidRPr="006F7798">
        <w:rPr>
          <w:rFonts w:asciiTheme="majorBidi" w:hAnsiTheme="majorBidi" w:cstheme="majorBidi"/>
          <w:sz w:val="24"/>
          <w:szCs w:val="22"/>
        </w:rPr>
        <w:t>-1</w:t>
      </w:r>
      <w:r w:rsidR="00D127A1">
        <w:rPr>
          <w:rFonts w:asciiTheme="majorBidi" w:hAnsiTheme="majorBidi" w:cstheme="majorBidi"/>
          <w:sz w:val="24"/>
          <w:szCs w:val="22"/>
        </w:rPr>
        <w:t>,</w:t>
      </w:r>
      <w:r w:rsidR="00D127A1" w:rsidRPr="006F7798">
        <w:rPr>
          <w:rFonts w:asciiTheme="majorBidi" w:hAnsiTheme="majorBidi" w:cstheme="majorBidi"/>
          <w:sz w:val="24"/>
          <w:szCs w:val="22"/>
        </w:rPr>
        <w:t>88</w:t>
      </w:r>
      <w:r w:rsidR="00D127A1">
        <w:rPr>
          <w:rFonts w:asciiTheme="majorBidi" w:hAnsiTheme="majorBidi" w:cstheme="majorBidi"/>
          <w:sz w:val="24"/>
          <w:szCs w:val="22"/>
        </w:rPr>
        <w:t xml:space="preserve">5 cal. BC </w:t>
      </w:r>
      <w:r w:rsidRPr="00067D8A">
        <w:rPr>
          <w:rFonts w:asciiTheme="majorBidi" w:hAnsiTheme="majorBidi" w:cstheme="majorBidi"/>
          <w:sz w:val="24"/>
          <w:szCs w:val="22"/>
          <w:lang w:val="en-GB"/>
        </w:rPr>
        <w:t>and Period III (</w:t>
      </w:r>
      <w:r w:rsidR="00D127A1" w:rsidRPr="006F7798">
        <w:rPr>
          <w:rFonts w:asciiTheme="majorBidi" w:hAnsiTheme="majorBidi" w:cstheme="majorBidi"/>
          <w:sz w:val="24"/>
          <w:szCs w:val="22"/>
        </w:rPr>
        <w:t>DIC-18</w:t>
      </w:r>
      <w:r w:rsidR="00D127A1">
        <w:rPr>
          <w:rFonts w:asciiTheme="majorBidi" w:hAnsiTheme="majorBidi" w:cstheme="majorBidi"/>
          <w:sz w:val="24"/>
          <w:szCs w:val="22"/>
        </w:rPr>
        <w:t xml:space="preserve">: </w:t>
      </w:r>
      <w:r w:rsidR="00D127A1" w:rsidRPr="006F7798">
        <w:rPr>
          <w:rFonts w:asciiTheme="majorBidi" w:hAnsiTheme="majorBidi" w:cstheme="majorBidi"/>
          <w:sz w:val="24"/>
          <w:szCs w:val="22"/>
        </w:rPr>
        <w:t>3</w:t>
      </w:r>
      <w:r w:rsidR="00D127A1">
        <w:rPr>
          <w:rFonts w:asciiTheme="majorBidi" w:hAnsiTheme="majorBidi" w:cstheme="majorBidi"/>
          <w:sz w:val="24"/>
          <w:szCs w:val="22"/>
        </w:rPr>
        <w:t>,</w:t>
      </w:r>
      <w:r w:rsidR="00D127A1" w:rsidRPr="006F7798">
        <w:rPr>
          <w:rFonts w:asciiTheme="majorBidi" w:hAnsiTheme="majorBidi" w:cstheme="majorBidi"/>
          <w:sz w:val="24"/>
          <w:szCs w:val="22"/>
        </w:rPr>
        <w:t>800</w:t>
      </w:r>
      <w:r w:rsidR="00D127A1" w:rsidRPr="00E2251A">
        <w:rPr>
          <w:rFonts w:asciiTheme="majorBidi" w:hAnsiTheme="majorBidi" w:cstheme="majorBidi"/>
          <w:color w:val="auto"/>
          <w:sz w:val="24"/>
          <w:szCs w:val="22"/>
          <w:lang w:val="en-GB"/>
        </w:rPr>
        <w:t>±</w:t>
      </w:r>
      <w:r w:rsidR="00D127A1" w:rsidRPr="006F7798">
        <w:rPr>
          <w:rFonts w:asciiTheme="majorBidi" w:hAnsiTheme="majorBidi" w:cstheme="majorBidi"/>
          <w:sz w:val="24"/>
          <w:szCs w:val="22"/>
        </w:rPr>
        <w:t>220</w:t>
      </w:r>
      <w:r w:rsidR="00D127A1">
        <w:rPr>
          <w:rFonts w:asciiTheme="majorBidi" w:hAnsiTheme="majorBidi" w:cstheme="majorBidi"/>
          <w:sz w:val="24"/>
          <w:szCs w:val="22"/>
        </w:rPr>
        <w:t xml:space="preserve"> BP) </w:t>
      </w:r>
      <w:r w:rsidR="00D127A1" w:rsidRPr="006F7798">
        <w:rPr>
          <w:rFonts w:asciiTheme="majorBidi" w:hAnsiTheme="majorBidi" w:cstheme="majorBidi"/>
          <w:sz w:val="24"/>
          <w:szCs w:val="22"/>
        </w:rPr>
        <w:t>2</w:t>
      </w:r>
      <w:r w:rsidR="00D127A1">
        <w:rPr>
          <w:rFonts w:asciiTheme="majorBidi" w:hAnsiTheme="majorBidi" w:cstheme="majorBidi"/>
          <w:sz w:val="24"/>
          <w:szCs w:val="22"/>
        </w:rPr>
        <w:t>,</w:t>
      </w:r>
      <w:r w:rsidR="00D127A1" w:rsidRPr="006F7798">
        <w:rPr>
          <w:rFonts w:asciiTheme="majorBidi" w:hAnsiTheme="majorBidi" w:cstheme="majorBidi"/>
          <w:sz w:val="24"/>
          <w:szCs w:val="22"/>
        </w:rPr>
        <w:t>8</w:t>
      </w:r>
      <w:r w:rsidR="00D127A1">
        <w:rPr>
          <w:rFonts w:asciiTheme="majorBidi" w:hAnsiTheme="majorBidi" w:cstheme="majorBidi"/>
          <w:sz w:val="24"/>
          <w:szCs w:val="22"/>
        </w:rPr>
        <w:t>80</w:t>
      </w:r>
      <w:r w:rsidR="00D127A1" w:rsidRPr="006F7798">
        <w:rPr>
          <w:rFonts w:asciiTheme="majorBidi" w:hAnsiTheme="majorBidi" w:cstheme="majorBidi"/>
          <w:sz w:val="24"/>
          <w:szCs w:val="22"/>
        </w:rPr>
        <w:t>-1</w:t>
      </w:r>
      <w:r w:rsidR="00D127A1">
        <w:rPr>
          <w:rFonts w:asciiTheme="majorBidi" w:hAnsiTheme="majorBidi" w:cstheme="majorBidi"/>
          <w:sz w:val="24"/>
          <w:szCs w:val="22"/>
        </w:rPr>
        <w:t>,</w:t>
      </w:r>
      <w:r w:rsidR="00D127A1" w:rsidRPr="006F7798">
        <w:rPr>
          <w:rFonts w:asciiTheme="majorBidi" w:hAnsiTheme="majorBidi" w:cstheme="majorBidi"/>
          <w:sz w:val="24"/>
          <w:szCs w:val="22"/>
        </w:rPr>
        <w:t>695</w:t>
      </w:r>
      <w:r w:rsidR="00D127A1">
        <w:rPr>
          <w:rFonts w:asciiTheme="majorBidi" w:hAnsiTheme="majorBidi" w:cstheme="majorBidi"/>
          <w:sz w:val="24"/>
          <w:szCs w:val="22"/>
        </w:rPr>
        <w:t xml:space="preserve"> cal. BC</w:t>
      </w:r>
      <w:r w:rsidR="00CA6070">
        <w:rPr>
          <w:rFonts w:asciiTheme="majorBidi" w:hAnsiTheme="majorBidi" w:cstheme="majorBidi"/>
          <w:sz w:val="24"/>
          <w:szCs w:val="22"/>
        </w:rPr>
        <w:t xml:space="preserve"> </w:t>
      </w:r>
      <w:r w:rsidR="00CA6070" w:rsidRPr="00067D8A">
        <w:rPr>
          <w:rFonts w:asciiTheme="majorBidi" w:hAnsiTheme="majorBidi" w:cstheme="majorBidi"/>
          <w:sz w:val="24"/>
          <w:szCs w:val="22"/>
          <w:lang w:val="en-GB"/>
        </w:rPr>
        <w:t xml:space="preserve">(see Fig. </w:t>
      </w:r>
      <w:r w:rsidR="00CA6070">
        <w:rPr>
          <w:rFonts w:asciiTheme="majorBidi" w:hAnsiTheme="majorBidi" w:cstheme="majorBidi"/>
          <w:color w:val="FF0000"/>
          <w:sz w:val="24"/>
          <w:szCs w:val="22"/>
          <w:lang w:val="en-GB"/>
        </w:rPr>
        <w:t>3.2</w:t>
      </w:r>
      <w:r w:rsidR="00CA6070" w:rsidRPr="00067D8A">
        <w:rPr>
          <w:rFonts w:asciiTheme="majorBidi" w:hAnsiTheme="majorBidi" w:cstheme="majorBidi"/>
          <w:sz w:val="24"/>
          <w:szCs w:val="22"/>
          <w:lang w:val="en-GB"/>
        </w:rPr>
        <w:t>)</w:t>
      </w:r>
      <w:r w:rsidR="00CA6070">
        <w:rPr>
          <w:rFonts w:asciiTheme="majorBidi" w:hAnsiTheme="majorBidi" w:cstheme="majorBidi"/>
          <w:sz w:val="24"/>
          <w:szCs w:val="22"/>
        </w:rPr>
        <w:t>.</w:t>
      </w:r>
      <w:r w:rsidRPr="00067D8A">
        <w:rPr>
          <w:rFonts w:asciiTheme="majorBidi" w:hAnsiTheme="majorBidi" w:cstheme="majorBidi"/>
          <w:sz w:val="24"/>
          <w:szCs w:val="22"/>
          <w:lang w:val="en-GB"/>
        </w:rPr>
        <w:t xml:space="preserve"> As can be seen from the calibrated ranges, the dates are in reverse chronological order, and a possibility of ground water contamination was noted by the processing laboratory making the absolute dates somewhat suspect. </w:t>
      </w:r>
      <w:r w:rsidR="00CA6070">
        <w:rPr>
          <w:rFonts w:asciiTheme="majorBidi" w:hAnsiTheme="majorBidi" w:cstheme="majorBidi"/>
          <w:sz w:val="24"/>
          <w:szCs w:val="22"/>
          <w:lang w:val="en-GB"/>
        </w:rPr>
        <w:t>Although</w:t>
      </w:r>
      <w:r w:rsidRPr="00067D8A">
        <w:rPr>
          <w:rFonts w:asciiTheme="majorBidi" w:hAnsiTheme="majorBidi" w:cstheme="majorBidi"/>
          <w:sz w:val="24"/>
          <w:szCs w:val="22"/>
          <w:lang w:val="en-GB"/>
        </w:rPr>
        <w:t xml:space="preserve"> all three </w:t>
      </w:r>
      <w:r w:rsidR="00CA6070">
        <w:rPr>
          <w:rFonts w:asciiTheme="majorBidi" w:hAnsiTheme="majorBidi" w:cstheme="majorBidi"/>
          <w:sz w:val="24"/>
          <w:szCs w:val="22"/>
          <w:lang w:val="en-GB"/>
        </w:rPr>
        <w:t xml:space="preserve">Said Qala </w:t>
      </w:r>
      <w:r w:rsidRPr="00067D8A">
        <w:rPr>
          <w:rFonts w:asciiTheme="majorBidi" w:hAnsiTheme="majorBidi" w:cstheme="majorBidi"/>
          <w:sz w:val="24"/>
          <w:szCs w:val="22"/>
          <w:lang w:val="en-GB"/>
        </w:rPr>
        <w:t>dates are basically contempora</w:t>
      </w:r>
      <w:r w:rsidR="00CA6070">
        <w:rPr>
          <w:rFonts w:asciiTheme="majorBidi" w:hAnsiTheme="majorBidi" w:cstheme="majorBidi"/>
          <w:sz w:val="24"/>
          <w:szCs w:val="22"/>
          <w:lang w:val="en-GB"/>
        </w:rPr>
        <w:t>neous, they do not accord with the dates from Mundigak, despite the</w:t>
      </w:r>
      <w:r w:rsidR="000B36AF">
        <w:rPr>
          <w:rFonts w:asciiTheme="majorBidi" w:hAnsiTheme="majorBidi" w:cstheme="majorBidi"/>
          <w:sz w:val="24"/>
          <w:szCs w:val="22"/>
          <w:lang w:val="en-GB"/>
        </w:rPr>
        <w:t>re</w:t>
      </w:r>
      <w:r w:rsidR="00CA6070">
        <w:rPr>
          <w:rFonts w:asciiTheme="majorBidi" w:hAnsiTheme="majorBidi" w:cstheme="majorBidi"/>
          <w:sz w:val="24"/>
          <w:szCs w:val="22"/>
          <w:lang w:val="en-GB"/>
        </w:rPr>
        <w:t xml:space="preserve"> being material correlations that suggest that </w:t>
      </w:r>
      <w:r w:rsidR="008620C3" w:rsidRPr="00067D8A">
        <w:rPr>
          <w:rFonts w:asciiTheme="majorBidi" w:hAnsiTheme="majorBidi" w:cstheme="majorBidi"/>
          <w:sz w:val="24"/>
          <w:szCs w:val="22"/>
          <w:lang w:val="en-GB"/>
        </w:rPr>
        <w:t>all occupation</w:t>
      </w:r>
      <w:r w:rsidR="00CA6070">
        <w:rPr>
          <w:rFonts w:asciiTheme="majorBidi" w:hAnsiTheme="majorBidi" w:cstheme="majorBidi"/>
          <w:sz w:val="24"/>
          <w:szCs w:val="22"/>
          <w:lang w:val="en-GB"/>
        </w:rPr>
        <w:t xml:space="preserve"> phase</w:t>
      </w:r>
      <w:r w:rsidR="008620C3" w:rsidRPr="00067D8A">
        <w:rPr>
          <w:rFonts w:asciiTheme="majorBidi" w:hAnsiTheme="majorBidi" w:cstheme="majorBidi"/>
          <w:sz w:val="24"/>
          <w:szCs w:val="22"/>
          <w:lang w:val="en-GB"/>
        </w:rPr>
        <w:t xml:space="preserve">s at Said Qala are essentially </w:t>
      </w:r>
      <w:r w:rsidR="00CA6070" w:rsidRPr="00067D8A">
        <w:rPr>
          <w:rFonts w:asciiTheme="majorBidi" w:hAnsiTheme="majorBidi" w:cstheme="majorBidi"/>
          <w:sz w:val="24"/>
          <w:szCs w:val="22"/>
          <w:lang w:val="en-GB"/>
        </w:rPr>
        <w:t>equitable</w:t>
      </w:r>
      <w:r w:rsidR="008620C3" w:rsidRPr="00067D8A">
        <w:rPr>
          <w:rFonts w:asciiTheme="majorBidi" w:hAnsiTheme="majorBidi" w:cstheme="majorBidi"/>
          <w:sz w:val="24"/>
          <w:szCs w:val="22"/>
          <w:lang w:val="en-GB"/>
        </w:rPr>
        <w:t xml:space="preserve"> with those of </w:t>
      </w:r>
      <w:r w:rsidR="008620C3" w:rsidRPr="000B36AF">
        <w:rPr>
          <w:rFonts w:asciiTheme="majorBidi" w:hAnsiTheme="majorBidi" w:cstheme="majorBidi"/>
          <w:sz w:val="24"/>
          <w:szCs w:val="22"/>
          <w:lang w:val="en-GB"/>
        </w:rPr>
        <w:t xml:space="preserve">Mundigak </w:t>
      </w:r>
      <w:r w:rsidR="001E1DEF" w:rsidRPr="000B36AF">
        <w:rPr>
          <w:rFonts w:asciiTheme="majorBidi" w:hAnsiTheme="majorBidi" w:cstheme="majorBidi"/>
          <w:sz w:val="24"/>
          <w:szCs w:val="22"/>
          <w:lang w:val="en-GB"/>
        </w:rPr>
        <w:t>Sub-Period</w:t>
      </w:r>
      <w:r w:rsidR="008620C3" w:rsidRPr="000B36AF">
        <w:rPr>
          <w:rFonts w:asciiTheme="majorBidi" w:hAnsiTheme="majorBidi" w:cstheme="majorBidi"/>
          <w:sz w:val="24"/>
          <w:szCs w:val="22"/>
          <w:lang w:val="en-GB"/>
        </w:rPr>
        <w:t>s</w:t>
      </w:r>
      <w:r w:rsidR="008620C3" w:rsidRPr="00067D8A">
        <w:rPr>
          <w:rFonts w:asciiTheme="majorBidi" w:hAnsiTheme="majorBidi" w:cstheme="majorBidi"/>
          <w:sz w:val="24"/>
          <w:szCs w:val="22"/>
          <w:lang w:val="en-GB"/>
        </w:rPr>
        <w:t xml:space="preserve"> III</w:t>
      </w:r>
      <w:r w:rsidR="008620C3" w:rsidRPr="00067D8A">
        <w:rPr>
          <w:rFonts w:asciiTheme="majorBidi" w:hAnsiTheme="majorBidi" w:cstheme="majorBidi"/>
          <w:sz w:val="24"/>
          <w:szCs w:val="22"/>
          <w:vertAlign w:val="subscript"/>
          <w:lang w:val="en-GB"/>
        </w:rPr>
        <w:t>5–6</w:t>
      </w:r>
      <w:r w:rsidR="008620C3" w:rsidRPr="00067D8A">
        <w:rPr>
          <w:rFonts w:asciiTheme="majorBidi" w:hAnsiTheme="majorBidi" w:cstheme="majorBidi"/>
          <w:sz w:val="24"/>
          <w:szCs w:val="22"/>
          <w:lang w:val="en-GB"/>
        </w:rPr>
        <w:t>–IV</w:t>
      </w:r>
      <w:r w:rsidR="008620C3" w:rsidRPr="00067D8A">
        <w:rPr>
          <w:rFonts w:asciiTheme="majorBidi" w:hAnsiTheme="majorBidi" w:cstheme="majorBidi"/>
          <w:sz w:val="24"/>
          <w:szCs w:val="22"/>
          <w:vertAlign w:val="subscript"/>
          <w:lang w:val="en-GB"/>
        </w:rPr>
        <w:t>1</w:t>
      </w:r>
      <w:r w:rsidR="008620C3" w:rsidRPr="00067D8A">
        <w:rPr>
          <w:rFonts w:asciiTheme="majorBidi" w:hAnsiTheme="majorBidi" w:cstheme="majorBidi"/>
          <w:sz w:val="24"/>
          <w:szCs w:val="22"/>
          <w:lang w:val="en-GB"/>
        </w:rPr>
        <w:t>.</w:t>
      </w:r>
      <w:r w:rsidR="00CA6070">
        <w:rPr>
          <w:rFonts w:asciiTheme="majorBidi" w:hAnsiTheme="majorBidi" w:cstheme="majorBidi"/>
          <w:sz w:val="24"/>
          <w:szCs w:val="22"/>
          <w:lang w:val="en-GB"/>
        </w:rPr>
        <w:t xml:space="preserve"> This further highlights that there are problems with the available late prehistoric radiocarbon dates from southern Afghanistan.</w:t>
      </w:r>
    </w:p>
    <w:p w14:paraId="72454B15" w14:textId="77777777" w:rsidR="0030226C" w:rsidRPr="003A064D" w:rsidRDefault="009C43AA" w:rsidP="0030226C">
      <w:pPr>
        <w:pStyle w:val="Heading3"/>
        <w:rPr>
          <w:rFonts w:asciiTheme="majorBidi" w:hAnsiTheme="majorBidi"/>
          <w:color w:val="auto"/>
          <w:lang w:val="en-GB"/>
        </w:rPr>
      </w:pPr>
      <w:r w:rsidRPr="009C43AA">
        <w:rPr>
          <w:rFonts w:asciiTheme="majorBidi" w:hAnsiTheme="majorBidi"/>
          <w:color w:val="auto"/>
          <w:lang w:val="en-GB"/>
        </w:rPr>
        <w:t>Ceramics</w:t>
      </w:r>
    </w:p>
    <w:p w14:paraId="675E4D14" w14:textId="330ECCB7" w:rsidR="0030226C" w:rsidRPr="00067D8A" w:rsidRDefault="000B36AF" w:rsidP="0030226C">
      <w:pPr>
        <w:pStyle w:val="BodyText"/>
        <w:spacing w:line="480" w:lineRule="auto"/>
        <w:rPr>
          <w:rFonts w:asciiTheme="majorBidi" w:hAnsiTheme="majorBidi" w:cstheme="majorBidi"/>
          <w:sz w:val="24"/>
          <w:szCs w:val="22"/>
          <w:lang w:val="en-GB"/>
        </w:rPr>
      </w:pPr>
      <w:r>
        <w:rPr>
          <w:rFonts w:asciiTheme="majorBidi" w:hAnsiTheme="majorBidi" w:cstheme="majorBidi"/>
          <w:sz w:val="24"/>
          <w:szCs w:val="22"/>
          <w:lang w:val="en-GB"/>
        </w:rPr>
        <w:t xml:space="preserve">Said Qala </w:t>
      </w:r>
      <w:r w:rsidR="0030226C" w:rsidRPr="00067D8A">
        <w:rPr>
          <w:rFonts w:asciiTheme="majorBidi" w:hAnsiTheme="majorBidi" w:cstheme="majorBidi"/>
          <w:sz w:val="24"/>
          <w:szCs w:val="22"/>
          <w:lang w:val="en-GB"/>
        </w:rPr>
        <w:t xml:space="preserve">Period I ceramics are known only from the sondage. Here, as at Mundigak, the useful dichotomy of handmade and </w:t>
      </w:r>
      <w:r>
        <w:rPr>
          <w:rFonts w:asciiTheme="majorBidi" w:hAnsiTheme="majorBidi" w:cstheme="majorBidi"/>
          <w:sz w:val="24"/>
          <w:szCs w:val="22"/>
          <w:lang w:val="en-GB"/>
        </w:rPr>
        <w:t>turned</w:t>
      </w:r>
      <w:r w:rsidR="0030226C" w:rsidRPr="00067D8A">
        <w:rPr>
          <w:rFonts w:asciiTheme="majorBidi" w:hAnsiTheme="majorBidi" w:cstheme="majorBidi"/>
          <w:sz w:val="24"/>
          <w:szCs w:val="22"/>
          <w:lang w:val="en-GB"/>
        </w:rPr>
        <w:t xml:space="preserve"> ceramics is made to facilitate description and analysis. The paste for all the ceramics at Said Qala is essentially the same as was encountered at Mundigak, being a buff-red in colour and self- or sand-tempered with a few noted exceptions. Two varieties of handmade pottery c</w:t>
      </w:r>
      <w:r>
        <w:rPr>
          <w:rFonts w:asciiTheme="majorBidi" w:hAnsiTheme="majorBidi" w:cstheme="majorBidi"/>
          <w:sz w:val="24"/>
          <w:szCs w:val="22"/>
          <w:lang w:val="en-GB"/>
        </w:rPr>
        <w:t>ould</w:t>
      </w:r>
      <w:r w:rsidR="0030226C" w:rsidRPr="00067D8A">
        <w:rPr>
          <w:rFonts w:asciiTheme="majorBidi" w:hAnsiTheme="majorBidi" w:cstheme="majorBidi"/>
          <w:sz w:val="24"/>
          <w:szCs w:val="22"/>
          <w:lang w:val="en-GB"/>
        </w:rPr>
        <w:t xml:space="preserve"> be distinguished on the basis of surface treatment, although both have chaff tempering and the same vessel forms as those described for Mundigak handmade pottery. The most frequent type had a basket-impressed surface while the other was simply smoothed. Together these handmade potteries accounted for less than</w:t>
      </w:r>
      <w:r w:rsidR="0030226C" w:rsidRPr="00067D8A">
        <w:rPr>
          <w:rFonts w:asciiTheme="majorBidi" w:hAnsiTheme="majorBidi" w:cstheme="majorBidi"/>
          <w:i/>
          <w:iCs/>
          <w:sz w:val="24"/>
          <w:szCs w:val="22"/>
          <w:lang w:val="en-GB"/>
        </w:rPr>
        <w:t xml:space="preserve"> </w:t>
      </w:r>
      <w:r w:rsidR="009C43AA" w:rsidRPr="009C43AA">
        <w:rPr>
          <w:rFonts w:asciiTheme="majorBidi" w:hAnsiTheme="majorBidi" w:cstheme="majorBidi"/>
          <w:sz w:val="24"/>
          <w:szCs w:val="22"/>
          <w:lang w:val="en-GB"/>
        </w:rPr>
        <w:t>2°/</w:t>
      </w:r>
      <w:r w:rsidR="009C43AA" w:rsidRPr="009C43AA">
        <w:rPr>
          <w:rFonts w:asciiTheme="majorBidi" w:hAnsiTheme="majorBidi" w:cstheme="majorBidi"/>
          <w:sz w:val="24"/>
          <w:szCs w:val="22"/>
          <w:vertAlign w:val="subscript"/>
          <w:lang w:val="en-GB"/>
        </w:rPr>
        <w:t>0</w:t>
      </w:r>
      <w:r w:rsidR="0030226C" w:rsidRPr="00067D8A">
        <w:rPr>
          <w:rFonts w:asciiTheme="majorBidi" w:hAnsiTheme="majorBidi" w:cstheme="majorBidi"/>
          <w:sz w:val="24"/>
          <w:szCs w:val="22"/>
          <w:lang w:val="en-GB"/>
        </w:rPr>
        <w:t xml:space="preserve"> of Period I pottery. </w:t>
      </w:r>
      <w:r>
        <w:rPr>
          <w:rFonts w:asciiTheme="majorBidi" w:hAnsiTheme="majorBidi" w:cstheme="majorBidi"/>
          <w:sz w:val="24"/>
          <w:szCs w:val="22"/>
          <w:lang w:val="en-GB"/>
        </w:rPr>
        <w:t>Turned</w:t>
      </w:r>
      <w:r w:rsidR="0030226C" w:rsidRPr="00067D8A">
        <w:rPr>
          <w:rFonts w:asciiTheme="majorBidi" w:hAnsiTheme="majorBidi" w:cstheme="majorBidi"/>
          <w:sz w:val="24"/>
          <w:szCs w:val="22"/>
          <w:lang w:val="en-GB"/>
        </w:rPr>
        <w:t xml:space="preserve"> pottery was identical, in terms of varieties and vessel forms, to that described for Mundigak Period III</w:t>
      </w:r>
      <w:r>
        <w:rPr>
          <w:rFonts w:asciiTheme="majorBidi" w:hAnsiTheme="majorBidi" w:cstheme="majorBidi"/>
          <w:sz w:val="24"/>
          <w:szCs w:val="22"/>
          <w:lang w:val="en-GB"/>
        </w:rPr>
        <w:t xml:space="preserve">. </w:t>
      </w:r>
      <w:r w:rsidR="0030226C" w:rsidRPr="00067D8A">
        <w:rPr>
          <w:rFonts w:asciiTheme="majorBidi" w:hAnsiTheme="majorBidi" w:cstheme="majorBidi"/>
          <w:sz w:val="24"/>
          <w:szCs w:val="22"/>
          <w:lang w:val="en-GB"/>
        </w:rPr>
        <w:t xml:space="preserve">The decorated varieties had a relative frequency of about 3% with the </w:t>
      </w:r>
      <w:r w:rsidR="0030226C" w:rsidRPr="00067D8A">
        <w:rPr>
          <w:rFonts w:asciiTheme="majorBidi" w:hAnsiTheme="majorBidi" w:cstheme="majorBidi"/>
          <w:sz w:val="24"/>
          <w:szCs w:val="22"/>
          <w:lang w:val="en-GB"/>
        </w:rPr>
        <w:lastRenderedPageBreak/>
        <w:t>similar, but more limited, variety of motifs. Only rarely were a few sherds of Quetta Ware found. A few sherds of a black-on-red slipped pottery, called Kili Gul Mohammad after a type in the Quetta valley,</w:t>
      </w:r>
      <w:r w:rsidR="0030226C" w:rsidRPr="00067D8A">
        <w:rPr>
          <w:rStyle w:val="EndnoteReference"/>
          <w:rFonts w:asciiTheme="majorBidi" w:hAnsiTheme="majorBidi" w:cstheme="majorBidi"/>
          <w:sz w:val="24"/>
          <w:szCs w:val="22"/>
          <w:lang w:val="en-GB"/>
        </w:rPr>
        <w:endnoteReference w:id="78"/>
      </w:r>
      <w:r w:rsidR="0030226C" w:rsidRPr="00067D8A">
        <w:rPr>
          <w:rFonts w:asciiTheme="majorBidi" w:hAnsiTheme="majorBidi" w:cstheme="majorBidi"/>
          <w:sz w:val="24"/>
          <w:szCs w:val="22"/>
          <w:lang w:val="en-GB"/>
        </w:rPr>
        <w:t xml:space="preserve"> and Faiz Mohammad Grey ware (Fig. </w:t>
      </w:r>
      <w:r w:rsidR="005B52A9">
        <w:rPr>
          <w:rFonts w:asciiTheme="majorBidi" w:hAnsiTheme="majorBidi" w:cstheme="majorBidi"/>
          <w:sz w:val="24"/>
          <w:szCs w:val="22"/>
          <w:lang w:val="en-GB"/>
        </w:rPr>
        <w:t>4.</w:t>
      </w:r>
      <w:r w:rsidR="0030226C" w:rsidRPr="00067D8A">
        <w:rPr>
          <w:rFonts w:asciiTheme="majorBidi" w:hAnsiTheme="majorBidi" w:cstheme="majorBidi"/>
          <w:sz w:val="24"/>
          <w:szCs w:val="22"/>
          <w:lang w:val="en-GB"/>
        </w:rPr>
        <w:t>46, no. 1) from the same area were also found.</w:t>
      </w:r>
    </w:p>
    <w:p w14:paraId="27BFDA33" w14:textId="59D0646B"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Period II is known from both excavation areas, as are all subsequent periods. Major ceramic changes were confined almost entirely to the handmade ceramics. There was a major increase in the relative frequency of handmade vessels to almost 40% in the sondage and about 10% in the habitation area, which is probably more representative. Moreover, the variant with the smoothed surface is the predominant type with only rare sherds of the basket-impressed variety being found. Equally rare were sherds of a handmade pottery with crushed rock tempering (similar to ‘Quetta Slate Temper’).</w:t>
      </w:r>
      <w:r w:rsidRPr="00067D8A">
        <w:rPr>
          <w:rStyle w:val="EndnoteReference"/>
          <w:rFonts w:asciiTheme="majorBidi" w:hAnsiTheme="majorBidi" w:cstheme="majorBidi"/>
          <w:sz w:val="24"/>
          <w:szCs w:val="22"/>
        </w:rPr>
        <w:endnoteReference w:id="79"/>
      </w:r>
      <w:r w:rsidRPr="00067D8A">
        <w:rPr>
          <w:rFonts w:asciiTheme="majorBidi" w:hAnsiTheme="majorBidi" w:cstheme="majorBidi"/>
          <w:sz w:val="24"/>
          <w:szCs w:val="22"/>
        </w:rPr>
        <w:t xml:space="preserve"> There were no changes in associated vessel forms as these remain constant throughout the sequence for handmade pottery. Among the </w:t>
      </w:r>
      <w:r w:rsidR="000B36AF">
        <w:rPr>
          <w:rFonts w:asciiTheme="majorBidi" w:hAnsiTheme="majorBidi" w:cstheme="majorBidi"/>
          <w:sz w:val="24"/>
          <w:szCs w:val="22"/>
        </w:rPr>
        <w:t>turned</w:t>
      </w:r>
      <w:r w:rsidRPr="00067D8A">
        <w:rPr>
          <w:rFonts w:asciiTheme="majorBidi" w:hAnsiTheme="majorBidi" w:cstheme="majorBidi"/>
          <w:sz w:val="24"/>
          <w:szCs w:val="22"/>
        </w:rPr>
        <w:t xml:space="preserve"> ceramics there was little noticeable change. The decorated varieties now represented about 10% of the total pottery assemblage, a frequency which remained relatively constant throughout the rest of the sequence. The larger sample from the habitation area indicates that most of the motifs described for Mundigak III pottery are present at Said Qala Tepe. Quetta Ware reaches a frequency of about 1% which then also remains constant throughout the rest of the sequence. Several new types of special-function or intrusive pottery can be added to the two already listed in Period I. These new types (Figs </w:t>
      </w:r>
      <w:r w:rsidR="005B52A9">
        <w:rPr>
          <w:rFonts w:asciiTheme="majorBidi" w:hAnsiTheme="majorBidi" w:cstheme="majorBidi"/>
          <w:sz w:val="24"/>
          <w:szCs w:val="22"/>
        </w:rPr>
        <w:t>4.</w:t>
      </w:r>
      <w:r w:rsidRPr="00067D8A">
        <w:rPr>
          <w:rFonts w:asciiTheme="majorBidi" w:hAnsiTheme="majorBidi" w:cstheme="majorBidi"/>
          <w:sz w:val="24"/>
          <w:szCs w:val="22"/>
        </w:rPr>
        <w:t>44–</w:t>
      </w:r>
      <w:r w:rsidR="005B52A9">
        <w:rPr>
          <w:rFonts w:asciiTheme="majorBidi" w:hAnsiTheme="majorBidi" w:cstheme="majorBidi"/>
          <w:sz w:val="24"/>
          <w:szCs w:val="22"/>
        </w:rPr>
        <w:t>4.</w:t>
      </w:r>
      <w:r w:rsidRPr="00067D8A">
        <w:rPr>
          <w:rFonts w:asciiTheme="majorBidi" w:hAnsiTheme="majorBidi" w:cstheme="majorBidi"/>
          <w:sz w:val="24"/>
          <w:szCs w:val="22"/>
        </w:rPr>
        <w:t>46) come primarily from the habitation area and include: Quetta Wet variants; Kechi Beg white-on-dark slip;</w:t>
      </w:r>
      <w:r w:rsidRPr="00067D8A">
        <w:rPr>
          <w:rStyle w:val="EndnoteReference"/>
          <w:rFonts w:asciiTheme="majorBidi" w:hAnsiTheme="majorBidi" w:cstheme="majorBidi"/>
          <w:sz w:val="24"/>
          <w:szCs w:val="22"/>
        </w:rPr>
        <w:endnoteReference w:id="80"/>
      </w:r>
      <w:r w:rsidRPr="00067D8A">
        <w:rPr>
          <w:rFonts w:asciiTheme="majorBidi" w:hAnsiTheme="majorBidi" w:cstheme="majorBidi"/>
          <w:sz w:val="24"/>
          <w:szCs w:val="22"/>
        </w:rPr>
        <w:t xml:space="preserve"> Kechi Beg Polychrome/Bichrome;</w:t>
      </w:r>
      <w:r w:rsidRPr="00067D8A">
        <w:rPr>
          <w:rStyle w:val="EndnoteReference"/>
          <w:rFonts w:asciiTheme="majorBidi" w:hAnsiTheme="majorBidi" w:cstheme="majorBidi"/>
          <w:sz w:val="24"/>
          <w:szCs w:val="22"/>
        </w:rPr>
        <w:endnoteReference w:id="81"/>
      </w:r>
      <w:r w:rsidRPr="00067D8A">
        <w:rPr>
          <w:rFonts w:asciiTheme="majorBidi" w:hAnsiTheme="majorBidi" w:cstheme="majorBidi"/>
          <w:sz w:val="24"/>
          <w:szCs w:val="22"/>
        </w:rPr>
        <w:t xml:space="preserve"> Amri Polychrome;</w:t>
      </w:r>
      <w:r w:rsidRPr="00067D8A">
        <w:rPr>
          <w:rStyle w:val="EndnoteReference"/>
          <w:rFonts w:asciiTheme="majorBidi" w:hAnsiTheme="majorBidi" w:cstheme="majorBidi"/>
          <w:sz w:val="24"/>
          <w:szCs w:val="22"/>
        </w:rPr>
        <w:endnoteReference w:id="82"/>
      </w:r>
      <w:r w:rsidRPr="00067D8A">
        <w:rPr>
          <w:rFonts w:asciiTheme="majorBidi" w:hAnsiTheme="majorBidi" w:cstheme="majorBidi"/>
          <w:sz w:val="24"/>
          <w:szCs w:val="22"/>
        </w:rPr>
        <w:t xml:space="preserve"> Nal black-on-buff;</w:t>
      </w:r>
      <w:r w:rsidRPr="00067D8A">
        <w:rPr>
          <w:rStyle w:val="EndnoteReference"/>
          <w:rFonts w:asciiTheme="majorBidi" w:hAnsiTheme="majorBidi" w:cstheme="majorBidi"/>
          <w:sz w:val="24"/>
          <w:szCs w:val="22"/>
        </w:rPr>
        <w:endnoteReference w:id="83"/>
      </w:r>
      <w:r w:rsidRPr="00067D8A">
        <w:rPr>
          <w:rFonts w:asciiTheme="majorBidi" w:hAnsiTheme="majorBidi" w:cstheme="majorBidi"/>
          <w:sz w:val="24"/>
          <w:szCs w:val="22"/>
        </w:rPr>
        <w:t xml:space="preserve"> and a few sherds resembling the polychromes from Gumla III and Mehrgarh IV-V.</w:t>
      </w:r>
      <w:r w:rsidRPr="00067D8A">
        <w:rPr>
          <w:rStyle w:val="EndnoteReference"/>
          <w:rFonts w:asciiTheme="majorBidi" w:hAnsiTheme="majorBidi" w:cstheme="majorBidi"/>
          <w:sz w:val="24"/>
          <w:szCs w:val="22"/>
        </w:rPr>
        <w:endnoteReference w:id="84"/>
      </w:r>
      <w:r w:rsidRPr="00067D8A">
        <w:rPr>
          <w:rFonts w:asciiTheme="majorBidi" w:hAnsiTheme="majorBidi" w:cstheme="majorBidi"/>
          <w:sz w:val="24"/>
          <w:szCs w:val="22"/>
        </w:rPr>
        <w:t xml:space="preserve"> Each variety was represented only by a very few sherds.</w:t>
      </w:r>
    </w:p>
    <w:p w14:paraId="06229984" w14:textId="40202815"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The last prehistoric occupation periods, Periods III–IV, will be discussed together since the detectable changes in the ceramics represent a continuum between the two. Handmade pottery </w:t>
      </w:r>
      <w:r w:rsidRPr="00067D8A">
        <w:rPr>
          <w:rFonts w:asciiTheme="majorBidi" w:hAnsiTheme="majorBidi" w:cstheme="majorBidi"/>
          <w:sz w:val="24"/>
          <w:szCs w:val="22"/>
        </w:rPr>
        <w:lastRenderedPageBreak/>
        <w:t xml:space="preserve">decreases in the frequency of the crushed rock tempered variety. It is interesting to note that this latter variety was never identified in the sondage. Among wheel-made pottery vessel forms, changes occur which parallel those of Mundigak </w:t>
      </w:r>
      <w:r w:rsidR="001E1DEF">
        <w:rPr>
          <w:rFonts w:asciiTheme="majorBidi" w:hAnsiTheme="majorBidi" w:cstheme="majorBidi"/>
          <w:sz w:val="24"/>
          <w:szCs w:val="22"/>
        </w:rPr>
        <w:t>Sub-Period</w:t>
      </w:r>
      <w:r w:rsidRPr="00067D8A">
        <w:rPr>
          <w:rFonts w:asciiTheme="majorBidi" w:hAnsiTheme="majorBidi" w:cstheme="majorBidi"/>
          <w:sz w:val="24"/>
          <w:szCs w:val="22"/>
        </w:rPr>
        <w:t>s III</w:t>
      </w:r>
      <w:r w:rsidRPr="00067D8A">
        <w:rPr>
          <w:rFonts w:asciiTheme="majorBidi" w:hAnsiTheme="majorBidi" w:cstheme="majorBidi"/>
          <w:sz w:val="24"/>
          <w:szCs w:val="22"/>
          <w:vertAlign w:val="subscript"/>
        </w:rPr>
        <w:t>5</w:t>
      </w:r>
      <w:r w:rsidRPr="00067D8A">
        <w:rPr>
          <w:rFonts w:asciiTheme="majorBidi" w:hAnsiTheme="majorBidi" w:cstheme="majorBidi"/>
          <w:sz w:val="24"/>
          <w:szCs w:val="22"/>
        </w:rPr>
        <w:t>–IV</w:t>
      </w:r>
      <w:r w:rsidRPr="00067D8A">
        <w:rPr>
          <w:rFonts w:asciiTheme="majorBidi" w:hAnsiTheme="majorBidi" w:cstheme="majorBidi"/>
          <w:sz w:val="24"/>
          <w:szCs w:val="22"/>
          <w:vertAlign w:val="subscript"/>
        </w:rPr>
        <w:t>1</w:t>
      </w:r>
      <w:r w:rsidRPr="00067D8A">
        <w:rPr>
          <w:rFonts w:asciiTheme="majorBidi" w:hAnsiTheme="majorBidi" w:cstheme="majorBidi"/>
          <w:sz w:val="24"/>
          <w:szCs w:val="22"/>
        </w:rPr>
        <w:t>. Bowls change from an angular-wall to an S-shaped wall form. Jars are predominantly globular with collars. Beakers change from a parallel wall to an S-shaped wall profile. A few stemmed vessel forms are recorded but never the small pedestal-based beaker with flaring or carinated walls that was found in Mundigak IV</w:t>
      </w:r>
      <w:r w:rsidRPr="00067D8A">
        <w:rPr>
          <w:rFonts w:asciiTheme="majorBidi" w:hAnsiTheme="majorBidi" w:cstheme="majorBidi"/>
          <w:sz w:val="24"/>
          <w:szCs w:val="22"/>
          <w:vertAlign w:val="subscript"/>
        </w:rPr>
        <w:t>1</w:t>
      </w:r>
      <w:r w:rsidRPr="00067D8A">
        <w:rPr>
          <w:rFonts w:asciiTheme="majorBidi" w:hAnsiTheme="majorBidi" w:cstheme="majorBidi"/>
          <w:sz w:val="24"/>
          <w:szCs w:val="22"/>
        </w:rPr>
        <w:t xml:space="preserve">. Similar geometric motifs are identifiable on Said Qala Period III–IV and Mundigak </w:t>
      </w:r>
      <w:r w:rsidR="001E1DEF">
        <w:rPr>
          <w:rFonts w:asciiTheme="majorBidi" w:hAnsiTheme="majorBidi" w:cstheme="majorBidi"/>
          <w:sz w:val="24"/>
          <w:szCs w:val="22"/>
        </w:rPr>
        <w:t>Sub-Period</w:t>
      </w:r>
      <w:r w:rsidRPr="00067D8A">
        <w:rPr>
          <w:rFonts w:asciiTheme="majorBidi" w:hAnsiTheme="majorBidi" w:cstheme="majorBidi"/>
          <w:sz w:val="24"/>
          <w:szCs w:val="22"/>
        </w:rPr>
        <w:t>s III</w:t>
      </w:r>
      <w:r w:rsidRPr="00067D8A">
        <w:rPr>
          <w:rFonts w:asciiTheme="majorBidi" w:hAnsiTheme="majorBidi" w:cstheme="majorBidi"/>
          <w:sz w:val="24"/>
          <w:szCs w:val="22"/>
          <w:vertAlign w:val="subscript"/>
        </w:rPr>
        <w:t>5</w:t>
      </w:r>
      <w:r w:rsidRPr="00067D8A">
        <w:rPr>
          <w:rFonts w:asciiTheme="majorBidi" w:hAnsiTheme="majorBidi" w:cstheme="majorBidi"/>
          <w:sz w:val="24"/>
          <w:szCs w:val="22"/>
        </w:rPr>
        <w:t>–IV</w:t>
      </w:r>
      <w:r w:rsidRPr="00067D8A">
        <w:rPr>
          <w:rFonts w:asciiTheme="majorBidi" w:hAnsiTheme="majorBidi" w:cstheme="majorBidi"/>
          <w:sz w:val="24"/>
          <w:szCs w:val="22"/>
          <w:vertAlign w:val="subscript"/>
        </w:rPr>
        <w:t>1</w:t>
      </w:r>
      <w:r w:rsidRPr="00067D8A">
        <w:rPr>
          <w:rFonts w:asciiTheme="majorBidi" w:hAnsiTheme="majorBidi" w:cstheme="majorBidi"/>
          <w:sz w:val="24"/>
          <w:szCs w:val="22"/>
        </w:rPr>
        <w:t xml:space="preserve"> pottery. Although floral motifs are found on Said Qala pottery zoomorphic motifs were completely absent. Likewise, the Quetta Ware motifs are more similar to those identified in a Mundigak </w:t>
      </w:r>
      <w:r w:rsidR="001E1DEF">
        <w:rPr>
          <w:rFonts w:asciiTheme="majorBidi" w:hAnsiTheme="majorBidi" w:cstheme="majorBidi"/>
          <w:sz w:val="24"/>
          <w:szCs w:val="22"/>
        </w:rPr>
        <w:t>Sub-Period</w:t>
      </w:r>
      <w:r w:rsidRPr="00067D8A">
        <w:rPr>
          <w:rFonts w:asciiTheme="majorBidi" w:hAnsiTheme="majorBidi" w:cstheme="majorBidi"/>
          <w:sz w:val="24"/>
          <w:szCs w:val="22"/>
        </w:rPr>
        <w:t>s III</w:t>
      </w:r>
      <w:r w:rsidRPr="00067D8A">
        <w:rPr>
          <w:rFonts w:asciiTheme="majorBidi" w:hAnsiTheme="majorBidi" w:cstheme="majorBidi"/>
          <w:sz w:val="24"/>
          <w:szCs w:val="22"/>
          <w:vertAlign w:val="subscript"/>
        </w:rPr>
        <w:t>5– 6</w:t>
      </w:r>
      <w:r w:rsidRPr="00067D8A">
        <w:rPr>
          <w:rFonts w:asciiTheme="majorBidi" w:hAnsiTheme="majorBidi" w:cstheme="majorBidi"/>
          <w:sz w:val="24"/>
          <w:szCs w:val="22"/>
        </w:rPr>
        <w:t xml:space="preserve"> context than in </w:t>
      </w:r>
      <w:r w:rsidR="001E1DEF">
        <w:rPr>
          <w:rFonts w:asciiTheme="majorBidi" w:hAnsiTheme="majorBidi" w:cstheme="majorBidi"/>
          <w:sz w:val="24"/>
          <w:szCs w:val="22"/>
        </w:rPr>
        <w:t>Sub-Period</w:t>
      </w:r>
      <w:r w:rsidRPr="00067D8A">
        <w:rPr>
          <w:rFonts w:asciiTheme="majorBidi" w:hAnsiTheme="majorBidi" w:cstheme="majorBidi"/>
          <w:sz w:val="24"/>
          <w:szCs w:val="22"/>
        </w:rPr>
        <w:t xml:space="preserve"> IV</w:t>
      </w:r>
      <w:r w:rsidRPr="00067D8A">
        <w:rPr>
          <w:rFonts w:asciiTheme="majorBidi" w:hAnsiTheme="majorBidi" w:cstheme="majorBidi"/>
          <w:sz w:val="24"/>
          <w:szCs w:val="22"/>
          <w:vertAlign w:val="subscript"/>
        </w:rPr>
        <w:t>1</w:t>
      </w:r>
      <w:r w:rsidRPr="00067D8A">
        <w:rPr>
          <w:rFonts w:asciiTheme="majorBidi" w:hAnsiTheme="majorBidi" w:cstheme="majorBidi"/>
          <w:sz w:val="24"/>
          <w:szCs w:val="22"/>
        </w:rPr>
        <w:t xml:space="preserve">. These latter factors argue for a closer correlation between the ceramics of Said Qala Period III–IV and Mundigak </w:t>
      </w:r>
      <w:r w:rsidR="001E1DEF">
        <w:rPr>
          <w:rFonts w:asciiTheme="majorBidi" w:hAnsiTheme="majorBidi" w:cstheme="majorBidi"/>
          <w:sz w:val="24"/>
          <w:szCs w:val="22"/>
        </w:rPr>
        <w:t>Sub-Period</w:t>
      </w:r>
      <w:r w:rsidRPr="00067D8A">
        <w:rPr>
          <w:rFonts w:asciiTheme="majorBidi" w:hAnsiTheme="majorBidi" w:cstheme="majorBidi"/>
          <w:sz w:val="24"/>
          <w:szCs w:val="22"/>
        </w:rPr>
        <w:t>s III</w:t>
      </w:r>
      <w:r w:rsidRPr="00067D8A">
        <w:rPr>
          <w:rFonts w:asciiTheme="majorBidi" w:hAnsiTheme="majorBidi" w:cstheme="majorBidi"/>
          <w:sz w:val="24"/>
          <w:szCs w:val="22"/>
          <w:vertAlign w:val="subscript"/>
        </w:rPr>
        <w:t>5–6</w:t>
      </w:r>
      <w:r w:rsidRPr="00067D8A">
        <w:rPr>
          <w:rFonts w:asciiTheme="majorBidi" w:hAnsiTheme="majorBidi" w:cstheme="majorBidi"/>
          <w:sz w:val="24"/>
          <w:szCs w:val="22"/>
        </w:rPr>
        <w:t xml:space="preserve"> rather than </w:t>
      </w:r>
      <w:r w:rsidR="001E1DEF">
        <w:rPr>
          <w:rFonts w:asciiTheme="majorBidi" w:hAnsiTheme="majorBidi" w:cstheme="majorBidi"/>
          <w:sz w:val="24"/>
          <w:szCs w:val="22"/>
        </w:rPr>
        <w:t>Sub-Period</w:t>
      </w:r>
      <w:r w:rsidRPr="00067D8A">
        <w:rPr>
          <w:rFonts w:asciiTheme="majorBidi" w:hAnsiTheme="majorBidi" w:cstheme="majorBidi"/>
          <w:sz w:val="24"/>
          <w:szCs w:val="22"/>
        </w:rPr>
        <w:t xml:space="preserve"> IV</w:t>
      </w:r>
      <w:r w:rsidRPr="00067D8A">
        <w:rPr>
          <w:rFonts w:asciiTheme="majorBidi" w:hAnsiTheme="majorBidi" w:cstheme="majorBidi"/>
          <w:sz w:val="24"/>
          <w:szCs w:val="22"/>
          <w:vertAlign w:val="subscript"/>
        </w:rPr>
        <w:t>1</w:t>
      </w:r>
      <w:r w:rsidRPr="00067D8A">
        <w:rPr>
          <w:rFonts w:asciiTheme="majorBidi" w:hAnsiTheme="majorBidi" w:cstheme="majorBidi"/>
          <w:sz w:val="24"/>
          <w:szCs w:val="22"/>
        </w:rPr>
        <w:t xml:space="preserve">, but these boundaries are very elusive. The only significant addition to the special function or intrusive type category is a single sherd of Nal Polychrome (Fig. </w:t>
      </w:r>
      <w:r w:rsidR="005B52A9">
        <w:rPr>
          <w:rFonts w:asciiTheme="majorBidi" w:hAnsiTheme="majorBidi" w:cstheme="majorBidi"/>
          <w:sz w:val="24"/>
          <w:szCs w:val="22"/>
        </w:rPr>
        <w:t>4.</w:t>
      </w:r>
      <w:r w:rsidRPr="00067D8A">
        <w:rPr>
          <w:rFonts w:asciiTheme="majorBidi" w:hAnsiTheme="majorBidi" w:cstheme="majorBidi"/>
          <w:sz w:val="24"/>
          <w:szCs w:val="22"/>
        </w:rPr>
        <w:t xml:space="preserve">44, no.3). Overall the ceramics at Said Qala support the ascription of all prehistoric occupations at the site as being contemporary with those of Mundigak </w:t>
      </w:r>
      <w:r w:rsidR="001E1DEF">
        <w:rPr>
          <w:rFonts w:asciiTheme="majorBidi" w:hAnsiTheme="majorBidi" w:cstheme="majorBidi"/>
          <w:sz w:val="24"/>
          <w:szCs w:val="22"/>
        </w:rPr>
        <w:t>Sub-Period</w:t>
      </w:r>
      <w:r w:rsidRPr="00067D8A">
        <w:rPr>
          <w:rFonts w:asciiTheme="majorBidi" w:hAnsiTheme="majorBidi" w:cstheme="majorBidi"/>
          <w:sz w:val="24"/>
          <w:szCs w:val="22"/>
        </w:rPr>
        <w:t>s III</w:t>
      </w:r>
      <w:r w:rsidRPr="00067D8A">
        <w:rPr>
          <w:rFonts w:asciiTheme="majorBidi" w:hAnsiTheme="majorBidi" w:cstheme="majorBidi"/>
          <w:sz w:val="24"/>
          <w:szCs w:val="22"/>
          <w:vertAlign w:val="subscript"/>
        </w:rPr>
        <w:t>5–6</w:t>
      </w:r>
      <w:r w:rsidRPr="00067D8A">
        <w:rPr>
          <w:rFonts w:asciiTheme="majorBidi" w:hAnsiTheme="majorBidi" w:cstheme="majorBidi"/>
          <w:sz w:val="24"/>
          <w:szCs w:val="22"/>
        </w:rPr>
        <w:t>–IV</w:t>
      </w:r>
      <w:r w:rsidRPr="00067D8A">
        <w:rPr>
          <w:rFonts w:asciiTheme="majorBidi" w:hAnsiTheme="majorBidi" w:cstheme="majorBidi"/>
          <w:sz w:val="24"/>
          <w:szCs w:val="22"/>
          <w:vertAlign w:val="subscript"/>
        </w:rPr>
        <w:t>1</w:t>
      </w:r>
      <w:r w:rsidRPr="00067D8A">
        <w:rPr>
          <w:rFonts w:asciiTheme="majorBidi" w:hAnsiTheme="majorBidi" w:cstheme="majorBidi"/>
          <w:sz w:val="24"/>
          <w:szCs w:val="22"/>
        </w:rPr>
        <w:t>.</w:t>
      </w:r>
    </w:p>
    <w:p w14:paraId="78681F43" w14:textId="77777777" w:rsidR="0030226C" w:rsidRPr="00E31108" w:rsidRDefault="009C43AA" w:rsidP="0030226C">
      <w:pPr>
        <w:pStyle w:val="Heading3"/>
        <w:rPr>
          <w:rFonts w:asciiTheme="majorBidi" w:hAnsiTheme="majorBidi"/>
          <w:color w:val="auto"/>
          <w:lang w:val="en-GB"/>
        </w:rPr>
      </w:pPr>
      <w:r w:rsidRPr="009C43AA">
        <w:rPr>
          <w:rFonts w:asciiTheme="majorBidi" w:hAnsiTheme="majorBidi"/>
          <w:color w:val="auto"/>
          <w:lang w:val="en-GB"/>
        </w:rPr>
        <w:t>Lithic Artefacts</w:t>
      </w:r>
    </w:p>
    <w:p w14:paraId="4D844407" w14:textId="77777777" w:rsidR="0030226C" w:rsidRPr="00067D8A" w:rsidRDefault="0030226C" w:rsidP="00E31108">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 xml:space="preserve">The lithics at Said Qala are not very different from those identified at Mundigak except perhaps in the more limited nature of the types of artefact found. Milling and hand stones similar in all respects to those at Mundigak were found throughout the sequence. Likewise, large cortex flakes with one or more retouched edges and demonstrating extensive use as knives or scrapers were found in all occupation periods. It is interesting to note, however, that these lithic artefacts begin to co-vary with similarly retouched and utilised pottery sherds in the last occupations (Periods IIID–IV). Actual flint artefacts were noticeable by their absence. Only a few waste flakes were found in the lower sondage levels and seven blade fragments from the habitation </w:t>
      </w:r>
      <w:r w:rsidRPr="00067D8A">
        <w:rPr>
          <w:rFonts w:asciiTheme="majorBidi" w:hAnsiTheme="majorBidi" w:cstheme="majorBidi"/>
          <w:sz w:val="24"/>
          <w:szCs w:val="22"/>
          <w:lang w:val="en-GB"/>
        </w:rPr>
        <w:lastRenderedPageBreak/>
        <w:t xml:space="preserve">areas (Periods </w:t>
      </w:r>
      <w:r w:rsidR="00E31108">
        <w:rPr>
          <w:rFonts w:asciiTheme="majorBidi" w:hAnsiTheme="majorBidi" w:cstheme="majorBidi"/>
          <w:sz w:val="24"/>
          <w:szCs w:val="22"/>
          <w:lang w:val="en-GB"/>
        </w:rPr>
        <w:t>II-IV</w:t>
      </w:r>
      <w:r w:rsidRPr="00067D8A">
        <w:rPr>
          <w:rFonts w:asciiTheme="majorBidi" w:hAnsiTheme="majorBidi" w:cstheme="majorBidi"/>
          <w:sz w:val="24"/>
          <w:szCs w:val="22"/>
          <w:lang w:val="en-GB"/>
        </w:rPr>
        <w:t>). Except for one trapezoidal example they were all triangular in cross-section. All specimens were fragments of whole blades so it is impossible to determine the presence of microblades. The complete absence of any flint points is an interesting contrast to the situation recorded at Mundigak.</w:t>
      </w:r>
    </w:p>
    <w:p w14:paraId="66328F97" w14:textId="2AA931D7"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Other interesting lithic artefacts found throughout the Said Qala sequence included large trapezoidal-triangular hoes (Fig. </w:t>
      </w:r>
      <w:r w:rsidR="005B52A9">
        <w:rPr>
          <w:rFonts w:asciiTheme="majorBidi" w:hAnsiTheme="majorBidi" w:cstheme="majorBidi"/>
          <w:sz w:val="24"/>
          <w:szCs w:val="22"/>
        </w:rPr>
        <w:t>4.</w:t>
      </w:r>
      <w:r w:rsidRPr="00067D8A">
        <w:rPr>
          <w:rFonts w:asciiTheme="majorBidi" w:hAnsiTheme="majorBidi" w:cstheme="majorBidi"/>
          <w:sz w:val="24"/>
          <w:szCs w:val="22"/>
        </w:rPr>
        <w:t xml:space="preserve">47), which were manufactured from extremely large cortex flakes of basaltic material. Extensive retouching could be </w:t>
      </w:r>
      <w:r w:rsidR="001F5282">
        <w:rPr>
          <w:rFonts w:asciiTheme="majorBidi" w:hAnsiTheme="majorBidi" w:cstheme="majorBidi"/>
          <w:sz w:val="24"/>
          <w:szCs w:val="22"/>
        </w:rPr>
        <w:t>observed</w:t>
      </w:r>
      <w:r w:rsidR="001F5282" w:rsidRPr="00067D8A">
        <w:rPr>
          <w:rFonts w:asciiTheme="majorBidi" w:hAnsiTheme="majorBidi" w:cstheme="majorBidi"/>
          <w:sz w:val="24"/>
          <w:szCs w:val="22"/>
        </w:rPr>
        <w:t xml:space="preserve"> </w:t>
      </w:r>
      <w:r w:rsidRPr="00067D8A">
        <w:rPr>
          <w:rFonts w:asciiTheme="majorBidi" w:hAnsiTheme="majorBidi" w:cstheme="majorBidi"/>
          <w:sz w:val="24"/>
          <w:szCs w:val="22"/>
        </w:rPr>
        <w:t>on all edges</w:t>
      </w:r>
      <w:r w:rsidR="001F5282">
        <w:rPr>
          <w:rFonts w:asciiTheme="majorBidi" w:hAnsiTheme="majorBidi" w:cstheme="majorBidi"/>
          <w:sz w:val="24"/>
          <w:szCs w:val="22"/>
        </w:rPr>
        <w:t>,</w:t>
      </w:r>
      <w:r w:rsidRPr="00067D8A">
        <w:rPr>
          <w:rFonts w:asciiTheme="majorBidi" w:hAnsiTheme="majorBidi" w:cstheme="majorBidi"/>
          <w:sz w:val="24"/>
          <w:szCs w:val="22"/>
        </w:rPr>
        <w:t xml:space="preserve"> but mostly along the base (butt area), and the upper sides where concave to facilitate hafting. Often the basal edge was well polished through use. Although infrequent, these artefacts were recorded from all prehistoric periods at the site. Another interesting artefact located only in the habitation areas was a large ‘cleaver’ type object made from basaltic rocks. These infrequent artefacts were bifacially retouched to a blunt cutting–crushing edge and were not hafted. Finally, there occurred at Said Qala in the habitation areas several examples (29) of small hammer stones (never greater than 10 cm in any dimension) made from lumps of natural iron ore.</w:t>
      </w:r>
    </w:p>
    <w:p w14:paraId="3CBB85E6" w14:textId="77777777" w:rsidR="0030226C" w:rsidRPr="00EA09C7" w:rsidRDefault="009C43AA" w:rsidP="0030226C">
      <w:pPr>
        <w:pStyle w:val="Heading3"/>
        <w:rPr>
          <w:rFonts w:asciiTheme="majorBidi" w:hAnsiTheme="majorBidi"/>
          <w:color w:val="auto"/>
          <w:lang w:val="en-GB"/>
        </w:rPr>
      </w:pPr>
      <w:r w:rsidRPr="009C43AA">
        <w:rPr>
          <w:rFonts w:asciiTheme="majorBidi" w:hAnsiTheme="majorBidi"/>
          <w:color w:val="auto"/>
          <w:lang w:val="en-GB"/>
        </w:rPr>
        <w:t>Bone Artefacts</w:t>
      </w:r>
    </w:p>
    <w:p w14:paraId="010C8D91" w14:textId="77777777" w:rsidR="0030226C" w:rsidRPr="00067D8A" w:rsidRDefault="0030226C" w:rsidP="0030226C">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Bone artefacts were limited in variety and located in a rather constant frequency throughout Periods I–IV. As at Mundigak, the most numerous types of bone artefacts were simple point and awl fragments with complete examples being rather rare. A few other types of bone artefacts were noted under various small miscellaneous artefact categories.</w:t>
      </w:r>
    </w:p>
    <w:p w14:paraId="599FB251" w14:textId="77777777" w:rsidR="0030226C" w:rsidRPr="00EA09C7" w:rsidRDefault="009C43AA" w:rsidP="0030226C">
      <w:pPr>
        <w:pStyle w:val="Heading3"/>
        <w:rPr>
          <w:rFonts w:asciiTheme="majorBidi" w:hAnsiTheme="majorBidi"/>
          <w:color w:val="auto"/>
          <w:lang w:val="en-GB"/>
        </w:rPr>
      </w:pPr>
      <w:r w:rsidRPr="009C43AA">
        <w:rPr>
          <w:rFonts w:asciiTheme="majorBidi" w:hAnsiTheme="majorBidi"/>
          <w:color w:val="auto"/>
          <w:lang w:val="en-GB"/>
        </w:rPr>
        <w:t>Metal Artefacts</w:t>
      </w:r>
    </w:p>
    <w:p w14:paraId="5E88A192" w14:textId="77777777" w:rsidR="0030226C" w:rsidRPr="00067D8A" w:rsidRDefault="0030226C" w:rsidP="0030226C">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 xml:space="preserve">Bronze artefacts are confined to the latest prehistoric occupations (end of Period II–IV) and were located predominantly in the habitation areas. Identifiable functional artefacts included: sickles (Fig. </w:t>
      </w:r>
      <w:r w:rsidR="005B52A9">
        <w:rPr>
          <w:rFonts w:asciiTheme="majorBidi" w:hAnsiTheme="majorBidi" w:cstheme="majorBidi"/>
          <w:sz w:val="24"/>
          <w:szCs w:val="22"/>
          <w:lang w:val="en-GB"/>
        </w:rPr>
        <w:t>4.</w:t>
      </w:r>
      <w:r w:rsidRPr="00067D8A">
        <w:rPr>
          <w:rFonts w:asciiTheme="majorBidi" w:hAnsiTheme="majorBidi" w:cstheme="majorBidi"/>
          <w:sz w:val="24"/>
          <w:szCs w:val="22"/>
          <w:lang w:val="en-GB"/>
        </w:rPr>
        <w:t xml:space="preserve">48, nos 1–2), blade fragments (?), a lanceolate or lozenge tanged point, and a point or punch with circular cross-section. ‘Luxury’ items in the form of pins were found in Periods II–IV. Although most examples were fragmentary the following styles could be </w:t>
      </w:r>
      <w:r w:rsidRPr="00067D8A">
        <w:rPr>
          <w:rFonts w:asciiTheme="majorBidi" w:hAnsiTheme="majorBidi" w:cstheme="majorBidi"/>
          <w:sz w:val="24"/>
          <w:szCs w:val="22"/>
          <w:lang w:val="en-GB"/>
        </w:rPr>
        <w:lastRenderedPageBreak/>
        <w:t xml:space="preserve">identified: double volute head (Fig. </w:t>
      </w:r>
      <w:r w:rsidR="005B52A9">
        <w:rPr>
          <w:rFonts w:asciiTheme="majorBidi" w:hAnsiTheme="majorBidi" w:cstheme="majorBidi"/>
          <w:sz w:val="24"/>
          <w:szCs w:val="22"/>
          <w:lang w:val="en-GB"/>
        </w:rPr>
        <w:t>4.</w:t>
      </w:r>
      <w:r w:rsidRPr="00067D8A">
        <w:rPr>
          <w:rFonts w:asciiTheme="majorBidi" w:hAnsiTheme="majorBidi" w:cstheme="majorBidi"/>
          <w:sz w:val="24"/>
          <w:szCs w:val="22"/>
          <w:lang w:val="en-GB"/>
        </w:rPr>
        <w:t xml:space="preserve">48, no. 5); flattened with forked end (Fig. </w:t>
      </w:r>
      <w:r w:rsidR="005B52A9">
        <w:rPr>
          <w:rFonts w:asciiTheme="majorBidi" w:hAnsiTheme="majorBidi" w:cstheme="majorBidi"/>
          <w:sz w:val="24"/>
          <w:szCs w:val="22"/>
          <w:lang w:val="en-GB"/>
        </w:rPr>
        <w:t>4.</w:t>
      </w:r>
      <w:r w:rsidRPr="00067D8A">
        <w:rPr>
          <w:rFonts w:asciiTheme="majorBidi" w:hAnsiTheme="majorBidi" w:cstheme="majorBidi"/>
          <w:sz w:val="24"/>
          <w:szCs w:val="22"/>
          <w:lang w:val="en-GB"/>
        </w:rPr>
        <w:t xml:space="preserve">48, no. 6); and a simple forked end with twisted haft (Fig. </w:t>
      </w:r>
      <w:r w:rsidR="005B52A9">
        <w:rPr>
          <w:rFonts w:asciiTheme="majorBidi" w:hAnsiTheme="majorBidi" w:cstheme="majorBidi"/>
          <w:sz w:val="24"/>
          <w:szCs w:val="22"/>
          <w:lang w:val="en-GB"/>
        </w:rPr>
        <w:t>4.</w:t>
      </w:r>
      <w:r w:rsidRPr="00067D8A">
        <w:rPr>
          <w:rFonts w:asciiTheme="majorBidi" w:hAnsiTheme="majorBidi" w:cstheme="majorBidi"/>
          <w:sz w:val="24"/>
          <w:szCs w:val="22"/>
          <w:lang w:val="en-GB"/>
        </w:rPr>
        <w:t xml:space="preserve">48, no. 4). A single example of a bronze handle (?) fragment with a rounded and perforated distal end was found (Fig. </w:t>
      </w:r>
      <w:r w:rsidR="005B52A9">
        <w:rPr>
          <w:rFonts w:asciiTheme="majorBidi" w:hAnsiTheme="majorBidi" w:cstheme="majorBidi"/>
          <w:sz w:val="24"/>
          <w:szCs w:val="22"/>
          <w:lang w:val="en-GB"/>
        </w:rPr>
        <w:t>4.</w:t>
      </w:r>
      <w:r w:rsidRPr="00067D8A">
        <w:rPr>
          <w:rFonts w:asciiTheme="majorBidi" w:hAnsiTheme="majorBidi" w:cstheme="majorBidi"/>
          <w:sz w:val="24"/>
          <w:szCs w:val="22"/>
          <w:lang w:val="en-GB"/>
        </w:rPr>
        <w:t>48, no. 3). In general, the artefacts are very similar to those found in Mundigak Period III.</w:t>
      </w:r>
    </w:p>
    <w:p w14:paraId="3AAB42AB" w14:textId="77777777" w:rsidR="0030226C" w:rsidRPr="00EA09C7" w:rsidRDefault="00EA09C7" w:rsidP="0030226C">
      <w:pPr>
        <w:pStyle w:val="Heading3"/>
        <w:rPr>
          <w:rFonts w:asciiTheme="majorBidi" w:hAnsiTheme="majorBidi"/>
          <w:color w:val="auto"/>
          <w:lang w:val="en-GB"/>
        </w:rPr>
      </w:pPr>
      <w:r>
        <w:rPr>
          <w:rFonts w:asciiTheme="majorBidi" w:hAnsiTheme="majorBidi"/>
          <w:color w:val="auto"/>
          <w:lang w:val="en-GB"/>
        </w:rPr>
        <w:t xml:space="preserve">Small </w:t>
      </w:r>
      <w:r w:rsidR="009C43AA" w:rsidRPr="009C43AA">
        <w:rPr>
          <w:rFonts w:asciiTheme="majorBidi" w:hAnsiTheme="majorBidi"/>
          <w:color w:val="auto"/>
          <w:lang w:val="en-GB"/>
        </w:rPr>
        <w:t>Miscellaneous Artefacts</w:t>
      </w:r>
    </w:p>
    <w:p w14:paraId="6BFF19CA" w14:textId="77777777"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i/>
          <w:iCs/>
          <w:sz w:val="24"/>
          <w:szCs w:val="22"/>
        </w:rPr>
        <w:t>Spindle whorls.</w:t>
      </w:r>
      <w:r w:rsidRPr="00067D8A">
        <w:rPr>
          <w:rFonts w:asciiTheme="majorBidi" w:hAnsiTheme="majorBidi" w:cstheme="majorBidi"/>
          <w:sz w:val="24"/>
          <w:szCs w:val="22"/>
        </w:rPr>
        <w:t xml:space="preserve"> Truncated cone-shaped ceramic spindle-whorls with central perforation were found throughout the prehistoric periods. Rarely, these had an incised or painted motif. Perhaps somewhat more frequent were simple disc shaped whorls made from pottery or stone (steatite and more rarely alabaster).</w:t>
      </w:r>
    </w:p>
    <w:p w14:paraId="348D3832" w14:textId="77777777"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i/>
          <w:iCs/>
          <w:sz w:val="24"/>
          <w:szCs w:val="22"/>
        </w:rPr>
        <w:t>Stone Vessels.</w:t>
      </w:r>
      <w:r w:rsidRPr="00067D8A">
        <w:rPr>
          <w:rFonts w:asciiTheme="majorBidi" w:hAnsiTheme="majorBidi" w:cstheme="majorBidi"/>
          <w:sz w:val="24"/>
          <w:szCs w:val="22"/>
        </w:rPr>
        <w:t xml:space="preserve"> Several fragments of straight-angular walled bowls made from alabaster were found in the final occupation of Period II through to Period IV. Only two variants were found: one was a small shallow oval bowl made from white limestone; and the other a rectangular vessel leg (?) with square cross-section also made from limestone.</w:t>
      </w:r>
    </w:p>
    <w:p w14:paraId="28B19987" w14:textId="21FDFCE2" w:rsidR="0030226C" w:rsidRPr="00067D8A" w:rsidRDefault="0030226C" w:rsidP="00EA09C7">
      <w:pPr>
        <w:pStyle w:val="BodyTextIndent"/>
        <w:rPr>
          <w:rFonts w:asciiTheme="majorBidi" w:hAnsiTheme="majorBidi" w:cstheme="majorBidi"/>
          <w:sz w:val="24"/>
          <w:szCs w:val="22"/>
        </w:rPr>
      </w:pPr>
      <w:r w:rsidRPr="001F5282">
        <w:rPr>
          <w:rFonts w:asciiTheme="majorBidi" w:hAnsiTheme="majorBidi" w:cstheme="majorBidi"/>
          <w:i/>
          <w:iCs/>
          <w:color w:val="auto"/>
          <w:sz w:val="24"/>
          <w:szCs w:val="22"/>
        </w:rPr>
        <w:t>Beads</w:t>
      </w:r>
      <w:r w:rsidR="00EA09C7" w:rsidRPr="001F5282">
        <w:rPr>
          <w:rFonts w:asciiTheme="majorBidi" w:hAnsiTheme="majorBidi" w:cstheme="majorBidi"/>
          <w:i/>
          <w:iCs/>
          <w:color w:val="auto"/>
          <w:sz w:val="24"/>
          <w:szCs w:val="22"/>
        </w:rPr>
        <w:t xml:space="preserve"> and </w:t>
      </w:r>
      <w:r w:rsidRPr="001F5282">
        <w:rPr>
          <w:rFonts w:asciiTheme="majorBidi" w:hAnsiTheme="majorBidi" w:cstheme="majorBidi"/>
          <w:i/>
          <w:iCs/>
          <w:color w:val="auto"/>
          <w:sz w:val="24"/>
          <w:szCs w:val="22"/>
        </w:rPr>
        <w:t>Pendants.</w:t>
      </w:r>
      <w:r w:rsidRPr="001F5282">
        <w:rPr>
          <w:rFonts w:asciiTheme="majorBidi" w:hAnsiTheme="majorBidi" w:cstheme="majorBidi"/>
          <w:color w:val="auto"/>
          <w:sz w:val="24"/>
          <w:szCs w:val="22"/>
        </w:rPr>
        <w:t xml:space="preserve"> Only a limited number of beads were found and these were </w:t>
      </w:r>
      <w:r w:rsidRPr="00067D8A">
        <w:rPr>
          <w:rFonts w:asciiTheme="majorBidi" w:hAnsiTheme="majorBidi" w:cstheme="majorBidi"/>
          <w:sz w:val="24"/>
          <w:szCs w:val="22"/>
        </w:rPr>
        <w:t>recovered in the habitation areas (Periods II–IV). The only shapes identified were: simple discs; cylindrical; biconical; and circular. Materials of manufacture included: steatite, alabaster, marble, amber (?), carnelian, rock crystal, lapis lazuli (two examples); and ceramic. Pendants were very rare, though two rectangular pendants were found (alabaster and bone); and one oval bead with serrated edges made from turquoise.</w:t>
      </w:r>
    </w:p>
    <w:p w14:paraId="405B8ED5" w14:textId="77777777"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i/>
          <w:iCs/>
          <w:sz w:val="24"/>
          <w:szCs w:val="22"/>
        </w:rPr>
        <w:t>Seals.</w:t>
      </w:r>
      <w:r w:rsidRPr="00067D8A">
        <w:rPr>
          <w:rFonts w:asciiTheme="majorBidi" w:hAnsiTheme="majorBidi" w:cstheme="majorBidi"/>
          <w:sz w:val="24"/>
          <w:szCs w:val="22"/>
        </w:rPr>
        <w:t xml:space="preserve"> Several examples of compartmented geometric seals were found, all within the habitation area. Only three examples were not made from steatite and these were manufactured from bone and a grey-brown siliceous stone. All had two central perforations and were predominantly rectangular or square. Other shapes identified were: circular, triangular, lozenge </w:t>
      </w:r>
      <w:r w:rsidRPr="00067D8A">
        <w:rPr>
          <w:rFonts w:asciiTheme="majorBidi" w:hAnsiTheme="majorBidi" w:cstheme="majorBidi"/>
          <w:sz w:val="24"/>
          <w:szCs w:val="22"/>
        </w:rPr>
        <w:lastRenderedPageBreak/>
        <w:t>and oval. One example had deeply serrated edges. Several examples of worked steatite were found, which must have represented blanks for the manufacture of such seals.</w:t>
      </w:r>
    </w:p>
    <w:p w14:paraId="13836377" w14:textId="27DB1FFA"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i/>
          <w:iCs/>
          <w:sz w:val="24"/>
          <w:szCs w:val="22"/>
        </w:rPr>
        <w:t>Ceramic Figurines.</w:t>
      </w:r>
      <w:r w:rsidRPr="00067D8A">
        <w:rPr>
          <w:rFonts w:asciiTheme="majorBidi" w:hAnsiTheme="majorBidi" w:cstheme="majorBidi"/>
          <w:sz w:val="24"/>
          <w:szCs w:val="22"/>
        </w:rPr>
        <w:t xml:space="preserve"> Bull or cow figurines were found throughout Periods I to IV with the majority of examples coming from the habitation areas (Fig. </w:t>
      </w:r>
      <w:r w:rsidR="005B52A9">
        <w:rPr>
          <w:rFonts w:asciiTheme="majorBidi" w:hAnsiTheme="majorBidi" w:cstheme="majorBidi"/>
          <w:sz w:val="24"/>
          <w:szCs w:val="22"/>
        </w:rPr>
        <w:t>4.</w:t>
      </w:r>
      <w:r w:rsidRPr="00067D8A">
        <w:rPr>
          <w:rFonts w:asciiTheme="majorBidi" w:hAnsiTheme="majorBidi" w:cstheme="majorBidi"/>
          <w:sz w:val="24"/>
          <w:szCs w:val="22"/>
        </w:rPr>
        <w:t xml:space="preserve">49, no. 4). These figurines are similar to the same types </w:t>
      </w:r>
      <w:r w:rsidR="001F5282">
        <w:rPr>
          <w:rFonts w:asciiTheme="majorBidi" w:hAnsiTheme="majorBidi" w:cstheme="majorBidi"/>
          <w:sz w:val="24"/>
          <w:szCs w:val="22"/>
        </w:rPr>
        <w:t>found</w:t>
      </w:r>
      <w:r w:rsidR="001F5282" w:rsidRPr="00067D8A">
        <w:rPr>
          <w:rFonts w:asciiTheme="majorBidi" w:hAnsiTheme="majorBidi" w:cstheme="majorBidi"/>
          <w:sz w:val="24"/>
          <w:szCs w:val="22"/>
        </w:rPr>
        <w:t xml:space="preserve"> </w:t>
      </w:r>
      <w:r w:rsidRPr="00067D8A">
        <w:rPr>
          <w:rFonts w:asciiTheme="majorBidi" w:hAnsiTheme="majorBidi" w:cstheme="majorBidi"/>
          <w:sz w:val="24"/>
          <w:szCs w:val="22"/>
        </w:rPr>
        <w:t xml:space="preserve">at Mundigak. One fragmentary example is of particular note because of its size. Only the forward half was found, but this fragment was 13 cm long and stood 13 cm high and had faint red painted motifs. In its complete form this figurine was approximately four times larger than the usual bull type. A single example of a possible bird figurine was also found (Fig. </w:t>
      </w:r>
      <w:r w:rsidR="005B52A9">
        <w:rPr>
          <w:rFonts w:asciiTheme="majorBidi" w:hAnsiTheme="majorBidi" w:cstheme="majorBidi"/>
          <w:sz w:val="24"/>
          <w:szCs w:val="22"/>
        </w:rPr>
        <w:t>4.</w:t>
      </w:r>
      <w:r w:rsidRPr="00067D8A">
        <w:rPr>
          <w:rFonts w:asciiTheme="majorBidi" w:hAnsiTheme="majorBidi" w:cstheme="majorBidi"/>
          <w:sz w:val="24"/>
          <w:szCs w:val="22"/>
        </w:rPr>
        <w:t>49, no. 3).</w:t>
      </w:r>
    </w:p>
    <w:p w14:paraId="328B76CA" w14:textId="77777777" w:rsidR="0030226C" w:rsidRPr="00067D8A" w:rsidRDefault="0030226C" w:rsidP="007A67D0">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Except for one questionable example from Period II in the sondage, all the anthropomorphic figurines were found in the habitation area. Moreover, out of the twelve examples, all except three (two: Period IV; one: Period III) were associated with the final occupation phase determined for Period II. All examples were fragmentary and confined to the lower torso. Even with such a limited sample it is obvious that the Said Qala figurines are markedly dissimilar to those found at Mundigak. The most common figurine type had the lower torso stylised as a trapezoidal cone which also functioned as base. One example had an incised pubic area. More rarely found were examples of seated figurines with bent legs extended out to the front (Fig. </w:t>
      </w:r>
      <w:r w:rsidR="005B52A9">
        <w:rPr>
          <w:rFonts w:asciiTheme="majorBidi" w:hAnsiTheme="majorBidi" w:cstheme="majorBidi"/>
          <w:sz w:val="24"/>
          <w:szCs w:val="22"/>
        </w:rPr>
        <w:t>4.</w:t>
      </w:r>
      <w:r w:rsidRPr="00067D8A">
        <w:rPr>
          <w:rFonts w:asciiTheme="majorBidi" w:hAnsiTheme="majorBidi" w:cstheme="majorBidi"/>
          <w:sz w:val="24"/>
          <w:szCs w:val="22"/>
        </w:rPr>
        <w:t xml:space="preserve">49, no. 1). A single example of a standing figurine with outstretched arms was also found (Fig. </w:t>
      </w:r>
      <w:r w:rsidR="005B52A9">
        <w:rPr>
          <w:rFonts w:asciiTheme="majorBidi" w:hAnsiTheme="majorBidi" w:cstheme="majorBidi"/>
          <w:sz w:val="24"/>
          <w:szCs w:val="22"/>
        </w:rPr>
        <w:t>4.</w:t>
      </w:r>
      <w:r w:rsidRPr="00067D8A">
        <w:rPr>
          <w:rFonts w:asciiTheme="majorBidi" w:hAnsiTheme="majorBidi" w:cstheme="majorBidi"/>
          <w:sz w:val="24"/>
          <w:szCs w:val="22"/>
        </w:rPr>
        <w:t xml:space="preserve">49, no. 2). With the possible exception of the standing example, all figurines represented females. These figurines are very similar to those found at Gumla II in northern Baluchistan and </w:t>
      </w:r>
      <w:r w:rsidRPr="001F5282">
        <w:rPr>
          <w:rFonts w:asciiTheme="majorBidi" w:hAnsiTheme="majorBidi" w:cstheme="majorBidi"/>
          <w:color w:val="auto"/>
          <w:sz w:val="24"/>
          <w:szCs w:val="22"/>
        </w:rPr>
        <w:t xml:space="preserve">Namazga III in </w:t>
      </w:r>
      <w:r w:rsidR="007A67D0" w:rsidRPr="001F5282">
        <w:rPr>
          <w:rFonts w:asciiTheme="majorBidi" w:hAnsiTheme="majorBidi" w:cstheme="majorBidi"/>
          <w:color w:val="auto"/>
          <w:sz w:val="24"/>
          <w:szCs w:val="22"/>
        </w:rPr>
        <w:t>Turkmenistan</w:t>
      </w:r>
      <w:r w:rsidRPr="001F5282">
        <w:rPr>
          <w:rFonts w:asciiTheme="majorBidi" w:hAnsiTheme="majorBidi" w:cstheme="majorBidi"/>
          <w:color w:val="auto"/>
          <w:sz w:val="24"/>
          <w:szCs w:val="22"/>
        </w:rPr>
        <w:t>.</w:t>
      </w:r>
    </w:p>
    <w:p w14:paraId="2B5903D1" w14:textId="77777777" w:rsidR="0030226C" w:rsidRPr="00EA09C7" w:rsidRDefault="009C43AA" w:rsidP="0030226C">
      <w:pPr>
        <w:pStyle w:val="Heading3"/>
        <w:rPr>
          <w:rFonts w:asciiTheme="majorBidi" w:hAnsiTheme="majorBidi"/>
          <w:color w:val="auto"/>
          <w:lang w:val="en-GB"/>
        </w:rPr>
      </w:pPr>
      <w:r w:rsidRPr="009C43AA">
        <w:rPr>
          <w:rFonts w:asciiTheme="majorBidi" w:hAnsiTheme="majorBidi"/>
          <w:color w:val="auto"/>
          <w:lang w:val="en-GB"/>
        </w:rPr>
        <w:t xml:space="preserve">Faunal and Floral Remains </w:t>
      </w:r>
    </w:p>
    <w:p w14:paraId="10F43A00" w14:textId="4C9435A3" w:rsidR="0030226C" w:rsidRPr="00067D8A" w:rsidRDefault="0030226C" w:rsidP="00E2558A">
      <w:pPr>
        <w:pStyle w:val="BodyTextIndent"/>
        <w:rPr>
          <w:rFonts w:asciiTheme="majorBidi" w:hAnsiTheme="majorBidi" w:cstheme="majorBidi"/>
          <w:sz w:val="24"/>
          <w:szCs w:val="22"/>
        </w:rPr>
      </w:pPr>
      <w:r w:rsidRPr="00067D8A">
        <w:rPr>
          <w:rFonts w:asciiTheme="majorBidi" w:hAnsiTheme="majorBidi" w:cstheme="majorBidi"/>
          <w:sz w:val="24"/>
          <w:szCs w:val="22"/>
        </w:rPr>
        <w:t>The faunal and floral remains from Said Qala Tepe have never been analysed</w:t>
      </w:r>
      <w:r w:rsidR="00E2558A" w:rsidRPr="00067D8A">
        <w:rPr>
          <w:rFonts w:asciiTheme="majorBidi" w:hAnsiTheme="majorBidi" w:cstheme="majorBidi"/>
          <w:sz w:val="24"/>
          <w:szCs w:val="22"/>
        </w:rPr>
        <w:t>.</w:t>
      </w:r>
      <w:r w:rsidR="00E2558A" w:rsidRPr="00067D8A">
        <w:rPr>
          <w:rStyle w:val="EndnoteReference"/>
          <w:rFonts w:asciiTheme="majorBidi" w:hAnsiTheme="majorBidi" w:cstheme="majorBidi"/>
        </w:rPr>
        <w:endnoteReference w:id="85"/>
      </w:r>
    </w:p>
    <w:p w14:paraId="0461DA03" w14:textId="77777777" w:rsidR="0030226C" w:rsidRPr="00EA09C7" w:rsidRDefault="009C43AA" w:rsidP="0030226C">
      <w:pPr>
        <w:pStyle w:val="Heading2"/>
        <w:rPr>
          <w:rFonts w:asciiTheme="majorBidi" w:hAnsiTheme="majorBidi"/>
          <w:color w:val="auto"/>
          <w:sz w:val="36"/>
          <w:szCs w:val="36"/>
          <w:lang w:val="en-GB"/>
        </w:rPr>
      </w:pPr>
      <w:r w:rsidRPr="009C43AA">
        <w:rPr>
          <w:rFonts w:asciiTheme="majorBidi" w:hAnsiTheme="majorBidi"/>
          <w:color w:val="auto"/>
          <w:sz w:val="36"/>
          <w:szCs w:val="36"/>
          <w:lang w:val="en-GB"/>
        </w:rPr>
        <w:lastRenderedPageBreak/>
        <w:t>Deh Morasi Ghundai</w:t>
      </w:r>
    </w:p>
    <w:p w14:paraId="38F5478F" w14:textId="77777777" w:rsidR="00EA09C7" w:rsidRDefault="00EA09C7" w:rsidP="0030226C">
      <w:pPr>
        <w:pStyle w:val="BodyText"/>
        <w:spacing w:line="480" w:lineRule="auto"/>
        <w:rPr>
          <w:rFonts w:asciiTheme="majorBidi" w:hAnsiTheme="majorBidi" w:cstheme="majorBidi"/>
          <w:sz w:val="24"/>
          <w:szCs w:val="22"/>
          <w:lang w:val="en-GB"/>
        </w:rPr>
      </w:pPr>
    </w:p>
    <w:p w14:paraId="34C701B5" w14:textId="23EE4695" w:rsidR="0030226C" w:rsidRPr="00067D8A" w:rsidRDefault="0030226C" w:rsidP="0030226C">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Deh Morasi Ghundai is located 16 km south-west of Said Qala Tepe.</w:t>
      </w:r>
      <w:r w:rsidRPr="00067D8A">
        <w:rPr>
          <w:rStyle w:val="EndnoteReference"/>
          <w:rFonts w:asciiTheme="majorBidi" w:hAnsiTheme="majorBidi" w:cstheme="majorBidi"/>
          <w:sz w:val="24"/>
          <w:szCs w:val="22"/>
          <w:lang w:val="en-GB"/>
        </w:rPr>
        <w:endnoteReference w:id="86"/>
      </w:r>
      <w:r w:rsidRPr="00067D8A">
        <w:rPr>
          <w:rFonts w:asciiTheme="majorBidi" w:hAnsiTheme="majorBidi" w:cstheme="majorBidi"/>
          <w:sz w:val="24"/>
          <w:szCs w:val="22"/>
          <w:lang w:val="en-GB"/>
        </w:rPr>
        <w:t xml:space="preserve"> It is only about half the size of Said Qala, and the excavations </w:t>
      </w:r>
      <w:r w:rsidR="001F5282">
        <w:rPr>
          <w:rFonts w:asciiTheme="majorBidi" w:hAnsiTheme="majorBidi" w:cstheme="majorBidi"/>
          <w:sz w:val="24"/>
          <w:szCs w:val="22"/>
          <w:lang w:val="en-GB"/>
        </w:rPr>
        <w:t xml:space="preserve">under Dupree in 1951 </w:t>
      </w:r>
      <w:r w:rsidRPr="00067D8A">
        <w:rPr>
          <w:rFonts w:asciiTheme="majorBidi" w:hAnsiTheme="majorBidi" w:cstheme="majorBidi"/>
          <w:sz w:val="24"/>
          <w:szCs w:val="22"/>
          <w:lang w:val="en-GB"/>
        </w:rPr>
        <w:t>were very limited. Besides a sondage (6 × 2 m) three other small test pits were opened, but were incompletely excavated.</w:t>
      </w:r>
      <w:r w:rsidR="001F5282">
        <w:rPr>
          <w:rStyle w:val="EndnoteReference"/>
          <w:rFonts w:asciiTheme="majorBidi" w:hAnsiTheme="majorBidi" w:cstheme="majorBidi"/>
          <w:sz w:val="24"/>
          <w:szCs w:val="22"/>
          <w:lang w:val="en-GB"/>
        </w:rPr>
        <w:endnoteReference w:id="87"/>
      </w:r>
      <w:r w:rsidRPr="00067D8A">
        <w:rPr>
          <w:rFonts w:asciiTheme="majorBidi" w:hAnsiTheme="majorBidi" w:cstheme="majorBidi"/>
          <w:sz w:val="24"/>
          <w:szCs w:val="22"/>
          <w:lang w:val="en-GB"/>
        </w:rPr>
        <w:t xml:space="preserve"> Dupree was able to define four major occupational periods of which Periods I–III are of major concern here. Like Said Qala it is felt here that all the prehistoric occupations are essentially of a single major period. However, Deh Morasi is later than Said Qala and represents a Mundigak </w:t>
      </w:r>
      <w:r w:rsidR="001E1DEF">
        <w:rPr>
          <w:rFonts w:asciiTheme="majorBidi" w:hAnsiTheme="majorBidi" w:cstheme="majorBidi"/>
          <w:sz w:val="24"/>
          <w:szCs w:val="22"/>
          <w:lang w:val="en-GB"/>
        </w:rPr>
        <w:t>Sub-Period</w:t>
      </w:r>
      <w:r w:rsidRPr="00067D8A">
        <w:rPr>
          <w:rFonts w:asciiTheme="majorBidi" w:hAnsiTheme="majorBidi" w:cstheme="majorBidi"/>
          <w:sz w:val="24"/>
          <w:szCs w:val="22"/>
          <w:lang w:val="en-GB"/>
        </w:rPr>
        <w:t xml:space="preserve"> IV</w:t>
      </w:r>
      <w:r w:rsidRPr="00067D8A">
        <w:rPr>
          <w:rFonts w:asciiTheme="majorBidi" w:hAnsiTheme="majorBidi" w:cstheme="majorBidi"/>
          <w:sz w:val="24"/>
          <w:szCs w:val="22"/>
          <w:vertAlign w:val="subscript"/>
          <w:lang w:val="en-GB"/>
        </w:rPr>
        <w:t>1</w:t>
      </w:r>
      <w:r w:rsidR="001F5282">
        <w:rPr>
          <w:rFonts w:asciiTheme="majorBidi" w:hAnsiTheme="majorBidi" w:cstheme="majorBidi"/>
          <w:sz w:val="24"/>
          <w:szCs w:val="22"/>
          <w:lang w:val="en-GB"/>
        </w:rPr>
        <w:t>-</w:t>
      </w:r>
      <w:r w:rsidRPr="00067D8A">
        <w:rPr>
          <w:rFonts w:asciiTheme="majorBidi" w:hAnsiTheme="majorBidi" w:cstheme="majorBidi"/>
          <w:sz w:val="24"/>
          <w:szCs w:val="22"/>
          <w:lang w:val="en-GB"/>
        </w:rPr>
        <w:t>type occupation.</w:t>
      </w:r>
    </w:p>
    <w:p w14:paraId="51993E8A" w14:textId="77777777" w:rsidR="0030226C" w:rsidRPr="00DA7CD8" w:rsidRDefault="009C43AA" w:rsidP="0030226C">
      <w:pPr>
        <w:pStyle w:val="Heading3"/>
        <w:rPr>
          <w:rFonts w:asciiTheme="majorBidi" w:hAnsiTheme="majorBidi"/>
          <w:color w:val="auto"/>
          <w:lang w:val="en-GB"/>
        </w:rPr>
      </w:pPr>
      <w:r w:rsidRPr="009C43AA">
        <w:rPr>
          <w:rFonts w:asciiTheme="majorBidi" w:hAnsiTheme="majorBidi"/>
          <w:color w:val="auto"/>
          <w:lang w:val="en-GB"/>
        </w:rPr>
        <w:t>Stratigraphy and Architecture</w:t>
      </w:r>
    </w:p>
    <w:p w14:paraId="7F012067" w14:textId="77777777" w:rsidR="0030226C" w:rsidRPr="00067D8A" w:rsidRDefault="0030226C" w:rsidP="0030226C">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 xml:space="preserve">The limited nature of the excavations prevented the delineation of any structures, and most stratigraphic observations are based on artefact content and soil depositional levels. Period I was characterised by laminated silt-clay layers of soil which contained a few artefacts but was otherwise devoid of features. The major occupation at Deh Morasi was Period II which is divided into three phases, IIa–c. The only architectural feature of significance found in the excavations was recorded in Period IIa. This was a small (45 × 28 cm) mud-brick structure (Fig. </w:t>
      </w:r>
      <w:r w:rsidR="005B52A9">
        <w:rPr>
          <w:rFonts w:asciiTheme="majorBidi" w:hAnsiTheme="majorBidi" w:cstheme="majorBidi"/>
          <w:sz w:val="24"/>
          <w:szCs w:val="22"/>
          <w:lang w:val="en-GB"/>
        </w:rPr>
        <w:t>4.</w:t>
      </w:r>
      <w:r w:rsidRPr="00067D8A">
        <w:rPr>
          <w:rFonts w:asciiTheme="majorBidi" w:hAnsiTheme="majorBidi" w:cstheme="majorBidi"/>
          <w:sz w:val="24"/>
          <w:szCs w:val="22"/>
          <w:lang w:val="en-GB"/>
        </w:rPr>
        <w:t xml:space="preserve">50a) trapezoidal in shape with the following artefacts in direct association: ceramic female figurine, copper tube and seal, goat bone and horn, utilised magnetite nodule (Fig. </w:t>
      </w:r>
      <w:r w:rsidR="005B52A9">
        <w:rPr>
          <w:rFonts w:asciiTheme="majorBidi" w:hAnsiTheme="majorBidi" w:cstheme="majorBidi"/>
          <w:sz w:val="24"/>
          <w:szCs w:val="22"/>
          <w:lang w:val="en-GB"/>
        </w:rPr>
        <w:t>4.</w:t>
      </w:r>
      <w:r w:rsidRPr="00067D8A">
        <w:rPr>
          <w:rFonts w:asciiTheme="majorBidi" w:hAnsiTheme="majorBidi" w:cstheme="majorBidi"/>
          <w:sz w:val="24"/>
          <w:szCs w:val="22"/>
          <w:lang w:val="en-GB"/>
        </w:rPr>
        <w:t>50b), and pottery. Dupree interpreted this structure as a ‘household shrine’ as well it might be. The entire feature was surrounded by a prepared clay floor. Morasi Phase IIb was distinguished by a semi-circular mud-brick oven associated with a prepared floor and the only section of mud-brick wall defined at the site. Period III was a unit of unstratified mound fill the major features of which were three intrusive burials. The final Period was a series of highly disturbed deposits containing Early Islamic glazed pottery.</w:t>
      </w:r>
    </w:p>
    <w:p w14:paraId="6944FB50" w14:textId="77777777" w:rsidR="0030226C" w:rsidRPr="00792FFA" w:rsidRDefault="009C43AA" w:rsidP="0030226C">
      <w:pPr>
        <w:pStyle w:val="Heading3"/>
        <w:rPr>
          <w:rFonts w:asciiTheme="majorBidi" w:hAnsiTheme="majorBidi"/>
          <w:color w:val="auto"/>
          <w:lang w:val="en-GB"/>
        </w:rPr>
      </w:pPr>
      <w:r w:rsidRPr="009C43AA">
        <w:rPr>
          <w:rFonts w:asciiTheme="majorBidi" w:hAnsiTheme="majorBidi"/>
          <w:color w:val="auto"/>
          <w:lang w:val="en-GB"/>
        </w:rPr>
        <w:lastRenderedPageBreak/>
        <w:t>Chronology</w:t>
      </w:r>
    </w:p>
    <w:p w14:paraId="166A1B7C" w14:textId="03B8EC56" w:rsidR="0030226C" w:rsidRPr="00067D8A" w:rsidRDefault="0030226C" w:rsidP="00CA6070">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The</w:t>
      </w:r>
      <w:r w:rsidR="00CA6070">
        <w:rPr>
          <w:rFonts w:asciiTheme="majorBidi" w:hAnsiTheme="majorBidi" w:cstheme="majorBidi"/>
          <w:sz w:val="24"/>
          <w:szCs w:val="22"/>
          <w:lang w:val="en-GB"/>
        </w:rPr>
        <w:t>re are six</w:t>
      </w:r>
      <w:r w:rsidRPr="00067D8A">
        <w:rPr>
          <w:rFonts w:asciiTheme="majorBidi" w:hAnsiTheme="majorBidi" w:cstheme="majorBidi"/>
          <w:sz w:val="24"/>
          <w:szCs w:val="22"/>
          <w:lang w:val="en-GB"/>
        </w:rPr>
        <w:t xml:space="preserve"> radiocarbon date</w:t>
      </w:r>
      <w:r w:rsidR="00CA6070">
        <w:rPr>
          <w:rFonts w:asciiTheme="majorBidi" w:hAnsiTheme="majorBidi" w:cstheme="majorBidi"/>
          <w:sz w:val="24"/>
          <w:szCs w:val="22"/>
          <w:lang w:val="en-GB"/>
        </w:rPr>
        <w:t>s from Deh Morasi Ghundai, two from</w:t>
      </w:r>
      <w:r w:rsidRPr="00067D8A">
        <w:rPr>
          <w:rFonts w:asciiTheme="majorBidi" w:hAnsiTheme="majorBidi" w:cstheme="majorBidi"/>
          <w:sz w:val="24"/>
          <w:szCs w:val="22"/>
          <w:lang w:val="en-GB"/>
        </w:rPr>
        <w:t xml:space="preserve"> Phase IIb </w:t>
      </w:r>
      <w:r w:rsidR="00CA6070">
        <w:rPr>
          <w:rFonts w:asciiTheme="majorBidi" w:hAnsiTheme="majorBidi" w:cstheme="majorBidi"/>
          <w:sz w:val="24"/>
          <w:szCs w:val="22"/>
          <w:lang w:val="en-GB"/>
        </w:rPr>
        <w:t xml:space="preserve">and four from </w:t>
      </w:r>
      <w:r w:rsidR="008A4417">
        <w:rPr>
          <w:rFonts w:asciiTheme="majorBidi" w:hAnsiTheme="majorBidi" w:cstheme="majorBidi"/>
          <w:sz w:val="24"/>
          <w:szCs w:val="22"/>
          <w:lang w:val="en-GB"/>
        </w:rPr>
        <w:t>Phase</w:t>
      </w:r>
      <w:r w:rsidR="00CA6070">
        <w:rPr>
          <w:rFonts w:asciiTheme="majorBidi" w:hAnsiTheme="majorBidi" w:cstheme="majorBidi"/>
          <w:sz w:val="24"/>
          <w:szCs w:val="22"/>
          <w:lang w:val="en-GB"/>
        </w:rPr>
        <w:t xml:space="preserve"> IIC</w:t>
      </w:r>
      <w:r w:rsidR="005C3404">
        <w:rPr>
          <w:rFonts w:asciiTheme="majorBidi" w:hAnsiTheme="majorBidi" w:cstheme="majorBidi"/>
          <w:sz w:val="24"/>
          <w:szCs w:val="22"/>
          <w:lang w:val="en-GB"/>
        </w:rPr>
        <w:t>.</w:t>
      </w:r>
      <w:r w:rsidR="00CA6070">
        <w:rPr>
          <w:rStyle w:val="EndnoteReference"/>
          <w:rFonts w:asciiTheme="majorBidi" w:hAnsiTheme="majorBidi" w:cstheme="majorBidi"/>
          <w:sz w:val="24"/>
          <w:szCs w:val="22"/>
          <w:lang w:val="en-GB"/>
        </w:rPr>
        <w:endnoteReference w:id="88"/>
      </w:r>
      <w:r w:rsidR="005C3404">
        <w:rPr>
          <w:rFonts w:asciiTheme="majorBidi" w:hAnsiTheme="majorBidi" w:cstheme="majorBidi"/>
          <w:sz w:val="24"/>
          <w:szCs w:val="22"/>
          <w:lang w:val="en-GB"/>
        </w:rPr>
        <w:t xml:space="preserve"> These determinations</w:t>
      </w:r>
      <w:r w:rsidR="00CA6070">
        <w:rPr>
          <w:rFonts w:asciiTheme="majorBidi" w:hAnsiTheme="majorBidi" w:cstheme="majorBidi"/>
          <w:sz w:val="24"/>
          <w:szCs w:val="22"/>
          <w:lang w:val="en-GB"/>
        </w:rPr>
        <w:t xml:space="preserve"> have been recalibrated as follows: Period IIb (</w:t>
      </w:r>
      <w:r w:rsidR="00CA6070">
        <w:rPr>
          <w:rFonts w:asciiTheme="majorBidi" w:hAnsiTheme="majorBidi" w:cstheme="majorBidi"/>
          <w:sz w:val="24"/>
          <w:szCs w:val="22"/>
        </w:rPr>
        <w:t>P-1493: 4414</w:t>
      </w:r>
      <w:r w:rsidR="00CA6070" w:rsidRPr="00E2251A">
        <w:rPr>
          <w:rFonts w:asciiTheme="majorBidi" w:hAnsiTheme="majorBidi" w:cstheme="majorBidi"/>
          <w:color w:val="auto"/>
          <w:sz w:val="24"/>
          <w:szCs w:val="22"/>
          <w:lang w:val="en-GB"/>
        </w:rPr>
        <w:t>±</w:t>
      </w:r>
      <w:r w:rsidR="00CA6070">
        <w:rPr>
          <w:rFonts w:asciiTheme="majorBidi" w:hAnsiTheme="majorBidi" w:cstheme="majorBidi"/>
          <w:color w:val="auto"/>
          <w:sz w:val="24"/>
          <w:szCs w:val="22"/>
          <w:lang w:val="en-GB"/>
        </w:rPr>
        <w:t>53 BP) 3,330</w:t>
      </w:r>
      <w:r w:rsidR="00CA6070" w:rsidRPr="00DF497B">
        <w:rPr>
          <w:rFonts w:asciiTheme="majorBidi" w:hAnsiTheme="majorBidi" w:cstheme="majorBidi"/>
          <w:color w:val="auto"/>
          <w:sz w:val="24"/>
          <w:szCs w:val="22"/>
          <w:lang w:val="en-GB"/>
        </w:rPr>
        <w:t>-2</w:t>
      </w:r>
      <w:r w:rsidR="00CA6070">
        <w:rPr>
          <w:rFonts w:asciiTheme="majorBidi" w:hAnsiTheme="majorBidi" w:cstheme="majorBidi"/>
          <w:color w:val="auto"/>
          <w:sz w:val="24"/>
          <w:szCs w:val="22"/>
          <w:lang w:val="en-GB"/>
        </w:rPr>
        <w:t>,</w:t>
      </w:r>
      <w:r w:rsidR="00CA6070" w:rsidRPr="00DF497B">
        <w:rPr>
          <w:rFonts w:asciiTheme="majorBidi" w:hAnsiTheme="majorBidi" w:cstheme="majorBidi"/>
          <w:color w:val="auto"/>
          <w:sz w:val="24"/>
          <w:szCs w:val="22"/>
          <w:lang w:val="en-GB"/>
        </w:rPr>
        <w:t>91</w:t>
      </w:r>
      <w:r w:rsidR="00CA6070">
        <w:rPr>
          <w:rFonts w:asciiTheme="majorBidi" w:hAnsiTheme="majorBidi" w:cstheme="majorBidi"/>
          <w:color w:val="auto"/>
          <w:sz w:val="24"/>
          <w:szCs w:val="22"/>
          <w:lang w:val="en-GB"/>
        </w:rPr>
        <w:t>0</w:t>
      </w:r>
      <w:r w:rsidR="00CA6070" w:rsidRPr="00DF497B">
        <w:rPr>
          <w:rFonts w:asciiTheme="majorBidi" w:hAnsiTheme="majorBidi" w:cstheme="majorBidi"/>
          <w:color w:val="auto"/>
          <w:sz w:val="24"/>
          <w:szCs w:val="22"/>
          <w:lang w:val="en-GB"/>
        </w:rPr>
        <w:t xml:space="preserve"> </w:t>
      </w:r>
      <w:r w:rsidR="00CA6070">
        <w:rPr>
          <w:rFonts w:asciiTheme="majorBidi" w:hAnsiTheme="majorBidi" w:cstheme="majorBidi"/>
          <w:color w:val="auto"/>
          <w:sz w:val="24"/>
          <w:szCs w:val="22"/>
          <w:lang w:val="en-GB"/>
        </w:rPr>
        <w:t>cal. BC and (P-2292: 5680</w:t>
      </w:r>
      <w:r w:rsidR="00CA6070" w:rsidRPr="00E2251A">
        <w:rPr>
          <w:rFonts w:asciiTheme="majorBidi" w:hAnsiTheme="majorBidi" w:cstheme="majorBidi"/>
          <w:color w:val="auto"/>
          <w:sz w:val="24"/>
          <w:szCs w:val="22"/>
          <w:lang w:val="en-GB"/>
        </w:rPr>
        <w:t>±</w:t>
      </w:r>
      <w:r w:rsidR="00CA6070">
        <w:rPr>
          <w:rFonts w:asciiTheme="majorBidi" w:hAnsiTheme="majorBidi" w:cstheme="majorBidi"/>
          <w:color w:val="auto"/>
          <w:sz w:val="24"/>
          <w:szCs w:val="22"/>
          <w:lang w:val="en-GB"/>
        </w:rPr>
        <w:t xml:space="preserve">300, </w:t>
      </w:r>
      <w:r w:rsidR="00CA6070" w:rsidRPr="00DF497B">
        <w:rPr>
          <w:rFonts w:asciiTheme="majorBidi" w:hAnsiTheme="majorBidi" w:cstheme="majorBidi"/>
          <w:color w:val="auto"/>
          <w:sz w:val="24"/>
          <w:szCs w:val="22"/>
          <w:lang w:val="en-GB"/>
        </w:rPr>
        <w:t>5</w:t>
      </w:r>
      <w:r w:rsidR="00CA6070">
        <w:rPr>
          <w:rFonts w:asciiTheme="majorBidi" w:hAnsiTheme="majorBidi" w:cstheme="majorBidi"/>
          <w:color w:val="auto"/>
          <w:sz w:val="24"/>
          <w:szCs w:val="22"/>
          <w:lang w:val="en-GB"/>
        </w:rPr>
        <w:t>,</w:t>
      </w:r>
      <w:r w:rsidR="00CA6070" w:rsidRPr="00DF497B">
        <w:rPr>
          <w:rFonts w:asciiTheme="majorBidi" w:hAnsiTheme="majorBidi" w:cstheme="majorBidi"/>
          <w:color w:val="auto"/>
          <w:sz w:val="24"/>
          <w:szCs w:val="22"/>
          <w:lang w:val="en-GB"/>
        </w:rPr>
        <w:t>29</w:t>
      </w:r>
      <w:r w:rsidR="00CA6070">
        <w:rPr>
          <w:rFonts w:asciiTheme="majorBidi" w:hAnsiTheme="majorBidi" w:cstheme="majorBidi"/>
          <w:color w:val="auto"/>
          <w:sz w:val="24"/>
          <w:szCs w:val="22"/>
          <w:lang w:val="en-GB"/>
        </w:rPr>
        <w:t>5</w:t>
      </w:r>
      <w:r w:rsidR="00CA6070" w:rsidRPr="00DF497B">
        <w:rPr>
          <w:rFonts w:asciiTheme="majorBidi" w:hAnsiTheme="majorBidi" w:cstheme="majorBidi"/>
          <w:color w:val="auto"/>
          <w:sz w:val="24"/>
          <w:szCs w:val="22"/>
          <w:lang w:val="en-GB"/>
        </w:rPr>
        <w:t>-3</w:t>
      </w:r>
      <w:r w:rsidR="00CA6070">
        <w:rPr>
          <w:rFonts w:asciiTheme="majorBidi" w:hAnsiTheme="majorBidi" w:cstheme="majorBidi"/>
          <w:color w:val="auto"/>
          <w:sz w:val="24"/>
          <w:szCs w:val="22"/>
          <w:lang w:val="en-GB"/>
        </w:rPr>
        <w:t>,</w:t>
      </w:r>
      <w:r w:rsidR="00CA6070" w:rsidRPr="00DF497B">
        <w:rPr>
          <w:rFonts w:asciiTheme="majorBidi" w:hAnsiTheme="majorBidi" w:cstheme="majorBidi"/>
          <w:color w:val="auto"/>
          <w:sz w:val="24"/>
          <w:szCs w:val="22"/>
          <w:lang w:val="en-GB"/>
        </w:rPr>
        <w:t>9</w:t>
      </w:r>
      <w:r w:rsidR="00CA6070">
        <w:rPr>
          <w:rFonts w:asciiTheme="majorBidi" w:hAnsiTheme="majorBidi" w:cstheme="majorBidi"/>
          <w:color w:val="auto"/>
          <w:sz w:val="24"/>
          <w:szCs w:val="22"/>
          <w:lang w:val="en-GB"/>
        </w:rPr>
        <w:t>60</w:t>
      </w:r>
      <w:r w:rsidR="00CA6070" w:rsidRPr="00DF497B">
        <w:rPr>
          <w:rFonts w:asciiTheme="majorBidi" w:hAnsiTheme="majorBidi" w:cstheme="majorBidi"/>
          <w:color w:val="auto"/>
          <w:sz w:val="24"/>
          <w:szCs w:val="22"/>
          <w:lang w:val="en-GB"/>
        </w:rPr>
        <w:t xml:space="preserve"> </w:t>
      </w:r>
      <w:r w:rsidR="00CA6070">
        <w:rPr>
          <w:rFonts w:asciiTheme="majorBidi" w:hAnsiTheme="majorBidi" w:cstheme="majorBidi"/>
          <w:color w:val="auto"/>
          <w:sz w:val="24"/>
          <w:szCs w:val="22"/>
          <w:lang w:val="en-GB"/>
        </w:rPr>
        <w:t>cal. BC);</w:t>
      </w:r>
      <w:r w:rsidR="00CA6070">
        <w:rPr>
          <w:rFonts w:asciiTheme="majorBidi" w:hAnsiTheme="majorBidi" w:cstheme="majorBidi"/>
          <w:sz w:val="24"/>
          <w:szCs w:val="22"/>
          <w:lang w:val="en-GB"/>
        </w:rPr>
        <w:t xml:space="preserve"> Period IIc (</w:t>
      </w:r>
      <w:r w:rsidR="00CA6070" w:rsidRPr="00CA6070">
        <w:rPr>
          <w:rFonts w:asciiTheme="majorBidi" w:hAnsiTheme="majorBidi" w:cstheme="majorBidi"/>
          <w:sz w:val="24"/>
          <w:szCs w:val="22"/>
          <w:lang w:val="en-GB"/>
        </w:rPr>
        <w:t>P-2288</w:t>
      </w:r>
      <w:r w:rsidR="00CA6070">
        <w:rPr>
          <w:rFonts w:asciiTheme="majorBidi" w:hAnsiTheme="majorBidi" w:cstheme="majorBidi"/>
          <w:sz w:val="24"/>
          <w:szCs w:val="22"/>
          <w:lang w:val="en-GB"/>
        </w:rPr>
        <w:t xml:space="preserve">: </w:t>
      </w:r>
      <w:r w:rsidR="00CA6070" w:rsidRPr="00CA6070">
        <w:rPr>
          <w:rFonts w:asciiTheme="majorBidi" w:hAnsiTheme="majorBidi" w:cstheme="majorBidi"/>
          <w:sz w:val="24"/>
          <w:szCs w:val="22"/>
          <w:lang w:val="en-GB"/>
        </w:rPr>
        <w:t>3</w:t>
      </w:r>
      <w:r w:rsidR="00CA6070">
        <w:rPr>
          <w:rFonts w:asciiTheme="majorBidi" w:hAnsiTheme="majorBidi" w:cstheme="majorBidi"/>
          <w:sz w:val="24"/>
          <w:szCs w:val="22"/>
          <w:lang w:val="en-GB"/>
        </w:rPr>
        <w:t>,</w:t>
      </w:r>
      <w:r w:rsidR="00CA6070" w:rsidRPr="00CA6070">
        <w:rPr>
          <w:rFonts w:asciiTheme="majorBidi" w:hAnsiTheme="majorBidi" w:cstheme="majorBidi"/>
          <w:sz w:val="24"/>
          <w:szCs w:val="22"/>
          <w:lang w:val="en-GB"/>
        </w:rPr>
        <w:t>780</w:t>
      </w:r>
      <w:r w:rsidR="00CA6070" w:rsidRPr="00E2251A">
        <w:rPr>
          <w:rFonts w:asciiTheme="majorBidi" w:hAnsiTheme="majorBidi" w:cstheme="majorBidi"/>
          <w:color w:val="auto"/>
          <w:sz w:val="24"/>
          <w:szCs w:val="22"/>
          <w:lang w:val="en-GB"/>
        </w:rPr>
        <w:t>±</w:t>
      </w:r>
      <w:r w:rsidR="00CA6070" w:rsidRPr="00CA6070">
        <w:rPr>
          <w:rFonts w:asciiTheme="majorBidi" w:hAnsiTheme="majorBidi" w:cstheme="majorBidi"/>
          <w:sz w:val="24"/>
          <w:szCs w:val="22"/>
          <w:lang w:val="en-GB"/>
        </w:rPr>
        <w:t>233</w:t>
      </w:r>
      <w:r w:rsidR="00CA6070">
        <w:rPr>
          <w:rFonts w:asciiTheme="majorBidi" w:hAnsiTheme="majorBidi" w:cstheme="majorBidi"/>
          <w:sz w:val="24"/>
          <w:szCs w:val="22"/>
          <w:lang w:val="en-GB"/>
        </w:rPr>
        <w:t xml:space="preserve"> BP) </w:t>
      </w:r>
      <w:r w:rsidR="005C3404" w:rsidRPr="00CA6070">
        <w:rPr>
          <w:rFonts w:asciiTheme="majorBidi" w:hAnsiTheme="majorBidi" w:cstheme="majorBidi"/>
          <w:sz w:val="24"/>
          <w:szCs w:val="22"/>
          <w:lang w:val="en-GB"/>
        </w:rPr>
        <w:t>2</w:t>
      </w:r>
      <w:r w:rsidR="005C3404">
        <w:rPr>
          <w:rFonts w:asciiTheme="majorBidi" w:hAnsiTheme="majorBidi" w:cstheme="majorBidi"/>
          <w:sz w:val="24"/>
          <w:szCs w:val="22"/>
          <w:lang w:val="en-GB"/>
        </w:rPr>
        <w:t>,</w:t>
      </w:r>
      <w:r w:rsidR="005C3404" w:rsidRPr="00CA6070">
        <w:rPr>
          <w:rFonts w:asciiTheme="majorBidi" w:hAnsiTheme="majorBidi" w:cstheme="majorBidi"/>
          <w:sz w:val="24"/>
          <w:szCs w:val="22"/>
          <w:lang w:val="en-GB"/>
        </w:rPr>
        <w:t>880-16</w:t>
      </w:r>
      <w:r w:rsidR="005C3404">
        <w:rPr>
          <w:rFonts w:asciiTheme="majorBidi" w:hAnsiTheme="majorBidi" w:cstheme="majorBidi"/>
          <w:sz w:val="24"/>
          <w:szCs w:val="22"/>
          <w:lang w:val="en-GB"/>
        </w:rPr>
        <w:t xml:space="preserve">60 </w:t>
      </w:r>
      <w:r w:rsidR="00CA6070">
        <w:rPr>
          <w:rFonts w:asciiTheme="majorBidi" w:hAnsiTheme="majorBidi" w:cstheme="majorBidi"/>
          <w:sz w:val="24"/>
          <w:szCs w:val="22"/>
          <w:lang w:val="en-GB"/>
        </w:rPr>
        <w:t>cal. BC, (</w:t>
      </w:r>
      <w:r w:rsidR="00CA6070" w:rsidRPr="00CA6070">
        <w:rPr>
          <w:rFonts w:asciiTheme="majorBidi" w:hAnsiTheme="majorBidi" w:cstheme="majorBidi"/>
          <w:sz w:val="24"/>
          <w:szCs w:val="22"/>
          <w:lang w:val="en-GB"/>
        </w:rPr>
        <w:t>P-2289</w:t>
      </w:r>
      <w:r w:rsidR="00CA6070">
        <w:rPr>
          <w:rFonts w:asciiTheme="majorBidi" w:hAnsiTheme="majorBidi" w:cstheme="majorBidi"/>
          <w:sz w:val="24"/>
          <w:szCs w:val="22"/>
          <w:lang w:val="en-GB"/>
        </w:rPr>
        <w:t xml:space="preserve">: </w:t>
      </w:r>
      <w:r w:rsidR="00CA6070" w:rsidRPr="00CA6070">
        <w:rPr>
          <w:rFonts w:asciiTheme="majorBidi" w:hAnsiTheme="majorBidi" w:cstheme="majorBidi"/>
          <w:sz w:val="24"/>
          <w:szCs w:val="22"/>
          <w:lang w:val="en-GB"/>
        </w:rPr>
        <w:t>4440</w:t>
      </w:r>
      <w:r w:rsidR="00CA6070" w:rsidRPr="00E2251A">
        <w:rPr>
          <w:rFonts w:asciiTheme="majorBidi" w:hAnsiTheme="majorBidi" w:cstheme="majorBidi"/>
          <w:color w:val="auto"/>
          <w:sz w:val="24"/>
          <w:szCs w:val="22"/>
          <w:lang w:val="en-GB"/>
        </w:rPr>
        <w:t>±</w:t>
      </w:r>
      <w:r w:rsidR="00CA6070" w:rsidRPr="00CA6070">
        <w:rPr>
          <w:rFonts w:asciiTheme="majorBidi" w:hAnsiTheme="majorBidi" w:cstheme="majorBidi"/>
          <w:sz w:val="24"/>
          <w:szCs w:val="22"/>
          <w:lang w:val="en-GB"/>
        </w:rPr>
        <w:t>252</w:t>
      </w:r>
      <w:r w:rsidR="00CA6070">
        <w:rPr>
          <w:rFonts w:asciiTheme="majorBidi" w:hAnsiTheme="majorBidi" w:cstheme="majorBidi"/>
          <w:sz w:val="24"/>
          <w:szCs w:val="22"/>
          <w:lang w:val="en-GB"/>
        </w:rPr>
        <w:t xml:space="preserve"> BP) </w:t>
      </w:r>
      <w:r w:rsidR="005C3404" w:rsidRPr="00CA6070">
        <w:rPr>
          <w:rFonts w:asciiTheme="majorBidi" w:hAnsiTheme="majorBidi" w:cstheme="majorBidi"/>
          <w:sz w:val="24"/>
          <w:szCs w:val="22"/>
          <w:lang w:val="en-GB"/>
        </w:rPr>
        <w:t>3</w:t>
      </w:r>
      <w:r w:rsidR="005C3404">
        <w:rPr>
          <w:rFonts w:asciiTheme="majorBidi" w:hAnsiTheme="majorBidi" w:cstheme="majorBidi"/>
          <w:sz w:val="24"/>
          <w:szCs w:val="22"/>
          <w:lang w:val="en-GB"/>
        </w:rPr>
        <w:t>,</w:t>
      </w:r>
      <w:r w:rsidR="005C3404" w:rsidRPr="00CA6070">
        <w:rPr>
          <w:rFonts w:asciiTheme="majorBidi" w:hAnsiTheme="majorBidi" w:cstheme="majorBidi"/>
          <w:sz w:val="24"/>
          <w:szCs w:val="22"/>
          <w:lang w:val="en-GB"/>
        </w:rPr>
        <w:t>7</w:t>
      </w:r>
      <w:r w:rsidR="005C3404">
        <w:rPr>
          <w:rFonts w:asciiTheme="majorBidi" w:hAnsiTheme="majorBidi" w:cstheme="majorBidi"/>
          <w:sz w:val="24"/>
          <w:szCs w:val="22"/>
          <w:lang w:val="en-GB"/>
        </w:rPr>
        <w:t>60</w:t>
      </w:r>
      <w:r w:rsidR="005C3404" w:rsidRPr="00CA6070">
        <w:rPr>
          <w:rFonts w:asciiTheme="majorBidi" w:hAnsiTheme="majorBidi" w:cstheme="majorBidi"/>
          <w:sz w:val="24"/>
          <w:szCs w:val="22"/>
          <w:lang w:val="en-GB"/>
        </w:rPr>
        <w:t>-24</w:t>
      </w:r>
      <w:r w:rsidR="005C3404">
        <w:rPr>
          <w:rFonts w:asciiTheme="majorBidi" w:hAnsiTheme="majorBidi" w:cstheme="majorBidi"/>
          <w:sz w:val="24"/>
          <w:szCs w:val="22"/>
          <w:lang w:val="en-GB"/>
        </w:rPr>
        <w:t xml:space="preserve">70 </w:t>
      </w:r>
      <w:r w:rsidR="00CA6070">
        <w:rPr>
          <w:rFonts w:asciiTheme="majorBidi" w:hAnsiTheme="majorBidi" w:cstheme="majorBidi"/>
          <w:sz w:val="24"/>
          <w:szCs w:val="22"/>
          <w:lang w:val="en-GB"/>
        </w:rPr>
        <w:t>cal. BC, (</w:t>
      </w:r>
      <w:r w:rsidR="00CA6070" w:rsidRPr="00CA6070">
        <w:rPr>
          <w:rFonts w:asciiTheme="majorBidi" w:hAnsiTheme="majorBidi" w:cstheme="majorBidi"/>
          <w:sz w:val="24"/>
          <w:szCs w:val="22"/>
          <w:lang w:val="en-GB"/>
        </w:rPr>
        <w:t>P-2290</w:t>
      </w:r>
      <w:r w:rsidR="00CA6070">
        <w:rPr>
          <w:rFonts w:asciiTheme="majorBidi" w:hAnsiTheme="majorBidi" w:cstheme="majorBidi"/>
          <w:sz w:val="24"/>
          <w:szCs w:val="22"/>
          <w:lang w:val="en-GB"/>
        </w:rPr>
        <w:t xml:space="preserve">: </w:t>
      </w:r>
      <w:r w:rsidR="00CA6070" w:rsidRPr="00CA6070">
        <w:rPr>
          <w:rFonts w:asciiTheme="majorBidi" w:hAnsiTheme="majorBidi" w:cstheme="majorBidi"/>
          <w:sz w:val="24"/>
          <w:szCs w:val="22"/>
          <w:lang w:val="en-GB"/>
        </w:rPr>
        <w:t>4</w:t>
      </w:r>
      <w:r w:rsidR="00CA6070">
        <w:rPr>
          <w:rFonts w:asciiTheme="majorBidi" w:hAnsiTheme="majorBidi" w:cstheme="majorBidi"/>
          <w:sz w:val="24"/>
          <w:szCs w:val="22"/>
          <w:lang w:val="en-GB"/>
        </w:rPr>
        <w:t>,</w:t>
      </w:r>
      <w:r w:rsidR="00CA6070" w:rsidRPr="00CA6070">
        <w:rPr>
          <w:rFonts w:asciiTheme="majorBidi" w:hAnsiTheme="majorBidi" w:cstheme="majorBidi"/>
          <w:sz w:val="24"/>
          <w:szCs w:val="22"/>
          <w:lang w:val="en-GB"/>
        </w:rPr>
        <w:t>090</w:t>
      </w:r>
      <w:r w:rsidR="00CA6070" w:rsidRPr="00E2251A">
        <w:rPr>
          <w:rFonts w:asciiTheme="majorBidi" w:hAnsiTheme="majorBidi" w:cstheme="majorBidi"/>
          <w:color w:val="auto"/>
          <w:sz w:val="24"/>
          <w:szCs w:val="22"/>
          <w:lang w:val="en-GB"/>
        </w:rPr>
        <w:t>±</w:t>
      </w:r>
      <w:r w:rsidR="00CA6070" w:rsidRPr="00CA6070">
        <w:rPr>
          <w:rFonts w:asciiTheme="majorBidi" w:hAnsiTheme="majorBidi" w:cstheme="majorBidi"/>
          <w:sz w:val="24"/>
          <w:szCs w:val="22"/>
          <w:lang w:val="en-GB"/>
        </w:rPr>
        <w:t>214</w:t>
      </w:r>
      <w:r w:rsidR="00CA6070">
        <w:rPr>
          <w:rFonts w:asciiTheme="majorBidi" w:hAnsiTheme="majorBidi" w:cstheme="majorBidi"/>
          <w:sz w:val="24"/>
          <w:szCs w:val="22"/>
          <w:lang w:val="en-GB"/>
        </w:rPr>
        <w:t xml:space="preserve"> BP) </w:t>
      </w:r>
      <w:r w:rsidR="005C3404" w:rsidRPr="00CA6070">
        <w:rPr>
          <w:rFonts w:asciiTheme="majorBidi" w:hAnsiTheme="majorBidi" w:cstheme="majorBidi"/>
          <w:sz w:val="24"/>
          <w:szCs w:val="22"/>
          <w:lang w:val="en-GB"/>
        </w:rPr>
        <w:t>3</w:t>
      </w:r>
      <w:r w:rsidR="005C3404">
        <w:rPr>
          <w:rFonts w:asciiTheme="majorBidi" w:hAnsiTheme="majorBidi" w:cstheme="majorBidi"/>
          <w:sz w:val="24"/>
          <w:szCs w:val="22"/>
          <w:lang w:val="en-GB"/>
        </w:rPr>
        <w:t>,</w:t>
      </w:r>
      <w:r w:rsidR="005C3404" w:rsidRPr="00CA6070">
        <w:rPr>
          <w:rFonts w:asciiTheme="majorBidi" w:hAnsiTheme="majorBidi" w:cstheme="majorBidi"/>
          <w:sz w:val="24"/>
          <w:szCs w:val="22"/>
          <w:lang w:val="en-GB"/>
        </w:rPr>
        <w:t>33</w:t>
      </w:r>
      <w:r w:rsidR="005C3404">
        <w:rPr>
          <w:rFonts w:asciiTheme="majorBidi" w:hAnsiTheme="majorBidi" w:cstheme="majorBidi"/>
          <w:sz w:val="24"/>
          <w:szCs w:val="22"/>
          <w:lang w:val="en-GB"/>
        </w:rPr>
        <w:t>5</w:t>
      </w:r>
      <w:r w:rsidR="005C3404" w:rsidRPr="00CA6070">
        <w:rPr>
          <w:rFonts w:asciiTheme="majorBidi" w:hAnsiTheme="majorBidi" w:cstheme="majorBidi"/>
          <w:sz w:val="24"/>
          <w:szCs w:val="22"/>
          <w:lang w:val="en-GB"/>
        </w:rPr>
        <w:t>-2</w:t>
      </w:r>
      <w:r w:rsidR="005C3404">
        <w:rPr>
          <w:rFonts w:asciiTheme="majorBidi" w:hAnsiTheme="majorBidi" w:cstheme="majorBidi"/>
          <w:sz w:val="24"/>
          <w:szCs w:val="22"/>
          <w:lang w:val="en-GB"/>
        </w:rPr>
        <w:t>,</w:t>
      </w:r>
      <w:r w:rsidR="005C3404" w:rsidRPr="00CA6070">
        <w:rPr>
          <w:rFonts w:asciiTheme="majorBidi" w:hAnsiTheme="majorBidi" w:cstheme="majorBidi"/>
          <w:sz w:val="24"/>
          <w:szCs w:val="22"/>
          <w:lang w:val="en-GB"/>
        </w:rPr>
        <w:t>04</w:t>
      </w:r>
      <w:r w:rsidR="005C3404">
        <w:rPr>
          <w:rFonts w:asciiTheme="majorBidi" w:hAnsiTheme="majorBidi" w:cstheme="majorBidi"/>
          <w:sz w:val="24"/>
          <w:szCs w:val="22"/>
          <w:lang w:val="en-GB"/>
        </w:rPr>
        <w:t xml:space="preserve">0 </w:t>
      </w:r>
      <w:r w:rsidR="00CA6070">
        <w:rPr>
          <w:rFonts w:asciiTheme="majorBidi" w:hAnsiTheme="majorBidi" w:cstheme="majorBidi"/>
          <w:sz w:val="24"/>
          <w:szCs w:val="22"/>
          <w:lang w:val="en-GB"/>
        </w:rPr>
        <w:t>cal. BC and (</w:t>
      </w:r>
      <w:r w:rsidR="00CA6070" w:rsidRPr="00CA6070">
        <w:rPr>
          <w:rFonts w:asciiTheme="majorBidi" w:hAnsiTheme="majorBidi" w:cstheme="majorBidi"/>
          <w:sz w:val="24"/>
          <w:szCs w:val="22"/>
          <w:lang w:val="en-GB"/>
        </w:rPr>
        <w:t>P-2291</w:t>
      </w:r>
      <w:r w:rsidR="00CA6070">
        <w:rPr>
          <w:rFonts w:asciiTheme="majorBidi" w:hAnsiTheme="majorBidi" w:cstheme="majorBidi"/>
          <w:sz w:val="24"/>
          <w:szCs w:val="22"/>
          <w:lang w:val="en-GB"/>
        </w:rPr>
        <w:t xml:space="preserve">: </w:t>
      </w:r>
      <w:r w:rsidR="00CA6070" w:rsidRPr="00CA6070">
        <w:rPr>
          <w:rFonts w:asciiTheme="majorBidi" w:hAnsiTheme="majorBidi" w:cstheme="majorBidi"/>
          <w:sz w:val="24"/>
          <w:szCs w:val="22"/>
          <w:lang w:val="en-GB"/>
        </w:rPr>
        <w:t>4500</w:t>
      </w:r>
      <w:r w:rsidR="00CA6070" w:rsidRPr="00E2251A">
        <w:rPr>
          <w:rFonts w:asciiTheme="majorBidi" w:hAnsiTheme="majorBidi" w:cstheme="majorBidi"/>
          <w:color w:val="auto"/>
          <w:sz w:val="24"/>
          <w:szCs w:val="22"/>
          <w:lang w:val="en-GB"/>
        </w:rPr>
        <w:t>±</w:t>
      </w:r>
      <w:r w:rsidR="00CA6070" w:rsidRPr="00CA6070">
        <w:rPr>
          <w:rFonts w:asciiTheme="majorBidi" w:hAnsiTheme="majorBidi" w:cstheme="majorBidi"/>
          <w:sz w:val="24"/>
          <w:szCs w:val="22"/>
          <w:lang w:val="en-GB"/>
        </w:rPr>
        <w:t>68</w:t>
      </w:r>
      <w:r w:rsidR="00CA6070">
        <w:rPr>
          <w:rFonts w:asciiTheme="majorBidi" w:hAnsiTheme="majorBidi" w:cstheme="majorBidi"/>
          <w:sz w:val="24"/>
          <w:szCs w:val="22"/>
          <w:lang w:val="en-GB"/>
        </w:rPr>
        <w:t xml:space="preserve"> BP) </w:t>
      </w:r>
      <w:r w:rsidR="005C3404" w:rsidRPr="00CA6070">
        <w:rPr>
          <w:rFonts w:asciiTheme="majorBidi" w:hAnsiTheme="majorBidi" w:cstheme="majorBidi"/>
          <w:sz w:val="24"/>
          <w:szCs w:val="22"/>
          <w:lang w:val="en-GB"/>
        </w:rPr>
        <w:t>3</w:t>
      </w:r>
      <w:r w:rsidR="005C3404">
        <w:rPr>
          <w:rFonts w:asciiTheme="majorBidi" w:hAnsiTheme="majorBidi" w:cstheme="majorBidi"/>
          <w:sz w:val="24"/>
          <w:szCs w:val="22"/>
          <w:lang w:val="en-GB"/>
        </w:rPr>
        <w:t>,</w:t>
      </w:r>
      <w:r w:rsidR="005C3404" w:rsidRPr="00CA6070">
        <w:rPr>
          <w:rFonts w:asciiTheme="majorBidi" w:hAnsiTheme="majorBidi" w:cstheme="majorBidi"/>
          <w:sz w:val="24"/>
          <w:szCs w:val="22"/>
          <w:lang w:val="en-GB"/>
        </w:rPr>
        <w:t>370-2</w:t>
      </w:r>
      <w:r w:rsidR="005C3404">
        <w:rPr>
          <w:rFonts w:asciiTheme="majorBidi" w:hAnsiTheme="majorBidi" w:cstheme="majorBidi"/>
          <w:sz w:val="24"/>
          <w:szCs w:val="22"/>
          <w:lang w:val="en-GB"/>
        </w:rPr>
        <w:t>,</w:t>
      </w:r>
      <w:r w:rsidR="005C3404" w:rsidRPr="00CA6070">
        <w:rPr>
          <w:rFonts w:asciiTheme="majorBidi" w:hAnsiTheme="majorBidi" w:cstheme="majorBidi"/>
          <w:sz w:val="24"/>
          <w:szCs w:val="22"/>
          <w:lang w:val="en-GB"/>
        </w:rPr>
        <w:t>93</w:t>
      </w:r>
      <w:r w:rsidR="005C3404">
        <w:rPr>
          <w:rFonts w:asciiTheme="majorBidi" w:hAnsiTheme="majorBidi" w:cstheme="majorBidi"/>
          <w:sz w:val="24"/>
          <w:szCs w:val="22"/>
          <w:lang w:val="en-GB"/>
        </w:rPr>
        <w:t>5</w:t>
      </w:r>
      <w:r w:rsidR="005C3404" w:rsidRPr="00CA6070">
        <w:rPr>
          <w:rFonts w:asciiTheme="majorBidi" w:hAnsiTheme="majorBidi" w:cstheme="majorBidi"/>
          <w:sz w:val="24"/>
          <w:szCs w:val="22"/>
          <w:lang w:val="en-GB"/>
        </w:rPr>
        <w:t xml:space="preserve"> </w:t>
      </w:r>
      <w:r w:rsidR="00CA6070">
        <w:rPr>
          <w:rFonts w:asciiTheme="majorBidi" w:hAnsiTheme="majorBidi" w:cstheme="majorBidi"/>
          <w:sz w:val="24"/>
          <w:szCs w:val="22"/>
          <w:lang w:val="en-GB"/>
        </w:rPr>
        <w:t xml:space="preserve">cal. BP. </w:t>
      </w:r>
      <w:r w:rsidR="005C3404">
        <w:rPr>
          <w:rFonts w:asciiTheme="majorBidi" w:hAnsiTheme="majorBidi" w:cstheme="majorBidi"/>
          <w:sz w:val="24"/>
          <w:szCs w:val="22"/>
          <w:lang w:val="en-GB"/>
        </w:rPr>
        <w:t xml:space="preserve">As noted above, the Period IIa dates, which should correspond to the Mundigak Period IV, are not consistent with each other, and while one is statistically similar to the Casal’s </w:t>
      </w:r>
      <w:r w:rsidR="005C3404">
        <w:rPr>
          <w:rFonts w:asciiTheme="majorBidi" w:hAnsiTheme="majorBidi" w:cstheme="majorBidi"/>
          <w:sz w:val="24"/>
          <w:szCs w:val="22"/>
        </w:rPr>
        <w:t>Sub-</w:t>
      </w:r>
      <w:r w:rsidR="005C3404" w:rsidRPr="00067D8A">
        <w:rPr>
          <w:rFonts w:asciiTheme="majorBidi" w:hAnsiTheme="majorBidi" w:cstheme="majorBidi"/>
          <w:sz w:val="24"/>
          <w:szCs w:val="22"/>
        </w:rPr>
        <w:t>Period III</w:t>
      </w:r>
      <w:r w:rsidR="005C3404" w:rsidRPr="00067D8A">
        <w:rPr>
          <w:rFonts w:asciiTheme="majorBidi" w:hAnsiTheme="majorBidi" w:cstheme="majorBidi"/>
          <w:sz w:val="24"/>
          <w:szCs w:val="22"/>
          <w:vertAlign w:val="subscript"/>
        </w:rPr>
        <w:t>5</w:t>
      </w:r>
      <w:r w:rsidR="005C3404">
        <w:rPr>
          <w:rFonts w:asciiTheme="majorBidi" w:hAnsiTheme="majorBidi" w:cstheme="majorBidi"/>
          <w:sz w:val="24"/>
          <w:szCs w:val="22"/>
        </w:rPr>
        <w:t xml:space="preserve"> date</w:t>
      </w:r>
      <w:r w:rsidR="005C3404">
        <w:rPr>
          <w:rFonts w:asciiTheme="majorBidi" w:hAnsiTheme="majorBidi" w:cstheme="majorBidi"/>
          <w:sz w:val="24"/>
          <w:szCs w:val="22"/>
          <w:lang w:val="en-GB"/>
        </w:rPr>
        <w:t>, the other is earlier than any of the other dates from Mundigak. As with the dates from Said Qala Tepe, the Period IIb dates from</w:t>
      </w:r>
      <w:r w:rsidRPr="00067D8A">
        <w:rPr>
          <w:rFonts w:asciiTheme="majorBidi" w:hAnsiTheme="majorBidi" w:cstheme="majorBidi"/>
          <w:sz w:val="24"/>
          <w:szCs w:val="22"/>
          <w:lang w:val="en-GB"/>
        </w:rPr>
        <w:t xml:space="preserve"> Deh Morasi Ghundai </w:t>
      </w:r>
      <w:r w:rsidR="005C3404">
        <w:rPr>
          <w:rFonts w:asciiTheme="majorBidi" w:hAnsiTheme="majorBidi" w:cstheme="majorBidi"/>
          <w:sz w:val="24"/>
          <w:szCs w:val="22"/>
          <w:lang w:val="en-GB"/>
        </w:rPr>
        <w:t>highlight the problems with the extant radiocarbon chronology for the late prehistoric periods in southern Afghanistan</w:t>
      </w:r>
      <w:r w:rsidRPr="00067D8A">
        <w:rPr>
          <w:rFonts w:asciiTheme="majorBidi" w:hAnsiTheme="majorBidi" w:cstheme="majorBidi"/>
          <w:sz w:val="24"/>
          <w:szCs w:val="22"/>
          <w:lang w:val="en-GB"/>
        </w:rPr>
        <w:t>.</w:t>
      </w:r>
      <w:r w:rsidR="005C3404">
        <w:rPr>
          <w:rFonts w:asciiTheme="majorBidi" w:hAnsiTheme="majorBidi" w:cstheme="majorBidi"/>
          <w:sz w:val="24"/>
          <w:szCs w:val="22"/>
          <w:lang w:val="en-GB"/>
        </w:rPr>
        <w:t xml:space="preserve"> With the exception of </w:t>
      </w:r>
      <w:r w:rsidR="005C3404" w:rsidRPr="00CA6070">
        <w:rPr>
          <w:rFonts w:asciiTheme="majorBidi" w:hAnsiTheme="majorBidi" w:cstheme="majorBidi"/>
          <w:sz w:val="24"/>
          <w:szCs w:val="22"/>
          <w:lang w:val="en-GB"/>
        </w:rPr>
        <w:t>P-2288</w:t>
      </w:r>
      <w:r w:rsidR="005C3404">
        <w:rPr>
          <w:rFonts w:asciiTheme="majorBidi" w:hAnsiTheme="majorBidi" w:cstheme="majorBidi"/>
          <w:sz w:val="24"/>
          <w:szCs w:val="22"/>
          <w:lang w:val="en-GB"/>
        </w:rPr>
        <w:t>, which appears to be somewhat later than the other dates, the Period IIc determinations are statistically similar, though three of the dates have an uncertainty in excess of 200 years, making them imprecise.</w:t>
      </w:r>
    </w:p>
    <w:p w14:paraId="7FAD1B57" w14:textId="77777777" w:rsidR="0030226C" w:rsidRPr="00792FFA" w:rsidRDefault="009C43AA" w:rsidP="0030226C">
      <w:pPr>
        <w:pStyle w:val="Heading3"/>
        <w:rPr>
          <w:rFonts w:asciiTheme="majorBidi" w:hAnsiTheme="majorBidi"/>
          <w:color w:val="auto"/>
          <w:lang w:val="en-GB"/>
        </w:rPr>
      </w:pPr>
      <w:r w:rsidRPr="009C43AA">
        <w:rPr>
          <w:rFonts w:asciiTheme="majorBidi" w:hAnsiTheme="majorBidi"/>
          <w:color w:val="auto"/>
          <w:lang w:val="en-GB"/>
        </w:rPr>
        <w:t>Ceramics</w:t>
      </w:r>
    </w:p>
    <w:p w14:paraId="2EFEDAC2" w14:textId="3529489F" w:rsidR="0030226C" w:rsidRPr="00067D8A" w:rsidRDefault="0030226C" w:rsidP="0030226C">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Period I contained only the crude handmade chaff tempered pottery referred to as Said Qala Coarse, and is found at both Mundigak and Said Qala throughout most occupations. Otherwise the pottery is comparable to that identified in Mundigak IV</w:t>
      </w:r>
      <w:r w:rsidRPr="00067D8A">
        <w:rPr>
          <w:rFonts w:asciiTheme="majorBidi" w:hAnsiTheme="majorBidi" w:cstheme="majorBidi"/>
          <w:sz w:val="24"/>
          <w:szCs w:val="22"/>
          <w:vertAlign w:val="subscript"/>
          <w:lang w:val="en-GB"/>
        </w:rPr>
        <w:t>1</w:t>
      </w:r>
      <w:r w:rsidR="00792FFA">
        <w:rPr>
          <w:rFonts w:asciiTheme="majorBidi" w:hAnsiTheme="majorBidi" w:cstheme="majorBidi"/>
          <w:sz w:val="24"/>
          <w:szCs w:val="22"/>
          <w:lang w:val="en-GB"/>
        </w:rPr>
        <w:t xml:space="preserve">. </w:t>
      </w:r>
      <w:r w:rsidRPr="00067D8A">
        <w:rPr>
          <w:rFonts w:asciiTheme="majorBidi" w:hAnsiTheme="majorBidi" w:cstheme="majorBidi"/>
          <w:sz w:val="24"/>
          <w:szCs w:val="22"/>
          <w:lang w:val="en-GB"/>
        </w:rPr>
        <w:t xml:space="preserve">With the exception of the Said Qala Coarse ware, it is all wheel-made and has a buff-red paste with sand- or self-temper. Decorated motifs are almost entirely confined to geometries which are very similar in their overall style to those of Mundigak </w:t>
      </w:r>
      <w:r w:rsidR="001E1DEF">
        <w:rPr>
          <w:rFonts w:asciiTheme="majorBidi" w:hAnsiTheme="majorBidi" w:cstheme="majorBidi"/>
          <w:sz w:val="24"/>
          <w:szCs w:val="22"/>
          <w:lang w:val="en-GB"/>
        </w:rPr>
        <w:t>Sub-Period</w:t>
      </w:r>
      <w:r w:rsidRPr="00067D8A">
        <w:rPr>
          <w:rFonts w:asciiTheme="majorBidi" w:hAnsiTheme="majorBidi" w:cstheme="majorBidi"/>
          <w:sz w:val="24"/>
          <w:szCs w:val="22"/>
          <w:lang w:val="en-GB"/>
        </w:rPr>
        <w:t>s III</w:t>
      </w:r>
      <w:r w:rsidRPr="00067D8A">
        <w:rPr>
          <w:rFonts w:asciiTheme="majorBidi" w:hAnsiTheme="majorBidi" w:cstheme="majorBidi"/>
          <w:sz w:val="24"/>
          <w:szCs w:val="22"/>
          <w:vertAlign w:val="subscript"/>
          <w:lang w:val="en-GB"/>
        </w:rPr>
        <w:t>5</w:t>
      </w:r>
      <w:r w:rsidR="001F5282">
        <w:rPr>
          <w:rFonts w:asciiTheme="majorBidi" w:hAnsiTheme="majorBidi" w:cstheme="majorBidi"/>
          <w:sz w:val="24"/>
          <w:szCs w:val="22"/>
          <w:lang w:val="en-GB"/>
        </w:rPr>
        <w:t>-</w:t>
      </w:r>
      <w:r w:rsidRPr="00067D8A">
        <w:rPr>
          <w:rFonts w:asciiTheme="majorBidi" w:hAnsiTheme="majorBidi" w:cstheme="majorBidi"/>
          <w:sz w:val="24"/>
          <w:szCs w:val="22"/>
          <w:vertAlign w:val="subscript"/>
          <w:lang w:val="en-GB"/>
        </w:rPr>
        <w:t>6</w:t>
      </w:r>
      <w:r w:rsidRPr="00067D8A">
        <w:rPr>
          <w:rFonts w:asciiTheme="majorBidi" w:hAnsiTheme="majorBidi" w:cstheme="majorBidi"/>
          <w:sz w:val="24"/>
          <w:szCs w:val="22"/>
          <w:lang w:val="en-GB"/>
        </w:rPr>
        <w:t>–IV</w:t>
      </w:r>
      <w:r w:rsidRPr="00067D8A">
        <w:rPr>
          <w:rFonts w:asciiTheme="majorBidi" w:hAnsiTheme="majorBidi" w:cstheme="majorBidi"/>
          <w:sz w:val="24"/>
          <w:szCs w:val="22"/>
          <w:vertAlign w:val="subscript"/>
          <w:lang w:val="en-GB"/>
        </w:rPr>
        <w:t>1</w:t>
      </w:r>
      <w:r w:rsidRPr="00067D8A">
        <w:rPr>
          <w:rFonts w:asciiTheme="majorBidi" w:hAnsiTheme="majorBidi" w:cstheme="majorBidi"/>
          <w:sz w:val="24"/>
          <w:szCs w:val="22"/>
          <w:lang w:val="en-GB"/>
        </w:rPr>
        <w:t xml:space="preserve">. The motifs are painted in black and executed either directly on the red surface or on top of a thin buff-white wash. However, a more definite association with Mundigak </w:t>
      </w:r>
      <w:r w:rsidR="001E1DEF">
        <w:rPr>
          <w:rFonts w:asciiTheme="majorBidi" w:hAnsiTheme="majorBidi" w:cstheme="majorBidi"/>
          <w:sz w:val="24"/>
          <w:szCs w:val="22"/>
          <w:lang w:val="en-GB"/>
        </w:rPr>
        <w:t>Sub-Period</w:t>
      </w:r>
      <w:r w:rsidRPr="00067D8A">
        <w:rPr>
          <w:rFonts w:asciiTheme="majorBidi" w:hAnsiTheme="majorBidi" w:cstheme="majorBidi"/>
          <w:sz w:val="24"/>
          <w:szCs w:val="22"/>
          <w:lang w:val="en-GB"/>
        </w:rPr>
        <w:t xml:space="preserve"> IV</w:t>
      </w:r>
      <w:r w:rsidRPr="00067D8A">
        <w:rPr>
          <w:rFonts w:asciiTheme="majorBidi" w:hAnsiTheme="majorBidi" w:cstheme="majorBidi"/>
          <w:sz w:val="24"/>
          <w:szCs w:val="22"/>
          <w:vertAlign w:val="subscript"/>
          <w:lang w:val="en-GB"/>
        </w:rPr>
        <w:t>1</w:t>
      </w:r>
      <w:r w:rsidRPr="00067D8A">
        <w:rPr>
          <w:rFonts w:asciiTheme="majorBidi" w:hAnsiTheme="majorBidi" w:cstheme="majorBidi"/>
          <w:sz w:val="24"/>
          <w:szCs w:val="22"/>
          <w:lang w:val="en-GB"/>
        </w:rPr>
        <w:t xml:space="preserve"> is based upon the predominance of bowl and beaker vessel forms. These vessel forms had their highest relative frequency during Mundigak </w:t>
      </w:r>
      <w:r w:rsidR="001E1DEF">
        <w:rPr>
          <w:rFonts w:asciiTheme="majorBidi" w:hAnsiTheme="majorBidi" w:cstheme="majorBidi"/>
          <w:sz w:val="24"/>
          <w:szCs w:val="22"/>
          <w:lang w:val="en-GB"/>
        </w:rPr>
        <w:t>Sub-Period</w:t>
      </w:r>
      <w:r w:rsidRPr="00067D8A">
        <w:rPr>
          <w:rFonts w:asciiTheme="majorBidi" w:hAnsiTheme="majorBidi" w:cstheme="majorBidi"/>
          <w:sz w:val="24"/>
          <w:szCs w:val="22"/>
          <w:lang w:val="en-GB"/>
        </w:rPr>
        <w:t xml:space="preserve"> IV</w:t>
      </w:r>
      <w:r w:rsidRPr="00067D8A">
        <w:rPr>
          <w:rFonts w:asciiTheme="majorBidi" w:hAnsiTheme="majorBidi" w:cstheme="majorBidi"/>
          <w:sz w:val="24"/>
          <w:szCs w:val="22"/>
          <w:vertAlign w:val="subscript"/>
          <w:lang w:val="en-GB"/>
        </w:rPr>
        <w:t xml:space="preserve">1 </w:t>
      </w:r>
      <w:r w:rsidRPr="00067D8A">
        <w:rPr>
          <w:rFonts w:asciiTheme="majorBidi" w:hAnsiTheme="majorBidi" w:cstheme="majorBidi"/>
          <w:sz w:val="24"/>
          <w:szCs w:val="22"/>
          <w:lang w:val="en-GB"/>
        </w:rPr>
        <w:t xml:space="preserve">Equally convincing of a Mundigak </w:t>
      </w:r>
      <w:r w:rsidR="001E1DEF">
        <w:rPr>
          <w:rFonts w:asciiTheme="majorBidi" w:hAnsiTheme="majorBidi" w:cstheme="majorBidi"/>
          <w:sz w:val="24"/>
          <w:szCs w:val="22"/>
          <w:lang w:val="en-GB"/>
        </w:rPr>
        <w:t>Sub-Period</w:t>
      </w:r>
      <w:r w:rsidRPr="00067D8A">
        <w:rPr>
          <w:rFonts w:asciiTheme="majorBidi" w:hAnsiTheme="majorBidi" w:cstheme="majorBidi"/>
          <w:sz w:val="24"/>
          <w:szCs w:val="22"/>
          <w:lang w:val="en-GB"/>
        </w:rPr>
        <w:t xml:space="preserve"> IV</w:t>
      </w:r>
      <w:r w:rsidRPr="00067D8A">
        <w:rPr>
          <w:rFonts w:asciiTheme="majorBidi" w:hAnsiTheme="majorBidi" w:cstheme="majorBidi"/>
          <w:sz w:val="24"/>
          <w:szCs w:val="22"/>
          <w:vertAlign w:val="subscript"/>
          <w:lang w:val="en-GB"/>
        </w:rPr>
        <w:t>1</w:t>
      </w:r>
      <w:r w:rsidRPr="00067D8A">
        <w:rPr>
          <w:rFonts w:asciiTheme="majorBidi" w:hAnsiTheme="majorBidi" w:cstheme="majorBidi"/>
          <w:sz w:val="24"/>
          <w:szCs w:val="22"/>
          <w:lang w:val="en-GB"/>
        </w:rPr>
        <w:t xml:space="preserve"> association is the low relative frequency of Quetta Ware, which is confined to the ‘linear style’ of decoration and </w:t>
      </w:r>
      <w:r w:rsidRPr="00067D8A">
        <w:rPr>
          <w:rFonts w:asciiTheme="majorBidi" w:hAnsiTheme="majorBidi" w:cstheme="majorBidi"/>
          <w:sz w:val="24"/>
          <w:szCs w:val="22"/>
          <w:lang w:val="en-GB"/>
        </w:rPr>
        <w:lastRenderedPageBreak/>
        <w:t xml:space="preserve">a few examples of the curvilinear or floral (bucranium) style. Comparable Quetta Ware was not found earlier than </w:t>
      </w:r>
      <w:r w:rsidR="001E1DEF">
        <w:rPr>
          <w:rFonts w:asciiTheme="majorBidi" w:hAnsiTheme="majorBidi" w:cstheme="majorBidi"/>
          <w:sz w:val="24"/>
          <w:szCs w:val="22"/>
          <w:lang w:val="en-GB"/>
        </w:rPr>
        <w:t>Sub-Period</w:t>
      </w:r>
      <w:r w:rsidRPr="00067D8A">
        <w:rPr>
          <w:rFonts w:asciiTheme="majorBidi" w:hAnsiTheme="majorBidi" w:cstheme="majorBidi"/>
          <w:sz w:val="24"/>
          <w:szCs w:val="22"/>
          <w:lang w:val="en-GB"/>
        </w:rPr>
        <w:t xml:space="preserve"> IV</w:t>
      </w:r>
      <w:r w:rsidRPr="00067D8A">
        <w:rPr>
          <w:rFonts w:asciiTheme="majorBidi" w:hAnsiTheme="majorBidi" w:cstheme="majorBidi"/>
          <w:sz w:val="24"/>
          <w:szCs w:val="22"/>
          <w:vertAlign w:val="subscript"/>
          <w:lang w:val="en-GB"/>
        </w:rPr>
        <w:t>1</w:t>
      </w:r>
      <w:r w:rsidRPr="00067D8A">
        <w:rPr>
          <w:rFonts w:asciiTheme="majorBidi" w:hAnsiTheme="majorBidi" w:cstheme="majorBidi"/>
          <w:sz w:val="24"/>
          <w:szCs w:val="22"/>
          <w:lang w:val="en-GB"/>
        </w:rPr>
        <w:t xml:space="preserve"> at Mundigak. In addition, a zoomorphic motif was found on Quetta Ware in Morasi IIb. Such motifs do not appear before Mundigak </w:t>
      </w:r>
      <w:r w:rsidR="001E1DEF">
        <w:rPr>
          <w:rFonts w:asciiTheme="majorBidi" w:hAnsiTheme="majorBidi" w:cstheme="majorBidi"/>
          <w:sz w:val="24"/>
          <w:szCs w:val="22"/>
          <w:lang w:val="en-GB"/>
        </w:rPr>
        <w:t>Sub-Period</w:t>
      </w:r>
      <w:r w:rsidRPr="00067D8A">
        <w:rPr>
          <w:rFonts w:asciiTheme="majorBidi" w:hAnsiTheme="majorBidi" w:cstheme="majorBidi"/>
          <w:sz w:val="24"/>
          <w:szCs w:val="22"/>
          <w:lang w:val="en-GB"/>
        </w:rPr>
        <w:t xml:space="preserve"> IV</w:t>
      </w:r>
      <w:r w:rsidRPr="00067D8A">
        <w:rPr>
          <w:rFonts w:asciiTheme="majorBidi" w:hAnsiTheme="majorBidi" w:cstheme="majorBidi"/>
          <w:sz w:val="24"/>
          <w:szCs w:val="22"/>
          <w:vertAlign w:val="subscript"/>
          <w:lang w:val="en-GB"/>
        </w:rPr>
        <w:t>1</w:t>
      </w:r>
      <w:r w:rsidRPr="00067D8A">
        <w:rPr>
          <w:rFonts w:asciiTheme="majorBidi" w:hAnsiTheme="majorBidi" w:cstheme="majorBidi"/>
          <w:sz w:val="24"/>
          <w:szCs w:val="22"/>
          <w:lang w:val="en-GB"/>
        </w:rPr>
        <w:t xml:space="preserve"> and were completely absent at Said Qala Tepe.</w:t>
      </w:r>
    </w:p>
    <w:p w14:paraId="021B0B96" w14:textId="77777777" w:rsidR="0030226C" w:rsidRPr="00792FFA" w:rsidRDefault="009C43AA" w:rsidP="0030226C">
      <w:pPr>
        <w:pStyle w:val="Heading3"/>
        <w:rPr>
          <w:rFonts w:asciiTheme="majorBidi" w:hAnsiTheme="majorBidi"/>
          <w:color w:val="auto"/>
          <w:lang w:val="en-GB"/>
        </w:rPr>
      </w:pPr>
      <w:r w:rsidRPr="009C43AA">
        <w:rPr>
          <w:rFonts w:asciiTheme="majorBidi" w:hAnsiTheme="majorBidi"/>
          <w:color w:val="auto"/>
          <w:lang w:val="en-GB"/>
        </w:rPr>
        <w:t>Other Artefacts</w:t>
      </w:r>
    </w:p>
    <w:p w14:paraId="62983B6D" w14:textId="77777777" w:rsidR="0030226C" w:rsidRPr="00067D8A" w:rsidRDefault="0030226C" w:rsidP="0030226C">
      <w:pPr>
        <w:pStyle w:val="BodyText"/>
        <w:spacing w:line="480" w:lineRule="auto"/>
        <w:rPr>
          <w:rFonts w:asciiTheme="majorBidi" w:hAnsiTheme="majorBidi" w:cstheme="majorBidi"/>
          <w:sz w:val="24"/>
          <w:szCs w:val="22"/>
          <w:lang w:val="en-GB"/>
        </w:rPr>
      </w:pPr>
      <w:r w:rsidRPr="00067D8A">
        <w:rPr>
          <w:rFonts w:asciiTheme="majorBidi" w:hAnsiTheme="majorBidi" w:cstheme="majorBidi"/>
          <w:i/>
          <w:sz w:val="24"/>
          <w:szCs w:val="22"/>
          <w:lang w:val="en-GB"/>
        </w:rPr>
        <w:t>Lithic</w:t>
      </w:r>
      <w:r w:rsidRPr="00067D8A">
        <w:rPr>
          <w:rFonts w:asciiTheme="majorBidi" w:hAnsiTheme="majorBidi" w:cstheme="majorBidi"/>
          <w:sz w:val="24"/>
          <w:szCs w:val="22"/>
          <w:lang w:val="en-GB"/>
        </w:rPr>
        <w:t xml:space="preserve"> </w:t>
      </w:r>
      <w:r w:rsidRPr="00067D8A">
        <w:rPr>
          <w:rFonts w:asciiTheme="majorBidi" w:hAnsiTheme="majorBidi" w:cstheme="majorBidi"/>
          <w:i/>
          <w:sz w:val="24"/>
          <w:szCs w:val="22"/>
          <w:lang w:val="en-GB"/>
        </w:rPr>
        <w:t>artefacts</w:t>
      </w:r>
      <w:r w:rsidRPr="00067D8A">
        <w:rPr>
          <w:rFonts w:asciiTheme="majorBidi" w:hAnsiTheme="majorBidi" w:cstheme="majorBidi"/>
          <w:sz w:val="24"/>
          <w:szCs w:val="22"/>
          <w:lang w:val="en-GB"/>
        </w:rPr>
        <w:t xml:space="preserve"> were few in number and found only in Periods I–II. Milling stones and pestles were found as were a few examples of stone hoes. Also recorded were examples of stone celts and retouched flakes. In addition, there was the single utilised magnetite nodule found in the ‘shrine complex’ which is comparable to the iron ore hammer stones found at Said Qala.</w:t>
      </w:r>
    </w:p>
    <w:p w14:paraId="052CBED0" w14:textId="77777777" w:rsidR="0030226C" w:rsidRPr="00067D8A" w:rsidRDefault="0030226C" w:rsidP="0030226C">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 xml:space="preserve">Only a very few </w:t>
      </w:r>
      <w:r w:rsidRPr="00067D8A">
        <w:rPr>
          <w:rFonts w:asciiTheme="majorBidi" w:hAnsiTheme="majorBidi" w:cstheme="majorBidi"/>
          <w:i/>
          <w:sz w:val="24"/>
          <w:szCs w:val="22"/>
          <w:lang w:val="en-GB"/>
        </w:rPr>
        <w:t>bone artefacts</w:t>
      </w:r>
      <w:r w:rsidRPr="00067D8A">
        <w:rPr>
          <w:rFonts w:asciiTheme="majorBidi" w:hAnsiTheme="majorBidi" w:cstheme="majorBidi"/>
          <w:sz w:val="24"/>
          <w:szCs w:val="22"/>
          <w:lang w:val="en-GB"/>
        </w:rPr>
        <w:t xml:space="preserve"> were found in Periods IIb–c. These were the simple punches or awls encountered in the other sequences as well as a similar artefact Dupree refers to as a scraper.</w:t>
      </w:r>
    </w:p>
    <w:p w14:paraId="20A0DF7F" w14:textId="77777777" w:rsidR="0030226C" w:rsidRPr="00067D8A" w:rsidRDefault="0030226C" w:rsidP="0030226C">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 xml:space="preserve">All the </w:t>
      </w:r>
      <w:r w:rsidRPr="00067D8A">
        <w:rPr>
          <w:rFonts w:asciiTheme="majorBidi" w:hAnsiTheme="majorBidi" w:cstheme="majorBidi"/>
          <w:i/>
          <w:sz w:val="24"/>
          <w:szCs w:val="22"/>
          <w:lang w:val="en-GB"/>
        </w:rPr>
        <w:t>metal artefacts</w:t>
      </w:r>
      <w:r w:rsidRPr="00067D8A">
        <w:rPr>
          <w:rFonts w:asciiTheme="majorBidi" w:hAnsiTheme="majorBidi" w:cstheme="majorBidi"/>
          <w:sz w:val="24"/>
          <w:szCs w:val="22"/>
          <w:lang w:val="en-GB"/>
        </w:rPr>
        <w:t xml:space="preserve"> were copper and confined to Periods IIa–c and IV.</w:t>
      </w:r>
      <w:r w:rsidRPr="00067D8A">
        <w:rPr>
          <w:rStyle w:val="EndnoteReference"/>
          <w:rFonts w:asciiTheme="majorBidi" w:hAnsiTheme="majorBidi" w:cstheme="majorBidi"/>
          <w:sz w:val="24"/>
          <w:szCs w:val="22"/>
          <w:lang w:val="en-GB"/>
        </w:rPr>
        <w:endnoteReference w:id="89"/>
      </w:r>
      <w:r w:rsidRPr="00067D8A">
        <w:rPr>
          <w:rFonts w:asciiTheme="majorBidi" w:hAnsiTheme="majorBidi" w:cstheme="majorBidi"/>
          <w:sz w:val="24"/>
          <w:szCs w:val="22"/>
          <w:lang w:val="en-GB"/>
        </w:rPr>
        <w:t xml:space="preserve"> Associated with the ‘shrine complex’ in Ila were two fragments of a hollow tube and a handle fragment. Several fragments of simple pins were located in Phases IIb–c, and a single fragment of a compartmented seal was found in IV.</w:t>
      </w:r>
    </w:p>
    <w:p w14:paraId="56AACBE0" w14:textId="77777777" w:rsidR="0030226C" w:rsidRPr="00792FFA" w:rsidRDefault="009C43AA" w:rsidP="0030226C">
      <w:pPr>
        <w:pStyle w:val="Heading3"/>
        <w:rPr>
          <w:rFonts w:asciiTheme="majorBidi" w:hAnsiTheme="majorBidi"/>
          <w:color w:val="auto"/>
          <w:lang w:val="en-GB"/>
        </w:rPr>
      </w:pPr>
      <w:r w:rsidRPr="009C43AA">
        <w:rPr>
          <w:rFonts w:asciiTheme="majorBidi" w:hAnsiTheme="majorBidi"/>
          <w:color w:val="auto"/>
          <w:lang w:val="en-GB"/>
        </w:rPr>
        <w:t>Miscellaneous Artefacts</w:t>
      </w:r>
    </w:p>
    <w:p w14:paraId="777055CA" w14:textId="77777777"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i/>
          <w:iCs/>
          <w:sz w:val="24"/>
          <w:szCs w:val="22"/>
        </w:rPr>
        <w:t>Spindle Whorls.</w:t>
      </w:r>
      <w:r w:rsidRPr="00067D8A">
        <w:rPr>
          <w:rFonts w:asciiTheme="majorBidi" w:hAnsiTheme="majorBidi" w:cstheme="majorBidi"/>
          <w:sz w:val="24"/>
          <w:szCs w:val="22"/>
        </w:rPr>
        <w:t xml:space="preserve"> Only disc shaped spindle whorls were found manufactured from ceramics and steatite.</w:t>
      </w:r>
      <w:r w:rsidRPr="00067D8A">
        <w:rPr>
          <w:rFonts w:asciiTheme="majorBidi" w:hAnsiTheme="majorBidi" w:cstheme="majorBidi"/>
          <w:i/>
          <w:iCs/>
          <w:sz w:val="24"/>
          <w:szCs w:val="22"/>
        </w:rPr>
        <w:t xml:space="preserve"> Stone Vessels.</w:t>
      </w:r>
      <w:r w:rsidRPr="00067D8A">
        <w:rPr>
          <w:rFonts w:asciiTheme="majorBidi" w:hAnsiTheme="majorBidi" w:cstheme="majorBidi"/>
          <w:sz w:val="24"/>
          <w:szCs w:val="22"/>
        </w:rPr>
        <w:t xml:space="preserve"> Two fragments of simple angular-walled alabaster bowls were found in Period II. </w:t>
      </w:r>
      <w:r w:rsidRPr="00067D8A">
        <w:rPr>
          <w:rFonts w:asciiTheme="majorBidi" w:hAnsiTheme="majorBidi" w:cstheme="majorBidi"/>
          <w:i/>
          <w:iCs/>
          <w:sz w:val="24"/>
          <w:szCs w:val="22"/>
        </w:rPr>
        <w:t>Beads-Pendants.</w:t>
      </w:r>
      <w:r w:rsidRPr="00067D8A">
        <w:rPr>
          <w:rFonts w:asciiTheme="majorBidi" w:hAnsiTheme="majorBidi" w:cstheme="majorBidi"/>
          <w:sz w:val="24"/>
          <w:szCs w:val="22"/>
        </w:rPr>
        <w:t xml:space="preserve"> An elongated bone pendant and a disc bone bead were found in Period II. </w:t>
      </w:r>
      <w:r w:rsidRPr="00067D8A">
        <w:rPr>
          <w:rFonts w:asciiTheme="majorBidi" w:hAnsiTheme="majorBidi" w:cstheme="majorBidi"/>
          <w:i/>
          <w:iCs/>
          <w:sz w:val="24"/>
          <w:szCs w:val="22"/>
        </w:rPr>
        <w:t>Seals.</w:t>
      </w:r>
      <w:r w:rsidRPr="00067D8A">
        <w:rPr>
          <w:rFonts w:asciiTheme="majorBidi" w:hAnsiTheme="majorBidi" w:cstheme="majorBidi"/>
          <w:sz w:val="24"/>
          <w:szCs w:val="22"/>
        </w:rPr>
        <w:t xml:space="preserve"> Three fragments of compartmented seals with geometric motifs were found. Two from Period II were made from steatite, and one from Period IV was made from copper.</w:t>
      </w:r>
    </w:p>
    <w:p w14:paraId="2B9810B5" w14:textId="77777777"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i/>
          <w:iCs/>
          <w:sz w:val="24"/>
          <w:szCs w:val="22"/>
        </w:rPr>
        <w:t>Ceramic Figurines.</w:t>
      </w:r>
      <w:r w:rsidRPr="00067D8A">
        <w:rPr>
          <w:rFonts w:asciiTheme="majorBidi" w:hAnsiTheme="majorBidi" w:cstheme="majorBidi"/>
          <w:sz w:val="24"/>
          <w:szCs w:val="22"/>
        </w:rPr>
        <w:t xml:space="preserve"> Zoomorphic figurines were confined to a leg fragment in Phase IIb and a bird figurine in Phase IIe. The female figurine found in association with the ‘shrine complex’ </w:t>
      </w:r>
      <w:r w:rsidRPr="00067D8A">
        <w:rPr>
          <w:rFonts w:asciiTheme="majorBidi" w:hAnsiTheme="majorBidi" w:cstheme="majorBidi"/>
          <w:sz w:val="24"/>
          <w:szCs w:val="22"/>
        </w:rPr>
        <w:lastRenderedPageBreak/>
        <w:t>of Phase IIa was a classic example of the ‘Zhob’ style figurine found in a Period IV context at Mundigak. Another possible ‘Zhob’ figurine was found in Period IV and a fragment of a seated figurine was located in Phase II</w:t>
      </w:r>
      <w:r w:rsidRPr="00067D8A">
        <w:rPr>
          <w:rFonts w:asciiTheme="majorBidi" w:hAnsiTheme="majorBidi" w:cstheme="majorBidi"/>
          <w:i/>
          <w:sz w:val="24"/>
          <w:szCs w:val="22"/>
        </w:rPr>
        <w:t>c</w:t>
      </w:r>
      <w:r w:rsidRPr="00067D8A">
        <w:rPr>
          <w:rFonts w:asciiTheme="majorBidi" w:hAnsiTheme="majorBidi" w:cstheme="majorBidi"/>
          <w:sz w:val="24"/>
          <w:szCs w:val="22"/>
        </w:rPr>
        <w:t>.</w:t>
      </w:r>
    </w:p>
    <w:p w14:paraId="03C5C002" w14:textId="77777777" w:rsidR="0030226C" w:rsidRPr="00792FFA" w:rsidRDefault="009C43AA" w:rsidP="0030226C">
      <w:pPr>
        <w:pStyle w:val="Heading3"/>
        <w:rPr>
          <w:rFonts w:asciiTheme="majorBidi" w:hAnsiTheme="majorBidi"/>
          <w:color w:val="auto"/>
          <w:lang w:val="en-GB"/>
        </w:rPr>
      </w:pPr>
      <w:r w:rsidRPr="009C43AA">
        <w:rPr>
          <w:rFonts w:asciiTheme="majorBidi" w:hAnsiTheme="majorBidi"/>
          <w:color w:val="auto"/>
          <w:lang w:val="en-GB"/>
        </w:rPr>
        <w:t>Faunal and Floral Remains</w:t>
      </w:r>
    </w:p>
    <w:p w14:paraId="5463AE72" w14:textId="0A50A646" w:rsidR="0030226C" w:rsidRPr="00067D8A" w:rsidRDefault="0030226C" w:rsidP="0030226C">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 xml:space="preserve">The </w:t>
      </w:r>
      <w:r w:rsidRPr="00067D8A">
        <w:rPr>
          <w:rFonts w:asciiTheme="majorBidi" w:hAnsiTheme="majorBidi" w:cstheme="majorBidi"/>
          <w:i/>
          <w:sz w:val="24"/>
          <w:szCs w:val="22"/>
          <w:lang w:val="en-GB"/>
        </w:rPr>
        <w:t>faunal remains</w:t>
      </w:r>
      <w:r w:rsidRPr="00067D8A">
        <w:rPr>
          <w:rFonts w:asciiTheme="majorBidi" w:hAnsiTheme="majorBidi" w:cstheme="majorBidi"/>
          <w:sz w:val="24"/>
          <w:szCs w:val="22"/>
          <w:lang w:val="en-GB"/>
        </w:rPr>
        <w:t xml:space="preserve"> from Deh Morasi have never received adequate analysis, although Dupree reported sheep/goat and large bovid bones from Phase IIa and there is no reason not to assume that they were not domesticated. More important are the </w:t>
      </w:r>
      <w:r w:rsidRPr="000526DA">
        <w:rPr>
          <w:rFonts w:asciiTheme="majorBidi" w:hAnsiTheme="majorBidi" w:cstheme="majorBidi"/>
          <w:sz w:val="24"/>
          <w:szCs w:val="22"/>
          <w:lang w:val="en-GB"/>
        </w:rPr>
        <w:t>plant remains</w:t>
      </w:r>
      <w:r w:rsidRPr="00067D8A">
        <w:rPr>
          <w:rFonts w:asciiTheme="majorBidi" w:hAnsiTheme="majorBidi" w:cstheme="majorBidi"/>
          <w:sz w:val="24"/>
          <w:szCs w:val="22"/>
          <w:lang w:val="en-GB"/>
        </w:rPr>
        <w:t>.</w:t>
      </w:r>
      <w:r w:rsidRPr="00067D8A">
        <w:rPr>
          <w:rStyle w:val="EndnoteReference"/>
          <w:rFonts w:asciiTheme="majorBidi" w:hAnsiTheme="majorBidi" w:cstheme="majorBidi"/>
          <w:sz w:val="24"/>
          <w:szCs w:val="22"/>
          <w:lang w:val="en-GB"/>
        </w:rPr>
        <w:endnoteReference w:id="90"/>
      </w:r>
      <w:r w:rsidRPr="00067D8A">
        <w:rPr>
          <w:rFonts w:asciiTheme="majorBidi" w:hAnsiTheme="majorBidi" w:cstheme="majorBidi"/>
          <w:sz w:val="24"/>
          <w:szCs w:val="22"/>
          <w:lang w:val="en-GB"/>
        </w:rPr>
        <w:t xml:space="preserve"> A brick from the ‘shrine complex’ of Phase IIa was found to contain seed remains of a fodder grass (</w:t>
      </w:r>
      <w:r w:rsidRPr="00067D8A">
        <w:rPr>
          <w:rFonts w:asciiTheme="majorBidi" w:hAnsiTheme="majorBidi" w:cstheme="majorBidi"/>
          <w:i/>
          <w:iCs/>
          <w:sz w:val="24"/>
          <w:szCs w:val="22"/>
          <w:lang w:val="en-GB"/>
        </w:rPr>
        <w:t>Aegilops tauschii</w:t>
      </w:r>
      <w:r w:rsidRPr="00067D8A">
        <w:rPr>
          <w:rFonts w:asciiTheme="majorBidi" w:hAnsiTheme="majorBidi" w:cstheme="majorBidi"/>
          <w:sz w:val="24"/>
          <w:szCs w:val="22"/>
          <w:lang w:val="en-GB"/>
        </w:rPr>
        <w:t xml:space="preserve"> syn.</w:t>
      </w:r>
      <w:r w:rsidRPr="00067D8A">
        <w:rPr>
          <w:rFonts w:asciiTheme="majorBidi" w:hAnsiTheme="majorBidi" w:cstheme="majorBidi"/>
          <w:i/>
          <w:iCs/>
          <w:sz w:val="24"/>
          <w:szCs w:val="22"/>
          <w:lang w:val="en-GB"/>
        </w:rPr>
        <w:t xml:space="preserve"> A. squarrosa)</w:t>
      </w:r>
      <w:r w:rsidRPr="00067D8A">
        <w:rPr>
          <w:rFonts w:asciiTheme="majorBidi" w:hAnsiTheme="majorBidi" w:cstheme="majorBidi"/>
          <w:sz w:val="24"/>
          <w:szCs w:val="22"/>
          <w:lang w:val="en-GB"/>
        </w:rPr>
        <w:t xml:space="preserve"> related to wheat, and domesticated six-row barley (</w:t>
      </w:r>
      <w:r w:rsidRPr="00067D8A">
        <w:rPr>
          <w:rFonts w:asciiTheme="majorBidi" w:hAnsiTheme="majorBidi" w:cstheme="majorBidi"/>
          <w:i/>
          <w:iCs/>
          <w:sz w:val="24"/>
          <w:szCs w:val="22"/>
          <w:lang w:val="en-GB"/>
        </w:rPr>
        <w:t>Hordeum vulgare</w:t>
      </w:r>
      <w:r w:rsidRPr="00067D8A">
        <w:rPr>
          <w:rFonts w:asciiTheme="majorBidi" w:hAnsiTheme="majorBidi" w:cstheme="majorBidi"/>
          <w:sz w:val="24"/>
          <w:szCs w:val="22"/>
          <w:lang w:val="en-GB"/>
        </w:rPr>
        <w:t xml:space="preserve"> var.</w:t>
      </w:r>
      <w:r w:rsidRPr="00067D8A">
        <w:rPr>
          <w:rFonts w:asciiTheme="majorBidi" w:hAnsiTheme="majorBidi" w:cstheme="majorBidi"/>
          <w:i/>
          <w:iCs/>
          <w:sz w:val="24"/>
          <w:szCs w:val="22"/>
          <w:lang w:val="en-GB"/>
        </w:rPr>
        <w:t xml:space="preserve"> afghana).</w:t>
      </w:r>
      <w:r w:rsidRPr="00067D8A">
        <w:rPr>
          <w:rFonts w:asciiTheme="majorBidi" w:hAnsiTheme="majorBidi" w:cstheme="majorBidi"/>
          <w:sz w:val="24"/>
          <w:szCs w:val="22"/>
          <w:lang w:val="en-GB"/>
        </w:rPr>
        <w:t xml:space="preserve"> It would thus seem that the occupants of Deh Morasi Ghundai were exploiting both domesticated plants and animals from throughout the occupation</w:t>
      </w:r>
      <w:r w:rsidR="008A4417">
        <w:rPr>
          <w:rFonts w:asciiTheme="majorBidi" w:hAnsiTheme="majorBidi" w:cstheme="majorBidi"/>
          <w:sz w:val="24"/>
          <w:szCs w:val="22"/>
          <w:lang w:val="en-GB"/>
        </w:rPr>
        <w:t>, which as with Mundigak (and probably Said Qala Tepe), is not surprising given the developments in the surrounding regions in the preceeding periods (see above and Chapter 3)</w:t>
      </w:r>
      <w:r w:rsidRPr="00067D8A">
        <w:rPr>
          <w:rFonts w:asciiTheme="majorBidi" w:hAnsiTheme="majorBidi" w:cstheme="majorBidi"/>
          <w:sz w:val="24"/>
          <w:szCs w:val="22"/>
          <w:lang w:val="en-GB"/>
        </w:rPr>
        <w:t>.</w:t>
      </w:r>
    </w:p>
    <w:p w14:paraId="0F281B37" w14:textId="77777777" w:rsidR="0030226C" w:rsidRPr="00792FFA" w:rsidRDefault="009C43AA" w:rsidP="0030226C">
      <w:pPr>
        <w:pStyle w:val="Heading2"/>
        <w:rPr>
          <w:rFonts w:asciiTheme="majorBidi" w:hAnsiTheme="majorBidi"/>
          <w:color w:val="auto"/>
          <w:sz w:val="36"/>
          <w:szCs w:val="36"/>
          <w:lang w:val="en-GB"/>
        </w:rPr>
      </w:pPr>
      <w:r w:rsidRPr="009C43AA">
        <w:rPr>
          <w:rFonts w:asciiTheme="majorBidi" w:hAnsiTheme="majorBidi"/>
          <w:color w:val="auto"/>
          <w:sz w:val="36"/>
          <w:szCs w:val="36"/>
          <w:lang w:val="en-GB"/>
        </w:rPr>
        <w:t>Kandahar</w:t>
      </w:r>
    </w:p>
    <w:p w14:paraId="10A8D19E" w14:textId="21813528" w:rsidR="0030226C" w:rsidRPr="008A4417" w:rsidRDefault="0030226C" w:rsidP="00F937E4">
      <w:pPr>
        <w:pStyle w:val="BodyText"/>
        <w:spacing w:line="480" w:lineRule="auto"/>
        <w:rPr>
          <w:rFonts w:asciiTheme="majorBidi" w:hAnsiTheme="majorBidi" w:cstheme="majorBidi"/>
          <w:color w:val="auto"/>
          <w:sz w:val="24"/>
          <w:szCs w:val="22"/>
          <w:lang w:val="en-GB"/>
        </w:rPr>
      </w:pPr>
      <w:r w:rsidRPr="008A4417">
        <w:rPr>
          <w:rFonts w:asciiTheme="majorBidi" w:hAnsiTheme="majorBidi" w:cstheme="majorBidi"/>
          <w:color w:val="auto"/>
          <w:sz w:val="24"/>
          <w:szCs w:val="22"/>
          <w:lang w:val="en-GB"/>
        </w:rPr>
        <w:t>The site of Shahr-i Kohna or Old Kandahar was the focus of several seasons of excavations in the 1970s,</w:t>
      </w:r>
      <w:r w:rsidRPr="008A4417">
        <w:rPr>
          <w:rStyle w:val="EndnoteReference"/>
          <w:rFonts w:asciiTheme="majorBidi" w:hAnsiTheme="majorBidi" w:cstheme="majorBidi"/>
          <w:color w:val="auto"/>
          <w:sz w:val="24"/>
          <w:szCs w:val="22"/>
          <w:lang w:val="en-GB"/>
        </w:rPr>
        <w:endnoteReference w:id="91"/>
      </w:r>
      <w:r w:rsidRPr="008A4417">
        <w:rPr>
          <w:rFonts w:asciiTheme="majorBidi" w:hAnsiTheme="majorBidi" w:cstheme="majorBidi"/>
          <w:color w:val="auto"/>
          <w:sz w:val="24"/>
          <w:szCs w:val="22"/>
          <w:lang w:val="en-GB"/>
        </w:rPr>
        <w:t xml:space="preserve"> and the excavations of the first millennium BC and later occupation levels will be discussed in the next chapter. For the moment it is worth remarking that what appears to be a decorated Mundigak Period IV bowl was found as a residual object in a later (Achaemenid) context (</w:t>
      </w:r>
      <w:r w:rsidRPr="00067D8A">
        <w:rPr>
          <w:rFonts w:asciiTheme="majorBidi" w:hAnsiTheme="majorBidi" w:cstheme="majorBidi"/>
          <w:color w:val="FF0000"/>
          <w:sz w:val="24"/>
          <w:szCs w:val="22"/>
          <w:lang w:val="en-GB"/>
        </w:rPr>
        <w:t xml:space="preserve">fig. </w:t>
      </w:r>
      <w:r w:rsidR="00792FFA">
        <w:rPr>
          <w:rFonts w:asciiTheme="majorBidi" w:hAnsiTheme="majorBidi" w:cstheme="majorBidi"/>
          <w:color w:val="FF0000"/>
          <w:sz w:val="24"/>
          <w:szCs w:val="22"/>
          <w:lang w:val="en-GB"/>
        </w:rPr>
        <w:t>4.</w:t>
      </w:r>
      <w:r w:rsidRPr="00067D8A">
        <w:rPr>
          <w:rFonts w:asciiTheme="majorBidi" w:hAnsiTheme="majorBidi" w:cstheme="majorBidi"/>
          <w:color w:val="FF0000"/>
          <w:sz w:val="24"/>
          <w:szCs w:val="22"/>
          <w:lang w:val="en-GB"/>
        </w:rPr>
        <w:t>00</w:t>
      </w:r>
      <w:r w:rsidRPr="008A4417">
        <w:rPr>
          <w:rFonts w:asciiTheme="majorBidi" w:hAnsiTheme="majorBidi" w:cstheme="majorBidi"/>
          <w:color w:val="auto"/>
          <w:sz w:val="24"/>
          <w:szCs w:val="22"/>
          <w:lang w:val="en-GB"/>
        </w:rPr>
        <w:t>).</w:t>
      </w:r>
      <w:r w:rsidRPr="008A4417">
        <w:rPr>
          <w:rStyle w:val="EndnoteReference"/>
          <w:rFonts w:asciiTheme="majorBidi" w:hAnsiTheme="majorBidi" w:cstheme="majorBidi"/>
          <w:color w:val="auto"/>
          <w:sz w:val="24"/>
          <w:szCs w:val="22"/>
          <w:lang w:val="en-GB"/>
        </w:rPr>
        <w:endnoteReference w:id="92"/>
      </w:r>
      <w:r w:rsidRPr="008A4417">
        <w:rPr>
          <w:rFonts w:asciiTheme="majorBidi" w:hAnsiTheme="majorBidi" w:cstheme="majorBidi"/>
          <w:color w:val="auto"/>
          <w:sz w:val="24"/>
          <w:szCs w:val="22"/>
          <w:lang w:val="en-GB"/>
        </w:rPr>
        <w:t xml:space="preserve"> This find </w:t>
      </w:r>
      <w:r w:rsidR="008A4417">
        <w:rPr>
          <w:rFonts w:asciiTheme="majorBidi" w:hAnsiTheme="majorBidi" w:cstheme="majorBidi"/>
          <w:color w:val="auto"/>
          <w:sz w:val="24"/>
          <w:szCs w:val="22"/>
          <w:lang w:val="en-GB"/>
        </w:rPr>
        <w:t xml:space="preserve">likely </w:t>
      </w:r>
      <w:r w:rsidRPr="008A4417">
        <w:rPr>
          <w:rFonts w:asciiTheme="majorBidi" w:hAnsiTheme="majorBidi" w:cstheme="majorBidi"/>
          <w:color w:val="auto"/>
          <w:sz w:val="24"/>
          <w:szCs w:val="22"/>
          <w:lang w:val="en-GB"/>
        </w:rPr>
        <w:t>confirms the existence of a Bronze Age settlement at Kandahar, which was first suspected from the study made by Gardin and Lyonnet of the pottery collected by Casal from the site in the 1950s.</w:t>
      </w:r>
      <w:r w:rsidRPr="008A4417">
        <w:rPr>
          <w:rStyle w:val="EndnoteReference"/>
          <w:rFonts w:asciiTheme="majorBidi" w:hAnsiTheme="majorBidi" w:cstheme="majorBidi"/>
          <w:color w:val="auto"/>
          <w:sz w:val="24"/>
          <w:szCs w:val="22"/>
          <w:lang w:val="en-GB"/>
        </w:rPr>
        <w:endnoteReference w:id="93"/>
      </w:r>
      <w:r w:rsidRPr="008A4417">
        <w:rPr>
          <w:rFonts w:asciiTheme="majorBidi" w:hAnsiTheme="majorBidi" w:cstheme="majorBidi"/>
          <w:color w:val="auto"/>
          <w:sz w:val="24"/>
          <w:szCs w:val="22"/>
          <w:lang w:val="en-GB"/>
        </w:rPr>
        <w:t xml:space="preserve"> Given the small quantities of material</w:t>
      </w:r>
      <w:r w:rsidR="008A4417">
        <w:rPr>
          <w:rFonts w:asciiTheme="majorBidi" w:hAnsiTheme="majorBidi" w:cstheme="majorBidi"/>
          <w:color w:val="auto"/>
          <w:sz w:val="24"/>
          <w:szCs w:val="22"/>
          <w:lang w:val="en-GB"/>
        </w:rPr>
        <w:t xml:space="preserve"> recovered</w:t>
      </w:r>
      <w:r w:rsidRPr="008A4417">
        <w:rPr>
          <w:rFonts w:asciiTheme="majorBidi" w:hAnsiTheme="majorBidi" w:cstheme="majorBidi"/>
          <w:color w:val="auto"/>
          <w:sz w:val="24"/>
          <w:szCs w:val="22"/>
          <w:lang w:val="en-GB"/>
        </w:rPr>
        <w:t>, it is unlikely that this was a major settlement, and it may not have been as large as other Bronze Age settlements in the region, such as Deh Morasi Ghundai</w:t>
      </w:r>
      <w:r w:rsidR="008A4417">
        <w:rPr>
          <w:rFonts w:asciiTheme="majorBidi" w:hAnsiTheme="majorBidi" w:cstheme="majorBidi"/>
          <w:color w:val="auto"/>
          <w:sz w:val="24"/>
          <w:szCs w:val="22"/>
          <w:lang w:val="en-GB"/>
        </w:rPr>
        <w:t>, though the remains may also have been completely buried by later occupation</w:t>
      </w:r>
      <w:r w:rsidRPr="008A4417">
        <w:rPr>
          <w:rFonts w:asciiTheme="majorBidi" w:hAnsiTheme="majorBidi" w:cstheme="majorBidi"/>
          <w:color w:val="auto"/>
          <w:sz w:val="24"/>
          <w:szCs w:val="22"/>
          <w:lang w:val="en-GB"/>
        </w:rPr>
        <w:t>. A Bronze Age date for an occupation phase at Kandahar therefore does not alter the overall regional picture</w:t>
      </w:r>
      <w:r w:rsidR="008A4417">
        <w:rPr>
          <w:rFonts w:asciiTheme="majorBidi" w:hAnsiTheme="majorBidi" w:cstheme="majorBidi"/>
          <w:color w:val="auto"/>
          <w:sz w:val="24"/>
          <w:szCs w:val="22"/>
          <w:lang w:val="en-GB"/>
        </w:rPr>
        <w:t xml:space="preserve"> for the eastern part of Helmand</w:t>
      </w:r>
      <w:r w:rsidRPr="008A4417">
        <w:rPr>
          <w:rFonts w:asciiTheme="majorBidi" w:hAnsiTheme="majorBidi" w:cstheme="majorBidi"/>
          <w:color w:val="auto"/>
          <w:sz w:val="24"/>
          <w:szCs w:val="22"/>
          <w:lang w:val="en-GB"/>
        </w:rPr>
        <w:t xml:space="preserve">, </w:t>
      </w:r>
      <w:r w:rsidRPr="008A4417">
        <w:rPr>
          <w:rFonts w:asciiTheme="majorBidi" w:hAnsiTheme="majorBidi" w:cstheme="majorBidi"/>
          <w:color w:val="auto"/>
          <w:sz w:val="24"/>
          <w:szCs w:val="22"/>
          <w:lang w:val="en-GB"/>
        </w:rPr>
        <w:lastRenderedPageBreak/>
        <w:t>which is that the main centre was at Mundigak. However, given the subsequent decline of Mundigak and rise of Kandahar, the inference that the one replaced the other as the main regional centre seems plausible.</w:t>
      </w:r>
    </w:p>
    <w:p w14:paraId="377E5C90" w14:textId="212F5DE1" w:rsidR="0030226C" w:rsidRPr="008A4417" w:rsidRDefault="0030226C" w:rsidP="0030226C">
      <w:pPr>
        <w:pStyle w:val="BodyText"/>
        <w:spacing w:line="480" w:lineRule="auto"/>
        <w:ind w:firstLine="360"/>
        <w:rPr>
          <w:rFonts w:asciiTheme="majorBidi" w:hAnsiTheme="majorBidi" w:cstheme="majorBidi"/>
          <w:color w:val="auto"/>
          <w:lang w:val="en-GB"/>
        </w:rPr>
      </w:pPr>
      <w:r w:rsidRPr="008A4417">
        <w:rPr>
          <w:rFonts w:asciiTheme="majorBidi" w:hAnsiTheme="majorBidi" w:cstheme="majorBidi"/>
          <w:color w:val="auto"/>
          <w:lang w:val="en-GB"/>
        </w:rPr>
        <w:t>A number of other Bronze Age sites around Kandahar have also been recorded. In addition to Said Qal’a Tepe and Deh Morasi Ghundai, a large forty metre high mound about 80 to 100 metres in diameter was recorded at Bagh-i Pul Ghundai on the left bank of the Arghandab</w:t>
      </w:r>
      <w:r w:rsidR="008A4417">
        <w:rPr>
          <w:rFonts w:asciiTheme="majorBidi" w:hAnsiTheme="majorBidi" w:cstheme="majorBidi"/>
          <w:color w:val="auto"/>
          <w:lang w:val="en-GB"/>
        </w:rPr>
        <w:t>,</w:t>
      </w:r>
      <w:r w:rsidRPr="008A4417">
        <w:rPr>
          <w:rFonts w:asciiTheme="majorBidi" w:hAnsiTheme="majorBidi" w:cstheme="majorBidi"/>
          <w:color w:val="auto"/>
          <w:lang w:val="en-GB"/>
        </w:rPr>
        <w:t xml:space="preserve"> fourteen kilometres west of Kandahar, which produced solely Bronze Age material.</w:t>
      </w:r>
      <w:r w:rsidRPr="008A4417">
        <w:rPr>
          <w:rStyle w:val="EndnoteReference"/>
          <w:rFonts w:asciiTheme="majorBidi" w:hAnsiTheme="majorBidi" w:cstheme="majorBidi"/>
          <w:color w:val="auto"/>
          <w:sz w:val="24"/>
          <w:szCs w:val="22"/>
          <w:lang w:val="en-GB"/>
        </w:rPr>
        <w:endnoteReference w:id="94"/>
      </w:r>
      <w:r w:rsidRPr="008A4417">
        <w:rPr>
          <w:rFonts w:asciiTheme="majorBidi" w:hAnsiTheme="majorBidi" w:cstheme="majorBidi"/>
          <w:color w:val="auto"/>
          <w:lang w:val="en-GB"/>
        </w:rPr>
        <w:t xml:space="preserve"> Further down on the right bank is the large urban site of Spirwan surrounded by ramparts and with a citadel, where Casal collected Bronze Age pottery. However, Indo-Parthian and Timurid pottery were also recorded, so the ramparts and citadel may be later.</w:t>
      </w:r>
      <w:r w:rsidRPr="008A4417">
        <w:rPr>
          <w:rStyle w:val="EndnoteReference"/>
          <w:rFonts w:asciiTheme="majorBidi" w:hAnsiTheme="majorBidi" w:cstheme="majorBidi"/>
          <w:color w:val="auto"/>
          <w:sz w:val="24"/>
          <w:szCs w:val="22"/>
          <w:lang w:val="en-GB"/>
        </w:rPr>
        <w:endnoteReference w:id="95"/>
      </w:r>
      <w:r w:rsidRPr="008A4417">
        <w:rPr>
          <w:rFonts w:asciiTheme="majorBidi" w:hAnsiTheme="majorBidi" w:cstheme="majorBidi"/>
          <w:color w:val="auto"/>
          <w:lang w:val="en-GB"/>
        </w:rPr>
        <w:t xml:space="preserve"> Bronze Age (as well as later) material was also collected by Casal from three small mounds at Mundi Hisar on the right bank of the Tarnak River, sixteen kilometres south-east of Kandahar.</w:t>
      </w:r>
      <w:r w:rsidRPr="008A4417">
        <w:rPr>
          <w:rStyle w:val="EndnoteReference"/>
          <w:rFonts w:asciiTheme="majorBidi" w:hAnsiTheme="majorBidi" w:cstheme="majorBidi"/>
          <w:color w:val="auto"/>
          <w:sz w:val="24"/>
          <w:szCs w:val="22"/>
          <w:lang w:val="en-GB"/>
        </w:rPr>
        <w:endnoteReference w:id="96"/>
      </w:r>
      <w:r w:rsidRPr="008A4417">
        <w:rPr>
          <w:rFonts w:asciiTheme="majorBidi" w:hAnsiTheme="majorBidi" w:cstheme="majorBidi"/>
          <w:color w:val="auto"/>
          <w:lang w:val="en-GB"/>
        </w:rPr>
        <w:t xml:space="preserve"> Fourteen kilometres north-east of Kandahar, near the main road to Kabul, Bronze Age and later material was recorded at the large mound of Bad-i Sah Ghundai,</w:t>
      </w:r>
      <w:r w:rsidRPr="008A4417">
        <w:rPr>
          <w:rStyle w:val="EndnoteReference"/>
          <w:rFonts w:asciiTheme="majorBidi" w:hAnsiTheme="majorBidi" w:cstheme="majorBidi"/>
          <w:color w:val="auto"/>
          <w:sz w:val="24"/>
          <w:szCs w:val="22"/>
          <w:lang w:val="en-GB"/>
        </w:rPr>
        <w:endnoteReference w:id="97"/>
      </w:r>
      <w:r w:rsidRPr="008A4417">
        <w:rPr>
          <w:rFonts w:asciiTheme="majorBidi" w:hAnsiTheme="majorBidi" w:cstheme="majorBidi"/>
          <w:color w:val="auto"/>
          <w:lang w:val="en-GB"/>
        </w:rPr>
        <w:t xml:space="preserve"> and a similar corpus was also recorded at the major site of Shahr-i Safa by the road some hundred kilometres further north.</w:t>
      </w:r>
      <w:r w:rsidRPr="008A4417">
        <w:rPr>
          <w:rStyle w:val="EndnoteReference"/>
          <w:rFonts w:asciiTheme="majorBidi" w:hAnsiTheme="majorBidi" w:cstheme="majorBidi"/>
          <w:color w:val="auto"/>
          <w:sz w:val="24"/>
          <w:szCs w:val="22"/>
          <w:lang w:val="en-GB"/>
        </w:rPr>
        <w:endnoteReference w:id="98"/>
      </w:r>
      <w:r w:rsidRPr="008A4417">
        <w:rPr>
          <w:rFonts w:asciiTheme="majorBidi" w:hAnsiTheme="majorBidi" w:cstheme="majorBidi"/>
          <w:color w:val="auto"/>
          <w:lang w:val="en-GB"/>
        </w:rPr>
        <w:t xml:space="preserve"> However, the pottery collected from these sites was only subject to preliminary analysis, so there is no more precise dating apart from a broad ‘Bronze Age’ designation.</w:t>
      </w:r>
    </w:p>
    <w:p w14:paraId="05B1C2B4" w14:textId="77777777" w:rsidR="0030226C" w:rsidRPr="00F937E4" w:rsidRDefault="009C43AA" w:rsidP="0030226C">
      <w:pPr>
        <w:pStyle w:val="Heading2"/>
        <w:rPr>
          <w:rFonts w:asciiTheme="majorBidi" w:hAnsiTheme="majorBidi"/>
          <w:color w:val="auto"/>
          <w:sz w:val="36"/>
          <w:szCs w:val="36"/>
          <w:lang w:val="en-GB"/>
        </w:rPr>
      </w:pPr>
      <w:r w:rsidRPr="009C43AA">
        <w:rPr>
          <w:rFonts w:asciiTheme="majorBidi" w:hAnsiTheme="majorBidi"/>
          <w:color w:val="auto"/>
          <w:sz w:val="36"/>
          <w:szCs w:val="36"/>
          <w:lang w:val="en-GB"/>
        </w:rPr>
        <w:t>Nad-i Ali</w:t>
      </w:r>
    </w:p>
    <w:p w14:paraId="0F872452" w14:textId="77777777" w:rsidR="00F937E4" w:rsidRDefault="00F937E4" w:rsidP="0030226C">
      <w:pPr>
        <w:pStyle w:val="BodyTextIndent"/>
        <w:rPr>
          <w:rFonts w:asciiTheme="majorBidi" w:hAnsiTheme="majorBidi" w:cstheme="majorBidi"/>
          <w:sz w:val="24"/>
          <w:szCs w:val="22"/>
        </w:rPr>
      </w:pPr>
    </w:p>
    <w:p w14:paraId="4E8928B7" w14:textId="7818FFE4" w:rsidR="005F3FF4" w:rsidRPr="008A4417" w:rsidRDefault="00E2558A" w:rsidP="00723799">
      <w:pPr>
        <w:pStyle w:val="BodyTextIndent"/>
        <w:ind w:firstLine="0"/>
        <w:rPr>
          <w:rFonts w:asciiTheme="majorBidi" w:hAnsiTheme="majorBidi" w:cstheme="majorBidi"/>
          <w:color w:val="auto"/>
          <w:sz w:val="24"/>
          <w:szCs w:val="22"/>
        </w:rPr>
      </w:pPr>
      <w:r w:rsidRPr="008A4417">
        <w:rPr>
          <w:rFonts w:asciiTheme="majorBidi" w:hAnsiTheme="majorBidi" w:cstheme="majorBidi"/>
          <w:color w:val="auto"/>
          <w:sz w:val="24"/>
          <w:szCs w:val="22"/>
        </w:rPr>
        <w:t>Excavations at the site of Nad-i Ali</w:t>
      </w:r>
      <w:r w:rsidRPr="008A4417" w:rsidDel="00E2558A">
        <w:rPr>
          <w:rFonts w:asciiTheme="majorBidi" w:hAnsiTheme="majorBidi" w:cstheme="majorBidi"/>
          <w:color w:val="auto"/>
          <w:sz w:val="24"/>
          <w:szCs w:val="22"/>
        </w:rPr>
        <w:t xml:space="preserve"> </w:t>
      </w:r>
      <w:r w:rsidR="0030226C" w:rsidRPr="008A4417">
        <w:rPr>
          <w:rFonts w:asciiTheme="majorBidi" w:hAnsiTheme="majorBidi" w:cstheme="majorBidi"/>
          <w:color w:val="auto"/>
          <w:sz w:val="24"/>
          <w:szCs w:val="22"/>
        </w:rPr>
        <w:t>(Sorkh Dagh) by Roman Ghirshman</w:t>
      </w:r>
      <w:r w:rsidR="008A4417" w:rsidRPr="008A4417">
        <w:rPr>
          <w:rFonts w:asciiTheme="majorBidi" w:hAnsiTheme="majorBidi" w:cstheme="majorBidi"/>
          <w:color w:val="auto"/>
          <w:sz w:val="24"/>
          <w:szCs w:val="22"/>
        </w:rPr>
        <w:t xml:space="preserve"> in the 1930s</w:t>
      </w:r>
      <w:r w:rsidR="0030226C" w:rsidRPr="008A4417">
        <w:rPr>
          <w:rStyle w:val="EndnoteReference"/>
          <w:rFonts w:asciiTheme="majorBidi" w:hAnsiTheme="majorBidi" w:cstheme="majorBidi"/>
          <w:color w:val="auto"/>
          <w:sz w:val="24"/>
          <w:szCs w:val="22"/>
        </w:rPr>
        <w:endnoteReference w:id="99"/>
      </w:r>
      <w:r w:rsidR="0030226C" w:rsidRPr="008A4417">
        <w:rPr>
          <w:rFonts w:asciiTheme="majorBidi" w:hAnsiTheme="majorBidi" w:cstheme="majorBidi"/>
          <w:color w:val="auto"/>
          <w:sz w:val="24"/>
          <w:szCs w:val="22"/>
        </w:rPr>
        <w:t xml:space="preserve"> revealed a massive construction in Period II which was probably built against the natural mound in order to make available a </w:t>
      </w:r>
      <w:r w:rsidR="0030226C" w:rsidRPr="00067D8A">
        <w:rPr>
          <w:rFonts w:asciiTheme="majorBidi" w:hAnsiTheme="majorBidi" w:cstheme="majorBidi"/>
          <w:sz w:val="24"/>
          <w:szCs w:val="22"/>
        </w:rPr>
        <w:t xml:space="preserve">larger area (Fig. </w:t>
      </w:r>
      <w:r w:rsidR="00F937E4">
        <w:rPr>
          <w:rFonts w:asciiTheme="majorBidi" w:hAnsiTheme="majorBidi" w:cstheme="majorBidi"/>
          <w:sz w:val="24"/>
          <w:szCs w:val="22"/>
        </w:rPr>
        <w:t>4.</w:t>
      </w:r>
      <w:r w:rsidR="0030226C" w:rsidRPr="00067D8A">
        <w:rPr>
          <w:rFonts w:asciiTheme="majorBidi" w:hAnsiTheme="majorBidi" w:cstheme="majorBidi"/>
          <w:color w:val="FF0000"/>
          <w:sz w:val="24"/>
          <w:szCs w:val="22"/>
        </w:rPr>
        <w:t>00</w:t>
      </w:r>
      <w:r w:rsidR="0030226C" w:rsidRPr="00067D8A">
        <w:rPr>
          <w:rFonts w:asciiTheme="majorBidi" w:hAnsiTheme="majorBidi" w:cstheme="majorBidi"/>
          <w:sz w:val="24"/>
          <w:szCs w:val="22"/>
        </w:rPr>
        <w:t xml:space="preserve">). The outer walls were of mud bricks (35 × 35 × 9 cm), while the inner structure was made up of alternating unbaked and baked bricks (57 × 28 × 9 cm), </w:t>
      </w:r>
      <w:r w:rsidR="0030226C" w:rsidRPr="008A4417">
        <w:rPr>
          <w:rFonts w:asciiTheme="majorBidi" w:hAnsiTheme="majorBidi" w:cstheme="majorBidi"/>
          <w:color w:val="auto"/>
          <w:sz w:val="24"/>
          <w:szCs w:val="22"/>
        </w:rPr>
        <w:t xml:space="preserve">resting on a basement consisting of ten layers of baked bricks. Altogether this structure covers an area of approximately 200 x 50 metres and rises nearly forty metres above the plain. </w:t>
      </w:r>
      <w:r w:rsidR="0030226C" w:rsidRPr="008A4417">
        <w:rPr>
          <w:rFonts w:asciiTheme="majorBidi" w:hAnsiTheme="majorBidi" w:cstheme="majorBidi"/>
          <w:color w:val="auto"/>
          <w:sz w:val="24"/>
          <w:szCs w:val="22"/>
        </w:rPr>
        <w:lastRenderedPageBreak/>
        <w:t xml:space="preserve">Dales carried out </w:t>
      </w:r>
      <w:r w:rsidR="00723799" w:rsidRPr="008A4417">
        <w:rPr>
          <w:rFonts w:asciiTheme="majorBidi" w:hAnsiTheme="majorBidi" w:cstheme="majorBidi"/>
          <w:color w:val="auto"/>
          <w:sz w:val="24"/>
          <w:szCs w:val="22"/>
        </w:rPr>
        <w:t xml:space="preserve">additional excavations </w:t>
      </w:r>
      <w:r w:rsidR="0030226C" w:rsidRPr="008A4417">
        <w:rPr>
          <w:rFonts w:asciiTheme="majorBidi" w:hAnsiTheme="majorBidi" w:cstheme="majorBidi"/>
          <w:color w:val="auto"/>
          <w:sz w:val="24"/>
          <w:szCs w:val="22"/>
        </w:rPr>
        <w:t>at Sorkh Dagh</w:t>
      </w:r>
      <w:r w:rsidR="008A4417" w:rsidRPr="008A4417">
        <w:rPr>
          <w:rFonts w:asciiTheme="majorBidi" w:hAnsiTheme="majorBidi" w:cstheme="majorBidi"/>
          <w:color w:val="auto"/>
          <w:sz w:val="24"/>
          <w:szCs w:val="22"/>
        </w:rPr>
        <w:t xml:space="preserve"> </w:t>
      </w:r>
      <w:r w:rsidR="009F2193">
        <w:rPr>
          <w:rFonts w:asciiTheme="majorBidi" w:hAnsiTheme="majorBidi" w:cstheme="majorBidi"/>
          <w:color w:val="auto"/>
          <w:sz w:val="24"/>
          <w:szCs w:val="22"/>
        </w:rPr>
        <w:t>in the 1970s</w:t>
      </w:r>
      <w:r w:rsidR="0030226C" w:rsidRPr="008A4417">
        <w:rPr>
          <w:rFonts w:asciiTheme="majorBidi" w:hAnsiTheme="majorBidi" w:cstheme="majorBidi"/>
          <w:color w:val="auto"/>
          <w:sz w:val="24"/>
          <w:szCs w:val="22"/>
        </w:rPr>
        <w:t>, further confirm</w:t>
      </w:r>
      <w:r w:rsidR="009F2193">
        <w:rPr>
          <w:rFonts w:asciiTheme="majorBidi" w:hAnsiTheme="majorBidi" w:cstheme="majorBidi"/>
          <w:color w:val="auto"/>
          <w:sz w:val="24"/>
          <w:szCs w:val="22"/>
        </w:rPr>
        <w:t>ed</w:t>
      </w:r>
      <w:r w:rsidR="0030226C" w:rsidRPr="008A4417">
        <w:rPr>
          <w:rFonts w:asciiTheme="majorBidi" w:hAnsiTheme="majorBidi" w:cstheme="majorBidi"/>
          <w:color w:val="auto"/>
          <w:sz w:val="24"/>
          <w:szCs w:val="22"/>
        </w:rPr>
        <w:t xml:space="preserve"> the massive size of the platform.</w:t>
      </w:r>
      <w:r w:rsidR="0030226C" w:rsidRPr="008A4417">
        <w:rPr>
          <w:rStyle w:val="EndnoteReference"/>
          <w:rFonts w:asciiTheme="majorBidi" w:hAnsiTheme="majorBidi" w:cstheme="majorBidi"/>
          <w:color w:val="auto"/>
          <w:sz w:val="24"/>
          <w:szCs w:val="22"/>
        </w:rPr>
        <w:endnoteReference w:id="100"/>
      </w:r>
      <w:r w:rsidR="0030226C" w:rsidRPr="008A4417">
        <w:rPr>
          <w:rFonts w:asciiTheme="majorBidi" w:hAnsiTheme="majorBidi" w:cstheme="majorBidi"/>
          <w:color w:val="auto"/>
          <w:sz w:val="24"/>
          <w:szCs w:val="22"/>
        </w:rPr>
        <w:t xml:space="preserve"> It was initially ascribed to the Iron Age by Ghirshman by comparison with the massive monument at Tepe Sialk in western Iran. However, even by the time Dales was writing in the 1970s the Bronze Age material of Central Asia was not generally familiar to western scholarship. In a subsequent study by </w:t>
      </w:r>
      <w:r w:rsidR="00723799" w:rsidRPr="008A4417">
        <w:rPr>
          <w:rFonts w:asciiTheme="majorBidi" w:hAnsiTheme="majorBidi" w:cstheme="majorBidi"/>
          <w:color w:val="auto"/>
          <w:sz w:val="24"/>
          <w:szCs w:val="22"/>
        </w:rPr>
        <w:t>Besenval and Francfort</w:t>
      </w:r>
      <w:r w:rsidR="0030226C" w:rsidRPr="008A4417">
        <w:rPr>
          <w:rFonts w:asciiTheme="majorBidi" w:hAnsiTheme="majorBidi" w:cstheme="majorBidi"/>
          <w:color w:val="auto"/>
          <w:sz w:val="24"/>
          <w:szCs w:val="22"/>
        </w:rPr>
        <w:t>,</w:t>
      </w:r>
      <w:r w:rsidR="009F2193">
        <w:rPr>
          <w:rStyle w:val="EndnoteReference"/>
          <w:rFonts w:asciiTheme="majorBidi" w:hAnsiTheme="majorBidi" w:cstheme="majorBidi"/>
          <w:color w:val="auto"/>
          <w:sz w:val="24"/>
          <w:szCs w:val="22"/>
        </w:rPr>
        <w:endnoteReference w:id="101"/>
      </w:r>
      <w:r w:rsidR="0030226C" w:rsidRPr="008A4417">
        <w:rPr>
          <w:rFonts w:asciiTheme="majorBidi" w:hAnsiTheme="majorBidi" w:cstheme="majorBidi"/>
          <w:color w:val="auto"/>
          <w:sz w:val="24"/>
          <w:szCs w:val="22"/>
        </w:rPr>
        <w:t xml:space="preserve"> a jar published by Ghirshman that sealed the top of the platform was recognised as belonging to a Bactrian Bronze Age type. This, as well as a re</w:t>
      </w:r>
      <w:r w:rsidR="009F2193">
        <w:rPr>
          <w:rFonts w:asciiTheme="majorBidi" w:hAnsiTheme="majorBidi" w:cstheme="majorBidi"/>
          <w:color w:val="auto"/>
          <w:sz w:val="24"/>
          <w:szCs w:val="22"/>
        </w:rPr>
        <w:t>-</w:t>
      </w:r>
      <w:r w:rsidR="0030226C" w:rsidRPr="008A4417">
        <w:rPr>
          <w:rFonts w:asciiTheme="majorBidi" w:hAnsiTheme="majorBidi" w:cstheme="majorBidi"/>
          <w:color w:val="auto"/>
          <w:sz w:val="24"/>
          <w:szCs w:val="22"/>
        </w:rPr>
        <w:t xml:space="preserve">interpration of the brick sizes, indicated that this monument should be dated over a thousand years earlier, </w:t>
      </w:r>
      <w:r w:rsidR="0030226C" w:rsidRPr="008A4417">
        <w:rPr>
          <w:rFonts w:asciiTheme="majorBidi" w:hAnsiTheme="majorBidi" w:cstheme="majorBidi"/>
          <w:i/>
          <w:color w:val="auto"/>
          <w:sz w:val="24"/>
          <w:szCs w:val="22"/>
        </w:rPr>
        <w:t>c</w:t>
      </w:r>
      <w:r w:rsidR="0030226C" w:rsidRPr="008A4417">
        <w:rPr>
          <w:rFonts w:asciiTheme="majorBidi" w:hAnsiTheme="majorBidi" w:cstheme="majorBidi"/>
          <w:color w:val="auto"/>
          <w:sz w:val="24"/>
          <w:szCs w:val="22"/>
        </w:rPr>
        <w:t>.2300-1700 BC.</w:t>
      </w:r>
      <w:r w:rsidR="0030226C" w:rsidRPr="008A4417">
        <w:rPr>
          <w:rStyle w:val="EndnoteReference"/>
          <w:rFonts w:asciiTheme="majorBidi" w:hAnsiTheme="majorBidi" w:cstheme="majorBidi"/>
          <w:color w:val="auto"/>
          <w:sz w:val="24"/>
          <w:szCs w:val="22"/>
        </w:rPr>
        <w:endnoteReference w:id="102"/>
      </w:r>
      <w:r w:rsidR="0030226C" w:rsidRPr="008A4417">
        <w:rPr>
          <w:rFonts w:asciiTheme="majorBidi" w:hAnsiTheme="majorBidi" w:cstheme="majorBidi"/>
          <w:color w:val="auto"/>
          <w:sz w:val="24"/>
          <w:szCs w:val="22"/>
        </w:rPr>
        <w:t xml:space="preserve"> Besenval and Francfort’s</w:t>
      </w:r>
      <w:r w:rsidR="0030226C" w:rsidRPr="008A4417" w:rsidDel="00270807">
        <w:rPr>
          <w:rFonts w:asciiTheme="majorBidi" w:hAnsiTheme="majorBidi" w:cstheme="majorBidi"/>
          <w:color w:val="auto"/>
          <w:sz w:val="24"/>
          <w:szCs w:val="22"/>
        </w:rPr>
        <w:t xml:space="preserve"> </w:t>
      </w:r>
      <w:r w:rsidR="0030226C" w:rsidRPr="008A4417">
        <w:rPr>
          <w:rFonts w:asciiTheme="majorBidi" w:hAnsiTheme="majorBidi" w:cstheme="majorBidi"/>
          <w:color w:val="auto"/>
          <w:sz w:val="24"/>
          <w:szCs w:val="22"/>
        </w:rPr>
        <w:t>re-examination of the pottery recorded on the site by both Fairservis and Dales further confirmed a substantial Bronze Age presence there, drawing comparisons with the pottery from Shahdad and Khurab in south-east Iran.</w:t>
      </w:r>
    </w:p>
    <w:p w14:paraId="7EEBE6E4" w14:textId="5DEDA8F3" w:rsidR="0030226C" w:rsidRPr="008A4417" w:rsidRDefault="0030226C" w:rsidP="0030226C">
      <w:pPr>
        <w:pStyle w:val="BodyTextIndent"/>
        <w:rPr>
          <w:rFonts w:asciiTheme="majorBidi" w:hAnsiTheme="majorBidi" w:cstheme="majorBidi"/>
          <w:color w:val="auto"/>
          <w:sz w:val="24"/>
          <w:szCs w:val="22"/>
        </w:rPr>
      </w:pPr>
      <w:r w:rsidRPr="008A4417">
        <w:rPr>
          <w:rFonts w:asciiTheme="majorBidi" w:hAnsiTheme="majorBidi" w:cstheme="majorBidi"/>
          <w:color w:val="auto"/>
          <w:sz w:val="24"/>
          <w:szCs w:val="22"/>
        </w:rPr>
        <w:t>The massive structure at Nad-i Ali</w:t>
      </w:r>
      <w:r w:rsidR="009F2193">
        <w:rPr>
          <w:rFonts w:asciiTheme="majorBidi" w:hAnsiTheme="majorBidi" w:cstheme="majorBidi"/>
          <w:color w:val="auto"/>
          <w:sz w:val="24"/>
          <w:szCs w:val="22"/>
        </w:rPr>
        <w:t>, which</w:t>
      </w:r>
      <w:r w:rsidRPr="008A4417">
        <w:rPr>
          <w:rFonts w:asciiTheme="majorBidi" w:hAnsiTheme="majorBidi" w:cstheme="majorBidi"/>
          <w:color w:val="auto"/>
          <w:sz w:val="24"/>
          <w:szCs w:val="22"/>
        </w:rPr>
        <w:t xml:space="preserve"> must have been at least forty metres high and some fifty metres at its base, can be compared to similar massive Bronze Age platforms at Namazga V, Altyn Depe, Hisar III and, especially, Mundigak Period IV. However, Besenval and Francfort emphasised that it is substantially different from and larger than these platforms, having more in common with the ziggurats of Mesopotamia. If so, the platform at Nad-i Ali extends the spread of this building type by some 1300 kilometres further east of Chogha Zanbil, which was previously the easternmost known ziggurat. Since this interpretation was published, the later excavation and possible identification of the monumental </w:t>
      </w:r>
      <w:r w:rsidR="008A4417">
        <w:rPr>
          <w:rFonts w:asciiTheme="majorBidi" w:hAnsiTheme="majorBidi" w:cstheme="majorBidi"/>
          <w:color w:val="auto"/>
          <w:sz w:val="24"/>
          <w:szCs w:val="22"/>
        </w:rPr>
        <w:t>platform/</w:t>
      </w:r>
      <w:r w:rsidRPr="008A4417">
        <w:rPr>
          <w:rFonts w:asciiTheme="majorBidi" w:hAnsiTheme="majorBidi" w:cstheme="majorBidi"/>
          <w:color w:val="auto"/>
          <w:sz w:val="24"/>
          <w:szCs w:val="22"/>
        </w:rPr>
        <w:t>building at Konar Sandal in south-eastern Iran supports the supposition</w:t>
      </w:r>
      <w:r w:rsidR="009F2193">
        <w:rPr>
          <w:rFonts w:asciiTheme="majorBidi" w:hAnsiTheme="majorBidi" w:cstheme="majorBidi"/>
          <w:color w:val="auto"/>
          <w:sz w:val="24"/>
          <w:szCs w:val="22"/>
        </w:rPr>
        <w:t>,</w:t>
      </w:r>
      <w:r w:rsidRPr="008A4417">
        <w:rPr>
          <w:rStyle w:val="EndnoteReference"/>
          <w:rFonts w:asciiTheme="majorBidi" w:hAnsiTheme="majorBidi" w:cstheme="majorBidi"/>
          <w:color w:val="auto"/>
          <w:sz w:val="24"/>
          <w:szCs w:val="22"/>
        </w:rPr>
        <w:endnoteReference w:id="103"/>
      </w:r>
      <w:r w:rsidR="009F2193">
        <w:rPr>
          <w:rFonts w:asciiTheme="majorBidi" w:hAnsiTheme="majorBidi" w:cstheme="majorBidi"/>
          <w:color w:val="auto"/>
          <w:sz w:val="24"/>
          <w:szCs w:val="22"/>
        </w:rPr>
        <w:t xml:space="preserve"> though it may be unhelpful to make such a direct typological connection to the ziggurats of Mesopotamia and Iran.</w:t>
      </w:r>
      <w:r w:rsidRPr="008A4417">
        <w:rPr>
          <w:rFonts w:asciiTheme="majorBidi" w:hAnsiTheme="majorBidi" w:cstheme="majorBidi"/>
          <w:color w:val="auto"/>
          <w:sz w:val="24"/>
          <w:szCs w:val="22"/>
        </w:rPr>
        <w:t xml:space="preserve"> Whatever this building might have been, the existence of such a major monument could not have been in isolation, and was likely built as a part of an important urban centre, which may well have been a critical node on the routes of communications that linked south-eastern Iran and Seistan with Central Asia and the Indus region.</w:t>
      </w:r>
    </w:p>
    <w:p w14:paraId="3B05C70B" w14:textId="77777777" w:rsidR="0030226C" w:rsidRPr="00136213" w:rsidRDefault="009C43AA" w:rsidP="007B4FFB">
      <w:pPr>
        <w:pStyle w:val="Heading2"/>
        <w:rPr>
          <w:rFonts w:asciiTheme="majorBidi" w:hAnsiTheme="majorBidi"/>
          <w:color w:val="auto"/>
          <w:sz w:val="36"/>
          <w:szCs w:val="36"/>
          <w:lang w:val="en-GB"/>
        </w:rPr>
      </w:pPr>
      <w:r w:rsidRPr="009C43AA">
        <w:rPr>
          <w:rFonts w:asciiTheme="majorBidi" w:hAnsiTheme="majorBidi"/>
          <w:color w:val="auto"/>
          <w:sz w:val="36"/>
          <w:szCs w:val="36"/>
          <w:lang w:val="en-GB"/>
        </w:rPr>
        <w:lastRenderedPageBreak/>
        <w:t>Helmand–Seistan Surveys</w:t>
      </w:r>
    </w:p>
    <w:p w14:paraId="67B1C18B" w14:textId="77777777" w:rsidR="00136213" w:rsidRPr="009F2193" w:rsidRDefault="00136213" w:rsidP="0030226C">
      <w:pPr>
        <w:pStyle w:val="BodyText"/>
        <w:spacing w:line="480" w:lineRule="auto"/>
        <w:rPr>
          <w:rFonts w:asciiTheme="majorBidi" w:hAnsiTheme="majorBidi" w:cstheme="majorBidi"/>
          <w:color w:val="auto"/>
          <w:sz w:val="24"/>
          <w:szCs w:val="22"/>
          <w:lang w:val="en-GB"/>
        </w:rPr>
      </w:pPr>
    </w:p>
    <w:p w14:paraId="295AD574" w14:textId="77777777" w:rsidR="0030226C" w:rsidRPr="00067D8A" w:rsidRDefault="0030226C" w:rsidP="0030226C">
      <w:pPr>
        <w:pStyle w:val="BodyText"/>
        <w:spacing w:line="480" w:lineRule="auto"/>
        <w:rPr>
          <w:rFonts w:asciiTheme="majorBidi" w:hAnsiTheme="majorBidi" w:cstheme="majorBidi"/>
          <w:sz w:val="24"/>
          <w:szCs w:val="22"/>
          <w:lang w:val="en-GB"/>
        </w:rPr>
      </w:pPr>
      <w:r w:rsidRPr="009F2193">
        <w:rPr>
          <w:rFonts w:asciiTheme="majorBidi" w:hAnsiTheme="majorBidi" w:cstheme="majorBidi"/>
          <w:color w:val="auto"/>
          <w:sz w:val="24"/>
          <w:szCs w:val="22"/>
          <w:lang w:val="en-GB"/>
        </w:rPr>
        <w:t xml:space="preserve">Apart from Nad-i Ali, and the excavations </w:t>
      </w:r>
      <w:r w:rsidRPr="00067D8A">
        <w:rPr>
          <w:rFonts w:asciiTheme="majorBidi" w:hAnsiTheme="majorBidi" w:cstheme="majorBidi"/>
          <w:sz w:val="24"/>
          <w:szCs w:val="22"/>
          <w:lang w:val="en-GB"/>
        </w:rPr>
        <w:t xml:space="preserve">in the Kandahar region, the prehistoric remains identified in the greater Seistan Basin in south-eastern Afghanistan are known primarily from surface collections. Due to the nature of the resultant information the discussion for this region must centre almost exclusively upon ceramic data. Therefore, the previous format for presenting the data will be dropped in favour of a more generalised discussion. </w:t>
      </w:r>
    </w:p>
    <w:p w14:paraId="1CBB8275" w14:textId="2C9D8ECD" w:rsidR="00355BB1" w:rsidRPr="00E212E5" w:rsidRDefault="00355BB1" w:rsidP="00355BB1">
      <w:pPr>
        <w:pStyle w:val="BodyText"/>
        <w:spacing w:line="480" w:lineRule="auto"/>
        <w:ind w:firstLine="284"/>
        <w:rPr>
          <w:rFonts w:asciiTheme="majorBidi" w:hAnsiTheme="majorBidi" w:cstheme="majorBidi"/>
          <w:b/>
          <w:color w:val="auto"/>
          <w:sz w:val="24"/>
          <w:szCs w:val="22"/>
          <w:lang w:val="en-GB"/>
        </w:rPr>
      </w:pPr>
      <w:r w:rsidRPr="00E212E5">
        <w:rPr>
          <w:rFonts w:asciiTheme="majorBidi" w:hAnsiTheme="majorBidi" w:cstheme="majorBidi"/>
          <w:color w:val="auto"/>
          <w:sz w:val="24"/>
          <w:szCs w:val="22"/>
          <w:lang w:val="en-GB"/>
        </w:rPr>
        <w:t>British Boundary Commission reports in the late nineteenth and early twentieth centuries first brought attention to the huge archaeological potential of Seistan.</w:t>
      </w:r>
      <w:r w:rsidRPr="00E212E5">
        <w:rPr>
          <w:rStyle w:val="EndnoteReference"/>
          <w:rFonts w:asciiTheme="majorBidi" w:hAnsiTheme="majorBidi" w:cstheme="majorBidi"/>
          <w:color w:val="auto"/>
          <w:sz w:val="24"/>
          <w:szCs w:val="22"/>
          <w:lang w:val="en-GB"/>
        </w:rPr>
        <w:endnoteReference w:id="104"/>
      </w:r>
      <w:r w:rsidRPr="00E212E5">
        <w:rPr>
          <w:rFonts w:asciiTheme="majorBidi" w:hAnsiTheme="majorBidi" w:cstheme="majorBidi"/>
          <w:color w:val="auto"/>
          <w:sz w:val="24"/>
          <w:szCs w:val="22"/>
          <w:lang w:val="en-GB"/>
        </w:rPr>
        <w:t xml:space="preserve"> Aurel Stein</w:t>
      </w:r>
      <w:r w:rsidR="009F2193" w:rsidRPr="00E212E5">
        <w:rPr>
          <w:rFonts w:asciiTheme="majorBidi" w:hAnsiTheme="majorBidi" w:cstheme="majorBidi"/>
          <w:color w:val="auto"/>
          <w:sz w:val="24"/>
          <w:szCs w:val="22"/>
          <w:lang w:val="en-GB"/>
        </w:rPr>
        <w:t xml:space="preserve"> visited the region in </w:t>
      </w:r>
      <w:r w:rsidR="00E212E5" w:rsidRPr="00E212E5">
        <w:rPr>
          <w:rFonts w:asciiTheme="majorBidi" w:hAnsiTheme="majorBidi" w:cstheme="majorBidi"/>
          <w:color w:val="auto"/>
          <w:sz w:val="24"/>
          <w:szCs w:val="22"/>
          <w:lang w:val="en-GB"/>
        </w:rPr>
        <w:t>19</w:t>
      </w:r>
      <w:r w:rsidR="00484685">
        <w:rPr>
          <w:rFonts w:asciiTheme="majorBidi" w:hAnsiTheme="majorBidi" w:cstheme="majorBidi"/>
          <w:color w:val="auto"/>
          <w:sz w:val="24"/>
          <w:szCs w:val="22"/>
          <w:lang w:val="en-GB"/>
        </w:rPr>
        <w:t>16</w:t>
      </w:r>
      <w:r w:rsidR="00435602" w:rsidRPr="00435602">
        <w:rPr>
          <w:rStyle w:val="EndnoteReference"/>
          <w:rFonts w:asciiTheme="majorBidi" w:hAnsiTheme="majorBidi" w:cstheme="majorBidi"/>
          <w:color w:val="auto"/>
          <w:sz w:val="24"/>
          <w:szCs w:val="22"/>
          <w:lang w:val="en-GB"/>
        </w:rPr>
        <w:endnoteReference w:id="105"/>
      </w:r>
      <w:r w:rsidR="00E212E5" w:rsidRPr="00E212E5">
        <w:rPr>
          <w:rFonts w:asciiTheme="majorBidi" w:hAnsiTheme="majorBidi" w:cstheme="majorBidi"/>
          <w:color w:val="auto"/>
          <w:sz w:val="24"/>
          <w:szCs w:val="22"/>
          <w:lang w:val="en-GB"/>
        </w:rPr>
        <w:t xml:space="preserve"> and</w:t>
      </w:r>
      <w:r w:rsidRPr="00E212E5">
        <w:rPr>
          <w:rFonts w:asciiTheme="majorBidi" w:hAnsiTheme="majorBidi" w:cstheme="majorBidi"/>
          <w:color w:val="auto"/>
          <w:sz w:val="24"/>
          <w:szCs w:val="22"/>
          <w:lang w:val="en-GB"/>
        </w:rPr>
        <w:t xml:space="preserve"> was the first to locate prehistoric remains </w:t>
      </w:r>
      <w:r w:rsidR="00E212E5" w:rsidRPr="00E212E5">
        <w:rPr>
          <w:rFonts w:asciiTheme="majorBidi" w:hAnsiTheme="majorBidi" w:cstheme="majorBidi"/>
          <w:color w:val="auto"/>
          <w:sz w:val="24"/>
          <w:szCs w:val="22"/>
          <w:lang w:val="en-GB"/>
        </w:rPr>
        <w:t>there</w:t>
      </w:r>
      <w:r w:rsidR="00435602">
        <w:rPr>
          <w:rFonts w:asciiTheme="majorBidi" w:hAnsiTheme="majorBidi" w:cstheme="majorBidi"/>
          <w:color w:val="auto"/>
          <w:sz w:val="24"/>
          <w:szCs w:val="22"/>
          <w:lang w:val="en-GB"/>
        </w:rPr>
        <w:t xml:space="preserve"> (including Sharh-i Sokhta)</w:t>
      </w:r>
      <w:r w:rsidRPr="00E212E5">
        <w:rPr>
          <w:rFonts w:asciiTheme="majorBidi" w:hAnsiTheme="majorBidi" w:cstheme="majorBidi"/>
          <w:color w:val="auto"/>
          <w:sz w:val="24"/>
          <w:szCs w:val="22"/>
          <w:lang w:val="en-GB"/>
        </w:rPr>
        <w:t xml:space="preserve">, albeit on the Iranian side of the border. Subsequent investigations on the Afghan side were </w:t>
      </w:r>
      <w:r w:rsidR="00E212E5">
        <w:rPr>
          <w:rFonts w:asciiTheme="majorBidi" w:hAnsiTheme="majorBidi" w:cstheme="majorBidi"/>
          <w:color w:val="auto"/>
          <w:sz w:val="24"/>
          <w:szCs w:val="22"/>
          <w:lang w:val="en-GB"/>
        </w:rPr>
        <w:t xml:space="preserve">carried out </w:t>
      </w:r>
      <w:r w:rsidRPr="00E212E5">
        <w:rPr>
          <w:rFonts w:asciiTheme="majorBidi" w:hAnsiTheme="majorBidi" w:cstheme="majorBidi"/>
          <w:color w:val="auto"/>
          <w:sz w:val="24"/>
          <w:szCs w:val="22"/>
          <w:lang w:val="en-GB"/>
        </w:rPr>
        <w:t>by Ghirshman and Hackin in 1936,</w:t>
      </w:r>
      <w:r w:rsidRPr="00E212E5">
        <w:rPr>
          <w:rStyle w:val="EndnoteReference"/>
          <w:rFonts w:asciiTheme="majorBidi" w:hAnsiTheme="majorBidi" w:cstheme="majorBidi"/>
          <w:color w:val="auto"/>
          <w:sz w:val="24"/>
          <w:szCs w:val="22"/>
          <w:lang w:val="en-GB"/>
        </w:rPr>
        <w:endnoteReference w:id="106"/>
      </w:r>
      <w:r w:rsidRPr="00E212E5">
        <w:rPr>
          <w:rFonts w:asciiTheme="majorBidi" w:hAnsiTheme="majorBidi" w:cstheme="majorBidi"/>
          <w:color w:val="auto"/>
          <w:sz w:val="24"/>
          <w:szCs w:val="22"/>
          <w:lang w:val="en-GB"/>
        </w:rPr>
        <w:t xml:space="preserve"> and their work was followed </w:t>
      </w:r>
      <w:r w:rsidR="00E212E5">
        <w:rPr>
          <w:rFonts w:asciiTheme="majorBidi" w:hAnsiTheme="majorBidi" w:cstheme="majorBidi"/>
          <w:color w:val="auto"/>
          <w:sz w:val="24"/>
          <w:szCs w:val="22"/>
          <w:lang w:val="en-GB"/>
        </w:rPr>
        <w:t>in</w:t>
      </w:r>
      <w:r w:rsidR="00E212E5" w:rsidRPr="00E212E5">
        <w:rPr>
          <w:rFonts w:asciiTheme="majorBidi" w:hAnsiTheme="majorBidi" w:cstheme="majorBidi"/>
          <w:color w:val="auto"/>
          <w:sz w:val="24"/>
          <w:szCs w:val="22"/>
          <w:lang w:val="en-GB"/>
        </w:rPr>
        <w:t xml:space="preserve"> the 1950s</w:t>
      </w:r>
      <w:r w:rsidR="00E212E5">
        <w:rPr>
          <w:rFonts w:asciiTheme="majorBidi" w:hAnsiTheme="majorBidi" w:cstheme="majorBidi"/>
          <w:color w:val="auto"/>
          <w:sz w:val="24"/>
          <w:szCs w:val="22"/>
          <w:lang w:val="en-GB"/>
        </w:rPr>
        <w:t>, 60s</w:t>
      </w:r>
      <w:r w:rsidR="00E212E5" w:rsidRPr="00E212E5">
        <w:rPr>
          <w:rFonts w:asciiTheme="majorBidi" w:hAnsiTheme="majorBidi" w:cstheme="majorBidi"/>
          <w:color w:val="auto"/>
          <w:sz w:val="24"/>
          <w:szCs w:val="22"/>
          <w:lang w:val="en-GB"/>
        </w:rPr>
        <w:t xml:space="preserve"> and 70s </w:t>
      </w:r>
      <w:r w:rsidRPr="00E212E5">
        <w:rPr>
          <w:rFonts w:asciiTheme="majorBidi" w:hAnsiTheme="majorBidi" w:cstheme="majorBidi"/>
          <w:color w:val="auto"/>
          <w:sz w:val="24"/>
          <w:szCs w:val="22"/>
          <w:lang w:val="en-GB"/>
        </w:rPr>
        <w:t>by Fairservis,</w:t>
      </w:r>
      <w:r w:rsidRPr="00E212E5">
        <w:rPr>
          <w:rStyle w:val="EndnoteReference"/>
          <w:rFonts w:asciiTheme="majorBidi" w:hAnsiTheme="majorBidi" w:cstheme="majorBidi"/>
          <w:color w:val="auto"/>
          <w:sz w:val="24"/>
          <w:szCs w:val="22"/>
          <w:lang w:val="en-GB"/>
        </w:rPr>
        <w:endnoteReference w:id="107"/>
      </w:r>
      <w:r w:rsidRPr="00E212E5">
        <w:rPr>
          <w:rFonts w:asciiTheme="majorBidi" w:hAnsiTheme="majorBidi" w:cstheme="majorBidi"/>
          <w:color w:val="auto"/>
          <w:sz w:val="24"/>
          <w:szCs w:val="22"/>
          <w:lang w:val="en-GB"/>
        </w:rPr>
        <w:t xml:space="preserve"> Hammond,</w:t>
      </w:r>
      <w:r w:rsidRPr="00E212E5">
        <w:rPr>
          <w:rStyle w:val="EndnoteReference"/>
          <w:rFonts w:asciiTheme="majorBidi" w:hAnsiTheme="majorBidi" w:cstheme="majorBidi"/>
          <w:color w:val="auto"/>
          <w:sz w:val="24"/>
          <w:szCs w:val="22"/>
          <w:lang w:val="en-GB"/>
        </w:rPr>
        <w:endnoteReference w:id="108"/>
      </w:r>
      <w:r w:rsidRPr="00E212E5">
        <w:rPr>
          <w:rFonts w:asciiTheme="majorBidi" w:hAnsiTheme="majorBidi" w:cstheme="majorBidi"/>
          <w:color w:val="auto"/>
          <w:sz w:val="24"/>
          <w:szCs w:val="22"/>
          <w:lang w:val="en-GB"/>
        </w:rPr>
        <w:t xml:space="preserve"> Dales,</w:t>
      </w:r>
      <w:r w:rsidRPr="00E212E5">
        <w:rPr>
          <w:rStyle w:val="EndnoteReference"/>
          <w:rFonts w:asciiTheme="majorBidi" w:hAnsiTheme="majorBidi" w:cstheme="majorBidi"/>
          <w:color w:val="auto"/>
          <w:sz w:val="24"/>
          <w:szCs w:val="22"/>
          <w:lang w:val="en-GB"/>
        </w:rPr>
        <w:endnoteReference w:id="109"/>
      </w:r>
      <w:r w:rsidRPr="00E212E5">
        <w:rPr>
          <w:rFonts w:asciiTheme="majorBidi" w:hAnsiTheme="majorBidi" w:cstheme="majorBidi"/>
          <w:color w:val="auto"/>
          <w:sz w:val="24"/>
          <w:szCs w:val="22"/>
          <w:lang w:val="en-GB"/>
        </w:rPr>
        <w:t xml:space="preserve"> Fischer (focussing mainly on Islamic remains)</w:t>
      </w:r>
      <w:r w:rsidR="00E212E5">
        <w:rPr>
          <w:rFonts w:asciiTheme="majorBidi" w:hAnsiTheme="majorBidi" w:cstheme="majorBidi"/>
          <w:color w:val="auto"/>
          <w:sz w:val="24"/>
          <w:szCs w:val="22"/>
          <w:lang w:val="en-GB"/>
        </w:rPr>
        <w:t>,</w:t>
      </w:r>
      <w:r w:rsidRPr="00E212E5">
        <w:rPr>
          <w:rStyle w:val="EndnoteReference"/>
          <w:rFonts w:asciiTheme="majorBidi" w:hAnsiTheme="majorBidi" w:cstheme="majorBidi"/>
          <w:color w:val="auto"/>
          <w:sz w:val="24"/>
          <w:szCs w:val="22"/>
          <w:lang w:val="en-GB"/>
        </w:rPr>
        <w:endnoteReference w:id="110"/>
      </w:r>
      <w:r w:rsidR="00E212E5">
        <w:rPr>
          <w:rFonts w:asciiTheme="majorBidi" w:hAnsiTheme="majorBidi" w:cstheme="majorBidi"/>
          <w:color w:val="auto"/>
          <w:sz w:val="24"/>
          <w:szCs w:val="22"/>
          <w:lang w:val="en-GB"/>
        </w:rPr>
        <w:t xml:space="preserve"> </w:t>
      </w:r>
      <w:r w:rsidRPr="00E212E5">
        <w:rPr>
          <w:rFonts w:asciiTheme="majorBidi" w:hAnsiTheme="majorBidi" w:cstheme="majorBidi"/>
          <w:color w:val="auto"/>
          <w:sz w:val="24"/>
          <w:szCs w:val="22"/>
          <w:lang w:val="en-GB"/>
        </w:rPr>
        <w:t>and Trousdale.</w:t>
      </w:r>
      <w:r w:rsidRPr="00E212E5">
        <w:rPr>
          <w:rStyle w:val="EndnoteReference"/>
          <w:rFonts w:asciiTheme="majorBidi" w:hAnsiTheme="majorBidi" w:cstheme="majorBidi"/>
          <w:color w:val="auto"/>
          <w:sz w:val="24"/>
          <w:szCs w:val="22"/>
          <w:lang w:val="en-GB"/>
        </w:rPr>
        <w:endnoteReference w:id="111"/>
      </w:r>
    </w:p>
    <w:p w14:paraId="70EEAFA7" w14:textId="2A2E3331" w:rsidR="0030226C" w:rsidRPr="00067D8A" w:rsidRDefault="0030226C" w:rsidP="0030226C">
      <w:pPr>
        <w:pStyle w:val="BodyTextIndent"/>
        <w:rPr>
          <w:rFonts w:asciiTheme="majorBidi" w:hAnsiTheme="majorBidi" w:cstheme="majorBidi"/>
          <w:sz w:val="24"/>
          <w:szCs w:val="22"/>
        </w:rPr>
      </w:pPr>
      <w:r w:rsidRPr="00E212E5">
        <w:rPr>
          <w:rFonts w:asciiTheme="majorBidi" w:hAnsiTheme="majorBidi" w:cstheme="majorBidi"/>
          <w:color w:val="auto"/>
          <w:sz w:val="24"/>
          <w:szCs w:val="22"/>
        </w:rPr>
        <w:t>Fairservis was able to identify several prehistoric sites located primarily in the ‘Southern Delta’ associated with the Rud-i Biyaban River. Most of these sites appear to represent small villages although some are of considerable size, with signs of copper smelting and pottery manufacturing spread over a considerable area around Gardan Reg.</w:t>
      </w:r>
      <w:r w:rsidRPr="00E212E5">
        <w:rPr>
          <w:rStyle w:val="EndnoteReference"/>
          <w:rFonts w:asciiTheme="majorBidi" w:hAnsiTheme="majorBidi" w:cstheme="majorBidi"/>
          <w:color w:val="auto"/>
          <w:sz w:val="24"/>
          <w:szCs w:val="22"/>
        </w:rPr>
        <w:endnoteReference w:id="112"/>
      </w:r>
      <w:r w:rsidRPr="00E212E5">
        <w:rPr>
          <w:rFonts w:asciiTheme="majorBidi" w:hAnsiTheme="majorBidi" w:cstheme="majorBidi"/>
          <w:color w:val="auto"/>
          <w:sz w:val="24"/>
          <w:szCs w:val="22"/>
        </w:rPr>
        <w:t xml:space="preserve"> On the basis of surface </w:t>
      </w:r>
      <w:r w:rsidRPr="00067D8A">
        <w:rPr>
          <w:rFonts w:asciiTheme="majorBidi" w:hAnsiTheme="majorBidi" w:cstheme="majorBidi"/>
          <w:sz w:val="24"/>
          <w:szCs w:val="22"/>
        </w:rPr>
        <w:t xml:space="preserve">collections only, Fairservis found a great </w:t>
      </w:r>
      <w:r w:rsidR="00E212E5">
        <w:rPr>
          <w:rFonts w:asciiTheme="majorBidi" w:hAnsiTheme="majorBidi" w:cstheme="majorBidi"/>
          <w:sz w:val="24"/>
          <w:szCs w:val="22"/>
        </w:rPr>
        <w:t>material uniformity</w:t>
      </w:r>
      <w:r w:rsidR="00E212E5" w:rsidRPr="00067D8A">
        <w:rPr>
          <w:rFonts w:asciiTheme="majorBidi" w:hAnsiTheme="majorBidi" w:cstheme="majorBidi"/>
          <w:sz w:val="24"/>
          <w:szCs w:val="22"/>
        </w:rPr>
        <w:t xml:space="preserve"> </w:t>
      </w:r>
      <w:r w:rsidRPr="00067D8A">
        <w:rPr>
          <w:rFonts w:asciiTheme="majorBidi" w:hAnsiTheme="majorBidi" w:cstheme="majorBidi"/>
          <w:sz w:val="24"/>
          <w:szCs w:val="22"/>
        </w:rPr>
        <w:t>persisting between various sites,</w:t>
      </w:r>
      <w:r w:rsidRPr="00067D8A">
        <w:rPr>
          <w:rStyle w:val="EndnoteReference"/>
          <w:rFonts w:asciiTheme="majorBidi" w:hAnsiTheme="majorBidi" w:cstheme="majorBidi"/>
          <w:sz w:val="24"/>
          <w:szCs w:val="22"/>
        </w:rPr>
        <w:endnoteReference w:id="113"/>
      </w:r>
      <w:r w:rsidRPr="00067D8A">
        <w:rPr>
          <w:rFonts w:asciiTheme="majorBidi" w:hAnsiTheme="majorBidi" w:cstheme="majorBidi"/>
          <w:sz w:val="24"/>
          <w:szCs w:val="22"/>
        </w:rPr>
        <w:t xml:space="preserve"> which led him to speculate that the prehistoric occupation of the Seistan was rather short. Of the many ceramic types defined by Fairservis for this area</w:t>
      </w:r>
      <w:r w:rsidR="00E212E5">
        <w:rPr>
          <w:rFonts w:asciiTheme="majorBidi" w:hAnsiTheme="majorBidi" w:cstheme="majorBidi"/>
          <w:sz w:val="24"/>
          <w:szCs w:val="22"/>
        </w:rPr>
        <w:t>,</w:t>
      </w:r>
      <w:r w:rsidRPr="00067D8A">
        <w:rPr>
          <w:rFonts w:asciiTheme="majorBidi" w:hAnsiTheme="majorBidi" w:cstheme="majorBidi"/>
          <w:sz w:val="24"/>
          <w:szCs w:val="22"/>
        </w:rPr>
        <w:t xml:space="preserve"> two are of particular importance here. The first, and most characteristic pottery, is that of ‘Gardan Reg Decorated’.</w:t>
      </w:r>
      <w:r w:rsidRPr="00067D8A">
        <w:rPr>
          <w:rStyle w:val="EndnoteReference"/>
          <w:rFonts w:asciiTheme="majorBidi" w:hAnsiTheme="majorBidi" w:cstheme="majorBidi"/>
          <w:sz w:val="24"/>
          <w:szCs w:val="22"/>
        </w:rPr>
        <w:endnoteReference w:id="114"/>
      </w:r>
      <w:r w:rsidRPr="00067D8A">
        <w:rPr>
          <w:rFonts w:asciiTheme="majorBidi" w:hAnsiTheme="majorBidi" w:cstheme="majorBidi"/>
          <w:sz w:val="24"/>
          <w:szCs w:val="22"/>
        </w:rPr>
        <w:t xml:space="preserve"> Basically this a buff-red ware with black to reddish-brown motifs applied directly to the surface, or more rarely to a buff slip. In vessel form and motif style this ware is similar to that found at Mundigak </w:t>
      </w:r>
      <w:r w:rsidR="001E1DEF">
        <w:rPr>
          <w:rFonts w:asciiTheme="majorBidi" w:hAnsiTheme="majorBidi" w:cstheme="majorBidi"/>
          <w:sz w:val="24"/>
          <w:szCs w:val="22"/>
        </w:rPr>
        <w:t>Sub-Period</w:t>
      </w:r>
      <w:r w:rsidRPr="00067D8A">
        <w:rPr>
          <w:rFonts w:asciiTheme="majorBidi" w:hAnsiTheme="majorBidi" w:cstheme="majorBidi"/>
          <w:sz w:val="24"/>
          <w:szCs w:val="22"/>
        </w:rPr>
        <w:t>s III</w:t>
      </w:r>
      <w:r w:rsidRPr="00067D8A">
        <w:rPr>
          <w:rFonts w:asciiTheme="majorBidi" w:hAnsiTheme="majorBidi" w:cstheme="majorBidi"/>
          <w:sz w:val="24"/>
          <w:szCs w:val="22"/>
          <w:vertAlign w:val="subscript"/>
        </w:rPr>
        <w:t>6</w:t>
      </w:r>
      <w:r w:rsidRPr="00067D8A">
        <w:rPr>
          <w:rFonts w:asciiTheme="majorBidi" w:hAnsiTheme="majorBidi" w:cstheme="majorBidi"/>
          <w:sz w:val="24"/>
          <w:szCs w:val="22"/>
        </w:rPr>
        <w:t>–IV</w:t>
      </w:r>
      <w:r w:rsidRPr="00067D8A">
        <w:rPr>
          <w:rFonts w:asciiTheme="majorBidi" w:hAnsiTheme="majorBidi" w:cstheme="majorBidi"/>
          <w:sz w:val="24"/>
          <w:szCs w:val="22"/>
          <w:vertAlign w:val="subscript"/>
        </w:rPr>
        <w:t>l,</w:t>
      </w:r>
      <w:r w:rsidRPr="00067D8A">
        <w:rPr>
          <w:rFonts w:asciiTheme="majorBidi" w:hAnsiTheme="majorBidi" w:cstheme="majorBidi"/>
          <w:sz w:val="24"/>
          <w:szCs w:val="22"/>
        </w:rPr>
        <w:t xml:space="preserve"> Said Qala II–IV, and Deh Morasi Ghundai. The second type was that of ‘Emir Gray’.</w:t>
      </w:r>
      <w:r w:rsidRPr="00067D8A">
        <w:rPr>
          <w:rStyle w:val="EndnoteReference"/>
          <w:rFonts w:asciiTheme="majorBidi" w:hAnsiTheme="majorBidi" w:cstheme="majorBidi"/>
          <w:sz w:val="24"/>
          <w:szCs w:val="22"/>
        </w:rPr>
        <w:endnoteReference w:id="115"/>
      </w:r>
      <w:r w:rsidRPr="00067D8A">
        <w:rPr>
          <w:rFonts w:asciiTheme="majorBidi" w:hAnsiTheme="majorBidi" w:cstheme="majorBidi"/>
          <w:sz w:val="24"/>
          <w:szCs w:val="22"/>
        </w:rPr>
        <w:t xml:space="preserve"> This finely made grey ware with black </w:t>
      </w:r>
      <w:r w:rsidRPr="00067D8A">
        <w:rPr>
          <w:rFonts w:asciiTheme="majorBidi" w:hAnsiTheme="majorBidi" w:cstheme="majorBidi"/>
          <w:sz w:val="24"/>
          <w:szCs w:val="22"/>
        </w:rPr>
        <w:lastRenderedPageBreak/>
        <w:t>geometric designs is not found at the sites to the east. The geometric motifs are not much different from that of Gardan Reg Decorated and would appear to be a local development of this more broadly distributed buff-red ware. Also identified on these sites were examples of Faiz Mohammad Painted Wares and Quetta Wet Wares similar to those from Mundigak and northern Baluchistan. North of Seistan near the city of Farah a single site was found with a similar black-on-buff type of pottery at Tepe Barangtud.</w:t>
      </w:r>
      <w:r w:rsidRPr="00067D8A">
        <w:rPr>
          <w:rStyle w:val="EndnoteReference"/>
          <w:rFonts w:asciiTheme="majorBidi" w:hAnsiTheme="majorBidi" w:cstheme="majorBidi"/>
          <w:sz w:val="24"/>
          <w:szCs w:val="22"/>
        </w:rPr>
        <w:endnoteReference w:id="116"/>
      </w:r>
      <w:r w:rsidRPr="00067D8A">
        <w:rPr>
          <w:rFonts w:asciiTheme="majorBidi" w:hAnsiTheme="majorBidi" w:cstheme="majorBidi"/>
          <w:sz w:val="24"/>
          <w:szCs w:val="22"/>
        </w:rPr>
        <w:t xml:space="preserve"> Besides the ceramics, large quantities of cuprous slag</w:t>
      </w:r>
      <w:r w:rsidRPr="00067D8A">
        <w:rPr>
          <w:rStyle w:val="EndnoteReference"/>
          <w:rFonts w:asciiTheme="majorBidi" w:hAnsiTheme="majorBidi" w:cstheme="majorBidi"/>
          <w:sz w:val="24"/>
          <w:szCs w:val="22"/>
        </w:rPr>
        <w:endnoteReference w:id="117"/>
      </w:r>
      <w:r w:rsidRPr="00067D8A">
        <w:rPr>
          <w:rFonts w:asciiTheme="majorBidi" w:hAnsiTheme="majorBidi" w:cstheme="majorBidi"/>
          <w:sz w:val="24"/>
          <w:szCs w:val="22"/>
        </w:rPr>
        <w:t xml:space="preserve"> was found on the surface of prehistoric sites</w:t>
      </w:r>
      <w:r w:rsidR="00E212E5">
        <w:rPr>
          <w:rFonts w:asciiTheme="majorBidi" w:hAnsiTheme="majorBidi" w:cstheme="majorBidi"/>
          <w:sz w:val="24"/>
          <w:szCs w:val="22"/>
        </w:rPr>
        <w:t>,</w:t>
      </w:r>
      <w:r w:rsidRPr="00067D8A">
        <w:rPr>
          <w:rFonts w:asciiTheme="majorBidi" w:hAnsiTheme="majorBidi" w:cstheme="majorBidi"/>
          <w:sz w:val="24"/>
          <w:szCs w:val="22"/>
        </w:rPr>
        <w:t xml:space="preserve"> which suggest that copper was locally available and exploited. Fairservis also located a series of graves at </w:t>
      </w:r>
      <w:r w:rsidR="00E212E5">
        <w:rPr>
          <w:rFonts w:asciiTheme="majorBidi" w:hAnsiTheme="majorBidi" w:cstheme="majorBidi"/>
          <w:sz w:val="24"/>
          <w:szCs w:val="22"/>
        </w:rPr>
        <w:t>his</w:t>
      </w:r>
      <w:r w:rsidR="00E212E5" w:rsidRPr="00067D8A">
        <w:rPr>
          <w:rFonts w:asciiTheme="majorBidi" w:hAnsiTheme="majorBidi" w:cstheme="majorBidi"/>
          <w:sz w:val="24"/>
          <w:szCs w:val="22"/>
        </w:rPr>
        <w:t xml:space="preserve"> </w:t>
      </w:r>
      <w:r w:rsidR="00E212E5">
        <w:rPr>
          <w:rFonts w:asciiTheme="majorBidi" w:hAnsiTheme="majorBidi" w:cstheme="majorBidi"/>
          <w:sz w:val="24"/>
          <w:szCs w:val="22"/>
        </w:rPr>
        <w:t>S</w:t>
      </w:r>
      <w:r w:rsidRPr="00067D8A">
        <w:rPr>
          <w:rFonts w:asciiTheme="majorBidi" w:hAnsiTheme="majorBidi" w:cstheme="majorBidi"/>
          <w:sz w:val="24"/>
          <w:szCs w:val="22"/>
        </w:rPr>
        <w:t xml:space="preserve">ite </w:t>
      </w:r>
      <w:r w:rsidR="00E212E5">
        <w:rPr>
          <w:rFonts w:asciiTheme="majorBidi" w:hAnsiTheme="majorBidi" w:cstheme="majorBidi"/>
          <w:sz w:val="24"/>
          <w:szCs w:val="22"/>
        </w:rPr>
        <w:t>109, G.R.6</w:t>
      </w:r>
      <w:r w:rsidRPr="00067D8A">
        <w:rPr>
          <w:rFonts w:asciiTheme="majorBidi" w:hAnsiTheme="majorBidi" w:cstheme="majorBidi"/>
          <w:sz w:val="24"/>
          <w:szCs w:val="22"/>
        </w:rPr>
        <w:t xml:space="preserve"> </w:t>
      </w:r>
      <w:r w:rsidR="00E212E5">
        <w:rPr>
          <w:rFonts w:asciiTheme="majorBidi" w:hAnsiTheme="majorBidi" w:cstheme="majorBidi"/>
          <w:sz w:val="24"/>
          <w:szCs w:val="22"/>
        </w:rPr>
        <w:t xml:space="preserve">(G.R. for </w:t>
      </w:r>
      <w:r w:rsidRPr="00067D8A">
        <w:rPr>
          <w:rFonts w:asciiTheme="majorBidi" w:hAnsiTheme="majorBidi" w:cstheme="majorBidi"/>
          <w:sz w:val="24"/>
          <w:szCs w:val="22"/>
        </w:rPr>
        <w:t>Gardan Reg</w:t>
      </w:r>
      <w:r w:rsidR="00E212E5">
        <w:rPr>
          <w:rFonts w:asciiTheme="majorBidi" w:hAnsiTheme="majorBidi" w:cstheme="majorBidi"/>
          <w:sz w:val="24"/>
          <w:szCs w:val="22"/>
        </w:rPr>
        <w:t>),</w:t>
      </w:r>
      <w:r w:rsidRPr="00067D8A">
        <w:rPr>
          <w:rFonts w:asciiTheme="majorBidi" w:hAnsiTheme="majorBidi" w:cstheme="majorBidi"/>
          <w:sz w:val="24"/>
          <w:szCs w:val="22"/>
        </w:rPr>
        <w:t xml:space="preserve"> which by their ceramics and associated metal artefacts s</w:t>
      </w:r>
      <w:r w:rsidR="00435602">
        <w:rPr>
          <w:rFonts w:asciiTheme="majorBidi" w:hAnsiTheme="majorBidi" w:cstheme="majorBidi"/>
          <w:sz w:val="24"/>
          <w:szCs w:val="22"/>
        </w:rPr>
        <w:t xml:space="preserve">how </w:t>
      </w:r>
      <w:r w:rsidRPr="00067D8A">
        <w:rPr>
          <w:rFonts w:asciiTheme="majorBidi" w:hAnsiTheme="majorBidi" w:cstheme="majorBidi"/>
          <w:sz w:val="24"/>
          <w:szCs w:val="22"/>
        </w:rPr>
        <w:t>affiliation</w:t>
      </w:r>
      <w:r w:rsidR="00435602">
        <w:rPr>
          <w:rFonts w:asciiTheme="majorBidi" w:hAnsiTheme="majorBidi" w:cstheme="majorBidi"/>
          <w:sz w:val="24"/>
          <w:szCs w:val="22"/>
        </w:rPr>
        <w:t xml:space="preserve"> with Mundigak and Shahr-i Sokhta</w:t>
      </w:r>
      <w:r w:rsidRPr="00067D8A">
        <w:rPr>
          <w:rFonts w:asciiTheme="majorBidi" w:hAnsiTheme="majorBidi" w:cstheme="majorBidi"/>
          <w:sz w:val="24"/>
          <w:szCs w:val="22"/>
        </w:rPr>
        <w:t>.</w:t>
      </w:r>
    </w:p>
    <w:p w14:paraId="0FD57CBA" w14:textId="496E9BCB" w:rsidR="0030226C" w:rsidRPr="00435602" w:rsidRDefault="0030226C" w:rsidP="0030226C">
      <w:pPr>
        <w:pStyle w:val="BodyTextIndent"/>
        <w:rPr>
          <w:rFonts w:asciiTheme="majorBidi" w:hAnsiTheme="majorBidi" w:cstheme="majorBidi"/>
          <w:color w:val="auto"/>
          <w:sz w:val="24"/>
          <w:szCs w:val="22"/>
          <w:highlight w:val="yellow"/>
        </w:rPr>
      </w:pPr>
      <w:r w:rsidRPr="00067D8A">
        <w:rPr>
          <w:rFonts w:asciiTheme="majorBidi" w:hAnsiTheme="majorBidi" w:cstheme="majorBidi"/>
          <w:sz w:val="24"/>
          <w:szCs w:val="22"/>
        </w:rPr>
        <w:t xml:space="preserve">The last two seasons of Dales’ work in Seistan were spent surveying the southern areas of Afghan </w:t>
      </w:r>
      <w:r w:rsidRPr="00435602">
        <w:rPr>
          <w:rFonts w:asciiTheme="majorBidi" w:hAnsiTheme="majorBidi" w:cstheme="majorBidi"/>
          <w:color w:val="auto"/>
          <w:sz w:val="24"/>
          <w:szCs w:val="22"/>
        </w:rPr>
        <w:t>Seistan</w:t>
      </w:r>
      <w:r w:rsidR="00FF0632" w:rsidRPr="00435602">
        <w:rPr>
          <w:rFonts w:asciiTheme="majorBidi" w:hAnsiTheme="majorBidi" w:cstheme="majorBidi"/>
          <w:color w:val="auto"/>
          <w:sz w:val="24"/>
          <w:szCs w:val="22"/>
        </w:rPr>
        <w:t xml:space="preserve"> (covering many of the same sites that Fairservis </w:t>
      </w:r>
      <w:r w:rsidR="00435602" w:rsidRPr="00435602">
        <w:rPr>
          <w:rFonts w:asciiTheme="majorBidi" w:hAnsiTheme="majorBidi" w:cstheme="majorBidi"/>
          <w:color w:val="auto"/>
          <w:sz w:val="24"/>
          <w:szCs w:val="22"/>
        </w:rPr>
        <w:t xml:space="preserve">visited </w:t>
      </w:r>
      <w:r w:rsidR="00FF0632" w:rsidRPr="00435602">
        <w:rPr>
          <w:rFonts w:asciiTheme="majorBidi" w:hAnsiTheme="majorBidi" w:cstheme="majorBidi"/>
          <w:color w:val="auto"/>
          <w:sz w:val="24"/>
          <w:szCs w:val="22"/>
        </w:rPr>
        <w:t>earlier)</w:t>
      </w:r>
      <w:r w:rsidRPr="00435602">
        <w:rPr>
          <w:rFonts w:asciiTheme="majorBidi" w:hAnsiTheme="majorBidi" w:cstheme="majorBidi"/>
          <w:color w:val="auto"/>
          <w:sz w:val="24"/>
          <w:szCs w:val="22"/>
        </w:rPr>
        <w:t xml:space="preserve">. From the south-western corner of Afghanistan, on the Shela Rud, Dales identified some decorated wares and basket- impressed pottery which almost certainly indicates the presence of prehistoric remains in this remote region. Of particular interest were many alabaster objects, including columns, discs and weights, similar to Tepe Hisār IIIc material in Iran, scattered around the site of Gudar-i Shah. These might have been brought </w:t>
      </w:r>
      <w:r w:rsidR="00435602" w:rsidRPr="00435602">
        <w:rPr>
          <w:rFonts w:asciiTheme="majorBidi" w:hAnsiTheme="majorBidi" w:cstheme="majorBidi"/>
          <w:color w:val="auto"/>
          <w:sz w:val="24"/>
          <w:szCs w:val="22"/>
        </w:rPr>
        <w:t>t</w:t>
      </w:r>
      <w:r w:rsidRPr="00435602">
        <w:rPr>
          <w:rFonts w:asciiTheme="majorBidi" w:hAnsiTheme="majorBidi" w:cstheme="majorBidi"/>
          <w:color w:val="auto"/>
          <w:sz w:val="24"/>
          <w:szCs w:val="22"/>
        </w:rPr>
        <w:t>here by nomads from the nearby site of Dam, where basketware, greyware and painted sherds were collected.</w:t>
      </w:r>
      <w:r w:rsidRPr="00435602">
        <w:rPr>
          <w:rStyle w:val="EndnoteReference"/>
          <w:rFonts w:asciiTheme="majorBidi" w:hAnsiTheme="majorBidi" w:cstheme="majorBidi"/>
          <w:color w:val="auto"/>
          <w:sz w:val="24"/>
          <w:szCs w:val="22"/>
        </w:rPr>
        <w:endnoteReference w:id="118"/>
      </w:r>
    </w:p>
    <w:p w14:paraId="0C1EA425" w14:textId="335B8F0B" w:rsidR="0030226C" w:rsidRPr="00435602" w:rsidRDefault="0030226C" w:rsidP="0030226C">
      <w:pPr>
        <w:pStyle w:val="BodyTextIndent"/>
        <w:rPr>
          <w:rFonts w:asciiTheme="majorBidi" w:hAnsiTheme="majorBidi" w:cstheme="majorBidi"/>
          <w:color w:val="auto"/>
          <w:sz w:val="24"/>
          <w:szCs w:val="22"/>
        </w:rPr>
      </w:pPr>
      <w:r w:rsidRPr="00067D8A">
        <w:rPr>
          <w:rFonts w:asciiTheme="majorBidi" w:hAnsiTheme="majorBidi" w:cstheme="majorBidi"/>
          <w:sz w:val="24"/>
          <w:szCs w:val="22"/>
        </w:rPr>
        <w:t xml:space="preserve">The </w:t>
      </w:r>
      <w:r w:rsidRPr="00435602">
        <w:rPr>
          <w:rFonts w:asciiTheme="majorBidi" w:hAnsiTheme="majorBidi" w:cstheme="majorBidi"/>
          <w:color w:val="auto"/>
          <w:sz w:val="24"/>
          <w:szCs w:val="22"/>
        </w:rPr>
        <w:t>survey by Hammond in north-eastern Seistan along the Helmand Rud at first located a single site with possible prehistoric occupation near Darweshan.</w:t>
      </w:r>
      <w:r w:rsidRPr="00435602">
        <w:rPr>
          <w:rStyle w:val="EndnoteReference"/>
          <w:rFonts w:asciiTheme="majorBidi" w:hAnsiTheme="majorBidi" w:cstheme="majorBidi"/>
          <w:color w:val="auto"/>
          <w:sz w:val="24"/>
          <w:szCs w:val="22"/>
        </w:rPr>
        <w:endnoteReference w:id="119"/>
      </w:r>
      <w:r w:rsidRPr="00435602">
        <w:rPr>
          <w:rFonts w:asciiTheme="majorBidi" w:hAnsiTheme="majorBidi" w:cstheme="majorBidi"/>
          <w:color w:val="auto"/>
          <w:sz w:val="24"/>
          <w:szCs w:val="22"/>
        </w:rPr>
        <w:t xml:space="preserve"> Subsequently, new studies by Besenval and Francfort re-interpreted Hammond’s Type 10 ‘cord marked’ ware as </w:t>
      </w:r>
      <w:r w:rsidR="00435602" w:rsidRPr="00435602">
        <w:rPr>
          <w:rFonts w:asciiTheme="majorBidi" w:hAnsiTheme="majorBidi" w:cstheme="majorBidi"/>
          <w:color w:val="auto"/>
          <w:sz w:val="24"/>
          <w:szCs w:val="22"/>
        </w:rPr>
        <w:t xml:space="preserve">being </w:t>
      </w:r>
      <w:r w:rsidRPr="00435602">
        <w:rPr>
          <w:rFonts w:asciiTheme="majorBidi" w:hAnsiTheme="majorBidi" w:cstheme="majorBidi"/>
          <w:color w:val="auto"/>
          <w:sz w:val="24"/>
          <w:szCs w:val="22"/>
        </w:rPr>
        <w:t>Harappan.</w:t>
      </w:r>
      <w:r w:rsidRPr="00435602">
        <w:rPr>
          <w:rStyle w:val="EndnoteReference"/>
          <w:rFonts w:asciiTheme="majorBidi" w:hAnsiTheme="majorBidi" w:cstheme="majorBidi"/>
          <w:color w:val="auto"/>
          <w:sz w:val="24"/>
          <w:szCs w:val="22"/>
        </w:rPr>
        <w:endnoteReference w:id="120"/>
      </w:r>
      <w:r w:rsidRPr="00435602">
        <w:rPr>
          <w:rFonts w:asciiTheme="majorBidi" w:hAnsiTheme="majorBidi" w:cstheme="majorBidi"/>
          <w:color w:val="auto"/>
          <w:sz w:val="24"/>
          <w:szCs w:val="22"/>
        </w:rPr>
        <w:t xml:space="preserve"> This ware is described as pink fabric with small inclusions, decorated by ‘parallel impressions of a twisted string of cord, evenly spaced or paired.’</w:t>
      </w:r>
      <w:r w:rsidRPr="00435602">
        <w:rPr>
          <w:rStyle w:val="EndnoteReference"/>
          <w:rFonts w:asciiTheme="majorBidi" w:hAnsiTheme="majorBidi" w:cstheme="majorBidi"/>
          <w:color w:val="auto"/>
          <w:sz w:val="24"/>
          <w:szCs w:val="22"/>
        </w:rPr>
        <w:endnoteReference w:id="121"/>
      </w:r>
      <w:r w:rsidRPr="00435602">
        <w:rPr>
          <w:rFonts w:asciiTheme="majorBidi" w:hAnsiTheme="majorBidi" w:cstheme="majorBidi"/>
          <w:color w:val="auto"/>
          <w:sz w:val="24"/>
          <w:szCs w:val="22"/>
        </w:rPr>
        <w:t xml:space="preserve"> Although only five sherds </w:t>
      </w:r>
      <w:r w:rsidR="00435602" w:rsidRPr="00435602">
        <w:rPr>
          <w:rFonts w:asciiTheme="majorBidi" w:hAnsiTheme="majorBidi" w:cstheme="majorBidi"/>
          <w:color w:val="auto"/>
          <w:sz w:val="24"/>
          <w:szCs w:val="22"/>
        </w:rPr>
        <w:t>of</w:t>
      </w:r>
      <w:r w:rsidRPr="00435602">
        <w:rPr>
          <w:rFonts w:asciiTheme="majorBidi" w:hAnsiTheme="majorBidi" w:cstheme="majorBidi"/>
          <w:color w:val="auto"/>
          <w:sz w:val="24"/>
          <w:szCs w:val="22"/>
        </w:rPr>
        <w:t xml:space="preserve"> this group</w:t>
      </w:r>
      <w:r w:rsidR="00435602" w:rsidRPr="00435602">
        <w:rPr>
          <w:rFonts w:asciiTheme="majorBidi" w:hAnsiTheme="majorBidi" w:cstheme="majorBidi"/>
          <w:color w:val="auto"/>
          <w:sz w:val="24"/>
          <w:szCs w:val="22"/>
        </w:rPr>
        <w:t xml:space="preserve"> were recovered</w:t>
      </w:r>
      <w:r w:rsidRPr="00435602">
        <w:rPr>
          <w:rFonts w:asciiTheme="majorBidi" w:hAnsiTheme="majorBidi" w:cstheme="majorBidi"/>
          <w:color w:val="auto"/>
          <w:sz w:val="24"/>
          <w:szCs w:val="22"/>
        </w:rPr>
        <w:t xml:space="preserve">, it has led to the identification of three more Bronze Age sites in </w:t>
      </w:r>
      <w:r w:rsidRPr="00435602">
        <w:rPr>
          <w:rFonts w:asciiTheme="majorBidi" w:hAnsiTheme="majorBidi" w:cstheme="majorBidi"/>
          <w:color w:val="auto"/>
          <w:sz w:val="24"/>
          <w:szCs w:val="22"/>
        </w:rPr>
        <w:lastRenderedPageBreak/>
        <w:t>his survey: Zindan, Qal’a-i Hindu and Qal’a-i Sultan, as well as the originally identified Akram Qal’a.</w:t>
      </w:r>
      <w:r w:rsidRPr="00435602">
        <w:rPr>
          <w:rStyle w:val="EndnoteReference"/>
          <w:rFonts w:asciiTheme="majorBidi" w:hAnsiTheme="majorBidi" w:cstheme="majorBidi"/>
          <w:color w:val="auto"/>
          <w:sz w:val="24"/>
          <w:szCs w:val="22"/>
        </w:rPr>
        <w:endnoteReference w:id="122"/>
      </w:r>
      <w:r w:rsidRPr="00435602">
        <w:rPr>
          <w:rFonts w:asciiTheme="majorBidi" w:hAnsiTheme="majorBidi" w:cstheme="majorBidi"/>
          <w:color w:val="auto"/>
          <w:sz w:val="24"/>
          <w:szCs w:val="22"/>
        </w:rPr>
        <w:t xml:space="preserve"> Trousdale subsequently collected Bronze Age pottery from another of Hammond’s surveyed sites in the Darweshan area, Khwaja Hasan,</w:t>
      </w:r>
      <w:r w:rsidRPr="00435602">
        <w:rPr>
          <w:rStyle w:val="EndnoteReference"/>
          <w:rFonts w:asciiTheme="majorBidi" w:hAnsiTheme="majorBidi" w:cstheme="majorBidi"/>
          <w:color w:val="auto"/>
          <w:sz w:val="24"/>
          <w:szCs w:val="22"/>
        </w:rPr>
        <w:endnoteReference w:id="123"/>
      </w:r>
      <w:r w:rsidRPr="00435602">
        <w:rPr>
          <w:rFonts w:asciiTheme="majorBidi" w:hAnsiTheme="majorBidi" w:cstheme="majorBidi"/>
          <w:color w:val="auto"/>
          <w:sz w:val="24"/>
          <w:szCs w:val="22"/>
        </w:rPr>
        <w:t xml:space="preserve"> and also recorded a number of new Bronze Age further down the Helmand in Seistan, in addition to re-examining those recorded by Fairservis and Dales.</w:t>
      </w:r>
      <w:r w:rsidRPr="00435602">
        <w:rPr>
          <w:rStyle w:val="EndnoteReference"/>
          <w:rFonts w:asciiTheme="majorBidi" w:hAnsiTheme="majorBidi" w:cstheme="majorBidi"/>
          <w:color w:val="auto"/>
          <w:sz w:val="24"/>
          <w:szCs w:val="22"/>
        </w:rPr>
        <w:endnoteReference w:id="124"/>
      </w:r>
      <w:r w:rsidRPr="00435602">
        <w:rPr>
          <w:rFonts w:asciiTheme="majorBidi" w:hAnsiTheme="majorBidi" w:cstheme="majorBidi"/>
          <w:color w:val="auto"/>
          <w:sz w:val="24"/>
          <w:szCs w:val="22"/>
        </w:rPr>
        <w:t xml:space="preserve"> </w:t>
      </w:r>
    </w:p>
    <w:p w14:paraId="0E8BD83E" w14:textId="1527D233" w:rsidR="0030226C" w:rsidRPr="00FF0632" w:rsidRDefault="009C43AA" w:rsidP="0030226C">
      <w:pPr>
        <w:pStyle w:val="Heading2"/>
        <w:rPr>
          <w:rFonts w:asciiTheme="majorBidi" w:hAnsiTheme="majorBidi"/>
          <w:color w:val="auto"/>
          <w:sz w:val="36"/>
          <w:szCs w:val="36"/>
          <w:lang w:val="en-GB"/>
        </w:rPr>
      </w:pPr>
      <w:r w:rsidRPr="009C43AA">
        <w:rPr>
          <w:rFonts w:asciiTheme="majorBidi" w:hAnsiTheme="majorBidi"/>
          <w:color w:val="auto"/>
          <w:sz w:val="36"/>
          <w:szCs w:val="36"/>
          <w:lang w:val="en-GB"/>
        </w:rPr>
        <w:t>External Relationships with Southern Afghanistan</w:t>
      </w:r>
      <w:r w:rsidRPr="009C43AA">
        <w:rPr>
          <w:rStyle w:val="EndnoteReference"/>
          <w:rFonts w:asciiTheme="majorBidi" w:hAnsiTheme="majorBidi"/>
          <w:color w:val="auto"/>
          <w:sz w:val="36"/>
          <w:szCs w:val="36"/>
          <w:lang w:val="en-GB"/>
        </w:rPr>
        <w:endnoteReference w:id="125"/>
      </w:r>
    </w:p>
    <w:p w14:paraId="25F369DD" w14:textId="77777777" w:rsidR="00FF0632" w:rsidRDefault="0030226C" w:rsidP="0030226C">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 xml:space="preserve"> </w:t>
      </w:r>
    </w:p>
    <w:p w14:paraId="063104A0" w14:textId="5A8B59BC" w:rsidR="0030226C" w:rsidRPr="00067D8A" w:rsidRDefault="0030226C" w:rsidP="0030226C">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Having described the prehistoric developments in southern Afghanistan it is now necessary to delineate what other cultures, and areas, were exerting an influence on or were being influenced by these developments. Because of the nature of archaeological data such relationships are difficult to establish with any high degree of certainty</w:t>
      </w:r>
      <w:r w:rsidR="008A27B8">
        <w:rPr>
          <w:rFonts w:asciiTheme="majorBidi" w:hAnsiTheme="majorBidi" w:cstheme="majorBidi"/>
          <w:sz w:val="24"/>
          <w:szCs w:val="22"/>
          <w:lang w:val="en-GB"/>
        </w:rPr>
        <w:t>, and are made doubly difficult due to the lack of reliable absolute dates from the sites discussed above</w:t>
      </w:r>
      <w:r w:rsidRPr="00067D8A">
        <w:rPr>
          <w:rFonts w:asciiTheme="majorBidi" w:hAnsiTheme="majorBidi" w:cstheme="majorBidi"/>
          <w:sz w:val="24"/>
          <w:szCs w:val="22"/>
          <w:lang w:val="en-GB"/>
        </w:rPr>
        <w:t>. Generally, such external relationships are determined by similarities in ceramic industries between geographically disparate sites, or the occasional intrusive sherd which indicates that some form of interaction was taking place. More rarely such relationships can be established by the identification of objects manufactured from a material which had a limited source of origin such as lapis lazuli or marine sea shells. Identification of such objects at sites geographically distant from the source areas clearly indicates that some form of direct or indirect interaction between the two areas was taking place. Both types of relationships will be discussed here. The cultural and chronological boundaries for these external relationships will be based on the protracted Mundigak sequence.</w:t>
      </w:r>
      <w:r w:rsidRPr="00067D8A">
        <w:rPr>
          <w:rStyle w:val="EndnoteReference"/>
          <w:rFonts w:asciiTheme="majorBidi" w:hAnsiTheme="majorBidi" w:cstheme="majorBidi"/>
          <w:sz w:val="24"/>
          <w:szCs w:val="22"/>
          <w:lang w:val="en-GB"/>
        </w:rPr>
        <w:endnoteReference w:id="126"/>
      </w:r>
    </w:p>
    <w:p w14:paraId="218B3097" w14:textId="50A754DF"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No discussion of the Seistan Basin is complete without some mention of the extremely important prehistoric site of Shahr-i Sokhta.</w:t>
      </w:r>
      <w:r w:rsidRPr="00067D8A">
        <w:rPr>
          <w:rStyle w:val="EndnoteReference"/>
          <w:rFonts w:asciiTheme="majorBidi" w:hAnsiTheme="majorBidi" w:cstheme="majorBidi"/>
          <w:sz w:val="24"/>
          <w:szCs w:val="22"/>
        </w:rPr>
        <w:endnoteReference w:id="127"/>
      </w:r>
      <w:r w:rsidRPr="00067D8A">
        <w:rPr>
          <w:rFonts w:asciiTheme="majorBidi" w:hAnsiTheme="majorBidi" w:cstheme="majorBidi"/>
          <w:sz w:val="24"/>
          <w:szCs w:val="22"/>
        </w:rPr>
        <w:t xml:space="preserve"> This huge urban site has produced a material culture (Periods II–III) which is so remarkably similar to that found at Mundigak </w:t>
      </w:r>
      <w:r w:rsidR="001E1DEF">
        <w:rPr>
          <w:rFonts w:asciiTheme="majorBidi" w:hAnsiTheme="majorBidi" w:cstheme="majorBidi"/>
          <w:sz w:val="24"/>
          <w:szCs w:val="22"/>
        </w:rPr>
        <w:t>Sub-Period</w:t>
      </w:r>
      <w:r w:rsidRPr="00067D8A">
        <w:rPr>
          <w:rFonts w:asciiTheme="majorBidi" w:hAnsiTheme="majorBidi" w:cstheme="majorBidi"/>
          <w:sz w:val="24"/>
          <w:szCs w:val="22"/>
        </w:rPr>
        <w:t>s III</w:t>
      </w:r>
      <w:r w:rsidRPr="00067D8A">
        <w:rPr>
          <w:rFonts w:asciiTheme="majorBidi" w:hAnsiTheme="majorBidi" w:cstheme="majorBidi"/>
          <w:sz w:val="24"/>
          <w:szCs w:val="22"/>
          <w:vertAlign w:val="subscript"/>
        </w:rPr>
        <w:t>5–6</w:t>
      </w:r>
      <w:r w:rsidRPr="00067D8A">
        <w:rPr>
          <w:rFonts w:asciiTheme="majorBidi" w:hAnsiTheme="majorBidi" w:cstheme="majorBidi"/>
          <w:sz w:val="24"/>
          <w:szCs w:val="22"/>
        </w:rPr>
        <w:t>–IV</w:t>
      </w:r>
      <w:r w:rsidRPr="00067D8A">
        <w:rPr>
          <w:rFonts w:asciiTheme="majorBidi" w:hAnsiTheme="majorBidi" w:cstheme="majorBidi"/>
          <w:sz w:val="24"/>
          <w:szCs w:val="22"/>
          <w:vertAlign w:val="subscript"/>
        </w:rPr>
        <w:t>1</w:t>
      </w:r>
      <w:r w:rsidRPr="00067D8A">
        <w:rPr>
          <w:rFonts w:asciiTheme="majorBidi" w:hAnsiTheme="majorBidi" w:cstheme="majorBidi"/>
          <w:sz w:val="24"/>
          <w:szCs w:val="22"/>
        </w:rPr>
        <w:t xml:space="preserve">, Said Qala I–IV, Deh Morasi I–IV, and in the Quetta Valley </w:t>
      </w:r>
      <w:r w:rsidR="008A27B8">
        <w:rPr>
          <w:rFonts w:asciiTheme="majorBidi" w:hAnsiTheme="majorBidi" w:cstheme="majorBidi"/>
          <w:sz w:val="24"/>
          <w:szCs w:val="22"/>
        </w:rPr>
        <w:t>this material</w:t>
      </w:r>
      <w:r w:rsidRPr="00067D8A">
        <w:rPr>
          <w:rFonts w:asciiTheme="majorBidi" w:hAnsiTheme="majorBidi" w:cstheme="majorBidi"/>
          <w:sz w:val="24"/>
          <w:szCs w:val="22"/>
        </w:rPr>
        <w:t xml:space="preserve"> has been </w:t>
      </w:r>
      <w:r w:rsidRPr="00067D8A">
        <w:rPr>
          <w:rFonts w:asciiTheme="majorBidi" w:hAnsiTheme="majorBidi" w:cstheme="majorBidi"/>
          <w:sz w:val="24"/>
          <w:szCs w:val="22"/>
        </w:rPr>
        <w:lastRenderedPageBreak/>
        <w:t>identified as representing a ‘Helmand Civilisation’.</w:t>
      </w:r>
      <w:r w:rsidRPr="00067D8A">
        <w:rPr>
          <w:rStyle w:val="EndnoteReference"/>
          <w:rFonts w:asciiTheme="majorBidi" w:hAnsiTheme="majorBidi" w:cstheme="majorBidi"/>
          <w:sz w:val="24"/>
          <w:szCs w:val="22"/>
        </w:rPr>
        <w:endnoteReference w:id="128"/>
      </w:r>
      <w:r w:rsidRPr="00067D8A">
        <w:rPr>
          <w:rFonts w:asciiTheme="majorBidi" w:hAnsiTheme="majorBidi" w:cstheme="majorBidi"/>
          <w:sz w:val="24"/>
          <w:szCs w:val="22"/>
        </w:rPr>
        <w:t xml:space="preserve"> Ceramically, the vessel forms, motifs and style of execution are nearly identical among the above mentioned sites. The same similarity can be found in metal artefacts, lithic artefacts, ceramic figurines, compartmented seals and architectural features. The similarity is so pronounced as to indicate that extensive interaction and communication was maintained between these sites.</w:t>
      </w:r>
    </w:p>
    <w:p w14:paraId="26F8A785" w14:textId="391A7279" w:rsidR="0015740D" w:rsidRDefault="0030226C" w:rsidP="0015740D">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The most extensive remains </w:t>
      </w:r>
      <w:r w:rsidR="00A91A3E">
        <w:rPr>
          <w:rFonts w:asciiTheme="majorBidi" w:hAnsiTheme="majorBidi" w:cstheme="majorBidi"/>
          <w:sz w:val="24"/>
          <w:szCs w:val="22"/>
        </w:rPr>
        <w:t xml:space="preserve">at </w:t>
      </w:r>
      <w:r w:rsidRPr="00067D8A">
        <w:rPr>
          <w:rFonts w:asciiTheme="majorBidi" w:hAnsiTheme="majorBidi" w:cstheme="majorBidi"/>
          <w:sz w:val="24"/>
          <w:szCs w:val="22"/>
        </w:rPr>
        <w:t xml:space="preserve">Shahr-i Sokhta </w:t>
      </w:r>
      <w:r w:rsidR="005A245E">
        <w:rPr>
          <w:rFonts w:asciiTheme="majorBidi" w:hAnsiTheme="majorBidi" w:cstheme="majorBidi"/>
          <w:sz w:val="24"/>
          <w:szCs w:val="22"/>
        </w:rPr>
        <w:t>c</w:t>
      </w:r>
      <w:r w:rsidR="00A91A3E">
        <w:rPr>
          <w:rFonts w:asciiTheme="majorBidi" w:hAnsiTheme="majorBidi" w:cstheme="majorBidi"/>
          <w:sz w:val="24"/>
          <w:szCs w:val="22"/>
        </w:rPr>
        <w:t>ome from</w:t>
      </w:r>
      <w:r w:rsidR="00A91A3E" w:rsidRPr="00067D8A">
        <w:rPr>
          <w:rFonts w:asciiTheme="majorBidi" w:hAnsiTheme="majorBidi" w:cstheme="majorBidi"/>
          <w:sz w:val="24"/>
          <w:szCs w:val="22"/>
        </w:rPr>
        <w:t xml:space="preserve"> </w:t>
      </w:r>
      <w:r w:rsidRPr="00067D8A">
        <w:rPr>
          <w:rFonts w:asciiTheme="majorBidi" w:hAnsiTheme="majorBidi" w:cstheme="majorBidi"/>
          <w:sz w:val="24"/>
          <w:szCs w:val="22"/>
        </w:rPr>
        <w:t xml:space="preserve">Periods II–III. Besides the strikingly similar examples of Quetta Ware and the more common black-on-buff/red pottery, smaller quantities of a black-on-grey pottery similar to Emir Gray from Afghan Seistan were also </w:t>
      </w:r>
      <w:r w:rsidR="00A91A3E">
        <w:rPr>
          <w:rFonts w:asciiTheme="majorBidi" w:hAnsiTheme="majorBidi" w:cstheme="majorBidi"/>
          <w:sz w:val="24"/>
          <w:szCs w:val="22"/>
        </w:rPr>
        <w:t>recovered</w:t>
      </w:r>
      <w:r w:rsidRPr="00067D8A">
        <w:rPr>
          <w:rFonts w:asciiTheme="majorBidi" w:hAnsiTheme="majorBidi" w:cstheme="majorBidi"/>
          <w:sz w:val="24"/>
          <w:szCs w:val="22"/>
        </w:rPr>
        <w:t>. During Period III the black-on-buff pottery motifs become so highly standardised as to be monotonous by their repetition. Also during Period III the black-on-grey pottery increases in quantity. Besides pottery, Shahr-i Sokhta II–III yielded many other non-perishable and perishable items such as: objects of wood; basketry; textiles; and large quantities of alabaster, carnelian, chalcedony, lapis lazuli and turquoise objects. Not only were finished artefacts of semi-precious stones found, e.g. beads, but also waste flakes and tools of manufacture, suggesting that the site was a manufacturing centre for such objects</w:t>
      </w:r>
      <w:r w:rsidR="00A91A3E">
        <w:rPr>
          <w:rFonts w:asciiTheme="majorBidi" w:hAnsiTheme="majorBidi" w:cstheme="majorBidi"/>
          <w:sz w:val="24"/>
          <w:szCs w:val="22"/>
        </w:rPr>
        <w:t>, though the nature of the trade in these objects continues to be debated</w:t>
      </w:r>
      <w:r w:rsidR="00182EAF" w:rsidRPr="00067D8A">
        <w:rPr>
          <w:rFonts w:asciiTheme="majorBidi" w:hAnsiTheme="majorBidi" w:cstheme="majorBidi"/>
          <w:sz w:val="24"/>
          <w:szCs w:val="22"/>
        </w:rPr>
        <w:t>.</w:t>
      </w:r>
      <w:r w:rsidR="00182EAF" w:rsidRPr="00067D8A">
        <w:rPr>
          <w:rStyle w:val="EndnoteReference"/>
          <w:rFonts w:asciiTheme="majorBidi" w:hAnsiTheme="majorBidi" w:cstheme="majorBidi"/>
          <w:sz w:val="24"/>
          <w:szCs w:val="22"/>
        </w:rPr>
        <w:endnoteReference w:id="129"/>
      </w:r>
      <w:r w:rsidR="00182EAF" w:rsidRPr="00067D8A">
        <w:rPr>
          <w:rFonts w:asciiTheme="majorBidi" w:hAnsiTheme="majorBidi" w:cstheme="majorBidi"/>
          <w:sz w:val="24"/>
          <w:szCs w:val="22"/>
        </w:rPr>
        <w:t xml:space="preserve"> </w:t>
      </w:r>
      <w:r w:rsidRPr="00067D8A">
        <w:rPr>
          <w:rFonts w:asciiTheme="majorBidi" w:hAnsiTheme="majorBidi" w:cstheme="majorBidi"/>
          <w:sz w:val="24"/>
          <w:szCs w:val="22"/>
        </w:rPr>
        <w:t>Alabaster was available locally as were probably chalcedony and steatite; carnelian has a variety of sources which might have been local as could have been the jasper drill-heads for working such material.</w:t>
      </w:r>
      <w:r w:rsidRPr="00067D8A">
        <w:rPr>
          <w:rStyle w:val="EndnoteReference"/>
          <w:rFonts w:asciiTheme="majorBidi" w:hAnsiTheme="majorBidi" w:cstheme="majorBidi"/>
          <w:sz w:val="24"/>
          <w:szCs w:val="22"/>
        </w:rPr>
        <w:endnoteReference w:id="130"/>
      </w:r>
      <w:r w:rsidRPr="00067D8A">
        <w:rPr>
          <w:rFonts w:asciiTheme="majorBidi" w:hAnsiTheme="majorBidi" w:cstheme="majorBidi"/>
          <w:sz w:val="24"/>
          <w:szCs w:val="22"/>
        </w:rPr>
        <w:t xml:space="preserve"> Turquoise is also known from several localities in Iran. The lapis lazuli came from Badakhshan</w:t>
      </w:r>
      <w:r w:rsidR="00484685">
        <w:rPr>
          <w:rFonts w:asciiTheme="majorBidi" w:hAnsiTheme="majorBidi" w:cstheme="majorBidi"/>
          <w:sz w:val="24"/>
          <w:szCs w:val="22"/>
        </w:rPr>
        <w:t xml:space="preserve"> – close to the site of Shortugaï (see Chapter 3) – and this was</w:t>
      </w:r>
      <w:r w:rsidRPr="00067D8A">
        <w:rPr>
          <w:rFonts w:asciiTheme="majorBidi" w:hAnsiTheme="majorBidi" w:cstheme="majorBidi"/>
          <w:sz w:val="24"/>
          <w:szCs w:val="22"/>
        </w:rPr>
        <w:t xml:space="preserve"> the major source for this blue stone throughout the prehistoric Middle East</w:t>
      </w:r>
      <w:r w:rsidRPr="00067D8A">
        <w:rPr>
          <w:rStyle w:val="EndnoteReference"/>
          <w:rFonts w:asciiTheme="majorBidi" w:hAnsiTheme="majorBidi" w:cstheme="majorBidi"/>
          <w:sz w:val="24"/>
          <w:szCs w:val="22"/>
        </w:rPr>
        <w:endnoteReference w:id="131"/>
      </w:r>
      <w:r w:rsidRPr="00067D8A">
        <w:rPr>
          <w:rFonts w:asciiTheme="majorBidi" w:hAnsiTheme="majorBidi" w:cstheme="majorBidi"/>
          <w:sz w:val="24"/>
          <w:szCs w:val="22"/>
        </w:rPr>
        <w:t xml:space="preserve">, with significant quantities being imported into Mesopotamia during </w:t>
      </w:r>
      <w:r w:rsidR="00484685">
        <w:rPr>
          <w:rFonts w:asciiTheme="majorBidi" w:hAnsiTheme="majorBidi" w:cstheme="majorBidi"/>
          <w:sz w:val="24"/>
          <w:szCs w:val="22"/>
        </w:rPr>
        <w:t xml:space="preserve">the </w:t>
      </w:r>
      <w:r w:rsidRPr="00067D8A">
        <w:rPr>
          <w:rFonts w:asciiTheme="majorBidi" w:hAnsiTheme="majorBidi" w:cstheme="majorBidi"/>
          <w:sz w:val="24"/>
          <w:szCs w:val="22"/>
        </w:rPr>
        <w:t xml:space="preserve">Jemdet Nasr </w:t>
      </w:r>
      <w:r w:rsidR="00484685">
        <w:rPr>
          <w:rFonts w:asciiTheme="majorBidi" w:hAnsiTheme="majorBidi" w:cstheme="majorBidi"/>
          <w:sz w:val="24"/>
          <w:szCs w:val="22"/>
        </w:rPr>
        <w:t>period</w:t>
      </w:r>
      <w:r w:rsidRPr="00067D8A">
        <w:rPr>
          <w:rFonts w:asciiTheme="majorBidi" w:hAnsiTheme="majorBidi" w:cstheme="majorBidi"/>
          <w:sz w:val="24"/>
          <w:szCs w:val="22"/>
        </w:rPr>
        <w:t xml:space="preserve">. The Jemdet Nasr context is especially interesting since clay cylinder sealings of this period were found in Period I at Shahr-i </w:t>
      </w:r>
      <w:r w:rsidRPr="00484685">
        <w:rPr>
          <w:rFonts w:asciiTheme="majorBidi" w:hAnsiTheme="majorBidi" w:cstheme="majorBidi"/>
          <w:color w:val="auto"/>
          <w:sz w:val="24"/>
          <w:szCs w:val="22"/>
        </w:rPr>
        <w:t>Sokhta. It is also notable that a Proto-Elamite table</w:t>
      </w:r>
      <w:r w:rsidR="00FF0632" w:rsidRPr="00484685">
        <w:rPr>
          <w:rFonts w:asciiTheme="majorBidi" w:hAnsiTheme="majorBidi" w:cstheme="majorBidi"/>
          <w:color w:val="auto"/>
          <w:sz w:val="24"/>
          <w:szCs w:val="22"/>
        </w:rPr>
        <w:t>t</w:t>
      </w:r>
      <w:r w:rsidRPr="00484685">
        <w:rPr>
          <w:rFonts w:asciiTheme="majorBidi" w:hAnsiTheme="majorBidi" w:cstheme="majorBidi"/>
          <w:color w:val="auto"/>
          <w:sz w:val="24"/>
          <w:szCs w:val="22"/>
        </w:rPr>
        <w:t xml:space="preserve"> was recovered from Period I deposits,</w:t>
      </w:r>
      <w:r w:rsidRPr="00484685">
        <w:rPr>
          <w:rStyle w:val="EndnoteReference"/>
          <w:rFonts w:asciiTheme="majorBidi" w:hAnsiTheme="majorBidi" w:cstheme="majorBidi"/>
          <w:color w:val="auto"/>
          <w:sz w:val="24"/>
          <w:szCs w:val="22"/>
        </w:rPr>
        <w:endnoteReference w:id="132"/>
      </w:r>
      <w:r w:rsidRPr="00484685">
        <w:rPr>
          <w:rFonts w:asciiTheme="majorBidi" w:hAnsiTheme="majorBidi" w:cstheme="majorBidi"/>
          <w:color w:val="auto"/>
          <w:sz w:val="24"/>
          <w:szCs w:val="22"/>
        </w:rPr>
        <w:t xml:space="preserve"> which suggests specific types of connectivity within greater Iran rather than Mesopotamia directly. It has </w:t>
      </w:r>
      <w:r w:rsidR="008442D4" w:rsidRPr="008442D4">
        <w:rPr>
          <w:rFonts w:asciiTheme="majorBidi" w:hAnsiTheme="majorBidi" w:cstheme="majorBidi"/>
          <w:color w:val="auto"/>
          <w:sz w:val="24"/>
          <w:szCs w:val="22"/>
        </w:rPr>
        <w:lastRenderedPageBreak/>
        <w:t xml:space="preserve">previously </w:t>
      </w:r>
      <w:r w:rsidRPr="008442D4">
        <w:rPr>
          <w:rFonts w:asciiTheme="majorBidi" w:hAnsiTheme="majorBidi" w:cstheme="majorBidi"/>
          <w:color w:val="auto"/>
          <w:sz w:val="24"/>
          <w:szCs w:val="22"/>
        </w:rPr>
        <w:t xml:space="preserve">been suggested that Sharh-i Sokhta acted as a major centre </w:t>
      </w:r>
      <w:r w:rsidR="00141EF3" w:rsidRPr="008442D4">
        <w:rPr>
          <w:rFonts w:asciiTheme="majorBidi" w:hAnsiTheme="majorBidi" w:cstheme="majorBidi"/>
          <w:color w:val="auto"/>
          <w:sz w:val="24"/>
          <w:szCs w:val="22"/>
        </w:rPr>
        <w:t>of manufacture and distribution for lapis lazuli to the western markets</w:t>
      </w:r>
      <w:r w:rsidR="00484685" w:rsidRPr="008442D4">
        <w:rPr>
          <w:rFonts w:asciiTheme="majorBidi" w:hAnsiTheme="majorBidi" w:cstheme="majorBidi"/>
          <w:color w:val="auto"/>
          <w:sz w:val="24"/>
          <w:szCs w:val="22"/>
        </w:rPr>
        <w:t>,</w:t>
      </w:r>
      <w:r w:rsidR="00141EF3" w:rsidRPr="008442D4">
        <w:rPr>
          <w:rStyle w:val="EndnoteReference"/>
          <w:rFonts w:asciiTheme="majorBidi" w:hAnsiTheme="majorBidi" w:cstheme="majorBidi"/>
          <w:color w:val="auto"/>
          <w:sz w:val="24"/>
          <w:szCs w:val="22"/>
        </w:rPr>
        <w:endnoteReference w:id="133"/>
      </w:r>
      <w:r w:rsidR="00141EF3" w:rsidRPr="008442D4">
        <w:rPr>
          <w:rFonts w:asciiTheme="majorBidi" w:hAnsiTheme="majorBidi" w:cstheme="majorBidi"/>
          <w:color w:val="auto"/>
          <w:sz w:val="24"/>
          <w:szCs w:val="22"/>
        </w:rPr>
        <w:t xml:space="preserve"> </w:t>
      </w:r>
      <w:r w:rsidR="00484685" w:rsidRPr="008442D4">
        <w:rPr>
          <w:rFonts w:asciiTheme="majorBidi" w:hAnsiTheme="majorBidi" w:cstheme="majorBidi"/>
          <w:color w:val="auto"/>
          <w:sz w:val="24"/>
          <w:szCs w:val="22"/>
        </w:rPr>
        <w:t>though this suggestion has now been contested.</w:t>
      </w:r>
      <w:r w:rsidR="00484685" w:rsidRPr="008442D4">
        <w:rPr>
          <w:rStyle w:val="EndnoteReference"/>
          <w:rFonts w:asciiTheme="majorBidi" w:hAnsiTheme="majorBidi" w:cstheme="majorBidi"/>
          <w:color w:val="auto"/>
          <w:sz w:val="24"/>
          <w:szCs w:val="22"/>
        </w:rPr>
        <w:endnoteReference w:id="134"/>
      </w:r>
      <w:r w:rsidR="0015740D">
        <w:rPr>
          <w:rFonts w:asciiTheme="majorBidi" w:hAnsiTheme="majorBidi" w:cstheme="majorBidi"/>
          <w:sz w:val="24"/>
          <w:szCs w:val="22"/>
        </w:rPr>
        <w:t xml:space="preserve"> </w:t>
      </w:r>
      <w:r w:rsidR="008442D4">
        <w:rPr>
          <w:rFonts w:asciiTheme="majorBidi" w:hAnsiTheme="majorBidi" w:cstheme="majorBidi"/>
          <w:sz w:val="24"/>
          <w:szCs w:val="22"/>
        </w:rPr>
        <w:t>Clear e</w:t>
      </w:r>
      <w:r w:rsidRPr="00067D8A">
        <w:rPr>
          <w:rFonts w:asciiTheme="majorBidi" w:hAnsiTheme="majorBidi" w:cstheme="majorBidi"/>
          <w:sz w:val="24"/>
          <w:szCs w:val="22"/>
        </w:rPr>
        <w:t>xamples of a more local product exchange system can also be defined at Shahr-i Sokhta in Periods II–III. Excavations at Rud-i Biyaban, 20–30 km south, revealed what appeared to be a potters’ village with numerous Period II–III ceramics and 50 kilns. A similar specialised site explanation has been proposed for the concentrations of copper slag at sites in Afghan Seistan.</w:t>
      </w:r>
      <w:r w:rsidRPr="00067D8A">
        <w:rPr>
          <w:rStyle w:val="EndnoteReference"/>
          <w:rFonts w:asciiTheme="majorBidi" w:hAnsiTheme="majorBidi" w:cstheme="majorBidi"/>
          <w:sz w:val="24"/>
          <w:szCs w:val="22"/>
        </w:rPr>
        <w:endnoteReference w:id="135"/>
      </w:r>
      <w:r w:rsidRPr="00067D8A">
        <w:rPr>
          <w:rFonts w:asciiTheme="majorBidi" w:hAnsiTheme="majorBidi" w:cstheme="majorBidi"/>
          <w:sz w:val="24"/>
          <w:szCs w:val="22"/>
        </w:rPr>
        <w:t xml:space="preserve"> </w:t>
      </w:r>
    </w:p>
    <w:p w14:paraId="1EC95AEC" w14:textId="6D190843" w:rsidR="0030226C" w:rsidRPr="00067D8A" w:rsidRDefault="0015740D" w:rsidP="00FE57E9">
      <w:pPr>
        <w:pStyle w:val="BodyTextIndent"/>
        <w:rPr>
          <w:rFonts w:asciiTheme="majorBidi" w:hAnsiTheme="majorBidi" w:cstheme="majorBidi"/>
          <w:sz w:val="24"/>
          <w:szCs w:val="22"/>
        </w:rPr>
      </w:pPr>
      <w:r>
        <w:rPr>
          <w:rFonts w:asciiTheme="majorBidi" w:hAnsiTheme="majorBidi" w:cstheme="majorBidi"/>
          <w:sz w:val="24"/>
          <w:szCs w:val="22"/>
        </w:rPr>
        <w:t xml:space="preserve">There are now a substantial number of radiocarbon dates from Shahr-i Sokhta, which attest that the Period II and III deposits were occupied </w:t>
      </w:r>
      <w:r w:rsidRPr="00067D8A">
        <w:rPr>
          <w:rFonts w:asciiTheme="majorBidi" w:hAnsiTheme="majorBidi" w:cstheme="majorBidi"/>
          <w:sz w:val="24"/>
          <w:szCs w:val="22"/>
        </w:rPr>
        <w:t>between</w:t>
      </w:r>
      <w:r w:rsidRPr="00067D8A">
        <w:rPr>
          <w:rFonts w:asciiTheme="majorBidi" w:hAnsiTheme="majorBidi" w:cstheme="majorBidi"/>
          <w:i/>
          <w:iCs/>
          <w:sz w:val="24"/>
          <w:szCs w:val="22"/>
        </w:rPr>
        <w:t xml:space="preserve"> c.</w:t>
      </w:r>
      <w:r w:rsidRPr="00067D8A">
        <w:rPr>
          <w:rFonts w:asciiTheme="majorBidi" w:hAnsiTheme="majorBidi" w:cstheme="majorBidi"/>
          <w:sz w:val="24"/>
          <w:szCs w:val="22"/>
        </w:rPr>
        <w:t xml:space="preserve"> 2</w:t>
      </w:r>
      <w:r>
        <w:rPr>
          <w:rFonts w:asciiTheme="majorBidi" w:hAnsiTheme="majorBidi" w:cstheme="majorBidi"/>
          <w:sz w:val="24"/>
          <w:szCs w:val="22"/>
        </w:rPr>
        <w:t>75</w:t>
      </w:r>
      <w:r w:rsidRPr="00067D8A">
        <w:rPr>
          <w:rFonts w:asciiTheme="majorBidi" w:hAnsiTheme="majorBidi" w:cstheme="majorBidi"/>
          <w:sz w:val="24"/>
          <w:szCs w:val="22"/>
        </w:rPr>
        <w:t>0 and 2200</w:t>
      </w:r>
      <w:r w:rsidRPr="00067D8A">
        <w:rPr>
          <w:rFonts w:asciiTheme="majorBidi" w:hAnsiTheme="majorBidi" w:cstheme="majorBidi"/>
          <w:smallCaps/>
          <w:sz w:val="24"/>
          <w:szCs w:val="22"/>
        </w:rPr>
        <w:t xml:space="preserve"> BC</w:t>
      </w:r>
      <w:r w:rsidRPr="00067D8A">
        <w:rPr>
          <w:rFonts w:asciiTheme="majorBidi" w:hAnsiTheme="majorBidi" w:cstheme="majorBidi"/>
          <w:sz w:val="24"/>
          <w:szCs w:val="22"/>
        </w:rPr>
        <w:t>.</w:t>
      </w:r>
      <w:r w:rsidRPr="00067D8A">
        <w:rPr>
          <w:rStyle w:val="EndnoteReference"/>
          <w:rFonts w:asciiTheme="majorBidi" w:hAnsiTheme="majorBidi" w:cstheme="majorBidi"/>
          <w:sz w:val="24"/>
          <w:szCs w:val="22"/>
        </w:rPr>
        <w:endnoteReference w:id="136"/>
      </w:r>
      <w:r w:rsidRPr="000526DA">
        <w:rPr>
          <w:rStyle w:val="EndnoteReference"/>
          <w:rFonts w:asciiTheme="majorBidi" w:hAnsiTheme="majorBidi" w:cstheme="majorBidi"/>
          <w:sz w:val="24"/>
          <w:szCs w:val="22"/>
          <w:vertAlign w:val="baseline"/>
        </w:rPr>
        <w:t xml:space="preserve"> </w:t>
      </w:r>
      <w:r>
        <w:rPr>
          <w:rFonts w:asciiTheme="majorBidi" w:hAnsiTheme="majorBidi" w:cstheme="majorBidi"/>
          <w:sz w:val="24"/>
          <w:szCs w:val="22"/>
        </w:rPr>
        <w:t xml:space="preserve">These dates correspond to the two radiocarbon determinations from </w:t>
      </w:r>
      <w:r w:rsidR="0030226C" w:rsidRPr="00067D8A">
        <w:rPr>
          <w:rFonts w:asciiTheme="majorBidi" w:hAnsiTheme="majorBidi" w:cstheme="majorBidi"/>
          <w:sz w:val="24"/>
          <w:szCs w:val="22"/>
        </w:rPr>
        <w:t>Rud-i Biyaban 2.</w:t>
      </w:r>
      <w:r w:rsidR="0030226C" w:rsidRPr="00067D8A">
        <w:rPr>
          <w:rStyle w:val="EndnoteReference"/>
          <w:rFonts w:asciiTheme="majorBidi" w:hAnsiTheme="majorBidi" w:cstheme="majorBidi"/>
          <w:sz w:val="24"/>
          <w:szCs w:val="22"/>
        </w:rPr>
        <w:endnoteReference w:id="137"/>
      </w:r>
      <w:r w:rsidR="0030226C" w:rsidRPr="00067D8A">
        <w:rPr>
          <w:rFonts w:asciiTheme="majorBidi" w:hAnsiTheme="majorBidi" w:cstheme="majorBidi"/>
          <w:sz w:val="24"/>
          <w:szCs w:val="22"/>
        </w:rPr>
        <w:t xml:space="preserve"> </w:t>
      </w:r>
      <w:r>
        <w:rPr>
          <w:rFonts w:asciiTheme="majorBidi" w:hAnsiTheme="majorBidi" w:cstheme="majorBidi"/>
          <w:sz w:val="24"/>
          <w:szCs w:val="22"/>
        </w:rPr>
        <w:t>These dates largely conform to the suggestion that there was a chronological correspondence between Shahr-i Sokhta Periods II and III and Mundigak Sub Periods III</w:t>
      </w:r>
      <w:r w:rsidRPr="007E2C14">
        <w:rPr>
          <w:rFonts w:asciiTheme="majorBidi" w:hAnsiTheme="majorBidi" w:cstheme="majorBidi"/>
          <w:sz w:val="24"/>
          <w:szCs w:val="22"/>
          <w:vertAlign w:val="subscript"/>
        </w:rPr>
        <w:t>6</w:t>
      </w:r>
      <w:r w:rsidR="007E2C14">
        <w:rPr>
          <w:rFonts w:asciiTheme="majorBidi" w:hAnsiTheme="majorBidi" w:cstheme="majorBidi"/>
          <w:sz w:val="24"/>
          <w:szCs w:val="22"/>
        </w:rPr>
        <w:t xml:space="preserve"> and VI</w:t>
      </w:r>
      <w:r w:rsidR="007E2C14" w:rsidRPr="007E2C14">
        <w:rPr>
          <w:rFonts w:asciiTheme="majorBidi" w:hAnsiTheme="majorBidi" w:cstheme="majorBidi"/>
          <w:sz w:val="24"/>
          <w:szCs w:val="22"/>
          <w:vertAlign w:val="subscript"/>
        </w:rPr>
        <w:t>1-3</w:t>
      </w:r>
      <w:r w:rsidR="007E2C14" w:rsidRPr="007E2C14">
        <w:rPr>
          <w:rFonts w:asciiTheme="majorBidi" w:hAnsiTheme="majorBidi" w:cstheme="majorBidi"/>
          <w:sz w:val="24"/>
          <w:szCs w:val="22"/>
        </w:rPr>
        <w:t xml:space="preserve"> </w:t>
      </w:r>
      <w:r w:rsidR="007E2C14">
        <w:rPr>
          <w:rFonts w:asciiTheme="majorBidi" w:hAnsiTheme="majorBidi" w:cstheme="majorBidi"/>
          <w:sz w:val="24"/>
          <w:szCs w:val="22"/>
        </w:rPr>
        <w:t>(see above).</w:t>
      </w:r>
      <w:r w:rsidR="007E2C14">
        <w:rPr>
          <w:rStyle w:val="EndnoteReference"/>
          <w:rFonts w:asciiTheme="majorBidi" w:hAnsiTheme="majorBidi" w:cstheme="majorBidi"/>
          <w:sz w:val="24"/>
          <w:szCs w:val="22"/>
        </w:rPr>
        <w:endnoteReference w:id="138"/>
      </w:r>
    </w:p>
    <w:p w14:paraId="2DB1DC3D" w14:textId="35801093" w:rsidR="0030226C" w:rsidRPr="00067D8A" w:rsidRDefault="0015740D" w:rsidP="009A73E2">
      <w:pPr>
        <w:pStyle w:val="BodyTextIndent"/>
        <w:rPr>
          <w:rFonts w:asciiTheme="majorBidi" w:hAnsiTheme="majorBidi" w:cstheme="majorBidi"/>
          <w:sz w:val="24"/>
          <w:szCs w:val="22"/>
        </w:rPr>
      </w:pPr>
      <w:r>
        <w:rPr>
          <w:rFonts w:asciiTheme="majorBidi" w:hAnsiTheme="majorBidi" w:cstheme="majorBidi"/>
          <w:sz w:val="24"/>
          <w:szCs w:val="22"/>
        </w:rPr>
        <w:t>T</w:t>
      </w:r>
      <w:r w:rsidRPr="00067D8A">
        <w:rPr>
          <w:rFonts w:asciiTheme="majorBidi" w:hAnsiTheme="majorBidi" w:cstheme="majorBidi"/>
          <w:sz w:val="24"/>
          <w:szCs w:val="22"/>
        </w:rPr>
        <w:t>he final occupation</w:t>
      </w:r>
      <w:r>
        <w:rPr>
          <w:rFonts w:asciiTheme="majorBidi" w:hAnsiTheme="majorBidi" w:cstheme="majorBidi"/>
          <w:sz w:val="24"/>
          <w:szCs w:val="22"/>
        </w:rPr>
        <w:t xml:space="preserve"> phase a</w:t>
      </w:r>
      <w:r w:rsidRPr="00067D8A">
        <w:rPr>
          <w:rFonts w:asciiTheme="majorBidi" w:hAnsiTheme="majorBidi" w:cstheme="majorBidi"/>
          <w:sz w:val="24"/>
          <w:szCs w:val="22"/>
        </w:rPr>
        <w:t xml:space="preserve"> </w:t>
      </w:r>
      <w:r w:rsidR="0030226C" w:rsidRPr="00067D8A">
        <w:rPr>
          <w:rFonts w:asciiTheme="majorBidi" w:hAnsiTheme="majorBidi" w:cstheme="majorBidi"/>
          <w:sz w:val="24"/>
          <w:szCs w:val="22"/>
        </w:rPr>
        <w:t>Shahr-i Sokhta</w:t>
      </w:r>
      <w:r>
        <w:rPr>
          <w:rFonts w:asciiTheme="majorBidi" w:hAnsiTheme="majorBidi" w:cstheme="majorBidi"/>
          <w:sz w:val="24"/>
          <w:szCs w:val="22"/>
        </w:rPr>
        <w:t>, Period</w:t>
      </w:r>
      <w:r w:rsidR="0030226C" w:rsidRPr="00067D8A">
        <w:rPr>
          <w:rFonts w:asciiTheme="majorBidi" w:hAnsiTheme="majorBidi" w:cstheme="majorBidi"/>
          <w:sz w:val="24"/>
          <w:szCs w:val="22"/>
        </w:rPr>
        <w:t xml:space="preserve"> IV, was dominated by the construction of a large building of over 650 sq. m. During this period painted pottery almost completely disappeared. Vessel shapes are distinguished by sharp carinations, probably due to the use of a potter’s wheel. The paste is a buff-red colour and surfaces are often slipped or burnished-techniques absent in previous periods. Among the limited examples of decorated pottery some parallels may be seen with the pottery of late Mundigak </w:t>
      </w:r>
      <w:r w:rsidR="001E1DEF">
        <w:rPr>
          <w:rFonts w:asciiTheme="majorBidi" w:hAnsiTheme="majorBidi" w:cstheme="majorBidi"/>
          <w:sz w:val="24"/>
          <w:szCs w:val="22"/>
        </w:rPr>
        <w:t>Sub-Period</w:t>
      </w:r>
      <w:r w:rsidR="0030226C" w:rsidRPr="00067D8A">
        <w:rPr>
          <w:rFonts w:asciiTheme="majorBidi" w:hAnsiTheme="majorBidi" w:cstheme="majorBidi"/>
          <w:sz w:val="24"/>
          <w:szCs w:val="22"/>
        </w:rPr>
        <w:t>s IV</w:t>
      </w:r>
      <w:r w:rsidR="0030226C" w:rsidRPr="00067D8A">
        <w:rPr>
          <w:rFonts w:asciiTheme="majorBidi" w:hAnsiTheme="majorBidi" w:cstheme="majorBidi"/>
          <w:sz w:val="24"/>
          <w:szCs w:val="22"/>
          <w:vertAlign w:val="subscript"/>
        </w:rPr>
        <w:t>2–</w:t>
      </w:r>
      <w:r>
        <w:rPr>
          <w:rFonts w:asciiTheme="majorBidi" w:hAnsiTheme="majorBidi" w:cstheme="majorBidi"/>
          <w:sz w:val="24"/>
          <w:szCs w:val="22"/>
          <w:vertAlign w:val="subscript"/>
        </w:rPr>
        <w:t>3</w:t>
      </w:r>
      <w:r w:rsidR="009A73E2">
        <w:rPr>
          <w:rFonts w:asciiTheme="majorBidi" w:hAnsiTheme="majorBidi" w:cstheme="majorBidi"/>
          <w:sz w:val="24"/>
          <w:szCs w:val="22"/>
          <w:vertAlign w:val="subscript"/>
        </w:rPr>
        <w:t>.</w:t>
      </w:r>
    </w:p>
    <w:p w14:paraId="1B5AD519" w14:textId="77777777" w:rsidR="0030226C" w:rsidRPr="003F2527" w:rsidRDefault="009C43AA" w:rsidP="0030226C">
      <w:pPr>
        <w:pStyle w:val="Heading3"/>
        <w:rPr>
          <w:rFonts w:asciiTheme="majorBidi" w:hAnsiTheme="majorBidi"/>
          <w:color w:val="auto"/>
          <w:lang w:val="en-GB"/>
        </w:rPr>
      </w:pPr>
      <w:r w:rsidRPr="009C43AA">
        <w:rPr>
          <w:rFonts w:asciiTheme="majorBidi" w:hAnsiTheme="majorBidi"/>
          <w:color w:val="auto"/>
          <w:lang w:val="en-GB"/>
        </w:rPr>
        <w:t>Mundigak: Periods I–II</w:t>
      </w:r>
    </w:p>
    <w:p w14:paraId="06ADD7C2" w14:textId="3F99A0A6" w:rsidR="0030226C" w:rsidRPr="00067D8A" w:rsidRDefault="0030226C" w:rsidP="0030226C">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 xml:space="preserve">These two periods should be combined because: (1) the limited and similar data concerning external relationships defined for both periods; (2) the chronological and cultural continuum represented by the two periods; (3) although the distinction between Periods I and II was useful in understanding the developmental sequence at Mundigak, it is doubtful that a similar useful distinction can be defined for external relationships; and (4) the external relationships definable </w:t>
      </w:r>
      <w:r w:rsidRPr="00067D8A">
        <w:rPr>
          <w:rFonts w:asciiTheme="majorBidi" w:hAnsiTheme="majorBidi" w:cstheme="majorBidi"/>
          <w:sz w:val="24"/>
          <w:szCs w:val="22"/>
          <w:lang w:val="en-GB"/>
        </w:rPr>
        <w:lastRenderedPageBreak/>
        <w:t>for Periods I–II provide a significant contrast for those definable in subsequent periods. Combining the evidence from these two periods suggests that significant external relationships existed with the populations of the Quetta valley in Northern Baluchistan.</w:t>
      </w:r>
    </w:p>
    <w:p w14:paraId="563ADF61" w14:textId="5ACB02DB" w:rsidR="0030226C" w:rsidRPr="00067D8A" w:rsidRDefault="0030226C" w:rsidP="00A75A07">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Traditional comparative studies </w:t>
      </w:r>
      <w:r w:rsidR="00E17F6B" w:rsidRPr="00067D8A">
        <w:rPr>
          <w:rFonts w:asciiTheme="majorBidi" w:hAnsiTheme="majorBidi" w:cstheme="majorBidi"/>
          <w:sz w:val="24"/>
          <w:szCs w:val="22"/>
        </w:rPr>
        <w:t>h</w:t>
      </w:r>
      <w:r w:rsidRPr="00067D8A">
        <w:rPr>
          <w:rFonts w:asciiTheme="majorBidi" w:hAnsiTheme="majorBidi" w:cstheme="majorBidi"/>
          <w:sz w:val="24"/>
          <w:szCs w:val="22"/>
        </w:rPr>
        <w:t xml:space="preserve">ave correlated the </w:t>
      </w:r>
      <w:r w:rsidR="007E2C14" w:rsidRPr="00067D8A">
        <w:rPr>
          <w:rFonts w:asciiTheme="majorBidi" w:hAnsiTheme="majorBidi" w:cstheme="majorBidi"/>
          <w:sz w:val="24"/>
          <w:szCs w:val="22"/>
        </w:rPr>
        <w:t xml:space="preserve">Mundigak </w:t>
      </w:r>
      <w:r w:rsidR="007E2C14">
        <w:rPr>
          <w:rFonts w:asciiTheme="majorBidi" w:hAnsiTheme="majorBidi" w:cstheme="majorBidi"/>
          <w:sz w:val="24"/>
          <w:szCs w:val="22"/>
        </w:rPr>
        <w:t xml:space="preserve">Period </w:t>
      </w:r>
      <w:r w:rsidR="007E2C14" w:rsidRPr="00067D8A">
        <w:rPr>
          <w:rFonts w:asciiTheme="majorBidi" w:hAnsiTheme="majorBidi" w:cstheme="majorBidi"/>
          <w:sz w:val="24"/>
          <w:szCs w:val="22"/>
        </w:rPr>
        <w:t>I–II</w:t>
      </w:r>
      <w:r w:rsidR="007E2C14">
        <w:rPr>
          <w:rFonts w:asciiTheme="majorBidi" w:hAnsiTheme="majorBidi" w:cstheme="majorBidi"/>
          <w:sz w:val="24"/>
          <w:szCs w:val="22"/>
        </w:rPr>
        <w:t xml:space="preserve"> material with that of</w:t>
      </w:r>
      <w:r w:rsidR="007E2C14" w:rsidRPr="00067D8A">
        <w:rPr>
          <w:rFonts w:asciiTheme="majorBidi" w:hAnsiTheme="majorBidi" w:cstheme="majorBidi"/>
          <w:sz w:val="24"/>
          <w:szCs w:val="22"/>
        </w:rPr>
        <w:t xml:space="preserve"> </w:t>
      </w:r>
      <w:r w:rsidRPr="00067D8A">
        <w:rPr>
          <w:rFonts w:asciiTheme="majorBidi" w:hAnsiTheme="majorBidi" w:cstheme="majorBidi"/>
          <w:sz w:val="24"/>
          <w:szCs w:val="22"/>
        </w:rPr>
        <w:t>K</w:t>
      </w:r>
      <w:r w:rsidR="007E2C14">
        <w:rPr>
          <w:rFonts w:asciiTheme="majorBidi" w:hAnsiTheme="majorBidi" w:cstheme="majorBidi"/>
          <w:sz w:val="24"/>
          <w:szCs w:val="22"/>
        </w:rPr>
        <w:t>ili Gul Mohammad</w:t>
      </w:r>
      <w:r w:rsidR="003E102D">
        <w:rPr>
          <w:rFonts w:asciiTheme="majorBidi" w:hAnsiTheme="majorBidi" w:cstheme="majorBidi"/>
          <w:sz w:val="24"/>
          <w:szCs w:val="22"/>
        </w:rPr>
        <w:t xml:space="preserve"> (hereafter KGM)</w:t>
      </w:r>
      <w:r w:rsidR="007E2C14">
        <w:rPr>
          <w:rFonts w:asciiTheme="majorBidi" w:hAnsiTheme="majorBidi" w:cstheme="majorBidi"/>
          <w:sz w:val="24"/>
          <w:szCs w:val="22"/>
        </w:rPr>
        <w:t xml:space="preserve"> periods</w:t>
      </w:r>
      <w:r w:rsidRPr="00067D8A">
        <w:rPr>
          <w:rFonts w:asciiTheme="majorBidi" w:hAnsiTheme="majorBidi" w:cstheme="majorBidi"/>
          <w:sz w:val="24"/>
          <w:szCs w:val="22"/>
        </w:rPr>
        <w:t xml:space="preserve"> II–IV (Fig. </w:t>
      </w:r>
      <w:r w:rsidR="005B52A9">
        <w:rPr>
          <w:rFonts w:asciiTheme="majorBidi" w:hAnsiTheme="majorBidi" w:cstheme="majorBidi"/>
          <w:sz w:val="24"/>
          <w:szCs w:val="22"/>
        </w:rPr>
        <w:t>4.</w:t>
      </w:r>
      <w:r w:rsidRPr="00067D8A">
        <w:rPr>
          <w:rFonts w:asciiTheme="majorBidi" w:hAnsiTheme="majorBidi" w:cstheme="majorBidi"/>
          <w:sz w:val="24"/>
          <w:szCs w:val="22"/>
        </w:rPr>
        <w:t>52a)</w:t>
      </w:r>
      <w:r w:rsidR="003E102D">
        <w:rPr>
          <w:rFonts w:asciiTheme="majorBidi" w:hAnsiTheme="majorBidi" w:cstheme="majorBidi"/>
          <w:sz w:val="24"/>
          <w:szCs w:val="22"/>
        </w:rPr>
        <w:t>.</w:t>
      </w:r>
      <w:r w:rsidRPr="00067D8A">
        <w:rPr>
          <w:rStyle w:val="EndnoteReference"/>
          <w:rFonts w:asciiTheme="majorBidi" w:hAnsiTheme="majorBidi" w:cstheme="majorBidi"/>
          <w:sz w:val="24"/>
          <w:szCs w:val="22"/>
        </w:rPr>
        <w:endnoteReference w:id="139"/>
      </w:r>
      <w:r w:rsidR="007E2C14">
        <w:rPr>
          <w:rFonts w:asciiTheme="majorBidi" w:hAnsiTheme="majorBidi" w:cstheme="majorBidi"/>
          <w:sz w:val="24"/>
          <w:szCs w:val="22"/>
        </w:rPr>
        <w:t>. Shaffer originally argued that</w:t>
      </w:r>
      <w:r w:rsidRPr="00067D8A">
        <w:rPr>
          <w:rFonts w:asciiTheme="majorBidi" w:hAnsiTheme="majorBidi" w:cstheme="majorBidi"/>
          <w:sz w:val="24"/>
          <w:szCs w:val="22"/>
        </w:rPr>
        <w:t xml:space="preserve"> the correlation </w:t>
      </w:r>
      <w:r w:rsidR="003E102D">
        <w:rPr>
          <w:rFonts w:asciiTheme="majorBidi" w:hAnsiTheme="majorBidi" w:cstheme="majorBidi"/>
          <w:sz w:val="24"/>
          <w:szCs w:val="22"/>
        </w:rPr>
        <w:t>should actually be</w:t>
      </w:r>
      <w:r w:rsidRPr="00067D8A">
        <w:rPr>
          <w:rFonts w:asciiTheme="majorBidi" w:hAnsiTheme="majorBidi" w:cstheme="majorBidi"/>
          <w:sz w:val="24"/>
          <w:szCs w:val="22"/>
        </w:rPr>
        <w:t xml:space="preserve"> made between Mundigak I–II and only KGM III–IV</w:t>
      </w:r>
      <w:r w:rsidR="003E102D">
        <w:rPr>
          <w:rFonts w:asciiTheme="majorBidi" w:hAnsiTheme="majorBidi" w:cstheme="majorBidi"/>
          <w:sz w:val="24"/>
          <w:szCs w:val="22"/>
        </w:rPr>
        <w:t>,</w:t>
      </w:r>
      <w:r w:rsidR="003E102D">
        <w:rPr>
          <w:rStyle w:val="EndnoteReference"/>
          <w:rFonts w:asciiTheme="majorBidi" w:hAnsiTheme="majorBidi" w:cstheme="majorBidi"/>
          <w:sz w:val="24"/>
          <w:szCs w:val="22"/>
        </w:rPr>
        <w:endnoteReference w:id="140"/>
      </w:r>
      <w:r w:rsidRPr="00067D8A">
        <w:rPr>
          <w:rFonts w:asciiTheme="majorBidi" w:hAnsiTheme="majorBidi" w:cstheme="majorBidi"/>
          <w:sz w:val="24"/>
          <w:szCs w:val="22"/>
        </w:rPr>
        <w:t xml:space="preserve"> </w:t>
      </w:r>
      <w:r w:rsidR="003E102D">
        <w:rPr>
          <w:rFonts w:asciiTheme="majorBidi" w:hAnsiTheme="majorBidi" w:cstheme="majorBidi"/>
          <w:sz w:val="24"/>
          <w:szCs w:val="22"/>
        </w:rPr>
        <w:t>with t</w:t>
      </w:r>
      <w:r w:rsidRPr="00067D8A">
        <w:rPr>
          <w:rFonts w:asciiTheme="majorBidi" w:hAnsiTheme="majorBidi" w:cstheme="majorBidi"/>
          <w:sz w:val="24"/>
          <w:szCs w:val="22"/>
        </w:rPr>
        <w:t xml:space="preserve">he elimination of KGM II </w:t>
      </w:r>
      <w:r w:rsidR="003E102D">
        <w:rPr>
          <w:rFonts w:asciiTheme="majorBidi" w:hAnsiTheme="majorBidi" w:cstheme="majorBidi"/>
          <w:sz w:val="24"/>
          <w:szCs w:val="22"/>
        </w:rPr>
        <w:t>being</w:t>
      </w:r>
      <w:r w:rsidR="003E102D" w:rsidRPr="00067D8A">
        <w:rPr>
          <w:rFonts w:asciiTheme="majorBidi" w:hAnsiTheme="majorBidi" w:cstheme="majorBidi"/>
          <w:sz w:val="24"/>
          <w:szCs w:val="22"/>
        </w:rPr>
        <w:t xml:space="preserve"> </w:t>
      </w:r>
      <w:r w:rsidRPr="00067D8A">
        <w:rPr>
          <w:rFonts w:asciiTheme="majorBidi" w:hAnsiTheme="majorBidi" w:cstheme="majorBidi"/>
          <w:sz w:val="24"/>
          <w:szCs w:val="22"/>
        </w:rPr>
        <w:t>based primarily upon the identification of a metal dagger blade in KGM III, but also on the occurrences of alabaster bowl fragments and ceramic characteristics. KGM II is also comparable to Mehrgarh Period II, which is characterised by the predominant use of chaff-tempered soft-ware ceramics.</w:t>
      </w:r>
      <w:r w:rsidRPr="00067D8A">
        <w:rPr>
          <w:rStyle w:val="EndnoteReference"/>
          <w:rFonts w:asciiTheme="majorBidi" w:hAnsiTheme="majorBidi" w:cstheme="majorBidi"/>
          <w:sz w:val="24"/>
          <w:szCs w:val="22"/>
        </w:rPr>
        <w:endnoteReference w:id="141"/>
      </w:r>
      <w:r w:rsidRPr="00067D8A">
        <w:rPr>
          <w:rFonts w:asciiTheme="majorBidi" w:hAnsiTheme="majorBidi" w:cstheme="majorBidi"/>
          <w:sz w:val="24"/>
          <w:szCs w:val="22"/>
        </w:rPr>
        <w:t xml:space="preserve"> KGM III–IV</w:t>
      </w:r>
      <w:r w:rsidR="003E102D">
        <w:rPr>
          <w:rFonts w:asciiTheme="majorBidi" w:hAnsiTheme="majorBidi" w:cstheme="majorBidi"/>
          <w:sz w:val="24"/>
          <w:szCs w:val="22"/>
        </w:rPr>
        <w:t>,</w:t>
      </w:r>
      <w:r w:rsidRPr="00067D8A">
        <w:rPr>
          <w:rFonts w:asciiTheme="majorBidi" w:hAnsiTheme="majorBidi" w:cstheme="majorBidi"/>
          <w:sz w:val="24"/>
          <w:szCs w:val="22"/>
        </w:rPr>
        <w:t xml:space="preserve"> </w:t>
      </w:r>
      <w:r w:rsidR="003E102D">
        <w:rPr>
          <w:rFonts w:asciiTheme="majorBidi" w:hAnsiTheme="majorBidi" w:cstheme="majorBidi"/>
          <w:sz w:val="24"/>
          <w:szCs w:val="22"/>
        </w:rPr>
        <w:t>which corresponds to periods III and IV at Mehrgarh,</w:t>
      </w:r>
      <w:r w:rsidR="003E102D">
        <w:rPr>
          <w:rStyle w:val="EndnoteReference"/>
          <w:rFonts w:asciiTheme="majorBidi" w:hAnsiTheme="majorBidi" w:cstheme="majorBidi"/>
          <w:sz w:val="24"/>
          <w:szCs w:val="22"/>
        </w:rPr>
        <w:endnoteReference w:id="142"/>
      </w:r>
      <w:r w:rsidR="003E102D" w:rsidRPr="00067D8A">
        <w:rPr>
          <w:rFonts w:asciiTheme="majorBidi" w:hAnsiTheme="majorBidi" w:cstheme="majorBidi"/>
          <w:sz w:val="24"/>
          <w:szCs w:val="22"/>
        </w:rPr>
        <w:t xml:space="preserve"> </w:t>
      </w:r>
      <w:r w:rsidRPr="00067D8A">
        <w:rPr>
          <w:rFonts w:asciiTheme="majorBidi" w:hAnsiTheme="majorBidi" w:cstheme="majorBidi"/>
          <w:sz w:val="24"/>
          <w:szCs w:val="22"/>
        </w:rPr>
        <w:t xml:space="preserve">is distinguished by a black-on-red slipped pottery with a preponderance of the same triangular motif recorded in Mundigak </w:t>
      </w:r>
      <w:r w:rsidR="001E1DEF">
        <w:rPr>
          <w:rFonts w:asciiTheme="majorBidi" w:hAnsiTheme="majorBidi" w:cstheme="majorBidi"/>
          <w:sz w:val="24"/>
          <w:szCs w:val="22"/>
        </w:rPr>
        <w:t>Sub-Period</w:t>
      </w:r>
      <w:r w:rsidRPr="00067D8A">
        <w:rPr>
          <w:rFonts w:asciiTheme="majorBidi" w:hAnsiTheme="majorBidi" w:cstheme="majorBidi"/>
          <w:sz w:val="24"/>
          <w:szCs w:val="22"/>
        </w:rPr>
        <w:t>s I</w:t>
      </w:r>
      <w:r w:rsidRPr="00067D8A">
        <w:rPr>
          <w:rFonts w:asciiTheme="majorBidi" w:hAnsiTheme="majorBidi" w:cstheme="majorBidi"/>
          <w:sz w:val="24"/>
          <w:szCs w:val="22"/>
          <w:vertAlign w:val="subscript"/>
        </w:rPr>
        <w:t>3–5</w:t>
      </w:r>
      <w:r w:rsidRPr="00067D8A">
        <w:rPr>
          <w:rFonts w:asciiTheme="majorBidi" w:hAnsiTheme="majorBidi" w:cstheme="majorBidi"/>
          <w:sz w:val="24"/>
          <w:szCs w:val="22"/>
        </w:rPr>
        <w:t>. This pottery made an initial appearance in KGM II, reached its maximum frequency in KGM III, and persisted into KGM IV. KGM III–IV are also characterised by an overwhelming number of handmade ceramics, a situation somewhat analogous to Mundigak I–II</w:t>
      </w:r>
      <w:r w:rsidR="00D144FA">
        <w:rPr>
          <w:rFonts w:asciiTheme="majorBidi" w:hAnsiTheme="majorBidi" w:cstheme="majorBidi"/>
          <w:sz w:val="24"/>
          <w:szCs w:val="22"/>
        </w:rPr>
        <w:t>, though Mehrgarh III-IV see the introduction of the tournette for surface smoothing</w:t>
      </w:r>
      <w:r w:rsidRPr="00067D8A">
        <w:rPr>
          <w:rFonts w:asciiTheme="majorBidi" w:hAnsiTheme="majorBidi" w:cstheme="majorBidi"/>
          <w:sz w:val="24"/>
          <w:szCs w:val="22"/>
        </w:rPr>
        <w:t>.</w:t>
      </w:r>
      <w:r w:rsidR="00D144FA">
        <w:rPr>
          <w:rStyle w:val="EndnoteReference"/>
          <w:rFonts w:asciiTheme="majorBidi" w:hAnsiTheme="majorBidi" w:cstheme="majorBidi"/>
          <w:sz w:val="24"/>
          <w:szCs w:val="22"/>
        </w:rPr>
        <w:endnoteReference w:id="143"/>
      </w:r>
      <w:r w:rsidRPr="00067D8A">
        <w:rPr>
          <w:rFonts w:asciiTheme="majorBidi" w:hAnsiTheme="majorBidi" w:cstheme="majorBidi"/>
          <w:sz w:val="24"/>
          <w:szCs w:val="22"/>
        </w:rPr>
        <w:t xml:space="preserve"> </w:t>
      </w:r>
      <w:r w:rsidR="00D144FA">
        <w:rPr>
          <w:rFonts w:asciiTheme="majorBidi" w:hAnsiTheme="majorBidi" w:cstheme="majorBidi"/>
          <w:sz w:val="24"/>
          <w:szCs w:val="22"/>
        </w:rPr>
        <w:t>T</w:t>
      </w:r>
      <w:r w:rsidRPr="00067D8A">
        <w:rPr>
          <w:rFonts w:asciiTheme="majorBidi" w:hAnsiTheme="majorBidi" w:cstheme="majorBidi"/>
          <w:sz w:val="24"/>
          <w:szCs w:val="22"/>
        </w:rPr>
        <w:t>h</w:t>
      </w:r>
      <w:r w:rsidR="00D144FA">
        <w:rPr>
          <w:rFonts w:asciiTheme="majorBidi" w:hAnsiTheme="majorBidi" w:cstheme="majorBidi"/>
          <w:sz w:val="24"/>
          <w:szCs w:val="22"/>
        </w:rPr>
        <w:t>is Mundigak/KGM</w:t>
      </w:r>
      <w:r w:rsidRPr="00067D8A">
        <w:rPr>
          <w:rFonts w:asciiTheme="majorBidi" w:hAnsiTheme="majorBidi" w:cstheme="majorBidi"/>
          <w:sz w:val="24"/>
          <w:szCs w:val="22"/>
        </w:rPr>
        <w:t xml:space="preserve"> correlation is</w:t>
      </w:r>
      <w:r w:rsidR="00D144FA">
        <w:rPr>
          <w:rFonts w:asciiTheme="majorBidi" w:hAnsiTheme="majorBidi" w:cstheme="majorBidi"/>
          <w:sz w:val="24"/>
          <w:szCs w:val="22"/>
        </w:rPr>
        <w:t>, however,</w:t>
      </w:r>
      <w:r w:rsidRPr="00067D8A">
        <w:rPr>
          <w:rFonts w:asciiTheme="majorBidi" w:hAnsiTheme="majorBidi" w:cstheme="majorBidi"/>
          <w:sz w:val="24"/>
          <w:szCs w:val="22"/>
        </w:rPr>
        <w:t xml:space="preserve"> complicated by Fairservis’ emphasis upon distinguishing aspects of the ceramics from KGM IV and their equation with the Damb Sadaat (hereafter DS) I material (Fig. </w:t>
      </w:r>
      <w:r w:rsidR="005B52A9">
        <w:rPr>
          <w:rFonts w:asciiTheme="majorBidi" w:hAnsiTheme="majorBidi" w:cstheme="majorBidi"/>
          <w:sz w:val="24"/>
          <w:szCs w:val="22"/>
        </w:rPr>
        <w:t>4.</w:t>
      </w:r>
      <w:r w:rsidRPr="00067D8A">
        <w:rPr>
          <w:rFonts w:asciiTheme="majorBidi" w:hAnsiTheme="majorBidi" w:cstheme="majorBidi"/>
          <w:sz w:val="24"/>
          <w:szCs w:val="22"/>
        </w:rPr>
        <w:t>52a).</w:t>
      </w:r>
      <w:r w:rsidRPr="00067D8A">
        <w:rPr>
          <w:rStyle w:val="EndnoteReference"/>
          <w:rFonts w:asciiTheme="majorBidi" w:hAnsiTheme="majorBidi" w:cstheme="majorBidi"/>
          <w:sz w:val="24"/>
          <w:szCs w:val="22"/>
        </w:rPr>
        <w:endnoteReference w:id="144"/>
      </w:r>
      <w:r w:rsidRPr="00067D8A">
        <w:rPr>
          <w:rFonts w:asciiTheme="majorBidi" w:hAnsiTheme="majorBidi" w:cstheme="majorBidi"/>
          <w:sz w:val="24"/>
          <w:szCs w:val="22"/>
        </w:rPr>
        <w:t xml:space="preserve"> Fairservis based his argument for </w:t>
      </w:r>
      <w:r w:rsidR="00D144FA">
        <w:rPr>
          <w:rFonts w:asciiTheme="majorBidi" w:hAnsiTheme="majorBidi" w:cstheme="majorBidi"/>
          <w:sz w:val="24"/>
          <w:szCs w:val="22"/>
        </w:rPr>
        <w:t>a</w:t>
      </w:r>
      <w:r w:rsidR="00D144FA" w:rsidRPr="00067D8A">
        <w:rPr>
          <w:rFonts w:asciiTheme="majorBidi" w:hAnsiTheme="majorBidi" w:cstheme="majorBidi"/>
          <w:sz w:val="24"/>
          <w:szCs w:val="22"/>
        </w:rPr>
        <w:t xml:space="preserve"> </w:t>
      </w:r>
      <w:r w:rsidRPr="00067D8A">
        <w:rPr>
          <w:rFonts w:asciiTheme="majorBidi" w:hAnsiTheme="majorBidi" w:cstheme="majorBidi"/>
          <w:sz w:val="24"/>
          <w:szCs w:val="22"/>
        </w:rPr>
        <w:t>KGM IV—DS I correlation on the persistence of similar pottery types at both sites</w:t>
      </w:r>
      <w:r w:rsidR="00D144FA">
        <w:rPr>
          <w:rFonts w:asciiTheme="majorBidi" w:hAnsiTheme="majorBidi" w:cstheme="majorBidi"/>
          <w:sz w:val="24"/>
          <w:szCs w:val="22"/>
        </w:rPr>
        <w:t>, but there are also indications</w:t>
      </w:r>
      <w:r w:rsidR="00D144FA" w:rsidRPr="00067D8A">
        <w:rPr>
          <w:rFonts w:asciiTheme="majorBidi" w:hAnsiTheme="majorBidi" w:cstheme="majorBidi"/>
          <w:sz w:val="24"/>
          <w:szCs w:val="22"/>
        </w:rPr>
        <w:t xml:space="preserve"> that DS I is distinct from KGM IV</w:t>
      </w:r>
      <w:r w:rsidRPr="00067D8A">
        <w:rPr>
          <w:rFonts w:asciiTheme="majorBidi" w:hAnsiTheme="majorBidi" w:cstheme="majorBidi"/>
          <w:sz w:val="24"/>
          <w:szCs w:val="22"/>
        </w:rPr>
        <w:t xml:space="preserve">. </w:t>
      </w:r>
      <w:r w:rsidR="00D144FA">
        <w:rPr>
          <w:rFonts w:asciiTheme="majorBidi" w:hAnsiTheme="majorBidi" w:cstheme="majorBidi"/>
          <w:sz w:val="24"/>
          <w:szCs w:val="22"/>
        </w:rPr>
        <w:t>It has been argued, for instance,</w:t>
      </w:r>
      <w:r w:rsidR="00D144FA" w:rsidRPr="00067D8A">
        <w:rPr>
          <w:rFonts w:asciiTheme="majorBidi" w:hAnsiTheme="majorBidi" w:cstheme="majorBidi"/>
          <w:sz w:val="24"/>
          <w:szCs w:val="22"/>
        </w:rPr>
        <w:t xml:space="preserve"> </w:t>
      </w:r>
      <w:r w:rsidRPr="00067D8A">
        <w:rPr>
          <w:rFonts w:asciiTheme="majorBidi" w:hAnsiTheme="majorBidi" w:cstheme="majorBidi"/>
          <w:sz w:val="24"/>
          <w:szCs w:val="22"/>
        </w:rPr>
        <w:t xml:space="preserve">that the frequency of </w:t>
      </w:r>
      <w:r w:rsidR="00D144FA">
        <w:rPr>
          <w:rFonts w:asciiTheme="majorBidi" w:hAnsiTheme="majorBidi" w:cstheme="majorBidi"/>
          <w:sz w:val="24"/>
          <w:szCs w:val="22"/>
        </w:rPr>
        <w:t>similar</w:t>
      </w:r>
      <w:r w:rsidR="00D144FA" w:rsidRPr="00067D8A">
        <w:rPr>
          <w:rFonts w:asciiTheme="majorBidi" w:hAnsiTheme="majorBidi" w:cstheme="majorBidi"/>
          <w:sz w:val="24"/>
          <w:szCs w:val="22"/>
        </w:rPr>
        <w:t xml:space="preserve"> </w:t>
      </w:r>
      <w:r w:rsidRPr="00067D8A">
        <w:rPr>
          <w:rFonts w:asciiTheme="majorBidi" w:hAnsiTheme="majorBidi" w:cstheme="majorBidi"/>
          <w:sz w:val="24"/>
          <w:szCs w:val="22"/>
        </w:rPr>
        <w:t xml:space="preserve">types is so low in DS I </w:t>
      </w:r>
      <w:r w:rsidR="00D144FA">
        <w:rPr>
          <w:rFonts w:asciiTheme="majorBidi" w:hAnsiTheme="majorBidi" w:cstheme="majorBidi"/>
          <w:sz w:val="24"/>
          <w:szCs w:val="22"/>
        </w:rPr>
        <w:t xml:space="preserve">as </w:t>
      </w:r>
      <w:r w:rsidRPr="00067D8A">
        <w:rPr>
          <w:rFonts w:asciiTheme="majorBidi" w:hAnsiTheme="majorBidi" w:cstheme="majorBidi"/>
          <w:sz w:val="24"/>
          <w:szCs w:val="22"/>
        </w:rPr>
        <w:t>to argue that the DS I assemblage represents a distinct and perhaps significantly later cultural development</w:t>
      </w:r>
      <w:r w:rsidR="00D144FA">
        <w:rPr>
          <w:rFonts w:asciiTheme="majorBidi" w:hAnsiTheme="majorBidi" w:cstheme="majorBidi"/>
          <w:sz w:val="24"/>
          <w:szCs w:val="22"/>
        </w:rPr>
        <w:t>,</w:t>
      </w:r>
      <w:r w:rsidR="00D144FA" w:rsidRPr="00067D8A">
        <w:rPr>
          <w:rStyle w:val="EndnoteReference"/>
          <w:rFonts w:asciiTheme="majorBidi" w:hAnsiTheme="majorBidi" w:cstheme="majorBidi"/>
          <w:sz w:val="24"/>
          <w:szCs w:val="22"/>
        </w:rPr>
        <w:endnoteReference w:id="145"/>
      </w:r>
      <w:r w:rsidR="00D144FA">
        <w:rPr>
          <w:rFonts w:asciiTheme="majorBidi" w:hAnsiTheme="majorBidi" w:cstheme="majorBidi"/>
          <w:sz w:val="24"/>
          <w:szCs w:val="22"/>
        </w:rPr>
        <w:t xml:space="preserve"> and</w:t>
      </w:r>
      <w:r w:rsidRPr="00067D8A">
        <w:rPr>
          <w:rFonts w:asciiTheme="majorBidi" w:hAnsiTheme="majorBidi" w:cstheme="majorBidi"/>
          <w:sz w:val="24"/>
          <w:szCs w:val="22"/>
        </w:rPr>
        <w:t xml:space="preserve"> there are significant additions of various new types during DS I which also reinforce its distinctiveness from KGM IV. </w:t>
      </w:r>
      <w:r w:rsidR="00D144FA">
        <w:rPr>
          <w:rFonts w:asciiTheme="majorBidi" w:hAnsiTheme="majorBidi" w:cstheme="majorBidi"/>
          <w:sz w:val="24"/>
          <w:szCs w:val="22"/>
        </w:rPr>
        <w:t xml:space="preserve">Furthermore, </w:t>
      </w:r>
      <w:r w:rsidRPr="00067D8A">
        <w:rPr>
          <w:rFonts w:asciiTheme="majorBidi" w:hAnsiTheme="majorBidi" w:cstheme="majorBidi"/>
          <w:sz w:val="24"/>
          <w:szCs w:val="22"/>
        </w:rPr>
        <w:t xml:space="preserve">KGM IV is distinguished by the presence of a polychrome, or bichrome, type of pottery. This fine </w:t>
      </w:r>
      <w:r w:rsidR="00D144FA">
        <w:rPr>
          <w:rFonts w:asciiTheme="majorBidi" w:hAnsiTheme="majorBidi" w:cstheme="majorBidi"/>
          <w:sz w:val="24"/>
          <w:szCs w:val="22"/>
        </w:rPr>
        <w:lastRenderedPageBreak/>
        <w:t>turned</w:t>
      </w:r>
      <w:r w:rsidRPr="00067D8A">
        <w:rPr>
          <w:rFonts w:asciiTheme="majorBidi" w:hAnsiTheme="majorBidi" w:cstheme="majorBidi"/>
          <w:sz w:val="24"/>
          <w:szCs w:val="22"/>
        </w:rPr>
        <w:t xml:space="preserve"> buff pottery with well executed geometric motifs in black and red, called Kechi Beg Polychrome,</w:t>
      </w:r>
      <w:r w:rsidRPr="00067D8A">
        <w:rPr>
          <w:rStyle w:val="EndnoteReference"/>
          <w:rFonts w:asciiTheme="majorBidi" w:hAnsiTheme="majorBidi" w:cstheme="majorBidi"/>
          <w:sz w:val="24"/>
          <w:szCs w:val="22"/>
        </w:rPr>
        <w:endnoteReference w:id="146"/>
      </w:r>
      <w:r w:rsidRPr="00067D8A">
        <w:rPr>
          <w:rFonts w:asciiTheme="majorBidi" w:hAnsiTheme="majorBidi" w:cstheme="majorBidi"/>
          <w:sz w:val="24"/>
          <w:szCs w:val="22"/>
        </w:rPr>
        <w:t xml:space="preserve"> is an extremely striking and important pottery type. Several of the Kechi Beg type motifs are similar to the ones identified on the bichrome sherds located in Mundigak I</w:t>
      </w:r>
      <w:r w:rsidRPr="00067D8A">
        <w:rPr>
          <w:rFonts w:asciiTheme="majorBidi" w:hAnsiTheme="majorBidi" w:cstheme="majorBidi"/>
          <w:sz w:val="24"/>
          <w:szCs w:val="22"/>
          <w:vertAlign w:val="subscript"/>
        </w:rPr>
        <w:t>5</w:t>
      </w:r>
      <w:r w:rsidRPr="00067D8A">
        <w:rPr>
          <w:rFonts w:asciiTheme="majorBidi" w:hAnsiTheme="majorBidi" w:cstheme="majorBidi"/>
          <w:sz w:val="24"/>
          <w:szCs w:val="22"/>
        </w:rPr>
        <w:t>. Likewise, there is a basic similarity between this material and the bichrome pottery identified at Amri IA–C in the lower Indus valley.</w:t>
      </w:r>
      <w:r w:rsidRPr="00067D8A">
        <w:rPr>
          <w:rStyle w:val="EndnoteReference"/>
          <w:rFonts w:asciiTheme="majorBidi" w:hAnsiTheme="majorBidi" w:cstheme="majorBidi"/>
          <w:sz w:val="24"/>
          <w:szCs w:val="22"/>
        </w:rPr>
        <w:endnoteReference w:id="147"/>
      </w:r>
      <w:r w:rsidRPr="00067D8A">
        <w:rPr>
          <w:rFonts w:asciiTheme="majorBidi" w:hAnsiTheme="majorBidi" w:cstheme="majorBidi"/>
          <w:sz w:val="24"/>
          <w:szCs w:val="22"/>
        </w:rPr>
        <w:t xml:space="preserve"> The decorative style of Kechi Beg is similar to that of Amri, but is at the same time distinctive in its own right. The possibilities cannot be ruled out that the bichromes found in Mundigak I</w:t>
      </w:r>
      <w:r w:rsidRPr="00067D8A">
        <w:rPr>
          <w:rFonts w:asciiTheme="majorBidi" w:hAnsiTheme="majorBidi" w:cstheme="majorBidi"/>
          <w:sz w:val="24"/>
          <w:szCs w:val="22"/>
          <w:vertAlign w:val="subscript"/>
        </w:rPr>
        <w:t>5</w:t>
      </w:r>
      <w:r w:rsidRPr="00067D8A">
        <w:rPr>
          <w:rFonts w:asciiTheme="majorBidi" w:hAnsiTheme="majorBidi" w:cstheme="majorBidi"/>
          <w:sz w:val="24"/>
          <w:szCs w:val="22"/>
        </w:rPr>
        <w:t xml:space="preserve"> might actually be Kechi Beg rather than Amri, types, or that Kechi Beg itself reflects interaction and/or communication with the much more prevalent bichrome ceramic styles found in the Indus valley (Amri and Sothi). There is an overall striking dissimilarity to be found among the majority of ceramics described for Mundigak Periods I–II and KGM III–IV when contrasted with that recorded for these sites</w:t>
      </w:r>
      <w:r w:rsidR="003568BB">
        <w:rPr>
          <w:rFonts w:asciiTheme="majorBidi" w:hAnsiTheme="majorBidi" w:cstheme="majorBidi"/>
          <w:sz w:val="24"/>
          <w:szCs w:val="22"/>
        </w:rPr>
        <w:t xml:space="preserve"> in the Indus region</w:t>
      </w:r>
      <w:r w:rsidRPr="00067D8A">
        <w:rPr>
          <w:rFonts w:asciiTheme="majorBidi" w:hAnsiTheme="majorBidi" w:cstheme="majorBidi"/>
          <w:sz w:val="24"/>
          <w:szCs w:val="22"/>
        </w:rPr>
        <w:t xml:space="preserve">. Although the exact significance of these parallels remain to be determined, they seem to indicate that some interaction was present between southern Afghanistan and the Indus </w:t>
      </w:r>
      <w:r w:rsidR="003568BB">
        <w:rPr>
          <w:rFonts w:asciiTheme="majorBidi" w:hAnsiTheme="majorBidi" w:cstheme="majorBidi"/>
          <w:sz w:val="24"/>
          <w:szCs w:val="22"/>
        </w:rPr>
        <w:t>region</w:t>
      </w:r>
      <w:r w:rsidR="003568BB" w:rsidRPr="00067D8A">
        <w:rPr>
          <w:rFonts w:asciiTheme="majorBidi" w:hAnsiTheme="majorBidi" w:cstheme="majorBidi"/>
          <w:sz w:val="24"/>
          <w:szCs w:val="22"/>
        </w:rPr>
        <w:t xml:space="preserve"> </w:t>
      </w:r>
      <w:r w:rsidRPr="00067D8A">
        <w:rPr>
          <w:rFonts w:asciiTheme="majorBidi" w:hAnsiTheme="majorBidi" w:cstheme="majorBidi"/>
          <w:sz w:val="24"/>
          <w:szCs w:val="22"/>
        </w:rPr>
        <w:t xml:space="preserve">during the mid-fourth millennium </w:t>
      </w:r>
      <w:r w:rsidRPr="00067D8A">
        <w:rPr>
          <w:rFonts w:asciiTheme="majorBidi" w:hAnsiTheme="majorBidi" w:cstheme="majorBidi"/>
          <w:smallCaps/>
          <w:sz w:val="24"/>
          <w:szCs w:val="22"/>
        </w:rPr>
        <w:t>BC</w:t>
      </w:r>
      <w:r w:rsidRPr="00067D8A">
        <w:rPr>
          <w:rFonts w:asciiTheme="majorBidi" w:hAnsiTheme="majorBidi" w:cstheme="majorBidi"/>
          <w:sz w:val="24"/>
          <w:szCs w:val="22"/>
        </w:rPr>
        <w:t>.</w:t>
      </w:r>
      <w:r w:rsidRPr="00067D8A">
        <w:rPr>
          <w:rStyle w:val="EndnoteReference"/>
          <w:rFonts w:asciiTheme="majorBidi" w:hAnsiTheme="majorBidi" w:cstheme="majorBidi"/>
          <w:sz w:val="24"/>
          <w:szCs w:val="22"/>
        </w:rPr>
        <w:endnoteReference w:id="148"/>
      </w:r>
      <w:r w:rsidRPr="00067D8A">
        <w:rPr>
          <w:rFonts w:asciiTheme="majorBidi" w:hAnsiTheme="majorBidi" w:cstheme="majorBidi"/>
          <w:sz w:val="24"/>
          <w:szCs w:val="22"/>
        </w:rPr>
        <w:t xml:space="preserve"> Ceramic evidence, then, indicates that cultural interaction/communication was taking place over a distance of approximately 800+ km to the south-east of Mundigak, or approximately the same distance as is indicated by the presence of lapis lazuli found at Mundigak I which must have originated in north-eastern Afghanistan (a single lapis lazuli bead is reported from Amri I). Existence of such interaction is further supported by additional ceramic parallels noted for other, less completely known, sites in Baluchistan.</w:t>
      </w:r>
      <w:r w:rsidRPr="00067D8A">
        <w:rPr>
          <w:rStyle w:val="EndnoteReference"/>
          <w:rFonts w:asciiTheme="majorBidi" w:hAnsiTheme="majorBidi" w:cstheme="majorBidi"/>
          <w:sz w:val="24"/>
          <w:szCs w:val="22"/>
        </w:rPr>
        <w:endnoteReference w:id="149"/>
      </w:r>
    </w:p>
    <w:p w14:paraId="2B986508" w14:textId="22AA6B9E"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West of Afghanistan, in eastern Iran, the nearest site which is chronologically comparable to Mundigak Periods I–II is Tepe Yahya.</w:t>
      </w:r>
      <w:r w:rsidRPr="00067D8A">
        <w:rPr>
          <w:rStyle w:val="EndnoteReference"/>
          <w:rFonts w:asciiTheme="majorBidi" w:hAnsiTheme="majorBidi" w:cstheme="majorBidi"/>
          <w:sz w:val="24"/>
          <w:szCs w:val="22"/>
        </w:rPr>
        <w:endnoteReference w:id="150"/>
      </w:r>
      <w:r w:rsidRPr="00067D8A">
        <w:rPr>
          <w:rFonts w:asciiTheme="majorBidi" w:hAnsiTheme="majorBidi" w:cstheme="majorBidi"/>
          <w:sz w:val="24"/>
          <w:szCs w:val="22"/>
        </w:rPr>
        <w:t xml:space="preserve"> However, the fourth millennium </w:t>
      </w:r>
      <w:r w:rsidRPr="00067D8A">
        <w:rPr>
          <w:rFonts w:asciiTheme="majorBidi" w:hAnsiTheme="majorBidi" w:cstheme="majorBidi"/>
          <w:smallCaps/>
          <w:sz w:val="24"/>
          <w:szCs w:val="22"/>
        </w:rPr>
        <w:t>BC</w:t>
      </w:r>
      <w:r w:rsidRPr="00067D8A">
        <w:rPr>
          <w:rFonts w:asciiTheme="majorBidi" w:hAnsiTheme="majorBidi" w:cstheme="majorBidi"/>
          <w:sz w:val="24"/>
          <w:szCs w:val="22"/>
        </w:rPr>
        <w:t xml:space="preserve"> occupations at this site (Periods VI and V) seem to have little in common with the Afghan material. True, a basic similarity may be distilled among the simple geometric motifs found on the pottery; but it would not be a convincing correlation, and is probably the result of the basic stylistic </w:t>
      </w:r>
      <w:r w:rsidRPr="00067D8A">
        <w:rPr>
          <w:rFonts w:asciiTheme="majorBidi" w:hAnsiTheme="majorBidi" w:cstheme="majorBidi"/>
          <w:sz w:val="24"/>
          <w:szCs w:val="22"/>
        </w:rPr>
        <w:lastRenderedPageBreak/>
        <w:t>limitations imposed by a geometric repertoire (i.e. how many ways a triangle may be drawn). The only connection with Afghanistan is the presence of lapis lazuli.</w:t>
      </w:r>
      <w:r w:rsidRPr="00067D8A">
        <w:rPr>
          <w:rStyle w:val="EndnoteReference"/>
          <w:rFonts w:asciiTheme="majorBidi" w:hAnsiTheme="majorBidi" w:cstheme="majorBidi"/>
          <w:sz w:val="24"/>
          <w:szCs w:val="22"/>
        </w:rPr>
        <w:endnoteReference w:id="151"/>
      </w:r>
      <w:r w:rsidRPr="00067D8A">
        <w:rPr>
          <w:rFonts w:asciiTheme="majorBidi" w:hAnsiTheme="majorBidi" w:cstheme="majorBidi"/>
          <w:sz w:val="24"/>
          <w:szCs w:val="22"/>
        </w:rPr>
        <w:t xml:space="preserve"> </w:t>
      </w:r>
    </w:p>
    <w:p w14:paraId="1068A0C0" w14:textId="4939FCB9" w:rsidR="0030226C" w:rsidRPr="00067D8A" w:rsidRDefault="0030226C" w:rsidP="0030226C">
      <w:pPr>
        <w:pStyle w:val="BodyTextIndent"/>
        <w:rPr>
          <w:rFonts w:asciiTheme="majorBidi" w:hAnsiTheme="majorBidi" w:cstheme="majorBidi"/>
          <w:sz w:val="24"/>
          <w:szCs w:val="22"/>
        </w:rPr>
      </w:pPr>
      <w:r w:rsidRPr="003568BB">
        <w:rPr>
          <w:rFonts w:asciiTheme="majorBidi" w:hAnsiTheme="majorBidi" w:cstheme="majorBidi"/>
          <w:sz w:val="24"/>
          <w:szCs w:val="22"/>
        </w:rPr>
        <w:t>There has been general trend to equate the Turkmenistan cultural complexes of Namazga II with Mundigak I–II.</w:t>
      </w:r>
      <w:r w:rsidRPr="003568BB">
        <w:rPr>
          <w:rStyle w:val="EndnoteReference"/>
          <w:rFonts w:asciiTheme="majorBidi" w:hAnsiTheme="majorBidi" w:cstheme="majorBidi"/>
          <w:sz w:val="24"/>
          <w:szCs w:val="22"/>
        </w:rPr>
        <w:endnoteReference w:id="152"/>
      </w:r>
      <w:r w:rsidRPr="003568BB">
        <w:rPr>
          <w:rFonts w:asciiTheme="majorBidi" w:hAnsiTheme="majorBidi" w:cstheme="majorBidi"/>
          <w:sz w:val="24"/>
          <w:szCs w:val="22"/>
        </w:rPr>
        <w:t xml:space="preserve"> However, the position here is that these fifth/early fourth millennium </w:t>
      </w:r>
      <w:r w:rsidRPr="003568BB">
        <w:rPr>
          <w:rFonts w:asciiTheme="majorBidi" w:hAnsiTheme="majorBidi" w:cstheme="majorBidi"/>
          <w:smallCaps/>
          <w:sz w:val="24"/>
          <w:szCs w:val="22"/>
        </w:rPr>
        <w:t>BC</w:t>
      </w:r>
      <w:r w:rsidRPr="003568BB">
        <w:rPr>
          <w:rFonts w:asciiTheme="majorBidi" w:hAnsiTheme="majorBidi" w:cstheme="majorBidi"/>
          <w:sz w:val="24"/>
          <w:szCs w:val="22"/>
        </w:rPr>
        <w:t xml:space="preserve"> metal using cultural groups of Turkmenistan present more of a contrast than similarity with Mundigak. A basic similarity may be defined among several categories of artefacts (i.e. lithics, architecture, beads, etc.). Much of this similarity, however, might be attributed to analogous ecological-social-economic responses to the contingencies imposed upon a sedentary agricultural way of life under</w:t>
      </w:r>
      <w:r w:rsidR="003568BB">
        <w:rPr>
          <w:rFonts w:asciiTheme="majorBidi" w:hAnsiTheme="majorBidi" w:cstheme="majorBidi"/>
          <w:sz w:val="24"/>
          <w:szCs w:val="22"/>
        </w:rPr>
        <w:t xml:space="preserve"> broadly</w:t>
      </w:r>
      <w:r w:rsidRPr="003568BB">
        <w:rPr>
          <w:rFonts w:asciiTheme="majorBidi" w:hAnsiTheme="majorBidi" w:cstheme="majorBidi"/>
          <w:sz w:val="24"/>
          <w:szCs w:val="22"/>
        </w:rPr>
        <w:t xml:space="preserve"> similar environmental circumstances. On the other hand, the respective ceramic stylistic traditions are, if taken in their entirety, significantly different. Certainly, the ceramics do not reflect the same degree of similarity demonstrated by the more parallel styles found in Baluchistan. The importance of these differences cannot be appreciated without reference to the very pronounced ceramic similarities delineated for Mundigak III and Namazga III.</w:t>
      </w:r>
    </w:p>
    <w:p w14:paraId="18EBAC1C" w14:textId="77777777" w:rsidR="0030226C" w:rsidRPr="003F2527" w:rsidRDefault="009C43AA" w:rsidP="0030226C">
      <w:pPr>
        <w:pStyle w:val="Heading3"/>
        <w:rPr>
          <w:rFonts w:asciiTheme="majorBidi" w:hAnsiTheme="majorBidi"/>
          <w:color w:val="auto"/>
          <w:lang w:val="en-GB"/>
        </w:rPr>
      </w:pPr>
      <w:r w:rsidRPr="009C43AA">
        <w:rPr>
          <w:rFonts w:asciiTheme="majorBidi" w:hAnsiTheme="majorBidi"/>
          <w:color w:val="auto"/>
          <w:lang w:val="en-GB"/>
        </w:rPr>
        <w:t>Mundigak: Period III</w:t>
      </w:r>
    </w:p>
    <w:p w14:paraId="24367727" w14:textId="54AA0CBB" w:rsidR="0030226C" w:rsidRPr="00067D8A" w:rsidRDefault="0030226C" w:rsidP="00E91113">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The external relationships of Mundigak III and by analogy Said Qala I–IV are characterised by an intensification of interaction/communication with Baluchistan and the Indus valley. Unlike the preceding periods, external relationships can now be defined with some of the eastern Turkmenistan cultural developments</w:t>
      </w:r>
      <w:r w:rsidR="00E91113">
        <w:rPr>
          <w:rFonts w:asciiTheme="majorBidi" w:hAnsiTheme="majorBidi" w:cstheme="majorBidi"/>
          <w:sz w:val="24"/>
          <w:szCs w:val="22"/>
          <w:lang w:val="en-GB"/>
        </w:rPr>
        <w:t xml:space="preserve"> and the development of intensive contacts with NE Central Asia (</w:t>
      </w:r>
      <w:r w:rsidR="003568BB">
        <w:rPr>
          <w:rFonts w:asciiTheme="majorBidi" w:hAnsiTheme="majorBidi" w:cstheme="majorBidi"/>
          <w:sz w:val="24"/>
          <w:szCs w:val="22"/>
          <w:lang w:val="en-GB"/>
        </w:rPr>
        <w:t xml:space="preserve">e.g. </w:t>
      </w:r>
      <w:r w:rsidR="00E91113">
        <w:rPr>
          <w:rFonts w:asciiTheme="majorBidi" w:hAnsiTheme="majorBidi" w:cstheme="majorBidi"/>
          <w:sz w:val="24"/>
          <w:szCs w:val="22"/>
          <w:lang w:val="en-GB"/>
        </w:rPr>
        <w:t>Taluqan sites</w:t>
      </w:r>
      <w:r w:rsidR="003568BB">
        <w:rPr>
          <w:rFonts w:asciiTheme="majorBidi" w:hAnsiTheme="majorBidi" w:cstheme="majorBidi"/>
          <w:sz w:val="24"/>
          <w:szCs w:val="22"/>
          <w:lang w:val="en-GB"/>
        </w:rPr>
        <w:t xml:space="preserve"> and</w:t>
      </w:r>
      <w:r w:rsidR="00E91113">
        <w:rPr>
          <w:rFonts w:asciiTheme="majorBidi" w:hAnsiTheme="majorBidi" w:cstheme="majorBidi"/>
          <w:sz w:val="24"/>
          <w:szCs w:val="22"/>
          <w:lang w:val="en-GB"/>
        </w:rPr>
        <w:t xml:space="preserve"> Sarazm</w:t>
      </w:r>
      <w:r w:rsidR="003568BB">
        <w:rPr>
          <w:rFonts w:asciiTheme="majorBidi" w:hAnsiTheme="majorBidi" w:cstheme="majorBidi"/>
          <w:sz w:val="24"/>
          <w:szCs w:val="22"/>
          <w:lang w:val="en-GB"/>
        </w:rPr>
        <w:t>; see Chapter 3</w:t>
      </w:r>
      <w:r w:rsidR="00E91113">
        <w:rPr>
          <w:rFonts w:asciiTheme="majorBidi" w:hAnsiTheme="majorBidi" w:cstheme="majorBidi"/>
          <w:sz w:val="24"/>
          <w:szCs w:val="22"/>
          <w:lang w:val="en-GB"/>
        </w:rPr>
        <w:t>)</w:t>
      </w:r>
      <w:r w:rsidR="00E91113" w:rsidRPr="00067D8A">
        <w:rPr>
          <w:rFonts w:asciiTheme="majorBidi" w:hAnsiTheme="majorBidi" w:cstheme="majorBidi"/>
          <w:sz w:val="24"/>
          <w:szCs w:val="22"/>
          <w:lang w:val="en-GB"/>
        </w:rPr>
        <w:t>.</w:t>
      </w:r>
      <w:r w:rsidRPr="00067D8A">
        <w:rPr>
          <w:rFonts w:asciiTheme="majorBidi" w:hAnsiTheme="majorBidi" w:cstheme="majorBidi"/>
          <w:sz w:val="24"/>
          <w:szCs w:val="22"/>
          <w:lang w:val="en-GB"/>
        </w:rPr>
        <w:t xml:space="preserve"> Most of these external relationships are again based upon ceramic correlations and in particular the identification of Baluchistan and Indus valley pottery types at Mundigak and Said Qala rather than</w:t>
      </w:r>
      <w:r w:rsidRPr="00067D8A">
        <w:rPr>
          <w:rFonts w:asciiTheme="majorBidi" w:hAnsiTheme="majorBidi" w:cstheme="majorBidi"/>
          <w:i/>
          <w:iCs/>
          <w:sz w:val="24"/>
          <w:szCs w:val="22"/>
          <w:lang w:val="en-GB"/>
        </w:rPr>
        <w:t xml:space="preserve"> vice versa.</w:t>
      </w:r>
      <w:r w:rsidRPr="00067D8A">
        <w:rPr>
          <w:rFonts w:asciiTheme="majorBidi" w:hAnsiTheme="majorBidi" w:cstheme="majorBidi"/>
          <w:sz w:val="24"/>
          <w:szCs w:val="22"/>
          <w:lang w:val="en-GB"/>
        </w:rPr>
        <w:t xml:space="preserve"> In contrast, the relationship with Turkmenistan is based upon similarities in decorative style discernible on indigenously manufactured ceramics.</w:t>
      </w:r>
    </w:p>
    <w:p w14:paraId="5885E9DC" w14:textId="20E7B34F"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lastRenderedPageBreak/>
        <w:t>At Mundigak and/or Said Qala the following distinctive Baluchistan pottery types were identified: Kile Gul Mohammad black-on-red slipped; Faiz Mohammad Painted wares; Kechi Beg Polychrome or Bichromes; Quetta Wet wares; Nal black-on-buff and Polychromes. Except for the Nal types all these various types are also present in the Quetta valley of northern Baluchistan. In addition, there is a very pronounced similarity among all the vessel forms and decorative motifs found on Quetta valley pottery designated as DS I by Fairservis. As at Mundigak</w:t>
      </w:r>
      <w:r w:rsidR="003568BB">
        <w:rPr>
          <w:rFonts w:asciiTheme="majorBidi" w:hAnsiTheme="majorBidi" w:cstheme="majorBidi"/>
          <w:sz w:val="24"/>
          <w:szCs w:val="22"/>
        </w:rPr>
        <w:t>,</w:t>
      </w:r>
      <w:r w:rsidRPr="00067D8A">
        <w:rPr>
          <w:rFonts w:asciiTheme="majorBidi" w:hAnsiTheme="majorBidi" w:cstheme="majorBidi"/>
          <w:sz w:val="24"/>
          <w:szCs w:val="22"/>
        </w:rPr>
        <w:t xml:space="preserve"> it is during DS I that Quetta Ware type pottery begins to appear in frequency. Indeed, Mundigak III, Said Qala I–IV, and DS I are so similar that they could be considered a single cultural complex. Parallels and correlations can also be made for other areas of Baluchistan</w:t>
      </w:r>
      <w:r w:rsidRPr="00067D8A">
        <w:rPr>
          <w:rStyle w:val="EndnoteReference"/>
          <w:rFonts w:asciiTheme="majorBidi" w:hAnsiTheme="majorBidi" w:cstheme="majorBidi"/>
          <w:sz w:val="24"/>
          <w:szCs w:val="22"/>
        </w:rPr>
        <w:endnoteReference w:id="153"/>
      </w:r>
      <w:r w:rsidRPr="00067D8A">
        <w:rPr>
          <w:rFonts w:asciiTheme="majorBidi" w:hAnsiTheme="majorBidi" w:cstheme="majorBidi"/>
          <w:sz w:val="24"/>
          <w:szCs w:val="22"/>
        </w:rPr>
        <w:t xml:space="preserve"> but none are as dramatically similar as the Quetta valley material given the available information. Two radiocarbon dates from DS I</w:t>
      </w:r>
      <w:r w:rsidR="0026029B" w:rsidRPr="00067D8A">
        <w:rPr>
          <w:rStyle w:val="EndnoteReference"/>
          <w:rFonts w:asciiTheme="majorBidi" w:hAnsiTheme="majorBidi" w:cstheme="majorBidi"/>
          <w:sz w:val="24"/>
          <w:szCs w:val="22"/>
        </w:rPr>
        <w:endnoteReference w:id="154"/>
      </w:r>
      <w:r w:rsidRPr="00067D8A">
        <w:rPr>
          <w:rFonts w:asciiTheme="majorBidi" w:hAnsiTheme="majorBidi" w:cstheme="majorBidi"/>
          <w:sz w:val="24"/>
          <w:szCs w:val="22"/>
        </w:rPr>
        <w:t xml:space="preserve"> have been recalibrated</w:t>
      </w:r>
      <w:r w:rsidR="0026029B">
        <w:rPr>
          <w:rFonts w:asciiTheme="majorBidi" w:hAnsiTheme="majorBidi" w:cstheme="majorBidi"/>
          <w:sz w:val="24"/>
          <w:szCs w:val="22"/>
        </w:rPr>
        <w:t xml:space="preserve"> as follows: 3,935-2,040</w:t>
      </w:r>
      <w:r w:rsidRPr="00067D8A">
        <w:rPr>
          <w:rFonts w:asciiTheme="majorBidi" w:hAnsiTheme="majorBidi" w:cstheme="majorBidi"/>
          <w:sz w:val="24"/>
          <w:szCs w:val="22"/>
        </w:rPr>
        <w:t xml:space="preserve"> cal BC (</w:t>
      </w:r>
      <w:r w:rsidR="0026029B">
        <w:rPr>
          <w:rFonts w:asciiTheme="majorBidi" w:hAnsiTheme="majorBidi" w:cstheme="majorBidi"/>
          <w:sz w:val="24"/>
          <w:szCs w:val="22"/>
        </w:rPr>
        <w:t>L-180B: 4,348+-350</w:t>
      </w:r>
      <w:r w:rsidRPr="00067D8A">
        <w:rPr>
          <w:rFonts w:asciiTheme="majorBidi" w:hAnsiTheme="majorBidi" w:cstheme="majorBidi"/>
          <w:sz w:val="24"/>
          <w:szCs w:val="22"/>
          <w:highlight w:val="yellow"/>
        </w:rPr>
        <w:t>)</w:t>
      </w:r>
      <w:r w:rsidRPr="00067D8A">
        <w:rPr>
          <w:rFonts w:asciiTheme="majorBidi" w:hAnsiTheme="majorBidi" w:cstheme="majorBidi"/>
          <w:sz w:val="24"/>
          <w:szCs w:val="22"/>
        </w:rPr>
        <w:t xml:space="preserve"> and </w:t>
      </w:r>
      <w:r w:rsidR="0026029B">
        <w:rPr>
          <w:rFonts w:asciiTheme="majorBidi" w:hAnsiTheme="majorBidi" w:cstheme="majorBidi"/>
          <w:sz w:val="24"/>
          <w:szCs w:val="22"/>
        </w:rPr>
        <w:t>3,330-2,710</w:t>
      </w:r>
      <w:r w:rsidRPr="00067D8A">
        <w:rPr>
          <w:rFonts w:asciiTheme="majorBidi" w:hAnsiTheme="majorBidi" w:cstheme="majorBidi"/>
          <w:sz w:val="24"/>
          <w:szCs w:val="22"/>
        </w:rPr>
        <w:t xml:space="preserve"> cal BC (</w:t>
      </w:r>
      <w:r w:rsidR="0026029B">
        <w:rPr>
          <w:rFonts w:asciiTheme="majorBidi" w:hAnsiTheme="majorBidi" w:cstheme="majorBidi"/>
          <w:sz w:val="24"/>
          <w:szCs w:val="22"/>
        </w:rPr>
        <w:t>UW-59: 4,330+-70 BP</w:t>
      </w:r>
      <w:r w:rsidRPr="00067D8A">
        <w:rPr>
          <w:rFonts w:asciiTheme="majorBidi" w:hAnsiTheme="majorBidi" w:cstheme="majorBidi"/>
          <w:sz w:val="24"/>
          <w:szCs w:val="22"/>
          <w:highlight w:val="yellow"/>
        </w:rPr>
        <w:t>)</w:t>
      </w:r>
      <w:r w:rsidR="0026029B">
        <w:rPr>
          <w:rFonts w:asciiTheme="majorBidi" w:hAnsiTheme="majorBidi" w:cstheme="majorBidi"/>
          <w:sz w:val="24"/>
          <w:szCs w:val="22"/>
        </w:rPr>
        <w:t xml:space="preserve">, and the latter of these is statistically similar to </w:t>
      </w:r>
      <w:r w:rsidR="0026029B" w:rsidRPr="0026029B">
        <w:rPr>
          <w:rFonts w:asciiTheme="majorBidi" w:hAnsiTheme="majorBidi" w:cstheme="majorBidi"/>
          <w:sz w:val="24"/>
          <w:szCs w:val="22"/>
        </w:rPr>
        <w:t>Casal</w:t>
      </w:r>
      <w:r w:rsidR="0026029B">
        <w:rPr>
          <w:rFonts w:asciiTheme="majorBidi" w:hAnsiTheme="majorBidi" w:cstheme="majorBidi"/>
          <w:sz w:val="24"/>
          <w:szCs w:val="22"/>
        </w:rPr>
        <w:t>’s Mundigak</w:t>
      </w:r>
      <w:r w:rsidR="0026029B" w:rsidRPr="0026029B">
        <w:rPr>
          <w:rFonts w:asciiTheme="majorBidi" w:hAnsiTheme="majorBidi" w:cstheme="majorBidi"/>
          <w:sz w:val="24"/>
          <w:szCs w:val="22"/>
        </w:rPr>
        <w:t xml:space="preserve"> Sub-Period III5 date</w:t>
      </w:r>
      <w:r w:rsidR="0026029B">
        <w:rPr>
          <w:rFonts w:asciiTheme="majorBidi" w:hAnsiTheme="majorBidi" w:cstheme="majorBidi"/>
          <w:sz w:val="24"/>
          <w:szCs w:val="22"/>
        </w:rPr>
        <w:t>, which provides some reinforcement of the correlation.</w:t>
      </w:r>
    </w:p>
    <w:p w14:paraId="24697CD5" w14:textId="1A029424"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Artefacts indicating interaction with the Indus </w:t>
      </w:r>
      <w:r w:rsidR="0026029B">
        <w:rPr>
          <w:rFonts w:asciiTheme="majorBidi" w:hAnsiTheme="majorBidi" w:cstheme="majorBidi"/>
          <w:sz w:val="24"/>
          <w:szCs w:val="22"/>
        </w:rPr>
        <w:t>region</w:t>
      </w:r>
      <w:r w:rsidR="0026029B" w:rsidRPr="00067D8A">
        <w:rPr>
          <w:rFonts w:asciiTheme="majorBidi" w:hAnsiTheme="majorBidi" w:cstheme="majorBidi"/>
          <w:sz w:val="24"/>
          <w:szCs w:val="22"/>
        </w:rPr>
        <w:t xml:space="preserve"> </w:t>
      </w:r>
      <w:r w:rsidRPr="00067D8A">
        <w:rPr>
          <w:rFonts w:asciiTheme="majorBidi" w:hAnsiTheme="majorBidi" w:cstheme="majorBidi"/>
          <w:sz w:val="24"/>
          <w:szCs w:val="22"/>
        </w:rPr>
        <w:t>proper appear to be somewhat more infrequent than th</w:t>
      </w:r>
      <w:r w:rsidR="0026029B">
        <w:rPr>
          <w:rFonts w:asciiTheme="majorBidi" w:hAnsiTheme="majorBidi" w:cstheme="majorBidi"/>
          <w:sz w:val="24"/>
          <w:szCs w:val="22"/>
        </w:rPr>
        <w:t>at attest to interaction with</w:t>
      </w:r>
      <w:r w:rsidRPr="00067D8A">
        <w:rPr>
          <w:rFonts w:asciiTheme="majorBidi" w:hAnsiTheme="majorBidi" w:cstheme="majorBidi"/>
          <w:sz w:val="24"/>
          <w:szCs w:val="22"/>
        </w:rPr>
        <w:t xml:space="preserve"> Baluchistan. Found at Mundigak and DS I (but not Said Qala) were examples of a globular jar with short neck and everted rim decorated with simple horizontal bands that are similar to Kot Dijian</w:t>
      </w:r>
      <w:r w:rsidR="0026029B">
        <w:rPr>
          <w:rFonts w:asciiTheme="majorBidi" w:hAnsiTheme="majorBidi" w:cstheme="majorBidi"/>
          <w:sz w:val="24"/>
          <w:szCs w:val="22"/>
        </w:rPr>
        <w:t>-</w:t>
      </w:r>
      <w:r w:rsidRPr="00067D8A">
        <w:rPr>
          <w:rFonts w:asciiTheme="majorBidi" w:hAnsiTheme="majorBidi" w:cstheme="majorBidi"/>
          <w:sz w:val="24"/>
          <w:szCs w:val="22"/>
        </w:rPr>
        <w:t>type pottery found in the early occupations at</w:t>
      </w:r>
      <w:r w:rsidR="0026029B">
        <w:rPr>
          <w:rFonts w:asciiTheme="majorBidi" w:hAnsiTheme="majorBidi" w:cstheme="majorBidi"/>
          <w:sz w:val="24"/>
          <w:szCs w:val="22"/>
        </w:rPr>
        <w:t xml:space="preserve"> sites such as</w:t>
      </w:r>
      <w:r w:rsidRPr="00067D8A">
        <w:rPr>
          <w:rFonts w:asciiTheme="majorBidi" w:hAnsiTheme="majorBidi" w:cstheme="majorBidi"/>
          <w:sz w:val="24"/>
          <w:szCs w:val="22"/>
        </w:rPr>
        <w:t xml:space="preserve"> Kot Diji;</w:t>
      </w:r>
      <w:r w:rsidRPr="00067D8A">
        <w:rPr>
          <w:rStyle w:val="EndnoteReference"/>
          <w:rFonts w:asciiTheme="majorBidi" w:hAnsiTheme="majorBidi" w:cstheme="majorBidi"/>
          <w:sz w:val="24"/>
          <w:szCs w:val="22"/>
        </w:rPr>
        <w:endnoteReference w:id="155"/>
      </w:r>
      <w:r w:rsidRPr="00067D8A">
        <w:rPr>
          <w:rFonts w:asciiTheme="majorBidi" w:hAnsiTheme="majorBidi" w:cstheme="majorBidi"/>
          <w:sz w:val="24"/>
          <w:szCs w:val="22"/>
        </w:rPr>
        <w:t xml:space="preserve"> Harappa;</w:t>
      </w:r>
      <w:r w:rsidRPr="00067D8A">
        <w:rPr>
          <w:rStyle w:val="EndnoteReference"/>
          <w:rFonts w:asciiTheme="majorBidi" w:hAnsiTheme="majorBidi" w:cstheme="majorBidi"/>
          <w:sz w:val="24"/>
          <w:szCs w:val="22"/>
        </w:rPr>
        <w:endnoteReference w:id="156"/>
      </w:r>
      <w:r w:rsidRPr="00067D8A">
        <w:rPr>
          <w:rFonts w:asciiTheme="majorBidi" w:hAnsiTheme="majorBidi" w:cstheme="majorBidi"/>
          <w:sz w:val="24"/>
          <w:szCs w:val="22"/>
        </w:rPr>
        <w:t xml:space="preserve"> Amri;</w:t>
      </w:r>
      <w:r w:rsidRPr="00067D8A">
        <w:rPr>
          <w:rStyle w:val="EndnoteReference"/>
          <w:rFonts w:asciiTheme="majorBidi" w:hAnsiTheme="majorBidi" w:cstheme="majorBidi"/>
          <w:sz w:val="24"/>
          <w:szCs w:val="22"/>
        </w:rPr>
        <w:endnoteReference w:id="157"/>
      </w:r>
      <w:r w:rsidRPr="00067D8A">
        <w:rPr>
          <w:rFonts w:asciiTheme="majorBidi" w:hAnsiTheme="majorBidi" w:cstheme="majorBidi"/>
          <w:sz w:val="24"/>
          <w:szCs w:val="22"/>
        </w:rPr>
        <w:t xml:space="preserve"> Gumla II–III;</w:t>
      </w:r>
      <w:r w:rsidRPr="00067D8A">
        <w:rPr>
          <w:rStyle w:val="EndnoteReference"/>
          <w:rFonts w:asciiTheme="majorBidi" w:hAnsiTheme="majorBidi" w:cstheme="majorBidi"/>
          <w:sz w:val="24"/>
          <w:szCs w:val="22"/>
        </w:rPr>
        <w:endnoteReference w:id="158"/>
      </w:r>
      <w:r w:rsidRPr="00067D8A">
        <w:rPr>
          <w:rFonts w:asciiTheme="majorBidi" w:hAnsiTheme="majorBidi" w:cstheme="majorBidi"/>
          <w:sz w:val="24"/>
          <w:szCs w:val="22"/>
        </w:rPr>
        <w:t xml:space="preserve"> Jalilpur II;</w:t>
      </w:r>
      <w:r w:rsidRPr="00067D8A">
        <w:rPr>
          <w:rStyle w:val="EndnoteReference"/>
          <w:rFonts w:asciiTheme="majorBidi" w:hAnsiTheme="majorBidi" w:cstheme="majorBidi"/>
          <w:sz w:val="24"/>
          <w:szCs w:val="22"/>
        </w:rPr>
        <w:endnoteReference w:id="159"/>
      </w:r>
      <w:r w:rsidRPr="00067D8A">
        <w:rPr>
          <w:rFonts w:asciiTheme="majorBidi" w:hAnsiTheme="majorBidi" w:cstheme="majorBidi"/>
          <w:sz w:val="24"/>
          <w:szCs w:val="22"/>
        </w:rPr>
        <w:t xml:space="preserve"> and Sarai Khola II,</w:t>
      </w:r>
      <w:r w:rsidRPr="00067D8A">
        <w:rPr>
          <w:rStyle w:val="EndnoteReference"/>
          <w:rFonts w:asciiTheme="majorBidi" w:hAnsiTheme="majorBidi" w:cstheme="majorBidi"/>
          <w:sz w:val="24"/>
          <w:szCs w:val="22"/>
        </w:rPr>
        <w:endnoteReference w:id="160"/>
      </w:r>
      <w:r w:rsidRPr="00067D8A">
        <w:rPr>
          <w:rFonts w:asciiTheme="majorBidi" w:hAnsiTheme="majorBidi" w:cstheme="majorBidi"/>
          <w:sz w:val="24"/>
          <w:szCs w:val="22"/>
        </w:rPr>
        <w:t xml:space="preserve"> as well as at sites in the Gomal plain and Bannu Basin, which lie along the piedmont of the Suleiman Ranges.</w:t>
      </w:r>
      <w:r w:rsidRPr="00067D8A">
        <w:rPr>
          <w:rStyle w:val="EndnoteReference"/>
          <w:rFonts w:asciiTheme="majorBidi" w:hAnsiTheme="majorBidi" w:cstheme="majorBidi"/>
          <w:sz w:val="24"/>
          <w:szCs w:val="22"/>
        </w:rPr>
        <w:endnoteReference w:id="161"/>
      </w:r>
      <w:r w:rsidRPr="00067D8A">
        <w:rPr>
          <w:rFonts w:asciiTheme="majorBidi" w:hAnsiTheme="majorBidi" w:cstheme="majorBidi"/>
          <w:sz w:val="24"/>
          <w:szCs w:val="22"/>
        </w:rPr>
        <w:t xml:space="preserve"> Wet wares have also been found in the Indus </w:t>
      </w:r>
      <w:r w:rsidR="0026029B">
        <w:rPr>
          <w:rFonts w:asciiTheme="majorBidi" w:hAnsiTheme="majorBidi" w:cstheme="majorBidi"/>
          <w:sz w:val="24"/>
          <w:szCs w:val="22"/>
        </w:rPr>
        <w:t>region</w:t>
      </w:r>
      <w:r w:rsidR="0026029B" w:rsidRPr="00067D8A">
        <w:rPr>
          <w:rFonts w:asciiTheme="majorBidi" w:hAnsiTheme="majorBidi" w:cstheme="majorBidi"/>
          <w:sz w:val="24"/>
          <w:szCs w:val="22"/>
        </w:rPr>
        <w:t xml:space="preserve"> </w:t>
      </w:r>
      <w:r w:rsidRPr="00067D8A">
        <w:rPr>
          <w:rFonts w:asciiTheme="majorBidi" w:hAnsiTheme="majorBidi" w:cstheme="majorBidi"/>
          <w:sz w:val="24"/>
          <w:szCs w:val="22"/>
        </w:rPr>
        <w:t>in the early levels at Mohenjo-daro,</w:t>
      </w:r>
      <w:r w:rsidRPr="00067D8A">
        <w:rPr>
          <w:rStyle w:val="EndnoteReference"/>
          <w:rFonts w:asciiTheme="majorBidi" w:hAnsiTheme="majorBidi" w:cstheme="majorBidi"/>
          <w:sz w:val="24"/>
          <w:szCs w:val="22"/>
        </w:rPr>
        <w:endnoteReference w:id="162"/>
      </w:r>
      <w:r w:rsidRPr="00067D8A">
        <w:rPr>
          <w:rFonts w:asciiTheme="majorBidi" w:hAnsiTheme="majorBidi" w:cstheme="majorBidi"/>
          <w:sz w:val="24"/>
          <w:szCs w:val="22"/>
        </w:rPr>
        <w:t xml:space="preserve"> </w:t>
      </w:r>
      <w:r w:rsidR="004E2ED6">
        <w:rPr>
          <w:rFonts w:asciiTheme="majorBidi" w:hAnsiTheme="majorBidi" w:cstheme="majorBidi"/>
          <w:sz w:val="24"/>
          <w:szCs w:val="22"/>
        </w:rPr>
        <w:t xml:space="preserve">and </w:t>
      </w:r>
      <w:r w:rsidR="0026029B">
        <w:rPr>
          <w:rFonts w:asciiTheme="majorBidi" w:hAnsiTheme="majorBidi" w:cstheme="majorBidi"/>
          <w:sz w:val="24"/>
          <w:szCs w:val="22"/>
        </w:rPr>
        <w:t>Harappa,</w:t>
      </w:r>
      <w:r w:rsidR="0026029B">
        <w:rPr>
          <w:rStyle w:val="EndnoteReference"/>
          <w:rFonts w:asciiTheme="majorBidi" w:hAnsiTheme="majorBidi" w:cstheme="majorBidi"/>
          <w:sz w:val="24"/>
          <w:szCs w:val="22"/>
        </w:rPr>
        <w:endnoteReference w:id="163"/>
      </w:r>
      <w:r w:rsidR="0026029B">
        <w:rPr>
          <w:rFonts w:asciiTheme="majorBidi" w:hAnsiTheme="majorBidi" w:cstheme="majorBidi"/>
          <w:sz w:val="24"/>
          <w:szCs w:val="22"/>
        </w:rPr>
        <w:t xml:space="preserve"> </w:t>
      </w:r>
      <w:r w:rsidR="004E2ED6">
        <w:rPr>
          <w:rFonts w:asciiTheme="majorBidi" w:hAnsiTheme="majorBidi" w:cstheme="majorBidi"/>
          <w:sz w:val="24"/>
          <w:szCs w:val="22"/>
        </w:rPr>
        <w:t xml:space="preserve">and also at </w:t>
      </w:r>
      <w:r w:rsidRPr="00067D8A">
        <w:rPr>
          <w:rFonts w:asciiTheme="majorBidi" w:hAnsiTheme="majorBidi" w:cstheme="majorBidi"/>
          <w:sz w:val="24"/>
          <w:szCs w:val="22"/>
        </w:rPr>
        <w:t>Gumla II,</w:t>
      </w:r>
      <w:r w:rsidRPr="00067D8A">
        <w:rPr>
          <w:rStyle w:val="EndnoteReference"/>
          <w:rFonts w:asciiTheme="majorBidi" w:hAnsiTheme="majorBidi" w:cstheme="majorBidi"/>
          <w:sz w:val="24"/>
          <w:szCs w:val="22"/>
        </w:rPr>
        <w:endnoteReference w:id="164"/>
      </w:r>
      <w:r w:rsidR="004E2ED6">
        <w:rPr>
          <w:rFonts w:asciiTheme="majorBidi" w:hAnsiTheme="majorBidi" w:cstheme="majorBidi"/>
          <w:sz w:val="24"/>
          <w:szCs w:val="22"/>
        </w:rPr>
        <w:t>, Sheri Khan Tarakai, Jhandi Babar A and other sites in the Bannu and Gomal regions,</w:t>
      </w:r>
      <w:r w:rsidR="004E2ED6">
        <w:rPr>
          <w:rStyle w:val="EndnoteReference"/>
          <w:rFonts w:asciiTheme="majorBidi" w:hAnsiTheme="majorBidi" w:cstheme="majorBidi"/>
          <w:sz w:val="24"/>
          <w:szCs w:val="22"/>
        </w:rPr>
        <w:endnoteReference w:id="165"/>
      </w:r>
      <w:r w:rsidRPr="00067D8A">
        <w:rPr>
          <w:rFonts w:asciiTheme="majorBidi" w:hAnsiTheme="majorBidi" w:cstheme="majorBidi"/>
          <w:sz w:val="24"/>
          <w:szCs w:val="22"/>
        </w:rPr>
        <w:t xml:space="preserve"> and Jalilpur II</w:t>
      </w:r>
      <w:r w:rsidR="004E2ED6">
        <w:rPr>
          <w:rFonts w:asciiTheme="majorBidi" w:hAnsiTheme="majorBidi" w:cstheme="majorBidi"/>
          <w:sz w:val="24"/>
          <w:szCs w:val="22"/>
        </w:rPr>
        <w:t>.</w:t>
      </w:r>
      <w:r w:rsidRPr="00067D8A">
        <w:rPr>
          <w:rStyle w:val="EndnoteReference"/>
          <w:rFonts w:asciiTheme="majorBidi" w:hAnsiTheme="majorBidi" w:cstheme="majorBidi"/>
          <w:sz w:val="24"/>
          <w:szCs w:val="22"/>
        </w:rPr>
        <w:endnoteReference w:id="166"/>
      </w:r>
      <w:r w:rsidRPr="00067D8A">
        <w:rPr>
          <w:rFonts w:asciiTheme="majorBidi" w:hAnsiTheme="majorBidi" w:cstheme="majorBidi"/>
          <w:sz w:val="24"/>
          <w:szCs w:val="22"/>
        </w:rPr>
        <w:t xml:space="preserve"> </w:t>
      </w:r>
      <w:r w:rsidR="004E2ED6">
        <w:rPr>
          <w:rFonts w:asciiTheme="majorBidi" w:hAnsiTheme="majorBidi" w:cstheme="majorBidi"/>
          <w:sz w:val="24"/>
          <w:szCs w:val="22"/>
        </w:rPr>
        <w:t>Although it has been argued that wet-ware is a marker of cultural connection,</w:t>
      </w:r>
      <w:r w:rsidR="004E2ED6">
        <w:rPr>
          <w:rStyle w:val="EndnoteReference"/>
          <w:rFonts w:asciiTheme="majorBidi" w:hAnsiTheme="majorBidi" w:cstheme="majorBidi"/>
          <w:sz w:val="24"/>
          <w:szCs w:val="22"/>
        </w:rPr>
        <w:endnoteReference w:id="167"/>
      </w:r>
      <w:r w:rsidR="004E2ED6">
        <w:rPr>
          <w:rFonts w:asciiTheme="majorBidi" w:hAnsiTheme="majorBidi" w:cstheme="majorBidi"/>
          <w:sz w:val="24"/>
          <w:szCs w:val="22"/>
        </w:rPr>
        <w:t xml:space="preserve"> it must be noted that</w:t>
      </w:r>
      <w:r w:rsidRPr="00067D8A">
        <w:rPr>
          <w:rFonts w:asciiTheme="majorBidi" w:hAnsiTheme="majorBidi" w:cstheme="majorBidi"/>
          <w:sz w:val="24"/>
          <w:szCs w:val="22"/>
        </w:rPr>
        <w:t xml:space="preserve"> this type of surface treatment was extremely widespread and long-lasting, and is </w:t>
      </w:r>
      <w:r w:rsidRPr="00067D8A">
        <w:rPr>
          <w:rFonts w:asciiTheme="majorBidi" w:hAnsiTheme="majorBidi" w:cstheme="majorBidi"/>
          <w:sz w:val="24"/>
          <w:szCs w:val="22"/>
        </w:rPr>
        <w:lastRenderedPageBreak/>
        <w:t>unlikely to represent an integrated cultural tradition.</w:t>
      </w:r>
      <w:r w:rsidRPr="00067D8A">
        <w:rPr>
          <w:rStyle w:val="EndnoteReference"/>
          <w:rFonts w:asciiTheme="majorBidi" w:hAnsiTheme="majorBidi" w:cstheme="majorBidi"/>
          <w:sz w:val="24"/>
          <w:szCs w:val="22"/>
        </w:rPr>
        <w:endnoteReference w:id="168"/>
      </w:r>
      <w:r w:rsidRPr="00067D8A">
        <w:rPr>
          <w:rFonts w:asciiTheme="majorBidi" w:hAnsiTheme="majorBidi" w:cstheme="majorBidi"/>
          <w:sz w:val="24"/>
          <w:szCs w:val="22"/>
        </w:rPr>
        <w:t xml:space="preserve"> In addition, several of the bi- or polychrome</w:t>
      </w:r>
      <w:r w:rsidR="004E2ED6">
        <w:rPr>
          <w:rFonts w:asciiTheme="majorBidi" w:hAnsiTheme="majorBidi" w:cstheme="majorBidi"/>
          <w:sz w:val="24"/>
          <w:szCs w:val="22"/>
        </w:rPr>
        <w:t xml:space="preserve"> ware</w:t>
      </w:r>
      <w:r w:rsidRPr="00067D8A">
        <w:rPr>
          <w:rFonts w:asciiTheme="majorBidi" w:hAnsiTheme="majorBidi" w:cstheme="majorBidi"/>
          <w:sz w:val="24"/>
          <w:szCs w:val="22"/>
        </w:rPr>
        <w:t>s identified at Mundigak and Said Qala are very similar to those of Amri I. However, many of the black-and-red on white polychromes identified at Said Qala are more directly comparable to the pottery of Gumla II–III than Amri I. There are however a range of polychrome wares used throughout the Indo-Iranian borderlands region, and the Gumla material is similar to that seen at Rehman Dheri and is now regarded as belonging to a localised polychrome tradition that characterises the late fourth and early third millennium BC occupation in the Gomal and Bannu regions, and has been referred to as Tochi-Gomal ware.</w:t>
      </w:r>
      <w:r w:rsidRPr="00067D8A">
        <w:rPr>
          <w:rStyle w:val="EndnoteReference"/>
          <w:rFonts w:asciiTheme="majorBidi" w:hAnsiTheme="majorBidi" w:cstheme="majorBidi"/>
          <w:sz w:val="24"/>
          <w:szCs w:val="22"/>
        </w:rPr>
        <w:endnoteReference w:id="169"/>
      </w:r>
      <w:r w:rsidRPr="00067D8A">
        <w:rPr>
          <w:rFonts w:asciiTheme="majorBidi" w:hAnsiTheme="majorBidi" w:cstheme="majorBidi"/>
          <w:sz w:val="24"/>
          <w:szCs w:val="22"/>
        </w:rPr>
        <w:t xml:space="preserve"> The female figurines identified at Said Qala are strikingly more similar to those found in Gumla II than those of Mundigak III. Similar figurines were found also at Jalilpur II. At Jalilpur several examples of lapis lazuli beads were found, and a single example was identified at Sarai Khola II.</w:t>
      </w:r>
      <w:r w:rsidRPr="00067D8A">
        <w:rPr>
          <w:rStyle w:val="EndnoteReference"/>
          <w:rFonts w:asciiTheme="majorBidi" w:hAnsiTheme="majorBidi" w:cstheme="majorBidi"/>
          <w:sz w:val="24"/>
          <w:szCs w:val="22"/>
        </w:rPr>
        <w:endnoteReference w:id="170"/>
      </w:r>
      <w:r w:rsidRPr="00067D8A">
        <w:rPr>
          <w:rFonts w:asciiTheme="majorBidi" w:hAnsiTheme="majorBidi" w:cstheme="majorBidi"/>
          <w:sz w:val="24"/>
          <w:szCs w:val="22"/>
        </w:rPr>
        <w:t xml:space="preserve"> Although the evidence remains fragmentary it is reasonable to conclude that some degree of interaction/communication was maintained between southern Afghanistan and the Indus region during Mundigak Period III.</w:t>
      </w:r>
    </w:p>
    <w:p w14:paraId="7DE6BE08" w14:textId="3FA75006" w:rsidR="0030226C" w:rsidRPr="00067D8A" w:rsidRDefault="0030226C" w:rsidP="0030226C">
      <w:pPr>
        <w:pStyle w:val="BodyTextIndent"/>
        <w:rPr>
          <w:rFonts w:asciiTheme="majorBidi" w:hAnsiTheme="majorBidi" w:cstheme="majorBidi"/>
          <w:sz w:val="24"/>
          <w:szCs w:val="22"/>
        </w:rPr>
      </w:pPr>
      <w:r w:rsidRPr="005B2A2F">
        <w:rPr>
          <w:rFonts w:asciiTheme="majorBidi" w:hAnsiTheme="majorBidi" w:cstheme="majorBidi"/>
          <w:sz w:val="24"/>
          <w:szCs w:val="22"/>
        </w:rPr>
        <w:t>West of Afghanistan, the only directly related material is to be found at Shahr-i Sokhta I in Iranian Seistan</w:t>
      </w:r>
      <w:r w:rsidR="005B2A2F" w:rsidRPr="005B2A2F">
        <w:rPr>
          <w:rFonts w:asciiTheme="majorBidi" w:hAnsiTheme="majorBidi" w:cstheme="majorBidi"/>
          <w:sz w:val="24"/>
          <w:szCs w:val="22"/>
        </w:rPr>
        <w:t xml:space="preserve"> (see above)</w:t>
      </w:r>
      <w:r w:rsidRPr="005B2A2F">
        <w:rPr>
          <w:rFonts w:asciiTheme="majorBidi" w:hAnsiTheme="majorBidi" w:cstheme="majorBidi"/>
          <w:sz w:val="24"/>
          <w:szCs w:val="22"/>
        </w:rPr>
        <w:t>.</w:t>
      </w:r>
      <w:r w:rsidRPr="005B2A2F">
        <w:rPr>
          <w:rStyle w:val="EndnoteReference"/>
          <w:rFonts w:asciiTheme="majorBidi" w:hAnsiTheme="majorBidi" w:cstheme="majorBidi"/>
          <w:sz w:val="24"/>
          <w:szCs w:val="22"/>
        </w:rPr>
        <w:endnoteReference w:id="171"/>
      </w:r>
      <w:r w:rsidRPr="005B2A2F">
        <w:rPr>
          <w:rFonts w:asciiTheme="majorBidi" w:hAnsiTheme="majorBidi" w:cstheme="majorBidi"/>
          <w:sz w:val="24"/>
          <w:szCs w:val="22"/>
        </w:rPr>
        <w:t xml:space="preserve"> Unfortunately this period has had only limited testing. Even so the ceramics are similar to the Quetta Ware recorded at Mundigak </w:t>
      </w:r>
      <w:r w:rsidR="001E1DEF" w:rsidRPr="005B2A2F">
        <w:rPr>
          <w:rFonts w:asciiTheme="majorBidi" w:hAnsiTheme="majorBidi" w:cstheme="majorBidi"/>
          <w:sz w:val="24"/>
          <w:szCs w:val="22"/>
        </w:rPr>
        <w:t>Sub-Period</w:t>
      </w:r>
      <w:r w:rsidRPr="005B2A2F">
        <w:rPr>
          <w:rFonts w:asciiTheme="majorBidi" w:hAnsiTheme="majorBidi" w:cstheme="majorBidi"/>
          <w:sz w:val="24"/>
          <w:szCs w:val="22"/>
        </w:rPr>
        <w:t>s III</w:t>
      </w:r>
      <w:r w:rsidRPr="005B2A2F">
        <w:rPr>
          <w:rFonts w:asciiTheme="majorBidi" w:hAnsiTheme="majorBidi" w:cstheme="majorBidi"/>
          <w:sz w:val="24"/>
          <w:szCs w:val="22"/>
          <w:vertAlign w:val="subscript"/>
        </w:rPr>
        <w:t>5–6</w:t>
      </w:r>
      <w:r w:rsidRPr="005B2A2F">
        <w:rPr>
          <w:rFonts w:asciiTheme="majorBidi" w:hAnsiTheme="majorBidi" w:cstheme="majorBidi"/>
          <w:sz w:val="24"/>
          <w:szCs w:val="22"/>
        </w:rPr>
        <w:t xml:space="preserve">, Said Qala I–IV, and DS I. Moreover, the pottery demonstrates the pronounced similarity with Namazga III material in Turkmenistan that is also noted for Mundigak (Figs </w:t>
      </w:r>
      <w:r w:rsidR="005B52A9" w:rsidRPr="005B2A2F">
        <w:rPr>
          <w:rFonts w:asciiTheme="majorBidi" w:hAnsiTheme="majorBidi" w:cstheme="majorBidi"/>
          <w:sz w:val="24"/>
          <w:szCs w:val="22"/>
        </w:rPr>
        <w:t>4.</w:t>
      </w:r>
      <w:r w:rsidRPr="005B2A2F">
        <w:rPr>
          <w:rFonts w:asciiTheme="majorBidi" w:hAnsiTheme="majorBidi" w:cstheme="majorBidi"/>
          <w:sz w:val="24"/>
          <w:szCs w:val="22"/>
        </w:rPr>
        <w:t xml:space="preserve">54, </w:t>
      </w:r>
      <w:r w:rsidR="005B52A9" w:rsidRPr="005B2A2F">
        <w:rPr>
          <w:rFonts w:asciiTheme="majorBidi" w:hAnsiTheme="majorBidi" w:cstheme="majorBidi"/>
          <w:sz w:val="24"/>
          <w:szCs w:val="22"/>
        </w:rPr>
        <w:t>4.</w:t>
      </w:r>
      <w:r w:rsidRPr="005B2A2F">
        <w:rPr>
          <w:rFonts w:asciiTheme="majorBidi" w:hAnsiTheme="majorBidi" w:cstheme="majorBidi"/>
          <w:sz w:val="24"/>
          <w:szCs w:val="22"/>
        </w:rPr>
        <w:t>55). Shahr-i Sokhta I has been dated to the end of the fourth</w:t>
      </w:r>
      <w:r w:rsidR="005B2A2F" w:rsidRPr="005B2A2F">
        <w:rPr>
          <w:rFonts w:asciiTheme="majorBidi" w:hAnsiTheme="majorBidi" w:cstheme="majorBidi"/>
          <w:sz w:val="24"/>
          <w:szCs w:val="22"/>
        </w:rPr>
        <w:t xml:space="preserve"> and the start of the third</w:t>
      </w:r>
      <w:r w:rsidRPr="005B2A2F">
        <w:rPr>
          <w:rFonts w:asciiTheme="majorBidi" w:hAnsiTheme="majorBidi" w:cstheme="majorBidi"/>
          <w:sz w:val="24"/>
          <w:szCs w:val="22"/>
        </w:rPr>
        <w:t xml:space="preserve"> millennium</w:t>
      </w:r>
      <w:r w:rsidRPr="005B2A2F">
        <w:rPr>
          <w:rFonts w:asciiTheme="majorBidi" w:hAnsiTheme="majorBidi" w:cstheme="majorBidi"/>
          <w:smallCaps/>
          <w:sz w:val="24"/>
          <w:szCs w:val="22"/>
        </w:rPr>
        <w:t xml:space="preserve"> BC</w:t>
      </w:r>
      <w:r w:rsidRPr="005B2A2F">
        <w:rPr>
          <w:rFonts w:asciiTheme="majorBidi" w:hAnsiTheme="majorBidi" w:cstheme="majorBidi"/>
          <w:sz w:val="24"/>
          <w:szCs w:val="22"/>
        </w:rPr>
        <w:t xml:space="preserve"> and </w:t>
      </w:r>
      <w:r w:rsidR="005B2A2F" w:rsidRPr="005B2A2F">
        <w:rPr>
          <w:rFonts w:asciiTheme="majorBidi" w:hAnsiTheme="majorBidi" w:cstheme="majorBidi"/>
          <w:sz w:val="24"/>
          <w:szCs w:val="22"/>
        </w:rPr>
        <w:t xml:space="preserve">is </w:t>
      </w:r>
      <w:r w:rsidRPr="005B2A2F">
        <w:rPr>
          <w:rFonts w:asciiTheme="majorBidi" w:hAnsiTheme="majorBidi" w:cstheme="majorBidi"/>
          <w:sz w:val="24"/>
          <w:szCs w:val="22"/>
        </w:rPr>
        <w:t>therefore contemporary with DS I.</w:t>
      </w:r>
      <w:r w:rsidRPr="005B2A2F">
        <w:rPr>
          <w:rStyle w:val="EndnoteReference"/>
          <w:rFonts w:asciiTheme="majorBidi" w:hAnsiTheme="majorBidi" w:cstheme="majorBidi"/>
          <w:sz w:val="24"/>
          <w:szCs w:val="22"/>
        </w:rPr>
        <w:endnoteReference w:id="172"/>
      </w:r>
      <w:r w:rsidRPr="005B2A2F">
        <w:rPr>
          <w:rFonts w:asciiTheme="majorBidi" w:hAnsiTheme="majorBidi" w:cstheme="majorBidi"/>
          <w:sz w:val="24"/>
          <w:szCs w:val="22"/>
        </w:rPr>
        <w:t xml:space="preserve"> </w:t>
      </w:r>
      <w:r w:rsidR="005B2A2F" w:rsidRPr="005B2A2F">
        <w:rPr>
          <w:rFonts w:asciiTheme="majorBidi" w:hAnsiTheme="majorBidi" w:cstheme="majorBidi"/>
          <w:sz w:val="24"/>
          <w:szCs w:val="22"/>
        </w:rPr>
        <w:t>L</w:t>
      </w:r>
      <w:r w:rsidRPr="005B2A2F">
        <w:rPr>
          <w:rFonts w:asciiTheme="majorBidi" w:hAnsiTheme="majorBidi" w:cstheme="majorBidi"/>
          <w:sz w:val="24"/>
          <w:szCs w:val="22"/>
        </w:rPr>
        <w:t>imited amounts of a painted grey ware comparable to that of Faiz Mohammad Painted in the Quetta valley</w:t>
      </w:r>
      <w:r w:rsidR="005B2A2F" w:rsidRPr="005B2A2F">
        <w:rPr>
          <w:rFonts w:asciiTheme="majorBidi" w:hAnsiTheme="majorBidi" w:cstheme="majorBidi"/>
          <w:sz w:val="24"/>
          <w:szCs w:val="22"/>
        </w:rPr>
        <w:t xml:space="preserve"> were also found in Shahr-i Sokhta I</w:t>
      </w:r>
      <w:r w:rsidRPr="005B2A2F">
        <w:rPr>
          <w:rFonts w:asciiTheme="majorBidi" w:hAnsiTheme="majorBidi" w:cstheme="majorBidi"/>
          <w:sz w:val="24"/>
          <w:szCs w:val="22"/>
        </w:rPr>
        <w:t>.</w:t>
      </w:r>
      <w:r w:rsidRPr="005B2A2F">
        <w:rPr>
          <w:rStyle w:val="EndnoteReference"/>
          <w:rFonts w:asciiTheme="majorBidi" w:hAnsiTheme="majorBidi" w:cstheme="majorBidi"/>
          <w:sz w:val="24"/>
          <w:szCs w:val="22"/>
        </w:rPr>
        <w:endnoteReference w:id="173"/>
      </w:r>
      <w:r w:rsidRPr="005B2A2F">
        <w:rPr>
          <w:rFonts w:asciiTheme="majorBidi" w:hAnsiTheme="majorBidi" w:cstheme="majorBidi"/>
          <w:sz w:val="24"/>
          <w:szCs w:val="22"/>
        </w:rPr>
        <w:t xml:space="preserve"> South of Shahr-i Sokhta, in Iranian Baluchistan, is the</w:t>
      </w:r>
      <w:r w:rsidR="005B2A2F" w:rsidRPr="005B2A2F">
        <w:rPr>
          <w:rFonts w:asciiTheme="majorBidi" w:hAnsiTheme="majorBidi" w:cstheme="majorBidi"/>
          <w:sz w:val="24"/>
          <w:szCs w:val="22"/>
        </w:rPr>
        <w:t xml:space="preserve"> site of</w:t>
      </w:r>
      <w:r w:rsidRPr="005B2A2F">
        <w:rPr>
          <w:rFonts w:asciiTheme="majorBidi" w:hAnsiTheme="majorBidi" w:cstheme="majorBidi"/>
          <w:sz w:val="24"/>
          <w:szCs w:val="22"/>
        </w:rPr>
        <w:t xml:space="preserve"> Bampur</w:t>
      </w:r>
      <w:r w:rsidR="005B2A2F" w:rsidRPr="005B2A2F">
        <w:rPr>
          <w:rFonts w:asciiTheme="majorBidi" w:hAnsiTheme="majorBidi" w:cstheme="majorBidi"/>
          <w:sz w:val="24"/>
          <w:szCs w:val="22"/>
        </w:rPr>
        <w:t>,</w:t>
      </w:r>
      <w:r w:rsidRPr="005B2A2F">
        <w:rPr>
          <w:rStyle w:val="EndnoteReference"/>
          <w:rFonts w:asciiTheme="majorBidi" w:hAnsiTheme="majorBidi" w:cstheme="majorBidi"/>
          <w:sz w:val="24"/>
          <w:szCs w:val="22"/>
        </w:rPr>
        <w:endnoteReference w:id="174"/>
      </w:r>
      <w:r w:rsidRPr="005B2A2F">
        <w:rPr>
          <w:rFonts w:asciiTheme="majorBidi" w:hAnsiTheme="majorBidi" w:cstheme="majorBidi"/>
          <w:sz w:val="24"/>
          <w:szCs w:val="22"/>
        </w:rPr>
        <w:t xml:space="preserve"> </w:t>
      </w:r>
      <w:r w:rsidR="005B2A2F" w:rsidRPr="005B2A2F">
        <w:rPr>
          <w:rFonts w:asciiTheme="majorBidi" w:hAnsiTheme="majorBidi" w:cstheme="majorBidi"/>
          <w:sz w:val="24"/>
          <w:szCs w:val="22"/>
        </w:rPr>
        <w:t>and t</w:t>
      </w:r>
      <w:r w:rsidRPr="005B2A2F">
        <w:rPr>
          <w:rFonts w:asciiTheme="majorBidi" w:hAnsiTheme="majorBidi" w:cstheme="majorBidi"/>
          <w:sz w:val="24"/>
          <w:szCs w:val="22"/>
        </w:rPr>
        <w:t xml:space="preserve">he small amount of material recovered from the earliest occupations (Bampur I–II) indicates some parallels with Mundigak </w:t>
      </w:r>
      <w:r w:rsidR="005B2A2F" w:rsidRPr="005B2A2F">
        <w:rPr>
          <w:rFonts w:asciiTheme="majorBidi" w:hAnsiTheme="majorBidi" w:cstheme="majorBidi"/>
          <w:sz w:val="24"/>
          <w:szCs w:val="22"/>
        </w:rPr>
        <w:t xml:space="preserve">Period </w:t>
      </w:r>
      <w:r w:rsidRPr="005B2A2F">
        <w:rPr>
          <w:rFonts w:asciiTheme="majorBidi" w:hAnsiTheme="majorBidi" w:cstheme="majorBidi"/>
          <w:sz w:val="24"/>
          <w:szCs w:val="22"/>
        </w:rPr>
        <w:t>III material. However, the sample is small and the parallels general.</w:t>
      </w:r>
    </w:p>
    <w:p w14:paraId="18154420" w14:textId="6C07C71B"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lastRenderedPageBreak/>
        <w:t xml:space="preserve">Further west at Tepe Yahya the ceramics continue to indicate a rather unrelated cultural tradition. The few limited parallels which are definable are in Periods </w:t>
      </w:r>
      <w:r w:rsidR="00CC3A94">
        <w:rPr>
          <w:rFonts w:asciiTheme="majorBidi" w:hAnsiTheme="majorBidi" w:cstheme="majorBidi"/>
          <w:sz w:val="24"/>
          <w:szCs w:val="22"/>
        </w:rPr>
        <w:t>I</w:t>
      </w:r>
      <w:r w:rsidRPr="00067D8A">
        <w:rPr>
          <w:rFonts w:asciiTheme="majorBidi" w:hAnsiTheme="majorBidi" w:cstheme="majorBidi"/>
          <w:sz w:val="24"/>
          <w:szCs w:val="22"/>
        </w:rPr>
        <w:t>V</w:t>
      </w:r>
      <w:r w:rsidR="00CC3A94">
        <w:rPr>
          <w:rFonts w:asciiTheme="majorBidi" w:hAnsiTheme="majorBidi" w:cstheme="majorBidi"/>
          <w:sz w:val="24"/>
          <w:szCs w:val="22"/>
        </w:rPr>
        <w:t>C2-IVB6</w:t>
      </w:r>
      <w:r w:rsidRPr="00067D8A">
        <w:rPr>
          <w:rFonts w:asciiTheme="majorBidi" w:hAnsiTheme="majorBidi" w:cstheme="majorBidi"/>
          <w:sz w:val="24"/>
          <w:szCs w:val="22"/>
        </w:rPr>
        <w:t>. A small quantity of pottery from this period had geometric designs in black on a red, buff or grey surface similar to Bampur II–III</w:t>
      </w:r>
      <w:r w:rsidR="00CC3A94">
        <w:rPr>
          <w:rFonts w:asciiTheme="majorBidi" w:hAnsiTheme="majorBidi" w:cstheme="majorBidi"/>
          <w:sz w:val="24"/>
          <w:szCs w:val="22"/>
        </w:rPr>
        <w:t>, and these Western Baluchistan Ceramics are only otherwise seen in Kech-Makran and at</w:t>
      </w:r>
      <w:r w:rsidRPr="00067D8A">
        <w:rPr>
          <w:rFonts w:asciiTheme="majorBidi" w:hAnsiTheme="majorBidi" w:cstheme="majorBidi"/>
          <w:sz w:val="24"/>
          <w:szCs w:val="22"/>
        </w:rPr>
        <w:t xml:space="preserve"> Shahr-i Sokhta I</w:t>
      </w:r>
      <w:r w:rsidR="003822E4">
        <w:rPr>
          <w:rFonts w:asciiTheme="majorBidi" w:hAnsiTheme="majorBidi" w:cstheme="majorBidi"/>
          <w:sz w:val="24"/>
          <w:szCs w:val="22"/>
        </w:rPr>
        <w:t>,</w:t>
      </w:r>
      <w:r w:rsidR="003822E4">
        <w:rPr>
          <w:rStyle w:val="EndnoteReference"/>
          <w:rFonts w:asciiTheme="majorBidi" w:hAnsiTheme="majorBidi" w:cstheme="majorBidi"/>
          <w:sz w:val="24"/>
          <w:szCs w:val="22"/>
        </w:rPr>
        <w:endnoteReference w:id="175"/>
      </w:r>
      <w:r w:rsidRPr="00067D8A">
        <w:rPr>
          <w:rFonts w:asciiTheme="majorBidi" w:hAnsiTheme="majorBidi" w:cstheme="majorBidi"/>
          <w:sz w:val="24"/>
          <w:szCs w:val="22"/>
        </w:rPr>
        <w:t xml:space="preserve"> </w:t>
      </w:r>
      <w:r w:rsidR="003822E4">
        <w:rPr>
          <w:rFonts w:asciiTheme="majorBidi" w:hAnsiTheme="majorBidi" w:cstheme="majorBidi"/>
          <w:sz w:val="24"/>
          <w:szCs w:val="22"/>
        </w:rPr>
        <w:t xml:space="preserve">making them contemporaneous with </w:t>
      </w:r>
      <w:r w:rsidRPr="00067D8A">
        <w:rPr>
          <w:rFonts w:asciiTheme="majorBidi" w:hAnsiTheme="majorBidi" w:cstheme="majorBidi"/>
          <w:sz w:val="24"/>
          <w:szCs w:val="22"/>
        </w:rPr>
        <w:t xml:space="preserve">Mundigak III. Better parallels may be seen among a decorated greyware which is similar to that of Faiz Mohammad Painted pottery in Baluchistan. This greyware becomes increasingly more frequent </w:t>
      </w:r>
      <w:r w:rsidR="003822E4">
        <w:rPr>
          <w:rFonts w:asciiTheme="majorBidi" w:hAnsiTheme="majorBidi" w:cstheme="majorBidi"/>
          <w:sz w:val="24"/>
          <w:szCs w:val="22"/>
        </w:rPr>
        <w:t>at Tepe Yahya in</w:t>
      </w:r>
      <w:r w:rsidR="003822E4" w:rsidRPr="00067D8A">
        <w:rPr>
          <w:rFonts w:asciiTheme="majorBidi" w:hAnsiTheme="majorBidi" w:cstheme="majorBidi"/>
          <w:sz w:val="24"/>
          <w:szCs w:val="22"/>
        </w:rPr>
        <w:t xml:space="preserve"> </w:t>
      </w:r>
      <w:r w:rsidRPr="00067D8A">
        <w:rPr>
          <w:rFonts w:asciiTheme="majorBidi" w:hAnsiTheme="majorBidi" w:cstheme="majorBidi"/>
          <w:sz w:val="24"/>
          <w:szCs w:val="22"/>
        </w:rPr>
        <w:t>Period IVB.</w:t>
      </w:r>
      <w:r w:rsidR="003822E4">
        <w:rPr>
          <w:rStyle w:val="EndnoteReference"/>
          <w:rFonts w:asciiTheme="majorBidi" w:hAnsiTheme="majorBidi" w:cstheme="majorBidi"/>
          <w:sz w:val="24"/>
          <w:szCs w:val="22"/>
        </w:rPr>
        <w:endnoteReference w:id="176"/>
      </w:r>
      <w:r w:rsidRPr="00067D8A">
        <w:rPr>
          <w:rFonts w:asciiTheme="majorBidi" w:hAnsiTheme="majorBidi" w:cstheme="majorBidi"/>
          <w:sz w:val="24"/>
          <w:szCs w:val="22"/>
        </w:rPr>
        <w:t xml:space="preserve"> Another interesting item found in IVC was a straight-sided bichrome pot resembling those found in central Baluchistan and belonging to the Nal stylistic tradition</w:t>
      </w:r>
      <w:r w:rsidR="00A85EB1">
        <w:rPr>
          <w:rFonts w:asciiTheme="majorBidi" w:hAnsiTheme="majorBidi" w:cstheme="majorBidi"/>
          <w:sz w:val="24"/>
          <w:szCs w:val="22"/>
        </w:rPr>
        <w:t>, and dating to Sohr Damb Period II (</w:t>
      </w:r>
      <w:r w:rsidR="00A85EB1">
        <w:rPr>
          <w:rFonts w:asciiTheme="majorBidi" w:hAnsiTheme="majorBidi" w:cstheme="majorBidi"/>
          <w:i/>
          <w:sz w:val="24"/>
          <w:szCs w:val="22"/>
        </w:rPr>
        <w:t>c.</w:t>
      </w:r>
      <w:r w:rsidR="00A85EB1">
        <w:rPr>
          <w:rFonts w:asciiTheme="majorBidi" w:hAnsiTheme="majorBidi" w:cstheme="majorBidi"/>
          <w:sz w:val="24"/>
          <w:szCs w:val="22"/>
        </w:rPr>
        <w:t>3200/3100-2700 BC)</w:t>
      </w:r>
      <w:r w:rsidRPr="00067D8A">
        <w:rPr>
          <w:rFonts w:asciiTheme="majorBidi" w:hAnsiTheme="majorBidi" w:cstheme="majorBidi"/>
          <w:sz w:val="24"/>
          <w:szCs w:val="22"/>
        </w:rPr>
        <w:t>.</w:t>
      </w:r>
      <w:r w:rsidRPr="00067D8A">
        <w:rPr>
          <w:rStyle w:val="EndnoteReference"/>
          <w:rFonts w:asciiTheme="majorBidi" w:hAnsiTheme="majorBidi" w:cstheme="majorBidi"/>
          <w:sz w:val="24"/>
          <w:szCs w:val="22"/>
        </w:rPr>
        <w:endnoteReference w:id="177"/>
      </w:r>
      <w:r w:rsidRPr="00067D8A">
        <w:rPr>
          <w:rFonts w:asciiTheme="majorBidi" w:hAnsiTheme="majorBidi" w:cstheme="majorBidi"/>
          <w:sz w:val="24"/>
          <w:szCs w:val="22"/>
        </w:rPr>
        <w:t xml:space="preserve"> It should also be mentioned that a sherd resembling Amri ID type of pottery was found on the</w:t>
      </w:r>
      <w:r w:rsidRPr="00067D8A">
        <w:rPr>
          <w:rFonts w:asciiTheme="majorBidi" w:hAnsiTheme="majorBidi" w:cstheme="majorBidi"/>
          <w:i/>
          <w:iCs/>
          <w:sz w:val="24"/>
          <w:szCs w:val="22"/>
        </w:rPr>
        <w:t xml:space="preserve"> surface</w:t>
      </w:r>
      <w:r w:rsidRPr="00067D8A">
        <w:rPr>
          <w:rFonts w:asciiTheme="majorBidi" w:hAnsiTheme="majorBidi" w:cstheme="majorBidi"/>
          <w:sz w:val="24"/>
          <w:szCs w:val="22"/>
        </w:rPr>
        <w:t xml:space="preserve"> of Tepe Yahya</w:t>
      </w:r>
      <w:r w:rsidR="00A85EB1">
        <w:rPr>
          <w:rFonts w:asciiTheme="majorBidi" w:hAnsiTheme="majorBidi" w:cstheme="majorBidi"/>
          <w:sz w:val="24"/>
          <w:szCs w:val="22"/>
        </w:rPr>
        <w:t>, and should broadly have a similar date to the Nal-ware vessel</w:t>
      </w:r>
      <w:r w:rsidRPr="00067D8A">
        <w:rPr>
          <w:rFonts w:asciiTheme="majorBidi" w:hAnsiTheme="majorBidi" w:cstheme="majorBidi"/>
          <w:sz w:val="24"/>
          <w:szCs w:val="22"/>
        </w:rPr>
        <w:t>.</w:t>
      </w:r>
      <w:r w:rsidR="00A85EB1">
        <w:rPr>
          <w:rStyle w:val="EndnoteReference"/>
          <w:rFonts w:asciiTheme="majorBidi" w:hAnsiTheme="majorBidi" w:cstheme="majorBidi"/>
          <w:sz w:val="24"/>
          <w:szCs w:val="22"/>
        </w:rPr>
        <w:endnoteReference w:id="178"/>
      </w:r>
      <w:r w:rsidRPr="00067D8A">
        <w:rPr>
          <w:rFonts w:asciiTheme="majorBidi" w:hAnsiTheme="majorBidi" w:cstheme="majorBidi"/>
          <w:sz w:val="24"/>
          <w:szCs w:val="22"/>
        </w:rPr>
        <w:t xml:space="preserve"> Period IV</w:t>
      </w:r>
      <w:r w:rsidR="003822E4">
        <w:rPr>
          <w:rFonts w:asciiTheme="majorBidi" w:hAnsiTheme="majorBidi" w:cstheme="majorBidi"/>
          <w:sz w:val="24"/>
          <w:szCs w:val="22"/>
        </w:rPr>
        <w:t>C</w:t>
      </w:r>
      <w:r w:rsidRPr="00067D8A">
        <w:rPr>
          <w:rFonts w:asciiTheme="majorBidi" w:hAnsiTheme="majorBidi" w:cstheme="majorBidi"/>
          <w:sz w:val="24"/>
          <w:szCs w:val="22"/>
        </w:rPr>
        <w:t xml:space="preserve"> at Yahya can be dated to the end of the fourth millennium</w:t>
      </w:r>
      <w:r w:rsidRPr="00067D8A">
        <w:rPr>
          <w:rFonts w:asciiTheme="majorBidi" w:hAnsiTheme="majorBidi" w:cstheme="majorBidi"/>
          <w:smallCaps/>
          <w:sz w:val="24"/>
          <w:szCs w:val="22"/>
        </w:rPr>
        <w:t xml:space="preserve"> BC</w:t>
      </w:r>
      <w:r w:rsidRPr="00067D8A">
        <w:rPr>
          <w:rFonts w:asciiTheme="majorBidi" w:hAnsiTheme="majorBidi" w:cstheme="majorBidi"/>
          <w:sz w:val="24"/>
          <w:szCs w:val="22"/>
        </w:rPr>
        <w:t xml:space="preserve"> on the basis of associated artefacts (Proto-Elamite tablets, cylinder seals, Jemdat Nasr polychrome, and bevelled rim bowls).</w:t>
      </w:r>
      <w:r w:rsidR="003822E4">
        <w:rPr>
          <w:rStyle w:val="EndnoteReference"/>
          <w:rFonts w:asciiTheme="majorBidi" w:hAnsiTheme="majorBidi" w:cstheme="majorBidi"/>
          <w:sz w:val="24"/>
          <w:szCs w:val="22"/>
        </w:rPr>
        <w:endnoteReference w:id="179"/>
      </w:r>
      <w:r w:rsidRPr="00067D8A">
        <w:rPr>
          <w:rFonts w:asciiTheme="majorBidi" w:hAnsiTheme="majorBidi" w:cstheme="majorBidi"/>
          <w:sz w:val="24"/>
          <w:szCs w:val="22"/>
        </w:rPr>
        <w:t xml:space="preserve"> Although there is some indication of limited interaction </w:t>
      </w:r>
      <w:r w:rsidR="003822E4">
        <w:rPr>
          <w:rFonts w:asciiTheme="majorBidi" w:hAnsiTheme="majorBidi" w:cstheme="majorBidi"/>
          <w:sz w:val="24"/>
          <w:szCs w:val="22"/>
        </w:rPr>
        <w:t xml:space="preserve">between Tepe Yahya and </w:t>
      </w:r>
      <w:r w:rsidRPr="00067D8A">
        <w:rPr>
          <w:rFonts w:asciiTheme="majorBidi" w:hAnsiTheme="majorBidi" w:cstheme="majorBidi"/>
          <w:sz w:val="24"/>
          <w:szCs w:val="22"/>
        </w:rPr>
        <w:t xml:space="preserve">with the southern Afghanistan cultural assemblages, it does not appear to have been extensive. Tepe Yahya, while important, thus seems to have been </w:t>
      </w:r>
      <w:r w:rsidR="003822E4">
        <w:rPr>
          <w:rFonts w:asciiTheme="majorBidi" w:hAnsiTheme="majorBidi" w:cstheme="majorBidi"/>
          <w:sz w:val="24"/>
          <w:szCs w:val="22"/>
        </w:rPr>
        <w:t>beyond</w:t>
      </w:r>
      <w:r w:rsidRPr="00067D8A">
        <w:rPr>
          <w:rFonts w:asciiTheme="majorBidi" w:hAnsiTheme="majorBidi" w:cstheme="majorBidi"/>
          <w:sz w:val="24"/>
          <w:szCs w:val="22"/>
        </w:rPr>
        <w:t xml:space="preserve"> the western fringe of Mundigak related cultures.</w:t>
      </w:r>
      <w:r w:rsidR="003822E4">
        <w:rPr>
          <w:rStyle w:val="EndnoteReference"/>
          <w:rFonts w:asciiTheme="majorBidi" w:hAnsiTheme="majorBidi" w:cstheme="majorBidi"/>
          <w:sz w:val="24"/>
          <w:szCs w:val="22"/>
        </w:rPr>
        <w:endnoteReference w:id="180"/>
      </w:r>
    </w:p>
    <w:p w14:paraId="02E345FD" w14:textId="098AB62C" w:rsidR="0030226C" w:rsidRPr="00067D8A" w:rsidRDefault="0030226C" w:rsidP="00CA543D">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In contrast to the previous periods some very significant similar developments can be delineated between southern Turkmenistan cultures grouped under the heading of Namazga III and Mundigak III. Indeed, accounting for these similarities </w:t>
      </w:r>
      <w:r w:rsidR="00A85EB1">
        <w:rPr>
          <w:rFonts w:asciiTheme="majorBidi" w:hAnsiTheme="majorBidi" w:cstheme="majorBidi"/>
          <w:sz w:val="24"/>
          <w:szCs w:val="22"/>
        </w:rPr>
        <w:t>has long been</w:t>
      </w:r>
      <w:r w:rsidRPr="00067D8A">
        <w:rPr>
          <w:rFonts w:asciiTheme="majorBidi" w:hAnsiTheme="majorBidi" w:cstheme="majorBidi"/>
          <w:sz w:val="24"/>
          <w:szCs w:val="22"/>
        </w:rPr>
        <w:t xml:space="preserve"> a focal point for explanatory models encompassing this vast area.</w:t>
      </w:r>
      <w:r w:rsidRPr="00067D8A">
        <w:rPr>
          <w:rStyle w:val="EndnoteReference"/>
          <w:rFonts w:asciiTheme="majorBidi" w:hAnsiTheme="majorBidi" w:cstheme="majorBidi"/>
          <w:sz w:val="24"/>
          <w:szCs w:val="22"/>
        </w:rPr>
        <w:endnoteReference w:id="181"/>
      </w:r>
      <w:r w:rsidRPr="00067D8A">
        <w:rPr>
          <w:rFonts w:asciiTheme="majorBidi" w:hAnsiTheme="majorBidi" w:cstheme="majorBidi"/>
          <w:sz w:val="24"/>
          <w:szCs w:val="22"/>
        </w:rPr>
        <w:t xml:space="preserve"> Previously it was thought </w:t>
      </w:r>
      <w:r w:rsidR="00CA543D" w:rsidRPr="00067D8A">
        <w:rPr>
          <w:rFonts w:asciiTheme="majorBidi" w:hAnsiTheme="majorBidi" w:cstheme="majorBidi"/>
          <w:sz w:val="24"/>
          <w:szCs w:val="22"/>
        </w:rPr>
        <w:t xml:space="preserve">that Namazga III represented a distinct break with the cultural traditions found in Namazga I–II. However, </w:t>
      </w:r>
      <w:r w:rsidR="00A85EB1">
        <w:rPr>
          <w:rFonts w:asciiTheme="majorBidi" w:hAnsiTheme="majorBidi" w:cstheme="majorBidi"/>
          <w:sz w:val="24"/>
          <w:szCs w:val="22"/>
        </w:rPr>
        <w:t>it is now clear that there was</w:t>
      </w:r>
      <w:r w:rsidR="00CA543D" w:rsidRPr="00067D8A">
        <w:rPr>
          <w:rFonts w:asciiTheme="majorBidi" w:hAnsiTheme="majorBidi" w:cstheme="majorBidi"/>
          <w:sz w:val="24"/>
          <w:szCs w:val="22"/>
        </w:rPr>
        <w:t xml:space="preserve"> continuity of development with the preceding periods</w:t>
      </w:r>
      <w:r w:rsidR="00A85EB1">
        <w:rPr>
          <w:rFonts w:asciiTheme="majorBidi" w:hAnsiTheme="majorBidi" w:cstheme="majorBidi"/>
          <w:sz w:val="24"/>
          <w:szCs w:val="22"/>
        </w:rPr>
        <w:t xml:space="preserve"> alongside phases of innovation which may have been influenced by outside contact</w:t>
      </w:r>
      <w:r w:rsidR="00CA543D" w:rsidRPr="00067D8A">
        <w:rPr>
          <w:rFonts w:asciiTheme="majorBidi" w:hAnsiTheme="majorBidi" w:cstheme="majorBidi"/>
          <w:sz w:val="24"/>
          <w:szCs w:val="22"/>
        </w:rPr>
        <w:t>.</w:t>
      </w:r>
      <w:r w:rsidR="00CA543D" w:rsidRPr="00067D8A">
        <w:rPr>
          <w:rStyle w:val="EndnoteReference"/>
          <w:rFonts w:asciiTheme="majorBidi" w:hAnsiTheme="majorBidi" w:cstheme="majorBidi"/>
          <w:sz w:val="24"/>
          <w:szCs w:val="22"/>
        </w:rPr>
        <w:endnoteReference w:id="182"/>
      </w:r>
      <w:r w:rsidR="00CA543D" w:rsidRPr="00067D8A">
        <w:rPr>
          <w:rFonts w:asciiTheme="majorBidi" w:hAnsiTheme="majorBidi" w:cstheme="majorBidi"/>
          <w:sz w:val="24"/>
          <w:szCs w:val="22"/>
        </w:rPr>
        <w:t xml:space="preserve"> </w:t>
      </w:r>
      <w:r w:rsidRPr="00067D8A">
        <w:rPr>
          <w:rFonts w:asciiTheme="majorBidi" w:hAnsiTheme="majorBidi" w:cstheme="majorBidi"/>
          <w:sz w:val="24"/>
          <w:szCs w:val="22"/>
        </w:rPr>
        <w:t xml:space="preserve">On the basis of ceramics </w:t>
      </w:r>
      <w:r w:rsidRPr="00067D8A">
        <w:rPr>
          <w:rFonts w:asciiTheme="majorBidi" w:hAnsiTheme="majorBidi" w:cstheme="majorBidi"/>
          <w:sz w:val="24"/>
          <w:szCs w:val="22"/>
        </w:rPr>
        <w:lastRenderedPageBreak/>
        <w:t>a division is usually made into a western group, represented by the Kara-depe material, and an eastern group, the Geoksyurian sites.</w:t>
      </w:r>
    </w:p>
    <w:p w14:paraId="64009D86" w14:textId="77777777"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The western Turkmenistan sites are characterised by a brown-on-buff or red pottery and more rarely a red slipped or polychrome decorated pottery. The major aspect of these ceramics was utilization of zoomorphic motifs which were absent among ceramics from the eastern sites. Zoomorphic motifs were, however, rare and could occur alone or in combination with geometric motifs. Actually, the geometric style of decoration is not dissimilar to that of Quetta Ware but the presence of zoomorphic motifs has resulted in comparisons with the Hissar and Sialk sequences of eastern and western Iran. The red slipped pottery and polychromes were limited to only geometric decorations. Geometric compartmented seals appear for the first time in the Turkmenistan sequence, and there is a significant increase in the use of alabaster for bowls, beads, figurines, and other artefacts. Female figurines were rare but provide an important comparison with the Afghan ones. They are seated with the head having ‘pinched’ features including large eyes and noses. Some figurines were found without heads, arms or breasts: those with heads often had elaborate coiffures. Only rarely were male figurines found.</w:t>
      </w:r>
    </w:p>
    <w:p w14:paraId="7A169534" w14:textId="6845946A" w:rsidR="00014132" w:rsidRPr="00067D8A" w:rsidRDefault="00CA543D" w:rsidP="00014132">
      <w:pPr>
        <w:pStyle w:val="BodyTextIndent"/>
        <w:rPr>
          <w:rFonts w:asciiTheme="majorBidi" w:hAnsiTheme="majorBidi" w:cstheme="majorBidi"/>
          <w:sz w:val="24"/>
          <w:szCs w:val="22"/>
        </w:rPr>
      </w:pPr>
      <w:r w:rsidRPr="00067D8A">
        <w:rPr>
          <w:rFonts w:asciiTheme="majorBidi" w:hAnsiTheme="majorBidi" w:cstheme="majorBidi"/>
          <w:sz w:val="24"/>
          <w:szCs w:val="22"/>
        </w:rPr>
        <w:t>Eastern</w:t>
      </w:r>
      <w:r w:rsidR="001A48B1">
        <w:rPr>
          <w:rFonts w:asciiTheme="majorBidi" w:hAnsiTheme="majorBidi" w:cstheme="majorBidi"/>
          <w:sz w:val="24"/>
          <w:szCs w:val="22"/>
        </w:rPr>
        <w:t xml:space="preserve"> Turkmenistan</w:t>
      </w:r>
      <w:r w:rsidRPr="00067D8A">
        <w:rPr>
          <w:rFonts w:asciiTheme="majorBidi" w:hAnsiTheme="majorBidi" w:cstheme="majorBidi"/>
          <w:sz w:val="24"/>
          <w:szCs w:val="22"/>
        </w:rPr>
        <w:t xml:space="preserve">, or Geoksyur, sites are usually represented as distinct from western sites and more directly comparable to the material in Afghanistan. Its major characteristic is a buff pottery with </w:t>
      </w:r>
      <w:r w:rsidR="001A48B1">
        <w:rPr>
          <w:rFonts w:asciiTheme="majorBidi" w:hAnsiTheme="majorBidi" w:cstheme="majorBidi"/>
          <w:sz w:val="24"/>
          <w:szCs w:val="22"/>
        </w:rPr>
        <w:t>red</w:t>
      </w:r>
      <w:r w:rsidRPr="00067D8A">
        <w:rPr>
          <w:rFonts w:asciiTheme="majorBidi" w:hAnsiTheme="majorBidi" w:cstheme="majorBidi"/>
          <w:sz w:val="24"/>
          <w:szCs w:val="22"/>
        </w:rPr>
        <w:t xml:space="preserve"> slip decorated with black and red polychrome geometric motifs (Figs </w:t>
      </w:r>
      <w:r>
        <w:rPr>
          <w:rFonts w:asciiTheme="majorBidi" w:hAnsiTheme="majorBidi" w:cstheme="majorBidi"/>
          <w:sz w:val="24"/>
          <w:szCs w:val="22"/>
        </w:rPr>
        <w:t>4.</w:t>
      </w:r>
      <w:r w:rsidRPr="00067D8A">
        <w:rPr>
          <w:rFonts w:asciiTheme="majorBidi" w:hAnsiTheme="majorBidi" w:cstheme="majorBidi"/>
          <w:sz w:val="24"/>
          <w:szCs w:val="22"/>
        </w:rPr>
        <w:t xml:space="preserve">54, </w:t>
      </w:r>
      <w:r>
        <w:rPr>
          <w:rFonts w:asciiTheme="majorBidi" w:hAnsiTheme="majorBidi" w:cstheme="majorBidi"/>
          <w:sz w:val="24"/>
          <w:szCs w:val="22"/>
        </w:rPr>
        <w:t>4.</w:t>
      </w:r>
      <w:r w:rsidRPr="00067D8A">
        <w:rPr>
          <w:rFonts w:asciiTheme="majorBidi" w:hAnsiTheme="majorBidi" w:cstheme="majorBidi"/>
          <w:sz w:val="24"/>
          <w:szCs w:val="22"/>
        </w:rPr>
        <w:t xml:space="preserve">55). Zoomorphic motifs are not unknown but are extremely rare and highly stylised. An interesting contrast to Mundigak ceramics is that only during Namazga III are the first indications of </w:t>
      </w:r>
      <w:r w:rsidR="001A48B1">
        <w:rPr>
          <w:rFonts w:asciiTheme="majorBidi" w:hAnsiTheme="majorBidi" w:cstheme="majorBidi"/>
          <w:sz w:val="24"/>
          <w:szCs w:val="22"/>
        </w:rPr>
        <w:t>turned</w:t>
      </w:r>
      <w:r w:rsidRPr="00067D8A">
        <w:rPr>
          <w:rFonts w:asciiTheme="majorBidi" w:hAnsiTheme="majorBidi" w:cstheme="majorBidi"/>
          <w:sz w:val="24"/>
          <w:szCs w:val="22"/>
        </w:rPr>
        <w:t xml:space="preserve"> pottery identified, a marked contrast to the high frequency of wheel-made pottery in Afghanistan. Female figurines are found in great frequency (300 at Geoksyur I) and are highly stylised (similar figurines occur in Namazga II). They are all seated with elongated heads, large noses and long necks. The figurines from both eastern and western sites are very </w:t>
      </w:r>
      <w:r w:rsidRPr="00067D8A">
        <w:rPr>
          <w:rFonts w:asciiTheme="majorBidi" w:hAnsiTheme="majorBidi" w:cstheme="majorBidi"/>
          <w:sz w:val="24"/>
          <w:szCs w:val="22"/>
        </w:rPr>
        <w:lastRenderedPageBreak/>
        <w:t>similar to those found at Said Qala and Gumla II–III.</w:t>
      </w:r>
      <w:r w:rsidR="001A48B1">
        <w:rPr>
          <w:rFonts w:asciiTheme="majorBidi" w:hAnsiTheme="majorBidi" w:cstheme="majorBidi"/>
          <w:sz w:val="24"/>
          <w:szCs w:val="22"/>
        </w:rPr>
        <w:t xml:space="preserve"> </w:t>
      </w:r>
      <w:r w:rsidR="00014132">
        <w:rPr>
          <w:rFonts w:asciiTheme="majorBidi" w:hAnsiTheme="majorBidi" w:cstheme="majorBidi"/>
          <w:sz w:val="24"/>
          <w:szCs w:val="22"/>
        </w:rPr>
        <w:t xml:space="preserve">Interestingly, this Geoksyur pottery is found in a </w:t>
      </w:r>
      <w:r w:rsidR="001A48B1">
        <w:rPr>
          <w:rFonts w:asciiTheme="majorBidi" w:hAnsiTheme="majorBidi" w:cstheme="majorBidi"/>
          <w:sz w:val="24"/>
          <w:szCs w:val="22"/>
        </w:rPr>
        <w:t>significant quantities</w:t>
      </w:r>
      <w:r w:rsidR="00014132">
        <w:rPr>
          <w:rFonts w:asciiTheme="majorBidi" w:hAnsiTheme="majorBidi" w:cstheme="majorBidi"/>
          <w:sz w:val="24"/>
          <w:szCs w:val="22"/>
        </w:rPr>
        <w:t xml:space="preserve"> at Sarazm (Tadjikistan) far from its original location. At the same site, and together with it, were also found in increasing quantities (especially numerous in periods III and IV), ceramics undeniably correlated with southern Hindukush, comparable with Mundigak III</w:t>
      </w:r>
      <w:r w:rsidR="00014132" w:rsidRPr="001A48B1">
        <w:rPr>
          <w:rFonts w:asciiTheme="majorBidi" w:hAnsiTheme="majorBidi" w:cstheme="majorBidi"/>
          <w:sz w:val="24"/>
          <w:szCs w:val="22"/>
          <w:vertAlign w:val="subscript"/>
        </w:rPr>
        <w:t>5-6</w:t>
      </w:r>
      <w:r w:rsidR="00014132">
        <w:rPr>
          <w:rFonts w:asciiTheme="majorBidi" w:hAnsiTheme="majorBidi" w:cstheme="majorBidi"/>
          <w:sz w:val="24"/>
          <w:szCs w:val="22"/>
        </w:rPr>
        <w:t xml:space="preserve"> to IV</w:t>
      </w:r>
      <w:r w:rsidR="00014132" w:rsidRPr="001A48B1">
        <w:rPr>
          <w:rFonts w:asciiTheme="majorBidi" w:hAnsiTheme="majorBidi" w:cstheme="majorBidi"/>
          <w:sz w:val="24"/>
          <w:szCs w:val="22"/>
          <w:vertAlign w:val="subscript"/>
        </w:rPr>
        <w:t>1-3</w:t>
      </w:r>
      <w:r w:rsidR="00014132">
        <w:rPr>
          <w:rFonts w:asciiTheme="majorBidi" w:hAnsiTheme="majorBidi" w:cstheme="majorBidi"/>
          <w:sz w:val="24"/>
          <w:szCs w:val="22"/>
        </w:rPr>
        <w:t xml:space="preserve"> and with other Baluchistan pottery styles. In a lesser amount, pots related with north</w:t>
      </w:r>
      <w:r w:rsidR="001A48B1">
        <w:rPr>
          <w:rFonts w:asciiTheme="majorBidi" w:hAnsiTheme="majorBidi" w:cstheme="majorBidi"/>
          <w:sz w:val="24"/>
          <w:szCs w:val="22"/>
        </w:rPr>
        <w:t>-</w:t>
      </w:r>
      <w:r w:rsidR="00014132">
        <w:rPr>
          <w:rFonts w:asciiTheme="majorBidi" w:hAnsiTheme="majorBidi" w:cstheme="majorBidi"/>
          <w:sz w:val="24"/>
          <w:szCs w:val="22"/>
        </w:rPr>
        <w:t>eastern Iran have also been found there.</w:t>
      </w:r>
      <w:r w:rsidR="001A48B1">
        <w:rPr>
          <w:rStyle w:val="EndnoteReference"/>
          <w:rFonts w:asciiTheme="majorBidi" w:hAnsiTheme="majorBidi" w:cstheme="majorBidi"/>
          <w:sz w:val="24"/>
          <w:szCs w:val="22"/>
        </w:rPr>
        <w:endnoteReference w:id="183"/>
      </w:r>
      <w:r w:rsidR="00014132">
        <w:rPr>
          <w:rFonts w:asciiTheme="majorBidi" w:hAnsiTheme="majorBidi" w:cstheme="majorBidi"/>
          <w:sz w:val="24"/>
          <w:szCs w:val="22"/>
        </w:rPr>
        <w:t xml:space="preserve"> In </w:t>
      </w:r>
      <w:r w:rsidR="001A48B1">
        <w:rPr>
          <w:rFonts w:asciiTheme="majorBidi" w:hAnsiTheme="majorBidi" w:cstheme="majorBidi"/>
          <w:sz w:val="24"/>
          <w:szCs w:val="22"/>
        </w:rPr>
        <w:t>n</w:t>
      </w:r>
      <w:r w:rsidR="00014132">
        <w:rPr>
          <w:rFonts w:asciiTheme="majorBidi" w:hAnsiTheme="majorBidi" w:cstheme="majorBidi"/>
          <w:sz w:val="24"/>
          <w:szCs w:val="22"/>
        </w:rPr>
        <w:t>orth</w:t>
      </w:r>
      <w:r w:rsidR="001A48B1">
        <w:rPr>
          <w:rFonts w:asciiTheme="majorBidi" w:hAnsiTheme="majorBidi" w:cstheme="majorBidi"/>
          <w:sz w:val="24"/>
          <w:szCs w:val="22"/>
        </w:rPr>
        <w:t>-</w:t>
      </w:r>
      <w:r w:rsidR="00014132">
        <w:rPr>
          <w:rFonts w:asciiTheme="majorBidi" w:hAnsiTheme="majorBidi" w:cstheme="majorBidi"/>
          <w:sz w:val="24"/>
          <w:szCs w:val="22"/>
        </w:rPr>
        <w:t>eastern Afghanistan, in the Taluqan valley, sites with the same southern Hindukush pottery have been discovered during a survey (</w:t>
      </w:r>
      <w:r w:rsidR="001A48B1">
        <w:rPr>
          <w:rFonts w:asciiTheme="majorBidi" w:hAnsiTheme="majorBidi" w:cstheme="majorBidi"/>
          <w:sz w:val="24"/>
          <w:szCs w:val="22"/>
        </w:rPr>
        <w:t>see Chapter 3</w:t>
      </w:r>
      <w:r w:rsidR="00014132">
        <w:rPr>
          <w:rFonts w:asciiTheme="majorBidi" w:hAnsiTheme="majorBidi" w:cstheme="majorBidi"/>
          <w:sz w:val="24"/>
          <w:szCs w:val="22"/>
        </w:rPr>
        <w:t xml:space="preserve">). All this testifies of an intensification of long distance relations where some sites, like Mundigak, played a key role. </w:t>
      </w:r>
      <w:r w:rsidR="001A48B1">
        <w:rPr>
          <w:rFonts w:asciiTheme="majorBidi" w:hAnsiTheme="majorBidi" w:cstheme="majorBidi"/>
          <w:sz w:val="24"/>
          <w:szCs w:val="22"/>
        </w:rPr>
        <w:t>Many of these sites were situated</w:t>
      </w:r>
      <w:r w:rsidR="00014132">
        <w:rPr>
          <w:rFonts w:asciiTheme="majorBidi" w:hAnsiTheme="majorBidi" w:cstheme="majorBidi"/>
          <w:sz w:val="24"/>
          <w:szCs w:val="22"/>
        </w:rPr>
        <w:t xml:space="preserve"> within area</w:t>
      </w:r>
      <w:r w:rsidR="001A48B1">
        <w:rPr>
          <w:rFonts w:asciiTheme="majorBidi" w:hAnsiTheme="majorBidi" w:cstheme="majorBidi"/>
          <w:sz w:val="24"/>
          <w:szCs w:val="22"/>
        </w:rPr>
        <w:t>s</w:t>
      </w:r>
      <w:r w:rsidR="00014132">
        <w:rPr>
          <w:rFonts w:asciiTheme="majorBidi" w:hAnsiTheme="majorBidi" w:cstheme="majorBidi"/>
          <w:sz w:val="24"/>
          <w:szCs w:val="22"/>
        </w:rPr>
        <w:t xml:space="preserve"> rich </w:t>
      </w:r>
      <w:r w:rsidR="001A48B1">
        <w:rPr>
          <w:rFonts w:asciiTheme="majorBidi" w:hAnsiTheme="majorBidi" w:cstheme="majorBidi"/>
          <w:sz w:val="24"/>
          <w:szCs w:val="22"/>
        </w:rPr>
        <w:t xml:space="preserve">in semi-precious stone </w:t>
      </w:r>
      <w:r w:rsidR="00014132">
        <w:rPr>
          <w:rFonts w:asciiTheme="majorBidi" w:hAnsiTheme="majorBidi" w:cstheme="majorBidi"/>
          <w:sz w:val="24"/>
          <w:szCs w:val="22"/>
        </w:rPr>
        <w:t>or metal ore</w:t>
      </w:r>
      <w:r w:rsidR="001A48B1">
        <w:rPr>
          <w:rFonts w:asciiTheme="majorBidi" w:hAnsiTheme="majorBidi" w:cstheme="majorBidi"/>
          <w:sz w:val="24"/>
          <w:szCs w:val="22"/>
        </w:rPr>
        <w:t xml:space="preserve"> (e.g.</w:t>
      </w:r>
      <w:r w:rsidR="00014132">
        <w:rPr>
          <w:rFonts w:asciiTheme="majorBidi" w:hAnsiTheme="majorBidi" w:cstheme="majorBidi"/>
          <w:sz w:val="24"/>
          <w:szCs w:val="22"/>
        </w:rPr>
        <w:t xml:space="preserve"> Sarazm, and </w:t>
      </w:r>
      <w:r w:rsidR="001A48B1">
        <w:rPr>
          <w:rFonts w:asciiTheme="majorBidi" w:hAnsiTheme="majorBidi" w:cstheme="majorBidi"/>
          <w:sz w:val="24"/>
          <w:szCs w:val="22"/>
        </w:rPr>
        <w:t xml:space="preserve">Shortugaï and </w:t>
      </w:r>
      <w:r w:rsidR="00014132">
        <w:rPr>
          <w:rFonts w:asciiTheme="majorBidi" w:hAnsiTheme="majorBidi" w:cstheme="majorBidi"/>
          <w:sz w:val="24"/>
          <w:szCs w:val="22"/>
        </w:rPr>
        <w:t>the Taluqan sites close to the lapis-lazuli mountain</w:t>
      </w:r>
      <w:r w:rsidR="001A48B1">
        <w:rPr>
          <w:rFonts w:asciiTheme="majorBidi" w:hAnsiTheme="majorBidi" w:cstheme="majorBidi"/>
          <w:sz w:val="24"/>
          <w:szCs w:val="22"/>
        </w:rPr>
        <w:t>)</w:t>
      </w:r>
      <w:r w:rsidR="00014132">
        <w:rPr>
          <w:rFonts w:asciiTheme="majorBidi" w:hAnsiTheme="majorBidi" w:cstheme="majorBidi"/>
          <w:sz w:val="24"/>
          <w:szCs w:val="22"/>
        </w:rPr>
        <w:t>, make the search for metal and this valued stone the possible targets of these networks.</w:t>
      </w:r>
    </w:p>
    <w:p w14:paraId="6F013AB2" w14:textId="77777777" w:rsidR="0030226C" w:rsidRPr="00CD3510" w:rsidRDefault="009C43AA" w:rsidP="0030226C">
      <w:pPr>
        <w:pStyle w:val="Heading3"/>
        <w:rPr>
          <w:rFonts w:asciiTheme="majorBidi" w:hAnsiTheme="majorBidi"/>
          <w:color w:val="auto"/>
          <w:lang w:val="en-GB"/>
        </w:rPr>
      </w:pPr>
      <w:r w:rsidRPr="009C43AA">
        <w:rPr>
          <w:rFonts w:asciiTheme="majorBidi" w:hAnsiTheme="majorBidi"/>
          <w:color w:val="auto"/>
          <w:lang w:val="en-GB"/>
        </w:rPr>
        <w:t>Mundigak: Period IV</w:t>
      </w:r>
    </w:p>
    <w:p w14:paraId="1D35B73A" w14:textId="331D5ABB" w:rsidR="0030226C" w:rsidRPr="00067D8A" w:rsidRDefault="0030226C" w:rsidP="0030226C">
      <w:pPr>
        <w:pStyle w:val="BodyText"/>
        <w:spacing w:line="480" w:lineRule="auto"/>
        <w:rPr>
          <w:rFonts w:asciiTheme="majorBidi" w:hAnsiTheme="majorBidi" w:cstheme="majorBidi"/>
          <w:sz w:val="24"/>
          <w:szCs w:val="22"/>
          <w:lang w:val="en-GB"/>
        </w:rPr>
      </w:pPr>
      <w:r w:rsidRPr="00067D8A">
        <w:rPr>
          <w:rFonts w:asciiTheme="majorBidi" w:hAnsiTheme="majorBidi" w:cstheme="majorBidi"/>
          <w:sz w:val="24"/>
          <w:szCs w:val="22"/>
          <w:lang w:val="en-GB"/>
        </w:rPr>
        <w:t>The continuity and overlap defined between late Period III</w:t>
      </w:r>
      <w:r w:rsidRPr="00067D8A">
        <w:rPr>
          <w:rFonts w:asciiTheme="majorBidi" w:hAnsiTheme="majorBidi" w:cstheme="majorBidi"/>
          <w:sz w:val="24"/>
          <w:szCs w:val="22"/>
          <w:vertAlign w:val="subscript"/>
          <w:lang w:val="en-GB"/>
        </w:rPr>
        <w:t>5-6</w:t>
      </w:r>
      <w:r w:rsidRPr="00067D8A">
        <w:rPr>
          <w:rFonts w:asciiTheme="majorBidi" w:hAnsiTheme="majorBidi" w:cstheme="majorBidi"/>
          <w:sz w:val="24"/>
          <w:szCs w:val="22"/>
          <w:lang w:val="en-GB"/>
        </w:rPr>
        <w:t xml:space="preserve"> and IV at Mundigak and Said Qala make it difficult to determine two distinct and separate sets of external relationships for these two periods. Therefore, many of the observations regarding external relationships for Period III can also be applied to Period IV, and by analogy with Deh Morasi I–IV. Here, as in previous periods, parallel developments </w:t>
      </w:r>
      <w:r w:rsidR="001A48B1">
        <w:rPr>
          <w:rFonts w:asciiTheme="majorBidi" w:hAnsiTheme="majorBidi" w:cstheme="majorBidi"/>
          <w:sz w:val="24"/>
          <w:szCs w:val="22"/>
          <w:lang w:val="en-GB"/>
        </w:rPr>
        <w:t>appear to have been</w:t>
      </w:r>
      <w:r w:rsidR="001A48B1" w:rsidRPr="00067D8A">
        <w:rPr>
          <w:rFonts w:asciiTheme="majorBidi" w:hAnsiTheme="majorBidi" w:cstheme="majorBidi"/>
          <w:sz w:val="24"/>
          <w:szCs w:val="22"/>
          <w:lang w:val="en-GB"/>
        </w:rPr>
        <w:t xml:space="preserve"> </w:t>
      </w:r>
      <w:r w:rsidRPr="00067D8A">
        <w:rPr>
          <w:rFonts w:asciiTheme="majorBidi" w:hAnsiTheme="majorBidi" w:cstheme="majorBidi"/>
          <w:sz w:val="24"/>
          <w:szCs w:val="22"/>
          <w:lang w:val="en-GB"/>
        </w:rPr>
        <w:t>taking place in the Quetta valley</w:t>
      </w:r>
      <w:r w:rsidR="001A48B1">
        <w:rPr>
          <w:rFonts w:asciiTheme="majorBidi" w:hAnsiTheme="majorBidi" w:cstheme="majorBidi"/>
          <w:sz w:val="24"/>
          <w:szCs w:val="22"/>
          <w:lang w:val="en-GB"/>
        </w:rPr>
        <w:t xml:space="preserve"> and other parts of Baluchistan</w:t>
      </w:r>
      <w:r w:rsidRPr="00067D8A">
        <w:rPr>
          <w:rFonts w:asciiTheme="majorBidi" w:hAnsiTheme="majorBidi" w:cstheme="majorBidi"/>
          <w:sz w:val="24"/>
          <w:szCs w:val="22"/>
          <w:lang w:val="en-GB"/>
        </w:rPr>
        <w:t xml:space="preserve">. Mundigak IV is best compared to </w:t>
      </w:r>
      <w:r w:rsidR="001A48B1">
        <w:rPr>
          <w:rFonts w:asciiTheme="majorBidi" w:hAnsiTheme="majorBidi" w:cstheme="majorBidi"/>
          <w:sz w:val="24"/>
          <w:szCs w:val="22"/>
          <w:lang w:val="en-GB"/>
        </w:rPr>
        <w:t>Mehrgah VI and VII</w:t>
      </w:r>
      <w:r w:rsidR="009F50E8">
        <w:rPr>
          <w:rStyle w:val="EndnoteReference"/>
          <w:rFonts w:asciiTheme="majorBidi" w:hAnsiTheme="majorBidi" w:cstheme="majorBidi"/>
          <w:sz w:val="24"/>
          <w:szCs w:val="22"/>
          <w:lang w:val="en-GB"/>
        </w:rPr>
        <w:endnoteReference w:id="184"/>
      </w:r>
      <w:r w:rsidR="001A48B1">
        <w:rPr>
          <w:rFonts w:asciiTheme="majorBidi" w:hAnsiTheme="majorBidi" w:cstheme="majorBidi"/>
          <w:sz w:val="24"/>
          <w:szCs w:val="22"/>
          <w:lang w:val="en-GB"/>
        </w:rPr>
        <w:t xml:space="preserve"> and </w:t>
      </w:r>
      <w:r w:rsidRPr="00067D8A">
        <w:rPr>
          <w:rFonts w:asciiTheme="majorBidi" w:hAnsiTheme="majorBidi" w:cstheme="majorBidi"/>
          <w:sz w:val="24"/>
          <w:szCs w:val="22"/>
          <w:lang w:val="en-GB"/>
        </w:rPr>
        <w:t xml:space="preserve">DS II–III in the Quetta sequence (Figs </w:t>
      </w:r>
      <w:r w:rsidR="005B52A9">
        <w:rPr>
          <w:rFonts w:asciiTheme="majorBidi" w:hAnsiTheme="majorBidi" w:cstheme="majorBidi"/>
          <w:sz w:val="24"/>
          <w:szCs w:val="22"/>
          <w:lang w:val="en-GB"/>
        </w:rPr>
        <w:t>4.</w:t>
      </w:r>
      <w:r w:rsidRPr="00067D8A">
        <w:rPr>
          <w:rFonts w:asciiTheme="majorBidi" w:hAnsiTheme="majorBidi" w:cstheme="majorBidi"/>
          <w:sz w:val="24"/>
          <w:szCs w:val="22"/>
          <w:lang w:val="en-GB"/>
        </w:rPr>
        <w:t xml:space="preserve">52b, </w:t>
      </w:r>
      <w:r w:rsidR="005B52A9">
        <w:rPr>
          <w:rFonts w:asciiTheme="majorBidi" w:hAnsiTheme="majorBidi" w:cstheme="majorBidi"/>
          <w:sz w:val="24"/>
          <w:szCs w:val="22"/>
          <w:lang w:val="en-GB"/>
        </w:rPr>
        <w:t>4.</w:t>
      </w:r>
      <w:r w:rsidRPr="00067D8A">
        <w:rPr>
          <w:rFonts w:asciiTheme="majorBidi" w:hAnsiTheme="majorBidi" w:cstheme="majorBidi"/>
          <w:sz w:val="24"/>
          <w:szCs w:val="22"/>
          <w:lang w:val="en-GB"/>
        </w:rPr>
        <w:t xml:space="preserve">53) although DS I also displays many characteristics of this period. </w:t>
      </w:r>
      <w:r w:rsidR="009F50E8">
        <w:rPr>
          <w:rFonts w:asciiTheme="majorBidi" w:hAnsiTheme="majorBidi" w:cstheme="majorBidi"/>
          <w:sz w:val="24"/>
          <w:szCs w:val="22"/>
          <w:lang w:val="en-GB"/>
        </w:rPr>
        <w:t>There are clear similarities in figurine types,</w:t>
      </w:r>
      <w:r w:rsidR="009F50E8">
        <w:rPr>
          <w:rStyle w:val="EndnoteReference"/>
          <w:rFonts w:asciiTheme="majorBidi" w:hAnsiTheme="majorBidi" w:cstheme="majorBidi"/>
          <w:sz w:val="24"/>
          <w:szCs w:val="22"/>
          <w:lang w:val="en-GB"/>
        </w:rPr>
        <w:endnoteReference w:id="185"/>
      </w:r>
      <w:r w:rsidR="009F50E8">
        <w:rPr>
          <w:rFonts w:asciiTheme="majorBidi" w:hAnsiTheme="majorBidi" w:cstheme="majorBidi"/>
          <w:sz w:val="24"/>
          <w:szCs w:val="22"/>
          <w:lang w:val="en-GB"/>
        </w:rPr>
        <w:t xml:space="preserve"> but p</w:t>
      </w:r>
      <w:r w:rsidRPr="00067D8A">
        <w:rPr>
          <w:rFonts w:asciiTheme="majorBidi" w:hAnsiTheme="majorBidi" w:cstheme="majorBidi"/>
          <w:sz w:val="24"/>
          <w:szCs w:val="22"/>
          <w:lang w:val="en-GB"/>
        </w:rPr>
        <w:t>erhaps the most convincing correlation is provided by the introduction of zoomorphic motifs in DS II–III, which are similar to those at Mundigak. As at Mundigak, DS III</w:t>
      </w:r>
      <w:r w:rsidRPr="00067D8A">
        <w:rPr>
          <w:rStyle w:val="EndnoteReference"/>
          <w:rFonts w:asciiTheme="majorBidi" w:hAnsiTheme="majorBidi" w:cstheme="majorBidi"/>
          <w:sz w:val="24"/>
          <w:szCs w:val="22"/>
          <w:lang w:val="en-GB"/>
        </w:rPr>
        <w:endnoteReference w:id="186"/>
      </w:r>
      <w:r w:rsidRPr="00067D8A">
        <w:rPr>
          <w:rFonts w:asciiTheme="majorBidi" w:hAnsiTheme="majorBidi" w:cstheme="majorBidi"/>
          <w:sz w:val="24"/>
          <w:szCs w:val="22"/>
          <w:lang w:val="en-GB"/>
        </w:rPr>
        <w:t xml:space="preserve"> Quetta Ware demonstrated a marked decline in the solid geometric elements and an increased usage of simple horizontal lines and bucranium motifs. Overall the ceramics of DS II–III are very similar to those of </w:t>
      </w:r>
      <w:r w:rsidRPr="00067D8A">
        <w:rPr>
          <w:rFonts w:asciiTheme="majorBidi" w:hAnsiTheme="majorBidi" w:cstheme="majorBidi"/>
          <w:sz w:val="24"/>
          <w:szCs w:val="22"/>
          <w:lang w:val="en-GB"/>
        </w:rPr>
        <w:lastRenderedPageBreak/>
        <w:t xml:space="preserve">Mundigak </w:t>
      </w:r>
      <w:r w:rsidR="001E1DEF">
        <w:rPr>
          <w:rFonts w:asciiTheme="majorBidi" w:hAnsiTheme="majorBidi" w:cstheme="majorBidi"/>
          <w:sz w:val="24"/>
          <w:szCs w:val="22"/>
          <w:lang w:val="en-GB"/>
        </w:rPr>
        <w:t xml:space="preserve">Period </w:t>
      </w:r>
      <w:r w:rsidRPr="00067D8A">
        <w:rPr>
          <w:rFonts w:asciiTheme="majorBidi" w:hAnsiTheme="majorBidi" w:cstheme="majorBidi"/>
          <w:sz w:val="24"/>
          <w:szCs w:val="22"/>
          <w:lang w:val="en-GB"/>
        </w:rPr>
        <w:t xml:space="preserve">IV, and especially </w:t>
      </w:r>
      <w:r w:rsidR="001E1DEF">
        <w:rPr>
          <w:rFonts w:asciiTheme="majorBidi" w:hAnsiTheme="majorBidi" w:cstheme="majorBidi"/>
          <w:sz w:val="24"/>
          <w:szCs w:val="22"/>
          <w:lang w:val="en-GB"/>
        </w:rPr>
        <w:t>Sub-Period</w:t>
      </w:r>
      <w:r w:rsidRPr="00067D8A">
        <w:rPr>
          <w:rFonts w:asciiTheme="majorBidi" w:hAnsiTheme="majorBidi" w:cstheme="majorBidi"/>
          <w:sz w:val="24"/>
          <w:szCs w:val="22"/>
          <w:lang w:val="en-GB"/>
        </w:rPr>
        <w:t xml:space="preserve"> IV</w:t>
      </w:r>
      <w:r w:rsidRPr="00067D8A">
        <w:rPr>
          <w:rFonts w:asciiTheme="majorBidi" w:hAnsiTheme="majorBidi" w:cstheme="majorBidi"/>
          <w:sz w:val="24"/>
          <w:szCs w:val="22"/>
          <w:vertAlign w:val="subscript"/>
          <w:lang w:val="en-GB"/>
        </w:rPr>
        <w:t>1</w:t>
      </w:r>
      <w:r w:rsidRPr="00067D8A">
        <w:rPr>
          <w:rFonts w:asciiTheme="majorBidi" w:hAnsiTheme="majorBidi" w:cstheme="majorBidi"/>
          <w:sz w:val="24"/>
          <w:szCs w:val="22"/>
          <w:lang w:val="en-GB"/>
        </w:rPr>
        <w:t>, in vessel forms, styles of decoration, and variety of ceramics located. It should be noted that the zoomorphic motifs at both Mundigak and DS II–III are also similar to the so-called ‘Kulli’ pottery found in southern Baluchistan particularly the site</w:t>
      </w:r>
      <w:r w:rsidR="009F50E8">
        <w:rPr>
          <w:rFonts w:asciiTheme="majorBidi" w:hAnsiTheme="majorBidi" w:cstheme="majorBidi"/>
          <w:sz w:val="24"/>
          <w:szCs w:val="22"/>
          <w:lang w:val="en-GB"/>
        </w:rPr>
        <w:t>s of Kulli, Mehi and</w:t>
      </w:r>
      <w:r w:rsidRPr="00067D8A">
        <w:rPr>
          <w:rFonts w:asciiTheme="majorBidi" w:hAnsiTheme="majorBidi" w:cstheme="majorBidi"/>
          <w:sz w:val="24"/>
          <w:szCs w:val="22"/>
          <w:lang w:val="en-GB"/>
        </w:rPr>
        <w:t xml:space="preserve"> Nindowari.</w:t>
      </w:r>
      <w:r w:rsidRPr="00067D8A">
        <w:rPr>
          <w:rStyle w:val="EndnoteReference"/>
          <w:rFonts w:asciiTheme="majorBidi" w:hAnsiTheme="majorBidi" w:cstheme="majorBidi"/>
          <w:sz w:val="24"/>
          <w:szCs w:val="22"/>
          <w:lang w:val="en-GB"/>
        </w:rPr>
        <w:endnoteReference w:id="187"/>
      </w:r>
      <w:r w:rsidR="00054F0E">
        <w:rPr>
          <w:rFonts w:asciiTheme="majorBidi" w:hAnsiTheme="majorBidi" w:cstheme="majorBidi"/>
          <w:sz w:val="24"/>
          <w:szCs w:val="22"/>
          <w:lang w:val="en-GB"/>
        </w:rPr>
        <w:t xml:space="preserve"> The most recent overview of the ceramics of Kech Makran, Baluchistan and the surrounding regions in this period has been published by Aurore Didier.</w:t>
      </w:r>
      <w:bookmarkStart w:id="0" w:name="_GoBack"/>
      <w:bookmarkEnd w:id="0"/>
    </w:p>
    <w:p w14:paraId="4087FE34" w14:textId="1F787C2B" w:rsidR="0030226C" w:rsidRPr="00067D8A" w:rsidRDefault="0030226C" w:rsidP="002A0CCC">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Another important parallel with Mundigak </w:t>
      </w:r>
      <w:r w:rsidR="001E1DEF">
        <w:rPr>
          <w:rFonts w:asciiTheme="majorBidi" w:hAnsiTheme="majorBidi" w:cstheme="majorBidi"/>
          <w:sz w:val="24"/>
          <w:szCs w:val="22"/>
        </w:rPr>
        <w:t>Sub-Period</w:t>
      </w:r>
      <w:r w:rsidRPr="00067D8A">
        <w:rPr>
          <w:rFonts w:asciiTheme="majorBidi" w:hAnsiTheme="majorBidi" w:cstheme="majorBidi"/>
          <w:sz w:val="24"/>
          <w:szCs w:val="22"/>
        </w:rPr>
        <w:t xml:space="preserve"> IV</w:t>
      </w:r>
      <w:r w:rsidRPr="00067D8A">
        <w:rPr>
          <w:rFonts w:asciiTheme="majorBidi" w:hAnsiTheme="majorBidi" w:cstheme="majorBidi"/>
          <w:sz w:val="24"/>
          <w:szCs w:val="22"/>
          <w:vertAlign w:val="subscript"/>
        </w:rPr>
        <w:t>1</w:t>
      </w:r>
      <w:r w:rsidRPr="00067D8A">
        <w:rPr>
          <w:rFonts w:asciiTheme="majorBidi" w:hAnsiTheme="majorBidi" w:cstheme="majorBidi"/>
          <w:sz w:val="24"/>
          <w:szCs w:val="22"/>
        </w:rPr>
        <w:t xml:space="preserve"> is the presence of ‘monumental’ architecture. At D</w:t>
      </w:r>
      <w:r w:rsidR="009F50E8">
        <w:rPr>
          <w:rFonts w:asciiTheme="majorBidi" w:hAnsiTheme="majorBidi" w:cstheme="majorBidi"/>
          <w:sz w:val="24"/>
          <w:szCs w:val="22"/>
        </w:rPr>
        <w:t xml:space="preserve">amb </w:t>
      </w:r>
      <w:r w:rsidRPr="00067D8A">
        <w:rPr>
          <w:rFonts w:asciiTheme="majorBidi" w:hAnsiTheme="majorBidi" w:cstheme="majorBidi"/>
          <w:sz w:val="24"/>
          <w:szCs w:val="22"/>
        </w:rPr>
        <w:t>S</w:t>
      </w:r>
      <w:r w:rsidR="009F50E8">
        <w:rPr>
          <w:rFonts w:asciiTheme="majorBidi" w:hAnsiTheme="majorBidi" w:cstheme="majorBidi"/>
          <w:sz w:val="24"/>
          <w:szCs w:val="22"/>
        </w:rPr>
        <w:t>adaat</w:t>
      </w:r>
      <w:r w:rsidRPr="00067D8A">
        <w:rPr>
          <w:rFonts w:asciiTheme="majorBidi" w:hAnsiTheme="majorBidi" w:cstheme="majorBidi"/>
          <w:sz w:val="24"/>
          <w:szCs w:val="22"/>
        </w:rPr>
        <w:t>, as at Mundigak, the previous areas of occupation were levelled for the construction of a large brick platform. Associated with the platform were rough limestone block stone drains and a bench against the southern wall. There is some evidence that spur walls (3 m thick) connected the platform with lower portions of the mound. The main wall of this platform was resting upon a small hollow constructed from stones and containing a human skull minus the lower jaw. In the immediate vicinity of this structure were located eight female figurines among which some were in the ‘Zhob’ style. Found for the first time in DS III levels were cattle figurines, one of which had a ‘yoni’ motif painted on its forehead. Other artefacts included: model houses (also found in Mundigak IV</w:t>
      </w:r>
      <w:r w:rsidRPr="00067D8A">
        <w:rPr>
          <w:rFonts w:asciiTheme="majorBidi" w:hAnsiTheme="majorBidi" w:cstheme="majorBidi"/>
          <w:sz w:val="24"/>
          <w:szCs w:val="22"/>
          <w:vertAlign w:val="subscript"/>
        </w:rPr>
        <w:t>1</w:t>
      </w:r>
      <w:r w:rsidRPr="00067D8A">
        <w:rPr>
          <w:rFonts w:asciiTheme="majorBidi" w:hAnsiTheme="majorBidi" w:cstheme="majorBidi"/>
          <w:sz w:val="24"/>
          <w:szCs w:val="22"/>
        </w:rPr>
        <w:t xml:space="preserve"> and Said Qala III); clay rattles; small metal artefacts; alabaster bowls; compartmented seals; and, beads (lapis lazuli, carnelian and turquoise). DS III appears to be the last major period of prehistoric occupation in the Quetta valley</w:t>
      </w:r>
      <w:r w:rsidR="002A0CCC">
        <w:rPr>
          <w:rFonts w:asciiTheme="majorBidi" w:hAnsiTheme="majorBidi" w:cstheme="majorBidi"/>
          <w:sz w:val="24"/>
          <w:szCs w:val="22"/>
        </w:rPr>
        <w:t>, but its chronological placement is not constrained well by the single radiocarbon date (UW-60: 4030+-160 BP, 3010-2090 cal. BC)</w:t>
      </w:r>
      <w:r w:rsidRPr="00067D8A">
        <w:rPr>
          <w:rFonts w:asciiTheme="majorBidi" w:hAnsiTheme="majorBidi" w:cstheme="majorBidi"/>
          <w:sz w:val="24"/>
          <w:szCs w:val="22"/>
        </w:rPr>
        <w:t xml:space="preserve">. </w:t>
      </w:r>
    </w:p>
    <w:p w14:paraId="3C2FDB25" w14:textId="4CF7526C"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t xml:space="preserve">The existence of interaction/communication between southern Afghanistan and the Indus </w:t>
      </w:r>
      <w:r w:rsidR="00054F0E">
        <w:rPr>
          <w:rFonts w:asciiTheme="majorBidi" w:hAnsiTheme="majorBidi" w:cstheme="majorBidi"/>
          <w:sz w:val="24"/>
          <w:szCs w:val="22"/>
        </w:rPr>
        <w:t>region</w:t>
      </w:r>
      <w:r w:rsidRPr="00067D8A">
        <w:rPr>
          <w:rFonts w:asciiTheme="majorBidi" w:hAnsiTheme="majorBidi" w:cstheme="majorBidi"/>
          <w:sz w:val="24"/>
          <w:szCs w:val="22"/>
        </w:rPr>
        <w:t xml:space="preserve"> </w:t>
      </w:r>
      <w:r w:rsidR="002A0CCC">
        <w:rPr>
          <w:rFonts w:asciiTheme="majorBidi" w:hAnsiTheme="majorBidi" w:cstheme="majorBidi"/>
          <w:sz w:val="24"/>
          <w:szCs w:val="22"/>
        </w:rPr>
        <w:t xml:space="preserve">during the early-mid-third millennium BC </w:t>
      </w:r>
      <w:r w:rsidRPr="00067D8A">
        <w:rPr>
          <w:rFonts w:asciiTheme="majorBidi" w:hAnsiTheme="majorBidi" w:cstheme="majorBidi"/>
          <w:sz w:val="24"/>
          <w:szCs w:val="22"/>
        </w:rPr>
        <w:t>is, however, very limited.</w:t>
      </w:r>
      <w:r w:rsidR="002A0CCC">
        <w:rPr>
          <w:rStyle w:val="EndnoteReference"/>
          <w:rFonts w:asciiTheme="majorBidi" w:hAnsiTheme="majorBidi" w:cstheme="majorBidi"/>
          <w:sz w:val="24"/>
          <w:szCs w:val="22"/>
        </w:rPr>
        <w:endnoteReference w:id="188"/>
      </w:r>
      <w:r w:rsidRPr="00067D8A">
        <w:rPr>
          <w:rFonts w:asciiTheme="majorBidi" w:hAnsiTheme="majorBidi" w:cstheme="majorBidi"/>
          <w:sz w:val="24"/>
          <w:szCs w:val="22"/>
        </w:rPr>
        <w:t xml:space="preserve"> Indeed, most of the evidence comes from Mundigak itself and the identification of infrequent examples of Kot Dijian and Amrian type ceramics. </w:t>
      </w:r>
      <w:r w:rsidR="00054F0E">
        <w:rPr>
          <w:rFonts w:asciiTheme="majorBidi" w:hAnsiTheme="majorBidi" w:cstheme="majorBidi"/>
          <w:sz w:val="24"/>
          <w:szCs w:val="22"/>
        </w:rPr>
        <w:t>There thus appears to have been differing zones and dynamics of interaction between the two regions during the formative stages of Indus urbanism.</w:t>
      </w:r>
    </w:p>
    <w:p w14:paraId="12F6F482" w14:textId="3AC6CD33" w:rsidR="0030226C" w:rsidRPr="00067D8A" w:rsidRDefault="002A0CCC" w:rsidP="0030226C">
      <w:pPr>
        <w:pStyle w:val="BodyTextIndent"/>
        <w:rPr>
          <w:rFonts w:asciiTheme="majorBidi" w:hAnsiTheme="majorBidi" w:cstheme="majorBidi"/>
          <w:sz w:val="24"/>
          <w:szCs w:val="22"/>
        </w:rPr>
      </w:pPr>
      <w:r>
        <w:rPr>
          <w:rFonts w:asciiTheme="majorBidi" w:hAnsiTheme="majorBidi" w:cstheme="majorBidi"/>
          <w:color w:val="FF0000"/>
          <w:sz w:val="24"/>
          <w:szCs w:val="22"/>
        </w:rPr>
        <w:lastRenderedPageBreak/>
        <w:t xml:space="preserve">Period II and III </w:t>
      </w:r>
      <w:r w:rsidR="004D5126">
        <w:rPr>
          <w:rFonts w:asciiTheme="majorBidi" w:hAnsiTheme="majorBidi" w:cstheme="majorBidi"/>
          <w:color w:val="FF0000"/>
          <w:sz w:val="24"/>
          <w:szCs w:val="22"/>
        </w:rPr>
        <w:t>at</w:t>
      </w:r>
      <w:r w:rsidR="00CD3510">
        <w:rPr>
          <w:rFonts w:asciiTheme="majorBidi" w:hAnsiTheme="majorBidi" w:cstheme="majorBidi"/>
          <w:color w:val="FF0000"/>
          <w:sz w:val="24"/>
          <w:szCs w:val="22"/>
        </w:rPr>
        <w:t xml:space="preserve"> </w:t>
      </w:r>
      <w:r w:rsidR="0030226C" w:rsidRPr="00067D8A">
        <w:rPr>
          <w:rFonts w:asciiTheme="majorBidi" w:hAnsiTheme="majorBidi" w:cstheme="majorBidi"/>
          <w:sz w:val="24"/>
          <w:szCs w:val="22"/>
        </w:rPr>
        <w:t>Shahr-i Sokhta</w:t>
      </w:r>
      <w:r>
        <w:rPr>
          <w:rFonts w:asciiTheme="majorBidi" w:hAnsiTheme="majorBidi" w:cstheme="majorBidi"/>
          <w:sz w:val="24"/>
          <w:szCs w:val="22"/>
        </w:rPr>
        <w:t xml:space="preserve"> </w:t>
      </w:r>
      <w:r w:rsidR="004D5126">
        <w:rPr>
          <w:rFonts w:asciiTheme="majorBidi" w:hAnsiTheme="majorBidi" w:cstheme="majorBidi"/>
          <w:sz w:val="24"/>
          <w:szCs w:val="22"/>
        </w:rPr>
        <w:t xml:space="preserve">clearly represents </w:t>
      </w:r>
      <w:r w:rsidR="0030226C" w:rsidRPr="00067D8A">
        <w:rPr>
          <w:rFonts w:asciiTheme="majorBidi" w:hAnsiTheme="majorBidi" w:cstheme="majorBidi"/>
          <w:sz w:val="24"/>
          <w:szCs w:val="22"/>
        </w:rPr>
        <w:t xml:space="preserve">a major urban centre for the Mundigak IV type culture. However, Period IV at Shahr-i Sokhta cannot be as convincingly correlated with developments at Mundigak although limited motif parallels can be found among later Mundigak </w:t>
      </w:r>
      <w:r w:rsidR="001E1DEF">
        <w:rPr>
          <w:rFonts w:asciiTheme="majorBidi" w:hAnsiTheme="majorBidi" w:cstheme="majorBidi"/>
          <w:sz w:val="24"/>
          <w:szCs w:val="22"/>
        </w:rPr>
        <w:t>Sub-Period</w:t>
      </w:r>
      <w:r w:rsidR="0030226C" w:rsidRPr="00067D8A">
        <w:rPr>
          <w:rFonts w:asciiTheme="majorBidi" w:hAnsiTheme="majorBidi" w:cstheme="majorBidi"/>
          <w:sz w:val="24"/>
          <w:szCs w:val="22"/>
        </w:rPr>
        <w:t>s IV</w:t>
      </w:r>
      <w:r w:rsidR="0030226C" w:rsidRPr="00067D8A">
        <w:rPr>
          <w:rFonts w:asciiTheme="majorBidi" w:hAnsiTheme="majorBidi" w:cstheme="majorBidi"/>
          <w:sz w:val="24"/>
          <w:szCs w:val="22"/>
          <w:vertAlign w:val="subscript"/>
        </w:rPr>
        <w:t>2–3</w:t>
      </w:r>
      <w:r w:rsidR="0030226C" w:rsidRPr="00067D8A">
        <w:rPr>
          <w:rFonts w:asciiTheme="majorBidi" w:hAnsiTheme="majorBidi" w:cstheme="majorBidi"/>
          <w:sz w:val="24"/>
          <w:szCs w:val="22"/>
        </w:rPr>
        <w:t xml:space="preserve"> pottery</w:t>
      </w:r>
      <w:r w:rsidR="000C7D98" w:rsidRPr="004D5126">
        <w:rPr>
          <w:rFonts w:asciiTheme="majorBidi" w:hAnsiTheme="majorBidi" w:cstheme="majorBidi"/>
          <w:sz w:val="24"/>
          <w:szCs w:val="22"/>
        </w:rPr>
        <w:t>.</w:t>
      </w:r>
      <w:r w:rsidR="004D5126" w:rsidRPr="004D5126">
        <w:rPr>
          <w:rStyle w:val="EndnoteReference"/>
          <w:rFonts w:asciiTheme="majorBidi" w:hAnsiTheme="majorBidi" w:cstheme="majorBidi"/>
          <w:sz w:val="24"/>
          <w:szCs w:val="22"/>
        </w:rPr>
        <w:endnoteReference w:id="189"/>
      </w:r>
      <w:r w:rsidR="0030226C" w:rsidRPr="00067D8A">
        <w:rPr>
          <w:rFonts w:asciiTheme="majorBidi" w:hAnsiTheme="majorBidi" w:cstheme="majorBidi"/>
          <w:sz w:val="24"/>
          <w:szCs w:val="22"/>
        </w:rPr>
        <w:t xml:space="preserve"> Likewise, the Bampur sequence</w:t>
      </w:r>
      <w:r w:rsidR="0030226C" w:rsidRPr="00067D8A">
        <w:rPr>
          <w:rStyle w:val="EndnoteReference"/>
          <w:rFonts w:asciiTheme="majorBidi" w:hAnsiTheme="majorBidi" w:cstheme="majorBidi"/>
          <w:sz w:val="24"/>
          <w:szCs w:val="22"/>
        </w:rPr>
        <w:endnoteReference w:id="190"/>
      </w:r>
      <w:r w:rsidR="0030226C" w:rsidRPr="00067D8A">
        <w:rPr>
          <w:rFonts w:asciiTheme="majorBidi" w:hAnsiTheme="majorBidi" w:cstheme="majorBidi"/>
          <w:sz w:val="24"/>
          <w:szCs w:val="22"/>
        </w:rPr>
        <w:t xml:space="preserve"> of south-eastern Iran has numerous parallels with Mundigak </w:t>
      </w:r>
      <w:r w:rsidR="001E1DEF">
        <w:rPr>
          <w:rFonts w:asciiTheme="majorBidi" w:hAnsiTheme="majorBidi" w:cstheme="majorBidi"/>
          <w:sz w:val="24"/>
          <w:szCs w:val="22"/>
        </w:rPr>
        <w:t>Sub-Period</w:t>
      </w:r>
      <w:r w:rsidR="0030226C" w:rsidRPr="00067D8A">
        <w:rPr>
          <w:rFonts w:asciiTheme="majorBidi" w:hAnsiTheme="majorBidi" w:cstheme="majorBidi"/>
          <w:sz w:val="24"/>
          <w:szCs w:val="22"/>
        </w:rPr>
        <w:t>s IV</w:t>
      </w:r>
      <w:r w:rsidR="0030226C" w:rsidRPr="00067D8A">
        <w:rPr>
          <w:rFonts w:asciiTheme="majorBidi" w:hAnsiTheme="majorBidi" w:cstheme="majorBidi"/>
          <w:sz w:val="24"/>
          <w:szCs w:val="22"/>
          <w:vertAlign w:val="subscript"/>
        </w:rPr>
        <w:t>1–2</w:t>
      </w:r>
      <w:r w:rsidR="0030226C" w:rsidRPr="00067D8A">
        <w:rPr>
          <w:rFonts w:asciiTheme="majorBidi" w:hAnsiTheme="majorBidi" w:cstheme="majorBidi"/>
          <w:sz w:val="24"/>
          <w:szCs w:val="22"/>
        </w:rPr>
        <w:t xml:space="preserve">, </w:t>
      </w:r>
      <w:r w:rsidR="004D5126">
        <w:rPr>
          <w:rFonts w:asciiTheme="majorBidi" w:hAnsiTheme="majorBidi" w:cstheme="majorBidi"/>
          <w:sz w:val="24"/>
          <w:szCs w:val="22"/>
        </w:rPr>
        <w:t xml:space="preserve">and </w:t>
      </w:r>
      <w:r w:rsidR="0030226C" w:rsidRPr="00067D8A">
        <w:rPr>
          <w:rFonts w:asciiTheme="majorBidi" w:hAnsiTheme="majorBidi" w:cstheme="majorBidi"/>
          <w:sz w:val="24"/>
          <w:szCs w:val="22"/>
        </w:rPr>
        <w:t xml:space="preserve">Shahr-i Sokhta II–III and </w:t>
      </w:r>
      <w:r w:rsidR="004D5126">
        <w:rPr>
          <w:rFonts w:asciiTheme="majorBidi" w:hAnsiTheme="majorBidi" w:cstheme="majorBidi"/>
          <w:sz w:val="24"/>
          <w:szCs w:val="22"/>
        </w:rPr>
        <w:t>t</w:t>
      </w:r>
      <w:r w:rsidR="0030226C" w:rsidRPr="00067D8A">
        <w:rPr>
          <w:rFonts w:asciiTheme="majorBidi" w:hAnsiTheme="majorBidi" w:cstheme="majorBidi"/>
          <w:sz w:val="24"/>
          <w:szCs w:val="22"/>
        </w:rPr>
        <w:t>hese parallels have been summarised by de Cardi.</w:t>
      </w:r>
      <w:r w:rsidR="0030226C" w:rsidRPr="00067D8A">
        <w:rPr>
          <w:rStyle w:val="EndnoteReference"/>
          <w:rFonts w:asciiTheme="majorBidi" w:hAnsiTheme="majorBidi" w:cstheme="majorBidi"/>
          <w:sz w:val="24"/>
          <w:szCs w:val="22"/>
        </w:rPr>
        <w:endnoteReference w:id="191"/>
      </w:r>
      <w:r w:rsidR="0030226C" w:rsidRPr="00067D8A">
        <w:rPr>
          <w:rFonts w:asciiTheme="majorBidi" w:hAnsiTheme="majorBidi" w:cstheme="majorBidi"/>
          <w:sz w:val="24"/>
          <w:szCs w:val="22"/>
        </w:rPr>
        <w:t xml:space="preserve"> Many of the ceramic characteristics of Shahr-i Sokhta IV can be also paralleled at Bampur V–VI. Of particular importance here is a black-on-grey canister jar found in Shahr-i Sokhta IV with horizontal friezes of stylised animals and geometric motifs</w:t>
      </w:r>
      <w:r w:rsidR="004D5126">
        <w:rPr>
          <w:rFonts w:asciiTheme="majorBidi" w:hAnsiTheme="majorBidi" w:cstheme="majorBidi"/>
          <w:sz w:val="24"/>
          <w:szCs w:val="22"/>
        </w:rPr>
        <w:t>,</w:t>
      </w:r>
      <w:r w:rsidR="0030226C" w:rsidRPr="00067D8A">
        <w:rPr>
          <w:rFonts w:asciiTheme="majorBidi" w:hAnsiTheme="majorBidi" w:cstheme="majorBidi"/>
          <w:sz w:val="24"/>
          <w:szCs w:val="22"/>
        </w:rPr>
        <w:t xml:space="preserve"> which is strikingly similar to vessels found in Bampur VI and sites on the Oman Peninsula in the Persian Gulf.</w:t>
      </w:r>
      <w:r w:rsidR="004D5126">
        <w:rPr>
          <w:rStyle w:val="EndnoteReference"/>
          <w:rFonts w:asciiTheme="majorBidi" w:hAnsiTheme="majorBidi" w:cstheme="majorBidi"/>
          <w:sz w:val="24"/>
          <w:szCs w:val="22"/>
        </w:rPr>
        <w:endnoteReference w:id="192"/>
      </w:r>
    </w:p>
    <w:p w14:paraId="270EDF71" w14:textId="53F6FA23" w:rsidR="0030226C" w:rsidRPr="00067D8A" w:rsidRDefault="0030226C" w:rsidP="0030226C">
      <w:pPr>
        <w:pStyle w:val="BodyTextIndent"/>
        <w:rPr>
          <w:rFonts w:asciiTheme="majorBidi" w:hAnsiTheme="majorBidi" w:cstheme="majorBidi"/>
          <w:sz w:val="24"/>
          <w:szCs w:val="22"/>
        </w:rPr>
      </w:pPr>
      <w:r w:rsidRPr="004D5126">
        <w:rPr>
          <w:rFonts w:asciiTheme="majorBidi" w:hAnsiTheme="majorBidi" w:cstheme="majorBidi"/>
          <w:sz w:val="24"/>
          <w:szCs w:val="22"/>
        </w:rPr>
        <w:t>Shahr-i Sokhta and Bampur also provide some parallels with late Period IVB at Tepe Yahya. Although many of the ceramics found at Yahya IVB and Shahr-i Sokhta are mutually exclusive</w:t>
      </w:r>
      <w:r w:rsidR="004D5126" w:rsidRPr="004D5126">
        <w:rPr>
          <w:rFonts w:asciiTheme="majorBidi" w:hAnsiTheme="majorBidi" w:cstheme="majorBidi"/>
          <w:sz w:val="24"/>
          <w:szCs w:val="22"/>
        </w:rPr>
        <w:t>,</w:t>
      </w:r>
      <w:r w:rsidRPr="004D5126">
        <w:rPr>
          <w:rFonts w:asciiTheme="majorBidi" w:hAnsiTheme="majorBidi" w:cstheme="majorBidi"/>
          <w:sz w:val="24"/>
          <w:szCs w:val="22"/>
        </w:rPr>
        <w:t xml:space="preserve"> an important link between the two sites is provided by the black-on-grey ware</w:t>
      </w:r>
      <w:r w:rsidR="00CD5BAE">
        <w:rPr>
          <w:rFonts w:asciiTheme="majorBidi" w:hAnsiTheme="majorBidi" w:cstheme="majorBidi"/>
          <w:sz w:val="24"/>
          <w:szCs w:val="22"/>
        </w:rPr>
        <w:t xml:space="preserve"> just mentioned</w:t>
      </w:r>
      <w:r w:rsidRPr="004D5126">
        <w:rPr>
          <w:rFonts w:asciiTheme="majorBidi" w:hAnsiTheme="majorBidi" w:cstheme="majorBidi"/>
          <w:sz w:val="24"/>
          <w:szCs w:val="22"/>
        </w:rPr>
        <w:t>. These black-on-grey wares are not generally found west of Yahya</w:t>
      </w:r>
      <w:r w:rsidR="00CD5BAE">
        <w:rPr>
          <w:rFonts w:asciiTheme="majorBidi" w:hAnsiTheme="majorBidi" w:cstheme="majorBidi"/>
          <w:sz w:val="24"/>
          <w:szCs w:val="22"/>
        </w:rPr>
        <w:t>,</w:t>
      </w:r>
      <w:r w:rsidRPr="004D5126">
        <w:rPr>
          <w:rFonts w:asciiTheme="majorBidi" w:hAnsiTheme="majorBidi" w:cstheme="majorBidi"/>
          <w:sz w:val="24"/>
          <w:szCs w:val="22"/>
        </w:rPr>
        <w:t xml:space="preserve"> but have, on the other hand, a very wide distribution to the east incorporating Baluchistan and south </w:t>
      </w:r>
      <w:r w:rsidR="00CD5BAE">
        <w:rPr>
          <w:rFonts w:asciiTheme="majorBidi" w:hAnsiTheme="majorBidi" w:cstheme="majorBidi"/>
          <w:sz w:val="24"/>
          <w:szCs w:val="22"/>
        </w:rPr>
        <w:t>in</w:t>
      </w:r>
      <w:r w:rsidRPr="004D5126">
        <w:rPr>
          <w:rFonts w:asciiTheme="majorBidi" w:hAnsiTheme="majorBidi" w:cstheme="majorBidi"/>
          <w:sz w:val="24"/>
          <w:szCs w:val="22"/>
        </w:rPr>
        <w:t>to the Persian Gulf.</w:t>
      </w:r>
      <w:r w:rsidR="00CD5BAE" w:rsidRPr="00CD5BAE">
        <w:rPr>
          <w:rStyle w:val="EndnoteReference"/>
          <w:rFonts w:asciiTheme="majorBidi" w:hAnsiTheme="majorBidi" w:cstheme="majorBidi"/>
          <w:sz w:val="24"/>
          <w:szCs w:val="22"/>
        </w:rPr>
        <w:t xml:space="preserve"> </w:t>
      </w:r>
      <w:r w:rsidR="00CD5BAE">
        <w:rPr>
          <w:rStyle w:val="EndnoteReference"/>
          <w:rFonts w:asciiTheme="majorBidi" w:hAnsiTheme="majorBidi" w:cstheme="majorBidi"/>
          <w:sz w:val="24"/>
          <w:szCs w:val="22"/>
        </w:rPr>
        <w:endnoteReference w:id="193"/>
      </w:r>
      <w:r w:rsidRPr="004D5126">
        <w:rPr>
          <w:rFonts w:asciiTheme="majorBidi" w:hAnsiTheme="majorBidi" w:cstheme="majorBidi"/>
          <w:sz w:val="24"/>
          <w:szCs w:val="22"/>
        </w:rPr>
        <w:t xml:space="preserve"> This pottery provides a basic, but tenuous, correlation between Yahya IVB, Shahr-i Sokhta III–IV, and the southern Afghanistan sites. Also found in Yahya IVB is a great proliferation of incised steatite vessels in various stages of manufacture. Similar steatite vessels have been found in Mesopotamia during Early Dynastic II–Ilia times</w:t>
      </w:r>
      <w:r w:rsidR="00CD5BAE">
        <w:rPr>
          <w:rFonts w:asciiTheme="majorBidi" w:hAnsiTheme="majorBidi" w:cstheme="majorBidi"/>
          <w:sz w:val="24"/>
          <w:szCs w:val="22"/>
        </w:rPr>
        <w:t>, and although</w:t>
      </w:r>
      <w:r w:rsidRPr="004D5126">
        <w:rPr>
          <w:rFonts w:asciiTheme="majorBidi" w:hAnsiTheme="majorBidi" w:cstheme="majorBidi"/>
          <w:sz w:val="24"/>
          <w:szCs w:val="22"/>
        </w:rPr>
        <w:t xml:space="preserve"> Lamberg-Karlovsky </w:t>
      </w:r>
      <w:r w:rsidR="00CD5BAE">
        <w:rPr>
          <w:rFonts w:asciiTheme="majorBidi" w:hAnsiTheme="majorBidi" w:cstheme="majorBidi"/>
          <w:sz w:val="24"/>
          <w:szCs w:val="22"/>
        </w:rPr>
        <w:t>initially</w:t>
      </w:r>
      <w:r w:rsidRPr="004D5126">
        <w:rPr>
          <w:rFonts w:asciiTheme="majorBidi" w:hAnsiTheme="majorBidi" w:cstheme="majorBidi"/>
          <w:sz w:val="24"/>
          <w:szCs w:val="22"/>
        </w:rPr>
        <w:t xml:space="preserve"> suggested that Tepe Yahya was a centre for the production of these steatite vessels</w:t>
      </w:r>
      <w:r w:rsidR="00CD5BAE">
        <w:rPr>
          <w:rFonts w:asciiTheme="majorBidi" w:hAnsiTheme="majorBidi" w:cstheme="majorBidi"/>
          <w:sz w:val="24"/>
          <w:szCs w:val="22"/>
        </w:rPr>
        <w:t>,</w:t>
      </w:r>
      <w:r w:rsidRPr="004D5126">
        <w:rPr>
          <w:rStyle w:val="EndnoteReference"/>
          <w:rFonts w:asciiTheme="majorBidi" w:hAnsiTheme="majorBidi" w:cstheme="majorBidi"/>
          <w:sz w:val="24"/>
          <w:szCs w:val="22"/>
        </w:rPr>
        <w:endnoteReference w:id="194"/>
      </w:r>
      <w:r w:rsidRPr="004D5126">
        <w:rPr>
          <w:rFonts w:asciiTheme="majorBidi" w:hAnsiTheme="majorBidi" w:cstheme="majorBidi"/>
          <w:sz w:val="24"/>
          <w:szCs w:val="22"/>
        </w:rPr>
        <w:t xml:space="preserve"> </w:t>
      </w:r>
      <w:r w:rsidR="00CD5BAE">
        <w:rPr>
          <w:rFonts w:asciiTheme="majorBidi" w:hAnsiTheme="majorBidi" w:cstheme="majorBidi"/>
          <w:sz w:val="24"/>
          <w:szCs w:val="22"/>
        </w:rPr>
        <w:t>it is now more likely that more substantial centres for the production of these vessels lay in the Halil Rub basin at sites like Konal Sandal.</w:t>
      </w:r>
      <w:r w:rsidR="00CD5BAE">
        <w:rPr>
          <w:rStyle w:val="EndnoteReference"/>
          <w:rFonts w:asciiTheme="majorBidi" w:hAnsiTheme="majorBidi" w:cstheme="majorBidi"/>
          <w:sz w:val="24"/>
          <w:szCs w:val="22"/>
        </w:rPr>
        <w:endnoteReference w:id="195"/>
      </w:r>
      <w:r w:rsidR="00CD5BAE">
        <w:rPr>
          <w:rFonts w:asciiTheme="majorBidi" w:hAnsiTheme="majorBidi" w:cstheme="majorBidi"/>
          <w:sz w:val="24"/>
          <w:szCs w:val="22"/>
        </w:rPr>
        <w:t xml:space="preserve"> There is considerable scope for further work into understanding the various scales of interaction and exchange that were in operation during the third millennium BC, and the sites in southern Afghanistan will have a key role to play in the discussions.</w:t>
      </w:r>
    </w:p>
    <w:p w14:paraId="009EBF15" w14:textId="318ADEE6" w:rsidR="0030226C" w:rsidRPr="00067D8A" w:rsidRDefault="0030226C" w:rsidP="0030226C">
      <w:pPr>
        <w:pStyle w:val="BodyTextIndent"/>
        <w:rPr>
          <w:rFonts w:asciiTheme="majorBidi" w:hAnsiTheme="majorBidi" w:cstheme="majorBidi"/>
          <w:sz w:val="24"/>
          <w:szCs w:val="22"/>
        </w:rPr>
      </w:pPr>
      <w:r w:rsidRPr="00067D8A">
        <w:rPr>
          <w:rFonts w:asciiTheme="majorBidi" w:hAnsiTheme="majorBidi" w:cstheme="majorBidi"/>
          <w:sz w:val="24"/>
          <w:szCs w:val="22"/>
        </w:rPr>
        <w:lastRenderedPageBreak/>
        <w:t>In Turkmenistan there must have been considerable interaction/communication between the late Namazga III</w:t>
      </w:r>
      <w:r w:rsidR="00CD5BAE">
        <w:rPr>
          <w:rFonts w:asciiTheme="majorBidi" w:hAnsiTheme="majorBidi" w:cstheme="majorBidi"/>
          <w:sz w:val="24"/>
          <w:szCs w:val="22"/>
        </w:rPr>
        <w:t>/</w:t>
      </w:r>
      <w:r w:rsidRPr="00067D8A">
        <w:rPr>
          <w:rFonts w:asciiTheme="majorBidi" w:hAnsiTheme="majorBidi" w:cstheme="majorBidi"/>
          <w:sz w:val="24"/>
          <w:szCs w:val="22"/>
        </w:rPr>
        <w:t>Geoksyur Period, cultural developments and those represented by Mundigak IV</w:t>
      </w:r>
      <w:r w:rsidR="00CD5BAE">
        <w:rPr>
          <w:rFonts w:asciiTheme="majorBidi" w:hAnsiTheme="majorBidi" w:cstheme="majorBidi"/>
          <w:sz w:val="24"/>
          <w:szCs w:val="22"/>
        </w:rPr>
        <w:t>, and the scope of this interaction stretched as far north as Sarazm</w:t>
      </w:r>
      <w:r w:rsidRPr="00067D8A">
        <w:rPr>
          <w:rFonts w:asciiTheme="majorBidi" w:hAnsiTheme="majorBidi" w:cstheme="majorBidi"/>
          <w:sz w:val="24"/>
          <w:szCs w:val="22"/>
        </w:rPr>
        <w:t xml:space="preserve">. </w:t>
      </w:r>
      <w:r w:rsidR="00CD5BAE">
        <w:rPr>
          <w:rFonts w:asciiTheme="majorBidi" w:hAnsiTheme="majorBidi" w:cstheme="majorBidi"/>
          <w:sz w:val="24"/>
          <w:szCs w:val="22"/>
        </w:rPr>
        <w:t>A</w:t>
      </w:r>
      <w:r w:rsidRPr="00067D8A">
        <w:rPr>
          <w:rFonts w:asciiTheme="majorBidi" w:hAnsiTheme="majorBidi" w:cstheme="majorBidi"/>
          <w:sz w:val="24"/>
          <w:szCs w:val="22"/>
        </w:rPr>
        <w:t>t the end of Namazga III, the sites of the Tedzen Delta in eastern Turkmenistan were abandoned and, with this, the close cultural similarity between these areas ceases. Somewhat comparable material can be identified in Nam</w:t>
      </w:r>
      <w:r w:rsidR="009850EA">
        <w:rPr>
          <w:rFonts w:asciiTheme="majorBidi" w:hAnsiTheme="majorBidi" w:cstheme="majorBidi"/>
          <w:sz w:val="24"/>
          <w:szCs w:val="22"/>
        </w:rPr>
        <w:t>a</w:t>
      </w:r>
      <w:r w:rsidRPr="00067D8A">
        <w:rPr>
          <w:rFonts w:asciiTheme="majorBidi" w:hAnsiTheme="majorBidi" w:cstheme="majorBidi"/>
          <w:sz w:val="24"/>
          <w:szCs w:val="22"/>
        </w:rPr>
        <w:t>zga IV sites in central Turkmenistan.</w:t>
      </w:r>
      <w:r w:rsidRPr="00067D8A">
        <w:rPr>
          <w:rStyle w:val="EndnoteReference"/>
          <w:rFonts w:asciiTheme="majorBidi" w:hAnsiTheme="majorBidi" w:cstheme="majorBidi"/>
          <w:sz w:val="24"/>
          <w:szCs w:val="22"/>
        </w:rPr>
        <w:endnoteReference w:id="196"/>
      </w:r>
      <w:r w:rsidRPr="00067D8A">
        <w:rPr>
          <w:rFonts w:asciiTheme="majorBidi" w:hAnsiTheme="majorBidi" w:cstheme="majorBidi"/>
          <w:sz w:val="24"/>
          <w:szCs w:val="22"/>
        </w:rPr>
        <w:t xml:space="preserve"> Both large and small sites have been found during this period</w:t>
      </w:r>
      <w:r w:rsidR="009850EA">
        <w:rPr>
          <w:rFonts w:asciiTheme="majorBidi" w:hAnsiTheme="majorBidi" w:cstheme="majorBidi"/>
          <w:sz w:val="24"/>
          <w:szCs w:val="22"/>
        </w:rPr>
        <w:t>,</w:t>
      </w:r>
      <w:r w:rsidRPr="00067D8A">
        <w:rPr>
          <w:rFonts w:asciiTheme="majorBidi" w:hAnsiTheme="majorBidi" w:cstheme="majorBidi"/>
          <w:sz w:val="24"/>
          <w:szCs w:val="22"/>
        </w:rPr>
        <w:t xml:space="preserve"> several of which are resting directly on virgin soil,</w:t>
      </w:r>
      <w:r w:rsidR="009850EA">
        <w:rPr>
          <w:rFonts w:asciiTheme="majorBidi" w:hAnsiTheme="majorBidi" w:cstheme="majorBidi"/>
          <w:sz w:val="24"/>
          <w:szCs w:val="22"/>
        </w:rPr>
        <w:t xml:space="preserve"> which is</w:t>
      </w:r>
      <w:r w:rsidRPr="00067D8A">
        <w:rPr>
          <w:rFonts w:asciiTheme="majorBidi" w:hAnsiTheme="majorBidi" w:cstheme="majorBidi"/>
          <w:sz w:val="24"/>
          <w:szCs w:val="22"/>
        </w:rPr>
        <w:t xml:space="preserve"> a factor </w:t>
      </w:r>
      <w:r w:rsidR="009850EA">
        <w:rPr>
          <w:rFonts w:asciiTheme="majorBidi" w:hAnsiTheme="majorBidi" w:cstheme="majorBidi"/>
          <w:sz w:val="24"/>
          <w:szCs w:val="22"/>
        </w:rPr>
        <w:t>that</w:t>
      </w:r>
      <w:r w:rsidRPr="00067D8A">
        <w:rPr>
          <w:rFonts w:asciiTheme="majorBidi" w:hAnsiTheme="majorBidi" w:cstheme="majorBidi"/>
          <w:sz w:val="24"/>
          <w:szCs w:val="22"/>
        </w:rPr>
        <w:t xml:space="preserve"> has caused speculation that they were settled by people from the Tedzen area. Ceramically this period is marked by a black-on-red slipped pottery decorated with geometric motifs. Motifs and some vessel forms are similar to those found at Mundigak IV</w:t>
      </w:r>
      <w:r w:rsidRPr="00067D8A">
        <w:rPr>
          <w:rFonts w:asciiTheme="majorBidi" w:hAnsiTheme="majorBidi" w:cstheme="majorBidi"/>
          <w:sz w:val="24"/>
          <w:szCs w:val="22"/>
          <w:vertAlign w:val="subscript"/>
        </w:rPr>
        <w:t>2–3</w:t>
      </w:r>
      <w:r w:rsidRPr="00067D8A">
        <w:rPr>
          <w:rFonts w:asciiTheme="majorBidi" w:hAnsiTheme="majorBidi" w:cstheme="majorBidi"/>
          <w:sz w:val="24"/>
          <w:szCs w:val="22"/>
        </w:rPr>
        <w:t>, but the degree of similarity is not nearly as pronounced as in Namazga III. A light coloured slip is also found at some sites suggesting continuity with the previous ceramics. A partially burnished grey pottery with incised decorations and sharply carinated vessel forms also occurs in small quantities, particularly in the western sites. However, no painted grey wares have been found.</w:t>
      </w:r>
    </w:p>
    <w:p w14:paraId="6515319D" w14:textId="31CA2EDF" w:rsidR="0030226C" w:rsidRPr="00067D8A" w:rsidRDefault="0030226C" w:rsidP="00442574">
      <w:pPr>
        <w:pStyle w:val="BodyTextIndent"/>
        <w:rPr>
          <w:rFonts w:asciiTheme="majorBidi" w:hAnsiTheme="majorBidi" w:cstheme="majorBidi"/>
          <w:sz w:val="24"/>
          <w:szCs w:val="22"/>
        </w:rPr>
      </w:pPr>
      <w:r w:rsidRPr="00067D8A">
        <w:rPr>
          <w:rFonts w:asciiTheme="majorBidi" w:hAnsiTheme="majorBidi" w:cstheme="majorBidi"/>
          <w:sz w:val="24"/>
          <w:szCs w:val="22"/>
        </w:rPr>
        <w:t>Although the close similarity in material culture which had marked Namazga III and Mundigak III–IV</w:t>
      </w:r>
      <w:r w:rsidRPr="00067D8A">
        <w:rPr>
          <w:rFonts w:asciiTheme="majorBidi" w:hAnsiTheme="majorBidi" w:cstheme="majorBidi"/>
          <w:sz w:val="24"/>
          <w:szCs w:val="22"/>
          <w:vertAlign w:val="subscript"/>
        </w:rPr>
        <w:t>1</w:t>
      </w:r>
      <w:r w:rsidRPr="00067D8A">
        <w:rPr>
          <w:rFonts w:asciiTheme="majorBidi" w:hAnsiTheme="majorBidi" w:cstheme="majorBidi"/>
          <w:sz w:val="24"/>
          <w:szCs w:val="22"/>
        </w:rPr>
        <w:t xml:space="preserve"> disappears in th</w:t>
      </w:r>
      <w:r w:rsidR="009850EA">
        <w:rPr>
          <w:rFonts w:asciiTheme="majorBidi" w:hAnsiTheme="majorBidi" w:cstheme="majorBidi"/>
          <w:sz w:val="24"/>
          <w:szCs w:val="22"/>
        </w:rPr>
        <w:t>e Namazga IV</w:t>
      </w:r>
      <w:r w:rsidRPr="00067D8A">
        <w:rPr>
          <w:rFonts w:asciiTheme="majorBidi" w:hAnsiTheme="majorBidi" w:cstheme="majorBidi"/>
          <w:sz w:val="24"/>
          <w:szCs w:val="22"/>
        </w:rPr>
        <w:t xml:space="preserve"> period, there are indications that at least limited interactions were maintained. The black-on-red slipped pottery bears some resemblance to that of Mundigak IV</w:t>
      </w:r>
      <w:r w:rsidRPr="00067D8A">
        <w:rPr>
          <w:rFonts w:asciiTheme="majorBidi" w:hAnsiTheme="majorBidi" w:cstheme="majorBidi"/>
          <w:sz w:val="24"/>
          <w:szCs w:val="22"/>
          <w:vertAlign w:val="subscript"/>
        </w:rPr>
        <w:t>2–3</w:t>
      </w:r>
      <w:r w:rsidRPr="00067D8A">
        <w:rPr>
          <w:rFonts w:asciiTheme="majorBidi" w:hAnsiTheme="majorBidi" w:cstheme="majorBidi"/>
          <w:sz w:val="24"/>
          <w:szCs w:val="22"/>
        </w:rPr>
        <w:t>, as do the figurines and compartmented seals. However, it is difficult to evaluate this similarity given the chronological problems and lack of data from northern Afghanistan</w:t>
      </w:r>
      <w:r w:rsidR="009850EA">
        <w:rPr>
          <w:rFonts w:asciiTheme="majorBidi" w:hAnsiTheme="majorBidi" w:cstheme="majorBidi"/>
          <w:sz w:val="24"/>
          <w:szCs w:val="22"/>
        </w:rPr>
        <w:t xml:space="preserve"> (see Chapter 3)</w:t>
      </w:r>
      <w:r w:rsidRPr="00067D8A">
        <w:rPr>
          <w:rFonts w:asciiTheme="majorBidi" w:hAnsiTheme="majorBidi" w:cstheme="majorBidi"/>
          <w:sz w:val="24"/>
          <w:szCs w:val="22"/>
        </w:rPr>
        <w:t>.</w:t>
      </w:r>
    </w:p>
    <w:p w14:paraId="791D3B96" w14:textId="77777777" w:rsidR="00D85BE5" w:rsidRPr="00CD3510" w:rsidRDefault="00D85BE5" w:rsidP="00D85BE5">
      <w:pPr>
        <w:pStyle w:val="Heading3"/>
        <w:rPr>
          <w:rFonts w:asciiTheme="majorBidi" w:hAnsiTheme="majorBidi"/>
          <w:color w:val="auto"/>
          <w:lang w:val="en-GB"/>
        </w:rPr>
      </w:pPr>
      <w:r w:rsidRPr="00D34785">
        <w:rPr>
          <w:rFonts w:asciiTheme="majorBidi" w:hAnsiTheme="majorBidi"/>
          <w:color w:val="auto"/>
          <w:lang w:val="en-GB"/>
        </w:rPr>
        <w:t>Mundigak: Period V</w:t>
      </w:r>
    </w:p>
    <w:p w14:paraId="68C9701A" w14:textId="02F381D6" w:rsidR="0030226C" w:rsidRPr="0058439F" w:rsidRDefault="00985B8E" w:rsidP="0058439F">
      <w:pPr>
        <w:pStyle w:val="BodyText"/>
        <w:spacing w:line="480" w:lineRule="auto"/>
        <w:rPr>
          <w:rFonts w:asciiTheme="majorBidi" w:hAnsiTheme="majorBidi"/>
          <w:szCs w:val="22"/>
          <w:lang w:val="en-GB"/>
        </w:rPr>
      </w:pPr>
      <w:r>
        <w:rPr>
          <w:rFonts w:asciiTheme="majorBidi" w:hAnsiTheme="majorBidi"/>
          <w:szCs w:val="22"/>
          <w:lang w:val="en-GB"/>
        </w:rPr>
        <w:t>The period of transition between the Bronze and Iron ages in the greater region is particularly significant, but understanding is limited. The plains of Central Asia to the north of the Hindu Kush following the decline of the Oxus Civlisation are marked by a proliferation of regionally distinct painted pottery traditions, such as those seen at Yaz Depe and Tilya-tepe.</w:t>
      </w:r>
      <w:r>
        <w:rPr>
          <w:rStyle w:val="EndnoteReference"/>
          <w:rFonts w:asciiTheme="majorBidi" w:hAnsiTheme="majorBidi"/>
          <w:szCs w:val="22"/>
          <w:lang w:val="en-GB"/>
        </w:rPr>
        <w:endnoteReference w:id="197"/>
      </w:r>
      <w:r>
        <w:rPr>
          <w:rFonts w:asciiTheme="majorBidi" w:hAnsiTheme="majorBidi"/>
          <w:szCs w:val="22"/>
          <w:lang w:val="en-GB"/>
        </w:rPr>
        <w:t xml:space="preserve"> </w:t>
      </w:r>
      <w:r w:rsidR="00D85BE5" w:rsidRPr="00067D8A">
        <w:rPr>
          <w:rFonts w:asciiTheme="majorBidi" w:hAnsiTheme="majorBidi"/>
          <w:szCs w:val="22"/>
          <w:lang w:val="en-GB"/>
        </w:rPr>
        <w:t>The</w:t>
      </w:r>
      <w:r>
        <w:rPr>
          <w:rFonts w:asciiTheme="majorBidi" w:hAnsiTheme="majorBidi"/>
          <w:szCs w:val="22"/>
          <w:lang w:val="en-GB"/>
        </w:rPr>
        <w:t xml:space="preserve"> relationship </w:t>
      </w:r>
      <w:r>
        <w:rPr>
          <w:rFonts w:asciiTheme="majorBidi" w:hAnsiTheme="majorBidi"/>
          <w:szCs w:val="22"/>
          <w:lang w:val="en-GB"/>
        </w:rPr>
        <w:lastRenderedPageBreak/>
        <w:t>between these developments and those happening to the south of the Hindu Kush are not entirely clear, and it is notable that the</w:t>
      </w:r>
      <w:r w:rsidR="00D85BE5" w:rsidRPr="00067D8A">
        <w:rPr>
          <w:rFonts w:asciiTheme="majorBidi" w:hAnsiTheme="majorBidi"/>
          <w:szCs w:val="22"/>
          <w:lang w:val="en-GB"/>
        </w:rPr>
        <w:t xml:space="preserve">re is nothing </w:t>
      </w:r>
      <w:r w:rsidR="009850EA">
        <w:rPr>
          <w:rFonts w:asciiTheme="majorBidi" w:hAnsiTheme="majorBidi"/>
          <w:szCs w:val="22"/>
          <w:lang w:val="en-GB"/>
        </w:rPr>
        <w:t>directly</w:t>
      </w:r>
      <w:r w:rsidR="00D85BE5" w:rsidRPr="00067D8A">
        <w:rPr>
          <w:rFonts w:asciiTheme="majorBidi" w:hAnsiTheme="majorBidi"/>
          <w:szCs w:val="22"/>
          <w:lang w:val="en-GB"/>
        </w:rPr>
        <w:t xml:space="preserve"> comparable to Mundigak V anywhere in Afghanistan or the immediately surrounding areas</w:t>
      </w:r>
      <w:r>
        <w:rPr>
          <w:rFonts w:asciiTheme="majorBidi" w:hAnsiTheme="majorBidi"/>
          <w:szCs w:val="22"/>
          <w:lang w:val="en-GB"/>
        </w:rPr>
        <w:t>. This dynamic</w:t>
      </w:r>
      <w:r w:rsidR="009850EA">
        <w:rPr>
          <w:rFonts w:asciiTheme="majorBidi" w:hAnsiTheme="majorBidi"/>
          <w:szCs w:val="22"/>
          <w:lang w:val="en-GB"/>
        </w:rPr>
        <w:t xml:space="preserve"> is complicated by the fact that b</w:t>
      </w:r>
      <w:r w:rsidR="00D85BE5" w:rsidRPr="00067D8A">
        <w:rPr>
          <w:rFonts w:asciiTheme="majorBidi" w:hAnsiTheme="majorBidi"/>
          <w:szCs w:val="22"/>
          <w:lang w:val="en-GB"/>
        </w:rPr>
        <w:t>esides Mundigak no other prehistoric site in southern Afghanistan which has been excavated appears to have been occupied after Period IV. Casal refer</w:t>
      </w:r>
      <w:r w:rsidR="009850EA">
        <w:rPr>
          <w:rFonts w:asciiTheme="majorBidi" w:hAnsiTheme="majorBidi"/>
          <w:szCs w:val="22"/>
          <w:lang w:val="en-GB"/>
        </w:rPr>
        <w:t>ed</w:t>
      </w:r>
      <w:r w:rsidR="00D85BE5" w:rsidRPr="00067D8A">
        <w:rPr>
          <w:rFonts w:asciiTheme="majorBidi" w:hAnsiTheme="majorBidi"/>
          <w:szCs w:val="22"/>
          <w:lang w:val="en-GB"/>
        </w:rPr>
        <w:t xml:space="preserve"> to some parallels with the Chust culture of the Fergana valley of Uzbekistan</w:t>
      </w:r>
      <w:r w:rsidR="009850EA">
        <w:rPr>
          <w:rFonts w:asciiTheme="majorBidi" w:hAnsiTheme="majorBidi"/>
          <w:szCs w:val="22"/>
          <w:lang w:val="en-GB"/>
        </w:rPr>
        <w:t xml:space="preserve">, which are now dated to the Yaz I period, from </w:t>
      </w:r>
      <w:r w:rsidR="009850EA" w:rsidRPr="000526DA">
        <w:rPr>
          <w:rFonts w:asciiTheme="majorBidi" w:hAnsiTheme="majorBidi"/>
          <w:i/>
          <w:szCs w:val="22"/>
          <w:lang w:val="en-GB"/>
        </w:rPr>
        <w:t>c</w:t>
      </w:r>
      <w:r w:rsidR="009850EA">
        <w:rPr>
          <w:rFonts w:asciiTheme="majorBidi" w:hAnsiTheme="majorBidi"/>
          <w:szCs w:val="22"/>
          <w:lang w:val="en-GB"/>
        </w:rPr>
        <w:t>.1400 BC</w:t>
      </w:r>
      <w:r w:rsidR="005B0A0D">
        <w:rPr>
          <w:rFonts w:asciiTheme="majorBidi" w:hAnsiTheme="majorBidi"/>
          <w:szCs w:val="22"/>
          <w:lang w:val="en-GB"/>
        </w:rPr>
        <w:t>,</w:t>
      </w:r>
      <w:r w:rsidR="00D85BE5" w:rsidRPr="00067D8A">
        <w:rPr>
          <w:rStyle w:val="EndnoteReference"/>
          <w:rFonts w:asciiTheme="majorBidi" w:hAnsiTheme="majorBidi"/>
          <w:szCs w:val="22"/>
          <w:lang w:val="en-GB"/>
        </w:rPr>
        <w:endnoteReference w:id="198"/>
      </w:r>
      <w:r w:rsidR="00D85BE5" w:rsidRPr="00067D8A">
        <w:rPr>
          <w:rFonts w:asciiTheme="majorBidi" w:hAnsiTheme="majorBidi"/>
          <w:szCs w:val="22"/>
          <w:lang w:val="en-GB"/>
        </w:rPr>
        <w:t xml:space="preserve"> </w:t>
      </w:r>
      <w:r w:rsidR="005B0A0D">
        <w:rPr>
          <w:rFonts w:asciiTheme="majorBidi" w:hAnsiTheme="majorBidi"/>
          <w:szCs w:val="22"/>
          <w:lang w:val="en-GB"/>
        </w:rPr>
        <w:t xml:space="preserve">which is notable as </w:t>
      </w:r>
      <w:r w:rsidR="00D85BE5" w:rsidRPr="00067D8A">
        <w:rPr>
          <w:rFonts w:asciiTheme="majorBidi" w:hAnsiTheme="majorBidi"/>
          <w:szCs w:val="22"/>
          <w:lang w:val="en-GB"/>
        </w:rPr>
        <w:t xml:space="preserve">the pottery of Mundigak V appears to have more relationships with that of Mundigak VI, </w:t>
      </w:r>
      <w:r w:rsidR="005B0A0D">
        <w:rPr>
          <w:rFonts w:asciiTheme="majorBidi" w:hAnsiTheme="majorBidi"/>
          <w:szCs w:val="22"/>
          <w:lang w:val="en-GB"/>
        </w:rPr>
        <w:t xml:space="preserve">which is </w:t>
      </w:r>
      <w:r w:rsidR="00D85BE5" w:rsidRPr="00067D8A">
        <w:rPr>
          <w:rFonts w:asciiTheme="majorBidi" w:hAnsiTheme="majorBidi"/>
          <w:szCs w:val="22"/>
          <w:lang w:val="en-GB"/>
        </w:rPr>
        <w:t xml:space="preserve">associated with </w:t>
      </w:r>
      <w:r w:rsidR="005B0A0D">
        <w:rPr>
          <w:rFonts w:asciiTheme="majorBidi" w:hAnsiTheme="majorBidi"/>
          <w:szCs w:val="22"/>
          <w:lang w:val="en-GB"/>
        </w:rPr>
        <w:t>the use of</w:t>
      </w:r>
      <w:r w:rsidR="00D85BE5" w:rsidRPr="00067D8A">
        <w:rPr>
          <w:rFonts w:asciiTheme="majorBidi" w:hAnsiTheme="majorBidi"/>
          <w:szCs w:val="22"/>
          <w:lang w:val="en-GB"/>
        </w:rPr>
        <w:t xml:space="preserve"> iron technology, than </w:t>
      </w:r>
      <w:r w:rsidR="005B0A0D">
        <w:rPr>
          <w:rFonts w:asciiTheme="majorBidi" w:hAnsiTheme="majorBidi"/>
          <w:szCs w:val="22"/>
          <w:lang w:val="en-GB"/>
        </w:rPr>
        <w:t xml:space="preserve">it does </w:t>
      </w:r>
      <w:r w:rsidR="00D85BE5" w:rsidRPr="00067D8A">
        <w:rPr>
          <w:rFonts w:asciiTheme="majorBidi" w:hAnsiTheme="majorBidi"/>
          <w:szCs w:val="22"/>
          <w:lang w:val="en-GB"/>
        </w:rPr>
        <w:t xml:space="preserve">with Mundigak IV. </w:t>
      </w:r>
      <w:r w:rsidR="008B0DC2">
        <w:rPr>
          <w:rFonts w:asciiTheme="majorBidi" w:hAnsiTheme="majorBidi"/>
          <w:szCs w:val="22"/>
          <w:lang w:val="en-GB"/>
        </w:rPr>
        <w:t xml:space="preserve">Johanna Lhuillier has noted, however, that the differences are greater than the similarities, suggesting that the Mundigak IV material is likely to have been a regional manifestation of a broader phenomenon. </w:t>
      </w:r>
      <w:r w:rsidR="0058439F">
        <w:rPr>
          <w:rFonts w:asciiTheme="majorBidi" w:hAnsiTheme="majorBidi"/>
          <w:szCs w:val="22"/>
          <w:lang w:val="en-GB"/>
        </w:rPr>
        <w:t>There is only limited evidence for similar painted wares in the regions surrounding southern Afghanistan. For instance, e</w:t>
      </w:r>
      <w:r w:rsidR="005B0A0D">
        <w:rPr>
          <w:rFonts w:asciiTheme="majorBidi" w:hAnsiTheme="majorBidi"/>
          <w:szCs w:val="22"/>
          <w:lang w:val="en-GB"/>
        </w:rPr>
        <w:t>xcavations at Pirak between 1968 and 1974, again lead by Casal, revealed evidence for this period of transition on the Kacchi plain in Baluchistan, and produced evidence for the proliferation of hand-made ceramic vessels decorated with</w:t>
      </w:r>
      <w:r w:rsidR="008B0DC2" w:rsidRPr="008B0DC2">
        <w:rPr>
          <w:rFonts w:asciiTheme="majorBidi" w:hAnsiTheme="majorBidi"/>
          <w:szCs w:val="22"/>
          <w:lang w:val="en-GB"/>
        </w:rPr>
        <w:t xml:space="preserve"> </w:t>
      </w:r>
      <w:r w:rsidR="008B0DC2">
        <w:rPr>
          <w:rFonts w:asciiTheme="majorBidi" w:hAnsiTheme="majorBidi"/>
          <w:szCs w:val="22"/>
          <w:lang w:val="en-GB"/>
        </w:rPr>
        <w:t xml:space="preserve">monochrome and </w:t>
      </w:r>
      <w:r w:rsidR="005B0A0D">
        <w:rPr>
          <w:rFonts w:asciiTheme="majorBidi" w:hAnsiTheme="majorBidi"/>
          <w:szCs w:val="22"/>
          <w:lang w:val="en-GB"/>
        </w:rPr>
        <w:t>bichrome geometric motifs.</w:t>
      </w:r>
      <w:r w:rsidR="005B0A0D">
        <w:rPr>
          <w:rStyle w:val="EndnoteReference"/>
          <w:rFonts w:asciiTheme="majorBidi" w:hAnsiTheme="majorBidi"/>
          <w:szCs w:val="22"/>
          <w:lang w:val="en-GB"/>
        </w:rPr>
        <w:endnoteReference w:id="199"/>
      </w:r>
      <w:r w:rsidR="008B0DC2">
        <w:rPr>
          <w:rFonts w:asciiTheme="majorBidi" w:hAnsiTheme="majorBidi"/>
          <w:szCs w:val="22"/>
          <w:lang w:val="en-GB"/>
        </w:rPr>
        <w:t xml:space="preserve"> </w:t>
      </w:r>
      <w:r w:rsidR="0058439F">
        <w:rPr>
          <w:rFonts w:asciiTheme="majorBidi" w:hAnsiTheme="majorBidi"/>
          <w:szCs w:val="22"/>
          <w:lang w:val="en-GB"/>
        </w:rPr>
        <w:t>This material is best paralleled with Tillya-tepe and other sites in Margiana and the Kopet Dagh piedmont.</w:t>
      </w:r>
      <w:r w:rsidR="0058439F">
        <w:rPr>
          <w:rStyle w:val="EndnoteReference"/>
          <w:rFonts w:asciiTheme="majorBidi" w:hAnsiTheme="majorBidi"/>
          <w:szCs w:val="22"/>
          <w:lang w:val="en-GB"/>
        </w:rPr>
        <w:endnoteReference w:id="200"/>
      </w:r>
      <w:r w:rsidR="0058439F">
        <w:rPr>
          <w:rFonts w:asciiTheme="majorBidi" w:hAnsiTheme="majorBidi"/>
          <w:szCs w:val="22"/>
          <w:lang w:val="en-GB"/>
        </w:rPr>
        <w:t xml:space="preserve"> There are also clear similarities between the Yaz I ceramics and vessels recovered from the sites of Akra and Ter Kala Dheri, in Khyber Pakhunkwa, Pakistan.</w:t>
      </w:r>
      <w:r w:rsidR="0058439F">
        <w:rPr>
          <w:rStyle w:val="EndnoteReference"/>
          <w:rFonts w:asciiTheme="majorBidi" w:hAnsiTheme="majorBidi"/>
          <w:szCs w:val="22"/>
          <w:lang w:val="en-GB"/>
        </w:rPr>
        <w:endnoteReference w:id="201"/>
      </w:r>
      <w:r w:rsidR="0058439F">
        <w:rPr>
          <w:rFonts w:asciiTheme="majorBidi" w:hAnsiTheme="majorBidi"/>
          <w:szCs w:val="22"/>
          <w:lang w:val="en-GB"/>
        </w:rPr>
        <w:t xml:space="preserve"> The significance </w:t>
      </w:r>
      <w:r w:rsidR="003B2B83">
        <w:rPr>
          <w:rFonts w:asciiTheme="majorBidi" w:hAnsiTheme="majorBidi"/>
          <w:szCs w:val="22"/>
          <w:lang w:val="en-GB"/>
        </w:rPr>
        <w:t>that</w:t>
      </w:r>
      <w:r w:rsidR="0058439F">
        <w:rPr>
          <w:rFonts w:asciiTheme="majorBidi" w:hAnsiTheme="majorBidi"/>
          <w:szCs w:val="22"/>
          <w:lang w:val="en-GB"/>
        </w:rPr>
        <w:t xml:space="preserve"> these linkages between populations living in various regions on the southern </w:t>
      </w:r>
      <w:r w:rsidR="003B2B83">
        <w:rPr>
          <w:rFonts w:asciiTheme="majorBidi" w:hAnsiTheme="majorBidi"/>
          <w:szCs w:val="22"/>
          <w:lang w:val="en-GB"/>
        </w:rPr>
        <w:t xml:space="preserve">and northern </w:t>
      </w:r>
      <w:r w:rsidR="0058439F">
        <w:rPr>
          <w:rFonts w:asciiTheme="majorBidi" w:hAnsiTheme="majorBidi"/>
          <w:szCs w:val="22"/>
          <w:lang w:val="en-GB"/>
        </w:rPr>
        <w:t xml:space="preserve">side of the Hindu Kush </w:t>
      </w:r>
      <w:r w:rsidR="009359BB">
        <w:rPr>
          <w:rFonts w:asciiTheme="majorBidi" w:hAnsiTheme="majorBidi"/>
          <w:szCs w:val="22"/>
          <w:lang w:val="en-GB"/>
        </w:rPr>
        <w:t>have</w:t>
      </w:r>
      <w:r w:rsidR="0058439F">
        <w:rPr>
          <w:rFonts w:asciiTheme="majorBidi" w:hAnsiTheme="majorBidi"/>
          <w:szCs w:val="22"/>
          <w:lang w:val="en-GB"/>
        </w:rPr>
        <w:t xml:space="preserve"> for discussions of connections, interaction and possibly even migration will need to be topics for future research.</w:t>
      </w:r>
    </w:p>
    <w:p w14:paraId="7CC179C5" w14:textId="4FA28857" w:rsidR="0030226C" w:rsidRPr="00CD3510" w:rsidRDefault="0030226C" w:rsidP="0030226C">
      <w:pPr>
        <w:pStyle w:val="BodyTextIndent"/>
        <w:rPr>
          <w:rFonts w:asciiTheme="majorBidi" w:hAnsiTheme="majorBidi" w:cstheme="majorBidi"/>
          <w:strike/>
          <w:sz w:val="24"/>
          <w:szCs w:val="22"/>
        </w:rPr>
      </w:pPr>
    </w:p>
    <w:p w14:paraId="78E9DE27" w14:textId="77777777" w:rsidR="00840C95" w:rsidRPr="00140A22" w:rsidRDefault="00840C95" w:rsidP="00840C95">
      <w:pPr>
        <w:pStyle w:val="Heading1"/>
        <w:rPr>
          <w:rFonts w:asciiTheme="majorBidi" w:hAnsiTheme="majorBidi" w:cstheme="majorBidi"/>
          <w:sz w:val="24"/>
          <w:szCs w:val="24"/>
        </w:rPr>
      </w:pPr>
      <w:r w:rsidRPr="00A07B78">
        <w:rPr>
          <w:rFonts w:asciiTheme="majorBidi" w:hAnsiTheme="majorBidi" w:cstheme="majorBidi"/>
          <w:sz w:val="24"/>
          <w:szCs w:val="24"/>
          <w:highlight w:val="yellow"/>
        </w:rPr>
        <w:t>Some references to add if they are not already inserted and used :</w:t>
      </w:r>
    </w:p>
    <w:p w14:paraId="3EFC7275" w14:textId="77777777" w:rsidR="00840C95" w:rsidRPr="003F0139" w:rsidRDefault="00840C95" w:rsidP="00840C95">
      <w:pPr>
        <w:autoSpaceDE w:val="0"/>
        <w:autoSpaceDN w:val="0"/>
        <w:adjustRightInd w:val="0"/>
        <w:rPr>
          <w:bCs/>
          <w:color w:val="FF0000"/>
          <w:highlight w:val="yellow"/>
          <w:lang w:val="fr-FR" w:eastAsia="en-US"/>
        </w:rPr>
      </w:pPr>
      <w:r w:rsidRPr="00A07B78">
        <w:rPr>
          <w:bCs/>
          <w:color w:val="FF0000"/>
          <w:highlight w:val="yellow"/>
          <w:lang w:val="fr-FR" w:eastAsia="en-US"/>
        </w:rPr>
        <w:t xml:space="preserve">Bartélémy De Saizieu, B., et Bouquillon, A., 1993, "Les parures en pierre de Mundigak, Afghanistan, collection conservée au musée Guimet", </w:t>
      </w:r>
      <w:r w:rsidRPr="00A07B78">
        <w:rPr>
          <w:bCs/>
          <w:i/>
          <w:iCs/>
          <w:color w:val="FF0000"/>
          <w:highlight w:val="yellow"/>
          <w:lang w:val="fr-FR" w:eastAsia="en-US"/>
        </w:rPr>
        <w:t>Paléorient,</w:t>
      </w:r>
      <w:r w:rsidRPr="00A07B78">
        <w:rPr>
          <w:bCs/>
          <w:color w:val="FF0000"/>
          <w:highlight w:val="yellow"/>
          <w:lang w:val="fr-FR" w:eastAsia="en-US"/>
        </w:rPr>
        <w:t xml:space="preserve"> 19 (2), p. 65-94.</w:t>
      </w:r>
    </w:p>
    <w:p w14:paraId="75BFC8BE" w14:textId="77777777" w:rsidR="00840C95" w:rsidRPr="003F0139" w:rsidRDefault="00840C95" w:rsidP="00840C95">
      <w:pPr>
        <w:autoSpaceDE w:val="0"/>
        <w:autoSpaceDN w:val="0"/>
        <w:adjustRightInd w:val="0"/>
        <w:rPr>
          <w:bCs/>
          <w:color w:val="FF0000"/>
          <w:highlight w:val="yellow"/>
          <w:lang w:val="fr-FR" w:eastAsia="en-US"/>
        </w:rPr>
      </w:pPr>
    </w:p>
    <w:p w14:paraId="598523D9" w14:textId="77777777" w:rsidR="00840C95" w:rsidRPr="003F0139" w:rsidRDefault="00840C95" w:rsidP="00840C95">
      <w:pPr>
        <w:autoSpaceDE w:val="0"/>
        <w:autoSpaceDN w:val="0"/>
        <w:adjustRightInd w:val="0"/>
        <w:rPr>
          <w:bCs/>
          <w:color w:val="FF0000"/>
          <w:highlight w:val="yellow"/>
          <w:lang w:val="fr-FR" w:eastAsia="en-US"/>
        </w:rPr>
      </w:pPr>
      <w:r w:rsidRPr="00A07B78">
        <w:rPr>
          <w:bCs/>
          <w:color w:val="FF0000"/>
          <w:highlight w:val="yellow"/>
          <w:lang w:val="fr-FR" w:eastAsia="en-US"/>
        </w:rPr>
        <w:t xml:space="preserve">---, 1995, “Les matériaux utilisés pour les parures à Mundigak (Afghanistan) de 4000 à 2500 av. J.-C.”, in: </w:t>
      </w:r>
      <w:r w:rsidRPr="00A07B78">
        <w:rPr>
          <w:bCs/>
          <w:i/>
          <w:iCs/>
          <w:color w:val="FF0000"/>
          <w:highlight w:val="yellow"/>
          <w:lang w:val="fr-FR" w:eastAsia="en-US"/>
        </w:rPr>
        <w:t>Les pierres précieuses de l'Orient ancien des Sumériens aux Sassanides</w:t>
      </w:r>
      <w:r w:rsidRPr="00A07B78">
        <w:rPr>
          <w:bCs/>
          <w:color w:val="FF0000"/>
          <w:highlight w:val="yellow"/>
          <w:lang w:val="fr-FR" w:eastAsia="en-US"/>
        </w:rPr>
        <w:t>, (Les dossiers du musée du Louvre, F. Tallon (Dir.), Paris, RMN, p. 47-50.</w:t>
      </w:r>
    </w:p>
    <w:p w14:paraId="63BD1B5D" w14:textId="77777777" w:rsidR="00840C95" w:rsidRPr="003F0139" w:rsidRDefault="00840C95" w:rsidP="00840C95">
      <w:pPr>
        <w:autoSpaceDE w:val="0"/>
        <w:autoSpaceDN w:val="0"/>
        <w:adjustRightInd w:val="0"/>
        <w:rPr>
          <w:bCs/>
          <w:color w:val="FF0000"/>
          <w:highlight w:val="yellow"/>
          <w:lang w:val="fr-FR" w:eastAsia="en-US"/>
        </w:rPr>
      </w:pPr>
    </w:p>
    <w:p w14:paraId="68CFAF53" w14:textId="77777777" w:rsidR="00840C95" w:rsidRDefault="00840C95" w:rsidP="00840C95">
      <w:pPr>
        <w:autoSpaceDE w:val="0"/>
        <w:autoSpaceDN w:val="0"/>
        <w:adjustRightInd w:val="0"/>
        <w:rPr>
          <w:bCs/>
          <w:color w:val="FF0000"/>
          <w:highlight w:val="yellow"/>
          <w:lang w:val="fr-FR" w:eastAsia="en-US"/>
        </w:rPr>
      </w:pPr>
      <w:r w:rsidRPr="00A07B78">
        <w:rPr>
          <w:bCs/>
          <w:color w:val="FF0000"/>
          <w:highlight w:val="yellow"/>
          <w:lang w:val="fr-FR" w:eastAsia="en-US"/>
        </w:rPr>
        <w:t xml:space="preserve">Cortesi, E., Tosi, M., Lazzari, A., et Vidale, M., 2008, "Cultural Relationships beyond the Iranian Plateau: The Helmand Civilization, Baluchistan and the Indus Valley in the 3rd Millennium BCE", </w:t>
      </w:r>
      <w:r w:rsidRPr="00A07B78">
        <w:rPr>
          <w:bCs/>
          <w:i/>
          <w:iCs/>
          <w:color w:val="FF0000"/>
          <w:highlight w:val="yellow"/>
          <w:lang w:val="fr-FR" w:eastAsia="en-US"/>
        </w:rPr>
        <w:t>Paléorient,</w:t>
      </w:r>
      <w:r w:rsidRPr="00A07B78">
        <w:rPr>
          <w:bCs/>
          <w:color w:val="FF0000"/>
          <w:highlight w:val="yellow"/>
          <w:lang w:val="fr-FR" w:eastAsia="en-US"/>
        </w:rPr>
        <w:t xml:space="preserve"> 34 (2), p. 5-36.</w:t>
      </w:r>
    </w:p>
    <w:p w14:paraId="0285FC9D" w14:textId="77777777" w:rsidR="00840C95" w:rsidRPr="003F0139" w:rsidRDefault="00840C95" w:rsidP="00840C95">
      <w:pPr>
        <w:autoSpaceDE w:val="0"/>
        <w:autoSpaceDN w:val="0"/>
        <w:adjustRightInd w:val="0"/>
        <w:rPr>
          <w:bCs/>
          <w:color w:val="FF0000"/>
          <w:highlight w:val="yellow"/>
          <w:lang w:val="fr-FR" w:eastAsia="en-US"/>
        </w:rPr>
      </w:pPr>
    </w:p>
    <w:p w14:paraId="6938D75E" w14:textId="77777777" w:rsidR="00840C95" w:rsidRPr="00140A22" w:rsidRDefault="00840C95" w:rsidP="00840C95">
      <w:pPr>
        <w:autoSpaceDE w:val="0"/>
        <w:autoSpaceDN w:val="0"/>
        <w:adjustRightInd w:val="0"/>
        <w:rPr>
          <w:bCs/>
          <w:highlight w:val="yellow"/>
          <w:lang w:val="fr-FR" w:eastAsia="en-US"/>
        </w:rPr>
      </w:pPr>
      <w:r w:rsidRPr="00A07B78">
        <w:rPr>
          <w:bCs/>
          <w:highlight w:val="yellow"/>
          <w:lang w:val="fr-FR" w:eastAsia="en-US"/>
        </w:rPr>
        <w:t xml:space="preserve">Besenval, Roland, et Didier, Aurore, 2004, "Peuplement protohistorique du Kech-Makran au 3 e Millénaire av. J.-C.: l'assemblage céramique de la période IIIc sur le site de Miri Qalat", </w:t>
      </w:r>
      <w:r w:rsidRPr="00A07B78">
        <w:rPr>
          <w:bCs/>
          <w:i/>
          <w:iCs/>
          <w:highlight w:val="yellow"/>
          <w:lang w:val="fr-FR" w:eastAsia="en-US"/>
        </w:rPr>
        <w:t>Paléorient</w:t>
      </w:r>
      <w:r w:rsidRPr="00A07B78">
        <w:rPr>
          <w:bCs/>
          <w:highlight w:val="yellow"/>
          <w:lang w:val="fr-FR" w:eastAsia="en-US"/>
        </w:rPr>
        <w:t>, p. 159-177.</w:t>
      </w:r>
    </w:p>
    <w:p w14:paraId="44AB242A" w14:textId="77777777" w:rsidR="00840C95" w:rsidRPr="00140A22" w:rsidRDefault="00840C95" w:rsidP="00840C95">
      <w:pPr>
        <w:autoSpaceDE w:val="0"/>
        <w:autoSpaceDN w:val="0"/>
        <w:adjustRightInd w:val="0"/>
        <w:rPr>
          <w:bCs/>
          <w:highlight w:val="yellow"/>
          <w:lang w:val="fr-FR" w:eastAsia="en-US"/>
        </w:rPr>
      </w:pPr>
    </w:p>
    <w:p w14:paraId="74974921" w14:textId="77777777" w:rsidR="00840C95" w:rsidRPr="00140A22" w:rsidRDefault="00840C95" w:rsidP="00840C95">
      <w:pPr>
        <w:autoSpaceDE w:val="0"/>
        <w:autoSpaceDN w:val="0"/>
        <w:adjustRightInd w:val="0"/>
        <w:rPr>
          <w:bCs/>
          <w:lang w:val="fr-FR" w:eastAsia="en-US"/>
        </w:rPr>
      </w:pPr>
      <w:r w:rsidRPr="00A07B78">
        <w:rPr>
          <w:bCs/>
          <w:highlight w:val="yellow"/>
          <w:lang w:val="fr-FR" w:eastAsia="en-US"/>
        </w:rPr>
        <w:t xml:space="preserve">Didier, Aurore, et Mutin, Benjamin, 2013, "La production céramique protohistorique du Makran pakistanais dans la compréhension des relations indo-iraniennes", </w:t>
      </w:r>
      <w:r w:rsidRPr="00A07B78">
        <w:rPr>
          <w:bCs/>
          <w:i/>
          <w:iCs/>
          <w:highlight w:val="yellow"/>
          <w:lang w:val="fr-FR" w:eastAsia="en-US"/>
        </w:rPr>
        <w:t>Cahiers d’Asie centrale,</w:t>
      </w:r>
      <w:r w:rsidRPr="00A07B78">
        <w:rPr>
          <w:bCs/>
          <w:highlight w:val="yellow"/>
          <w:lang w:val="fr-FR" w:eastAsia="en-US"/>
        </w:rPr>
        <w:t xml:space="preserve">  (21/22), p. 461-486.</w:t>
      </w:r>
    </w:p>
    <w:p w14:paraId="6ADD6A13" w14:textId="77777777" w:rsidR="00840C95" w:rsidRPr="00140A22" w:rsidRDefault="00840C95" w:rsidP="00840C95">
      <w:pPr>
        <w:autoSpaceDE w:val="0"/>
        <w:autoSpaceDN w:val="0"/>
        <w:adjustRightInd w:val="0"/>
        <w:rPr>
          <w:rFonts w:ascii="Segoe UI" w:hAnsi="Segoe UI" w:cs="Segoe UI"/>
          <w:bCs/>
          <w:sz w:val="18"/>
          <w:szCs w:val="18"/>
          <w:lang w:val="fr-FR" w:eastAsia="en-US"/>
        </w:rPr>
      </w:pPr>
    </w:p>
    <w:p w14:paraId="4B3B5B1B" w14:textId="77777777" w:rsidR="00840C95" w:rsidRPr="003F0139" w:rsidRDefault="00840C95" w:rsidP="00840C95">
      <w:pPr>
        <w:autoSpaceDE w:val="0"/>
        <w:autoSpaceDN w:val="0"/>
        <w:adjustRightInd w:val="0"/>
        <w:rPr>
          <w:bCs/>
          <w:color w:val="FF0000"/>
          <w:highlight w:val="yellow"/>
          <w:lang w:val="fr-FR" w:eastAsia="en-US"/>
        </w:rPr>
      </w:pPr>
    </w:p>
    <w:p w14:paraId="3F22EC8E" w14:textId="77777777" w:rsidR="00840C95" w:rsidRPr="003F0139" w:rsidRDefault="00840C95" w:rsidP="00840C95">
      <w:pPr>
        <w:autoSpaceDE w:val="0"/>
        <w:autoSpaceDN w:val="0"/>
        <w:adjustRightInd w:val="0"/>
        <w:rPr>
          <w:bCs/>
          <w:color w:val="FF0000"/>
          <w:highlight w:val="yellow"/>
          <w:lang w:eastAsia="en-US"/>
        </w:rPr>
      </w:pPr>
      <w:r w:rsidRPr="00A07B78">
        <w:rPr>
          <w:bCs/>
          <w:color w:val="FF0000"/>
          <w:highlight w:val="yellow"/>
          <w:lang w:eastAsia="en-US"/>
        </w:rPr>
        <w:t xml:space="preserve">Jarrige, C., et Tosi, M., 1981, “The natural resources of Mundigak”, in: </w:t>
      </w:r>
      <w:r w:rsidRPr="00A07B78">
        <w:rPr>
          <w:bCs/>
          <w:i/>
          <w:iCs/>
          <w:color w:val="FF0000"/>
          <w:highlight w:val="yellow"/>
          <w:lang w:eastAsia="en-US"/>
        </w:rPr>
        <w:t>South Asian Archaeology 1979</w:t>
      </w:r>
      <w:r w:rsidRPr="00A07B78">
        <w:rPr>
          <w:bCs/>
          <w:color w:val="FF0000"/>
          <w:highlight w:val="yellow"/>
          <w:lang w:eastAsia="en-US"/>
        </w:rPr>
        <w:t>, H. Härtel (Dir.), Berlin, p. 115-142.</w:t>
      </w:r>
    </w:p>
    <w:p w14:paraId="39D9E3F2" w14:textId="77777777" w:rsidR="00840C95" w:rsidRPr="003F0139" w:rsidRDefault="00840C95" w:rsidP="00840C95">
      <w:pPr>
        <w:autoSpaceDE w:val="0"/>
        <w:autoSpaceDN w:val="0"/>
        <w:adjustRightInd w:val="0"/>
        <w:rPr>
          <w:bCs/>
          <w:color w:val="FF0000"/>
          <w:highlight w:val="yellow"/>
          <w:lang w:eastAsia="en-US"/>
        </w:rPr>
      </w:pPr>
    </w:p>
    <w:p w14:paraId="770A8504" w14:textId="77777777" w:rsidR="00840C95" w:rsidRPr="003F0139" w:rsidRDefault="00840C95" w:rsidP="00840C95">
      <w:pPr>
        <w:autoSpaceDE w:val="0"/>
        <w:autoSpaceDN w:val="0"/>
        <w:adjustRightInd w:val="0"/>
        <w:rPr>
          <w:bCs/>
          <w:color w:val="FF0000"/>
          <w:highlight w:val="yellow"/>
          <w:lang w:eastAsia="en-US"/>
        </w:rPr>
      </w:pPr>
    </w:p>
    <w:p w14:paraId="699DDCF1" w14:textId="77777777" w:rsidR="00840C95" w:rsidRPr="003F0139" w:rsidRDefault="00840C95" w:rsidP="00840C95">
      <w:pPr>
        <w:autoSpaceDE w:val="0"/>
        <w:autoSpaceDN w:val="0"/>
        <w:adjustRightInd w:val="0"/>
        <w:rPr>
          <w:bCs/>
          <w:color w:val="FF0000"/>
          <w:highlight w:val="yellow"/>
          <w:lang w:val="fr-FR" w:eastAsia="en-US"/>
        </w:rPr>
      </w:pPr>
      <w:r w:rsidRPr="00A07B78">
        <w:rPr>
          <w:bCs/>
          <w:color w:val="FF0000"/>
          <w:highlight w:val="yellow"/>
          <w:lang w:val="fr-FR" w:eastAsia="en-US"/>
        </w:rPr>
        <w:t xml:space="preserve">Jarrige, J.-F., 1988, “Les styles de Geoksyur et de Quetta et la question des rapports entre les régions au Nord et au Sud de l'Hindu Kush à la fin du 4e et au début du 3e millénaires”, in: </w:t>
      </w:r>
      <w:r w:rsidRPr="00A07B78">
        <w:rPr>
          <w:bCs/>
          <w:i/>
          <w:iCs/>
          <w:color w:val="FF0000"/>
          <w:highlight w:val="yellow"/>
          <w:lang w:val="fr-FR" w:eastAsia="en-US"/>
        </w:rPr>
        <w:t>L'Asie centrale et ses rapports avec les civilisations orientales des origines à l'âge du fer. actes du colloque franco-soviétique, Paris, 19-26 novembre 1985</w:t>
      </w:r>
      <w:r w:rsidRPr="00A07B78">
        <w:rPr>
          <w:bCs/>
          <w:color w:val="FF0000"/>
          <w:highlight w:val="yellow"/>
          <w:lang w:val="fr-FR" w:eastAsia="en-US"/>
        </w:rPr>
        <w:t>, (Mémoires de la M.A.F.A.C., vol. I), J.-C. Gardin (Dir.), Paris, Diffusion de Boccard, p. 95-101.</w:t>
      </w:r>
    </w:p>
    <w:p w14:paraId="6831F85E" w14:textId="77777777" w:rsidR="00840C95" w:rsidRPr="003F0139" w:rsidRDefault="00840C95" w:rsidP="00840C95">
      <w:pPr>
        <w:autoSpaceDE w:val="0"/>
        <w:autoSpaceDN w:val="0"/>
        <w:adjustRightInd w:val="0"/>
        <w:rPr>
          <w:bCs/>
          <w:color w:val="FF0000"/>
          <w:highlight w:val="yellow"/>
          <w:lang w:val="fr-FR" w:eastAsia="en-US"/>
        </w:rPr>
      </w:pPr>
    </w:p>
    <w:p w14:paraId="601220C9" w14:textId="77777777" w:rsidR="00840C95" w:rsidRPr="003F0139" w:rsidRDefault="00840C95" w:rsidP="00840C95">
      <w:pPr>
        <w:autoSpaceDE w:val="0"/>
        <w:autoSpaceDN w:val="0"/>
        <w:adjustRightInd w:val="0"/>
        <w:rPr>
          <w:bCs/>
          <w:color w:val="FF0000"/>
          <w:highlight w:val="yellow"/>
          <w:lang w:eastAsia="en-US"/>
        </w:rPr>
      </w:pPr>
      <w:r w:rsidRPr="00A07B78">
        <w:rPr>
          <w:bCs/>
          <w:color w:val="FF0000"/>
          <w:highlight w:val="yellow"/>
          <w:lang w:eastAsia="en-US"/>
        </w:rPr>
        <w:t xml:space="preserve">Jarrige, J.-F., Didier, A., et Quivron, G., 2011, "Shahr-i Sokhta and the chronology of the Indo-Iranian regions", </w:t>
      </w:r>
      <w:r w:rsidRPr="00A07B78">
        <w:rPr>
          <w:bCs/>
          <w:i/>
          <w:iCs/>
          <w:color w:val="FF0000"/>
          <w:highlight w:val="yellow"/>
          <w:lang w:eastAsia="en-US"/>
        </w:rPr>
        <w:t>Paléorient,</w:t>
      </w:r>
      <w:r w:rsidRPr="00A07B78">
        <w:rPr>
          <w:bCs/>
          <w:color w:val="FF0000"/>
          <w:highlight w:val="yellow"/>
          <w:lang w:eastAsia="en-US"/>
        </w:rPr>
        <w:t xml:space="preserve"> 37 (2), p. 7-34.</w:t>
      </w:r>
    </w:p>
    <w:p w14:paraId="3280BBC7" w14:textId="77777777" w:rsidR="00840C95" w:rsidRPr="003F0139" w:rsidRDefault="00840C95" w:rsidP="00840C95">
      <w:pPr>
        <w:autoSpaceDE w:val="0"/>
        <w:autoSpaceDN w:val="0"/>
        <w:adjustRightInd w:val="0"/>
        <w:rPr>
          <w:bCs/>
          <w:color w:val="FF0000"/>
          <w:highlight w:val="yellow"/>
          <w:lang w:eastAsia="en-US"/>
        </w:rPr>
      </w:pPr>
    </w:p>
    <w:p w14:paraId="0FB08555" w14:textId="77777777" w:rsidR="00840C95" w:rsidRPr="003F0139" w:rsidRDefault="00840C95" w:rsidP="00840C95">
      <w:pPr>
        <w:autoSpaceDE w:val="0"/>
        <w:autoSpaceDN w:val="0"/>
        <w:adjustRightInd w:val="0"/>
        <w:rPr>
          <w:bCs/>
          <w:color w:val="FF0000"/>
          <w:highlight w:val="yellow"/>
          <w:lang w:val="fr-FR" w:eastAsia="en-US"/>
        </w:rPr>
      </w:pPr>
      <w:r w:rsidRPr="00A07B78">
        <w:rPr>
          <w:bCs/>
          <w:color w:val="FF0000"/>
          <w:highlight w:val="yellow"/>
          <w:lang w:val="fr-FR" w:eastAsia="en-US"/>
        </w:rPr>
        <w:t xml:space="preserve">Jarrige, J.-F., et Santoni, M., 1979, </w:t>
      </w:r>
      <w:r w:rsidRPr="00A07B78">
        <w:rPr>
          <w:bCs/>
          <w:i/>
          <w:iCs/>
          <w:color w:val="FF0000"/>
          <w:highlight w:val="yellow"/>
          <w:lang w:val="fr-FR" w:eastAsia="en-US"/>
        </w:rPr>
        <w:t>Fouilles de Pirak</w:t>
      </w:r>
      <w:r w:rsidRPr="00A07B78">
        <w:rPr>
          <w:bCs/>
          <w:color w:val="FF0000"/>
          <w:highlight w:val="yellow"/>
          <w:lang w:val="fr-FR" w:eastAsia="en-US"/>
        </w:rPr>
        <w:t>, Fouilles du Pakistan, vol</w:t>
      </w:r>
      <w:r w:rsidRPr="00A07B78">
        <w:rPr>
          <w:bCs/>
          <w:i/>
          <w:iCs/>
          <w:color w:val="FF0000"/>
          <w:highlight w:val="yellow"/>
          <w:lang w:val="fr-FR" w:eastAsia="en-US"/>
        </w:rPr>
        <w:t xml:space="preserve">. </w:t>
      </w:r>
      <w:r w:rsidRPr="00A07B78">
        <w:rPr>
          <w:bCs/>
          <w:color w:val="FF0000"/>
          <w:highlight w:val="yellow"/>
          <w:lang w:val="fr-FR" w:eastAsia="en-US"/>
        </w:rPr>
        <w:t>2, Paris, Klincksieck.</w:t>
      </w:r>
    </w:p>
    <w:p w14:paraId="01F7BEA9" w14:textId="77777777" w:rsidR="00840C95" w:rsidRPr="003F0139" w:rsidRDefault="00840C95" w:rsidP="00840C95">
      <w:pPr>
        <w:autoSpaceDE w:val="0"/>
        <w:autoSpaceDN w:val="0"/>
        <w:adjustRightInd w:val="0"/>
        <w:rPr>
          <w:bCs/>
          <w:color w:val="FF0000"/>
          <w:highlight w:val="yellow"/>
          <w:lang w:val="fr-FR" w:eastAsia="en-US"/>
        </w:rPr>
      </w:pPr>
    </w:p>
    <w:p w14:paraId="185A1664" w14:textId="77777777" w:rsidR="00840C95" w:rsidRPr="003F0139" w:rsidRDefault="00840C95" w:rsidP="00840C95">
      <w:pPr>
        <w:autoSpaceDE w:val="0"/>
        <w:autoSpaceDN w:val="0"/>
        <w:adjustRightInd w:val="0"/>
        <w:rPr>
          <w:bCs/>
          <w:color w:val="FF0000"/>
          <w:highlight w:val="yellow"/>
          <w:lang w:val="fr-FR" w:eastAsia="en-US"/>
        </w:rPr>
      </w:pPr>
    </w:p>
    <w:p w14:paraId="5319A843" w14:textId="77777777" w:rsidR="00840C95" w:rsidRPr="003F0139" w:rsidRDefault="00840C95" w:rsidP="00840C95">
      <w:pPr>
        <w:autoSpaceDE w:val="0"/>
        <w:autoSpaceDN w:val="0"/>
        <w:adjustRightInd w:val="0"/>
        <w:rPr>
          <w:bCs/>
          <w:color w:val="FF0000"/>
          <w:highlight w:val="yellow"/>
          <w:lang w:val="fr-FR" w:eastAsia="en-US"/>
        </w:rPr>
      </w:pPr>
      <w:r w:rsidRPr="00A07B78">
        <w:rPr>
          <w:bCs/>
          <w:color w:val="FF0000"/>
          <w:highlight w:val="yellow"/>
          <w:lang w:val="fr-FR" w:eastAsia="en-US"/>
        </w:rPr>
        <w:t xml:space="preserve">Didier, A., 2013, </w:t>
      </w:r>
      <w:r w:rsidRPr="00A07B78">
        <w:rPr>
          <w:bCs/>
          <w:i/>
          <w:iCs/>
          <w:color w:val="FF0000"/>
          <w:highlight w:val="yellow"/>
          <w:lang w:val="fr-FR" w:eastAsia="en-US"/>
        </w:rPr>
        <w:t>La production céramique du Makran (Pakistan) à l'âge du bronze ancien. Contribution à l'étude des peuplements des régions indo-iraniennes</w:t>
      </w:r>
      <w:r w:rsidRPr="00A07B78">
        <w:rPr>
          <w:bCs/>
          <w:color w:val="FF0000"/>
          <w:highlight w:val="yellow"/>
          <w:lang w:val="fr-FR" w:eastAsia="en-US"/>
        </w:rPr>
        <w:t>, Mémoires des Missions Archéologiques en Asie Centrale et enAsie Moyenne. Série Indus-Balochistan, vol</w:t>
      </w:r>
      <w:r w:rsidRPr="00A07B78">
        <w:rPr>
          <w:bCs/>
          <w:i/>
          <w:iCs/>
          <w:color w:val="FF0000"/>
          <w:highlight w:val="yellow"/>
          <w:lang w:val="fr-FR" w:eastAsia="en-US"/>
        </w:rPr>
        <w:t xml:space="preserve">. </w:t>
      </w:r>
      <w:r w:rsidRPr="00A07B78">
        <w:rPr>
          <w:bCs/>
          <w:color w:val="FF0000"/>
          <w:highlight w:val="yellow"/>
          <w:lang w:val="fr-FR" w:eastAsia="en-US"/>
        </w:rPr>
        <w:t>XIV, Paris, De Boccard.</w:t>
      </w:r>
    </w:p>
    <w:p w14:paraId="1A58EA15" w14:textId="77777777" w:rsidR="00840C95" w:rsidRPr="003F0139" w:rsidRDefault="00840C95" w:rsidP="00840C95">
      <w:pPr>
        <w:autoSpaceDE w:val="0"/>
        <w:autoSpaceDN w:val="0"/>
        <w:adjustRightInd w:val="0"/>
        <w:rPr>
          <w:bCs/>
          <w:color w:val="FF0000"/>
          <w:highlight w:val="yellow"/>
          <w:lang w:val="fr-FR" w:eastAsia="en-US"/>
        </w:rPr>
      </w:pPr>
    </w:p>
    <w:p w14:paraId="6018F601" w14:textId="77777777" w:rsidR="00840C95" w:rsidRPr="003F0139" w:rsidRDefault="00840C95" w:rsidP="00840C95">
      <w:pPr>
        <w:autoSpaceDE w:val="0"/>
        <w:autoSpaceDN w:val="0"/>
        <w:adjustRightInd w:val="0"/>
        <w:rPr>
          <w:bCs/>
          <w:color w:val="FF0000"/>
          <w:lang w:eastAsia="en-US"/>
        </w:rPr>
      </w:pPr>
      <w:r w:rsidRPr="00A07B78">
        <w:rPr>
          <w:bCs/>
          <w:color w:val="FF0000"/>
          <w:highlight w:val="yellow"/>
          <w:lang w:eastAsia="en-US"/>
        </w:rPr>
        <w:t xml:space="preserve">Méry, S, Besenval, R, Blackman, Mj, et Didier, A, 2012, “The origin of the third-millennium BC fine grey wares found in eastern Arabia”, </w:t>
      </w:r>
      <w:r w:rsidRPr="00A07B78">
        <w:rPr>
          <w:bCs/>
          <w:i/>
          <w:iCs/>
          <w:color w:val="FF0000"/>
          <w:highlight w:val="yellow"/>
          <w:lang w:eastAsia="en-US"/>
        </w:rPr>
        <w:t>Proceedings of the Seminar for Arabian Studies, 2012</w:t>
      </w:r>
      <w:r w:rsidRPr="00A07B78">
        <w:rPr>
          <w:bCs/>
          <w:color w:val="FF0000"/>
          <w:highlight w:val="yellow"/>
          <w:lang w:eastAsia="en-US"/>
        </w:rPr>
        <w:t>, vol., p. 195-204.</w:t>
      </w:r>
    </w:p>
    <w:p w14:paraId="5BD3DB16" w14:textId="77777777" w:rsidR="007B0796" w:rsidRPr="00067D8A" w:rsidRDefault="007B0796" w:rsidP="0030226C">
      <w:pPr>
        <w:rPr>
          <w:rFonts w:asciiTheme="majorBidi" w:hAnsiTheme="majorBidi" w:cstheme="majorBidi"/>
        </w:rPr>
      </w:pPr>
    </w:p>
    <w:sectPr w:rsidR="007B0796" w:rsidRPr="00067D8A" w:rsidSect="007B0796">
      <w:footerReference w:type="default" r:id="rId8"/>
      <w:endnotePr>
        <w:numFmt w:val="decimal"/>
      </w:endnotePr>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FA2E077" w16cid:durableId="1EC41AA2"/>
  <w16cid:commentId w16cid:paraId="317FA499" w16cid:durableId="1EC41AA3"/>
  <w16cid:commentId w16cid:paraId="4B8CE0D5" w16cid:durableId="1EC41AA4"/>
  <w16cid:commentId w16cid:paraId="769A19AD" w16cid:durableId="1EC41AA5"/>
  <w16cid:commentId w16cid:paraId="10D7FAEF" w16cid:durableId="1EC41AA6"/>
  <w16cid:commentId w16cid:paraId="33583FCC" w16cid:durableId="1EC41AA7"/>
  <w16cid:commentId w16cid:paraId="048039A5" w16cid:durableId="1EC41AA8"/>
  <w16cid:commentId w16cid:paraId="463013F5" w16cid:durableId="1EC41AA9"/>
  <w16cid:commentId w16cid:paraId="3D7A6D81" w16cid:durableId="1EC41AAA"/>
  <w16cid:commentId w16cid:paraId="1CC7BCFD" w16cid:durableId="1EC41AAB"/>
  <w16cid:commentId w16cid:paraId="35AA088F" w16cid:durableId="1EC41AAC"/>
  <w16cid:commentId w16cid:paraId="2BD3F51F" w16cid:durableId="1EC41AAD"/>
  <w16cid:commentId w16cid:paraId="7D6F76E2" w16cid:durableId="1EC41AAE"/>
  <w16cid:commentId w16cid:paraId="6C375756" w16cid:durableId="1EC41AAF"/>
  <w16cid:commentId w16cid:paraId="111BCF68" w16cid:durableId="1EC41AB0"/>
  <w16cid:commentId w16cid:paraId="611D70F7" w16cid:durableId="1EC41AB1"/>
  <w16cid:commentId w16cid:paraId="2425496E" w16cid:durableId="1EC41AB2"/>
  <w16cid:commentId w16cid:paraId="582F644D" w16cid:durableId="1EC41AB3"/>
  <w16cid:commentId w16cid:paraId="5ABC9BCC" w16cid:durableId="1EC41AB4"/>
  <w16cid:commentId w16cid:paraId="0B650472" w16cid:durableId="1EC41AB5"/>
  <w16cid:commentId w16cid:paraId="4FC01543" w16cid:durableId="1EC41AB6"/>
  <w16cid:commentId w16cid:paraId="16FC9DE8" w16cid:durableId="1EC41AB7"/>
  <w16cid:commentId w16cid:paraId="74429CB4" w16cid:durableId="1EC41AB8"/>
  <w16cid:commentId w16cid:paraId="4AE9A87D" w16cid:durableId="1EC41AB9"/>
  <w16cid:commentId w16cid:paraId="1BA36CEA" w16cid:durableId="1EC41ABA"/>
  <w16cid:commentId w16cid:paraId="1B2A4918" w16cid:durableId="1EC41ABB"/>
  <w16cid:commentId w16cid:paraId="6463012D" w16cid:durableId="1EC41ABC"/>
  <w16cid:commentId w16cid:paraId="4530FDA8" w16cid:durableId="1EC41ABD"/>
  <w16cid:commentId w16cid:paraId="037FEC81" w16cid:durableId="1EC41ABE"/>
  <w16cid:commentId w16cid:paraId="127210D9" w16cid:durableId="1EC41ABF"/>
  <w16cid:commentId w16cid:paraId="539A8B03" w16cid:durableId="1EC41AC0"/>
  <w16cid:commentId w16cid:paraId="3CF1FEF3" w16cid:durableId="1EC41AC1"/>
  <w16cid:commentId w16cid:paraId="2EF02F87" w16cid:durableId="1EC41AC2"/>
  <w16cid:commentId w16cid:paraId="2ACE7B48" w16cid:durableId="1EC41AC3"/>
  <w16cid:commentId w16cid:paraId="68610517" w16cid:durableId="1EC41AC4"/>
  <w16cid:commentId w16cid:paraId="1A8D93EE" w16cid:durableId="1EC41AC5"/>
  <w16cid:commentId w16cid:paraId="3F6AD2FE" w16cid:durableId="1EC41AC6"/>
  <w16cid:commentId w16cid:paraId="347642AF" w16cid:durableId="1EC41AC7"/>
  <w16cid:commentId w16cid:paraId="4754F3BD" w16cid:durableId="1EC41AC8"/>
  <w16cid:commentId w16cid:paraId="70FA742A" w16cid:durableId="1EC41AC9"/>
  <w16cid:commentId w16cid:paraId="3C016C45" w16cid:durableId="1EC41ACA"/>
  <w16cid:commentId w16cid:paraId="52358B92" w16cid:durableId="1EC41ACB"/>
  <w16cid:commentId w16cid:paraId="7AEF32DD" w16cid:durableId="1EC41ACC"/>
  <w16cid:commentId w16cid:paraId="167F1719" w16cid:durableId="1EC41ACD"/>
  <w16cid:commentId w16cid:paraId="7145F1CE" w16cid:durableId="1EC41ACE"/>
  <w16cid:commentId w16cid:paraId="3B66FB97" w16cid:durableId="1EC41ACF"/>
  <w16cid:commentId w16cid:paraId="59BCC2F8" w16cid:durableId="1EC41AD0"/>
  <w16cid:commentId w16cid:paraId="296013CA" w16cid:durableId="1EC41AD1"/>
  <w16cid:commentId w16cid:paraId="1861CE29" w16cid:durableId="1EC41AD2"/>
  <w16cid:commentId w16cid:paraId="224C0244" w16cid:durableId="1EC41AD3"/>
  <w16cid:commentId w16cid:paraId="58FFA12D" w16cid:durableId="1EC41AD4"/>
  <w16cid:commentId w16cid:paraId="61D71735" w16cid:durableId="1EC41AD5"/>
  <w16cid:commentId w16cid:paraId="13A2409F" w16cid:durableId="1EC41AD6"/>
  <w16cid:commentId w16cid:paraId="5295CA9C" w16cid:durableId="1EC41AD7"/>
  <w16cid:commentId w16cid:paraId="382B5E2E" w16cid:durableId="1EC41AD8"/>
  <w16cid:commentId w16cid:paraId="08103985" w16cid:durableId="1EC41AD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E2C88E" w14:textId="77777777" w:rsidR="00985B8E" w:rsidRDefault="00985B8E" w:rsidP="0030226C">
      <w:r>
        <w:separator/>
      </w:r>
    </w:p>
  </w:endnote>
  <w:endnote w:type="continuationSeparator" w:id="0">
    <w:p w14:paraId="576379DD" w14:textId="77777777" w:rsidR="00985B8E" w:rsidRDefault="00985B8E" w:rsidP="0030226C">
      <w:r>
        <w:continuationSeparator/>
      </w:r>
    </w:p>
  </w:endnote>
  <w:endnote w:id="1">
    <w:p w14:paraId="31300C7D" w14:textId="77777777" w:rsidR="00985B8E" w:rsidRDefault="00985B8E" w:rsidP="0030226C">
      <w:pPr>
        <w:pStyle w:val="EndnoteText"/>
      </w:pPr>
      <w:r>
        <w:rPr>
          <w:rStyle w:val="EndnoteReference"/>
        </w:rPr>
        <w:endnoteRef/>
      </w:r>
      <w:r>
        <w:t xml:space="preserve"> Casal 1961.</w:t>
      </w:r>
    </w:p>
  </w:endnote>
  <w:endnote w:id="2">
    <w:p w14:paraId="1B5BD348" w14:textId="77777777" w:rsidR="00985B8E" w:rsidRDefault="00985B8E" w:rsidP="0030226C">
      <w:pPr>
        <w:pStyle w:val="EndnoteText"/>
      </w:pPr>
      <w:r>
        <w:rPr>
          <w:rStyle w:val="EndnoteReference"/>
        </w:rPr>
        <w:endnoteRef/>
      </w:r>
      <w:r>
        <w:t xml:space="preserve"> Fairservis 1952; Shaffer 1971 1972.</w:t>
      </w:r>
    </w:p>
  </w:endnote>
  <w:endnote w:id="3">
    <w:p w14:paraId="2CC529A7" w14:textId="77777777" w:rsidR="00985B8E" w:rsidRDefault="00985B8E" w:rsidP="0030226C">
      <w:pPr>
        <w:pStyle w:val="EndnoteText"/>
      </w:pPr>
      <w:r>
        <w:rPr>
          <w:rStyle w:val="EndnoteReference"/>
        </w:rPr>
        <w:endnoteRef/>
      </w:r>
      <w:r>
        <w:t xml:space="preserve"> Dupree 1964.</w:t>
      </w:r>
    </w:p>
  </w:endnote>
  <w:endnote w:id="4">
    <w:p w14:paraId="22DBC3DC" w14:textId="77777777" w:rsidR="00985B8E" w:rsidRPr="00836721" w:rsidRDefault="00985B8E">
      <w:pPr>
        <w:pStyle w:val="EndnoteText"/>
        <w:rPr>
          <w:color w:val="FF0000"/>
          <w:lang w:val="en-GB"/>
        </w:rPr>
      </w:pPr>
      <w:r w:rsidRPr="00836721">
        <w:rPr>
          <w:rStyle w:val="EndnoteReference"/>
          <w:color w:val="FF0000"/>
        </w:rPr>
        <w:endnoteRef/>
      </w:r>
      <w:r w:rsidRPr="00836721">
        <w:rPr>
          <w:color w:val="FF0000"/>
        </w:rPr>
        <w:t xml:space="preserve"> Besenval &amp; Francfort</w:t>
      </w:r>
    </w:p>
  </w:endnote>
  <w:endnote w:id="5">
    <w:p w14:paraId="63F5A0BE" w14:textId="77777777" w:rsidR="00985B8E" w:rsidRDefault="00985B8E" w:rsidP="0030226C">
      <w:pPr>
        <w:pStyle w:val="EndnoteText"/>
      </w:pPr>
      <w:r>
        <w:rPr>
          <w:rStyle w:val="EndnoteReference"/>
        </w:rPr>
        <w:endnoteRef/>
      </w:r>
      <w:r>
        <w:t xml:space="preserve"> Fairservis 1956; Hammond 1970; Dales 1972.</w:t>
      </w:r>
    </w:p>
  </w:endnote>
  <w:endnote w:id="6">
    <w:p w14:paraId="61248059" w14:textId="77777777" w:rsidR="00985B8E" w:rsidRDefault="00985B8E" w:rsidP="0030226C">
      <w:pPr>
        <w:pStyle w:val="EndnoteText"/>
      </w:pPr>
      <w:r>
        <w:rPr>
          <w:rStyle w:val="EndnoteReference"/>
        </w:rPr>
        <w:endnoteRef/>
      </w:r>
      <w:r>
        <w:t xml:space="preserve"> Tosi 1969</w:t>
      </w:r>
      <w:r w:rsidRPr="00BF554D">
        <w:rPr>
          <w:noProof/>
          <w:color w:val="FF0000"/>
        </w:rPr>
        <w:t>; Sajjadi, Casanova, Costantini, et Lorentz, 2008</w:t>
      </w:r>
      <w:r w:rsidRPr="00995AE8">
        <w:rPr>
          <w:noProof/>
          <w:color w:val="FF0000"/>
        </w:rPr>
        <w:t>; Jarrige, Didier, et Quivron, 2011</w:t>
      </w:r>
      <w:r>
        <w:rPr>
          <w:noProof/>
          <w:color w:val="FF0000"/>
        </w:rPr>
        <w:t>; Vidale &amp; Lazzari 2017</w:t>
      </w:r>
      <w:r>
        <w:t>.</w:t>
      </w:r>
    </w:p>
  </w:endnote>
  <w:endnote w:id="7">
    <w:p w14:paraId="505CC2AD" w14:textId="77777777" w:rsidR="00985B8E" w:rsidRDefault="00985B8E" w:rsidP="0030226C">
      <w:pPr>
        <w:pStyle w:val="EndnoteText"/>
      </w:pPr>
      <w:r>
        <w:rPr>
          <w:rStyle w:val="EndnoteReference"/>
        </w:rPr>
        <w:endnoteRef/>
      </w:r>
      <w:r>
        <w:t xml:space="preserve"> Hakemi 1997</w:t>
      </w:r>
    </w:p>
  </w:endnote>
  <w:endnote w:id="8">
    <w:p w14:paraId="11A559B7" w14:textId="77777777" w:rsidR="00985B8E" w:rsidRDefault="00985B8E" w:rsidP="0030226C">
      <w:pPr>
        <w:pStyle w:val="EndnoteText"/>
      </w:pPr>
      <w:r>
        <w:rPr>
          <w:rStyle w:val="EndnoteReference"/>
        </w:rPr>
        <w:endnoteRef/>
      </w:r>
      <w:r>
        <w:t xml:space="preserve"> </w:t>
      </w:r>
      <w:r>
        <w:rPr>
          <w:color w:val="FF0000"/>
        </w:rPr>
        <w:t xml:space="preserve">Beale &amp; </w:t>
      </w:r>
      <w:r>
        <w:t xml:space="preserve">Lamberg-Karlovsky </w:t>
      </w:r>
      <w:r>
        <w:rPr>
          <w:color w:val="FF0000"/>
        </w:rPr>
        <w:t>1986</w:t>
      </w:r>
      <w:r>
        <w:t>.</w:t>
      </w:r>
    </w:p>
  </w:endnote>
  <w:endnote w:id="9">
    <w:p w14:paraId="0F6F866B" w14:textId="77777777" w:rsidR="00985B8E" w:rsidRPr="00F82DE6" w:rsidRDefault="00985B8E" w:rsidP="0030226C">
      <w:pPr>
        <w:pStyle w:val="EndnoteText"/>
        <w:rPr>
          <w:color w:val="FF0000"/>
        </w:rPr>
      </w:pPr>
      <w:r>
        <w:rPr>
          <w:rStyle w:val="EndnoteReference"/>
        </w:rPr>
        <w:endnoteRef/>
      </w:r>
      <w:r>
        <w:t xml:space="preserve"> </w:t>
      </w:r>
      <w:r>
        <w:rPr>
          <w:color w:val="FF0000"/>
        </w:rPr>
        <w:t>Majidzadeh 2008.</w:t>
      </w:r>
    </w:p>
  </w:endnote>
  <w:endnote w:id="10">
    <w:p w14:paraId="44846E8B" w14:textId="77777777" w:rsidR="00985B8E" w:rsidRPr="00923119" w:rsidRDefault="00985B8E" w:rsidP="0030226C">
      <w:pPr>
        <w:pStyle w:val="EndnoteText"/>
        <w:rPr>
          <w:color w:val="FF0000"/>
        </w:rPr>
      </w:pPr>
      <w:r>
        <w:rPr>
          <w:rStyle w:val="EndnoteReference"/>
        </w:rPr>
        <w:endnoteRef/>
      </w:r>
      <w:r>
        <w:t xml:space="preserve"> </w:t>
      </w:r>
      <w:r>
        <w:rPr>
          <w:color w:val="FF0000"/>
        </w:rPr>
        <w:t xml:space="preserve">Petrie, ed. 2013; Mutin </w:t>
      </w:r>
      <w:r>
        <w:rPr>
          <w:i/>
          <w:iCs w:val="0"/>
          <w:color w:val="FF0000"/>
        </w:rPr>
        <w:t>et al</w:t>
      </w:r>
      <w:r>
        <w:rPr>
          <w:color w:val="FF0000"/>
        </w:rPr>
        <w:t xml:space="preserve"> 2017.</w:t>
      </w:r>
    </w:p>
  </w:endnote>
  <w:endnote w:id="11">
    <w:p w14:paraId="2791A2C3" w14:textId="77777777" w:rsidR="00985B8E" w:rsidRPr="00925D73" w:rsidRDefault="00985B8E" w:rsidP="0030226C">
      <w:pPr>
        <w:pStyle w:val="EndnoteText"/>
        <w:rPr>
          <w:color w:val="FF0000"/>
        </w:rPr>
      </w:pPr>
      <w:r>
        <w:rPr>
          <w:rStyle w:val="EndnoteReference"/>
        </w:rPr>
        <w:endnoteRef/>
      </w:r>
      <w:r>
        <w:t xml:space="preserve"> </w:t>
      </w:r>
      <w:r w:rsidRPr="00925D73">
        <w:rPr>
          <w:noProof/>
          <w:color w:val="FF0000"/>
        </w:rPr>
        <w:t>Besenval et Didier, 2004;</w:t>
      </w:r>
      <w:r w:rsidRPr="00500F25">
        <w:rPr>
          <w:noProof/>
        </w:rPr>
        <w:t xml:space="preserve"> </w:t>
      </w:r>
      <w:r w:rsidRPr="005C199B">
        <w:rPr>
          <w:noProof/>
          <w:color w:val="FF0000"/>
        </w:rPr>
        <w:t>Didier, 2013</w:t>
      </w:r>
      <w:r>
        <w:rPr>
          <w:noProof/>
          <w:color w:val="FF0000"/>
        </w:rPr>
        <w:t>; Mutin 2013, 2015</w:t>
      </w:r>
      <w:r>
        <w:rPr>
          <w:color w:val="FF0000"/>
        </w:rPr>
        <w:t>.</w:t>
      </w:r>
    </w:p>
  </w:endnote>
  <w:endnote w:id="12">
    <w:p w14:paraId="191DEBA2" w14:textId="77777777" w:rsidR="00985B8E" w:rsidRDefault="00985B8E" w:rsidP="005B52A9">
      <w:pPr>
        <w:pStyle w:val="EndnoteText"/>
      </w:pPr>
      <w:r>
        <w:rPr>
          <w:rStyle w:val="EndnoteReference"/>
        </w:rPr>
        <w:endnoteRef/>
      </w:r>
      <w:r>
        <w:t xml:space="preserve"> Fairservis 1952, 1961; Jarrige et al. 1995; </w:t>
      </w:r>
      <w:r>
        <w:rPr>
          <w:color w:val="FF0000"/>
        </w:rPr>
        <w:t>Franke &amp; Cortesi, eds 2015</w:t>
      </w:r>
    </w:p>
  </w:endnote>
  <w:endnote w:id="13">
    <w:p w14:paraId="2BE562B2" w14:textId="77777777" w:rsidR="00985B8E" w:rsidRDefault="00985B8E" w:rsidP="005B52A9">
      <w:pPr>
        <w:pStyle w:val="EndnoteText"/>
      </w:pPr>
      <w:r>
        <w:rPr>
          <w:rStyle w:val="EndnoteReference"/>
        </w:rPr>
        <w:endnoteRef/>
      </w:r>
      <w:r>
        <w:t xml:space="preserve"> Petrie (ed) 2010; Khan et al. 2000</w:t>
      </w:r>
    </w:p>
  </w:endnote>
  <w:endnote w:id="14">
    <w:p w14:paraId="1A080D06" w14:textId="77777777" w:rsidR="00985B8E" w:rsidRDefault="00985B8E" w:rsidP="0030226C">
      <w:pPr>
        <w:pStyle w:val="EndnoteText"/>
      </w:pPr>
      <w:r>
        <w:rPr>
          <w:rStyle w:val="EndnoteReference"/>
        </w:rPr>
        <w:endnoteRef/>
      </w:r>
      <w:r>
        <w:t xml:space="preserve"> see Chakrabarti 1995; Lal 1997; Kenoyer 1998; Possehl 1999, 2002; Agrawal 2007; Wright 2010; Coningham and Young 2015.</w:t>
      </w:r>
    </w:p>
  </w:endnote>
  <w:endnote w:id="15">
    <w:p w14:paraId="41E86829" w14:textId="77777777" w:rsidR="00985B8E" w:rsidRDefault="00985B8E" w:rsidP="0030226C">
      <w:pPr>
        <w:pStyle w:val="EndnoteText"/>
      </w:pPr>
      <w:r>
        <w:rPr>
          <w:rStyle w:val="EndnoteReference"/>
        </w:rPr>
        <w:endnoteRef/>
      </w:r>
      <w:r>
        <w:t xml:space="preserve"> </w:t>
      </w:r>
      <w:r w:rsidRPr="00E91DD7">
        <w:rPr>
          <w:noProof/>
          <w:color w:val="FF0000"/>
        </w:rPr>
        <w:t>Cortesi, Tosi, Lazzari, et Vidale, 2008</w:t>
      </w:r>
      <w:r w:rsidRPr="0072551F">
        <w:rPr>
          <w:noProof/>
          <w:color w:val="FF0000"/>
        </w:rPr>
        <w:t>; Mutin, 2012</w:t>
      </w:r>
      <w:r w:rsidRPr="00E91DD7">
        <w:rPr>
          <w:noProof/>
          <w:color w:val="FF0000"/>
        </w:rPr>
        <w:t>.</w:t>
      </w:r>
    </w:p>
  </w:endnote>
  <w:endnote w:id="16">
    <w:p w14:paraId="0BF0C397" w14:textId="77777777" w:rsidR="00985B8E" w:rsidRDefault="00985B8E" w:rsidP="00363DC7">
      <w:pPr>
        <w:pStyle w:val="EndnoteText"/>
      </w:pPr>
      <w:r>
        <w:rPr>
          <w:rStyle w:val="EndnoteReference"/>
        </w:rPr>
        <w:endnoteRef/>
      </w:r>
      <w:r>
        <w:t xml:space="preserve"> E.g. Fairservis 1952, 1961.</w:t>
      </w:r>
    </w:p>
  </w:endnote>
  <w:endnote w:id="17">
    <w:p w14:paraId="2E8C3167" w14:textId="77777777" w:rsidR="00985B8E" w:rsidRPr="00081076" w:rsidRDefault="00985B8E" w:rsidP="0030226C">
      <w:pPr>
        <w:pStyle w:val="EndnoteText"/>
        <w:rPr>
          <w:color w:val="FF0000"/>
        </w:rPr>
      </w:pPr>
      <w:r>
        <w:rPr>
          <w:rStyle w:val="EndnoteReference"/>
        </w:rPr>
        <w:endnoteRef/>
      </w:r>
      <w:r>
        <w:t xml:space="preserve"> </w:t>
      </w:r>
      <w:r>
        <w:rPr>
          <w:color w:val="FF0000"/>
        </w:rPr>
        <w:t>Thomas &amp; Kidd 2017.</w:t>
      </w:r>
    </w:p>
  </w:endnote>
  <w:endnote w:id="18">
    <w:p w14:paraId="53500313" w14:textId="77777777" w:rsidR="00985B8E" w:rsidRDefault="00985B8E" w:rsidP="00956D11">
      <w:pPr>
        <w:pStyle w:val="EndnoteText"/>
      </w:pPr>
      <w:r>
        <w:rPr>
          <w:rStyle w:val="EndnoteReference"/>
        </w:rPr>
        <w:endnoteRef/>
      </w:r>
      <w:r>
        <w:t xml:space="preserve"> Fairservis 1952, 1961; Dales 1972.</w:t>
      </w:r>
    </w:p>
  </w:endnote>
  <w:endnote w:id="19">
    <w:p w14:paraId="3F92D4C2" w14:textId="77777777" w:rsidR="00985B8E" w:rsidRDefault="00985B8E" w:rsidP="0030226C">
      <w:pPr>
        <w:pStyle w:val="EndnoteText"/>
      </w:pPr>
      <w:r>
        <w:rPr>
          <w:rStyle w:val="EndnoteReference"/>
        </w:rPr>
        <w:endnoteRef/>
      </w:r>
      <w:r>
        <w:t xml:space="preserve"> For a good environmental summary of this region see Fairservis 1961; Dupree 1973: 1–54.</w:t>
      </w:r>
    </w:p>
  </w:endnote>
  <w:endnote w:id="20">
    <w:p w14:paraId="7EF8DCAE" w14:textId="77777777" w:rsidR="00985B8E" w:rsidRDefault="00985B8E" w:rsidP="0030226C">
      <w:pPr>
        <w:pStyle w:val="EndnoteText"/>
      </w:pPr>
      <w:r>
        <w:rPr>
          <w:rStyle w:val="EndnoteReference"/>
        </w:rPr>
        <w:endnoteRef/>
      </w:r>
      <w:r>
        <w:t xml:space="preserve"> Pricket 1986a, 1986b.</w:t>
      </w:r>
    </w:p>
  </w:endnote>
  <w:endnote w:id="21">
    <w:p w14:paraId="2C3706FC" w14:textId="77777777" w:rsidR="00985B8E" w:rsidRDefault="00985B8E" w:rsidP="0030226C">
      <w:pPr>
        <w:pStyle w:val="EndnoteText"/>
      </w:pPr>
      <w:r>
        <w:rPr>
          <w:rStyle w:val="EndnoteReference"/>
        </w:rPr>
        <w:endnoteRef/>
      </w:r>
      <w:r>
        <w:t xml:space="preserve"> Petrie and Thomas 2012.</w:t>
      </w:r>
    </w:p>
  </w:endnote>
  <w:endnote w:id="22">
    <w:p w14:paraId="5613AA1E" w14:textId="77777777" w:rsidR="00985B8E" w:rsidRDefault="00985B8E" w:rsidP="0030226C">
      <w:pPr>
        <w:pStyle w:val="EndnoteText"/>
      </w:pPr>
      <w:r>
        <w:rPr>
          <w:rStyle w:val="EndnoteReference"/>
        </w:rPr>
        <w:endnoteRef/>
      </w:r>
      <w:r>
        <w:t xml:space="preserve"> Petrie 2007 [</w:t>
      </w:r>
      <w:r w:rsidRPr="00AE125E">
        <w:t>Cameron Petrie (2007), 'Remote Sensing in Inaccessible Lands: Kandahar', ArchAtlas, Version 4.1, http://www.archatlas.org/workshop/kandahar.php, Accessed: 02 February 2018</w:t>
      </w:r>
      <w:r>
        <w:t>]</w:t>
      </w:r>
    </w:p>
  </w:endnote>
  <w:endnote w:id="23">
    <w:p w14:paraId="4B72200F" w14:textId="77777777" w:rsidR="00985B8E" w:rsidRPr="003864C5" w:rsidRDefault="00985B8E" w:rsidP="00F452CE">
      <w:pPr>
        <w:pStyle w:val="EndnoteText"/>
        <w:rPr>
          <w:color w:val="FF0000"/>
        </w:rPr>
      </w:pPr>
      <w:r>
        <w:rPr>
          <w:rStyle w:val="EndnoteReference"/>
        </w:rPr>
        <w:endnoteRef/>
      </w:r>
      <w:r>
        <w:t xml:space="preserve"> </w:t>
      </w:r>
      <w:r>
        <w:rPr>
          <w:color w:val="FF0000"/>
        </w:rPr>
        <w:t>Casal 1961. See also Ball Site 743</w:t>
      </w:r>
      <w:r w:rsidRPr="00995AE8">
        <w:rPr>
          <w:noProof/>
          <w:color w:val="FF0000"/>
        </w:rPr>
        <w:t xml:space="preserve">; Jarrige </w:t>
      </w:r>
      <w:r>
        <w:rPr>
          <w:noProof/>
          <w:color w:val="FF0000"/>
        </w:rPr>
        <w:t>&amp;</w:t>
      </w:r>
      <w:r w:rsidRPr="00995AE8">
        <w:rPr>
          <w:noProof/>
          <w:color w:val="FF0000"/>
        </w:rPr>
        <w:t xml:space="preserve"> Tosi 1981</w:t>
      </w:r>
      <w:r>
        <w:rPr>
          <w:color w:val="FF0000"/>
        </w:rPr>
        <w:t xml:space="preserve">; </w:t>
      </w:r>
      <w:r w:rsidRPr="00047A70">
        <w:rPr>
          <w:noProof/>
          <w:color w:val="FF0000"/>
        </w:rPr>
        <w:t>Dumarçay 1984</w:t>
      </w:r>
      <w:r>
        <w:rPr>
          <w:noProof/>
          <w:color w:val="FF0000"/>
        </w:rPr>
        <w:t>;</w:t>
      </w:r>
      <w:r w:rsidRPr="00500F25">
        <w:rPr>
          <w:noProof/>
        </w:rPr>
        <w:t xml:space="preserve"> </w:t>
      </w:r>
      <w:r w:rsidRPr="00E91DD7">
        <w:rPr>
          <w:noProof/>
          <w:color w:val="FF0000"/>
        </w:rPr>
        <w:t xml:space="preserve">Bartélémy De Saizieu </w:t>
      </w:r>
      <w:r>
        <w:rPr>
          <w:noProof/>
          <w:color w:val="FF0000"/>
        </w:rPr>
        <w:t>&amp;</w:t>
      </w:r>
      <w:r w:rsidRPr="00E91DD7">
        <w:rPr>
          <w:noProof/>
          <w:color w:val="FF0000"/>
        </w:rPr>
        <w:t xml:space="preserve"> Bouquillon 1993, 1995</w:t>
      </w:r>
      <w:r w:rsidRPr="00500F25">
        <w:rPr>
          <w:noProof/>
        </w:rPr>
        <w:t xml:space="preserve"> ;</w:t>
      </w:r>
    </w:p>
  </w:endnote>
  <w:endnote w:id="24">
    <w:p w14:paraId="7444AD26" w14:textId="77777777" w:rsidR="00985B8E" w:rsidRDefault="00985B8E" w:rsidP="0030226C">
      <w:pPr>
        <w:pStyle w:val="EndnoteText"/>
      </w:pPr>
      <w:r>
        <w:rPr>
          <w:rStyle w:val="EndnoteReference"/>
        </w:rPr>
        <w:endnoteRef/>
      </w:r>
      <w:r>
        <w:t xml:space="preserve"> e</w:t>
      </w:r>
      <w:r w:rsidRPr="009842EF">
        <w:t>.g. Fairservis 1971: 127</w:t>
      </w:r>
      <w:r>
        <w:t>.</w:t>
      </w:r>
    </w:p>
  </w:endnote>
  <w:endnote w:id="25">
    <w:p w14:paraId="09B37282" w14:textId="77777777" w:rsidR="00985B8E" w:rsidRPr="001045AD" w:rsidRDefault="00985B8E" w:rsidP="0030226C">
      <w:pPr>
        <w:pStyle w:val="EndnoteText"/>
        <w:rPr>
          <w:color w:val="FF0000"/>
        </w:rPr>
      </w:pPr>
      <w:r>
        <w:rPr>
          <w:rStyle w:val="EndnoteReference"/>
        </w:rPr>
        <w:endnoteRef/>
      </w:r>
      <w:r>
        <w:t xml:space="preserve"> </w:t>
      </w:r>
      <w:r>
        <w:rPr>
          <w:color w:val="FF0000"/>
        </w:rPr>
        <w:t>‘demi-cylindres engagér’ - see Dumarçay 1984.</w:t>
      </w:r>
    </w:p>
  </w:endnote>
  <w:endnote w:id="26">
    <w:p w14:paraId="443CA7B0" w14:textId="77777777" w:rsidR="00985B8E" w:rsidRPr="007E704B" w:rsidRDefault="00985B8E" w:rsidP="0030226C">
      <w:pPr>
        <w:pStyle w:val="EndnoteText"/>
        <w:rPr>
          <w:color w:val="FF0000"/>
        </w:rPr>
      </w:pPr>
      <w:r>
        <w:rPr>
          <w:rStyle w:val="EndnoteReference"/>
        </w:rPr>
        <w:endnoteRef/>
      </w:r>
      <w:r>
        <w:t xml:space="preserve"> </w:t>
      </w:r>
      <w:r>
        <w:rPr>
          <w:color w:val="FF0000"/>
        </w:rPr>
        <w:t>Francfort 1970: 24.</w:t>
      </w:r>
    </w:p>
  </w:endnote>
  <w:endnote w:id="27">
    <w:p w14:paraId="65F9E932" w14:textId="77777777" w:rsidR="00985B8E" w:rsidRPr="007E704B" w:rsidRDefault="00985B8E" w:rsidP="0030226C">
      <w:pPr>
        <w:pStyle w:val="EndnoteText"/>
        <w:rPr>
          <w:color w:val="FF0000"/>
        </w:rPr>
      </w:pPr>
      <w:r>
        <w:rPr>
          <w:rStyle w:val="EndnoteReference"/>
        </w:rPr>
        <w:endnoteRef/>
      </w:r>
      <w:r>
        <w:t xml:space="preserve"> </w:t>
      </w:r>
      <w:r>
        <w:rPr>
          <w:color w:val="FF0000"/>
        </w:rPr>
        <w:t>Such as the medieval ‘köshks’ of the Merv Oasis, or the Seljuk Rabat-i Malik in Uzbekistan. See Herrmann 1999.</w:t>
      </w:r>
    </w:p>
  </w:endnote>
  <w:endnote w:id="28">
    <w:p w14:paraId="3F741056" w14:textId="77777777" w:rsidR="00985B8E" w:rsidRPr="00F452CE" w:rsidRDefault="00985B8E" w:rsidP="00F452CE">
      <w:pPr>
        <w:pStyle w:val="EndnoteText"/>
        <w:rPr>
          <w:color w:val="FF0000"/>
          <w:lang w:val="en-GB"/>
        </w:rPr>
      </w:pPr>
      <w:r w:rsidRPr="009C43AA">
        <w:rPr>
          <w:rStyle w:val="EndnoteReference"/>
          <w:color w:val="FF0000"/>
        </w:rPr>
        <w:endnoteRef/>
      </w:r>
      <w:r w:rsidRPr="009C43AA">
        <w:rPr>
          <w:color w:val="FF0000"/>
        </w:rPr>
        <w:t xml:space="preserve"> </w:t>
      </w:r>
      <w:r>
        <w:rPr>
          <w:color w:val="FF0000"/>
        </w:rPr>
        <w:t xml:space="preserve">See now the reconstructions in </w:t>
      </w:r>
      <w:r w:rsidRPr="00047A70">
        <w:rPr>
          <w:noProof/>
          <w:color w:val="FF0000"/>
        </w:rPr>
        <w:t>Dumarçay 1984</w:t>
      </w:r>
      <w:r>
        <w:rPr>
          <w:noProof/>
          <w:color w:val="FF0000"/>
        </w:rPr>
        <w:t>.</w:t>
      </w:r>
    </w:p>
  </w:endnote>
  <w:endnote w:id="29">
    <w:p w14:paraId="62A37FAB" w14:textId="77777777" w:rsidR="00985B8E" w:rsidRPr="00D92F05" w:rsidRDefault="00985B8E">
      <w:pPr>
        <w:pStyle w:val="EndnoteText"/>
        <w:rPr>
          <w:color w:val="FF0000"/>
          <w:lang w:val="en-GB"/>
        </w:rPr>
      </w:pPr>
      <w:r w:rsidRPr="009C43AA">
        <w:rPr>
          <w:rStyle w:val="EndnoteReference"/>
          <w:color w:val="FF0000"/>
        </w:rPr>
        <w:endnoteRef/>
      </w:r>
      <w:r w:rsidRPr="009C43AA">
        <w:rPr>
          <w:color w:val="FF0000"/>
        </w:rPr>
        <w:t xml:space="preserve"> </w:t>
      </w:r>
      <w:r>
        <w:rPr>
          <w:color w:val="FF0000"/>
        </w:rPr>
        <w:t>See Dumarçay’s 1984 Fig. 9 oblique reconstruction of the two superimposed colonnaded facades.</w:t>
      </w:r>
    </w:p>
  </w:endnote>
  <w:endnote w:id="30">
    <w:p w14:paraId="3565A773" w14:textId="77777777" w:rsidR="00985B8E" w:rsidRPr="00E2672B" w:rsidRDefault="00985B8E" w:rsidP="00014A00">
      <w:pPr>
        <w:pStyle w:val="EndnoteText"/>
        <w:rPr>
          <w:color w:val="FF0000"/>
          <w:lang w:val="en-GB"/>
        </w:rPr>
      </w:pPr>
      <w:r>
        <w:rPr>
          <w:rStyle w:val="EndnoteReference"/>
        </w:rPr>
        <w:endnoteRef/>
      </w:r>
      <w:r>
        <w:t xml:space="preserve"> </w:t>
      </w:r>
      <w:r>
        <w:rPr>
          <w:color w:val="FF0000"/>
          <w:lang w:val="en-GB"/>
        </w:rPr>
        <w:t>Whitehouse in McNicoll &amp; Ball 1996; Helms 1997.</w:t>
      </w:r>
    </w:p>
  </w:endnote>
  <w:endnote w:id="31">
    <w:p w14:paraId="17D5C8F0" w14:textId="77777777" w:rsidR="00985B8E" w:rsidRPr="00474B63" w:rsidRDefault="00985B8E">
      <w:pPr>
        <w:pStyle w:val="EndnoteText"/>
        <w:rPr>
          <w:color w:val="FF0000"/>
          <w:lang w:val="en-GB"/>
        </w:rPr>
      </w:pPr>
      <w:r>
        <w:rPr>
          <w:rStyle w:val="EndnoteReference"/>
        </w:rPr>
        <w:endnoteRef/>
      </w:r>
      <w:r>
        <w:t xml:space="preserve"> </w:t>
      </w:r>
      <w:r>
        <w:rPr>
          <w:color w:val="FF0000"/>
          <w:lang w:val="en-GB"/>
        </w:rPr>
        <w:t>See the provisional reconstruction in Dumarçay 1984: Fig. 14.</w:t>
      </w:r>
    </w:p>
  </w:endnote>
  <w:endnote w:id="32">
    <w:p w14:paraId="7F8A50B6" w14:textId="77777777" w:rsidR="00985B8E" w:rsidRPr="00474B63" w:rsidRDefault="00985B8E">
      <w:pPr>
        <w:pStyle w:val="EndnoteText"/>
        <w:rPr>
          <w:color w:val="FF0000"/>
          <w:lang w:val="en-GB"/>
        </w:rPr>
      </w:pPr>
      <w:r>
        <w:rPr>
          <w:rStyle w:val="EndnoteReference"/>
        </w:rPr>
        <w:endnoteRef/>
      </w:r>
      <w:r>
        <w:t xml:space="preserve"> </w:t>
      </w:r>
      <w:r>
        <w:rPr>
          <w:color w:val="FF0000"/>
          <w:lang w:val="en-GB"/>
        </w:rPr>
        <w:t>Dumarçay 1984: Fig. 12.</w:t>
      </w:r>
    </w:p>
  </w:endnote>
  <w:endnote w:id="33">
    <w:p w14:paraId="784758CA" w14:textId="77777777" w:rsidR="00985B8E" w:rsidRPr="00474B63" w:rsidRDefault="00985B8E">
      <w:pPr>
        <w:pStyle w:val="EndnoteText"/>
      </w:pPr>
      <w:r>
        <w:rPr>
          <w:rStyle w:val="EndnoteReference"/>
        </w:rPr>
        <w:endnoteRef/>
      </w:r>
      <w:r>
        <w:t xml:space="preserve"> </w:t>
      </w:r>
      <w:r>
        <w:rPr>
          <w:color w:val="FF0000"/>
          <w:lang w:val="en-GB"/>
        </w:rPr>
        <w:t>Dumarçay 1984: Fig. 13.</w:t>
      </w:r>
    </w:p>
  </w:endnote>
  <w:endnote w:id="34">
    <w:p w14:paraId="64263531" w14:textId="77777777" w:rsidR="00985B8E" w:rsidRPr="009E76BE" w:rsidRDefault="00985B8E">
      <w:pPr>
        <w:pStyle w:val="EndnoteText"/>
        <w:rPr>
          <w:lang w:val="en-GB"/>
        </w:rPr>
      </w:pPr>
      <w:r>
        <w:rPr>
          <w:rStyle w:val="EndnoteReference"/>
        </w:rPr>
        <w:endnoteRef/>
      </w:r>
      <w:r>
        <w:t xml:space="preserve"> </w:t>
      </w:r>
      <w:r>
        <w:rPr>
          <w:color w:val="FF0000"/>
          <w:lang w:val="en-GB"/>
        </w:rPr>
        <w:t>Dumarçay 1984: Fig. 14.</w:t>
      </w:r>
    </w:p>
  </w:endnote>
  <w:endnote w:id="35">
    <w:p w14:paraId="28D383BA" w14:textId="77777777" w:rsidR="00985B8E" w:rsidRPr="006005F4" w:rsidRDefault="00985B8E">
      <w:pPr>
        <w:pStyle w:val="EndnoteText"/>
        <w:rPr>
          <w:color w:val="FF0000"/>
          <w:lang w:val="en-GB"/>
        </w:rPr>
      </w:pPr>
      <w:r>
        <w:rPr>
          <w:rStyle w:val="EndnoteReference"/>
        </w:rPr>
        <w:endnoteRef/>
      </w:r>
      <w:r>
        <w:t xml:space="preserve"> </w:t>
      </w:r>
      <w:r>
        <w:rPr>
          <w:color w:val="FF0000"/>
          <w:lang w:val="en-GB"/>
        </w:rPr>
        <w:t>Whitehouse in McNicoll &amp; Ball 1976: 23.</w:t>
      </w:r>
    </w:p>
  </w:endnote>
  <w:endnote w:id="36">
    <w:p w14:paraId="557131C3" w14:textId="77777777" w:rsidR="00985B8E" w:rsidRPr="00A540FD" w:rsidRDefault="00985B8E">
      <w:pPr>
        <w:pStyle w:val="EndnoteText"/>
        <w:rPr>
          <w:color w:val="FF0000"/>
        </w:rPr>
      </w:pPr>
      <w:r>
        <w:rPr>
          <w:rStyle w:val="EndnoteReference"/>
        </w:rPr>
        <w:endnoteRef/>
      </w:r>
      <w:r>
        <w:t xml:space="preserve"> </w:t>
      </w:r>
      <w:r>
        <w:rPr>
          <w:color w:val="FF0000"/>
        </w:rPr>
        <w:t>Ball 1988: 134.</w:t>
      </w:r>
    </w:p>
  </w:endnote>
  <w:endnote w:id="37">
    <w:p w14:paraId="08474FDE" w14:textId="3092B76B" w:rsidR="00985B8E" w:rsidRPr="000526DA" w:rsidRDefault="00985B8E">
      <w:pPr>
        <w:pStyle w:val="EndnoteText"/>
        <w:rPr>
          <w:lang w:val="en-GB"/>
        </w:rPr>
      </w:pPr>
      <w:r>
        <w:rPr>
          <w:rStyle w:val="EndnoteReference"/>
        </w:rPr>
        <w:endnoteRef/>
      </w:r>
      <w:r>
        <w:t xml:space="preserve"> </w:t>
      </w:r>
      <w:r>
        <w:rPr>
          <w:lang w:val="en-GB"/>
        </w:rPr>
        <w:t>Shaffer 1978: 110</w:t>
      </w:r>
    </w:p>
  </w:endnote>
  <w:endnote w:id="38">
    <w:p w14:paraId="728EF2B5" w14:textId="77777777" w:rsidR="00985B8E" w:rsidRDefault="00985B8E" w:rsidP="0030226C">
      <w:pPr>
        <w:pStyle w:val="EndnoteText"/>
      </w:pPr>
      <w:r>
        <w:rPr>
          <w:rStyle w:val="EndnoteReference"/>
        </w:rPr>
        <w:endnoteRef/>
      </w:r>
      <w:r>
        <w:t xml:space="preserve"> E</w:t>
      </w:r>
      <w:r w:rsidRPr="00152B55">
        <w:t>.g. Dales, 1965, 1973: 160</w:t>
      </w:r>
      <w:r>
        <w:t>.</w:t>
      </w:r>
    </w:p>
  </w:endnote>
  <w:endnote w:id="39">
    <w:p w14:paraId="71020708" w14:textId="77777777" w:rsidR="00985B8E" w:rsidRDefault="00985B8E" w:rsidP="0030226C">
      <w:pPr>
        <w:pStyle w:val="EndnoteText"/>
      </w:pPr>
      <w:r>
        <w:rPr>
          <w:rStyle w:val="EndnoteReference"/>
        </w:rPr>
        <w:endnoteRef/>
      </w:r>
      <w:r>
        <w:t xml:space="preserve"> Lamberg-Karlovsky and Tosi 1973; Mutin 2014.</w:t>
      </w:r>
    </w:p>
  </w:endnote>
  <w:endnote w:id="40">
    <w:p w14:paraId="75D4B2B7" w14:textId="77777777" w:rsidR="00985B8E" w:rsidRDefault="00985B8E" w:rsidP="0030226C">
      <w:pPr>
        <w:pStyle w:val="EndnoteText"/>
      </w:pPr>
      <w:r>
        <w:rPr>
          <w:rStyle w:val="EndnoteReference"/>
        </w:rPr>
        <w:endnoteRef/>
      </w:r>
      <w:r>
        <w:t xml:space="preserve"> Masson and Sarianidi 1972: 124–8.</w:t>
      </w:r>
    </w:p>
  </w:endnote>
  <w:endnote w:id="41">
    <w:p w14:paraId="2BF346D3" w14:textId="6E4C593B" w:rsidR="00985B8E" w:rsidRPr="00282F92" w:rsidRDefault="00985B8E">
      <w:pPr>
        <w:pStyle w:val="EndnoteText"/>
        <w:rPr>
          <w:lang w:val="en-GB"/>
        </w:rPr>
      </w:pPr>
      <w:r>
        <w:rPr>
          <w:rStyle w:val="EndnoteReference"/>
        </w:rPr>
        <w:endnoteRef/>
      </w:r>
      <w:r>
        <w:t xml:space="preserve"> </w:t>
      </w:r>
      <w:r>
        <w:rPr>
          <w:lang w:val="en-GB"/>
        </w:rPr>
        <w:t>Casal 1961: 258; Coursaget and Le Run 1966: 138.</w:t>
      </w:r>
    </w:p>
  </w:endnote>
  <w:endnote w:id="42">
    <w:p w14:paraId="2DE725F7" w14:textId="4FBA1F6A" w:rsidR="00985B8E" w:rsidRPr="000526DA" w:rsidRDefault="00985B8E">
      <w:pPr>
        <w:pStyle w:val="EndnoteText"/>
        <w:rPr>
          <w:lang w:val="en-GB"/>
        </w:rPr>
      </w:pPr>
      <w:r>
        <w:rPr>
          <w:rStyle w:val="EndnoteReference"/>
        </w:rPr>
        <w:endnoteRef/>
      </w:r>
      <w:r>
        <w:t xml:space="preserve"> </w:t>
      </w:r>
      <w:r>
        <w:rPr>
          <w:lang w:val="en-GB"/>
        </w:rPr>
        <w:t>Coursaget and Le Run 1966: 138.</w:t>
      </w:r>
    </w:p>
  </w:endnote>
  <w:endnote w:id="43">
    <w:p w14:paraId="53507D6C" w14:textId="77777777" w:rsidR="00985B8E" w:rsidRDefault="00985B8E" w:rsidP="0030226C">
      <w:pPr>
        <w:pStyle w:val="EndnoteText"/>
      </w:pPr>
      <w:r>
        <w:rPr>
          <w:rStyle w:val="EndnoteReference"/>
        </w:rPr>
        <w:endnoteRef/>
      </w:r>
      <w:r>
        <w:t xml:space="preserve"> </w:t>
      </w:r>
      <w:r w:rsidRPr="00E655B1">
        <w:t xml:space="preserve">Dales </w:t>
      </w:r>
      <w:r w:rsidRPr="00E91DD7">
        <w:t>1973: 168</w:t>
      </w:r>
      <w:r>
        <w:rPr>
          <w:b/>
        </w:rPr>
        <w:t>.</w:t>
      </w:r>
    </w:p>
  </w:endnote>
  <w:endnote w:id="44">
    <w:p w14:paraId="79177981" w14:textId="48C543E0" w:rsidR="00985B8E" w:rsidRPr="000526DA" w:rsidRDefault="00985B8E">
      <w:pPr>
        <w:pStyle w:val="EndnoteText"/>
        <w:rPr>
          <w:lang w:val="en-GB"/>
        </w:rPr>
      </w:pPr>
      <w:r>
        <w:rPr>
          <w:rStyle w:val="EndnoteReference"/>
        </w:rPr>
        <w:endnoteRef/>
      </w:r>
      <w:r>
        <w:t xml:space="preserve"> </w:t>
      </w:r>
      <w:r>
        <w:rPr>
          <w:lang w:val="en-GB"/>
        </w:rPr>
        <w:t>Agrawal and Kusumgar 1973: 580.</w:t>
      </w:r>
    </w:p>
  </w:endnote>
  <w:endnote w:id="45">
    <w:p w14:paraId="51E87D29" w14:textId="77777777" w:rsidR="00985B8E" w:rsidRDefault="00985B8E" w:rsidP="0030226C">
      <w:pPr>
        <w:pStyle w:val="EndnoteText"/>
      </w:pPr>
      <w:r>
        <w:rPr>
          <w:rStyle w:val="EndnoteReference"/>
        </w:rPr>
        <w:endnoteRef/>
      </w:r>
      <w:r>
        <w:t xml:space="preserve"> Dales 1973: 159.</w:t>
      </w:r>
    </w:p>
  </w:endnote>
  <w:endnote w:id="46">
    <w:p w14:paraId="5A9DABFB" w14:textId="29554F0B" w:rsidR="00985B8E" w:rsidRDefault="00985B8E" w:rsidP="0030226C">
      <w:pPr>
        <w:pStyle w:val="EndnoteText"/>
      </w:pPr>
      <w:r>
        <w:rPr>
          <w:rStyle w:val="EndnoteReference"/>
        </w:rPr>
        <w:endnoteRef/>
      </w:r>
      <w:r>
        <w:t xml:space="preserve"> Lawn 1970 586; Fishman </w:t>
      </w:r>
      <w:r w:rsidRPr="000526DA">
        <w:rPr>
          <w:i/>
        </w:rPr>
        <w:t>et al</w:t>
      </w:r>
      <w:r>
        <w:t>. 1977: 213.</w:t>
      </w:r>
    </w:p>
  </w:endnote>
  <w:endnote w:id="47">
    <w:p w14:paraId="17C668D3" w14:textId="225F3550" w:rsidR="00985B8E" w:rsidRPr="00D127A1" w:rsidRDefault="00985B8E">
      <w:pPr>
        <w:pStyle w:val="EndnoteText"/>
        <w:rPr>
          <w:lang w:val="en-GB"/>
        </w:rPr>
      </w:pPr>
      <w:r>
        <w:rPr>
          <w:rStyle w:val="EndnoteReference"/>
        </w:rPr>
        <w:endnoteRef/>
      </w:r>
      <w:r>
        <w:t xml:space="preserve"> </w:t>
      </w:r>
      <w:r>
        <w:rPr>
          <w:lang w:val="en-GB"/>
        </w:rPr>
        <w:t>Shaffer 1992: Table 4.</w:t>
      </w:r>
    </w:p>
  </w:endnote>
  <w:endnote w:id="48">
    <w:p w14:paraId="03A029C6" w14:textId="6ACBC56B" w:rsidR="00985B8E" w:rsidRPr="000526DA" w:rsidRDefault="00985B8E">
      <w:pPr>
        <w:pStyle w:val="EndnoteText"/>
        <w:rPr>
          <w:lang w:val="en-GB"/>
        </w:rPr>
      </w:pPr>
      <w:r>
        <w:rPr>
          <w:rStyle w:val="EndnoteReference"/>
        </w:rPr>
        <w:endnoteRef/>
      </w:r>
      <w:r>
        <w:t xml:space="preserve"> </w:t>
      </w:r>
      <w:r>
        <w:rPr>
          <w:lang w:val="en-GB"/>
        </w:rPr>
        <w:t>Jarrige 2007, 2013; Petrie 2015.</w:t>
      </w:r>
    </w:p>
  </w:endnote>
  <w:endnote w:id="49">
    <w:p w14:paraId="6DDB97D2" w14:textId="73C1CE21" w:rsidR="00985B8E" w:rsidRDefault="00985B8E" w:rsidP="0030226C">
      <w:pPr>
        <w:pStyle w:val="EndnoteText"/>
      </w:pPr>
      <w:r>
        <w:rPr>
          <w:rStyle w:val="EndnoteReference"/>
        </w:rPr>
        <w:endnoteRef/>
      </w:r>
      <w:r>
        <w:t xml:space="preserve"> Shaffer 1978, 1992; </w:t>
      </w:r>
      <w:r>
        <w:rPr>
          <w:lang w:val="en-GB"/>
        </w:rPr>
        <w:t xml:space="preserve">Cortesi </w:t>
      </w:r>
      <w:r w:rsidRPr="00BE5F65">
        <w:rPr>
          <w:i/>
          <w:lang w:val="en-GB"/>
        </w:rPr>
        <w:t>et al</w:t>
      </w:r>
      <w:r>
        <w:rPr>
          <w:lang w:val="en-GB"/>
        </w:rPr>
        <w:t xml:space="preserve">. 2008; Jarrige </w:t>
      </w:r>
      <w:r w:rsidRPr="00BE5F65">
        <w:rPr>
          <w:i/>
          <w:lang w:val="en-GB"/>
        </w:rPr>
        <w:t>et al</w:t>
      </w:r>
      <w:r>
        <w:rPr>
          <w:lang w:val="en-GB"/>
        </w:rPr>
        <w:t>. 2011.</w:t>
      </w:r>
    </w:p>
  </w:endnote>
  <w:endnote w:id="50">
    <w:p w14:paraId="0E6AAA1C" w14:textId="0C7F769A" w:rsidR="00985B8E" w:rsidRPr="00BE5F65" w:rsidRDefault="00985B8E">
      <w:pPr>
        <w:pStyle w:val="EndnoteText"/>
        <w:rPr>
          <w:lang w:val="en-GB"/>
        </w:rPr>
      </w:pPr>
      <w:r>
        <w:rPr>
          <w:rStyle w:val="EndnoteReference"/>
        </w:rPr>
        <w:endnoteRef/>
      </w:r>
      <w:r>
        <w:t xml:space="preserve"> </w:t>
      </w:r>
      <w:r>
        <w:rPr>
          <w:lang w:val="en-GB"/>
        </w:rPr>
        <w:t xml:space="preserve">Cortesi </w:t>
      </w:r>
      <w:r w:rsidRPr="00BE5F65">
        <w:rPr>
          <w:i/>
          <w:lang w:val="en-GB"/>
        </w:rPr>
        <w:t>et al</w:t>
      </w:r>
      <w:r>
        <w:rPr>
          <w:lang w:val="en-GB"/>
        </w:rPr>
        <w:t xml:space="preserve">. 2008; Jarrige </w:t>
      </w:r>
      <w:r w:rsidRPr="00BE5F65">
        <w:rPr>
          <w:i/>
          <w:lang w:val="en-GB"/>
        </w:rPr>
        <w:t>et al</w:t>
      </w:r>
      <w:r>
        <w:rPr>
          <w:lang w:val="en-GB"/>
        </w:rPr>
        <w:t>. 2011.</w:t>
      </w:r>
    </w:p>
  </w:endnote>
  <w:endnote w:id="51">
    <w:p w14:paraId="46CB1E53" w14:textId="77777777" w:rsidR="00985B8E" w:rsidRPr="00F14E89" w:rsidRDefault="00985B8E" w:rsidP="0030226C">
      <w:pPr>
        <w:pStyle w:val="EndnoteText"/>
        <w:rPr>
          <w:lang w:val="fr-FR"/>
        </w:rPr>
      </w:pPr>
      <w:r>
        <w:rPr>
          <w:rStyle w:val="EndnoteReference"/>
        </w:rPr>
        <w:endnoteRef/>
      </w:r>
      <w:r w:rsidRPr="009C43AA">
        <w:rPr>
          <w:lang w:val="fr-FR"/>
        </w:rPr>
        <w:t xml:space="preserve"> e.g. Fairservis 1971: 127.</w:t>
      </w:r>
    </w:p>
  </w:endnote>
  <w:endnote w:id="52">
    <w:p w14:paraId="700C8F17" w14:textId="77777777" w:rsidR="00985B8E" w:rsidRDefault="00985B8E" w:rsidP="009D4B06">
      <w:pPr>
        <w:pStyle w:val="EndnoteText"/>
      </w:pPr>
      <w:r>
        <w:rPr>
          <w:rStyle w:val="EndnoteReference"/>
        </w:rPr>
        <w:endnoteRef/>
      </w:r>
      <w:r>
        <w:t xml:space="preserve"> Shaffer 1972 1974a.</w:t>
      </w:r>
    </w:p>
  </w:endnote>
  <w:endnote w:id="53">
    <w:p w14:paraId="221526B9" w14:textId="77777777" w:rsidR="00985B8E" w:rsidRDefault="00985B8E" w:rsidP="0030226C">
      <w:pPr>
        <w:pStyle w:val="EndnoteText"/>
      </w:pPr>
      <w:r>
        <w:rPr>
          <w:rStyle w:val="EndnoteReference"/>
        </w:rPr>
        <w:endnoteRef/>
      </w:r>
      <w:r>
        <w:t xml:space="preserve"> Fairservis 1956; Dupree 1964.</w:t>
      </w:r>
    </w:p>
  </w:endnote>
  <w:endnote w:id="54">
    <w:p w14:paraId="207B4147" w14:textId="77777777" w:rsidR="00985B8E" w:rsidRDefault="00985B8E" w:rsidP="0030226C">
      <w:pPr>
        <w:pStyle w:val="EndnoteText"/>
      </w:pPr>
      <w:r>
        <w:rPr>
          <w:rStyle w:val="EndnoteReference"/>
        </w:rPr>
        <w:endnoteRef/>
      </w:r>
      <w:r>
        <w:t xml:space="preserve"> Fairservis 1956.</w:t>
      </w:r>
    </w:p>
  </w:endnote>
  <w:endnote w:id="55">
    <w:p w14:paraId="338411DE" w14:textId="77777777" w:rsidR="00985B8E" w:rsidRDefault="00985B8E" w:rsidP="0030226C">
      <w:pPr>
        <w:pStyle w:val="EndnoteText"/>
      </w:pPr>
      <w:r>
        <w:rPr>
          <w:rStyle w:val="EndnoteReference"/>
        </w:rPr>
        <w:endnoteRef/>
      </w:r>
      <w:r>
        <w:t xml:space="preserve"> Shaffer 1972.</w:t>
      </w:r>
    </w:p>
  </w:endnote>
  <w:endnote w:id="56">
    <w:p w14:paraId="6CAE39A7" w14:textId="77777777" w:rsidR="00985B8E" w:rsidRDefault="00985B8E" w:rsidP="0030226C">
      <w:pPr>
        <w:pStyle w:val="EndnoteText"/>
      </w:pPr>
      <w:r>
        <w:rPr>
          <w:rStyle w:val="EndnoteReference"/>
        </w:rPr>
        <w:endnoteRef/>
      </w:r>
      <w:r>
        <w:t xml:space="preserve"> Shaffer 1972: 251– 2.</w:t>
      </w:r>
    </w:p>
  </w:endnote>
  <w:endnote w:id="57">
    <w:p w14:paraId="72E6AADC" w14:textId="77777777" w:rsidR="00985B8E" w:rsidRDefault="00985B8E" w:rsidP="0030226C">
      <w:pPr>
        <w:pStyle w:val="EndnoteText"/>
      </w:pPr>
      <w:r>
        <w:rPr>
          <w:rStyle w:val="EndnoteReference"/>
        </w:rPr>
        <w:endnoteRef/>
      </w:r>
      <w:r>
        <w:t xml:space="preserve"> e.g. Ross 1946; Fairservis 1959.</w:t>
      </w:r>
    </w:p>
  </w:endnote>
  <w:endnote w:id="58">
    <w:p w14:paraId="1635A90B" w14:textId="77777777" w:rsidR="00985B8E" w:rsidRDefault="00985B8E" w:rsidP="0030226C">
      <w:pPr>
        <w:pStyle w:val="EndnoteText"/>
      </w:pPr>
      <w:r>
        <w:rPr>
          <w:rStyle w:val="EndnoteReference"/>
        </w:rPr>
        <w:endnoteRef/>
      </w:r>
      <w:r>
        <w:t xml:space="preserve"> Mughal 1970: 302.</w:t>
      </w:r>
    </w:p>
  </w:endnote>
  <w:endnote w:id="59">
    <w:p w14:paraId="23A2CCDC" w14:textId="77777777" w:rsidR="00985B8E" w:rsidRDefault="00985B8E" w:rsidP="0030226C">
      <w:pPr>
        <w:pStyle w:val="EndnoteText"/>
      </w:pPr>
      <w:r>
        <w:rPr>
          <w:rStyle w:val="EndnoteReference"/>
        </w:rPr>
        <w:endnoteRef/>
      </w:r>
      <w:r>
        <w:t xml:space="preserve"> De Cardi 1965: 134.</w:t>
      </w:r>
    </w:p>
  </w:endnote>
  <w:endnote w:id="60">
    <w:p w14:paraId="3799E0CD" w14:textId="77777777" w:rsidR="00985B8E" w:rsidRDefault="00985B8E" w:rsidP="0030226C">
      <w:pPr>
        <w:pStyle w:val="EndnoteText"/>
      </w:pPr>
      <w:r>
        <w:rPr>
          <w:rStyle w:val="EndnoteReference"/>
        </w:rPr>
        <w:endnoteRef/>
      </w:r>
      <w:r>
        <w:t xml:space="preserve"> Mughal 1970: 302.</w:t>
      </w:r>
    </w:p>
  </w:endnote>
  <w:endnote w:id="61">
    <w:p w14:paraId="5B2365BF" w14:textId="62397FF4" w:rsidR="00985B8E" w:rsidRPr="003B23F3" w:rsidRDefault="00985B8E">
      <w:pPr>
        <w:pStyle w:val="EndnoteText"/>
        <w:rPr>
          <w:lang w:val="en-GB"/>
        </w:rPr>
      </w:pPr>
      <w:r>
        <w:rPr>
          <w:rStyle w:val="EndnoteReference"/>
        </w:rPr>
        <w:endnoteRef/>
      </w:r>
      <w:r>
        <w:t xml:space="preserve"> </w:t>
      </w:r>
      <w:r>
        <w:rPr>
          <w:lang w:val="en-GB"/>
        </w:rPr>
        <w:t>Sarianidi 1965; Biscione 1973</w:t>
      </w:r>
    </w:p>
  </w:endnote>
  <w:endnote w:id="62">
    <w:p w14:paraId="2551D9E3" w14:textId="6D0DCE8F" w:rsidR="00985B8E" w:rsidRPr="00174244" w:rsidRDefault="00985B8E" w:rsidP="00E5027D">
      <w:pPr>
        <w:pStyle w:val="EndnoteText"/>
        <w:rPr>
          <w:lang w:val="fr-FR"/>
        </w:rPr>
      </w:pPr>
      <w:r>
        <w:rPr>
          <w:rStyle w:val="EndnoteReference"/>
        </w:rPr>
        <w:endnoteRef/>
      </w:r>
      <w:r w:rsidRPr="00D34785">
        <w:rPr>
          <w:lang w:val="fr-FR"/>
        </w:rPr>
        <w:t xml:space="preserve"> Tosi 1973; Biscione 1973; </w:t>
      </w:r>
      <w:r>
        <w:rPr>
          <w:lang w:val="fr-FR"/>
        </w:rPr>
        <w:t xml:space="preserve">Cortesi </w:t>
      </w:r>
      <w:r w:rsidRPr="003B23F3">
        <w:rPr>
          <w:i/>
          <w:lang w:val="fr-FR"/>
        </w:rPr>
        <w:t>et al</w:t>
      </w:r>
      <w:r>
        <w:rPr>
          <w:lang w:val="fr-FR"/>
        </w:rPr>
        <w:t xml:space="preserve">. 2008; </w:t>
      </w:r>
      <w:r w:rsidRPr="00D34785">
        <w:rPr>
          <w:lang w:val="fr-FR"/>
        </w:rPr>
        <w:t xml:space="preserve">Jarrige </w:t>
      </w:r>
      <w:r w:rsidRPr="003B23F3">
        <w:rPr>
          <w:i/>
          <w:lang w:val="fr-FR"/>
        </w:rPr>
        <w:t>et al</w:t>
      </w:r>
      <w:r>
        <w:rPr>
          <w:lang w:val="fr-FR"/>
        </w:rPr>
        <w:t xml:space="preserve"> 2011</w:t>
      </w:r>
      <w:r w:rsidRPr="00D34785">
        <w:rPr>
          <w:lang w:val="fr-FR"/>
        </w:rPr>
        <w:t>.</w:t>
      </w:r>
    </w:p>
  </w:endnote>
  <w:endnote w:id="63">
    <w:p w14:paraId="5020A2E5" w14:textId="77777777" w:rsidR="00985B8E" w:rsidRDefault="00985B8E" w:rsidP="0030226C">
      <w:pPr>
        <w:pStyle w:val="EndnoteText"/>
      </w:pPr>
      <w:r>
        <w:rPr>
          <w:rStyle w:val="EndnoteReference"/>
        </w:rPr>
        <w:endnoteRef/>
      </w:r>
      <w:r>
        <w:t xml:space="preserve"> see also Fairservis 1956: 242 244; Dupree 1963: 73 76.</w:t>
      </w:r>
    </w:p>
  </w:endnote>
  <w:endnote w:id="64">
    <w:p w14:paraId="0F160555" w14:textId="77777777" w:rsidR="00985B8E" w:rsidRDefault="00985B8E" w:rsidP="0030226C">
      <w:pPr>
        <w:pStyle w:val="EndnoteText"/>
      </w:pPr>
      <w:r>
        <w:rPr>
          <w:rStyle w:val="EndnoteReference"/>
        </w:rPr>
        <w:endnoteRef/>
      </w:r>
      <w:r>
        <w:t xml:space="preserve"> see also Fairservis 1956: 259 261; Dupree 1963: 78–9.</w:t>
      </w:r>
    </w:p>
  </w:endnote>
  <w:endnote w:id="65">
    <w:p w14:paraId="5AD7550F" w14:textId="155868A3" w:rsidR="00985B8E" w:rsidRDefault="00985B8E" w:rsidP="0030226C">
      <w:pPr>
        <w:pStyle w:val="EndnoteText"/>
      </w:pPr>
      <w:r>
        <w:rPr>
          <w:rStyle w:val="EndnoteReference"/>
        </w:rPr>
        <w:endnoteRef/>
      </w:r>
      <w:r>
        <w:t xml:space="preserve"> after </w:t>
      </w:r>
      <w:r w:rsidRPr="00152B55">
        <w:t>Piggott, 1947</w:t>
      </w:r>
      <w:r>
        <w:t>.</w:t>
      </w:r>
    </w:p>
  </w:endnote>
  <w:endnote w:id="66">
    <w:p w14:paraId="11E70FB9" w14:textId="77777777" w:rsidR="00985B8E" w:rsidRDefault="00985B8E" w:rsidP="0030226C">
      <w:pPr>
        <w:pStyle w:val="EndnoteText"/>
      </w:pPr>
      <w:r>
        <w:rPr>
          <w:rStyle w:val="EndnoteReference"/>
        </w:rPr>
        <w:endnoteRef/>
      </w:r>
      <w:r>
        <w:t xml:space="preserve"> </w:t>
      </w:r>
      <w:r w:rsidRPr="00152B55">
        <w:t>see Fairservis, 1956: 26</w:t>
      </w:r>
      <w:r>
        <w:t>4.</w:t>
      </w:r>
    </w:p>
  </w:endnote>
  <w:endnote w:id="67">
    <w:p w14:paraId="6852D591" w14:textId="11631122" w:rsidR="00985B8E" w:rsidRDefault="00985B8E" w:rsidP="0030226C">
      <w:pPr>
        <w:pStyle w:val="EndnoteText"/>
      </w:pPr>
      <w:r>
        <w:rPr>
          <w:rStyle w:val="EndnoteReference"/>
        </w:rPr>
        <w:endnoteRef/>
      </w:r>
      <w:r>
        <w:t xml:space="preserve"> Tosi 1973; Biscione 1973; Cortesi </w:t>
      </w:r>
      <w:r w:rsidRPr="003B23F3">
        <w:rPr>
          <w:i/>
        </w:rPr>
        <w:t>et al</w:t>
      </w:r>
      <w:r>
        <w:t xml:space="preserve">. 2008; Jarrige </w:t>
      </w:r>
      <w:r w:rsidRPr="003B23F3">
        <w:rPr>
          <w:i/>
        </w:rPr>
        <w:t>et al</w:t>
      </w:r>
      <w:r>
        <w:t>. 2011; Mutin and Lamberg-Karlovsky 2013.</w:t>
      </w:r>
    </w:p>
  </w:endnote>
  <w:endnote w:id="68">
    <w:p w14:paraId="4CD7FFB4" w14:textId="6C8816A0" w:rsidR="00985B8E" w:rsidRDefault="00985B8E" w:rsidP="0030226C">
      <w:pPr>
        <w:pStyle w:val="EndnoteText"/>
      </w:pPr>
      <w:r>
        <w:rPr>
          <w:rStyle w:val="EndnoteReference"/>
        </w:rPr>
        <w:endnoteRef/>
      </w:r>
      <w:r>
        <w:t xml:space="preserve"> Fairservis 1956; see also Jarrige </w:t>
      </w:r>
      <w:r w:rsidRPr="000526DA">
        <w:rPr>
          <w:i/>
        </w:rPr>
        <w:t>et al</w:t>
      </w:r>
      <w:r>
        <w:t>. 2011..</w:t>
      </w:r>
    </w:p>
  </w:endnote>
  <w:endnote w:id="69">
    <w:p w14:paraId="1579890A" w14:textId="77777777" w:rsidR="00985B8E" w:rsidRDefault="00985B8E" w:rsidP="0030226C">
      <w:pPr>
        <w:pStyle w:val="EndnoteText"/>
      </w:pPr>
      <w:r>
        <w:rPr>
          <w:rStyle w:val="EndnoteReference"/>
        </w:rPr>
        <w:endnoteRef/>
      </w:r>
      <w:r>
        <w:t xml:space="preserve"> Casal 1961: Fig. 48.</w:t>
      </w:r>
    </w:p>
  </w:endnote>
  <w:endnote w:id="70">
    <w:p w14:paraId="728B06A4" w14:textId="77777777" w:rsidR="00985B8E" w:rsidRDefault="00985B8E" w:rsidP="0030226C">
      <w:pPr>
        <w:pStyle w:val="EndnoteText"/>
      </w:pPr>
      <w:r>
        <w:rPr>
          <w:rStyle w:val="EndnoteReference"/>
        </w:rPr>
        <w:endnoteRef/>
      </w:r>
      <w:r>
        <w:t xml:space="preserve"> Casal 1962: Fig. 75 no. 249.</w:t>
      </w:r>
    </w:p>
  </w:endnote>
  <w:endnote w:id="71">
    <w:p w14:paraId="27BFCDF0" w14:textId="1D3D6715" w:rsidR="00985B8E" w:rsidRPr="006858D3" w:rsidRDefault="00985B8E">
      <w:pPr>
        <w:pStyle w:val="EndnoteText"/>
        <w:rPr>
          <w:lang w:val="en-GB"/>
        </w:rPr>
      </w:pPr>
      <w:r>
        <w:rPr>
          <w:rStyle w:val="EndnoteReference"/>
        </w:rPr>
        <w:endnoteRef/>
      </w:r>
      <w:r>
        <w:t xml:space="preserve"> </w:t>
      </w:r>
      <w:r>
        <w:rPr>
          <w:lang w:val="en-GB"/>
        </w:rPr>
        <w:t xml:space="preserve">See Fairservis 1956; Jarrige </w:t>
      </w:r>
      <w:r w:rsidRPr="006858D3">
        <w:rPr>
          <w:i/>
          <w:lang w:val="en-GB"/>
        </w:rPr>
        <w:t>et al</w:t>
      </w:r>
      <w:r>
        <w:rPr>
          <w:lang w:val="en-GB"/>
        </w:rPr>
        <w:t>. 2011.</w:t>
      </w:r>
    </w:p>
  </w:endnote>
  <w:endnote w:id="72">
    <w:p w14:paraId="5A8AC2C1" w14:textId="0C6E61F6" w:rsidR="00985B8E" w:rsidRDefault="00985B8E" w:rsidP="0030226C">
      <w:pPr>
        <w:pStyle w:val="EndnoteText"/>
      </w:pPr>
      <w:r>
        <w:rPr>
          <w:rStyle w:val="EndnoteReference"/>
        </w:rPr>
        <w:endnoteRef/>
      </w:r>
      <w:r>
        <w:t xml:space="preserve"> Mughal 1970: 313–8; also Bala 2003: Fig. 21.motifs H-K.</w:t>
      </w:r>
    </w:p>
  </w:endnote>
  <w:endnote w:id="73">
    <w:p w14:paraId="185E45A6" w14:textId="77777777" w:rsidR="00985B8E" w:rsidRPr="005501F2" w:rsidRDefault="00985B8E">
      <w:pPr>
        <w:pStyle w:val="EndnoteText"/>
        <w:rPr>
          <w:lang w:val="en-GB"/>
        </w:rPr>
      </w:pPr>
      <w:r>
        <w:rPr>
          <w:rStyle w:val="EndnoteReference"/>
        </w:rPr>
        <w:endnoteRef/>
      </w:r>
      <w:r>
        <w:t xml:space="preserve"> </w:t>
      </w:r>
      <w:r w:rsidRPr="00067D8A">
        <w:rPr>
          <w:rFonts w:asciiTheme="majorBidi" w:hAnsiTheme="majorBidi" w:cstheme="majorBidi"/>
          <w:sz w:val="24"/>
          <w:szCs w:val="22"/>
        </w:rPr>
        <w:t>Casal, 1961: Fig. 103, no. 496</w:t>
      </w:r>
      <w:r>
        <w:rPr>
          <w:rFonts w:asciiTheme="majorBidi" w:hAnsiTheme="majorBidi" w:cstheme="majorBidi"/>
          <w:sz w:val="24"/>
          <w:szCs w:val="22"/>
        </w:rPr>
        <w:t>.</w:t>
      </w:r>
    </w:p>
  </w:endnote>
  <w:endnote w:id="74">
    <w:p w14:paraId="73A2BB7B" w14:textId="77777777" w:rsidR="00985B8E" w:rsidRDefault="00985B8E" w:rsidP="0030226C">
      <w:pPr>
        <w:pStyle w:val="EndnoteText"/>
      </w:pPr>
      <w:r>
        <w:rPr>
          <w:rStyle w:val="EndnoteReference"/>
        </w:rPr>
        <w:endnoteRef/>
      </w:r>
      <w:r>
        <w:t xml:space="preserve"> Casal 1961: 230.</w:t>
      </w:r>
    </w:p>
  </w:endnote>
  <w:endnote w:id="75">
    <w:p w14:paraId="44FF5724" w14:textId="77777777" w:rsidR="00985B8E" w:rsidRDefault="00985B8E" w:rsidP="0030226C">
      <w:pPr>
        <w:pStyle w:val="EndnoteText"/>
      </w:pPr>
      <w:r>
        <w:rPr>
          <w:rStyle w:val="EndnoteReference"/>
        </w:rPr>
        <w:endnoteRef/>
      </w:r>
      <w:r>
        <w:t xml:space="preserve"> Fairservis 1952.</w:t>
      </w:r>
    </w:p>
  </w:endnote>
  <w:endnote w:id="76">
    <w:p w14:paraId="12BEEADB" w14:textId="77777777" w:rsidR="00985B8E" w:rsidRDefault="00985B8E" w:rsidP="0030226C">
      <w:pPr>
        <w:pStyle w:val="EndnoteText"/>
      </w:pPr>
      <w:r>
        <w:rPr>
          <w:rStyle w:val="EndnoteReference"/>
        </w:rPr>
        <w:endnoteRef/>
      </w:r>
      <w:r>
        <w:t xml:space="preserve"> Shaffer 1971, 1972, 1976, 1978.</w:t>
      </w:r>
    </w:p>
  </w:endnote>
  <w:endnote w:id="77">
    <w:p w14:paraId="414480D1" w14:textId="77777777" w:rsidR="00985B8E" w:rsidRPr="007C6E72" w:rsidRDefault="00985B8E" w:rsidP="0030226C">
      <w:pPr>
        <w:pStyle w:val="EndnoteText"/>
      </w:pPr>
      <w:r w:rsidRPr="007C6E72">
        <w:rPr>
          <w:rStyle w:val="EndnoteReference"/>
        </w:rPr>
        <w:endnoteRef/>
      </w:r>
      <w:r w:rsidRPr="001B7E2F">
        <w:t xml:space="preserve"> </w:t>
      </w:r>
      <w:r w:rsidRPr="00E91DD7">
        <w:t>Shaffer and Hoffman, 1971, 1976.</w:t>
      </w:r>
    </w:p>
  </w:endnote>
  <w:endnote w:id="78">
    <w:p w14:paraId="7C0EA0AC" w14:textId="77777777" w:rsidR="00985B8E" w:rsidRDefault="00985B8E" w:rsidP="0030226C">
      <w:pPr>
        <w:pStyle w:val="EndnoteText"/>
      </w:pPr>
      <w:r>
        <w:rPr>
          <w:rStyle w:val="EndnoteReference"/>
        </w:rPr>
        <w:endnoteRef/>
      </w:r>
      <w:r>
        <w:t xml:space="preserve"> Fairservis 1956.</w:t>
      </w:r>
    </w:p>
  </w:endnote>
  <w:endnote w:id="79">
    <w:p w14:paraId="5836E304" w14:textId="77777777" w:rsidR="00985B8E" w:rsidRDefault="00985B8E" w:rsidP="0030226C">
      <w:pPr>
        <w:pStyle w:val="EndnoteText"/>
      </w:pPr>
      <w:r>
        <w:rPr>
          <w:rStyle w:val="EndnoteReference"/>
        </w:rPr>
        <w:endnoteRef/>
      </w:r>
      <w:r>
        <w:t xml:space="preserve"> Fairservis 1956: 250.</w:t>
      </w:r>
    </w:p>
  </w:endnote>
  <w:endnote w:id="80">
    <w:p w14:paraId="4CAFE619" w14:textId="77777777" w:rsidR="00985B8E" w:rsidRDefault="00985B8E" w:rsidP="0030226C">
      <w:pPr>
        <w:pStyle w:val="EndnoteText"/>
      </w:pPr>
      <w:r>
        <w:rPr>
          <w:rStyle w:val="EndnoteReference"/>
        </w:rPr>
        <w:endnoteRef/>
      </w:r>
      <w:r>
        <w:t xml:space="preserve"> Fairservis 1956: 257 9.</w:t>
      </w:r>
    </w:p>
  </w:endnote>
  <w:endnote w:id="81">
    <w:p w14:paraId="131B182A" w14:textId="77777777" w:rsidR="00985B8E" w:rsidRDefault="00985B8E" w:rsidP="0030226C">
      <w:pPr>
        <w:pStyle w:val="EndnoteText"/>
      </w:pPr>
      <w:r>
        <w:rPr>
          <w:rStyle w:val="EndnoteReference"/>
        </w:rPr>
        <w:endnoteRef/>
      </w:r>
      <w:r>
        <w:t xml:space="preserve"> Fairservis 1956: 259.</w:t>
      </w:r>
    </w:p>
  </w:endnote>
  <w:endnote w:id="82">
    <w:p w14:paraId="117AB6E3" w14:textId="77777777" w:rsidR="00985B8E" w:rsidRDefault="00985B8E" w:rsidP="0030226C">
      <w:pPr>
        <w:pStyle w:val="EndnoteText"/>
      </w:pPr>
      <w:r>
        <w:rPr>
          <w:rStyle w:val="EndnoteReference"/>
        </w:rPr>
        <w:endnoteRef/>
      </w:r>
      <w:r>
        <w:t xml:space="preserve"> Casal 1964: 85.</w:t>
      </w:r>
    </w:p>
  </w:endnote>
  <w:endnote w:id="83">
    <w:p w14:paraId="2BC6DBB6" w14:textId="77777777" w:rsidR="00985B8E" w:rsidRPr="00E27A71" w:rsidRDefault="00985B8E" w:rsidP="0030226C">
      <w:pPr>
        <w:pStyle w:val="EndnoteText"/>
        <w:rPr>
          <w:lang w:val="fr-FR"/>
        </w:rPr>
      </w:pPr>
      <w:r>
        <w:rPr>
          <w:rStyle w:val="EndnoteReference"/>
        </w:rPr>
        <w:endnoteRef/>
      </w:r>
      <w:r w:rsidRPr="003B786C">
        <w:rPr>
          <w:lang w:val="fr-FR"/>
        </w:rPr>
        <w:t xml:space="preserve"> Hargreaves 1929: 35.</w:t>
      </w:r>
    </w:p>
  </w:endnote>
  <w:endnote w:id="84">
    <w:p w14:paraId="06E7A645" w14:textId="77777777" w:rsidR="00985B8E" w:rsidRPr="003B23F3" w:rsidRDefault="00985B8E" w:rsidP="0030226C">
      <w:pPr>
        <w:pStyle w:val="EndnoteText"/>
        <w:rPr>
          <w:lang w:val="fr-FR"/>
        </w:rPr>
      </w:pPr>
      <w:r>
        <w:rPr>
          <w:rStyle w:val="EndnoteReference"/>
        </w:rPr>
        <w:endnoteRef/>
      </w:r>
      <w:r w:rsidRPr="003B786C">
        <w:rPr>
          <w:lang w:val="fr-FR"/>
        </w:rPr>
        <w:t xml:space="preserve"> </w:t>
      </w:r>
      <w:r w:rsidRPr="003B23F3">
        <w:rPr>
          <w:lang w:val="fr-FR"/>
        </w:rPr>
        <w:t xml:space="preserve">Dani 1970–71; Jarrige 1991; Jarrige </w:t>
      </w:r>
      <w:r w:rsidRPr="003B23F3">
        <w:rPr>
          <w:i/>
          <w:iCs w:val="0"/>
          <w:lang w:val="fr-FR"/>
        </w:rPr>
        <w:t>et al.</w:t>
      </w:r>
      <w:r w:rsidRPr="003B23F3">
        <w:rPr>
          <w:lang w:val="fr-FR"/>
        </w:rPr>
        <w:t xml:space="preserve"> 1995.</w:t>
      </w:r>
    </w:p>
  </w:endnote>
  <w:endnote w:id="85">
    <w:p w14:paraId="7FE24DAD" w14:textId="01B0CD9F" w:rsidR="00985B8E" w:rsidRPr="003B23F3" w:rsidRDefault="00985B8E" w:rsidP="00E2558A">
      <w:pPr>
        <w:pStyle w:val="PlainText"/>
        <w:rPr>
          <w:rFonts w:ascii="Times New Roman" w:hAnsi="Times New Roman" w:cs="Times New Roman"/>
        </w:rPr>
      </w:pPr>
      <w:r w:rsidRPr="003B23F3">
        <w:rPr>
          <w:rStyle w:val="EndnoteReference"/>
          <w:rFonts w:ascii="Times New Roman" w:hAnsi="Times New Roman" w:cs="Times New Roman"/>
        </w:rPr>
        <w:endnoteRef/>
      </w:r>
      <w:r w:rsidRPr="003B23F3">
        <w:rPr>
          <w:rFonts w:ascii="Times New Roman" w:hAnsi="Times New Roman" w:cs="Times New Roman"/>
        </w:rPr>
        <w:t xml:space="preserve"> This material, like all the Said Qala artefacts, were deposited with the Afghan Institute of Archaeology for future study. Now, to the best of knowledge, all of this material has been lost to the ‘winds of war’.</w:t>
      </w:r>
    </w:p>
  </w:endnote>
  <w:endnote w:id="86">
    <w:p w14:paraId="2ABDB6F1" w14:textId="724464F4" w:rsidR="00985B8E" w:rsidRPr="003B23F3" w:rsidRDefault="00985B8E" w:rsidP="0030226C">
      <w:pPr>
        <w:pStyle w:val="EndnoteText"/>
      </w:pPr>
      <w:r w:rsidRPr="003B23F3">
        <w:rPr>
          <w:rStyle w:val="EndnoteReference"/>
        </w:rPr>
        <w:endnoteRef/>
      </w:r>
      <w:r w:rsidRPr="003B23F3">
        <w:t xml:space="preserve"> Dupree 196</w:t>
      </w:r>
      <w:r>
        <w:t>3</w:t>
      </w:r>
      <w:r w:rsidRPr="003B23F3">
        <w:t>.</w:t>
      </w:r>
    </w:p>
  </w:endnote>
  <w:endnote w:id="87">
    <w:p w14:paraId="36F2B1A5" w14:textId="509B7872" w:rsidR="00985B8E" w:rsidRPr="001F5282" w:rsidRDefault="00985B8E">
      <w:pPr>
        <w:pStyle w:val="EndnoteText"/>
        <w:rPr>
          <w:lang w:val="en-GB"/>
        </w:rPr>
      </w:pPr>
      <w:r>
        <w:rPr>
          <w:rStyle w:val="EndnoteReference"/>
        </w:rPr>
        <w:endnoteRef/>
      </w:r>
      <w:r>
        <w:t xml:space="preserve"> </w:t>
      </w:r>
      <w:r>
        <w:rPr>
          <w:lang w:val="en-GB"/>
        </w:rPr>
        <w:t>Dupree 1963</w:t>
      </w:r>
    </w:p>
  </w:endnote>
  <w:endnote w:id="88">
    <w:p w14:paraId="0DBA2CD7" w14:textId="72B7A0E2" w:rsidR="00985B8E" w:rsidRPr="003B23F3" w:rsidRDefault="00985B8E">
      <w:pPr>
        <w:pStyle w:val="EndnoteText"/>
        <w:rPr>
          <w:lang w:val="en-GB"/>
        </w:rPr>
      </w:pPr>
      <w:r w:rsidRPr="003B23F3">
        <w:rPr>
          <w:rStyle w:val="EndnoteReference"/>
        </w:rPr>
        <w:endnoteRef/>
      </w:r>
      <w:r w:rsidRPr="003B23F3">
        <w:t xml:space="preserve"> </w:t>
      </w:r>
      <w:r w:rsidRPr="003B23F3">
        <w:rPr>
          <w:lang w:val="en-GB"/>
        </w:rPr>
        <w:t xml:space="preserve">Lawn 1970: 586; Fishman </w:t>
      </w:r>
      <w:r w:rsidRPr="003B23F3">
        <w:rPr>
          <w:i/>
          <w:lang w:val="en-GB"/>
        </w:rPr>
        <w:t>et al</w:t>
      </w:r>
      <w:r w:rsidRPr="003B23F3">
        <w:rPr>
          <w:lang w:val="en-GB"/>
        </w:rPr>
        <w:t>. 1977: 213; Shaffer 1992: Table 4.</w:t>
      </w:r>
    </w:p>
  </w:endnote>
  <w:endnote w:id="89">
    <w:p w14:paraId="25CAF291" w14:textId="77777777" w:rsidR="00985B8E" w:rsidRPr="003B23F3" w:rsidRDefault="00985B8E" w:rsidP="0030226C">
      <w:pPr>
        <w:pStyle w:val="EndnoteText"/>
      </w:pPr>
      <w:r w:rsidRPr="003B23F3">
        <w:rPr>
          <w:rStyle w:val="EndnoteReference"/>
        </w:rPr>
        <w:endnoteRef/>
      </w:r>
      <w:r w:rsidRPr="003B23F3">
        <w:t xml:space="preserve"> Dupree 1963: 98.</w:t>
      </w:r>
    </w:p>
  </w:endnote>
  <w:endnote w:id="90">
    <w:p w14:paraId="75C86C74" w14:textId="305ABF1B" w:rsidR="00985B8E" w:rsidRDefault="00985B8E" w:rsidP="0030226C">
      <w:pPr>
        <w:pStyle w:val="EndnoteText"/>
      </w:pPr>
      <w:r w:rsidRPr="003B23F3">
        <w:rPr>
          <w:rStyle w:val="EndnoteReference"/>
        </w:rPr>
        <w:endnoteRef/>
      </w:r>
      <w:r w:rsidRPr="003B23F3">
        <w:t xml:space="preserve"> </w:t>
      </w:r>
      <w:r>
        <w:t xml:space="preserve">Chowdury in </w:t>
      </w:r>
      <w:r w:rsidRPr="003B23F3">
        <w:t>Dupree 1963</w:t>
      </w:r>
      <w:r>
        <w:t>: 126–31.</w:t>
      </w:r>
    </w:p>
  </w:endnote>
  <w:endnote w:id="91">
    <w:p w14:paraId="24F59ECB" w14:textId="77777777" w:rsidR="00985B8E" w:rsidRDefault="00985B8E" w:rsidP="0030226C">
      <w:pPr>
        <w:pStyle w:val="EndnoteText"/>
      </w:pPr>
      <w:r>
        <w:rPr>
          <w:rStyle w:val="EndnoteReference"/>
        </w:rPr>
        <w:endnoteRef/>
      </w:r>
      <w:r>
        <w:t xml:space="preserve"> McNicoll and Ball 1996; Helms 1997</w:t>
      </w:r>
    </w:p>
  </w:endnote>
  <w:endnote w:id="92">
    <w:p w14:paraId="7DD9A6F0" w14:textId="77777777" w:rsidR="00985B8E" w:rsidRPr="002A2548" w:rsidRDefault="00985B8E" w:rsidP="0030226C">
      <w:pPr>
        <w:pStyle w:val="EndnoteText"/>
        <w:rPr>
          <w:color w:val="FF0000"/>
        </w:rPr>
      </w:pPr>
      <w:r>
        <w:rPr>
          <w:rStyle w:val="EndnoteReference"/>
        </w:rPr>
        <w:endnoteRef/>
      </w:r>
      <w:r>
        <w:t xml:space="preserve"> </w:t>
      </w:r>
      <w:r>
        <w:rPr>
          <w:color w:val="FF0000"/>
        </w:rPr>
        <w:t>McNicoll &amp; Ball 1996: Fig. 137, 12. Regrettably the index card for this bowl was lost. Cf. Casal 1961: Fig 89, no. 394.</w:t>
      </w:r>
    </w:p>
  </w:endnote>
  <w:endnote w:id="93">
    <w:p w14:paraId="21E6332F" w14:textId="4921D3D1" w:rsidR="00985B8E" w:rsidRPr="002A2548" w:rsidRDefault="00985B8E" w:rsidP="0030226C">
      <w:pPr>
        <w:pStyle w:val="EndnoteText"/>
        <w:rPr>
          <w:color w:val="FF0000"/>
        </w:rPr>
      </w:pPr>
      <w:r>
        <w:rPr>
          <w:rStyle w:val="EndnoteReference"/>
        </w:rPr>
        <w:endnoteRef/>
      </w:r>
      <w:r>
        <w:t xml:space="preserve"> </w:t>
      </w:r>
      <w:r>
        <w:rPr>
          <w:color w:val="FF0000"/>
        </w:rPr>
        <w:t>Ball 1982: Site 522.</w:t>
      </w:r>
    </w:p>
  </w:endnote>
  <w:endnote w:id="94">
    <w:p w14:paraId="17465E6E" w14:textId="694747D5" w:rsidR="00985B8E" w:rsidRPr="00AB0E79" w:rsidRDefault="00985B8E" w:rsidP="0030226C">
      <w:pPr>
        <w:pStyle w:val="EndnoteText"/>
        <w:rPr>
          <w:color w:val="FF0000"/>
        </w:rPr>
      </w:pPr>
      <w:r>
        <w:rPr>
          <w:rStyle w:val="EndnoteReference"/>
        </w:rPr>
        <w:endnoteRef/>
      </w:r>
      <w:r>
        <w:t xml:space="preserve"> </w:t>
      </w:r>
      <w:r>
        <w:rPr>
          <w:color w:val="FF0000"/>
        </w:rPr>
        <w:t>Ball 1982: Site 85.</w:t>
      </w:r>
    </w:p>
  </w:endnote>
  <w:endnote w:id="95">
    <w:p w14:paraId="01A158F6" w14:textId="5BF2DD9B" w:rsidR="00985B8E" w:rsidRPr="003E7F3A" w:rsidRDefault="00985B8E" w:rsidP="0030226C">
      <w:pPr>
        <w:pStyle w:val="EndnoteText"/>
        <w:rPr>
          <w:color w:val="FF0000"/>
        </w:rPr>
      </w:pPr>
      <w:r>
        <w:rPr>
          <w:rStyle w:val="EndnoteReference"/>
        </w:rPr>
        <w:endnoteRef/>
      </w:r>
      <w:r>
        <w:t xml:space="preserve"> </w:t>
      </w:r>
      <w:r>
        <w:rPr>
          <w:color w:val="FF0000"/>
        </w:rPr>
        <w:t>Ball 1982: Site 1109.</w:t>
      </w:r>
    </w:p>
  </w:endnote>
  <w:endnote w:id="96">
    <w:p w14:paraId="25DE9548" w14:textId="058B7F73" w:rsidR="00985B8E" w:rsidRPr="003E7F3A" w:rsidRDefault="00985B8E" w:rsidP="0030226C">
      <w:pPr>
        <w:pStyle w:val="EndnoteText"/>
        <w:rPr>
          <w:color w:val="FF0000"/>
        </w:rPr>
      </w:pPr>
      <w:r>
        <w:rPr>
          <w:rStyle w:val="EndnoteReference"/>
        </w:rPr>
        <w:endnoteRef/>
      </w:r>
      <w:r>
        <w:t xml:space="preserve"> </w:t>
      </w:r>
      <w:r>
        <w:rPr>
          <w:color w:val="FF0000"/>
        </w:rPr>
        <w:t>Ball 1982: Site 744.</w:t>
      </w:r>
    </w:p>
  </w:endnote>
  <w:endnote w:id="97">
    <w:p w14:paraId="6711C2AC" w14:textId="66CF92B9" w:rsidR="00985B8E" w:rsidRPr="00F439E3" w:rsidRDefault="00985B8E" w:rsidP="0030226C">
      <w:pPr>
        <w:pStyle w:val="EndnoteText"/>
        <w:rPr>
          <w:color w:val="FF0000"/>
        </w:rPr>
      </w:pPr>
      <w:r>
        <w:rPr>
          <w:rStyle w:val="EndnoteReference"/>
        </w:rPr>
        <w:endnoteRef/>
      </w:r>
      <w:r>
        <w:t xml:space="preserve"> </w:t>
      </w:r>
      <w:r>
        <w:rPr>
          <w:color w:val="FF0000"/>
        </w:rPr>
        <w:t>Ball 1982: Site 74.</w:t>
      </w:r>
    </w:p>
  </w:endnote>
  <w:endnote w:id="98">
    <w:p w14:paraId="2F662BD2" w14:textId="7A7ABC8A" w:rsidR="00985B8E" w:rsidRPr="00F439E3" w:rsidRDefault="00985B8E" w:rsidP="0030226C">
      <w:pPr>
        <w:pStyle w:val="EndnoteText"/>
        <w:rPr>
          <w:color w:val="FF0000"/>
        </w:rPr>
      </w:pPr>
      <w:r>
        <w:rPr>
          <w:rStyle w:val="EndnoteReference"/>
        </w:rPr>
        <w:endnoteRef/>
      </w:r>
      <w:r>
        <w:t xml:space="preserve"> </w:t>
      </w:r>
      <w:r>
        <w:rPr>
          <w:color w:val="FF0000"/>
        </w:rPr>
        <w:t>Ball 1982: Site 1048.</w:t>
      </w:r>
    </w:p>
  </w:endnote>
  <w:endnote w:id="99">
    <w:p w14:paraId="7DABE5A9" w14:textId="77777777" w:rsidR="00985B8E" w:rsidRPr="00492B3B" w:rsidRDefault="00985B8E" w:rsidP="0030226C">
      <w:pPr>
        <w:pStyle w:val="EndnoteText"/>
        <w:rPr>
          <w:color w:val="FF0000"/>
        </w:rPr>
      </w:pPr>
      <w:r>
        <w:rPr>
          <w:rStyle w:val="EndnoteReference"/>
        </w:rPr>
        <w:endnoteRef/>
      </w:r>
      <w:r>
        <w:t xml:space="preserve"> </w:t>
      </w:r>
      <w:r>
        <w:rPr>
          <w:color w:val="FF0000"/>
        </w:rPr>
        <w:t>Ghirshman 1942.</w:t>
      </w:r>
    </w:p>
  </w:endnote>
  <w:endnote w:id="100">
    <w:p w14:paraId="46968472" w14:textId="77777777" w:rsidR="00985B8E" w:rsidRDefault="00985B8E" w:rsidP="0030226C">
      <w:pPr>
        <w:pStyle w:val="EndnoteText"/>
      </w:pPr>
      <w:r>
        <w:rPr>
          <w:rStyle w:val="EndnoteReference"/>
        </w:rPr>
        <w:endnoteRef/>
      </w:r>
      <w:r>
        <w:t xml:space="preserve"> Dales 1972</w:t>
      </w:r>
      <w:r>
        <w:rPr>
          <w:color w:val="FF0000"/>
        </w:rPr>
        <w:t>; 1977</w:t>
      </w:r>
      <w:r>
        <w:t>.</w:t>
      </w:r>
    </w:p>
  </w:endnote>
  <w:endnote w:id="101">
    <w:p w14:paraId="79D732DC" w14:textId="54FB8D76" w:rsidR="00985B8E" w:rsidRPr="009F2193" w:rsidRDefault="00985B8E">
      <w:pPr>
        <w:pStyle w:val="EndnoteText"/>
        <w:rPr>
          <w:lang w:val="en-GB"/>
        </w:rPr>
      </w:pPr>
      <w:r>
        <w:rPr>
          <w:rStyle w:val="EndnoteReference"/>
        </w:rPr>
        <w:endnoteRef/>
      </w:r>
      <w:r>
        <w:t xml:space="preserve"> </w:t>
      </w:r>
      <w:r>
        <w:rPr>
          <w:color w:val="FF0000"/>
        </w:rPr>
        <w:t>Besenval &amp; Francfort 1994</w:t>
      </w:r>
    </w:p>
  </w:endnote>
  <w:endnote w:id="102">
    <w:p w14:paraId="1763F397" w14:textId="77777777" w:rsidR="00985B8E" w:rsidRPr="00232719" w:rsidRDefault="00985B8E" w:rsidP="0030226C">
      <w:pPr>
        <w:pStyle w:val="EndnoteText"/>
        <w:rPr>
          <w:color w:val="FF0000"/>
        </w:rPr>
      </w:pPr>
      <w:r>
        <w:rPr>
          <w:rStyle w:val="EndnoteReference"/>
        </w:rPr>
        <w:endnoteRef/>
      </w:r>
      <w:r>
        <w:t xml:space="preserve"> </w:t>
      </w:r>
      <w:r>
        <w:rPr>
          <w:color w:val="FF0000"/>
        </w:rPr>
        <w:t>Besenval &amp; Francfort 1994.</w:t>
      </w:r>
    </w:p>
  </w:endnote>
  <w:endnote w:id="103">
    <w:p w14:paraId="7084AA17" w14:textId="2CB82BA1" w:rsidR="00985B8E" w:rsidRPr="000B08E3" w:rsidRDefault="00985B8E" w:rsidP="0030226C">
      <w:pPr>
        <w:pStyle w:val="EndnoteText"/>
        <w:rPr>
          <w:color w:val="FF0000"/>
        </w:rPr>
      </w:pPr>
      <w:r>
        <w:rPr>
          <w:rStyle w:val="EndnoteReference"/>
        </w:rPr>
        <w:endnoteRef/>
      </w:r>
      <w:r>
        <w:t xml:space="preserve"> </w:t>
      </w:r>
      <w:r>
        <w:rPr>
          <w:color w:val="FF0000"/>
        </w:rPr>
        <w:t>Madjidzadeh 2008; also Stein 1937: 149-150, Fig. 45.</w:t>
      </w:r>
    </w:p>
  </w:endnote>
  <w:endnote w:id="104">
    <w:p w14:paraId="2C7E2413" w14:textId="77777777" w:rsidR="00985B8E" w:rsidRPr="00057E38" w:rsidRDefault="00985B8E" w:rsidP="00355BB1">
      <w:pPr>
        <w:pStyle w:val="EndnoteText"/>
        <w:rPr>
          <w:color w:val="FF0000"/>
        </w:rPr>
      </w:pPr>
      <w:r>
        <w:rPr>
          <w:rStyle w:val="EndnoteReference"/>
        </w:rPr>
        <w:endnoteRef/>
      </w:r>
      <w:r>
        <w:t xml:space="preserve"> </w:t>
      </w:r>
      <w:r>
        <w:rPr>
          <w:color w:val="FF0000"/>
        </w:rPr>
        <w:t>Of the many publications describing this, that by Tate 1910 is the most comprehensive.</w:t>
      </w:r>
    </w:p>
  </w:endnote>
  <w:endnote w:id="105">
    <w:p w14:paraId="3CC8C607" w14:textId="7A9274FB" w:rsidR="00985B8E" w:rsidRPr="00435602" w:rsidRDefault="00985B8E">
      <w:pPr>
        <w:pStyle w:val="EndnoteText"/>
        <w:rPr>
          <w:lang w:val="en-GB"/>
        </w:rPr>
      </w:pPr>
      <w:r>
        <w:rPr>
          <w:rStyle w:val="EndnoteReference"/>
        </w:rPr>
        <w:endnoteRef/>
      </w:r>
      <w:r>
        <w:t xml:space="preserve"> </w:t>
      </w:r>
      <w:r>
        <w:rPr>
          <w:lang w:val="en-GB"/>
        </w:rPr>
        <w:t>Stein 1928: Volume 2, 946, 954, 971-2.</w:t>
      </w:r>
    </w:p>
  </w:endnote>
  <w:endnote w:id="106">
    <w:p w14:paraId="7E3AC025" w14:textId="77777777" w:rsidR="00985B8E" w:rsidRPr="00C169F9" w:rsidRDefault="00985B8E" w:rsidP="00355BB1">
      <w:pPr>
        <w:pStyle w:val="EndnoteText"/>
        <w:rPr>
          <w:color w:val="FF0000"/>
        </w:rPr>
      </w:pPr>
      <w:r>
        <w:rPr>
          <w:rStyle w:val="EndnoteReference"/>
        </w:rPr>
        <w:endnoteRef/>
      </w:r>
      <w:r>
        <w:t xml:space="preserve"> </w:t>
      </w:r>
      <w:r>
        <w:rPr>
          <w:color w:val="FF0000"/>
        </w:rPr>
        <w:t>Ghirshman 1939.</w:t>
      </w:r>
    </w:p>
  </w:endnote>
  <w:endnote w:id="107">
    <w:p w14:paraId="2EEA4414" w14:textId="77777777" w:rsidR="00985B8E" w:rsidRDefault="00985B8E" w:rsidP="00355BB1">
      <w:pPr>
        <w:pStyle w:val="EndnoteText"/>
      </w:pPr>
      <w:r>
        <w:rPr>
          <w:rStyle w:val="EndnoteReference"/>
        </w:rPr>
        <w:endnoteRef/>
      </w:r>
      <w:r>
        <w:t xml:space="preserve"> Fairservis 1961.</w:t>
      </w:r>
    </w:p>
  </w:endnote>
  <w:endnote w:id="108">
    <w:p w14:paraId="6C4277D3" w14:textId="77777777" w:rsidR="00985B8E" w:rsidRDefault="00985B8E" w:rsidP="00355BB1">
      <w:pPr>
        <w:pStyle w:val="EndnoteText"/>
      </w:pPr>
      <w:r>
        <w:rPr>
          <w:rStyle w:val="EndnoteReference"/>
        </w:rPr>
        <w:endnoteRef/>
      </w:r>
      <w:r>
        <w:t xml:space="preserve"> Hammond </w:t>
      </w:r>
      <w:r w:rsidRPr="00152B55">
        <w:t>1970</w:t>
      </w:r>
      <w:r>
        <w:t>.</w:t>
      </w:r>
    </w:p>
  </w:endnote>
  <w:endnote w:id="109">
    <w:p w14:paraId="4CFBBB35" w14:textId="77777777" w:rsidR="00985B8E" w:rsidRDefault="00985B8E" w:rsidP="00355BB1">
      <w:pPr>
        <w:pStyle w:val="EndnoteText"/>
      </w:pPr>
      <w:r>
        <w:rPr>
          <w:rStyle w:val="EndnoteReference"/>
        </w:rPr>
        <w:endnoteRef/>
      </w:r>
      <w:r>
        <w:t xml:space="preserve"> Dales 1972</w:t>
      </w:r>
      <w:r w:rsidRPr="00152B55">
        <w:t>.</w:t>
      </w:r>
    </w:p>
  </w:endnote>
  <w:endnote w:id="110">
    <w:p w14:paraId="7049CD46" w14:textId="77777777" w:rsidR="00985B8E" w:rsidRPr="00430DCD" w:rsidRDefault="00985B8E" w:rsidP="00355BB1">
      <w:pPr>
        <w:pStyle w:val="EndnoteText"/>
        <w:rPr>
          <w:color w:val="FF0000"/>
        </w:rPr>
      </w:pPr>
      <w:r>
        <w:rPr>
          <w:rStyle w:val="EndnoteReference"/>
        </w:rPr>
        <w:endnoteRef/>
      </w:r>
      <w:r>
        <w:t xml:space="preserve"> </w:t>
      </w:r>
      <w:r>
        <w:rPr>
          <w:color w:val="FF0000"/>
        </w:rPr>
        <w:t>Fischer 1974-6.</w:t>
      </w:r>
    </w:p>
  </w:endnote>
  <w:endnote w:id="111">
    <w:p w14:paraId="5A54DB48" w14:textId="77777777" w:rsidR="00985B8E" w:rsidRPr="00430DCD" w:rsidRDefault="00985B8E" w:rsidP="00355BB1">
      <w:pPr>
        <w:pStyle w:val="EndnoteText"/>
        <w:rPr>
          <w:color w:val="FF0000"/>
        </w:rPr>
      </w:pPr>
      <w:r>
        <w:rPr>
          <w:rStyle w:val="EndnoteReference"/>
        </w:rPr>
        <w:endnoteRef/>
      </w:r>
      <w:r>
        <w:t xml:space="preserve"> </w:t>
      </w:r>
      <w:r>
        <w:rPr>
          <w:color w:val="FF0000"/>
        </w:rPr>
        <w:t>Trousdale 1976; Trousdale and Allen forthcoming.</w:t>
      </w:r>
    </w:p>
  </w:endnote>
  <w:endnote w:id="112">
    <w:p w14:paraId="56EB6382" w14:textId="77777777" w:rsidR="00985B8E" w:rsidRPr="00B1076D" w:rsidRDefault="00985B8E" w:rsidP="0030226C">
      <w:pPr>
        <w:pStyle w:val="EndnoteText"/>
        <w:rPr>
          <w:color w:val="FF0000"/>
        </w:rPr>
      </w:pPr>
      <w:r>
        <w:rPr>
          <w:rStyle w:val="EndnoteReference"/>
        </w:rPr>
        <w:endnoteRef/>
      </w:r>
      <w:r>
        <w:t xml:space="preserve"> </w:t>
      </w:r>
      <w:r>
        <w:rPr>
          <w:color w:val="FF0000"/>
        </w:rPr>
        <w:t>Fairservis 1961: 68-76; Besenval and Francfort 1994: 10-11; Ball Site 335; Thomalsky et al. 2013.</w:t>
      </w:r>
    </w:p>
  </w:endnote>
  <w:endnote w:id="113">
    <w:p w14:paraId="1F555F1A" w14:textId="77777777" w:rsidR="00985B8E" w:rsidRDefault="00985B8E" w:rsidP="0030226C">
      <w:pPr>
        <w:pStyle w:val="EndnoteText"/>
      </w:pPr>
      <w:r>
        <w:rPr>
          <w:rStyle w:val="EndnoteReference"/>
        </w:rPr>
        <w:endnoteRef/>
      </w:r>
      <w:r>
        <w:t xml:space="preserve"> Fairservis 1961: 97.</w:t>
      </w:r>
    </w:p>
  </w:endnote>
  <w:endnote w:id="114">
    <w:p w14:paraId="292E1900" w14:textId="77777777" w:rsidR="00985B8E" w:rsidRDefault="00985B8E" w:rsidP="0030226C">
      <w:pPr>
        <w:pStyle w:val="EndnoteText"/>
      </w:pPr>
      <w:r>
        <w:rPr>
          <w:rStyle w:val="EndnoteReference"/>
        </w:rPr>
        <w:endnoteRef/>
      </w:r>
      <w:r>
        <w:t xml:space="preserve"> Fairservis 1961: 87–8 104–12.</w:t>
      </w:r>
    </w:p>
  </w:endnote>
  <w:endnote w:id="115">
    <w:p w14:paraId="6881E373" w14:textId="77777777" w:rsidR="00985B8E" w:rsidRPr="00DC055D" w:rsidRDefault="00985B8E" w:rsidP="0030226C">
      <w:pPr>
        <w:pStyle w:val="EndnoteText"/>
        <w:rPr>
          <w:color w:val="FF0000"/>
        </w:rPr>
      </w:pPr>
      <w:r>
        <w:rPr>
          <w:rStyle w:val="EndnoteReference"/>
        </w:rPr>
        <w:endnoteRef/>
      </w:r>
      <w:r>
        <w:t xml:space="preserve"> Fairservis 1961: 86–7 111–4; for a recent discussion of this ware see Mery </w:t>
      </w:r>
      <w:r>
        <w:rPr>
          <w:i/>
          <w:iCs w:val="0"/>
        </w:rPr>
        <w:t>et al</w:t>
      </w:r>
      <w:r>
        <w:t>. 2015..</w:t>
      </w:r>
    </w:p>
  </w:endnote>
  <w:endnote w:id="116">
    <w:p w14:paraId="59FF936F" w14:textId="77777777" w:rsidR="00985B8E" w:rsidRDefault="00985B8E" w:rsidP="0030226C">
      <w:pPr>
        <w:pStyle w:val="EndnoteText"/>
      </w:pPr>
      <w:r>
        <w:rPr>
          <w:rStyle w:val="EndnoteReference"/>
        </w:rPr>
        <w:endnoteRef/>
      </w:r>
      <w:r>
        <w:t xml:space="preserve"> De Cardi 1950: 56; Fairservis 1952: 31; 1961: 98</w:t>
      </w:r>
      <w:r>
        <w:rPr>
          <w:color w:val="FF0000"/>
        </w:rPr>
        <w:t xml:space="preserve"> Ball Site 108</w:t>
      </w:r>
      <w:r>
        <w:t>.</w:t>
      </w:r>
    </w:p>
  </w:endnote>
  <w:endnote w:id="117">
    <w:p w14:paraId="3CC7EF4D" w14:textId="77777777" w:rsidR="00985B8E" w:rsidRDefault="00985B8E" w:rsidP="0030226C">
      <w:pPr>
        <w:pStyle w:val="EndnoteText"/>
      </w:pPr>
      <w:r>
        <w:rPr>
          <w:rStyle w:val="EndnoteReference"/>
        </w:rPr>
        <w:endnoteRef/>
      </w:r>
      <w:r>
        <w:t xml:space="preserve"> Fairservis </w:t>
      </w:r>
      <w:r w:rsidRPr="00152B55">
        <w:t>1961: 74</w:t>
      </w:r>
      <w:r>
        <w:t>.</w:t>
      </w:r>
    </w:p>
  </w:endnote>
  <w:endnote w:id="118">
    <w:p w14:paraId="5D343EFA" w14:textId="77777777" w:rsidR="00985B8E" w:rsidRPr="009A3ABA" w:rsidRDefault="00985B8E" w:rsidP="0030226C">
      <w:pPr>
        <w:pStyle w:val="EndnoteText"/>
        <w:rPr>
          <w:color w:val="FF0000"/>
        </w:rPr>
      </w:pPr>
      <w:r>
        <w:rPr>
          <w:rStyle w:val="EndnoteReference"/>
        </w:rPr>
        <w:endnoteRef/>
      </w:r>
      <w:r>
        <w:t xml:space="preserve"> </w:t>
      </w:r>
      <w:r>
        <w:rPr>
          <w:color w:val="FF0000"/>
        </w:rPr>
        <w:t>Dales 1972: 30-31, 36; Besenval &amp; Francfort 1994: 10-11; Ball Sites 229 and 283; Trousdale pers.comm.</w:t>
      </w:r>
    </w:p>
  </w:endnote>
  <w:endnote w:id="119">
    <w:p w14:paraId="3860ED23" w14:textId="77777777" w:rsidR="00985B8E" w:rsidRDefault="00985B8E" w:rsidP="0030226C">
      <w:pPr>
        <w:pStyle w:val="EndnoteText"/>
      </w:pPr>
      <w:r>
        <w:rPr>
          <w:rStyle w:val="EndnoteReference"/>
        </w:rPr>
        <w:endnoteRef/>
      </w:r>
      <w:r>
        <w:t xml:space="preserve"> Hammond 1970.</w:t>
      </w:r>
    </w:p>
  </w:endnote>
  <w:endnote w:id="120">
    <w:p w14:paraId="79763C44" w14:textId="77777777" w:rsidR="00985B8E" w:rsidRDefault="00985B8E" w:rsidP="0030226C">
      <w:pPr>
        <w:pStyle w:val="EndnoteText"/>
      </w:pPr>
      <w:r>
        <w:rPr>
          <w:rStyle w:val="EndnoteReference"/>
        </w:rPr>
        <w:endnoteRef/>
      </w:r>
      <w:r>
        <w:t xml:space="preserve"> </w:t>
      </w:r>
      <w:r>
        <w:rPr>
          <w:color w:val="FF0000"/>
        </w:rPr>
        <w:t>Besenval &amp; Francfort 1994: 11</w:t>
      </w:r>
    </w:p>
  </w:endnote>
  <w:endnote w:id="121">
    <w:p w14:paraId="47F2F3C4" w14:textId="77777777" w:rsidR="00985B8E" w:rsidRPr="00FF76E6" w:rsidRDefault="00985B8E" w:rsidP="0030226C">
      <w:pPr>
        <w:pStyle w:val="EndnoteText"/>
        <w:rPr>
          <w:color w:val="FF0000"/>
        </w:rPr>
      </w:pPr>
      <w:r>
        <w:rPr>
          <w:rStyle w:val="EndnoteReference"/>
        </w:rPr>
        <w:endnoteRef/>
      </w:r>
      <w:r>
        <w:t xml:space="preserve"> </w:t>
      </w:r>
      <w:r>
        <w:rPr>
          <w:color w:val="FF0000"/>
        </w:rPr>
        <w:t>Hammond 1970: 454, fig. 13; Besenval &amp; Francfort 1994: 11.</w:t>
      </w:r>
    </w:p>
  </w:endnote>
  <w:endnote w:id="122">
    <w:p w14:paraId="4E7E71CE" w14:textId="77777777" w:rsidR="00985B8E" w:rsidRPr="00BA0128" w:rsidRDefault="00985B8E" w:rsidP="0030226C">
      <w:pPr>
        <w:pStyle w:val="EndnoteText"/>
        <w:rPr>
          <w:color w:val="FF0000"/>
        </w:rPr>
      </w:pPr>
      <w:r>
        <w:rPr>
          <w:rStyle w:val="EndnoteReference"/>
        </w:rPr>
        <w:endnoteRef/>
      </w:r>
      <w:r>
        <w:t xml:space="preserve"> </w:t>
      </w:r>
      <w:r>
        <w:rPr>
          <w:color w:val="FF0000"/>
        </w:rPr>
        <w:t>Hammond 1970: sites 1, 6, 8 and 15; Ball Sites 24, 608, 849 and 1260.</w:t>
      </w:r>
    </w:p>
  </w:endnote>
  <w:endnote w:id="123">
    <w:p w14:paraId="63E0D03D" w14:textId="77777777" w:rsidR="00985B8E" w:rsidRPr="00A20748" w:rsidRDefault="00985B8E" w:rsidP="0030226C">
      <w:pPr>
        <w:pStyle w:val="EndnoteText"/>
        <w:rPr>
          <w:color w:val="FF0000"/>
        </w:rPr>
      </w:pPr>
      <w:r>
        <w:rPr>
          <w:rStyle w:val="EndnoteReference"/>
        </w:rPr>
        <w:endnoteRef/>
      </w:r>
      <w:r>
        <w:t xml:space="preserve"> </w:t>
      </w:r>
      <w:r>
        <w:rPr>
          <w:color w:val="FF0000"/>
        </w:rPr>
        <w:t>Hammond 1970: site 14; Ball Site 595; Trousdale pers.comm.</w:t>
      </w:r>
    </w:p>
  </w:endnote>
  <w:endnote w:id="124">
    <w:p w14:paraId="42A19D49" w14:textId="77777777" w:rsidR="00985B8E" w:rsidRPr="00D029DC" w:rsidRDefault="00985B8E" w:rsidP="0030226C">
      <w:pPr>
        <w:pStyle w:val="EndnoteText"/>
        <w:rPr>
          <w:color w:val="FF0000"/>
        </w:rPr>
      </w:pPr>
      <w:r>
        <w:rPr>
          <w:rStyle w:val="EndnoteReference"/>
        </w:rPr>
        <w:endnoteRef/>
      </w:r>
      <w:r>
        <w:t xml:space="preserve"> </w:t>
      </w:r>
      <w:r>
        <w:rPr>
          <w:color w:val="FF0000"/>
        </w:rPr>
        <w:t>Trousdale 1976; Trousdale &amp; Allen forthcoming.</w:t>
      </w:r>
    </w:p>
  </w:endnote>
  <w:endnote w:id="125">
    <w:p w14:paraId="4D1BCD4A" w14:textId="77777777" w:rsidR="00985B8E" w:rsidRDefault="00985B8E" w:rsidP="0030226C">
      <w:pPr>
        <w:pStyle w:val="EndnoteText"/>
      </w:pPr>
      <w:r>
        <w:rPr>
          <w:rStyle w:val="EndnoteReference"/>
        </w:rPr>
        <w:endnoteRef/>
      </w:r>
      <w:r>
        <w:t xml:space="preserve"> </w:t>
      </w:r>
      <w:r w:rsidRPr="00E91DD7">
        <w:rPr>
          <w:noProof/>
          <w:color w:val="FF0000"/>
        </w:rPr>
        <w:t xml:space="preserve">Bartélémy De Saizieu et Bouquillon, 1993; 1995 ; Besenval et Didier, 2004 ; Cortesi, Tosi, Lazzari, et Vidale, 2008 ; </w:t>
      </w:r>
      <w:r w:rsidRPr="00BF554D">
        <w:rPr>
          <w:noProof/>
          <w:color w:val="FF0000"/>
        </w:rPr>
        <w:t>Didier, 2013</w:t>
      </w:r>
      <w:r w:rsidRPr="00E91DD7">
        <w:rPr>
          <w:noProof/>
          <w:color w:val="FF0000"/>
        </w:rPr>
        <w:t xml:space="preserve"> ; </w:t>
      </w:r>
      <w:r w:rsidRPr="00BF554D">
        <w:rPr>
          <w:noProof/>
          <w:color w:val="FF0000"/>
        </w:rPr>
        <w:t>Dumarçay, 1984</w:t>
      </w:r>
      <w:r w:rsidRPr="00E91DD7">
        <w:rPr>
          <w:noProof/>
          <w:color w:val="FF0000"/>
        </w:rPr>
        <w:t xml:space="preserve"> </w:t>
      </w:r>
      <w:r w:rsidRPr="00BF554D">
        <w:rPr>
          <w:noProof/>
          <w:color w:val="FF0000"/>
        </w:rPr>
        <w:t>; Jarrige et Tosi, 1981</w:t>
      </w:r>
      <w:r w:rsidRPr="00E91DD7">
        <w:rPr>
          <w:noProof/>
          <w:color w:val="FF0000"/>
        </w:rPr>
        <w:t xml:space="preserve"> </w:t>
      </w:r>
      <w:r w:rsidRPr="00BF554D">
        <w:rPr>
          <w:noProof/>
          <w:color w:val="FF0000"/>
        </w:rPr>
        <w:t>; Jarrige, Didier, et Quivron, 2011</w:t>
      </w:r>
      <w:r w:rsidRPr="00E91DD7">
        <w:rPr>
          <w:noProof/>
          <w:color w:val="FF0000"/>
        </w:rPr>
        <w:t xml:space="preserve"> </w:t>
      </w:r>
      <w:r w:rsidRPr="00BF554D">
        <w:rPr>
          <w:noProof/>
          <w:color w:val="FF0000"/>
        </w:rPr>
        <w:t>; Mutin, 2012</w:t>
      </w:r>
      <w:r w:rsidRPr="00E91DD7">
        <w:rPr>
          <w:noProof/>
          <w:color w:val="FF0000"/>
        </w:rPr>
        <w:t xml:space="preserve"> ; Mutin et Razzokov, 2014 ; Sajjadi, Casanova, Costantini, et Lorentz, 2008)</w:t>
      </w:r>
      <w:r w:rsidRPr="00E91DD7">
        <w:rPr>
          <w:color w:val="FF0000"/>
        </w:rPr>
        <w:t xml:space="preserve">; for the North connect with Sarazm (a brief selection: </w:t>
      </w:r>
      <w:r w:rsidRPr="00E91DD7">
        <w:rPr>
          <w:noProof/>
          <w:color w:val="FF0000"/>
        </w:rPr>
        <w:t xml:space="preserve">(Isakov, 1991 ; Isakov et Lyonnet, 1988 ; Lyonnet, 1996 ; </w:t>
      </w:r>
      <w:r>
        <w:rPr>
          <w:noProof/>
          <w:color w:val="FF0000"/>
        </w:rPr>
        <w:t xml:space="preserve">Kuzmina 2008: Chapter 4; </w:t>
      </w:r>
      <w:r w:rsidRPr="00E91DD7">
        <w:rPr>
          <w:noProof/>
          <w:color w:val="FF0000"/>
        </w:rPr>
        <w:t>Mutin et Razzokov, 2014 ; Mutin, Razzokov, Besenval, et Francfort, 2017.</w:t>
      </w:r>
    </w:p>
  </w:endnote>
  <w:endnote w:id="126">
    <w:p w14:paraId="3E9F6C92" w14:textId="77777777" w:rsidR="00985B8E" w:rsidRDefault="00985B8E" w:rsidP="0030226C">
      <w:pPr>
        <w:pStyle w:val="EndnoteText"/>
      </w:pPr>
      <w:r>
        <w:rPr>
          <w:rStyle w:val="EndnoteReference"/>
        </w:rPr>
        <w:endnoteRef/>
      </w:r>
      <w:r>
        <w:t xml:space="preserve"> See Shaffer 1992 for recent assessment of cultural relationships linking southern Afghanistan sites with those in Baluchistan.</w:t>
      </w:r>
    </w:p>
  </w:endnote>
  <w:endnote w:id="127">
    <w:p w14:paraId="0514EAF8" w14:textId="3A4488C7" w:rsidR="00985B8E" w:rsidRDefault="00985B8E" w:rsidP="0030226C">
      <w:pPr>
        <w:pStyle w:val="EndnoteText"/>
      </w:pPr>
      <w:r>
        <w:rPr>
          <w:rStyle w:val="EndnoteReference"/>
        </w:rPr>
        <w:endnoteRef/>
      </w:r>
      <w:r>
        <w:t xml:space="preserve"> e.g. Tosi 1969; Lamberg-Karlovsky and Tosi 1973; Biscione 1973; Piperno and Tosi 1975; Biscione</w:t>
      </w:r>
      <w:r>
        <w:rPr>
          <w:i/>
          <w:iCs w:val="0"/>
        </w:rPr>
        <w:t xml:space="preserve"> et al</w:t>
      </w:r>
      <w:r>
        <w:t>. 1974; Salvatori and Vidale 1997; for the most recent discussion, see Vidale and Lazzari (eds) 2017.</w:t>
      </w:r>
    </w:p>
  </w:endnote>
  <w:endnote w:id="128">
    <w:p w14:paraId="0E86DBFA" w14:textId="72C7FF1D" w:rsidR="00985B8E" w:rsidRDefault="00985B8E" w:rsidP="0030226C">
      <w:pPr>
        <w:pStyle w:val="EndnoteText"/>
      </w:pPr>
      <w:r>
        <w:rPr>
          <w:rStyle w:val="EndnoteReference"/>
        </w:rPr>
        <w:endnoteRef/>
      </w:r>
      <w:r>
        <w:t xml:space="preserve"> Lamberg-Karlovsky and Tosi 1973: 26; Shaffer 1992; Cortese </w:t>
      </w:r>
      <w:r w:rsidRPr="008A27B8">
        <w:rPr>
          <w:i/>
        </w:rPr>
        <w:t>et al</w:t>
      </w:r>
      <w:r>
        <w:rPr>
          <w:i/>
        </w:rPr>
        <w:t>.</w:t>
      </w:r>
      <w:r>
        <w:t xml:space="preserve"> 2008; Jarrige </w:t>
      </w:r>
      <w:r w:rsidRPr="008A27B8">
        <w:rPr>
          <w:i/>
        </w:rPr>
        <w:t>et al</w:t>
      </w:r>
      <w:r>
        <w:t>. 2011.</w:t>
      </w:r>
    </w:p>
  </w:endnote>
  <w:endnote w:id="129">
    <w:p w14:paraId="66B1BBEB" w14:textId="0C1B79F8" w:rsidR="00985B8E" w:rsidRPr="00CB1A7A" w:rsidRDefault="00985B8E" w:rsidP="00182EAF">
      <w:pPr>
        <w:pStyle w:val="EndnoteText"/>
        <w:rPr>
          <w:color w:val="FF0000"/>
        </w:rPr>
      </w:pPr>
      <w:r>
        <w:rPr>
          <w:rStyle w:val="EndnoteReference"/>
        </w:rPr>
        <w:endnoteRef/>
      </w:r>
      <w:r>
        <w:t xml:space="preserve"> e.g. </w:t>
      </w:r>
      <w:r>
        <w:rPr>
          <w:color w:val="FF0000"/>
        </w:rPr>
        <w:t>Vidale &amp; Lazzari 2017.</w:t>
      </w:r>
    </w:p>
  </w:endnote>
  <w:endnote w:id="130">
    <w:p w14:paraId="7C809FB7" w14:textId="77777777" w:rsidR="00985B8E" w:rsidRDefault="00985B8E" w:rsidP="0030226C">
      <w:pPr>
        <w:pStyle w:val="EndnoteText"/>
      </w:pPr>
      <w:r>
        <w:rPr>
          <w:rStyle w:val="EndnoteReference"/>
        </w:rPr>
        <w:endnoteRef/>
      </w:r>
      <w:r>
        <w:t xml:space="preserve"> Piperno 1974.</w:t>
      </w:r>
    </w:p>
  </w:endnote>
  <w:endnote w:id="131">
    <w:p w14:paraId="6D7C312E" w14:textId="76CD0987" w:rsidR="00985B8E" w:rsidRDefault="00985B8E" w:rsidP="0030226C">
      <w:pPr>
        <w:pStyle w:val="EndnoteText"/>
      </w:pPr>
      <w:r>
        <w:rPr>
          <w:rStyle w:val="EndnoteReference"/>
        </w:rPr>
        <w:endnoteRef/>
      </w:r>
      <w:r>
        <w:t xml:space="preserve"> Herrmann 1968; Sarianidi 1971b; also Law 2011;</w:t>
      </w:r>
      <w:r w:rsidRPr="00484685">
        <w:t xml:space="preserve"> </w:t>
      </w:r>
      <w:r>
        <w:t>Cassanova 2013.</w:t>
      </w:r>
    </w:p>
  </w:endnote>
  <w:endnote w:id="132">
    <w:p w14:paraId="50779BBC" w14:textId="3E95274A" w:rsidR="00985B8E" w:rsidRDefault="00985B8E" w:rsidP="0030226C">
      <w:pPr>
        <w:pStyle w:val="EndnoteText"/>
      </w:pPr>
      <w:r>
        <w:rPr>
          <w:rStyle w:val="EndnoteReference"/>
        </w:rPr>
        <w:endnoteRef/>
      </w:r>
      <w:r>
        <w:t xml:space="preserve"> Amiet and Tosi 1978: 20-24, 31; Dahl et al. 2014.</w:t>
      </w:r>
    </w:p>
  </w:endnote>
  <w:endnote w:id="133">
    <w:p w14:paraId="179E560A" w14:textId="77777777" w:rsidR="00985B8E" w:rsidRDefault="00985B8E" w:rsidP="00141EF3">
      <w:pPr>
        <w:pStyle w:val="EndnoteText"/>
      </w:pPr>
      <w:r>
        <w:rPr>
          <w:rStyle w:val="EndnoteReference"/>
        </w:rPr>
        <w:endnoteRef/>
      </w:r>
      <w:r>
        <w:t xml:space="preserve"> Tosi 1969; Lamberg-Karlovsky 1972a; Lamberg-Karlovsky and Tosi 1974.</w:t>
      </w:r>
    </w:p>
  </w:endnote>
  <w:endnote w:id="134">
    <w:p w14:paraId="787076B3" w14:textId="0B9B8BB3" w:rsidR="00985B8E" w:rsidRPr="00484685" w:rsidRDefault="00985B8E">
      <w:pPr>
        <w:pStyle w:val="EndnoteText"/>
        <w:rPr>
          <w:lang w:val="en-GB"/>
        </w:rPr>
      </w:pPr>
      <w:r>
        <w:rPr>
          <w:rStyle w:val="EndnoteReference"/>
        </w:rPr>
        <w:endnoteRef/>
      </w:r>
      <w:r>
        <w:t xml:space="preserve"> Vidale and Lazzari (eds) 2017</w:t>
      </w:r>
    </w:p>
  </w:endnote>
  <w:endnote w:id="135">
    <w:p w14:paraId="256A330B" w14:textId="5989C394" w:rsidR="00985B8E" w:rsidRDefault="00985B8E" w:rsidP="0030226C">
      <w:pPr>
        <w:pStyle w:val="EndnoteText"/>
      </w:pPr>
      <w:r>
        <w:rPr>
          <w:rStyle w:val="EndnoteReference"/>
        </w:rPr>
        <w:endnoteRef/>
      </w:r>
      <w:r>
        <w:t xml:space="preserve"> Salvatori and Tosi 2005; also Cortesi </w:t>
      </w:r>
      <w:r w:rsidRPr="0015740D">
        <w:rPr>
          <w:i/>
        </w:rPr>
        <w:t>et al</w:t>
      </w:r>
      <w:r>
        <w:t>. 2008</w:t>
      </w:r>
      <w:r w:rsidRPr="0015740D">
        <w:t xml:space="preserve"> </w:t>
      </w:r>
      <w:r>
        <w:t>which supersede previous assessments.</w:t>
      </w:r>
    </w:p>
  </w:endnote>
  <w:endnote w:id="136">
    <w:p w14:paraId="1245EA03" w14:textId="77777777" w:rsidR="00985B8E" w:rsidRDefault="00985B8E" w:rsidP="0015740D">
      <w:pPr>
        <w:pStyle w:val="EndnoteText"/>
      </w:pPr>
      <w:r>
        <w:rPr>
          <w:rStyle w:val="EndnoteReference"/>
        </w:rPr>
        <w:endnoteRef/>
      </w:r>
      <w:r>
        <w:t xml:space="preserve"> Meadow 1973: 201; Piperno and Tosi 1975: 187.</w:t>
      </w:r>
    </w:p>
  </w:endnote>
  <w:endnote w:id="137">
    <w:p w14:paraId="7634FFB7" w14:textId="77777777" w:rsidR="00985B8E" w:rsidRDefault="00985B8E" w:rsidP="0030226C">
      <w:pPr>
        <w:pStyle w:val="EndnoteText"/>
      </w:pPr>
      <w:r>
        <w:rPr>
          <w:rStyle w:val="EndnoteReference"/>
        </w:rPr>
        <w:endnoteRef/>
      </w:r>
      <w:r>
        <w:t xml:space="preserve"> Meadow 1973: 198.</w:t>
      </w:r>
    </w:p>
  </w:endnote>
  <w:endnote w:id="138">
    <w:p w14:paraId="65D81040" w14:textId="68B45734" w:rsidR="00985B8E" w:rsidRPr="007E2C14" w:rsidRDefault="00985B8E">
      <w:pPr>
        <w:pStyle w:val="EndnoteText"/>
        <w:rPr>
          <w:lang w:val="en-GB"/>
        </w:rPr>
      </w:pPr>
      <w:r>
        <w:rPr>
          <w:rStyle w:val="EndnoteReference"/>
        </w:rPr>
        <w:endnoteRef/>
      </w:r>
      <w:r>
        <w:t xml:space="preserve"> </w:t>
      </w:r>
      <w:r>
        <w:rPr>
          <w:lang w:val="en-GB"/>
        </w:rPr>
        <w:t xml:space="preserve">Cortesi </w:t>
      </w:r>
      <w:r w:rsidRPr="007E2C14">
        <w:rPr>
          <w:i/>
          <w:lang w:val="en-GB"/>
        </w:rPr>
        <w:t>et al</w:t>
      </w:r>
      <w:r>
        <w:rPr>
          <w:lang w:val="en-GB"/>
        </w:rPr>
        <w:t xml:space="preserve">. 2008; Jarrige </w:t>
      </w:r>
      <w:r w:rsidRPr="007E2C14">
        <w:rPr>
          <w:i/>
          <w:lang w:val="en-GB"/>
        </w:rPr>
        <w:t>et al</w:t>
      </w:r>
      <w:r>
        <w:rPr>
          <w:lang w:val="en-GB"/>
        </w:rPr>
        <w:t>. 2011.</w:t>
      </w:r>
    </w:p>
  </w:endnote>
  <w:endnote w:id="139">
    <w:p w14:paraId="03A0AA64" w14:textId="77777777" w:rsidR="00985B8E" w:rsidRDefault="00985B8E" w:rsidP="0030226C">
      <w:pPr>
        <w:pStyle w:val="EndnoteText"/>
      </w:pPr>
      <w:r>
        <w:rPr>
          <w:rStyle w:val="EndnoteReference"/>
        </w:rPr>
        <w:endnoteRef/>
      </w:r>
      <w:r>
        <w:t xml:space="preserve"> Casal 1961; Dales 1965: Mughal 1970.</w:t>
      </w:r>
    </w:p>
  </w:endnote>
  <w:endnote w:id="140">
    <w:p w14:paraId="1A8E011B" w14:textId="071BCB99" w:rsidR="00985B8E" w:rsidRPr="000526DA" w:rsidRDefault="00985B8E">
      <w:pPr>
        <w:pStyle w:val="EndnoteText"/>
        <w:rPr>
          <w:lang w:val="en-GB"/>
        </w:rPr>
      </w:pPr>
      <w:r>
        <w:rPr>
          <w:rStyle w:val="EndnoteReference"/>
        </w:rPr>
        <w:endnoteRef/>
      </w:r>
      <w:r>
        <w:t xml:space="preserve"> </w:t>
      </w:r>
      <w:r>
        <w:rPr>
          <w:lang w:val="en-GB"/>
        </w:rPr>
        <w:t>Shaffer 1978.</w:t>
      </w:r>
    </w:p>
  </w:endnote>
  <w:endnote w:id="141">
    <w:p w14:paraId="45B57B3F" w14:textId="4FD03CC4" w:rsidR="00985B8E" w:rsidRDefault="00985B8E" w:rsidP="0030226C">
      <w:pPr>
        <w:pStyle w:val="EndnoteText"/>
      </w:pPr>
      <w:r>
        <w:rPr>
          <w:rStyle w:val="EndnoteReference"/>
        </w:rPr>
        <w:endnoteRef/>
      </w:r>
      <w:r>
        <w:t xml:space="preserve"> Jarrige 2007, 2013; also Petrie et al. 2010b; Petrie 2015</w:t>
      </w:r>
    </w:p>
  </w:endnote>
  <w:endnote w:id="142">
    <w:p w14:paraId="3FA722E0" w14:textId="021B8CC7" w:rsidR="00985B8E" w:rsidRPr="007E2C14" w:rsidRDefault="00985B8E" w:rsidP="003E102D">
      <w:pPr>
        <w:pStyle w:val="EndnoteText"/>
        <w:rPr>
          <w:lang w:val="en-GB"/>
        </w:rPr>
      </w:pPr>
      <w:r>
        <w:rPr>
          <w:rStyle w:val="EndnoteReference"/>
        </w:rPr>
        <w:endnoteRef/>
      </w:r>
      <w:r>
        <w:t xml:space="preserve"> </w:t>
      </w:r>
      <w:r>
        <w:rPr>
          <w:lang w:val="en-GB"/>
        </w:rPr>
        <w:t xml:space="preserve">Jarrige 2001, 2007, 2013; Petrie </w:t>
      </w:r>
      <w:r w:rsidRPr="007E2C14">
        <w:rPr>
          <w:i/>
          <w:lang w:val="en-GB"/>
        </w:rPr>
        <w:t>et al</w:t>
      </w:r>
      <w:r>
        <w:rPr>
          <w:lang w:val="en-GB"/>
        </w:rPr>
        <w:t>. 2010b; Petrie 2015.</w:t>
      </w:r>
    </w:p>
  </w:endnote>
  <w:endnote w:id="143">
    <w:p w14:paraId="4D359364" w14:textId="77777777" w:rsidR="00985B8E" w:rsidRPr="003E102D" w:rsidRDefault="00985B8E" w:rsidP="00D144FA">
      <w:pPr>
        <w:pStyle w:val="EndnoteText"/>
        <w:rPr>
          <w:lang w:val="en-GB"/>
        </w:rPr>
      </w:pPr>
      <w:r>
        <w:rPr>
          <w:rStyle w:val="EndnoteReference"/>
        </w:rPr>
        <w:endnoteRef/>
      </w:r>
      <w:r>
        <w:t xml:space="preserve"> </w:t>
      </w:r>
      <w:r>
        <w:rPr>
          <w:lang w:val="en-GB"/>
        </w:rPr>
        <w:t>e.g. Vandiver 1995.</w:t>
      </w:r>
    </w:p>
  </w:endnote>
  <w:endnote w:id="144">
    <w:p w14:paraId="5E45ED36" w14:textId="77777777" w:rsidR="00985B8E" w:rsidRDefault="00985B8E" w:rsidP="0030226C">
      <w:pPr>
        <w:pStyle w:val="EndnoteText"/>
      </w:pPr>
      <w:r>
        <w:rPr>
          <w:rStyle w:val="EndnoteReference"/>
        </w:rPr>
        <w:endnoteRef/>
      </w:r>
      <w:r>
        <w:t xml:space="preserve"> Fairservis’ 1956.</w:t>
      </w:r>
    </w:p>
  </w:endnote>
  <w:endnote w:id="145">
    <w:p w14:paraId="12E7951C" w14:textId="77777777" w:rsidR="00985B8E" w:rsidRDefault="00985B8E" w:rsidP="00D144FA">
      <w:pPr>
        <w:pStyle w:val="EndnoteText"/>
      </w:pPr>
      <w:r>
        <w:rPr>
          <w:rStyle w:val="EndnoteReference"/>
        </w:rPr>
        <w:endnoteRef/>
      </w:r>
      <w:r>
        <w:t xml:space="preserve"> </w:t>
      </w:r>
      <w:r w:rsidRPr="00152B55">
        <w:t>Mughal, 1970: 264–6</w:t>
      </w:r>
      <w:r>
        <w:t>.</w:t>
      </w:r>
    </w:p>
  </w:endnote>
  <w:endnote w:id="146">
    <w:p w14:paraId="07FADE2D" w14:textId="77777777" w:rsidR="00985B8E" w:rsidRDefault="00985B8E" w:rsidP="0030226C">
      <w:pPr>
        <w:pStyle w:val="EndnoteText"/>
      </w:pPr>
      <w:r>
        <w:rPr>
          <w:rStyle w:val="EndnoteReference"/>
        </w:rPr>
        <w:endnoteRef/>
      </w:r>
      <w:r>
        <w:t xml:space="preserve"> Fairservis 1956: 259.</w:t>
      </w:r>
    </w:p>
  </w:endnote>
  <w:endnote w:id="147">
    <w:p w14:paraId="3E2A1A5F" w14:textId="77777777" w:rsidR="00985B8E" w:rsidRDefault="00985B8E" w:rsidP="0030226C">
      <w:pPr>
        <w:pStyle w:val="EndnoteText"/>
      </w:pPr>
      <w:r>
        <w:rPr>
          <w:rStyle w:val="EndnoteReference"/>
        </w:rPr>
        <w:endnoteRef/>
      </w:r>
      <w:r>
        <w:t xml:space="preserve"> Casal 1964.</w:t>
      </w:r>
    </w:p>
  </w:endnote>
  <w:endnote w:id="148">
    <w:p w14:paraId="704286ED" w14:textId="1520E068" w:rsidR="00985B8E" w:rsidRDefault="00985B8E" w:rsidP="0030226C">
      <w:pPr>
        <w:pStyle w:val="EndnoteText"/>
      </w:pPr>
      <w:r>
        <w:rPr>
          <w:rStyle w:val="EndnoteReference"/>
        </w:rPr>
        <w:endnoteRef/>
      </w:r>
      <w:r>
        <w:t xml:space="preserve"> see Dales 1973: 159 for corrected dates of Kot Diji and Amri; Cortesi </w:t>
      </w:r>
      <w:r w:rsidRPr="003568BB">
        <w:rPr>
          <w:i/>
        </w:rPr>
        <w:t>et al</w:t>
      </w:r>
      <w:r>
        <w:t xml:space="preserve">. 2008; Jarrige </w:t>
      </w:r>
      <w:r w:rsidRPr="003568BB">
        <w:rPr>
          <w:i/>
        </w:rPr>
        <w:t>et al</w:t>
      </w:r>
      <w:r>
        <w:t>. 2013.</w:t>
      </w:r>
    </w:p>
  </w:endnote>
  <w:endnote w:id="149">
    <w:p w14:paraId="433F18D3" w14:textId="77777777" w:rsidR="00985B8E" w:rsidRDefault="00985B8E" w:rsidP="0030226C">
      <w:pPr>
        <w:pStyle w:val="EndnoteText"/>
      </w:pPr>
      <w:r>
        <w:rPr>
          <w:rStyle w:val="EndnoteReference"/>
        </w:rPr>
        <w:endnoteRef/>
      </w:r>
      <w:r>
        <w:t xml:space="preserve"> see Dales 1965; Fairservis 1971; and Mughal 1970 for discussion.</w:t>
      </w:r>
    </w:p>
  </w:endnote>
  <w:endnote w:id="150">
    <w:p w14:paraId="66A831B0" w14:textId="77777777" w:rsidR="00985B8E" w:rsidRDefault="00985B8E" w:rsidP="0030226C">
      <w:pPr>
        <w:pStyle w:val="EndnoteText"/>
      </w:pPr>
      <w:r>
        <w:rPr>
          <w:rStyle w:val="EndnoteReference"/>
        </w:rPr>
        <w:endnoteRef/>
      </w:r>
      <w:r>
        <w:t xml:space="preserve"> Lamberg-Karlovsky 1970.</w:t>
      </w:r>
    </w:p>
  </w:endnote>
  <w:endnote w:id="151">
    <w:p w14:paraId="5D872160" w14:textId="243AB0F3" w:rsidR="00985B8E" w:rsidRDefault="00985B8E" w:rsidP="0030226C">
      <w:pPr>
        <w:pStyle w:val="EndnoteText"/>
      </w:pPr>
      <w:r>
        <w:rPr>
          <w:rStyle w:val="EndnoteReference"/>
        </w:rPr>
        <w:endnoteRef/>
      </w:r>
      <w:r>
        <w:t xml:space="preserve"> N</w:t>
      </w:r>
      <w:r w:rsidRPr="00152B55">
        <w:t>oted by Meadow</w:t>
      </w:r>
      <w:r>
        <w:t xml:space="preserve"> 1973: 194</w:t>
      </w:r>
      <w:r w:rsidRPr="00152B55">
        <w:t>, but not by Lamberg-Karlovsky</w:t>
      </w:r>
      <w:r>
        <w:t xml:space="preserve"> 1970.</w:t>
      </w:r>
    </w:p>
  </w:endnote>
  <w:endnote w:id="152">
    <w:p w14:paraId="2418440E" w14:textId="77777777" w:rsidR="00985B8E" w:rsidRDefault="00985B8E" w:rsidP="0030226C">
      <w:pPr>
        <w:pStyle w:val="EndnoteText"/>
      </w:pPr>
      <w:r>
        <w:rPr>
          <w:rStyle w:val="EndnoteReference"/>
        </w:rPr>
        <w:endnoteRef/>
      </w:r>
      <w:r>
        <w:t xml:space="preserve"> e.g. Mughal 1970: 358.</w:t>
      </w:r>
    </w:p>
  </w:endnote>
  <w:endnote w:id="153">
    <w:p w14:paraId="23F40D79" w14:textId="77777777" w:rsidR="00985B8E" w:rsidRDefault="00985B8E" w:rsidP="0030226C">
      <w:pPr>
        <w:pStyle w:val="EndnoteText"/>
      </w:pPr>
      <w:r>
        <w:rPr>
          <w:rStyle w:val="EndnoteReference"/>
        </w:rPr>
        <w:endnoteRef/>
      </w:r>
      <w:r>
        <w:t xml:space="preserve"> see Mughal 1970 1975a; Fairservis 1971.</w:t>
      </w:r>
    </w:p>
  </w:endnote>
  <w:endnote w:id="154">
    <w:p w14:paraId="262B75DB" w14:textId="77777777" w:rsidR="00985B8E" w:rsidRDefault="00985B8E" w:rsidP="0026029B">
      <w:pPr>
        <w:pStyle w:val="EndnoteText"/>
      </w:pPr>
      <w:r>
        <w:rPr>
          <w:rStyle w:val="EndnoteReference"/>
        </w:rPr>
        <w:endnoteRef/>
      </w:r>
      <w:r>
        <w:t xml:space="preserve"> Fairservis 1971: 395.</w:t>
      </w:r>
    </w:p>
  </w:endnote>
  <w:endnote w:id="155">
    <w:p w14:paraId="24682706" w14:textId="77777777" w:rsidR="00985B8E" w:rsidRDefault="00985B8E" w:rsidP="0030226C">
      <w:pPr>
        <w:pStyle w:val="EndnoteText"/>
      </w:pPr>
      <w:r>
        <w:rPr>
          <w:rStyle w:val="EndnoteReference"/>
        </w:rPr>
        <w:endnoteRef/>
      </w:r>
      <w:r>
        <w:t xml:space="preserve"> Khan 1965.</w:t>
      </w:r>
    </w:p>
  </w:endnote>
  <w:endnote w:id="156">
    <w:p w14:paraId="4AADD883" w14:textId="5DA3D9EA" w:rsidR="00985B8E" w:rsidRDefault="00985B8E" w:rsidP="0030226C">
      <w:pPr>
        <w:pStyle w:val="EndnoteText"/>
      </w:pPr>
      <w:r>
        <w:rPr>
          <w:rStyle w:val="EndnoteReference"/>
        </w:rPr>
        <w:endnoteRef/>
      </w:r>
      <w:r>
        <w:t xml:space="preserve"> Mughal 1970; Meadow and Kenoyer DATE.</w:t>
      </w:r>
    </w:p>
  </w:endnote>
  <w:endnote w:id="157">
    <w:p w14:paraId="0A57F06F" w14:textId="77777777" w:rsidR="00985B8E" w:rsidRDefault="00985B8E" w:rsidP="0030226C">
      <w:pPr>
        <w:pStyle w:val="EndnoteText"/>
      </w:pPr>
      <w:r>
        <w:rPr>
          <w:rStyle w:val="EndnoteReference"/>
        </w:rPr>
        <w:endnoteRef/>
      </w:r>
      <w:r>
        <w:t xml:space="preserve"> Mughal 1970.</w:t>
      </w:r>
    </w:p>
  </w:endnote>
  <w:endnote w:id="158">
    <w:p w14:paraId="6AAF99CE" w14:textId="77777777" w:rsidR="00985B8E" w:rsidRDefault="00985B8E" w:rsidP="0030226C">
      <w:pPr>
        <w:pStyle w:val="EndnoteText"/>
      </w:pPr>
      <w:r>
        <w:rPr>
          <w:rStyle w:val="EndnoteReference"/>
        </w:rPr>
        <w:endnoteRef/>
      </w:r>
      <w:r>
        <w:t xml:space="preserve"> Dani 1970–71; Mughal 1973 1974a.</w:t>
      </w:r>
    </w:p>
  </w:endnote>
  <w:endnote w:id="159">
    <w:p w14:paraId="6DAC589D" w14:textId="77777777" w:rsidR="00985B8E" w:rsidRDefault="00985B8E" w:rsidP="0030226C">
      <w:pPr>
        <w:pStyle w:val="EndnoteText"/>
      </w:pPr>
      <w:r>
        <w:rPr>
          <w:rStyle w:val="EndnoteReference"/>
        </w:rPr>
        <w:endnoteRef/>
      </w:r>
      <w:r>
        <w:t xml:space="preserve"> Mughal 1972b 1974b.</w:t>
      </w:r>
    </w:p>
  </w:endnote>
  <w:endnote w:id="160">
    <w:p w14:paraId="07D064A4" w14:textId="77777777" w:rsidR="00985B8E" w:rsidRDefault="00985B8E" w:rsidP="0030226C">
      <w:pPr>
        <w:pStyle w:val="EndnoteText"/>
      </w:pPr>
      <w:r>
        <w:rPr>
          <w:rStyle w:val="EndnoteReference"/>
        </w:rPr>
        <w:endnoteRef/>
      </w:r>
      <w:r>
        <w:t xml:space="preserve"> Mughal 1972a.</w:t>
      </w:r>
    </w:p>
  </w:endnote>
  <w:endnote w:id="161">
    <w:p w14:paraId="60B1A6BE" w14:textId="69DEB44A" w:rsidR="00985B8E" w:rsidRDefault="00985B8E" w:rsidP="0030226C">
      <w:pPr>
        <w:pStyle w:val="EndnoteText"/>
      </w:pPr>
      <w:r>
        <w:rPr>
          <w:rStyle w:val="EndnoteReference"/>
        </w:rPr>
        <w:endnoteRef/>
      </w:r>
      <w:r>
        <w:t xml:space="preserve"> Allchin </w:t>
      </w:r>
      <w:r w:rsidRPr="0026029B">
        <w:rPr>
          <w:i/>
        </w:rPr>
        <w:t>et al</w:t>
      </w:r>
      <w:r>
        <w:t xml:space="preserve">. 1978; Khan </w:t>
      </w:r>
      <w:r w:rsidRPr="0026029B">
        <w:rPr>
          <w:i/>
        </w:rPr>
        <w:t>et al</w:t>
      </w:r>
      <w:r>
        <w:t xml:space="preserve">. 1991; Petrie </w:t>
      </w:r>
      <w:r w:rsidRPr="0026029B">
        <w:rPr>
          <w:i/>
        </w:rPr>
        <w:t>et al</w:t>
      </w:r>
      <w:r>
        <w:t>. 2007; Petrie (ed). 2010.</w:t>
      </w:r>
    </w:p>
  </w:endnote>
  <w:endnote w:id="162">
    <w:p w14:paraId="1A56A596" w14:textId="77777777" w:rsidR="00985B8E" w:rsidRDefault="00985B8E" w:rsidP="0030226C">
      <w:pPr>
        <w:pStyle w:val="EndnoteText"/>
      </w:pPr>
      <w:r>
        <w:rPr>
          <w:rStyle w:val="EndnoteReference"/>
        </w:rPr>
        <w:endnoteRef/>
      </w:r>
      <w:r>
        <w:t xml:space="preserve"> Mughal 1970.</w:t>
      </w:r>
    </w:p>
  </w:endnote>
  <w:endnote w:id="163">
    <w:p w14:paraId="517F22E4" w14:textId="209DE6D8" w:rsidR="00985B8E" w:rsidRPr="0026029B" w:rsidRDefault="00985B8E">
      <w:pPr>
        <w:pStyle w:val="EndnoteText"/>
        <w:rPr>
          <w:lang w:val="en-GB"/>
        </w:rPr>
      </w:pPr>
      <w:r>
        <w:rPr>
          <w:rStyle w:val="EndnoteReference"/>
        </w:rPr>
        <w:endnoteRef/>
      </w:r>
      <w:r>
        <w:t xml:space="preserve"> </w:t>
      </w:r>
      <w:r>
        <w:rPr>
          <w:lang w:val="en-GB"/>
        </w:rPr>
        <w:t>Kenoyer and Meadow 2000.</w:t>
      </w:r>
    </w:p>
  </w:endnote>
  <w:endnote w:id="164">
    <w:p w14:paraId="091B27D0" w14:textId="77777777" w:rsidR="00985B8E" w:rsidRDefault="00985B8E" w:rsidP="0030226C">
      <w:pPr>
        <w:pStyle w:val="EndnoteText"/>
      </w:pPr>
      <w:r>
        <w:rPr>
          <w:rStyle w:val="EndnoteReference"/>
        </w:rPr>
        <w:endnoteRef/>
      </w:r>
      <w:r>
        <w:t xml:space="preserve"> Dani 1970–71.</w:t>
      </w:r>
    </w:p>
  </w:endnote>
  <w:endnote w:id="165">
    <w:p w14:paraId="7878B9C6" w14:textId="7573BC12" w:rsidR="00985B8E" w:rsidRPr="004E2ED6" w:rsidRDefault="00985B8E">
      <w:pPr>
        <w:pStyle w:val="EndnoteText"/>
        <w:rPr>
          <w:lang w:val="en-GB"/>
        </w:rPr>
      </w:pPr>
      <w:r>
        <w:rPr>
          <w:rStyle w:val="EndnoteReference"/>
        </w:rPr>
        <w:endnoteRef/>
      </w:r>
      <w:r>
        <w:t xml:space="preserve"> </w:t>
      </w:r>
      <w:r>
        <w:rPr>
          <w:lang w:val="en-GB"/>
        </w:rPr>
        <w:t>Petrie et al. 2010a</w:t>
      </w:r>
    </w:p>
  </w:endnote>
  <w:endnote w:id="166">
    <w:p w14:paraId="71D31281" w14:textId="77777777" w:rsidR="00985B8E" w:rsidRDefault="00985B8E" w:rsidP="0030226C">
      <w:pPr>
        <w:pStyle w:val="EndnoteText"/>
      </w:pPr>
      <w:r>
        <w:rPr>
          <w:rStyle w:val="EndnoteReference"/>
        </w:rPr>
        <w:endnoteRef/>
      </w:r>
      <w:r>
        <w:t xml:space="preserve"> Mughal 1972b 1974b.</w:t>
      </w:r>
    </w:p>
  </w:endnote>
  <w:endnote w:id="167">
    <w:p w14:paraId="48F399E0" w14:textId="2790B8EA" w:rsidR="00985B8E" w:rsidRPr="004E2ED6" w:rsidRDefault="00985B8E">
      <w:pPr>
        <w:pStyle w:val="EndnoteText"/>
        <w:rPr>
          <w:lang w:val="en-GB"/>
        </w:rPr>
      </w:pPr>
      <w:r>
        <w:rPr>
          <w:rStyle w:val="EndnoteReference"/>
        </w:rPr>
        <w:endnoteRef/>
      </w:r>
      <w:r>
        <w:t xml:space="preserve"> </w:t>
      </w:r>
      <w:r>
        <w:rPr>
          <w:lang w:val="en-GB"/>
        </w:rPr>
        <w:t>e.g. Shaffer 1992: 445-7; Mughal 1990, 1997.</w:t>
      </w:r>
    </w:p>
  </w:endnote>
  <w:endnote w:id="168">
    <w:p w14:paraId="4979C4B1" w14:textId="5011C9BF" w:rsidR="00985B8E" w:rsidRDefault="00985B8E" w:rsidP="0030226C">
      <w:pPr>
        <w:pStyle w:val="EndnoteText"/>
      </w:pPr>
      <w:r>
        <w:rPr>
          <w:rStyle w:val="EndnoteReference"/>
        </w:rPr>
        <w:endnoteRef/>
      </w:r>
      <w:r>
        <w:t xml:space="preserve"> see Petrie et al. 2010a.</w:t>
      </w:r>
    </w:p>
  </w:endnote>
  <w:endnote w:id="169">
    <w:p w14:paraId="5F7B8E72" w14:textId="77777777" w:rsidR="00985B8E" w:rsidRDefault="00985B8E" w:rsidP="0030226C">
      <w:pPr>
        <w:pStyle w:val="EndnoteText"/>
      </w:pPr>
      <w:r>
        <w:rPr>
          <w:rStyle w:val="EndnoteReference"/>
        </w:rPr>
        <w:endnoteRef/>
      </w:r>
      <w:r>
        <w:t xml:space="preserve"> Khan et al. 200</w:t>
      </w:r>
      <w:r w:rsidRPr="00E91DD7">
        <w:rPr>
          <w:highlight w:val="yellow"/>
        </w:rPr>
        <w:t>2</w:t>
      </w:r>
      <w:r>
        <w:t>.</w:t>
      </w:r>
    </w:p>
  </w:endnote>
  <w:endnote w:id="170">
    <w:p w14:paraId="22148495" w14:textId="77777777" w:rsidR="00985B8E" w:rsidRDefault="00985B8E" w:rsidP="0030226C">
      <w:pPr>
        <w:pStyle w:val="EndnoteText"/>
      </w:pPr>
      <w:r>
        <w:rPr>
          <w:rStyle w:val="EndnoteReference"/>
        </w:rPr>
        <w:endnoteRef/>
      </w:r>
      <w:r>
        <w:t xml:space="preserve"> Halim 1972.</w:t>
      </w:r>
    </w:p>
  </w:endnote>
  <w:endnote w:id="171">
    <w:p w14:paraId="082F0174" w14:textId="77777777" w:rsidR="00985B8E" w:rsidRDefault="00985B8E" w:rsidP="0030226C">
      <w:pPr>
        <w:pStyle w:val="EndnoteText"/>
      </w:pPr>
      <w:r>
        <w:rPr>
          <w:rStyle w:val="EndnoteReference"/>
        </w:rPr>
        <w:endnoteRef/>
      </w:r>
      <w:r>
        <w:t xml:space="preserve"> Tosi 1969; Lamberg-Karlovsky and Tosi 1974.</w:t>
      </w:r>
    </w:p>
  </w:endnote>
  <w:endnote w:id="172">
    <w:p w14:paraId="0E5770E5" w14:textId="2757D289" w:rsidR="00985B8E" w:rsidRDefault="00985B8E" w:rsidP="0030226C">
      <w:pPr>
        <w:pStyle w:val="EndnoteText"/>
      </w:pPr>
      <w:r>
        <w:rPr>
          <w:rStyle w:val="EndnoteReference"/>
        </w:rPr>
        <w:endnoteRef/>
      </w:r>
      <w:r>
        <w:t xml:space="preserve"> Meadow 1973: 197; Piperno and Tosi 1975: 187; Salvatori and Tosi 2005.</w:t>
      </w:r>
    </w:p>
  </w:endnote>
  <w:endnote w:id="173">
    <w:p w14:paraId="4B92CC0B" w14:textId="473C2A4D" w:rsidR="00985B8E" w:rsidRDefault="00985B8E" w:rsidP="0030226C">
      <w:pPr>
        <w:pStyle w:val="EndnoteText"/>
      </w:pPr>
      <w:r>
        <w:rPr>
          <w:rStyle w:val="EndnoteReference"/>
        </w:rPr>
        <w:endnoteRef/>
      </w:r>
      <w:r>
        <w:t xml:space="preserve"> Lamberg- Karlovsky and Tosi 1973: 40; see also Wright 1984.</w:t>
      </w:r>
    </w:p>
  </w:endnote>
  <w:endnote w:id="174">
    <w:p w14:paraId="59AAAD71" w14:textId="77777777" w:rsidR="00985B8E" w:rsidRDefault="00985B8E" w:rsidP="0030226C">
      <w:pPr>
        <w:pStyle w:val="EndnoteText"/>
      </w:pPr>
      <w:r>
        <w:rPr>
          <w:rStyle w:val="EndnoteReference"/>
        </w:rPr>
        <w:endnoteRef/>
      </w:r>
      <w:r>
        <w:t xml:space="preserve"> </w:t>
      </w:r>
      <w:r w:rsidRPr="00152B55">
        <w:t>De Cardi, 1970</w:t>
      </w:r>
      <w:r w:rsidRPr="00E91DD7">
        <w:rPr>
          <w:color w:val="FF0000"/>
        </w:rPr>
        <w:t>; Mutin 2015</w:t>
      </w:r>
      <w:r>
        <w:t>.</w:t>
      </w:r>
    </w:p>
  </w:endnote>
  <w:endnote w:id="175">
    <w:p w14:paraId="0388FAE8" w14:textId="241A9745" w:rsidR="00985B8E" w:rsidRPr="003822E4" w:rsidRDefault="00985B8E">
      <w:pPr>
        <w:pStyle w:val="EndnoteText"/>
        <w:rPr>
          <w:lang w:val="en-GB"/>
        </w:rPr>
      </w:pPr>
      <w:r>
        <w:rPr>
          <w:rStyle w:val="EndnoteReference"/>
        </w:rPr>
        <w:endnoteRef/>
      </w:r>
      <w:r>
        <w:t xml:space="preserve"> </w:t>
      </w:r>
      <w:r>
        <w:rPr>
          <w:lang w:val="en-GB"/>
        </w:rPr>
        <w:t>Mutin and Lamberg Karlovsky 2013: 84-90.</w:t>
      </w:r>
    </w:p>
  </w:endnote>
  <w:endnote w:id="176">
    <w:p w14:paraId="3E97482C" w14:textId="5178B4FA" w:rsidR="00985B8E" w:rsidRPr="003822E4" w:rsidRDefault="00985B8E">
      <w:pPr>
        <w:pStyle w:val="EndnoteText"/>
        <w:rPr>
          <w:lang w:val="en-GB"/>
        </w:rPr>
      </w:pPr>
      <w:r>
        <w:rPr>
          <w:rStyle w:val="EndnoteReference"/>
        </w:rPr>
        <w:endnoteRef/>
      </w:r>
      <w:r>
        <w:t xml:space="preserve"> </w:t>
      </w:r>
      <w:r>
        <w:rPr>
          <w:lang w:val="en-GB"/>
        </w:rPr>
        <w:t>Potts and Lamberg-Karlovsky 2001; Mutin and Lamberg-Karlovsky 2013.</w:t>
      </w:r>
    </w:p>
  </w:endnote>
  <w:endnote w:id="177">
    <w:p w14:paraId="5F231A34" w14:textId="2109FD22" w:rsidR="00985B8E" w:rsidRDefault="00985B8E" w:rsidP="0030226C">
      <w:pPr>
        <w:pStyle w:val="EndnoteText"/>
      </w:pPr>
      <w:r>
        <w:rPr>
          <w:rStyle w:val="EndnoteReference"/>
        </w:rPr>
        <w:endnoteRef/>
      </w:r>
      <w:r>
        <w:t xml:space="preserve"> Lamberg-Karlovsky 1970: 95; Potts 2001; Mutin and Lamberg-Karlovsky 2013: 116-7, Fig. 3.86.</w:t>
      </w:r>
    </w:p>
  </w:endnote>
  <w:endnote w:id="178">
    <w:p w14:paraId="546FB2B8" w14:textId="0B79895B" w:rsidR="00985B8E" w:rsidRPr="00A85EB1" w:rsidRDefault="00985B8E">
      <w:pPr>
        <w:pStyle w:val="EndnoteText"/>
        <w:rPr>
          <w:lang w:val="en-GB"/>
        </w:rPr>
      </w:pPr>
      <w:r>
        <w:rPr>
          <w:rStyle w:val="EndnoteReference"/>
        </w:rPr>
        <w:endnoteRef/>
      </w:r>
      <w:r>
        <w:t xml:space="preserve"> </w:t>
      </w:r>
      <w:r>
        <w:rPr>
          <w:lang w:val="en-GB"/>
        </w:rPr>
        <w:t>Lamberg-Karlovsky 1970; Mutin and Lamberg Karlovsky 2013 117, Fig. 3.86.</w:t>
      </w:r>
    </w:p>
  </w:endnote>
  <w:endnote w:id="179">
    <w:p w14:paraId="45C0EB18" w14:textId="40D67C8E" w:rsidR="00985B8E" w:rsidRPr="003822E4" w:rsidRDefault="00985B8E">
      <w:pPr>
        <w:pStyle w:val="EndnoteText"/>
        <w:rPr>
          <w:lang w:val="en-GB"/>
        </w:rPr>
      </w:pPr>
      <w:r>
        <w:rPr>
          <w:rStyle w:val="EndnoteReference"/>
        </w:rPr>
        <w:endnoteRef/>
      </w:r>
      <w:r>
        <w:t xml:space="preserve"> </w:t>
      </w:r>
      <w:r w:rsidRPr="003822E4">
        <w:t xml:space="preserve">Potts </w:t>
      </w:r>
      <w:r>
        <w:rPr>
          <w:lang w:val="en-GB"/>
        </w:rPr>
        <w:t>and Lamberg-Karlovsky 2001; Mutin and Lamberg-Karlovsky 2013; Petrie in press.</w:t>
      </w:r>
    </w:p>
  </w:endnote>
  <w:endnote w:id="180">
    <w:p w14:paraId="79B87F70" w14:textId="7ED6E602" w:rsidR="00985B8E" w:rsidRPr="003822E4" w:rsidRDefault="00985B8E">
      <w:pPr>
        <w:pStyle w:val="EndnoteText"/>
        <w:rPr>
          <w:lang w:val="en-GB"/>
        </w:rPr>
      </w:pPr>
      <w:r>
        <w:rPr>
          <w:rStyle w:val="EndnoteReference"/>
        </w:rPr>
        <w:endnoteRef/>
      </w:r>
      <w:r>
        <w:t xml:space="preserve"> </w:t>
      </w:r>
      <w:r>
        <w:rPr>
          <w:lang w:val="en-GB"/>
        </w:rPr>
        <w:t>Mutin and Lamberg-Karlovsky 2013</w:t>
      </w:r>
    </w:p>
  </w:endnote>
  <w:endnote w:id="181">
    <w:p w14:paraId="60B1166E" w14:textId="77777777" w:rsidR="00985B8E" w:rsidRDefault="00985B8E" w:rsidP="0030226C">
      <w:pPr>
        <w:pStyle w:val="EndnoteText"/>
      </w:pPr>
      <w:r>
        <w:rPr>
          <w:rStyle w:val="EndnoteReference"/>
        </w:rPr>
        <w:endnoteRef/>
      </w:r>
      <w:r>
        <w:t xml:space="preserve"> e.g. Tosi 1973; Lamberg-Karlovsky and Tosi 1974.</w:t>
      </w:r>
    </w:p>
  </w:endnote>
  <w:endnote w:id="182">
    <w:p w14:paraId="04B65620" w14:textId="7AA3317E" w:rsidR="00985B8E" w:rsidRDefault="00985B8E" w:rsidP="00CA543D">
      <w:pPr>
        <w:pStyle w:val="EndnoteText"/>
      </w:pPr>
      <w:r>
        <w:rPr>
          <w:rStyle w:val="EndnoteReference"/>
        </w:rPr>
        <w:endnoteRef/>
      </w:r>
      <w:r>
        <w:t xml:space="preserve"> Masson and Sarianidi 1972; 75–96; Kohl 1984; Masson </w:t>
      </w:r>
      <w:r w:rsidRPr="000526DA">
        <w:rPr>
          <w:i/>
        </w:rPr>
        <w:t>et al</w:t>
      </w:r>
      <w:r>
        <w:t>. 2005.</w:t>
      </w:r>
    </w:p>
  </w:endnote>
  <w:endnote w:id="183">
    <w:p w14:paraId="3E66442F" w14:textId="5A8ACBE5" w:rsidR="00985B8E" w:rsidRPr="001A48B1" w:rsidRDefault="00985B8E">
      <w:pPr>
        <w:pStyle w:val="EndnoteText"/>
        <w:rPr>
          <w:lang w:val="en-GB"/>
        </w:rPr>
      </w:pPr>
      <w:r>
        <w:rPr>
          <w:rStyle w:val="EndnoteReference"/>
        </w:rPr>
        <w:endnoteRef/>
      </w:r>
      <w:r>
        <w:t xml:space="preserve"> </w:t>
      </w:r>
      <w:r w:rsidRPr="001A48B1">
        <w:t>Lyonnet 1996</w:t>
      </w:r>
    </w:p>
  </w:endnote>
  <w:endnote w:id="184">
    <w:p w14:paraId="26E6D198" w14:textId="2871D381" w:rsidR="00985B8E" w:rsidRPr="009F50E8" w:rsidRDefault="00985B8E">
      <w:pPr>
        <w:pStyle w:val="EndnoteText"/>
        <w:rPr>
          <w:lang w:val="en-GB"/>
        </w:rPr>
      </w:pPr>
      <w:r>
        <w:rPr>
          <w:rStyle w:val="EndnoteReference"/>
        </w:rPr>
        <w:endnoteRef/>
      </w:r>
      <w:r>
        <w:t xml:space="preserve"> </w:t>
      </w:r>
      <w:r>
        <w:rPr>
          <w:lang w:val="en-GB"/>
        </w:rPr>
        <w:t xml:space="preserve">Jarrige </w:t>
      </w:r>
      <w:r w:rsidRPr="009F50E8">
        <w:rPr>
          <w:i/>
          <w:lang w:val="en-GB"/>
        </w:rPr>
        <w:t>et al</w:t>
      </w:r>
      <w:r>
        <w:rPr>
          <w:lang w:val="en-GB"/>
        </w:rPr>
        <w:t>. 2011.</w:t>
      </w:r>
    </w:p>
  </w:endnote>
  <w:endnote w:id="185">
    <w:p w14:paraId="64D19DEE" w14:textId="35DE37B5" w:rsidR="00985B8E" w:rsidRPr="009F50E8" w:rsidRDefault="00985B8E">
      <w:pPr>
        <w:pStyle w:val="EndnoteText"/>
        <w:rPr>
          <w:lang w:val="en-GB"/>
        </w:rPr>
      </w:pPr>
      <w:r>
        <w:rPr>
          <w:rStyle w:val="EndnoteReference"/>
        </w:rPr>
        <w:endnoteRef/>
      </w:r>
      <w:r>
        <w:t xml:space="preserve"> </w:t>
      </w:r>
      <w:r>
        <w:rPr>
          <w:lang w:val="en-GB"/>
        </w:rPr>
        <w:t xml:space="preserve">Jarrige </w:t>
      </w:r>
      <w:r w:rsidRPr="009F50E8">
        <w:rPr>
          <w:i/>
          <w:lang w:val="en-GB"/>
        </w:rPr>
        <w:t>et al</w:t>
      </w:r>
      <w:r>
        <w:rPr>
          <w:lang w:val="en-GB"/>
        </w:rPr>
        <w:t>. 2011: Fig. 10.</w:t>
      </w:r>
    </w:p>
  </w:endnote>
  <w:endnote w:id="186">
    <w:p w14:paraId="3A804880" w14:textId="77777777" w:rsidR="00985B8E" w:rsidRDefault="00985B8E" w:rsidP="0030226C">
      <w:pPr>
        <w:pStyle w:val="EndnoteText"/>
      </w:pPr>
      <w:r>
        <w:rPr>
          <w:rStyle w:val="EndnoteReference"/>
        </w:rPr>
        <w:endnoteRef/>
      </w:r>
      <w:r>
        <w:t xml:space="preserve"> Alcock in Fairservis 1956.</w:t>
      </w:r>
    </w:p>
  </w:endnote>
  <w:endnote w:id="187">
    <w:p w14:paraId="666A300A" w14:textId="0FE2EDAE" w:rsidR="00985B8E" w:rsidRDefault="00985B8E" w:rsidP="0030226C">
      <w:pPr>
        <w:pStyle w:val="EndnoteText"/>
      </w:pPr>
      <w:r>
        <w:rPr>
          <w:rStyle w:val="EndnoteReference"/>
        </w:rPr>
        <w:endnoteRef/>
      </w:r>
      <w:r>
        <w:t xml:space="preserve"> Casal 1966; Possehl 1986; Quivron 2008; Jarrige </w:t>
      </w:r>
      <w:r w:rsidRPr="009F50E8">
        <w:rPr>
          <w:i/>
        </w:rPr>
        <w:t>et al</w:t>
      </w:r>
      <w:r>
        <w:t>. 2011.</w:t>
      </w:r>
    </w:p>
  </w:endnote>
  <w:endnote w:id="188">
    <w:p w14:paraId="07D04BD7" w14:textId="560E9B17" w:rsidR="00985B8E" w:rsidRPr="002A0CCC" w:rsidRDefault="00985B8E">
      <w:pPr>
        <w:pStyle w:val="EndnoteText"/>
        <w:rPr>
          <w:lang w:val="en-GB"/>
        </w:rPr>
      </w:pPr>
      <w:r>
        <w:rPr>
          <w:rStyle w:val="EndnoteReference"/>
        </w:rPr>
        <w:endnoteRef/>
      </w:r>
      <w:r>
        <w:t xml:space="preserve"> </w:t>
      </w:r>
      <w:r>
        <w:rPr>
          <w:lang w:val="en-GB"/>
        </w:rPr>
        <w:t>see Jarrige et al. 2011.</w:t>
      </w:r>
    </w:p>
  </w:endnote>
  <w:endnote w:id="189">
    <w:p w14:paraId="4C38A41F" w14:textId="7CD355C2" w:rsidR="00985B8E" w:rsidRPr="004D5126" w:rsidRDefault="00985B8E">
      <w:pPr>
        <w:pStyle w:val="EndnoteText"/>
        <w:rPr>
          <w:lang w:val="en-GB"/>
        </w:rPr>
      </w:pPr>
      <w:r>
        <w:rPr>
          <w:rStyle w:val="EndnoteReference"/>
        </w:rPr>
        <w:endnoteRef/>
      </w:r>
      <w:r>
        <w:t xml:space="preserve"> </w:t>
      </w:r>
      <w:r>
        <w:rPr>
          <w:lang w:val="en-GB"/>
        </w:rPr>
        <w:t>Jarrige et al. 2011.</w:t>
      </w:r>
    </w:p>
  </w:endnote>
  <w:endnote w:id="190">
    <w:p w14:paraId="12C1CBCC" w14:textId="77777777" w:rsidR="00985B8E" w:rsidRDefault="00985B8E" w:rsidP="0030226C">
      <w:pPr>
        <w:pStyle w:val="EndnoteText"/>
      </w:pPr>
      <w:r>
        <w:rPr>
          <w:rStyle w:val="EndnoteReference"/>
        </w:rPr>
        <w:endnoteRef/>
      </w:r>
      <w:r>
        <w:t xml:space="preserve"> </w:t>
      </w:r>
      <w:r w:rsidRPr="00CB1A7A">
        <w:rPr>
          <w:color w:val="FF0000"/>
        </w:rPr>
        <w:t>Mutin 2015</w:t>
      </w:r>
      <w:r>
        <w:t>.</w:t>
      </w:r>
    </w:p>
  </w:endnote>
  <w:endnote w:id="191">
    <w:p w14:paraId="2FB4149F" w14:textId="77777777" w:rsidR="00985B8E" w:rsidRDefault="00985B8E" w:rsidP="0030226C">
      <w:pPr>
        <w:pStyle w:val="EndnoteText"/>
      </w:pPr>
      <w:r>
        <w:rPr>
          <w:rStyle w:val="EndnoteReference"/>
        </w:rPr>
        <w:endnoteRef/>
      </w:r>
      <w:r>
        <w:t xml:space="preserve"> De Cardi 1970: Table 5.</w:t>
      </w:r>
    </w:p>
  </w:endnote>
  <w:endnote w:id="192">
    <w:p w14:paraId="1072B159" w14:textId="41A18BA3" w:rsidR="00985B8E" w:rsidRPr="004D5126" w:rsidRDefault="00985B8E">
      <w:pPr>
        <w:pStyle w:val="EndnoteText"/>
        <w:rPr>
          <w:lang w:val="en-GB"/>
        </w:rPr>
      </w:pPr>
      <w:r>
        <w:rPr>
          <w:rStyle w:val="EndnoteReference"/>
        </w:rPr>
        <w:endnoteRef/>
      </w:r>
      <w:r>
        <w:t xml:space="preserve"> </w:t>
      </w:r>
      <w:r>
        <w:rPr>
          <w:lang w:val="en-GB"/>
        </w:rPr>
        <w:t>The dating and distribution of these vessels has most recently been analysed by Didier 2013: 276-278.</w:t>
      </w:r>
    </w:p>
  </w:endnote>
  <w:endnote w:id="193">
    <w:p w14:paraId="32F6D01A" w14:textId="7F795302" w:rsidR="00985B8E" w:rsidRPr="004D5126" w:rsidRDefault="00985B8E" w:rsidP="00CD5BAE">
      <w:pPr>
        <w:pStyle w:val="EndnoteText"/>
        <w:rPr>
          <w:lang w:val="en-GB"/>
        </w:rPr>
      </w:pPr>
      <w:r>
        <w:rPr>
          <w:rStyle w:val="EndnoteReference"/>
        </w:rPr>
        <w:endnoteRef/>
      </w:r>
      <w:r>
        <w:t xml:space="preserve"> </w:t>
      </w:r>
      <w:r>
        <w:rPr>
          <w:lang w:val="en-GB"/>
        </w:rPr>
        <w:t>Didier 2013: 276-278; also Mery 2000.</w:t>
      </w:r>
    </w:p>
  </w:endnote>
  <w:endnote w:id="194">
    <w:p w14:paraId="2A87E47D" w14:textId="77777777" w:rsidR="00985B8E" w:rsidRDefault="00985B8E" w:rsidP="0030226C">
      <w:pPr>
        <w:pStyle w:val="EndnoteText"/>
      </w:pPr>
      <w:r>
        <w:rPr>
          <w:rStyle w:val="EndnoteReference"/>
        </w:rPr>
        <w:endnoteRef/>
      </w:r>
      <w:r>
        <w:t xml:space="preserve"> Lamberg-Karlovsky 1970 1972a b.</w:t>
      </w:r>
    </w:p>
  </w:endnote>
  <w:endnote w:id="195">
    <w:p w14:paraId="7AF74D72" w14:textId="634E9CC8" w:rsidR="00985B8E" w:rsidRPr="00CD5BAE" w:rsidRDefault="00985B8E">
      <w:pPr>
        <w:pStyle w:val="EndnoteText"/>
        <w:rPr>
          <w:lang w:val="en-GB"/>
        </w:rPr>
      </w:pPr>
      <w:r>
        <w:rPr>
          <w:rStyle w:val="EndnoteReference"/>
        </w:rPr>
        <w:endnoteRef/>
      </w:r>
      <w:r>
        <w:t xml:space="preserve"> </w:t>
      </w:r>
      <w:r>
        <w:rPr>
          <w:lang w:val="en-GB"/>
        </w:rPr>
        <w:t>Madjidzadeh 2003, 2008</w:t>
      </w:r>
    </w:p>
  </w:endnote>
  <w:endnote w:id="196">
    <w:p w14:paraId="79B38DEB" w14:textId="77777777" w:rsidR="00985B8E" w:rsidRDefault="00985B8E" w:rsidP="0030226C">
      <w:pPr>
        <w:pStyle w:val="EndnoteText"/>
      </w:pPr>
      <w:r>
        <w:rPr>
          <w:rStyle w:val="EndnoteReference"/>
        </w:rPr>
        <w:endnoteRef/>
      </w:r>
      <w:r>
        <w:t xml:space="preserve"> Masson and Sarianidi 1972: 97–111.</w:t>
      </w:r>
    </w:p>
  </w:endnote>
  <w:endnote w:id="197">
    <w:p w14:paraId="4C944338" w14:textId="0EB58F31" w:rsidR="00985B8E" w:rsidRPr="00985B8E" w:rsidRDefault="00985B8E">
      <w:pPr>
        <w:pStyle w:val="EndnoteText"/>
        <w:rPr>
          <w:lang w:val="en-GB"/>
        </w:rPr>
      </w:pPr>
      <w:r>
        <w:rPr>
          <w:rStyle w:val="EndnoteReference"/>
        </w:rPr>
        <w:endnoteRef/>
      </w:r>
      <w:r>
        <w:t xml:space="preserve"> </w:t>
      </w:r>
      <w:r>
        <w:rPr>
          <w:lang w:val="en-GB"/>
        </w:rPr>
        <w:t>Lhuillier 2013, 2016</w:t>
      </w:r>
    </w:p>
  </w:endnote>
  <w:endnote w:id="198">
    <w:p w14:paraId="656ADBE4" w14:textId="61AE9918" w:rsidR="00985B8E" w:rsidRDefault="00985B8E" w:rsidP="00D85BE5">
      <w:pPr>
        <w:pStyle w:val="EndnoteText"/>
      </w:pPr>
      <w:r>
        <w:rPr>
          <w:rStyle w:val="EndnoteReference"/>
        </w:rPr>
        <w:endnoteRef/>
      </w:r>
      <w:r>
        <w:t xml:space="preserve"> Masson and Sarianidi 1972: 164–5</w:t>
      </w:r>
      <w:r>
        <w:rPr>
          <w:color w:val="FF0000"/>
        </w:rPr>
        <w:t>; Lyonnet 2007; Lhuillier 2013, 2016.</w:t>
      </w:r>
    </w:p>
  </w:endnote>
  <w:endnote w:id="199">
    <w:p w14:paraId="6B033570" w14:textId="63D03EA2" w:rsidR="00985B8E" w:rsidRPr="005B0A0D" w:rsidRDefault="00985B8E">
      <w:pPr>
        <w:pStyle w:val="EndnoteText"/>
        <w:rPr>
          <w:lang w:val="en-GB"/>
        </w:rPr>
      </w:pPr>
      <w:r>
        <w:rPr>
          <w:rStyle w:val="EndnoteReference"/>
        </w:rPr>
        <w:endnoteRef/>
      </w:r>
      <w:r>
        <w:t xml:space="preserve"> </w:t>
      </w:r>
      <w:r>
        <w:rPr>
          <w:lang w:val="en-GB"/>
        </w:rPr>
        <w:t>Jarrige and Santoni 1979.</w:t>
      </w:r>
    </w:p>
  </w:endnote>
  <w:endnote w:id="200">
    <w:p w14:paraId="2B9618FA" w14:textId="77777777" w:rsidR="0058439F" w:rsidRPr="00985B8E" w:rsidRDefault="0058439F" w:rsidP="0058439F">
      <w:pPr>
        <w:pStyle w:val="EndnoteText"/>
        <w:rPr>
          <w:lang w:val="en-GB"/>
        </w:rPr>
      </w:pPr>
      <w:r>
        <w:rPr>
          <w:rStyle w:val="EndnoteReference"/>
        </w:rPr>
        <w:endnoteRef/>
      </w:r>
      <w:r>
        <w:t xml:space="preserve"> </w:t>
      </w:r>
      <w:r>
        <w:rPr>
          <w:lang w:val="en-GB"/>
        </w:rPr>
        <w:t>Lhuillier 2013, 2016</w:t>
      </w:r>
    </w:p>
  </w:endnote>
  <w:endnote w:id="201">
    <w:p w14:paraId="53CC7D57" w14:textId="25A670C5" w:rsidR="0058439F" w:rsidRPr="0058439F" w:rsidRDefault="0058439F">
      <w:pPr>
        <w:pStyle w:val="EndnoteText"/>
        <w:rPr>
          <w:lang w:val="en-GB"/>
        </w:rPr>
      </w:pPr>
      <w:r>
        <w:rPr>
          <w:rStyle w:val="EndnoteReference"/>
        </w:rPr>
        <w:endnoteRef/>
      </w:r>
      <w:r>
        <w:t xml:space="preserve"> </w:t>
      </w:r>
      <w:r>
        <w:rPr>
          <w:lang w:val="en-GB"/>
        </w:rPr>
        <w:t xml:space="preserve">Magee </w:t>
      </w:r>
      <w:r w:rsidRPr="0058439F">
        <w:rPr>
          <w:i/>
          <w:lang w:val="en-GB"/>
        </w:rPr>
        <w:t>et al</w:t>
      </w:r>
      <w:r>
        <w:rPr>
          <w:lang w:val="en-GB"/>
        </w:rPr>
        <w:t>. 2005.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dobe Garamond Pro Bold">
    <w:panose1 w:val="02020702060506020403"/>
    <w:charset w:val="00"/>
    <w:family w:val="roman"/>
    <w:notTrueType/>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 w:name="Adobe Garamond Pro">
    <w:panose1 w:val="02020502060506020403"/>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 Pro">
    <w:panose1 w:val="02040503050306020203"/>
    <w:charset w:val="00"/>
    <w:family w:val="roman"/>
    <w:notTrueType/>
    <w:pitch w:val="variable"/>
    <w:sig w:usb0="E00002AF" w:usb1="5000E07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225851"/>
      <w:docPartObj>
        <w:docPartGallery w:val="Page Numbers (Bottom of Page)"/>
        <w:docPartUnique/>
      </w:docPartObj>
    </w:sdtPr>
    <w:sdtEndPr/>
    <w:sdtContent>
      <w:p w14:paraId="248D5912" w14:textId="328C2751" w:rsidR="00985B8E" w:rsidRDefault="00985B8E">
        <w:pPr>
          <w:pStyle w:val="Footer"/>
          <w:jc w:val="center"/>
        </w:pPr>
        <w:r>
          <w:fldChar w:fldCharType="begin"/>
        </w:r>
        <w:r>
          <w:instrText xml:space="preserve"> PAGE   \* MERGEFORMAT </w:instrText>
        </w:r>
        <w:r>
          <w:fldChar w:fldCharType="separate"/>
        </w:r>
        <w:r w:rsidR="00FC0084">
          <w:rPr>
            <w:noProof/>
          </w:rPr>
          <w:t>79</w:t>
        </w:r>
        <w:r>
          <w:rPr>
            <w:noProof/>
          </w:rPr>
          <w:fldChar w:fldCharType="end"/>
        </w:r>
      </w:p>
    </w:sdtContent>
  </w:sdt>
  <w:p w14:paraId="5D9ED64A" w14:textId="77777777" w:rsidR="00985B8E" w:rsidRDefault="00985B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126D9B" w14:textId="77777777" w:rsidR="00985B8E" w:rsidRDefault="00985B8E" w:rsidP="0030226C">
      <w:r>
        <w:separator/>
      </w:r>
    </w:p>
  </w:footnote>
  <w:footnote w:type="continuationSeparator" w:id="0">
    <w:p w14:paraId="345DB6B7" w14:textId="77777777" w:rsidR="00985B8E" w:rsidRDefault="00985B8E" w:rsidP="003022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406AE"/>
    <w:multiLevelType w:val="hybridMultilevel"/>
    <w:tmpl w:val="A4DAB2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EA3F48"/>
    <w:multiLevelType w:val="hybridMultilevel"/>
    <w:tmpl w:val="C1602302"/>
    <w:lvl w:ilvl="0" w:tplc="040C0019">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6633EDF"/>
    <w:multiLevelType w:val="hybridMultilevel"/>
    <w:tmpl w:val="112C2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690CF3"/>
    <w:multiLevelType w:val="hybridMultilevel"/>
    <w:tmpl w:val="112C2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054A82"/>
    <w:multiLevelType w:val="hybridMultilevel"/>
    <w:tmpl w:val="112C2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220081"/>
    <w:multiLevelType w:val="hybridMultilevel"/>
    <w:tmpl w:val="112C2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5F67D4"/>
    <w:multiLevelType w:val="hybridMultilevel"/>
    <w:tmpl w:val="112C2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7D42D5"/>
    <w:multiLevelType w:val="hybridMultilevel"/>
    <w:tmpl w:val="41585D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3"/>
  </w:num>
  <w:num w:numId="3">
    <w:abstractNumId w:val="6"/>
  </w:num>
  <w:num w:numId="4">
    <w:abstractNumId w:val="2"/>
  </w:num>
  <w:num w:numId="5">
    <w:abstractNumId w:val="4"/>
  </w:num>
  <w:num w:numId="6">
    <w:abstractNumId w:val="1"/>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26C"/>
    <w:rsid w:val="00014132"/>
    <w:rsid w:val="00014A00"/>
    <w:rsid w:val="00025BB7"/>
    <w:rsid w:val="000268CD"/>
    <w:rsid w:val="00026B45"/>
    <w:rsid w:val="00047697"/>
    <w:rsid w:val="000526DA"/>
    <w:rsid w:val="00054F0E"/>
    <w:rsid w:val="00067D8A"/>
    <w:rsid w:val="00077361"/>
    <w:rsid w:val="00080327"/>
    <w:rsid w:val="000A0911"/>
    <w:rsid w:val="000A55ED"/>
    <w:rsid w:val="000B3161"/>
    <w:rsid w:val="000B36AF"/>
    <w:rsid w:val="000C37B0"/>
    <w:rsid w:val="000C7D98"/>
    <w:rsid w:val="000D3B4E"/>
    <w:rsid w:val="00136213"/>
    <w:rsid w:val="00141EF3"/>
    <w:rsid w:val="0015740D"/>
    <w:rsid w:val="00173B7D"/>
    <w:rsid w:val="00182EAF"/>
    <w:rsid w:val="00184CBA"/>
    <w:rsid w:val="00185037"/>
    <w:rsid w:val="001A48B1"/>
    <w:rsid w:val="001B1D5E"/>
    <w:rsid w:val="001E1DEF"/>
    <w:rsid w:val="001F5282"/>
    <w:rsid w:val="0022688B"/>
    <w:rsid w:val="00235087"/>
    <w:rsid w:val="00236074"/>
    <w:rsid w:val="00250F6A"/>
    <w:rsid w:val="00253CF3"/>
    <w:rsid w:val="0026029B"/>
    <w:rsid w:val="00264752"/>
    <w:rsid w:val="00273200"/>
    <w:rsid w:val="00281544"/>
    <w:rsid w:val="00282F92"/>
    <w:rsid w:val="00294C7D"/>
    <w:rsid w:val="002A0CCC"/>
    <w:rsid w:val="002C4577"/>
    <w:rsid w:val="002C47B1"/>
    <w:rsid w:val="002D6282"/>
    <w:rsid w:val="002E7398"/>
    <w:rsid w:val="00300108"/>
    <w:rsid w:val="0030226C"/>
    <w:rsid w:val="0031453E"/>
    <w:rsid w:val="00314ABB"/>
    <w:rsid w:val="0032253C"/>
    <w:rsid w:val="003377C0"/>
    <w:rsid w:val="003409A9"/>
    <w:rsid w:val="00343CB5"/>
    <w:rsid w:val="00350161"/>
    <w:rsid w:val="00355BB1"/>
    <w:rsid w:val="003568BB"/>
    <w:rsid w:val="0036021B"/>
    <w:rsid w:val="00363DC7"/>
    <w:rsid w:val="00370C1B"/>
    <w:rsid w:val="00372C96"/>
    <w:rsid w:val="003822E4"/>
    <w:rsid w:val="003A064D"/>
    <w:rsid w:val="003A4E96"/>
    <w:rsid w:val="003B23F3"/>
    <w:rsid w:val="003B2B83"/>
    <w:rsid w:val="003D6EDB"/>
    <w:rsid w:val="003E0412"/>
    <w:rsid w:val="003E102D"/>
    <w:rsid w:val="003E2442"/>
    <w:rsid w:val="003F2527"/>
    <w:rsid w:val="003F31BB"/>
    <w:rsid w:val="00403BEE"/>
    <w:rsid w:val="00410783"/>
    <w:rsid w:val="00435602"/>
    <w:rsid w:val="004403DA"/>
    <w:rsid w:val="00442574"/>
    <w:rsid w:val="00462685"/>
    <w:rsid w:val="00473A63"/>
    <w:rsid w:val="00474B63"/>
    <w:rsid w:val="00484685"/>
    <w:rsid w:val="004A3BE1"/>
    <w:rsid w:val="004D5126"/>
    <w:rsid w:val="004D542F"/>
    <w:rsid w:val="004E2ED6"/>
    <w:rsid w:val="005077FE"/>
    <w:rsid w:val="00533293"/>
    <w:rsid w:val="005501F2"/>
    <w:rsid w:val="00550EB4"/>
    <w:rsid w:val="00575C88"/>
    <w:rsid w:val="00577C8C"/>
    <w:rsid w:val="00583C6B"/>
    <w:rsid w:val="0058439F"/>
    <w:rsid w:val="00592C8E"/>
    <w:rsid w:val="005A245E"/>
    <w:rsid w:val="005B0A0D"/>
    <w:rsid w:val="005B0F03"/>
    <w:rsid w:val="005B2A2F"/>
    <w:rsid w:val="005B52A9"/>
    <w:rsid w:val="005C22B7"/>
    <w:rsid w:val="005C3404"/>
    <w:rsid w:val="005D1CE5"/>
    <w:rsid w:val="005D3292"/>
    <w:rsid w:val="005E75C8"/>
    <w:rsid w:val="005F1654"/>
    <w:rsid w:val="005F3FF4"/>
    <w:rsid w:val="006005F4"/>
    <w:rsid w:val="00607418"/>
    <w:rsid w:val="00640ECA"/>
    <w:rsid w:val="00643F67"/>
    <w:rsid w:val="00662787"/>
    <w:rsid w:val="00671075"/>
    <w:rsid w:val="00673668"/>
    <w:rsid w:val="006763B5"/>
    <w:rsid w:val="006775C1"/>
    <w:rsid w:val="00680D07"/>
    <w:rsid w:val="00685802"/>
    <w:rsid w:val="006858D3"/>
    <w:rsid w:val="00686B67"/>
    <w:rsid w:val="00693551"/>
    <w:rsid w:val="006D141B"/>
    <w:rsid w:val="006D28BD"/>
    <w:rsid w:val="006E510E"/>
    <w:rsid w:val="006F7798"/>
    <w:rsid w:val="00707E89"/>
    <w:rsid w:val="00723799"/>
    <w:rsid w:val="00725ADC"/>
    <w:rsid w:val="00736A42"/>
    <w:rsid w:val="00746205"/>
    <w:rsid w:val="00751199"/>
    <w:rsid w:val="00772266"/>
    <w:rsid w:val="00782461"/>
    <w:rsid w:val="00792FFA"/>
    <w:rsid w:val="007A67D0"/>
    <w:rsid w:val="007B0796"/>
    <w:rsid w:val="007B4FFB"/>
    <w:rsid w:val="007C33F0"/>
    <w:rsid w:val="007C6F12"/>
    <w:rsid w:val="007E2C14"/>
    <w:rsid w:val="007E728D"/>
    <w:rsid w:val="0080307C"/>
    <w:rsid w:val="0080334D"/>
    <w:rsid w:val="00804E61"/>
    <w:rsid w:val="00804FCB"/>
    <w:rsid w:val="00836393"/>
    <w:rsid w:val="00836721"/>
    <w:rsid w:val="00840C95"/>
    <w:rsid w:val="008414C2"/>
    <w:rsid w:val="00843FE8"/>
    <w:rsid w:val="008442D4"/>
    <w:rsid w:val="00845518"/>
    <w:rsid w:val="008620C3"/>
    <w:rsid w:val="0086540F"/>
    <w:rsid w:val="00876CF5"/>
    <w:rsid w:val="00890964"/>
    <w:rsid w:val="00893D42"/>
    <w:rsid w:val="008978D5"/>
    <w:rsid w:val="008A27B8"/>
    <w:rsid w:val="008A4417"/>
    <w:rsid w:val="008B0DC2"/>
    <w:rsid w:val="008D1117"/>
    <w:rsid w:val="008D2615"/>
    <w:rsid w:val="00906F70"/>
    <w:rsid w:val="00920C02"/>
    <w:rsid w:val="00931969"/>
    <w:rsid w:val="009359BB"/>
    <w:rsid w:val="009420E8"/>
    <w:rsid w:val="00944180"/>
    <w:rsid w:val="009536CE"/>
    <w:rsid w:val="00953703"/>
    <w:rsid w:val="00956D11"/>
    <w:rsid w:val="00957D29"/>
    <w:rsid w:val="0097101A"/>
    <w:rsid w:val="009739A0"/>
    <w:rsid w:val="009850EA"/>
    <w:rsid w:val="00985B8E"/>
    <w:rsid w:val="009A25A1"/>
    <w:rsid w:val="009A73E2"/>
    <w:rsid w:val="009C43AA"/>
    <w:rsid w:val="009C6A4E"/>
    <w:rsid w:val="009D4B06"/>
    <w:rsid w:val="009D4E1D"/>
    <w:rsid w:val="009E301B"/>
    <w:rsid w:val="009E76BE"/>
    <w:rsid w:val="009F2193"/>
    <w:rsid w:val="009F50E8"/>
    <w:rsid w:val="00A04B90"/>
    <w:rsid w:val="00A11D46"/>
    <w:rsid w:val="00A23E24"/>
    <w:rsid w:val="00A31F21"/>
    <w:rsid w:val="00A3384A"/>
    <w:rsid w:val="00A5398D"/>
    <w:rsid w:val="00A540FD"/>
    <w:rsid w:val="00A6495A"/>
    <w:rsid w:val="00A75A07"/>
    <w:rsid w:val="00A85EB1"/>
    <w:rsid w:val="00A91A3E"/>
    <w:rsid w:val="00AA59C6"/>
    <w:rsid w:val="00AD05F1"/>
    <w:rsid w:val="00AE57A6"/>
    <w:rsid w:val="00B14163"/>
    <w:rsid w:val="00B3064D"/>
    <w:rsid w:val="00B36352"/>
    <w:rsid w:val="00B515C4"/>
    <w:rsid w:val="00B711C7"/>
    <w:rsid w:val="00B86307"/>
    <w:rsid w:val="00B871A2"/>
    <w:rsid w:val="00BA11F4"/>
    <w:rsid w:val="00BA7E0D"/>
    <w:rsid w:val="00BE5F65"/>
    <w:rsid w:val="00BF4A64"/>
    <w:rsid w:val="00C059EA"/>
    <w:rsid w:val="00C11CC2"/>
    <w:rsid w:val="00C25D65"/>
    <w:rsid w:val="00C61BBA"/>
    <w:rsid w:val="00C7357E"/>
    <w:rsid w:val="00C867A9"/>
    <w:rsid w:val="00C947BA"/>
    <w:rsid w:val="00CA543D"/>
    <w:rsid w:val="00CA6070"/>
    <w:rsid w:val="00CC3A94"/>
    <w:rsid w:val="00CD3510"/>
    <w:rsid w:val="00CD5BAE"/>
    <w:rsid w:val="00CD6842"/>
    <w:rsid w:val="00CF2742"/>
    <w:rsid w:val="00D00CA9"/>
    <w:rsid w:val="00D07913"/>
    <w:rsid w:val="00D127A1"/>
    <w:rsid w:val="00D144FA"/>
    <w:rsid w:val="00D24152"/>
    <w:rsid w:val="00D40202"/>
    <w:rsid w:val="00D6661E"/>
    <w:rsid w:val="00D7770B"/>
    <w:rsid w:val="00D846B2"/>
    <w:rsid w:val="00D85BE5"/>
    <w:rsid w:val="00D92F05"/>
    <w:rsid w:val="00DA7CD8"/>
    <w:rsid w:val="00DF497B"/>
    <w:rsid w:val="00E021B2"/>
    <w:rsid w:val="00E02DC8"/>
    <w:rsid w:val="00E11BA8"/>
    <w:rsid w:val="00E17F6B"/>
    <w:rsid w:val="00E212E5"/>
    <w:rsid w:val="00E2251A"/>
    <w:rsid w:val="00E2558A"/>
    <w:rsid w:val="00E2672B"/>
    <w:rsid w:val="00E31108"/>
    <w:rsid w:val="00E42322"/>
    <w:rsid w:val="00E42C31"/>
    <w:rsid w:val="00E5027D"/>
    <w:rsid w:val="00E853A8"/>
    <w:rsid w:val="00E91113"/>
    <w:rsid w:val="00E93887"/>
    <w:rsid w:val="00EA05E3"/>
    <w:rsid w:val="00EA09C7"/>
    <w:rsid w:val="00ED5B67"/>
    <w:rsid w:val="00F063EE"/>
    <w:rsid w:val="00F14E89"/>
    <w:rsid w:val="00F1713A"/>
    <w:rsid w:val="00F202EC"/>
    <w:rsid w:val="00F22F23"/>
    <w:rsid w:val="00F27EE6"/>
    <w:rsid w:val="00F452CE"/>
    <w:rsid w:val="00F73149"/>
    <w:rsid w:val="00F77413"/>
    <w:rsid w:val="00F9087E"/>
    <w:rsid w:val="00F937E4"/>
    <w:rsid w:val="00F978D4"/>
    <w:rsid w:val="00FA744D"/>
    <w:rsid w:val="00FC0084"/>
    <w:rsid w:val="00FD037C"/>
    <w:rsid w:val="00FD4FDF"/>
    <w:rsid w:val="00FE1E5C"/>
    <w:rsid w:val="00FE57E9"/>
    <w:rsid w:val="00FF0632"/>
    <w:rsid w:val="00FF65C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36027"/>
  <w15:docId w15:val="{09214631-01F0-465A-878A-B20452A44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Cs/>
        <w:kern w:val="36"/>
        <w:sz w:val="24"/>
        <w:szCs w:val="48"/>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30226C"/>
    <w:pPr>
      <w:spacing w:after="0" w:line="240" w:lineRule="auto"/>
    </w:pPr>
    <w:rPr>
      <w:bCs w:val="0"/>
      <w:kern w:val="0"/>
      <w:szCs w:val="24"/>
      <w:lang w:val="en-US" w:eastAsia="en-GB"/>
    </w:rPr>
  </w:style>
  <w:style w:type="paragraph" w:styleId="Heading1">
    <w:name w:val="heading 1"/>
    <w:basedOn w:val="Normal"/>
    <w:link w:val="Heading1Char"/>
    <w:uiPriority w:val="99"/>
    <w:qFormat/>
    <w:rsid w:val="0030226C"/>
    <w:pPr>
      <w:keepNext/>
      <w:keepLines/>
      <w:widowControl w:val="0"/>
      <w:suppressAutoHyphens/>
      <w:autoSpaceDE w:val="0"/>
      <w:autoSpaceDN w:val="0"/>
      <w:adjustRightInd w:val="0"/>
      <w:spacing w:before="480" w:after="240" w:line="288" w:lineRule="auto"/>
      <w:textAlignment w:val="center"/>
      <w:outlineLvl w:val="0"/>
    </w:pPr>
    <w:rPr>
      <w:rFonts w:ascii="Adobe Garamond Pro Bold" w:eastAsiaTheme="minorEastAsia" w:hAnsi="Adobe Garamond Pro Bold" w:cs="Adobe Garamond Pro Bold"/>
      <w:b/>
      <w:bCs/>
      <w:color w:val="000000"/>
      <w:sz w:val="40"/>
      <w:szCs w:val="40"/>
      <w:lang w:eastAsia="en-US"/>
    </w:rPr>
  </w:style>
  <w:style w:type="paragraph" w:styleId="Heading2">
    <w:name w:val="heading 2"/>
    <w:basedOn w:val="Normal"/>
    <w:next w:val="Normal"/>
    <w:link w:val="Heading2Char"/>
    <w:uiPriority w:val="99"/>
    <w:unhideWhenUsed/>
    <w:qFormat/>
    <w:rsid w:val="0030226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unhideWhenUsed/>
    <w:qFormat/>
    <w:rsid w:val="0030226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Heading2"/>
    <w:link w:val="Heading4Char"/>
    <w:uiPriority w:val="99"/>
    <w:qFormat/>
    <w:rsid w:val="0030226C"/>
    <w:pPr>
      <w:widowControl w:val="0"/>
      <w:suppressAutoHyphens/>
      <w:autoSpaceDE w:val="0"/>
      <w:autoSpaceDN w:val="0"/>
      <w:adjustRightInd w:val="0"/>
      <w:spacing w:before="480" w:after="240" w:line="330" w:lineRule="atLeast"/>
      <w:textAlignment w:val="center"/>
      <w:outlineLvl w:val="3"/>
    </w:pPr>
    <w:rPr>
      <w:rFonts w:ascii="Adobe Garamond Pro" w:eastAsiaTheme="minorEastAsia" w:hAnsi="Adobe Garamond Pro" w:cs="Adobe Garamond Pro"/>
      <w:b w:val="0"/>
      <w:color w:val="000000"/>
      <w:sz w:val="38"/>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0226C"/>
    <w:rPr>
      <w:rFonts w:ascii="Adobe Garamond Pro Bold" w:eastAsiaTheme="minorEastAsia" w:hAnsi="Adobe Garamond Pro Bold" w:cs="Adobe Garamond Pro Bold"/>
      <w:b/>
      <w:color w:val="000000"/>
      <w:kern w:val="0"/>
      <w:sz w:val="40"/>
      <w:szCs w:val="40"/>
      <w:lang w:val="en-US"/>
    </w:rPr>
  </w:style>
  <w:style w:type="paragraph" w:styleId="Title">
    <w:name w:val="Title"/>
    <w:basedOn w:val="Normal"/>
    <w:link w:val="TitleChar"/>
    <w:uiPriority w:val="99"/>
    <w:qFormat/>
    <w:rsid w:val="0030226C"/>
    <w:pPr>
      <w:keepNext/>
      <w:keepLines/>
      <w:widowControl w:val="0"/>
      <w:suppressAutoHyphens/>
      <w:autoSpaceDE w:val="0"/>
      <w:autoSpaceDN w:val="0"/>
      <w:adjustRightInd w:val="0"/>
      <w:spacing w:after="520" w:line="510" w:lineRule="atLeast"/>
      <w:textAlignment w:val="center"/>
    </w:pPr>
    <w:rPr>
      <w:rFonts w:ascii="Adobe Garamond Pro Bold" w:eastAsiaTheme="minorEastAsia" w:hAnsi="Adobe Garamond Pro Bold" w:cs="Adobe Garamond Pro Bold"/>
      <w:b/>
      <w:bCs/>
      <w:color w:val="000000"/>
      <w:sz w:val="56"/>
      <w:szCs w:val="56"/>
      <w:lang w:eastAsia="en-US"/>
    </w:rPr>
  </w:style>
  <w:style w:type="character" w:customStyle="1" w:styleId="TitleChar">
    <w:name w:val="Title Char"/>
    <w:basedOn w:val="DefaultParagraphFont"/>
    <w:link w:val="Title"/>
    <w:uiPriority w:val="99"/>
    <w:rsid w:val="0030226C"/>
    <w:rPr>
      <w:rFonts w:ascii="Adobe Garamond Pro Bold" w:eastAsiaTheme="minorEastAsia" w:hAnsi="Adobe Garamond Pro Bold" w:cs="Adobe Garamond Pro Bold"/>
      <w:b/>
      <w:color w:val="000000"/>
      <w:kern w:val="0"/>
      <w:sz w:val="56"/>
      <w:szCs w:val="56"/>
      <w:lang w:val="en-US"/>
    </w:rPr>
  </w:style>
  <w:style w:type="paragraph" w:styleId="Quote">
    <w:name w:val="Quote"/>
    <w:basedOn w:val="Normal"/>
    <w:link w:val="QuoteChar"/>
    <w:uiPriority w:val="99"/>
    <w:qFormat/>
    <w:rsid w:val="0030226C"/>
    <w:pPr>
      <w:keepNext/>
      <w:keepLines/>
      <w:widowControl w:val="0"/>
      <w:suppressAutoHyphens/>
      <w:autoSpaceDE w:val="0"/>
      <w:autoSpaceDN w:val="0"/>
      <w:adjustRightInd w:val="0"/>
      <w:spacing w:after="205" w:line="230" w:lineRule="atLeast"/>
      <w:ind w:left="40"/>
      <w:jc w:val="right"/>
      <w:textAlignment w:val="center"/>
    </w:pPr>
    <w:rPr>
      <w:rFonts w:ascii="Adobe Garamond Pro" w:eastAsiaTheme="minorEastAsia" w:hAnsi="Adobe Garamond Pro" w:cs="Adobe Garamond Pro"/>
      <w:i/>
      <w:iCs/>
      <w:color w:val="000000"/>
      <w:sz w:val="23"/>
      <w:szCs w:val="23"/>
      <w:lang w:eastAsia="en-US"/>
    </w:rPr>
  </w:style>
  <w:style w:type="character" w:customStyle="1" w:styleId="QuoteChar">
    <w:name w:val="Quote Char"/>
    <w:basedOn w:val="DefaultParagraphFont"/>
    <w:link w:val="Quote"/>
    <w:uiPriority w:val="99"/>
    <w:rsid w:val="0030226C"/>
    <w:rPr>
      <w:rFonts w:ascii="Adobe Garamond Pro" w:eastAsiaTheme="minorEastAsia" w:hAnsi="Adobe Garamond Pro" w:cs="Adobe Garamond Pro"/>
      <w:bCs w:val="0"/>
      <w:i/>
      <w:iCs/>
      <w:color w:val="000000"/>
      <w:kern w:val="0"/>
      <w:sz w:val="23"/>
      <w:szCs w:val="23"/>
      <w:lang w:val="en-US"/>
    </w:rPr>
  </w:style>
  <w:style w:type="character" w:styleId="CommentReference">
    <w:name w:val="annotation reference"/>
    <w:basedOn w:val="DefaultParagraphFont"/>
    <w:uiPriority w:val="99"/>
    <w:semiHidden/>
    <w:unhideWhenUsed/>
    <w:rsid w:val="0030226C"/>
    <w:rPr>
      <w:sz w:val="16"/>
      <w:szCs w:val="16"/>
    </w:rPr>
  </w:style>
  <w:style w:type="paragraph" w:styleId="CommentText">
    <w:name w:val="annotation text"/>
    <w:basedOn w:val="Normal"/>
    <w:link w:val="CommentTextChar"/>
    <w:uiPriority w:val="99"/>
    <w:unhideWhenUsed/>
    <w:rsid w:val="0030226C"/>
    <w:pPr>
      <w:widowControl w:val="0"/>
      <w:suppressAutoHyphens/>
      <w:autoSpaceDE w:val="0"/>
      <w:autoSpaceDN w:val="0"/>
      <w:adjustRightInd w:val="0"/>
      <w:textAlignment w:val="center"/>
    </w:pPr>
    <w:rPr>
      <w:rFonts w:eastAsiaTheme="minorEastAsia"/>
      <w:iCs/>
      <w:color w:val="000000"/>
      <w:sz w:val="20"/>
      <w:szCs w:val="20"/>
      <w:lang w:eastAsia="en-US"/>
    </w:rPr>
  </w:style>
  <w:style w:type="character" w:customStyle="1" w:styleId="CommentTextChar">
    <w:name w:val="Comment Text Char"/>
    <w:basedOn w:val="DefaultParagraphFont"/>
    <w:link w:val="CommentText"/>
    <w:uiPriority w:val="99"/>
    <w:rsid w:val="0030226C"/>
    <w:rPr>
      <w:rFonts w:eastAsiaTheme="minorEastAsia"/>
      <w:bCs w:val="0"/>
      <w:iCs/>
      <w:color w:val="000000"/>
      <w:kern w:val="0"/>
      <w:sz w:val="20"/>
      <w:szCs w:val="20"/>
      <w:lang w:val="en-US"/>
    </w:rPr>
  </w:style>
  <w:style w:type="paragraph" w:styleId="BalloonText">
    <w:name w:val="Balloon Text"/>
    <w:basedOn w:val="Normal"/>
    <w:link w:val="BalloonTextChar"/>
    <w:uiPriority w:val="99"/>
    <w:semiHidden/>
    <w:unhideWhenUsed/>
    <w:rsid w:val="0030226C"/>
    <w:rPr>
      <w:rFonts w:ascii="Tahoma" w:hAnsi="Tahoma" w:cs="Tahoma"/>
      <w:sz w:val="16"/>
      <w:szCs w:val="16"/>
    </w:rPr>
  </w:style>
  <w:style w:type="character" w:customStyle="1" w:styleId="BalloonTextChar">
    <w:name w:val="Balloon Text Char"/>
    <w:basedOn w:val="DefaultParagraphFont"/>
    <w:link w:val="BalloonText"/>
    <w:uiPriority w:val="99"/>
    <w:semiHidden/>
    <w:rsid w:val="0030226C"/>
    <w:rPr>
      <w:rFonts w:ascii="Tahoma" w:hAnsi="Tahoma" w:cs="Tahoma"/>
      <w:bCs w:val="0"/>
      <w:kern w:val="0"/>
      <w:sz w:val="16"/>
      <w:szCs w:val="16"/>
      <w:lang w:val="en-US" w:eastAsia="en-GB"/>
    </w:rPr>
  </w:style>
  <w:style w:type="character" w:customStyle="1" w:styleId="Heading2Char">
    <w:name w:val="Heading 2 Char"/>
    <w:basedOn w:val="DefaultParagraphFont"/>
    <w:link w:val="Heading2"/>
    <w:uiPriority w:val="99"/>
    <w:rsid w:val="0030226C"/>
    <w:rPr>
      <w:rFonts w:asciiTheme="majorHAnsi" w:eastAsiaTheme="majorEastAsia" w:hAnsiTheme="majorHAnsi" w:cstheme="majorBidi"/>
      <w:b/>
      <w:color w:val="4F81BD" w:themeColor="accent1"/>
      <w:kern w:val="0"/>
      <w:sz w:val="26"/>
      <w:szCs w:val="26"/>
      <w:lang w:val="en-US" w:eastAsia="en-GB"/>
    </w:rPr>
  </w:style>
  <w:style w:type="character" w:customStyle="1" w:styleId="Heading3Char">
    <w:name w:val="Heading 3 Char"/>
    <w:basedOn w:val="DefaultParagraphFont"/>
    <w:link w:val="Heading3"/>
    <w:uiPriority w:val="99"/>
    <w:rsid w:val="0030226C"/>
    <w:rPr>
      <w:rFonts w:asciiTheme="majorHAnsi" w:eastAsiaTheme="majorEastAsia" w:hAnsiTheme="majorHAnsi" w:cstheme="majorBidi"/>
      <w:b/>
      <w:color w:val="4F81BD" w:themeColor="accent1"/>
      <w:kern w:val="0"/>
      <w:szCs w:val="24"/>
      <w:lang w:val="en-US" w:eastAsia="en-GB"/>
    </w:rPr>
  </w:style>
  <w:style w:type="character" w:customStyle="1" w:styleId="Heading4Char">
    <w:name w:val="Heading 4 Char"/>
    <w:basedOn w:val="DefaultParagraphFont"/>
    <w:link w:val="Heading4"/>
    <w:uiPriority w:val="99"/>
    <w:rsid w:val="0030226C"/>
    <w:rPr>
      <w:rFonts w:ascii="Adobe Garamond Pro" w:eastAsiaTheme="minorEastAsia" w:hAnsi="Adobe Garamond Pro" w:cs="Adobe Garamond Pro"/>
      <w:color w:val="000000"/>
      <w:kern w:val="0"/>
      <w:sz w:val="38"/>
      <w:szCs w:val="32"/>
      <w:lang w:val="en-US"/>
    </w:rPr>
  </w:style>
  <w:style w:type="paragraph" w:customStyle="1" w:styleId="NoParagraphStyle">
    <w:name w:val="[No Paragraph Style]"/>
    <w:rsid w:val="0030226C"/>
    <w:pPr>
      <w:widowControl w:val="0"/>
      <w:autoSpaceDE w:val="0"/>
      <w:autoSpaceDN w:val="0"/>
      <w:adjustRightInd w:val="0"/>
      <w:spacing w:after="0" w:line="288" w:lineRule="auto"/>
      <w:textAlignment w:val="center"/>
    </w:pPr>
    <w:rPr>
      <w:rFonts w:ascii="Minion Pro" w:eastAsiaTheme="minorEastAsia" w:hAnsi="Minion Pro" w:cs="Minion Pro"/>
      <w:bCs w:val="0"/>
      <w:color w:val="000000"/>
      <w:kern w:val="0"/>
      <w:szCs w:val="24"/>
    </w:rPr>
  </w:style>
  <w:style w:type="paragraph" w:styleId="BodyTextIndent">
    <w:name w:val="Body Text Indent"/>
    <w:basedOn w:val="NoParagraphStyle"/>
    <w:link w:val="BodyTextIndentChar"/>
    <w:uiPriority w:val="99"/>
    <w:rsid w:val="0030226C"/>
    <w:pPr>
      <w:widowControl/>
      <w:suppressAutoHyphens/>
      <w:spacing w:after="240" w:line="480" w:lineRule="auto"/>
      <w:ind w:firstLine="360"/>
      <w:jc w:val="both"/>
    </w:pPr>
    <w:rPr>
      <w:rFonts w:ascii="Adobe Garamond Pro" w:hAnsi="Adobe Garamond Pro" w:cs="Adobe Garamond Pro"/>
      <w:sz w:val="23"/>
      <w:szCs w:val="23"/>
    </w:rPr>
  </w:style>
  <w:style w:type="character" w:customStyle="1" w:styleId="BodyTextIndentChar">
    <w:name w:val="Body Text Indent Char"/>
    <w:basedOn w:val="DefaultParagraphFont"/>
    <w:link w:val="BodyTextIndent"/>
    <w:uiPriority w:val="99"/>
    <w:rsid w:val="0030226C"/>
    <w:rPr>
      <w:rFonts w:ascii="Adobe Garamond Pro" w:eastAsiaTheme="minorEastAsia" w:hAnsi="Adobe Garamond Pro" w:cs="Adobe Garamond Pro"/>
      <w:bCs w:val="0"/>
      <w:color w:val="000000"/>
      <w:kern w:val="0"/>
      <w:sz w:val="23"/>
      <w:szCs w:val="23"/>
    </w:rPr>
  </w:style>
  <w:style w:type="character" w:styleId="BookTitle">
    <w:name w:val="Book Title"/>
    <w:uiPriority w:val="99"/>
    <w:qFormat/>
    <w:rsid w:val="0030226C"/>
    <w:rPr>
      <w:rFonts w:cs="Adobe Garamond Pro Bold"/>
      <w:b/>
      <w:bCs/>
      <w:color w:val="000000"/>
      <w:sz w:val="60"/>
      <w:szCs w:val="60"/>
    </w:rPr>
  </w:style>
  <w:style w:type="paragraph" w:customStyle="1" w:styleId="BookTitle2">
    <w:name w:val="Book Title 2"/>
    <w:basedOn w:val="Heading2"/>
    <w:uiPriority w:val="99"/>
    <w:rsid w:val="0030226C"/>
    <w:pPr>
      <w:widowControl w:val="0"/>
      <w:pBdr>
        <w:bottom w:val="single" w:sz="8" w:space="30" w:color="auto"/>
      </w:pBdr>
      <w:suppressAutoHyphens/>
      <w:autoSpaceDE w:val="0"/>
      <w:autoSpaceDN w:val="0"/>
      <w:adjustRightInd w:val="0"/>
      <w:spacing w:before="360" w:after="240" w:line="288" w:lineRule="auto"/>
      <w:jc w:val="right"/>
      <w:textAlignment w:val="center"/>
      <w:outlineLvl w:val="9"/>
    </w:pPr>
    <w:rPr>
      <w:rFonts w:ascii="Adobe Garamond Pro" w:eastAsiaTheme="minorEastAsia" w:hAnsi="Adobe Garamond Pro" w:cs="Adobe Garamond Pro Bold"/>
      <w:b w:val="0"/>
      <w:color w:val="000000"/>
      <w:sz w:val="40"/>
      <w:szCs w:val="40"/>
      <w:lang w:eastAsia="en-US"/>
    </w:rPr>
  </w:style>
  <w:style w:type="paragraph" w:styleId="BodyText">
    <w:name w:val="Body Text"/>
    <w:basedOn w:val="NoParagraphStyle"/>
    <w:link w:val="BodyTextChar"/>
    <w:uiPriority w:val="99"/>
    <w:rsid w:val="0030226C"/>
    <w:pPr>
      <w:widowControl/>
      <w:suppressAutoHyphens/>
      <w:jc w:val="both"/>
    </w:pPr>
    <w:rPr>
      <w:rFonts w:ascii="Adobe Garamond Pro" w:hAnsi="Adobe Garamond Pro" w:cs="Adobe Garamond Pro"/>
      <w:sz w:val="23"/>
      <w:szCs w:val="23"/>
      <w:lang w:val="en-US"/>
    </w:rPr>
  </w:style>
  <w:style w:type="character" w:customStyle="1" w:styleId="BodyTextChar">
    <w:name w:val="Body Text Char"/>
    <w:basedOn w:val="DefaultParagraphFont"/>
    <w:link w:val="BodyText"/>
    <w:uiPriority w:val="99"/>
    <w:rsid w:val="0030226C"/>
    <w:rPr>
      <w:rFonts w:ascii="Adobe Garamond Pro" w:eastAsiaTheme="minorEastAsia" w:hAnsi="Adobe Garamond Pro" w:cs="Adobe Garamond Pro"/>
      <w:bCs w:val="0"/>
      <w:color w:val="000000"/>
      <w:kern w:val="0"/>
      <w:sz w:val="23"/>
      <w:szCs w:val="23"/>
      <w:lang w:val="en-US"/>
    </w:rPr>
  </w:style>
  <w:style w:type="paragraph" w:customStyle="1" w:styleId="fmtitle">
    <w:name w:val="fm title"/>
    <w:basedOn w:val="Title"/>
    <w:uiPriority w:val="99"/>
    <w:rsid w:val="0030226C"/>
    <w:pPr>
      <w:spacing w:after="920"/>
    </w:pPr>
  </w:style>
  <w:style w:type="paragraph" w:customStyle="1" w:styleId="Contributors">
    <w:name w:val="Contributors"/>
    <w:basedOn w:val="NoParagraphStyle"/>
    <w:uiPriority w:val="99"/>
    <w:rsid w:val="0030226C"/>
    <w:pPr>
      <w:suppressAutoHyphens/>
      <w:spacing w:line="257" w:lineRule="atLeast"/>
      <w:ind w:left="240" w:hanging="240"/>
      <w:jc w:val="both"/>
    </w:pPr>
    <w:rPr>
      <w:rFonts w:ascii="Adobe Garamond Pro" w:hAnsi="Adobe Garamond Pro" w:cs="Adobe Garamond Pro"/>
      <w:i/>
      <w:iCs/>
      <w:sz w:val="23"/>
      <w:szCs w:val="23"/>
      <w:lang w:val="en-US"/>
    </w:rPr>
  </w:style>
  <w:style w:type="paragraph" w:customStyle="1" w:styleId="BodyTextspace">
    <w:name w:val="Body Text space"/>
    <w:basedOn w:val="NoParagraphStyle"/>
    <w:uiPriority w:val="99"/>
    <w:rsid w:val="0030226C"/>
    <w:pPr>
      <w:suppressAutoHyphens/>
      <w:spacing w:before="240"/>
      <w:jc w:val="both"/>
    </w:pPr>
    <w:rPr>
      <w:rFonts w:ascii="Adobe Garamond Pro" w:hAnsi="Adobe Garamond Pro" w:cs="Adobe Garamond Pro"/>
      <w:sz w:val="23"/>
      <w:szCs w:val="23"/>
      <w:lang w:val="en-US"/>
    </w:rPr>
  </w:style>
  <w:style w:type="paragraph" w:styleId="TOCHeading">
    <w:name w:val="TOC Heading"/>
    <w:basedOn w:val="NoParagraphStyle"/>
    <w:uiPriority w:val="99"/>
    <w:qFormat/>
    <w:rsid w:val="0030226C"/>
    <w:pPr>
      <w:suppressAutoHyphens/>
      <w:spacing w:line="240" w:lineRule="atLeast"/>
      <w:jc w:val="both"/>
    </w:pPr>
    <w:rPr>
      <w:rFonts w:ascii="Adobe Garamond Pro Bold" w:hAnsi="Adobe Garamond Pro Bold" w:cs="Adobe Garamond Pro Bold"/>
      <w:b/>
      <w:bCs/>
      <w:sz w:val="23"/>
      <w:szCs w:val="23"/>
      <w:lang w:val="en-US"/>
    </w:rPr>
  </w:style>
  <w:style w:type="paragraph" w:customStyle="1" w:styleId="tocheadingspace">
    <w:name w:val="toc heading space"/>
    <w:basedOn w:val="TOCHeading"/>
    <w:uiPriority w:val="99"/>
    <w:rsid w:val="0030226C"/>
    <w:pPr>
      <w:spacing w:before="240"/>
    </w:pPr>
  </w:style>
  <w:style w:type="paragraph" w:styleId="TOC7">
    <w:name w:val="toc 7"/>
    <w:basedOn w:val="Normal"/>
    <w:next w:val="Normal"/>
    <w:uiPriority w:val="99"/>
    <w:rsid w:val="0030226C"/>
    <w:pPr>
      <w:widowControl w:val="0"/>
      <w:suppressAutoHyphens/>
      <w:autoSpaceDE w:val="0"/>
      <w:autoSpaceDN w:val="0"/>
      <w:adjustRightInd w:val="0"/>
      <w:spacing w:line="240" w:lineRule="atLeast"/>
      <w:jc w:val="both"/>
      <w:textAlignment w:val="center"/>
    </w:pPr>
    <w:rPr>
      <w:rFonts w:ascii="Adobe Garamond Pro" w:eastAsiaTheme="minorEastAsia" w:hAnsi="Adobe Garamond Pro" w:cs="Adobe Garamond Pro"/>
      <w:iCs/>
      <w:color w:val="000000"/>
      <w:sz w:val="20"/>
      <w:szCs w:val="20"/>
      <w:lang w:eastAsia="en-US"/>
    </w:rPr>
  </w:style>
  <w:style w:type="paragraph" w:customStyle="1" w:styleId="Tableofcontents2">
    <w:name w:val="Table of contents (2)"/>
    <w:basedOn w:val="Normal"/>
    <w:uiPriority w:val="99"/>
    <w:rsid w:val="0030226C"/>
    <w:pPr>
      <w:widowControl w:val="0"/>
      <w:suppressAutoHyphens/>
      <w:autoSpaceDE w:val="0"/>
      <w:autoSpaceDN w:val="0"/>
      <w:adjustRightInd w:val="0"/>
      <w:spacing w:before="60" w:after="300" w:line="240" w:lineRule="atLeast"/>
      <w:jc w:val="both"/>
      <w:textAlignment w:val="center"/>
    </w:pPr>
    <w:rPr>
      <w:rFonts w:ascii="Book Antiqua" w:eastAsiaTheme="minorEastAsia" w:hAnsi="Book Antiqua" w:cs="Book Antiqua"/>
      <w:b/>
      <w:bCs/>
      <w:iCs/>
      <w:color w:val="000000"/>
      <w:sz w:val="22"/>
      <w:szCs w:val="22"/>
      <w:lang w:eastAsia="en-US"/>
    </w:rPr>
  </w:style>
  <w:style w:type="paragraph" w:customStyle="1" w:styleId="toctext">
    <w:name w:val="toc text"/>
    <w:basedOn w:val="BodyTextIndent"/>
    <w:uiPriority w:val="99"/>
    <w:rsid w:val="0030226C"/>
    <w:rPr>
      <w:sz w:val="20"/>
      <w:szCs w:val="20"/>
    </w:rPr>
  </w:style>
  <w:style w:type="paragraph" w:customStyle="1" w:styleId="Reference">
    <w:name w:val="Reference"/>
    <w:basedOn w:val="NoParagraphStyle"/>
    <w:uiPriority w:val="99"/>
    <w:rsid w:val="0030226C"/>
    <w:pPr>
      <w:ind w:left="300" w:hanging="300"/>
      <w:jc w:val="both"/>
    </w:pPr>
    <w:rPr>
      <w:rFonts w:ascii="Adobe Garamond Pro" w:hAnsi="Adobe Garamond Pro" w:cs="Adobe Garamond Pro"/>
      <w:sz w:val="21"/>
      <w:szCs w:val="21"/>
    </w:rPr>
  </w:style>
  <w:style w:type="paragraph" w:styleId="Caption">
    <w:name w:val="caption"/>
    <w:basedOn w:val="NoParagraphStyle"/>
    <w:uiPriority w:val="99"/>
    <w:qFormat/>
    <w:rsid w:val="0030226C"/>
    <w:pPr>
      <w:suppressAutoHyphens/>
      <w:spacing w:before="240" w:after="240" w:line="240" w:lineRule="atLeast"/>
      <w:jc w:val="both"/>
    </w:pPr>
    <w:rPr>
      <w:rFonts w:ascii="Adobe Garamond Pro" w:hAnsi="Adobe Garamond Pro" w:cs="Adobe Garamond Pro"/>
      <w:sz w:val="21"/>
      <w:szCs w:val="21"/>
      <w:lang w:val="en-US"/>
    </w:rPr>
  </w:style>
  <w:style w:type="paragraph" w:customStyle="1" w:styleId="Extract">
    <w:name w:val="Extract"/>
    <w:basedOn w:val="BodyTextIndent"/>
    <w:uiPriority w:val="99"/>
    <w:rsid w:val="0030226C"/>
    <w:pPr>
      <w:spacing w:before="240"/>
      <w:ind w:left="360" w:firstLine="0"/>
    </w:pPr>
    <w:rPr>
      <w:sz w:val="21"/>
      <w:szCs w:val="21"/>
    </w:rPr>
  </w:style>
  <w:style w:type="paragraph" w:styleId="List">
    <w:name w:val="List"/>
    <w:basedOn w:val="BodyTextIndent"/>
    <w:uiPriority w:val="99"/>
    <w:rsid w:val="0030226C"/>
    <w:pPr>
      <w:tabs>
        <w:tab w:val="right" w:pos="480"/>
      </w:tabs>
      <w:ind w:left="720" w:hanging="720"/>
    </w:pPr>
  </w:style>
  <w:style w:type="paragraph" w:customStyle="1" w:styleId="TCH">
    <w:name w:val="TCH"/>
    <w:basedOn w:val="NoParagraphStyle"/>
    <w:uiPriority w:val="99"/>
    <w:rsid w:val="0030226C"/>
    <w:pPr>
      <w:suppressAutoHyphens/>
      <w:spacing w:line="254" w:lineRule="atLeast"/>
    </w:pPr>
    <w:rPr>
      <w:rFonts w:ascii="Adobe Garamond Pro" w:hAnsi="Adobe Garamond Pro" w:cs="Adobe Garamond Pro"/>
      <w:i/>
      <w:iCs/>
      <w:sz w:val="22"/>
      <w:szCs w:val="22"/>
      <w:lang w:val="en-US"/>
    </w:rPr>
  </w:style>
  <w:style w:type="paragraph" w:customStyle="1" w:styleId="TableBodyText">
    <w:name w:val="Table Body Text"/>
    <w:basedOn w:val="BodyText"/>
    <w:uiPriority w:val="99"/>
    <w:rsid w:val="0030226C"/>
    <w:pPr>
      <w:jc w:val="left"/>
    </w:pPr>
  </w:style>
  <w:style w:type="paragraph" w:customStyle="1" w:styleId="TableBodyList">
    <w:name w:val="Table Body List"/>
    <w:basedOn w:val="BodyText"/>
    <w:uiPriority w:val="99"/>
    <w:rsid w:val="0030226C"/>
    <w:pPr>
      <w:tabs>
        <w:tab w:val="right" w:pos="320"/>
        <w:tab w:val="left" w:pos="480"/>
      </w:tabs>
      <w:ind w:left="480" w:hanging="480"/>
      <w:jc w:val="left"/>
    </w:pPr>
  </w:style>
  <w:style w:type="character" w:customStyle="1" w:styleId="smallcaps">
    <w:name w:val="small caps"/>
    <w:uiPriority w:val="99"/>
    <w:rsid w:val="0030226C"/>
    <w:rPr>
      <w:smallCaps/>
    </w:rPr>
  </w:style>
  <w:style w:type="character" w:customStyle="1" w:styleId="BOLD">
    <w:name w:val="BOLD"/>
    <w:uiPriority w:val="99"/>
    <w:rsid w:val="0030226C"/>
    <w:rPr>
      <w:b/>
      <w:bCs/>
    </w:rPr>
  </w:style>
  <w:style w:type="paragraph" w:customStyle="1" w:styleId="Index">
    <w:name w:val="Index"/>
    <w:basedOn w:val="Reference"/>
    <w:uiPriority w:val="99"/>
    <w:rsid w:val="0030226C"/>
    <w:pPr>
      <w:jc w:val="left"/>
    </w:pPr>
  </w:style>
  <w:style w:type="paragraph" w:styleId="EndnoteText">
    <w:name w:val="endnote text"/>
    <w:basedOn w:val="Normal"/>
    <w:link w:val="EndnoteTextChar"/>
    <w:uiPriority w:val="99"/>
    <w:unhideWhenUsed/>
    <w:rsid w:val="0030226C"/>
    <w:pPr>
      <w:widowControl w:val="0"/>
      <w:suppressAutoHyphens/>
      <w:autoSpaceDE w:val="0"/>
      <w:autoSpaceDN w:val="0"/>
      <w:adjustRightInd w:val="0"/>
      <w:textAlignment w:val="center"/>
    </w:pPr>
    <w:rPr>
      <w:rFonts w:eastAsiaTheme="minorEastAsia"/>
      <w:iCs/>
      <w:color w:val="000000"/>
      <w:sz w:val="20"/>
      <w:szCs w:val="20"/>
      <w:lang w:eastAsia="en-US"/>
    </w:rPr>
  </w:style>
  <w:style w:type="character" w:customStyle="1" w:styleId="EndnoteTextChar">
    <w:name w:val="Endnote Text Char"/>
    <w:basedOn w:val="DefaultParagraphFont"/>
    <w:link w:val="EndnoteText"/>
    <w:uiPriority w:val="99"/>
    <w:rsid w:val="0030226C"/>
    <w:rPr>
      <w:rFonts w:eastAsiaTheme="minorEastAsia"/>
      <w:bCs w:val="0"/>
      <w:iCs/>
      <w:color w:val="000000"/>
      <w:kern w:val="0"/>
      <w:sz w:val="20"/>
      <w:szCs w:val="20"/>
      <w:lang w:val="en-US"/>
    </w:rPr>
  </w:style>
  <w:style w:type="character" w:styleId="EndnoteReference">
    <w:name w:val="endnote reference"/>
    <w:basedOn w:val="DefaultParagraphFont"/>
    <w:uiPriority w:val="99"/>
    <w:unhideWhenUsed/>
    <w:rsid w:val="0030226C"/>
    <w:rPr>
      <w:vertAlign w:val="superscript"/>
    </w:rPr>
  </w:style>
  <w:style w:type="paragraph" w:styleId="Header">
    <w:name w:val="header"/>
    <w:basedOn w:val="Normal"/>
    <w:link w:val="HeaderChar"/>
    <w:uiPriority w:val="99"/>
    <w:semiHidden/>
    <w:unhideWhenUsed/>
    <w:rsid w:val="0030226C"/>
    <w:pPr>
      <w:widowControl w:val="0"/>
      <w:tabs>
        <w:tab w:val="center" w:pos="4513"/>
        <w:tab w:val="right" w:pos="9026"/>
      </w:tabs>
      <w:suppressAutoHyphens/>
      <w:autoSpaceDE w:val="0"/>
      <w:autoSpaceDN w:val="0"/>
      <w:adjustRightInd w:val="0"/>
      <w:textAlignment w:val="center"/>
    </w:pPr>
    <w:rPr>
      <w:rFonts w:eastAsiaTheme="minorEastAsia"/>
      <w:iCs/>
      <w:color w:val="000000"/>
      <w:sz w:val="20"/>
      <w:szCs w:val="20"/>
      <w:lang w:eastAsia="en-US"/>
    </w:rPr>
  </w:style>
  <w:style w:type="character" w:customStyle="1" w:styleId="HeaderChar">
    <w:name w:val="Header Char"/>
    <w:basedOn w:val="DefaultParagraphFont"/>
    <w:link w:val="Header"/>
    <w:uiPriority w:val="99"/>
    <w:semiHidden/>
    <w:rsid w:val="0030226C"/>
    <w:rPr>
      <w:rFonts w:eastAsiaTheme="minorEastAsia"/>
      <w:bCs w:val="0"/>
      <w:iCs/>
      <w:color w:val="000000"/>
      <w:kern w:val="0"/>
      <w:sz w:val="20"/>
      <w:szCs w:val="20"/>
      <w:lang w:val="en-US"/>
    </w:rPr>
  </w:style>
  <w:style w:type="paragraph" w:styleId="Footer">
    <w:name w:val="footer"/>
    <w:basedOn w:val="Normal"/>
    <w:link w:val="FooterChar"/>
    <w:uiPriority w:val="99"/>
    <w:unhideWhenUsed/>
    <w:rsid w:val="0030226C"/>
    <w:pPr>
      <w:widowControl w:val="0"/>
      <w:tabs>
        <w:tab w:val="center" w:pos="4513"/>
        <w:tab w:val="right" w:pos="9026"/>
      </w:tabs>
      <w:suppressAutoHyphens/>
      <w:autoSpaceDE w:val="0"/>
      <w:autoSpaceDN w:val="0"/>
      <w:adjustRightInd w:val="0"/>
      <w:textAlignment w:val="center"/>
    </w:pPr>
    <w:rPr>
      <w:rFonts w:eastAsiaTheme="minorEastAsia"/>
      <w:iCs/>
      <w:color w:val="000000"/>
      <w:sz w:val="20"/>
      <w:szCs w:val="20"/>
      <w:lang w:eastAsia="en-US"/>
    </w:rPr>
  </w:style>
  <w:style w:type="character" w:customStyle="1" w:styleId="FooterChar">
    <w:name w:val="Footer Char"/>
    <w:basedOn w:val="DefaultParagraphFont"/>
    <w:link w:val="Footer"/>
    <w:uiPriority w:val="99"/>
    <w:rsid w:val="0030226C"/>
    <w:rPr>
      <w:rFonts w:eastAsiaTheme="minorEastAsia"/>
      <w:bCs w:val="0"/>
      <w:iCs/>
      <w:color w:val="000000"/>
      <w:kern w:val="0"/>
      <w:sz w:val="20"/>
      <w:szCs w:val="20"/>
      <w:lang w:val="en-US"/>
    </w:rPr>
  </w:style>
  <w:style w:type="paragraph" w:styleId="PlainText">
    <w:name w:val="Plain Text"/>
    <w:basedOn w:val="Normal"/>
    <w:link w:val="PlainTextChar"/>
    <w:uiPriority w:val="99"/>
    <w:unhideWhenUsed/>
    <w:rsid w:val="0030226C"/>
    <w:rPr>
      <w:rFonts w:ascii="Consolas" w:hAnsi="Consolas" w:cs="Consolas"/>
      <w:iCs/>
      <w:sz w:val="21"/>
      <w:szCs w:val="21"/>
      <w:lang w:eastAsia="en-US"/>
    </w:rPr>
  </w:style>
  <w:style w:type="character" w:customStyle="1" w:styleId="PlainTextChar">
    <w:name w:val="Plain Text Char"/>
    <w:basedOn w:val="DefaultParagraphFont"/>
    <w:link w:val="PlainText"/>
    <w:uiPriority w:val="99"/>
    <w:rsid w:val="0030226C"/>
    <w:rPr>
      <w:rFonts w:ascii="Consolas" w:hAnsi="Consolas" w:cs="Consolas"/>
      <w:bCs w:val="0"/>
      <w:iCs/>
      <w:kern w:val="0"/>
      <w:sz w:val="21"/>
      <w:szCs w:val="21"/>
      <w:lang w:val="en-US"/>
    </w:rPr>
  </w:style>
  <w:style w:type="paragraph" w:styleId="NoSpacing">
    <w:name w:val="No Spacing"/>
    <w:uiPriority w:val="1"/>
    <w:qFormat/>
    <w:rsid w:val="0030226C"/>
    <w:pPr>
      <w:spacing w:after="0" w:line="240" w:lineRule="auto"/>
    </w:pPr>
    <w:rPr>
      <w:rFonts w:cstheme="minorBidi"/>
      <w:bCs w:val="0"/>
      <w:kern w:val="0"/>
      <w:sz w:val="22"/>
      <w:szCs w:val="22"/>
      <w:lang w:val="fr-FR"/>
    </w:rPr>
  </w:style>
  <w:style w:type="paragraph" w:styleId="CommentSubject">
    <w:name w:val="annotation subject"/>
    <w:basedOn w:val="CommentText"/>
    <w:next w:val="CommentText"/>
    <w:link w:val="CommentSubjectChar"/>
    <w:uiPriority w:val="99"/>
    <w:semiHidden/>
    <w:unhideWhenUsed/>
    <w:rsid w:val="0030226C"/>
    <w:rPr>
      <w:b/>
      <w:bCs/>
    </w:rPr>
  </w:style>
  <w:style w:type="character" w:customStyle="1" w:styleId="CommentSubjectChar">
    <w:name w:val="Comment Subject Char"/>
    <w:basedOn w:val="CommentTextChar"/>
    <w:link w:val="CommentSubject"/>
    <w:uiPriority w:val="99"/>
    <w:semiHidden/>
    <w:rsid w:val="0030226C"/>
    <w:rPr>
      <w:rFonts w:eastAsiaTheme="minorEastAsia"/>
      <w:b/>
      <w:bCs w:val="0"/>
      <w:iCs/>
      <w:color w:val="000000"/>
      <w:kern w:val="0"/>
      <w:sz w:val="20"/>
      <w:szCs w:val="20"/>
      <w:lang w:val="en-US"/>
    </w:rPr>
  </w:style>
  <w:style w:type="paragraph" w:styleId="ListParagraph">
    <w:name w:val="List Paragraph"/>
    <w:basedOn w:val="Normal"/>
    <w:uiPriority w:val="34"/>
    <w:qFormat/>
    <w:rsid w:val="0030226C"/>
    <w:pPr>
      <w:spacing w:after="160" w:line="259" w:lineRule="auto"/>
      <w:ind w:left="720"/>
      <w:contextualSpacing/>
    </w:pPr>
    <w:rPr>
      <w:rFonts w:asciiTheme="minorHAnsi" w:hAnsiTheme="minorHAnsi" w:cstheme="minorBidi"/>
      <w:iCs/>
      <w:sz w:val="22"/>
      <w:szCs w:val="22"/>
      <w:lang w:val="fr-FR" w:eastAsia="en-US"/>
    </w:rPr>
  </w:style>
  <w:style w:type="paragraph" w:styleId="Revision">
    <w:name w:val="Revision"/>
    <w:hidden/>
    <w:uiPriority w:val="99"/>
    <w:semiHidden/>
    <w:rsid w:val="0030226C"/>
    <w:pPr>
      <w:spacing w:after="0" w:line="240" w:lineRule="auto"/>
    </w:pPr>
    <w:rPr>
      <w:rFonts w:eastAsiaTheme="minorEastAsia"/>
      <w:bCs w:val="0"/>
      <w:iCs/>
      <w:color w:val="000000"/>
      <w:kern w:val="0"/>
      <w:sz w:val="20"/>
      <w:szCs w:val="20"/>
    </w:rPr>
  </w:style>
  <w:style w:type="paragraph" w:styleId="DocumentMap">
    <w:name w:val="Document Map"/>
    <w:basedOn w:val="Normal"/>
    <w:link w:val="DocumentMapChar"/>
    <w:uiPriority w:val="99"/>
    <w:semiHidden/>
    <w:unhideWhenUsed/>
    <w:rsid w:val="0030226C"/>
  </w:style>
  <w:style w:type="character" w:customStyle="1" w:styleId="DocumentMapChar">
    <w:name w:val="Document Map Char"/>
    <w:basedOn w:val="DefaultParagraphFont"/>
    <w:link w:val="DocumentMap"/>
    <w:uiPriority w:val="99"/>
    <w:semiHidden/>
    <w:rsid w:val="0030226C"/>
    <w:rPr>
      <w:bCs w:val="0"/>
      <w:kern w:val="0"/>
      <w:szCs w:val="24"/>
      <w:lang w:val="en-US" w:eastAsia="en-GB"/>
    </w:rPr>
  </w:style>
  <w:style w:type="character" w:styleId="Emphasis">
    <w:name w:val="Emphasis"/>
    <w:basedOn w:val="DefaultParagraphFont"/>
    <w:uiPriority w:val="20"/>
    <w:qFormat/>
    <w:rsid w:val="0030226C"/>
    <w:rPr>
      <w:i/>
      <w:iCs/>
    </w:rPr>
  </w:style>
  <w:style w:type="paragraph" w:styleId="FootnoteText">
    <w:name w:val="footnote text"/>
    <w:basedOn w:val="Normal"/>
    <w:link w:val="FootnoteTextChar"/>
    <w:uiPriority w:val="99"/>
    <w:semiHidden/>
    <w:unhideWhenUsed/>
    <w:rsid w:val="00474B63"/>
    <w:rPr>
      <w:sz w:val="20"/>
      <w:szCs w:val="20"/>
    </w:rPr>
  </w:style>
  <w:style w:type="character" w:customStyle="1" w:styleId="FootnoteTextChar">
    <w:name w:val="Footnote Text Char"/>
    <w:basedOn w:val="DefaultParagraphFont"/>
    <w:link w:val="FootnoteText"/>
    <w:uiPriority w:val="99"/>
    <w:semiHidden/>
    <w:rsid w:val="00474B63"/>
    <w:rPr>
      <w:bCs w:val="0"/>
      <w:kern w:val="0"/>
      <w:sz w:val="20"/>
      <w:szCs w:val="20"/>
      <w:lang w:val="en-US" w:eastAsia="en-GB"/>
    </w:rPr>
  </w:style>
  <w:style w:type="character" w:styleId="FootnoteReference">
    <w:name w:val="footnote reference"/>
    <w:basedOn w:val="DefaultParagraphFont"/>
    <w:uiPriority w:val="99"/>
    <w:semiHidden/>
    <w:unhideWhenUsed/>
    <w:rsid w:val="00474B63"/>
    <w:rPr>
      <w:vertAlign w:val="superscript"/>
    </w:rPr>
  </w:style>
  <w:style w:type="character" w:customStyle="1" w:styleId="reference-text">
    <w:name w:val="reference-text"/>
    <w:basedOn w:val="DefaultParagraphFont"/>
    <w:rsid w:val="00435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365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58BAC0-61D1-4A2D-AB87-BC3310BD5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80</Pages>
  <Words>24228</Words>
  <Characters>138100</Characters>
  <Application>Microsoft Office Word</Application>
  <DocSecurity>0</DocSecurity>
  <Lines>1150</Lines>
  <Paragraphs>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Warwick Ball</dc:creator>
  <cp:lastModifiedBy>Cameron Petrie</cp:lastModifiedBy>
  <cp:revision>3</cp:revision>
  <dcterms:created xsi:type="dcterms:W3CDTF">2018-09-19T08:20:00Z</dcterms:created>
  <dcterms:modified xsi:type="dcterms:W3CDTF">2018-09-19T08:21:00Z</dcterms:modified>
</cp:coreProperties>
</file>