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81189" w14:textId="77777777" w:rsidR="00FE5D8E" w:rsidRPr="007349AA" w:rsidRDefault="00FE5D8E" w:rsidP="005735D6">
      <w:pPr>
        <w:pStyle w:val="paragraph"/>
        <w:textAlignment w:val="baseline"/>
        <w:rPr>
          <w:rStyle w:val="normaltextrun1"/>
          <w:rFonts w:ascii="Arial" w:eastAsia="SimSun" w:hAnsi="Arial" w:cs="Arial"/>
          <w:b/>
          <w:bCs/>
          <w:color w:val="000000"/>
          <w:sz w:val="28"/>
          <w:szCs w:val="28"/>
          <w:lang w:eastAsia="zh-CN"/>
        </w:rPr>
      </w:pPr>
    </w:p>
    <w:p w14:paraId="02E59415" w14:textId="77777777" w:rsidR="00FE5D8E" w:rsidRDefault="00FE5D8E">
      <w:pPr>
        <w:pStyle w:val="paragraph"/>
        <w:jc w:val="center"/>
        <w:textAlignment w:val="baseline"/>
        <w:rPr>
          <w:rStyle w:val="normaltextrun1"/>
          <w:rFonts w:ascii="Arial" w:hAnsi="Arial" w:cs="Arial"/>
          <w:b/>
          <w:bCs/>
          <w:color w:val="000000"/>
          <w:sz w:val="28"/>
          <w:szCs w:val="28"/>
        </w:rPr>
      </w:pPr>
    </w:p>
    <w:p w14:paraId="0E3D9C09" w14:textId="77777777" w:rsidR="00FE5D8E" w:rsidRDefault="00FE5D8E">
      <w:pPr>
        <w:pStyle w:val="paragraph"/>
        <w:jc w:val="center"/>
        <w:textAlignment w:val="baseline"/>
        <w:rPr>
          <w:rStyle w:val="normaltextrun1"/>
          <w:rFonts w:ascii="Arial" w:hAnsi="Arial" w:cs="Arial"/>
          <w:b/>
          <w:bCs/>
          <w:color w:val="000000"/>
          <w:sz w:val="28"/>
          <w:szCs w:val="28"/>
        </w:rPr>
      </w:pPr>
    </w:p>
    <w:p w14:paraId="6C97AF01" w14:textId="633F0B1C" w:rsidR="00FE5D8E" w:rsidRDefault="0095382D">
      <w:pPr>
        <w:pStyle w:val="paragraph"/>
        <w:jc w:val="center"/>
        <w:textAlignment w:val="baseline"/>
      </w:pPr>
      <w:r>
        <w:rPr>
          <w:rStyle w:val="normaltextrun1"/>
          <w:rFonts w:ascii="Arial" w:hAnsi="Arial" w:cs="Arial"/>
          <w:b/>
          <w:bCs/>
          <w:color w:val="000000"/>
          <w:sz w:val="28"/>
          <w:szCs w:val="28"/>
        </w:rPr>
        <w:t>Causes of death in clozapine-treated patients</w:t>
      </w:r>
      <w:r w:rsidR="00AB387A">
        <w:rPr>
          <w:rStyle w:val="normaltextrun1"/>
          <w:rFonts w:ascii="Arial" w:hAnsi="Arial" w:cs="Arial"/>
          <w:b/>
          <w:bCs/>
          <w:color w:val="000000"/>
          <w:sz w:val="28"/>
          <w:szCs w:val="28"/>
        </w:rPr>
        <w:t xml:space="preserve"> in a catchment area</w:t>
      </w:r>
      <w:r>
        <w:rPr>
          <w:rStyle w:val="normaltextrun1"/>
          <w:rFonts w:ascii="Arial" w:hAnsi="Arial" w:cs="Arial"/>
          <w:b/>
          <w:bCs/>
          <w:color w:val="000000"/>
          <w:sz w:val="28"/>
          <w:szCs w:val="28"/>
        </w:rPr>
        <w:t>: a 10-year retrospective case-control study</w:t>
      </w:r>
    </w:p>
    <w:p w14:paraId="1221B0E1" w14:textId="33969A02" w:rsidR="00FE5D8E" w:rsidRDefault="0095382D">
      <w:pPr>
        <w:pStyle w:val="paragraph"/>
        <w:textAlignment w:val="baseline"/>
        <w:rPr>
          <w:rStyle w:val="eop"/>
          <w:rFonts w:ascii="Arial" w:hAnsi="Arial" w:cs="Arial"/>
          <w:sz w:val="22"/>
          <w:szCs w:val="22"/>
          <w:lang w:val="en-US"/>
        </w:rPr>
      </w:pPr>
      <w:r>
        <w:rPr>
          <w:rStyle w:val="eop"/>
          <w:rFonts w:ascii="Arial" w:hAnsi="Arial" w:cs="Arial"/>
          <w:sz w:val="22"/>
          <w:szCs w:val="22"/>
          <w:lang w:val="en-US"/>
        </w:rPr>
        <w:t> </w:t>
      </w:r>
    </w:p>
    <w:p w14:paraId="27DA4ED7" w14:textId="56CDF564" w:rsidR="00AB387A" w:rsidRDefault="00AB387A" w:rsidP="00FA460D">
      <w:pPr>
        <w:pStyle w:val="paragraph"/>
        <w:jc w:val="center"/>
        <w:textAlignment w:val="baseline"/>
        <w:rPr>
          <w:rStyle w:val="eop"/>
          <w:rFonts w:ascii="Arial" w:hAnsi="Arial" w:cs="Arial"/>
          <w:sz w:val="22"/>
          <w:szCs w:val="22"/>
          <w:lang w:val="en-US"/>
        </w:rPr>
      </w:pPr>
      <w:r>
        <w:rPr>
          <w:rStyle w:val="eop"/>
          <w:rFonts w:ascii="Arial" w:hAnsi="Arial" w:cs="Arial"/>
          <w:sz w:val="22"/>
          <w:szCs w:val="22"/>
          <w:lang w:val="en-US"/>
        </w:rPr>
        <w:t xml:space="preserve">Running title: </w:t>
      </w:r>
      <w:r w:rsidR="00FA460D">
        <w:rPr>
          <w:rStyle w:val="eop"/>
          <w:rFonts w:ascii="Arial" w:hAnsi="Arial" w:cs="Arial"/>
          <w:sz w:val="22"/>
          <w:szCs w:val="22"/>
          <w:lang w:val="en-US"/>
        </w:rPr>
        <w:t>mortality in clozapine-treated patients.</w:t>
      </w:r>
    </w:p>
    <w:p w14:paraId="4EEBF070" w14:textId="77777777" w:rsidR="00AB387A" w:rsidRDefault="00AB387A">
      <w:pPr>
        <w:pStyle w:val="paragraph"/>
        <w:textAlignment w:val="baseline"/>
        <w:rPr>
          <w:lang w:val="en-US"/>
        </w:rPr>
      </w:pPr>
    </w:p>
    <w:p w14:paraId="318B506D" w14:textId="77777777" w:rsidR="00FE5D8E" w:rsidRDefault="0095382D">
      <w:pPr>
        <w:spacing w:after="160"/>
        <w:contextualSpacing/>
        <w:jc w:val="center"/>
      </w:pPr>
      <w:r>
        <w:rPr>
          <w:rFonts w:ascii="Arial" w:hAnsi="Arial" w:cs="Arial"/>
          <w:sz w:val="22"/>
          <w:szCs w:val="22"/>
        </w:rPr>
        <w:t>Emily Rose* [1]</w:t>
      </w:r>
    </w:p>
    <w:p w14:paraId="48993146" w14:textId="2CB74E56" w:rsidR="00FE5D8E" w:rsidRDefault="0095382D">
      <w:pPr>
        <w:spacing w:after="160"/>
        <w:contextualSpacing/>
        <w:jc w:val="center"/>
      </w:pPr>
      <w:proofErr w:type="spellStart"/>
      <w:r>
        <w:rPr>
          <w:rFonts w:ascii="Arial" w:hAnsi="Arial" w:cs="Arial"/>
          <w:sz w:val="22"/>
          <w:szCs w:val="22"/>
        </w:rPr>
        <w:t>Shanquan</w:t>
      </w:r>
      <w:proofErr w:type="spellEnd"/>
      <w:r>
        <w:rPr>
          <w:rFonts w:ascii="Arial" w:hAnsi="Arial" w:cs="Arial"/>
          <w:sz w:val="22"/>
          <w:szCs w:val="22"/>
        </w:rPr>
        <w:t xml:space="preserve"> Chen* [2]</w:t>
      </w:r>
    </w:p>
    <w:p w14:paraId="380435CE" w14:textId="77777777" w:rsidR="00FE5D8E" w:rsidRDefault="0095382D">
      <w:pPr>
        <w:spacing w:after="160"/>
        <w:contextualSpacing/>
        <w:jc w:val="center"/>
      </w:pPr>
      <w:r>
        <w:rPr>
          <w:rFonts w:ascii="Arial" w:hAnsi="Arial" w:cs="Arial"/>
          <w:sz w:val="22"/>
          <w:szCs w:val="22"/>
        </w:rPr>
        <w:t xml:space="preserve">Concha </w:t>
      </w:r>
      <w:proofErr w:type="spellStart"/>
      <w:r>
        <w:rPr>
          <w:rFonts w:ascii="Arial" w:hAnsi="Arial" w:cs="Arial"/>
          <w:sz w:val="22"/>
          <w:szCs w:val="22"/>
        </w:rPr>
        <w:t>Turrion</w:t>
      </w:r>
      <w:proofErr w:type="spellEnd"/>
      <w:r>
        <w:rPr>
          <w:rFonts w:ascii="Arial" w:hAnsi="Arial" w:cs="Arial"/>
          <w:sz w:val="22"/>
          <w:szCs w:val="22"/>
        </w:rPr>
        <w:t xml:space="preserve"> [1]</w:t>
      </w:r>
    </w:p>
    <w:p w14:paraId="1490DE7B" w14:textId="49019092" w:rsidR="00FE5D8E" w:rsidRDefault="0095382D">
      <w:pPr>
        <w:spacing w:after="160"/>
        <w:contextualSpacing/>
        <w:jc w:val="center"/>
      </w:pPr>
      <w:r>
        <w:rPr>
          <w:rFonts w:ascii="Arial" w:hAnsi="Arial" w:cs="Arial"/>
          <w:sz w:val="22"/>
          <w:szCs w:val="22"/>
        </w:rPr>
        <w:t>Christopher Jenkins [</w:t>
      </w:r>
      <w:r w:rsidR="00EF513C">
        <w:rPr>
          <w:rFonts w:ascii="Arial" w:hAnsi="Arial" w:cs="Arial"/>
          <w:sz w:val="22"/>
          <w:szCs w:val="22"/>
        </w:rPr>
        <w:t>1</w:t>
      </w:r>
      <w:r>
        <w:rPr>
          <w:rFonts w:ascii="Arial" w:hAnsi="Arial" w:cs="Arial"/>
          <w:sz w:val="22"/>
          <w:szCs w:val="22"/>
        </w:rPr>
        <w:t>]</w:t>
      </w:r>
    </w:p>
    <w:p w14:paraId="4F382865" w14:textId="18110542" w:rsidR="00FE5D8E" w:rsidRDefault="0095382D">
      <w:pPr>
        <w:spacing w:after="160"/>
        <w:contextualSpacing/>
        <w:jc w:val="center"/>
      </w:pPr>
      <w:r>
        <w:rPr>
          <w:rFonts w:ascii="Arial" w:hAnsi="Arial" w:cs="Arial"/>
          <w:sz w:val="22"/>
          <w:szCs w:val="22"/>
        </w:rPr>
        <w:t>Rudolf N. Cardinal [1,2] and</w:t>
      </w:r>
    </w:p>
    <w:p w14:paraId="38728A60" w14:textId="60038081" w:rsidR="00FE5D8E" w:rsidRDefault="0095382D">
      <w:pPr>
        <w:spacing w:after="160"/>
        <w:contextualSpacing/>
        <w:jc w:val="center"/>
      </w:pPr>
      <w:r>
        <w:rPr>
          <w:rFonts w:ascii="Arial" w:hAnsi="Arial" w:cs="Arial"/>
          <w:sz w:val="22"/>
          <w:szCs w:val="22"/>
        </w:rPr>
        <w:t xml:space="preserve"> </w:t>
      </w:r>
      <w:r>
        <w:rPr>
          <w:rStyle w:val="normaltextrun1"/>
          <w:rFonts w:ascii="Arial" w:hAnsi="Arial" w:cs="Arial"/>
          <w:color w:val="000000"/>
          <w:sz w:val="22"/>
          <w:szCs w:val="22"/>
        </w:rPr>
        <w:t>Emilio Fernandez-</w:t>
      </w:r>
      <w:proofErr w:type="spellStart"/>
      <w:r>
        <w:rPr>
          <w:rStyle w:val="normaltextrun1"/>
          <w:rFonts w:ascii="Arial" w:hAnsi="Arial" w:cs="Arial"/>
          <w:color w:val="000000"/>
          <w:sz w:val="22"/>
          <w:szCs w:val="22"/>
        </w:rPr>
        <w:t>Egea</w:t>
      </w:r>
      <w:proofErr w:type="spellEnd"/>
      <w:r>
        <w:rPr>
          <w:rStyle w:val="normaltextrun1"/>
          <w:rFonts w:ascii="Arial" w:hAnsi="Arial" w:cs="Arial"/>
          <w:color w:val="000000"/>
          <w:sz w:val="22"/>
          <w:szCs w:val="22"/>
          <w:vertAlign w:val="superscript"/>
        </w:rPr>
        <w:t>§</w:t>
      </w:r>
      <w:r>
        <w:rPr>
          <w:rStyle w:val="normaltextrun1"/>
          <w:rFonts w:ascii="Arial" w:hAnsi="Arial" w:cs="Arial"/>
          <w:color w:val="000000"/>
          <w:sz w:val="22"/>
          <w:szCs w:val="22"/>
        </w:rPr>
        <w:t xml:space="preserve"> [1,2]</w:t>
      </w:r>
    </w:p>
    <w:p w14:paraId="5ADE9D3C" w14:textId="0060D481" w:rsidR="006C099B" w:rsidRDefault="006C099B" w:rsidP="006C099B">
      <w:pPr>
        <w:contextualSpacing/>
        <w:jc w:val="both"/>
        <w:rPr>
          <w:rFonts w:ascii="Arial" w:hAnsi="Arial" w:cs="Arial"/>
          <w:sz w:val="22"/>
          <w:szCs w:val="22"/>
        </w:rPr>
      </w:pPr>
    </w:p>
    <w:p w14:paraId="1DC500BA" w14:textId="29B9AB53" w:rsidR="00153CB1" w:rsidRDefault="00153CB1" w:rsidP="006C099B">
      <w:pPr>
        <w:contextualSpacing/>
        <w:jc w:val="both"/>
        <w:rPr>
          <w:rFonts w:ascii="Arial" w:hAnsi="Arial" w:cs="Arial"/>
          <w:sz w:val="22"/>
          <w:szCs w:val="22"/>
        </w:rPr>
      </w:pPr>
    </w:p>
    <w:p w14:paraId="52EE6984" w14:textId="1F52C90B" w:rsidR="00153CB1" w:rsidRDefault="00153CB1" w:rsidP="006C099B">
      <w:pPr>
        <w:contextualSpacing/>
        <w:jc w:val="both"/>
        <w:rPr>
          <w:rFonts w:ascii="Arial" w:hAnsi="Arial" w:cs="Arial"/>
          <w:sz w:val="22"/>
          <w:szCs w:val="22"/>
        </w:rPr>
      </w:pPr>
    </w:p>
    <w:p w14:paraId="45F7678A" w14:textId="77777777" w:rsidR="00153CB1" w:rsidRDefault="00153CB1" w:rsidP="006C099B">
      <w:pPr>
        <w:contextualSpacing/>
        <w:jc w:val="both"/>
        <w:rPr>
          <w:rFonts w:ascii="Arial" w:hAnsi="Arial" w:cs="Arial"/>
          <w:sz w:val="22"/>
          <w:szCs w:val="22"/>
        </w:rPr>
      </w:pPr>
    </w:p>
    <w:p w14:paraId="2942E4AF"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[1] Cambridgeshire and Peterborough NHS Foundation Trust, UK</w:t>
      </w:r>
    </w:p>
    <w:p w14:paraId="064BD7E8"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[2] Department of Psychiatry, University of Cambridge, UK</w:t>
      </w:r>
    </w:p>
    <w:p w14:paraId="26A699F4" w14:textId="34B589D3" w:rsidR="006C099B" w:rsidRDefault="006C099B" w:rsidP="006C099B">
      <w:pPr>
        <w:contextualSpacing/>
        <w:jc w:val="both"/>
        <w:rPr>
          <w:rFonts w:ascii="Arial" w:hAnsi="Arial" w:cs="Arial"/>
          <w:sz w:val="22"/>
          <w:szCs w:val="22"/>
        </w:rPr>
      </w:pPr>
    </w:p>
    <w:p w14:paraId="3375400A" w14:textId="3426980D" w:rsidR="006C099B" w:rsidRDefault="006C099B" w:rsidP="006C099B">
      <w:pPr>
        <w:contextualSpacing/>
        <w:jc w:val="both"/>
        <w:rPr>
          <w:rFonts w:ascii="Arial" w:hAnsi="Arial" w:cs="Arial"/>
          <w:sz w:val="22"/>
          <w:szCs w:val="22"/>
        </w:rPr>
      </w:pPr>
    </w:p>
    <w:p w14:paraId="7DA9B2DB" w14:textId="77777777" w:rsidR="006C099B" w:rsidRDefault="006C099B" w:rsidP="006C099B">
      <w:pPr>
        <w:pStyle w:val="paragraph"/>
        <w:textAlignment w:val="baseline"/>
        <w:rPr>
          <w:rStyle w:val="eop"/>
          <w:rFonts w:ascii="Arial" w:hAnsi="Arial" w:cs="Arial"/>
          <w:sz w:val="22"/>
          <w:szCs w:val="22"/>
          <w:lang w:val="en-US"/>
        </w:rPr>
      </w:pPr>
      <w:r>
        <w:rPr>
          <w:rStyle w:val="eop"/>
          <w:rFonts w:ascii="Arial" w:hAnsi="Arial" w:cs="Arial"/>
          <w:sz w:val="22"/>
          <w:szCs w:val="22"/>
          <w:lang w:val="en-US"/>
        </w:rPr>
        <w:t>* Contributed equally as first authors.</w:t>
      </w:r>
    </w:p>
    <w:p w14:paraId="47A3EB16" w14:textId="767E85F4" w:rsidR="006C099B" w:rsidRDefault="006C099B" w:rsidP="006C099B">
      <w:pPr>
        <w:contextualSpacing/>
        <w:jc w:val="both"/>
        <w:rPr>
          <w:rFonts w:ascii="Arial" w:hAnsi="Arial" w:cs="Arial"/>
          <w:sz w:val="22"/>
          <w:szCs w:val="22"/>
        </w:rPr>
      </w:pPr>
    </w:p>
    <w:p w14:paraId="6EE5CF1C" w14:textId="77777777" w:rsidR="006C099B" w:rsidRPr="00996B47" w:rsidRDefault="006C099B" w:rsidP="006C099B">
      <w:pPr>
        <w:contextualSpacing/>
        <w:jc w:val="both"/>
        <w:rPr>
          <w:rFonts w:ascii="Arial" w:hAnsi="Arial" w:cs="Arial"/>
          <w:sz w:val="22"/>
          <w:szCs w:val="22"/>
        </w:rPr>
      </w:pPr>
    </w:p>
    <w:p w14:paraId="606CE1BB" w14:textId="2EFB9AD8" w:rsidR="006C099B" w:rsidRPr="00996B47" w:rsidRDefault="006C099B" w:rsidP="006C099B">
      <w:pPr>
        <w:contextualSpacing/>
        <w:jc w:val="both"/>
        <w:rPr>
          <w:rFonts w:ascii="Arial" w:hAnsi="Arial" w:cs="Arial"/>
          <w:sz w:val="22"/>
          <w:szCs w:val="22"/>
        </w:rPr>
      </w:pPr>
      <w:r>
        <w:rPr>
          <w:rStyle w:val="normaltextrun1"/>
          <w:rFonts w:ascii="Arial" w:hAnsi="Arial" w:cs="Arial"/>
          <w:color w:val="000000"/>
          <w:sz w:val="22"/>
          <w:szCs w:val="22"/>
          <w:vertAlign w:val="superscript"/>
        </w:rPr>
        <w:t>§</w:t>
      </w:r>
      <w:r w:rsidRPr="00996B47">
        <w:rPr>
          <w:rFonts w:ascii="Arial" w:hAnsi="Arial" w:cs="Arial"/>
          <w:sz w:val="22"/>
          <w:szCs w:val="22"/>
        </w:rPr>
        <w:t>Corresponding author:</w:t>
      </w:r>
    </w:p>
    <w:p w14:paraId="4C1CB6B3"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Emilio Fernandez-</w:t>
      </w:r>
      <w:proofErr w:type="spellStart"/>
      <w:r w:rsidRPr="00996B47">
        <w:rPr>
          <w:rFonts w:ascii="Arial" w:hAnsi="Arial" w:cs="Arial"/>
          <w:sz w:val="22"/>
          <w:szCs w:val="22"/>
        </w:rPr>
        <w:t>Egea</w:t>
      </w:r>
      <w:proofErr w:type="spellEnd"/>
      <w:r w:rsidRPr="00996B47">
        <w:rPr>
          <w:rFonts w:ascii="Arial" w:hAnsi="Arial" w:cs="Arial"/>
          <w:sz w:val="22"/>
          <w:szCs w:val="22"/>
        </w:rPr>
        <w:t xml:space="preserve"> MD, PhD</w:t>
      </w:r>
    </w:p>
    <w:p w14:paraId="0499BCDC"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ORCID: 0000-0003-4128-8955</w:t>
      </w:r>
    </w:p>
    <w:p w14:paraId="18EEF082"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Clozapine Clinic</w:t>
      </w:r>
    </w:p>
    <w:p w14:paraId="218D61A0"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Cambridgeshire and Peterborough NHS Foundation Trust</w:t>
      </w:r>
    </w:p>
    <w:p w14:paraId="47E70C05"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128 Tenison Road</w:t>
      </w:r>
    </w:p>
    <w:p w14:paraId="05C4EDF1"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CB1 2DP Cambridge</w:t>
      </w:r>
    </w:p>
    <w:p w14:paraId="6EE8ED05"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Email: ef280@cam.acuk</w:t>
      </w:r>
    </w:p>
    <w:p w14:paraId="78D9DB0A"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Phone: +44 (0) 1223 333300</w:t>
      </w:r>
    </w:p>
    <w:p w14:paraId="58B50325" w14:textId="77777777" w:rsidR="006C099B" w:rsidRPr="00996B47" w:rsidRDefault="006C099B" w:rsidP="006C099B">
      <w:pPr>
        <w:contextualSpacing/>
        <w:jc w:val="both"/>
        <w:rPr>
          <w:rFonts w:ascii="Arial" w:hAnsi="Arial" w:cs="Arial"/>
          <w:sz w:val="22"/>
          <w:szCs w:val="22"/>
        </w:rPr>
      </w:pPr>
      <w:r w:rsidRPr="00996B47">
        <w:rPr>
          <w:rFonts w:ascii="Arial" w:hAnsi="Arial" w:cs="Arial"/>
          <w:sz w:val="22"/>
          <w:szCs w:val="22"/>
        </w:rPr>
        <w:t>Fax: +44 (0) 1223 333301</w:t>
      </w:r>
    </w:p>
    <w:p w14:paraId="054C8213" w14:textId="33468DAA" w:rsidR="00FE5D8E" w:rsidRDefault="00FE5D8E">
      <w:pPr>
        <w:pStyle w:val="paragraph"/>
        <w:textAlignment w:val="baseline"/>
        <w:rPr>
          <w:rStyle w:val="eop"/>
          <w:rFonts w:ascii="Arial" w:hAnsi="Arial" w:cs="Arial"/>
          <w:sz w:val="22"/>
          <w:szCs w:val="22"/>
          <w:lang w:val="en-US"/>
        </w:rPr>
      </w:pPr>
    </w:p>
    <w:p w14:paraId="6326D882" w14:textId="77777777" w:rsidR="00FE5D8E" w:rsidRDefault="00FE5D8E">
      <w:pPr>
        <w:pStyle w:val="paragraph"/>
        <w:textAlignment w:val="baseline"/>
        <w:rPr>
          <w:rStyle w:val="eop"/>
          <w:rFonts w:ascii="Arial" w:hAnsi="Arial" w:cs="Arial"/>
          <w:sz w:val="22"/>
          <w:szCs w:val="22"/>
          <w:lang w:val="en-US"/>
        </w:rPr>
      </w:pPr>
    </w:p>
    <w:p w14:paraId="66DD8159" w14:textId="5AB819FC" w:rsidR="00AB387A" w:rsidRPr="00FA460D" w:rsidRDefault="00AB387A">
      <w:pPr>
        <w:pStyle w:val="paragraph"/>
        <w:textAlignment w:val="baseline"/>
        <w:rPr>
          <w:rStyle w:val="eop"/>
          <w:rFonts w:ascii="Arial" w:hAnsi="Arial" w:cs="Arial"/>
          <w:sz w:val="22"/>
          <w:szCs w:val="22"/>
          <w:vertAlign w:val="superscript"/>
          <w:lang w:val="en-US"/>
        </w:rPr>
      </w:pPr>
    </w:p>
    <w:p w14:paraId="4AED1BB9" w14:textId="51ACA92A" w:rsidR="00AB387A" w:rsidRPr="00FA460D" w:rsidRDefault="00AB387A" w:rsidP="00AB387A">
      <w:pPr>
        <w:rPr>
          <w:rFonts w:ascii="Arial" w:hAnsi="Arial" w:cs="Arial"/>
          <w:bCs/>
          <w:sz w:val="22"/>
          <w:szCs w:val="22"/>
        </w:rPr>
      </w:pPr>
      <w:r w:rsidRPr="00FA460D">
        <w:rPr>
          <w:rFonts w:ascii="Arial" w:hAnsi="Arial" w:cs="Arial"/>
          <w:bCs/>
          <w:sz w:val="22"/>
          <w:szCs w:val="22"/>
        </w:rPr>
        <w:t>Abstract:</w:t>
      </w:r>
      <w:r w:rsidRPr="00FA460D">
        <w:rPr>
          <w:rFonts w:ascii="Arial" w:hAnsi="Arial" w:cs="Arial"/>
          <w:bCs/>
          <w:sz w:val="22"/>
          <w:szCs w:val="22"/>
        </w:rPr>
        <w:tab/>
      </w:r>
      <w:r w:rsidR="00B64145">
        <w:rPr>
          <w:rFonts w:ascii="Arial" w:hAnsi="Arial" w:cs="Arial"/>
          <w:bCs/>
          <w:sz w:val="22"/>
          <w:szCs w:val="22"/>
        </w:rPr>
        <w:tab/>
      </w:r>
      <w:r w:rsidRPr="00FA460D">
        <w:rPr>
          <w:rFonts w:ascii="Arial" w:hAnsi="Arial" w:cs="Arial"/>
          <w:bCs/>
          <w:sz w:val="22"/>
          <w:szCs w:val="22"/>
        </w:rPr>
        <w:t>2</w:t>
      </w:r>
      <w:r w:rsidR="00DE02C8">
        <w:rPr>
          <w:rFonts w:ascii="Arial" w:hAnsi="Arial" w:cs="Arial"/>
          <w:bCs/>
          <w:sz w:val="22"/>
          <w:szCs w:val="22"/>
        </w:rPr>
        <w:t>22</w:t>
      </w:r>
    </w:p>
    <w:p w14:paraId="054D7023" w14:textId="24448E41" w:rsidR="00AB387A" w:rsidRPr="00FA460D" w:rsidRDefault="00AB387A" w:rsidP="00AB387A">
      <w:pPr>
        <w:rPr>
          <w:rFonts w:ascii="Arial" w:hAnsi="Arial" w:cs="Arial"/>
          <w:bCs/>
          <w:sz w:val="22"/>
          <w:szCs w:val="22"/>
        </w:rPr>
      </w:pPr>
      <w:r w:rsidRPr="00FA460D">
        <w:rPr>
          <w:rFonts w:ascii="Arial" w:hAnsi="Arial" w:cs="Arial"/>
          <w:bCs/>
          <w:sz w:val="22"/>
          <w:szCs w:val="22"/>
        </w:rPr>
        <w:t>Text body:</w:t>
      </w:r>
      <w:r w:rsidRPr="00FA460D">
        <w:rPr>
          <w:rFonts w:ascii="Arial" w:hAnsi="Arial" w:cs="Arial"/>
          <w:bCs/>
          <w:sz w:val="22"/>
          <w:szCs w:val="22"/>
        </w:rPr>
        <w:tab/>
      </w:r>
      <w:r w:rsidR="00B64145">
        <w:rPr>
          <w:rFonts w:ascii="Arial" w:hAnsi="Arial" w:cs="Arial"/>
          <w:bCs/>
          <w:sz w:val="22"/>
          <w:szCs w:val="22"/>
        </w:rPr>
        <w:tab/>
      </w:r>
      <w:r w:rsidRPr="00FA460D">
        <w:rPr>
          <w:rFonts w:ascii="Arial" w:hAnsi="Arial" w:cs="Arial"/>
          <w:bCs/>
          <w:sz w:val="22"/>
          <w:szCs w:val="22"/>
        </w:rPr>
        <w:t>2,</w:t>
      </w:r>
      <w:r w:rsidR="00C62E6F">
        <w:rPr>
          <w:rFonts w:ascii="Arial" w:hAnsi="Arial" w:cs="Arial"/>
          <w:bCs/>
          <w:sz w:val="22"/>
          <w:szCs w:val="22"/>
        </w:rPr>
        <w:t>599</w:t>
      </w:r>
      <w:r w:rsidRPr="00FA460D">
        <w:rPr>
          <w:rFonts w:ascii="Arial" w:hAnsi="Arial" w:cs="Arial"/>
          <w:bCs/>
          <w:sz w:val="22"/>
          <w:szCs w:val="22"/>
        </w:rPr>
        <w:tab/>
      </w:r>
    </w:p>
    <w:p w14:paraId="7FA327BD" w14:textId="5B0C5B4A" w:rsidR="00AB387A" w:rsidRPr="00FA460D" w:rsidRDefault="00AB387A" w:rsidP="00AB387A">
      <w:pPr>
        <w:rPr>
          <w:rFonts w:ascii="Arial" w:hAnsi="Arial" w:cs="Arial"/>
          <w:bCs/>
          <w:sz w:val="22"/>
          <w:szCs w:val="22"/>
        </w:rPr>
      </w:pPr>
      <w:r w:rsidRPr="00FA460D">
        <w:rPr>
          <w:rFonts w:ascii="Arial" w:hAnsi="Arial" w:cs="Arial"/>
          <w:bCs/>
          <w:sz w:val="22"/>
          <w:szCs w:val="22"/>
        </w:rPr>
        <w:t xml:space="preserve">Tables: </w:t>
      </w:r>
      <w:r w:rsidRPr="00FA460D">
        <w:rPr>
          <w:rFonts w:ascii="Arial" w:hAnsi="Arial" w:cs="Arial"/>
          <w:bCs/>
          <w:sz w:val="22"/>
          <w:szCs w:val="22"/>
        </w:rPr>
        <w:tab/>
      </w:r>
      <w:r w:rsidR="00B64145">
        <w:rPr>
          <w:rFonts w:ascii="Arial" w:hAnsi="Arial" w:cs="Arial"/>
          <w:bCs/>
          <w:sz w:val="22"/>
          <w:szCs w:val="22"/>
        </w:rPr>
        <w:tab/>
      </w:r>
      <w:r w:rsidR="00DE02C8">
        <w:rPr>
          <w:rFonts w:ascii="Arial" w:hAnsi="Arial" w:cs="Arial"/>
          <w:bCs/>
          <w:sz w:val="22"/>
          <w:szCs w:val="22"/>
        </w:rPr>
        <w:t>3</w:t>
      </w:r>
    </w:p>
    <w:p w14:paraId="31386BF5" w14:textId="139BCCCC" w:rsidR="00AB387A" w:rsidRPr="00FA460D" w:rsidRDefault="00AB387A" w:rsidP="00AB387A">
      <w:pPr>
        <w:rPr>
          <w:rFonts w:ascii="Arial" w:hAnsi="Arial" w:cs="Arial"/>
          <w:bCs/>
          <w:sz w:val="22"/>
          <w:szCs w:val="22"/>
        </w:rPr>
      </w:pPr>
      <w:r w:rsidRPr="00FA460D">
        <w:rPr>
          <w:rFonts w:ascii="Arial" w:hAnsi="Arial" w:cs="Arial"/>
          <w:bCs/>
          <w:sz w:val="22"/>
          <w:szCs w:val="22"/>
        </w:rPr>
        <w:t>Figures:</w:t>
      </w:r>
      <w:r w:rsidRPr="00FA460D">
        <w:rPr>
          <w:rFonts w:ascii="Arial" w:hAnsi="Arial" w:cs="Arial"/>
          <w:bCs/>
          <w:sz w:val="22"/>
          <w:szCs w:val="22"/>
        </w:rPr>
        <w:tab/>
      </w:r>
      <w:r w:rsidR="00B64145">
        <w:rPr>
          <w:rFonts w:ascii="Arial" w:hAnsi="Arial" w:cs="Arial"/>
          <w:bCs/>
          <w:sz w:val="22"/>
          <w:szCs w:val="22"/>
        </w:rPr>
        <w:tab/>
      </w:r>
      <w:r w:rsidRPr="00FA460D">
        <w:rPr>
          <w:rFonts w:ascii="Arial" w:hAnsi="Arial" w:cs="Arial"/>
          <w:bCs/>
          <w:sz w:val="22"/>
          <w:szCs w:val="22"/>
        </w:rPr>
        <w:t xml:space="preserve">1 </w:t>
      </w:r>
    </w:p>
    <w:p w14:paraId="5C9257DD" w14:textId="5C17AEDA" w:rsidR="00AB387A" w:rsidRPr="00FA460D" w:rsidRDefault="00AB387A" w:rsidP="00AB387A">
      <w:pPr>
        <w:rPr>
          <w:rFonts w:ascii="Arial" w:hAnsi="Arial" w:cs="Arial"/>
          <w:bCs/>
          <w:sz w:val="22"/>
          <w:szCs w:val="22"/>
        </w:rPr>
      </w:pPr>
      <w:r w:rsidRPr="00FA460D">
        <w:rPr>
          <w:rFonts w:ascii="Arial" w:hAnsi="Arial" w:cs="Arial"/>
          <w:bCs/>
          <w:sz w:val="22"/>
          <w:szCs w:val="22"/>
        </w:rPr>
        <w:t xml:space="preserve">Suppl. material: </w:t>
      </w:r>
      <w:r w:rsidR="00B64145">
        <w:rPr>
          <w:rFonts w:ascii="Arial" w:hAnsi="Arial" w:cs="Arial"/>
          <w:bCs/>
          <w:sz w:val="22"/>
          <w:szCs w:val="22"/>
        </w:rPr>
        <w:tab/>
      </w:r>
      <w:r w:rsidR="00FA460D" w:rsidRPr="00FA460D">
        <w:rPr>
          <w:rFonts w:ascii="Arial" w:hAnsi="Arial" w:cs="Arial"/>
          <w:bCs/>
          <w:sz w:val="22"/>
          <w:szCs w:val="22"/>
        </w:rPr>
        <w:t>1</w:t>
      </w:r>
    </w:p>
    <w:p w14:paraId="7541AC86" w14:textId="59F23F19" w:rsidR="00AB387A" w:rsidRPr="00FA460D" w:rsidRDefault="00AB387A" w:rsidP="00AB387A">
      <w:pPr>
        <w:rPr>
          <w:rFonts w:ascii="Arial" w:hAnsi="Arial" w:cs="Arial"/>
          <w:bCs/>
          <w:sz w:val="22"/>
          <w:szCs w:val="22"/>
        </w:rPr>
      </w:pPr>
      <w:r w:rsidRPr="00FA460D">
        <w:rPr>
          <w:rFonts w:ascii="Arial" w:hAnsi="Arial" w:cs="Arial"/>
          <w:bCs/>
          <w:sz w:val="22"/>
          <w:szCs w:val="22"/>
        </w:rPr>
        <w:t xml:space="preserve">References: </w:t>
      </w:r>
      <w:r w:rsidRPr="00FA460D">
        <w:rPr>
          <w:rFonts w:ascii="Arial" w:hAnsi="Arial" w:cs="Arial"/>
          <w:bCs/>
          <w:sz w:val="22"/>
          <w:szCs w:val="22"/>
        </w:rPr>
        <w:tab/>
      </w:r>
      <w:r w:rsidR="00B64145">
        <w:rPr>
          <w:rFonts w:ascii="Arial" w:hAnsi="Arial" w:cs="Arial"/>
          <w:bCs/>
          <w:sz w:val="22"/>
          <w:szCs w:val="22"/>
        </w:rPr>
        <w:tab/>
        <w:t>2</w:t>
      </w:r>
      <w:r w:rsidR="00CE7E01">
        <w:rPr>
          <w:rFonts w:ascii="Arial" w:hAnsi="Arial" w:cs="Arial"/>
          <w:bCs/>
          <w:sz w:val="22"/>
          <w:szCs w:val="22"/>
        </w:rPr>
        <w:t>1</w:t>
      </w:r>
    </w:p>
    <w:p w14:paraId="73847874" w14:textId="77777777" w:rsidR="00AB387A" w:rsidRPr="00FA460D" w:rsidRDefault="00AB387A" w:rsidP="00AB387A">
      <w:pPr>
        <w:jc w:val="both"/>
        <w:rPr>
          <w:b/>
          <w:sz w:val="22"/>
          <w:szCs w:val="22"/>
          <w:u w:val="single"/>
        </w:rPr>
      </w:pPr>
    </w:p>
    <w:p w14:paraId="63C9AC8A" w14:textId="77777777" w:rsidR="00AB387A" w:rsidRDefault="00AB387A">
      <w:pPr>
        <w:pStyle w:val="paragraph"/>
        <w:textAlignment w:val="baseline"/>
        <w:rPr>
          <w:rFonts w:ascii="Arial" w:hAnsi="Arial" w:cs="Arial"/>
          <w:sz w:val="22"/>
          <w:szCs w:val="22"/>
          <w:lang w:val="en-US"/>
        </w:rPr>
      </w:pPr>
    </w:p>
    <w:p w14:paraId="3D01B491" w14:textId="77777777" w:rsidR="00FE5D8E" w:rsidRDefault="00FE5D8E">
      <w:pPr>
        <w:pStyle w:val="paragraph"/>
        <w:textAlignment w:val="baseline"/>
        <w:rPr>
          <w:rStyle w:val="eop"/>
          <w:rFonts w:ascii="Arial" w:hAnsi="Arial" w:cs="Arial"/>
          <w:sz w:val="22"/>
          <w:szCs w:val="22"/>
          <w:lang w:val="en-US"/>
        </w:rPr>
      </w:pPr>
    </w:p>
    <w:p w14:paraId="0578E257" w14:textId="77777777" w:rsidR="00FE5D8E" w:rsidRDefault="00FE5D8E">
      <w:pPr>
        <w:pStyle w:val="paragraph"/>
        <w:textAlignment w:val="baseline"/>
        <w:rPr>
          <w:rStyle w:val="eop"/>
          <w:rFonts w:ascii="Arial" w:hAnsi="Arial" w:cs="Arial"/>
          <w:sz w:val="22"/>
          <w:szCs w:val="22"/>
          <w:lang w:val="en-US"/>
        </w:rPr>
      </w:pPr>
    </w:p>
    <w:p w14:paraId="098FD7E9" w14:textId="77777777" w:rsidR="00FE5D8E" w:rsidRDefault="00FE5D8E">
      <w:pPr>
        <w:pStyle w:val="paragraph"/>
        <w:textAlignment w:val="baseline"/>
        <w:rPr>
          <w:rStyle w:val="eop"/>
          <w:rFonts w:ascii="Arial" w:hAnsi="Arial" w:cs="Arial"/>
          <w:sz w:val="22"/>
          <w:szCs w:val="22"/>
          <w:lang w:val="en-US"/>
        </w:rPr>
      </w:pPr>
    </w:p>
    <w:p w14:paraId="6E5AB0E0" w14:textId="092C9EC4" w:rsidR="00FE5D8E" w:rsidRDefault="00FE5D8E">
      <w:pPr>
        <w:pStyle w:val="paragraph"/>
        <w:textAlignment w:val="baseline"/>
        <w:rPr>
          <w:rStyle w:val="eop"/>
          <w:rFonts w:ascii="Arial" w:hAnsi="Arial" w:cs="Arial"/>
          <w:sz w:val="22"/>
          <w:szCs w:val="22"/>
          <w:lang w:val="en-US"/>
        </w:rPr>
      </w:pPr>
    </w:p>
    <w:p w14:paraId="28407A29" w14:textId="77777777" w:rsidR="00FE5D8E" w:rsidRDefault="00FE5D8E">
      <w:pPr>
        <w:pStyle w:val="paragraph"/>
        <w:textAlignment w:val="baseline"/>
        <w:rPr>
          <w:rStyle w:val="eop"/>
          <w:rFonts w:ascii="Arial" w:hAnsi="Arial" w:cs="Arial"/>
          <w:sz w:val="22"/>
          <w:szCs w:val="22"/>
          <w:lang w:val="en-US"/>
        </w:rPr>
      </w:pPr>
    </w:p>
    <w:p w14:paraId="7C559AE6" w14:textId="77777777" w:rsidR="00FE5D8E" w:rsidRDefault="00FE5D8E">
      <w:pPr>
        <w:pStyle w:val="paragraph"/>
        <w:textAlignment w:val="baseline"/>
        <w:rPr>
          <w:rStyle w:val="eop"/>
          <w:rFonts w:ascii="Arial" w:hAnsi="Arial" w:cs="Arial"/>
          <w:sz w:val="22"/>
          <w:szCs w:val="22"/>
          <w:lang w:val="en-US"/>
        </w:rPr>
      </w:pPr>
    </w:p>
    <w:p w14:paraId="7B245F6A" w14:textId="77777777" w:rsidR="00FE5D8E" w:rsidRDefault="00FE5D8E">
      <w:pPr>
        <w:pStyle w:val="paragraph"/>
        <w:textAlignment w:val="baseline"/>
        <w:rPr>
          <w:lang w:val="en-US"/>
        </w:rPr>
      </w:pPr>
    </w:p>
    <w:p w14:paraId="3D6D5B12" w14:textId="77777777" w:rsidR="00FE5D8E" w:rsidRDefault="0095382D">
      <w:pPr>
        <w:rPr>
          <w:rStyle w:val="normaltextrun1"/>
          <w:rFonts w:ascii="Arial" w:hAnsi="Arial" w:cs="Arial"/>
          <w:b/>
          <w:bCs/>
          <w:color w:val="000000"/>
          <w:sz w:val="22"/>
          <w:szCs w:val="22"/>
          <w:lang w:eastAsia="en-GB"/>
        </w:rPr>
      </w:pPr>
      <w:r>
        <w:br w:type="page"/>
      </w:r>
    </w:p>
    <w:p w14:paraId="0A2FC915" w14:textId="77777777" w:rsidR="00DD4542" w:rsidRDefault="00DD4542">
      <w:pPr>
        <w:pStyle w:val="paragraph"/>
        <w:textAlignment w:val="baseline"/>
        <w:rPr>
          <w:rStyle w:val="normaltextrun1"/>
          <w:rFonts w:ascii="Arial" w:hAnsi="Arial" w:cs="Arial"/>
          <w:b/>
          <w:bCs/>
          <w:color w:val="000000"/>
          <w:sz w:val="22"/>
          <w:szCs w:val="22"/>
        </w:rPr>
      </w:pPr>
    </w:p>
    <w:p w14:paraId="274B9B3B" w14:textId="77777777" w:rsidR="00FE5D8E" w:rsidRDefault="0095382D" w:rsidP="00871157">
      <w:pPr>
        <w:pStyle w:val="paragraph"/>
        <w:contextualSpacing/>
        <w:textAlignment w:val="baseline"/>
        <w:rPr>
          <w:rStyle w:val="normaltextrun1"/>
          <w:rFonts w:ascii="Arial" w:hAnsi="Arial" w:cs="Arial"/>
          <w:b/>
          <w:bCs/>
          <w:color w:val="000000"/>
          <w:sz w:val="22"/>
          <w:szCs w:val="22"/>
        </w:rPr>
      </w:pPr>
      <w:r w:rsidRPr="00EF513C">
        <w:rPr>
          <w:rStyle w:val="normaltextrun1"/>
          <w:rFonts w:ascii="Arial" w:hAnsi="Arial" w:cs="Arial"/>
          <w:b/>
          <w:bCs/>
          <w:color w:val="000000"/>
          <w:sz w:val="22"/>
          <w:szCs w:val="22"/>
        </w:rPr>
        <w:t>Abstract</w:t>
      </w:r>
    </w:p>
    <w:p w14:paraId="1A8EEA2C" w14:textId="4917C89B" w:rsidR="00FE5D8E" w:rsidRDefault="0095382D" w:rsidP="00871157">
      <w:pPr>
        <w:pStyle w:val="paragraph"/>
        <w:contextualSpacing/>
        <w:jc w:val="both"/>
        <w:textAlignment w:val="baseline"/>
        <w:rPr>
          <w:rStyle w:val="normaltextrun1"/>
          <w:rFonts w:ascii="Arial" w:hAnsi="Arial" w:cs="Arial"/>
          <w:bCs/>
          <w:sz w:val="22"/>
          <w:szCs w:val="22"/>
        </w:rPr>
      </w:pPr>
      <w:r>
        <w:rPr>
          <w:rStyle w:val="normaltextrun1"/>
          <w:rFonts w:ascii="Arial" w:hAnsi="Arial" w:cs="Arial"/>
          <w:bCs/>
          <w:sz w:val="22"/>
          <w:szCs w:val="22"/>
        </w:rPr>
        <w:t xml:space="preserve">Uncertainty regarding </w:t>
      </w:r>
      <w:r w:rsidR="000B6AAD">
        <w:rPr>
          <w:rStyle w:val="normaltextrun1"/>
          <w:rFonts w:ascii="Arial" w:hAnsi="Arial" w:cs="Arial"/>
          <w:bCs/>
          <w:sz w:val="22"/>
          <w:szCs w:val="22"/>
        </w:rPr>
        <w:t xml:space="preserve">the </w:t>
      </w:r>
      <w:r>
        <w:rPr>
          <w:rStyle w:val="normaltextrun1"/>
          <w:rFonts w:ascii="Arial" w:hAnsi="Arial" w:cs="Arial"/>
          <w:bCs/>
          <w:sz w:val="22"/>
          <w:szCs w:val="22"/>
        </w:rPr>
        <w:t xml:space="preserve">excess </w:t>
      </w:r>
      <w:r w:rsidR="000B6AAD">
        <w:rPr>
          <w:rStyle w:val="normaltextrun1"/>
          <w:rFonts w:ascii="Arial" w:hAnsi="Arial" w:cs="Arial"/>
          <w:bCs/>
          <w:sz w:val="22"/>
          <w:szCs w:val="22"/>
        </w:rPr>
        <w:t xml:space="preserve">of </w:t>
      </w:r>
      <w:r>
        <w:rPr>
          <w:rStyle w:val="normaltextrun1"/>
          <w:rFonts w:ascii="Arial" w:hAnsi="Arial" w:cs="Arial"/>
          <w:bCs/>
          <w:sz w:val="22"/>
          <w:szCs w:val="22"/>
        </w:rPr>
        <w:t xml:space="preserve">mortality in patients treated with clozapine persists. A decrease in all-cause mortality, and perhaps also in suicide, after clozapine initiation has been reported, but there are no studies in which preventable causes were ascertained in those taking medication in the long term. </w:t>
      </w:r>
      <w:r w:rsidR="000D6E0A">
        <w:rPr>
          <w:rStyle w:val="normaltextrun1"/>
          <w:rFonts w:ascii="Arial" w:hAnsi="Arial" w:cs="Arial"/>
          <w:bCs/>
          <w:sz w:val="22"/>
          <w:szCs w:val="22"/>
        </w:rPr>
        <w:t>Here, we aimed t</w:t>
      </w:r>
      <w:r w:rsidR="00FF45E8">
        <w:rPr>
          <w:rStyle w:val="normaltextrun1"/>
          <w:rFonts w:ascii="Arial" w:hAnsi="Arial" w:cs="Arial"/>
          <w:bCs/>
          <w:sz w:val="22"/>
          <w:szCs w:val="22"/>
        </w:rPr>
        <w:t xml:space="preserve">o </w:t>
      </w:r>
      <w:r>
        <w:rPr>
          <w:rStyle w:val="normaltextrun1"/>
          <w:rFonts w:ascii="Arial" w:hAnsi="Arial" w:cs="Arial"/>
          <w:bCs/>
          <w:sz w:val="22"/>
          <w:szCs w:val="22"/>
        </w:rPr>
        <w:t xml:space="preserve">assess a decade of </w:t>
      </w:r>
      <w:r w:rsidR="00C05D59">
        <w:rPr>
          <w:rStyle w:val="normaltextrun1"/>
          <w:rFonts w:ascii="Arial" w:hAnsi="Arial" w:cs="Arial"/>
          <w:bCs/>
          <w:sz w:val="22"/>
          <w:szCs w:val="22"/>
        </w:rPr>
        <w:t xml:space="preserve">causes of </w:t>
      </w:r>
      <w:r>
        <w:rPr>
          <w:rStyle w:val="normaltextrun1"/>
          <w:rFonts w:ascii="Arial" w:hAnsi="Arial" w:cs="Arial"/>
          <w:bCs/>
          <w:sz w:val="22"/>
          <w:szCs w:val="22"/>
        </w:rPr>
        <w:t>deaths in a catchment area in patients with schizophrenia chronically treated with clozapine and compared them to a clozapine-treated control cohort. Causes of deaths were classified as suicide, expected (e.g. cancer), and unexpected deaths (encompassing causes of death potentially due to clozapine side effects, and unexplained sudden death</w:t>
      </w:r>
      <w:r w:rsidRPr="000D6E0A">
        <w:rPr>
          <w:rStyle w:val="normaltextrun1"/>
          <w:rFonts w:ascii="Arial" w:hAnsi="Arial" w:cs="Arial"/>
          <w:bCs/>
          <w:sz w:val="22"/>
          <w:szCs w:val="22"/>
        </w:rPr>
        <w:t xml:space="preserve">). </w:t>
      </w:r>
      <w:r w:rsidR="000D6E0A" w:rsidRPr="000D6E0A">
        <w:rPr>
          <w:rStyle w:val="normaltextrun1"/>
          <w:rFonts w:ascii="Arial" w:hAnsi="Arial" w:cs="Arial"/>
          <w:bCs/>
          <w:sz w:val="22"/>
          <w:szCs w:val="22"/>
        </w:rPr>
        <w:t>We used descri</w:t>
      </w:r>
      <w:r w:rsidR="00DE02C8" w:rsidRPr="000D6E0A">
        <w:rPr>
          <w:rStyle w:val="normaltextrun1"/>
          <w:rFonts w:ascii="Arial" w:hAnsi="Arial" w:cs="Arial"/>
          <w:bCs/>
          <w:sz w:val="22"/>
          <w:szCs w:val="22"/>
        </w:rPr>
        <w:t>ptive</w:t>
      </w:r>
      <w:r w:rsidR="00DE02C8">
        <w:rPr>
          <w:rStyle w:val="normaltextrun1"/>
          <w:rFonts w:ascii="Arial" w:hAnsi="Arial" w:cs="Arial"/>
          <w:bCs/>
          <w:sz w:val="22"/>
          <w:szCs w:val="22"/>
        </w:rPr>
        <w:t xml:space="preserve"> statistics for comparing socio-demographic and clinical factors between the three groups. </w:t>
      </w:r>
      <w:r w:rsidR="00DE02C8" w:rsidRPr="00DE02C8">
        <w:rPr>
          <w:rStyle w:val="normaltextrun1"/>
          <w:rFonts w:ascii="Arial" w:hAnsi="Arial" w:cs="Arial"/>
          <w:bCs/>
          <w:sz w:val="22"/>
          <w:szCs w:val="22"/>
        </w:rPr>
        <w:t xml:space="preserve">Logistic regression models were used to examine </w:t>
      </w:r>
      <w:r w:rsidR="00DE02C8">
        <w:rPr>
          <w:rStyle w:val="normaltextrun1"/>
          <w:rFonts w:ascii="Arial" w:hAnsi="Arial" w:cs="Arial"/>
          <w:bCs/>
          <w:sz w:val="22"/>
          <w:szCs w:val="22"/>
        </w:rPr>
        <w:t xml:space="preserve">risk </w:t>
      </w:r>
      <w:r w:rsidR="00DE02C8" w:rsidRPr="000D6E0A">
        <w:rPr>
          <w:rStyle w:val="normaltextrun1"/>
          <w:rFonts w:ascii="Arial" w:hAnsi="Arial" w:cs="Arial"/>
          <w:bCs/>
          <w:sz w:val="22"/>
          <w:szCs w:val="22"/>
        </w:rPr>
        <w:t xml:space="preserve">factors associated with unexpected death compared to the control group. </w:t>
      </w:r>
      <w:r w:rsidR="000D6E0A" w:rsidRPr="000D6E0A">
        <w:rPr>
          <w:rStyle w:val="normaltextrun1"/>
          <w:rFonts w:ascii="Arial" w:hAnsi="Arial" w:cs="Arial"/>
          <w:bCs/>
          <w:sz w:val="22"/>
          <w:szCs w:val="22"/>
        </w:rPr>
        <w:t>We found that t</w:t>
      </w:r>
      <w:r w:rsidRPr="000D6E0A">
        <w:rPr>
          <w:rStyle w:val="normaltextrun1"/>
          <w:rFonts w:ascii="Arial" w:hAnsi="Arial" w:cs="Arial"/>
          <w:bCs/>
          <w:sz w:val="22"/>
          <w:szCs w:val="22"/>
        </w:rPr>
        <w:t>he overall mortality was similar to that in previous studi</w:t>
      </w:r>
      <w:r w:rsidR="00DE02C8" w:rsidRPr="000D6E0A">
        <w:rPr>
          <w:rStyle w:val="normaltextrun1"/>
          <w:rFonts w:ascii="Arial" w:hAnsi="Arial" w:cs="Arial"/>
          <w:bCs/>
          <w:sz w:val="22"/>
          <w:szCs w:val="22"/>
        </w:rPr>
        <w:t>es (at 0.8% yearly</w:t>
      </w:r>
      <w:r w:rsidR="00DE02C8">
        <w:rPr>
          <w:rStyle w:val="normaltextrun1"/>
          <w:rFonts w:ascii="Arial" w:hAnsi="Arial" w:cs="Arial"/>
          <w:bCs/>
          <w:sz w:val="22"/>
          <w:szCs w:val="22"/>
        </w:rPr>
        <w:t xml:space="preserve"> on average) with</w:t>
      </w:r>
      <w:r w:rsidRPr="005C3041">
        <w:rPr>
          <w:rStyle w:val="normaltextrun1"/>
          <w:rFonts w:ascii="Arial" w:hAnsi="Arial" w:cs="Arial"/>
          <w:bCs/>
          <w:sz w:val="22"/>
          <w:szCs w:val="22"/>
        </w:rPr>
        <w:t xml:space="preserve"> unexpected deaths accounted for 52% of </w:t>
      </w:r>
      <w:r w:rsidR="000B6AAD">
        <w:rPr>
          <w:rStyle w:val="normaltextrun1"/>
          <w:rFonts w:ascii="Arial" w:hAnsi="Arial" w:cs="Arial"/>
          <w:bCs/>
          <w:sz w:val="22"/>
          <w:szCs w:val="22"/>
        </w:rPr>
        <w:t xml:space="preserve">total </w:t>
      </w:r>
      <w:r w:rsidRPr="005C3041">
        <w:rPr>
          <w:rStyle w:val="normaltextrun1"/>
          <w:rFonts w:ascii="Arial" w:hAnsi="Arial" w:cs="Arial"/>
          <w:bCs/>
          <w:sz w:val="22"/>
          <w:szCs w:val="22"/>
        </w:rPr>
        <w:t>deaths. The unexpected deaths group was on average treated with higher clozapine doses (mean 460 mg/day). A small but significant peak of unexpected deaths was found during the 2018 summer heat wave, which might have ex</w:t>
      </w:r>
      <w:r>
        <w:rPr>
          <w:rStyle w:val="normaltextrun1"/>
          <w:rFonts w:ascii="Arial" w:hAnsi="Arial" w:cs="Arial"/>
          <w:bCs/>
          <w:sz w:val="22"/>
          <w:szCs w:val="22"/>
        </w:rPr>
        <w:t xml:space="preserve">acerbated dose-dependent side effects of clozapine. </w:t>
      </w:r>
      <w:r w:rsidR="000D6E0A">
        <w:rPr>
          <w:rStyle w:val="normaltextrun1"/>
          <w:rFonts w:ascii="Arial" w:hAnsi="Arial" w:cs="Arial"/>
          <w:bCs/>
          <w:sz w:val="22"/>
          <w:szCs w:val="22"/>
        </w:rPr>
        <w:t>We recommend an i</w:t>
      </w:r>
      <w:r w:rsidR="00DE02C8">
        <w:rPr>
          <w:rStyle w:val="normaltextrun1"/>
          <w:rFonts w:ascii="Arial" w:hAnsi="Arial" w:cs="Arial"/>
          <w:bCs/>
          <w:sz w:val="22"/>
          <w:szCs w:val="22"/>
        </w:rPr>
        <w:t xml:space="preserve">ncreased </w:t>
      </w:r>
      <w:r>
        <w:rPr>
          <w:rStyle w:val="normaltextrun1"/>
          <w:rFonts w:ascii="Arial" w:hAnsi="Arial" w:cs="Arial"/>
          <w:bCs/>
          <w:sz w:val="22"/>
          <w:szCs w:val="22"/>
        </w:rPr>
        <w:t xml:space="preserve">monitoring for those on higher doses of clozapine is suggested as one potential intervention to decrease mortality in this </w:t>
      </w:r>
      <w:r w:rsidR="00DE02C8">
        <w:rPr>
          <w:rStyle w:val="normaltextrun1"/>
          <w:rFonts w:ascii="Arial" w:hAnsi="Arial" w:cs="Arial"/>
          <w:bCs/>
          <w:sz w:val="22"/>
          <w:szCs w:val="22"/>
        </w:rPr>
        <w:t>population</w:t>
      </w:r>
      <w:r>
        <w:rPr>
          <w:rStyle w:val="normaltextrun1"/>
          <w:rFonts w:ascii="Arial" w:hAnsi="Arial" w:cs="Arial"/>
          <w:bCs/>
          <w:sz w:val="22"/>
          <w:szCs w:val="22"/>
        </w:rPr>
        <w:t xml:space="preserve">. </w:t>
      </w:r>
    </w:p>
    <w:p w14:paraId="48DFC010" w14:textId="77777777" w:rsidR="00DD4542" w:rsidRDefault="00DD4542" w:rsidP="00871157">
      <w:pPr>
        <w:pStyle w:val="paragraph"/>
        <w:contextualSpacing/>
        <w:jc w:val="both"/>
        <w:textAlignment w:val="baseline"/>
        <w:rPr>
          <w:rStyle w:val="normaltextrun1"/>
          <w:rFonts w:ascii="Arial" w:hAnsi="Arial" w:cs="Arial"/>
          <w:bCs/>
          <w:sz w:val="22"/>
          <w:szCs w:val="22"/>
        </w:rPr>
      </w:pPr>
    </w:p>
    <w:p w14:paraId="4AD8130F" w14:textId="7667E8FD" w:rsidR="00DD4542" w:rsidRDefault="00DD4542" w:rsidP="00871157">
      <w:pPr>
        <w:pStyle w:val="paragraph"/>
        <w:contextualSpacing/>
        <w:jc w:val="both"/>
        <w:textAlignment w:val="baseline"/>
        <w:rPr>
          <w:rStyle w:val="normaltextrun1"/>
          <w:rFonts w:ascii="Arial" w:hAnsi="Arial" w:cs="Arial"/>
          <w:bCs/>
          <w:sz w:val="22"/>
          <w:szCs w:val="22"/>
        </w:rPr>
      </w:pPr>
      <w:r>
        <w:rPr>
          <w:rStyle w:val="normaltextrun1"/>
          <w:rFonts w:ascii="Arial" w:hAnsi="Arial" w:cs="Arial"/>
          <w:bCs/>
          <w:sz w:val="22"/>
          <w:szCs w:val="22"/>
        </w:rPr>
        <w:t xml:space="preserve">[Words: </w:t>
      </w:r>
      <w:r w:rsidR="00DE02C8">
        <w:rPr>
          <w:rStyle w:val="normaltextrun1"/>
          <w:rFonts w:ascii="Arial" w:hAnsi="Arial" w:cs="Arial"/>
          <w:bCs/>
          <w:sz w:val="22"/>
          <w:szCs w:val="22"/>
        </w:rPr>
        <w:t>222</w:t>
      </w:r>
      <w:r>
        <w:rPr>
          <w:rStyle w:val="normaltextrun1"/>
          <w:rFonts w:ascii="Arial" w:hAnsi="Arial" w:cs="Arial"/>
          <w:bCs/>
          <w:sz w:val="22"/>
          <w:szCs w:val="22"/>
        </w:rPr>
        <w:t>]</w:t>
      </w:r>
    </w:p>
    <w:p w14:paraId="0B6235B6" w14:textId="51B34E13" w:rsidR="007D339B" w:rsidRDefault="007D339B" w:rsidP="00871157">
      <w:pPr>
        <w:pStyle w:val="paragraph"/>
        <w:contextualSpacing/>
        <w:jc w:val="both"/>
        <w:textAlignment w:val="baseline"/>
        <w:rPr>
          <w:rStyle w:val="normaltextrun1"/>
          <w:rFonts w:ascii="Arial" w:hAnsi="Arial" w:cs="Arial"/>
          <w:bCs/>
          <w:sz w:val="22"/>
          <w:szCs w:val="22"/>
        </w:rPr>
      </w:pPr>
    </w:p>
    <w:p w14:paraId="66C70944" w14:textId="3A391EA6" w:rsidR="007D339B" w:rsidRDefault="007D339B" w:rsidP="00871157">
      <w:pPr>
        <w:pStyle w:val="paragraph"/>
        <w:contextualSpacing/>
        <w:jc w:val="both"/>
        <w:textAlignment w:val="baseline"/>
      </w:pPr>
      <w:r>
        <w:rPr>
          <w:rStyle w:val="normaltextrun1"/>
          <w:rFonts w:ascii="Arial" w:hAnsi="Arial" w:cs="Arial"/>
          <w:bCs/>
          <w:sz w:val="22"/>
          <w:szCs w:val="22"/>
        </w:rPr>
        <w:t xml:space="preserve">Keywords: mortality; clozapine; antipsychotics, </w:t>
      </w:r>
      <w:proofErr w:type="gramStart"/>
      <w:r>
        <w:rPr>
          <w:rStyle w:val="normaltextrun1"/>
          <w:rFonts w:ascii="Arial" w:hAnsi="Arial" w:cs="Arial"/>
          <w:bCs/>
          <w:sz w:val="22"/>
          <w:szCs w:val="22"/>
        </w:rPr>
        <w:t>heat-wave</w:t>
      </w:r>
      <w:proofErr w:type="gramEnd"/>
      <w:r>
        <w:rPr>
          <w:rStyle w:val="normaltextrun1"/>
          <w:rFonts w:ascii="Arial" w:hAnsi="Arial" w:cs="Arial"/>
          <w:bCs/>
          <w:sz w:val="22"/>
          <w:szCs w:val="22"/>
        </w:rPr>
        <w:t xml:space="preserve">, </w:t>
      </w:r>
      <w:r w:rsidR="00D56F88">
        <w:rPr>
          <w:rStyle w:val="normaltextrun1"/>
          <w:rFonts w:ascii="Arial" w:hAnsi="Arial" w:cs="Arial"/>
          <w:bCs/>
          <w:sz w:val="22"/>
          <w:szCs w:val="22"/>
        </w:rPr>
        <w:t>suicide.</w:t>
      </w:r>
    </w:p>
    <w:p w14:paraId="77BA5540" w14:textId="01844A09" w:rsidR="00FE5D8E" w:rsidRDefault="0095382D" w:rsidP="00871157">
      <w:pPr>
        <w:contextualSpacing/>
        <w:jc w:val="both"/>
        <w:rPr>
          <w:rStyle w:val="normaltextrun1"/>
          <w:rFonts w:ascii="Arial" w:hAnsi="Arial" w:cs="Arial"/>
          <w:b/>
          <w:bCs/>
          <w:color w:val="000000"/>
          <w:sz w:val="22"/>
          <w:szCs w:val="22"/>
          <w:lang w:eastAsia="en-GB"/>
        </w:rPr>
      </w:pPr>
      <w:r>
        <w:br w:type="page"/>
      </w:r>
    </w:p>
    <w:p w14:paraId="42656C17" w14:textId="620386B8" w:rsidR="00FE5D8E" w:rsidRDefault="0095382D" w:rsidP="00871157">
      <w:pPr>
        <w:pStyle w:val="paragraph"/>
        <w:numPr>
          <w:ilvl w:val="0"/>
          <w:numId w:val="4"/>
        </w:numPr>
        <w:contextualSpacing/>
        <w:textAlignment w:val="baseline"/>
        <w:rPr>
          <w:lang w:val="en-US"/>
        </w:rPr>
      </w:pPr>
      <w:r>
        <w:rPr>
          <w:rStyle w:val="normaltextrun1"/>
          <w:rFonts w:ascii="Arial" w:hAnsi="Arial" w:cs="Arial"/>
          <w:b/>
          <w:bCs/>
          <w:color w:val="000000"/>
          <w:sz w:val="22"/>
          <w:szCs w:val="22"/>
        </w:rPr>
        <w:lastRenderedPageBreak/>
        <w:t>Introduction</w:t>
      </w:r>
      <w:r>
        <w:rPr>
          <w:rStyle w:val="eop"/>
          <w:rFonts w:ascii="Arial" w:hAnsi="Arial" w:cs="Arial"/>
          <w:sz w:val="22"/>
          <w:szCs w:val="22"/>
          <w:lang w:val="en-US"/>
        </w:rPr>
        <w:t> </w:t>
      </w:r>
    </w:p>
    <w:p w14:paraId="47F0814D" w14:textId="5067665D" w:rsidR="00FE5D8E" w:rsidRPr="005D3C1C" w:rsidRDefault="0095382D" w:rsidP="00871157">
      <w:pPr>
        <w:pStyle w:val="paragraph"/>
        <w:contextualSpacing/>
        <w:jc w:val="both"/>
        <w:textAlignment w:val="baseline"/>
        <w:rPr>
          <w:rFonts w:ascii="Arial" w:hAnsi="Arial" w:cs="Arial"/>
        </w:rPr>
      </w:pPr>
      <w:r>
        <w:rPr>
          <w:rStyle w:val="normaltextrun1"/>
          <w:rFonts w:ascii="Arial" w:hAnsi="Arial" w:cs="Arial"/>
          <w:sz w:val="22"/>
          <w:szCs w:val="22"/>
        </w:rPr>
        <w:t xml:space="preserve">Schizophrenia </w:t>
      </w:r>
      <w:r w:rsidRPr="005D3C1C">
        <w:rPr>
          <w:rStyle w:val="normaltextrun1"/>
          <w:rFonts w:ascii="Arial" w:hAnsi="Arial" w:cs="Arial"/>
          <w:sz w:val="22"/>
          <w:szCs w:val="22"/>
        </w:rPr>
        <w:t xml:space="preserve">patients die </w:t>
      </w:r>
      <w:r w:rsidR="00A24E5C">
        <w:rPr>
          <w:rStyle w:val="normaltextrun1"/>
          <w:rFonts w:ascii="Arial" w:hAnsi="Arial" w:cs="Arial"/>
          <w:sz w:val="22"/>
          <w:szCs w:val="22"/>
        </w:rPr>
        <w:t xml:space="preserve">on average 15 years earlier </w:t>
      </w:r>
      <w:r w:rsidRPr="005D3C1C">
        <w:rPr>
          <w:rStyle w:val="normaltextrun1"/>
          <w:rFonts w:ascii="Arial" w:hAnsi="Arial" w:cs="Arial"/>
          <w:sz w:val="22"/>
          <w:szCs w:val="22"/>
        </w:rPr>
        <w:t>than the general population</w:t>
      </w:r>
      <w:r w:rsidRPr="005D3C1C">
        <w:rPr>
          <w:rStyle w:val="normaltextrun1"/>
          <w:rFonts w:ascii="Arial" w:hAnsi="Arial" w:cs="Arial"/>
          <w:color w:val="000000"/>
          <w:sz w:val="22"/>
          <w:szCs w:val="22"/>
        </w:rPr>
        <w:t>,</w:t>
      </w:r>
      <w:r w:rsidRPr="005D3C1C">
        <w:rPr>
          <w:rStyle w:val="normaltextrun1"/>
          <w:rFonts w:ascii="Arial" w:hAnsi="Arial" w:cs="Arial"/>
          <w:sz w:val="22"/>
          <w:szCs w:val="22"/>
        </w:rPr>
        <w:t xml:space="preserve"> with suicide and cardiovascular events being the main cause of early death</w:t>
      </w:r>
      <w:r w:rsidR="00A02AE6">
        <w:rPr>
          <w:rStyle w:val="normaltextrun1"/>
          <w:rFonts w:ascii="Arial" w:hAnsi="Arial" w:cs="Arial"/>
          <w:sz w:val="22"/>
          <w:szCs w:val="22"/>
        </w:rPr>
        <w:t xml:space="preserve"> </w:t>
      </w:r>
      <w:r w:rsidRPr="005D3C1C">
        <w:rPr>
          <w:rFonts w:ascii="Arial" w:hAnsi="Arial" w:cs="Arial"/>
          <w:sz w:val="22"/>
          <w:szCs w:val="22"/>
        </w:rPr>
        <w:fldChar w:fldCharType="begin" w:fldLock="1"/>
      </w:r>
      <w:r w:rsidR="00A24E5C">
        <w:rPr>
          <w:rFonts w:ascii="Arial" w:hAnsi="Arial" w:cs="Arial"/>
          <w:sz w:val="22"/>
          <w:szCs w:val="22"/>
        </w:rPr>
        <w:instrText>ADDIN CSL_CITATION {"citationItems":[{"id":"ITEM-1","itemData":{"DOI":"10.1016/S2215-0366(17)30078-0","ISSN":"22150374","abstract":"Background Several studies and meta-analyses have shown that mortality in people with schizophrenia is higher than that in the general population but have used relative measures, such as standardised mortality ratios. We did a systematic review and meta-analysis to estimate years of potential life lost and life expectancy in schizophrenia, which are more direct, absolute measures of increased mortality. Methods We searched MEDLINE, PsycINFO, Embase, Cinahl, and Web of Science for published studies on years of potential life lost and life expectancy in schizophrenia. Data from individual studies were combined in meta-analyses as weighted averages. We did subgroup analyses for sex, geographical region, timing of publication, and risk of bias (estimated with the Newcastle-Ottawa Scale). Findings We identified 11 studies in 13 publications covering all inhabited continents except South America (Africa n=1, Asia n=1, Australia n=1, Europe n=7, and North America n=3) that involved up to 247 603 patients. Schizophrenia was associated with a weighted average of 14·5 years of potential life lost (95% CI 11·2–17·8), and was higher for men than women (15·9, 13·8–18·0 vs 13·6, 11·4–15·8). Loss was least in the Asian study and greatest in Africa. The overall weighted average life expectancy was 64·7 years (95% CI 61·1–71·3), and was lower for men than women (59·9 years, 95% CI 55·5–64·3 vs 67·6 years, 63·1–72·1). Life expectancy was lowest in Asia and Africa. Timing of publication and risk of bias had little effect on results. Interpretation The effects of schizophrenia on years potential life lost and life expectancy seem to be substantial and not to have lessened over time. Development and implementation of interventions and initiatives to reduce this mortality gap are urgently needed. Funding None.","author":[{"dropping-particle":"","family":"Hjorthøj","given":"Carsten","non-dropping-particle":"","parse-names":false,"suffix":""},{"dropping-particle":"","family":"Stürup","given":"Anne Emilie","non-dropping-particle":"","parse-names":false,"suffix":""},{"dropping-particle":"","family":"McGrath","given":"John J.","non-dropping-particle":"","parse-names":false,"suffix":""},{"dropping-particle":"","family":"Nordentoft","given":"Merete","non-dropping-particle":"","parse-names":false,"suffix":""}],"container-title":"The Lancet Psychiatry","id":"ITEM-1","issued":{"date-parts":[["2017"]]},"title":"Years of potential life lost and life expectancy in schizophrenia: a systematic review and meta-analysis","type":"article-journal"},"uris":["http://www.mendeley.com/documents/?uuid=2c66ec9c-34c4-40d9-958b-77768076a6e3"]}],"mendeley":{"formattedCitation":"(Hjorthøj et al., 2017)","plainTextFormattedCitation":"(Hjorthøj et al., 2017)","previouslyFormattedCitation":"(Hjorthøj et al., 2017)"},"properties":{"noteIndex":0},"schema":"https://github.com/citation-style-language/schema/raw/master/csl-citation.json"}</w:instrText>
      </w:r>
      <w:r w:rsidRPr="005D3C1C">
        <w:rPr>
          <w:rFonts w:ascii="Arial" w:hAnsi="Arial" w:cs="Arial"/>
          <w:sz w:val="22"/>
          <w:szCs w:val="22"/>
        </w:rPr>
        <w:fldChar w:fldCharType="separate"/>
      </w:r>
      <w:bookmarkStart w:id="0" w:name="__Fieldmark__73_3862467544"/>
      <w:bookmarkStart w:id="1" w:name="__Fieldmark__73_2113833669"/>
      <w:bookmarkStart w:id="2" w:name="__Fieldmark__72_2119414058"/>
      <w:bookmarkStart w:id="3" w:name="__Fieldmark__86_240126034"/>
      <w:r w:rsidR="006C099B" w:rsidRPr="006C099B">
        <w:rPr>
          <w:rStyle w:val="normaltextrun1"/>
          <w:rFonts w:ascii="Arial" w:hAnsi="Arial" w:cs="Arial"/>
          <w:noProof/>
          <w:color w:val="000000"/>
          <w:sz w:val="22"/>
          <w:szCs w:val="22"/>
        </w:rPr>
        <w:t>(Hjorthøj et al., 2017)</w:t>
      </w:r>
      <w:r w:rsidRPr="005D3C1C">
        <w:rPr>
          <w:rFonts w:ascii="Arial" w:hAnsi="Arial" w:cs="Arial"/>
          <w:sz w:val="22"/>
          <w:szCs w:val="22"/>
        </w:rPr>
        <w:fldChar w:fldCharType="end"/>
      </w:r>
      <w:bookmarkEnd w:id="0"/>
      <w:bookmarkEnd w:id="1"/>
      <w:bookmarkEnd w:id="2"/>
      <w:bookmarkEnd w:id="3"/>
      <w:r w:rsidRPr="005D3C1C">
        <w:rPr>
          <w:rStyle w:val="normaltextrun1"/>
          <w:rFonts w:ascii="Arial" w:hAnsi="Arial" w:cs="Arial"/>
          <w:color w:val="000000"/>
          <w:sz w:val="22"/>
          <w:szCs w:val="22"/>
        </w:rPr>
        <w:t xml:space="preserve">. </w:t>
      </w:r>
      <w:r w:rsidRPr="005D3C1C">
        <w:rPr>
          <w:rStyle w:val="normaltextrun1"/>
          <w:rFonts w:ascii="Arial" w:hAnsi="Arial" w:cs="Arial"/>
          <w:sz w:val="22"/>
          <w:szCs w:val="22"/>
        </w:rPr>
        <w:t>Clozapine is the only antipsychotic licensed for the management of otherwise treatment-resistant psychosis, which affects a third of patients. This medication reduces psychotic symptoms</w:t>
      </w:r>
      <w:r w:rsidR="00A02AE6">
        <w:rPr>
          <w:rStyle w:val="normaltextrun1"/>
          <w:rFonts w:ascii="Arial" w:hAnsi="Arial" w:cs="Arial"/>
          <w:sz w:val="22"/>
          <w:szCs w:val="22"/>
        </w:rPr>
        <w:t xml:space="preserve"> </w:t>
      </w:r>
      <w:r w:rsidR="005D3C1C" w:rsidRPr="005D3C1C">
        <w:rPr>
          <w:rStyle w:val="normaltextrun1"/>
          <w:rFonts w:ascii="Arial" w:hAnsi="Arial" w:cs="Arial"/>
          <w:sz w:val="22"/>
          <w:szCs w:val="22"/>
        </w:rPr>
        <w:fldChar w:fldCharType="begin" w:fldLock="1"/>
      </w:r>
      <w:r w:rsidR="00A24E5C">
        <w:rPr>
          <w:rStyle w:val="normaltextrun1"/>
          <w:rFonts w:ascii="Arial" w:hAnsi="Arial" w:cs="Arial"/>
          <w:sz w:val="22"/>
          <w:szCs w:val="22"/>
        </w:rPr>
        <w:instrText>ADDIN CSL_CITATION {"citationItems":[{"id":"ITEM-1","itemData":{"author":[{"dropping-particle":"","family":"Kane","given":"John","non-dropping-particle":"","parse-names":false,"suffix":""},{"dropping-particle":"","family":"Honigfeld","given":"Gilbert","non-dropping-particle":"","parse-names":false,"suffix":""},{"dropping-particle":"","family":"Singer","given":"Jack","non-dropping-particle":"","parse-names":false,"suffix":""},{"dropping-particle":"","family":"Meltzer","given":"Herbert","non-dropping-particle":"","parse-names":false,"suffix":""}],"container-title":"Arch Gen Psychiatry","id":"ITEM-1","issued":{"date-parts":[["1988"]]},"page":"789-796","title":"Clozapine for the treament-resistant schizophrenic","type":"article-journal","volume":"45"},"uris":["http://www.mendeley.com/documents/?uuid=7c508681-915c-4b5c-acfc-4a567ad20739"]}],"mendeley":{"formattedCitation":"(Kane et al., 1988)","plainTextFormattedCitation":"(Kane et al., 1988)","previouslyFormattedCitation":"(Kane et al., 1988)"},"properties":{"noteIndex":0},"schema":"https://github.com/citation-style-language/schema/raw/master/csl-citation.json"}</w:instrText>
      </w:r>
      <w:r w:rsidR="005D3C1C" w:rsidRPr="005D3C1C">
        <w:rPr>
          <w:rStyle w:val="normaltextrun1"/>
          <w:rFonts w:ascii="Arial" w:hAnsi="Arial" w:cs="Arial"/>
          <w:sz w:val="22"/>
          <w:szCs w:val="22"/>
        </w:rPr>
        <w:fldChar w:fldCharType="separate"/>
      </w:r>
      <w:r w:rsidR="006C099B" w:rsidRPr="006C099B">
        <w:rPr>
          <w:rStyle w:val="normaltextrun1"/>
          <w:rFonts w:ascii="Arial" w:hAnsi="Arial" w:cs="Arial"/>
          <w:noProof/>
          <w:sz w:val="22"/>
          <w:szCs w:val="22"/>
        </w:rPr>
        <w:t>(Kane et al., 1988)</w:t>
      </w:r>
      <w:r w:rsidR="005D3C1C" w:rsidRPr="005D3C1C">
        <w:rPr>
          <w:rStyle w:val="normaltextrun1"/>
          <w:rFonts w:ascii="Arial" w:hAnsi="Arial" w:cs="Arial"/>
          <w:sz w:val="22"/>
          <w:szCs w:val="22"/>
        </w:rPr>
        <w:fldChar w:fldCharType="end"/>
      </w:r>
      <w:r w:rsidRPr="005D3C1C">
        <w:rPr>
          <w:rStyle w:val="normaltextrun1"/>
          <w:rFonts w:ascii="Arial" w:hAnsi="Arial" w:cs="Arial"/>
          <w:sz w:val="22"/>
          <w:szCs w:val="22"/>
        </w:rPr>
        <w:t xml:space="preserve"> and suicide risk</w:t>
      </w:r>
      <w:r w:rsidR="00A02AE6">
        <w:rPr>
          <w:rStyle w:val="normaltextrun1"/>
          <w:rFonts w:ascii="Arial" w:hAnsi="Arial" w:cs="Arial"/>
          <w:sz w:val="22"/>
          <w:szCs w:val="22"/>
        </w:rPr>
        <w:t xml:space="preserve"> </w:t>
      </w:r>
      <w:r w:rsidR="005D3C1C" w:rsidRPr="005D3C1C">
        <w:rPr>
          <w:rStyle w:val="normaltextrun1"/>
          <w:rFonts w:ascii="Arial" w:hAnsi="Arial" w:cs="Arial"/>
          <w:sz w:val="22"/>
          <w:szCs w:val="22"/>
        </w:rPr>
        <w:fldChar w:fldCharType="begin" w:fldLock="1"/>
      </w:r>
      <w:r w:rsidR="00A24E5C">
        <w:rPr>
          <w:rStyle w:val="normaltextrun1"/>
          <w:rFonts w:ascii="Arial" w:hAnsi="Arial" w:cs="Arial"/>
          <w:sz w:val="22"/>
          <w:szCs w:val="22"/>
        </w:rPr>
        <w:instrText>ADDIN CSL_CITATION {"citationItems":[{"id":"ITEM-1","itemData":{"DOI":"10.1002/wps.20699","ISSN":"20515545","abstract":"Antipsychotics are effective in preventing relapses of schizophrenia, but it is generally believed that their long-term use is harmful for patients’ physical well-being. However, there are no long-term studies which have verified this view. This nationwide, register-based cohort study aimed to assess the risk of hospitalization due to physical health problems, as a marker for severe physical morbidity, and the risk of all-cause mortality, as well as of cardiovascular and suicidal death, associated with antipsychotic use in all patients treated for schizophrenia in inpatient care between 1972 and 2014 in Finland (N=62,250), with up to 20 years of follow-up (median: 14.1 years). The use of antipsychotic drugs (i.e., use of any antipsychotic compared with non-use) and the use of specific antipsychotics were investigated, and outcomes were somatic and cardiovascular hospitalization, and all-cause, cardiovascular and suicide death. Hospitalization-based outcomes were analyzed by a within-individual design to eliminate selection bias, comparing use and non-use periods in the same individual by stratified Cox model. Mortality outcomes were assessed by traditional between-individual Cox multivariate models. The adjusted hazard ratios (aHRs) for any somatic hospitalization and cardiovascular hospitalization were 1.00 (95% CI: 0.98-1.03) and 1.00 (95% CI: 0.92-1.07) during use of any antipsychotic compared to non-exposure periods within the same individual. The aHRs were 0.48 (95% CI: 0.46-0.51) for all-cause mortality, 0.62 (95% CI: 0.57-0.67) for cardiovascular mortality, and 0.52 (95% CI: 0.43-0.62) for suicide mortality during use vs. non-use of any antipsychotic. The most beneficial mortality outcome was associated with use of clozapine in terms of all-cause (aHR=0.39, 95% CI: 0.36-0.43), cardiovascular (aHR=0.55, 95% CI: 0.47-0.64) and suicide mortality (aHR=0.21, 95% CI: 0.15-0.29). The cumulative mortality rates during maximum follow-up of 20 years were 46.2% for no antipsychotic use, 25.7% for any antipsychotic use, and 15.6% for clozapine use. These data suggest that long-term antipsychotic use does not increase severe physical morbidity leading to hospitalization, and is associated with substantially decreased mortality, especially among patients treated with clozapine.","author":[{"dropping-particle":"","family":"Taipale","given":"Heidi","non-dropping-particle":"","parse-names":false,"suffix":""},{"dropping-particle":"","family":"Tanskanen","given":"Antti","non-dropping-particle":"","parse-names":false,"suffix":""},{"dropping-particle":"","family":"Mehtälä","given":"Juha","non-dropping-particle":"","parse-names":false,"suffix":""},{"dropping-particle":"","family":"Vattulainen","given":"Pia","non-dropping-particle":"","parse-names":false,"suffix":""},{"dropping-particle":"","family":"Correll","given":"Christoph U.","non-dropping-particle":"","parse-names":false,"suffix":""},{"dropping-particle":"","family":"Tiihonen","given":"Jari","non-dropping-particle":"","parse-names":false,"suffix":""}],"container-title":"World Psychiatry","id":"ITEM-1","issue":"1","issued":{"date-parts":[["2020"]]},"page":"61-68","title":"20-year follow-up study of physical morbidity and mortality in relationship to antipsychotic treatment in a nationwide cohort of 62,250 patients with schizophrenia (FIN20)","type":"article-journal","volume":"19"},"uris":["http://www.mendeley.com/documents/?uuid=319d5732-c272-4272-8672-6c1bc230fb67"]}],"mendeley":{"formattedCitation":"(Taipale et al., 2020)","plainTextFormattedCitation":"(Taipale et al., 2020)","previouslyFormattedCitation":"(Taipale et al., 2020)"},"properties":{"noteIndex":0},"schema":"https://github.com/citation-style-language/schema/raw/master/csl-citation.json"}</w:instrText>
      </w:r>
      <w:r w:rsidR="005D3C1C" w:rsidRPr="005D3C1C">
        <w:rPr>
          <w:rStyle w:val="normaltextrun1"/>
          <w:rFonts w:ascii="Arial" w:hAnsi="Arial" w:cs="Arial"/>
          <w:sz w:val="22"/>
          <w:szCs w:val="22"/>
        </w:rPr>
        <w:fldChar w:fldCharType="separate"/>
      </w:r>
      <w:r w:rsidR="006C099B" w:rsidRPr="006C099B">
        <w:rPr>
          <w:rStyle w:val="normaltextrun1"/>
          <w:rFonts w:ascii="Arial" w:hAnsi="Arial" w:cs="Arial"/>
          <w:noProof/>
          <w:sz w:val="22"/>
          <w:szCs w:val="22"/>
        </w:rPr>
        <w:t>(Taipale et al., 2020)</w:t>
      </w:r>
      <w:r w:rsidR="005D3C1C" w:rsidRPr="005D3C1C">
        <w:rPr>
          <w:rStyle w:val="normaltextrun1"/>
          <w:rFonts w:ascii="Arial" w:hAnsi="Arial" w:cs="Arial"/>
          <w:sz w:val="22"/>
          <w:szCs w:val="22"/>
        </w:rPr>
        <w:fldChar w:fldCharType="end"/>
      </w:r>
      <w:r w:rsidRPr="005D3C1C">
        <w:rPr>
          <w:rStyle w:val="normaltextrun1"/>
          <w:rFonts w:ascii="Arial" w:hAnsi="Arial" w:cs="Arial"/>
          <w:sz w:val="22"/>
          <w:szCs w:val="22"/>
        </w:rPr>
        <w:t xml:space="preserve"> and has </w:t>
      </w:r>
      <w:r w:rsidRPr="005D3C1C">
        <w:rPr>
          <w:rStyle w:val="eop"/>
          <w:rFonts w:ascii="Arial" w:hAnsi="Arial" w:cs="Arial"/>
          <w:color w:val="000000"/>
          <w:sz w:val="22"/>
          <w:szCs w:val="22"/>
        </w:rPr>
        <w:t>shown to r</w:t>
      </w:r>
      <w:r w:rsidRPr="005D3C1C">
        <w:rPr>
          <w:rStyle w:val="normaltextrun1"/>
          <w:rFonts w:ascii="Arial" w:hAnsi="Arial" w:cs="Arial"/>
          <w:color w:val="000000"/>
          <w:sz w:val="22"/>
          <w:szCs w:val="22"/>
        </w:rPr>
        <w:t>educe total mortality in the UK</w:t>
      </w:r>
      <w:r w:rsidR="00A02AE6">
        <w:rPr>
          <w:rStyle w:val="normaltextrun1"/>
          <w:rFonts w:ascii="Arial" w:hAnsi="Arial" w:cs="Arial"/>
          <w:color w:val="000000"/>
          <w:sz w:val="22"/>
          <w:szCs w:val="22"/>
        </w:rPr>
        <w:t xml:space="preserve"> </w:t>
      </w:r>
      <w:r w:rsidRPr="005D3C1C">
        <w:rPr>
          <w:rFonts w:ascii="Arial" w:hAnsi="Arial" w:cs="Arial"/>
          <w:sz w:val="22"/>
          <w:szCs w:val="22"/>
        </w:rPr>
        <w:fldChar w:fldCharType="begin" w:fldLock="1"/>
      </w:r>
      <w:r w:rsidR="00A24E5C">
        <w:rPr>
          <w:rFonts w:ascii="Arial" w:hAnsi="Arial" w:cs="Arial"/>
          <w:sz w:val="22"/>
          <w:szCs w:val="22"/>
        </w:rPr>
        <w:instrText>ADDIN CSL_CITATION {"citationItems":[{"id":"ITEM-1","itemData":{"DOI":"10.1111/acps.12989","ISSN":"16000447","abstract":"OBJECTIVE Large-scale epidemiological studies have demonstrated a protective effect of clozapine on mortality in people with schizophrenia. Clozapine is reserved for use in patients with treatment-resistant schizophrenia (TRS), but evidence of clozapine's effect on mortality exclusively within TRS samples is inconclusive. Hence, we aimed to investigate the effect of clozapine use on all-cause mortality in TRS patients. METHODS A historical patient cohort sample of 2837 patients, who met criteria for TRS between 1 Jan 2008 and 1 Jan 2016, were selected from the South London and Maudsley NHS Foundation Trust (SLAM) electronic health records (EHR). The national Zaponex Treatment Access System (ZTAS) mandatory monitoring system linked to the SLAM EHR was used to distinguish which patients were initiated on clozapine (n = 1025). Cox proportional hazard models were used, adjusting for sociodemographics, clinical monitoring, mental and physical illness severity and functional status. RESULTS After controlling for potential confounders, the protective effect of clozapine on all-cause mortality was significant (adjusted hazard ratio 0.61; 95% confidence interval 0.38-0.97; P = 0.04). CONCLUSIONS Clozapine reduces the risk of mortality in patients who meet criteria for TRS. We provide further evidence that improving access to clozapine in TRS is likely to reduce the mortality gap in schizophrenia.","author":[{"dropping-particle":"","family":"Cho","given":"J.","non-dropping-particle":"","parse-names":false,"suffix":""},{"dropping-particle":"","family":"Hayes","given":"R. D.","non-dropping-particle":"","parse-names":false,"suffix":""},{"dropping-particle":"","family":"Jewell","given":"A.","non-dropping-particle":"","parse-names":false,"suffix":""},{"dropping-particle":"","family":"Kadra","given":"G.","non-dropping-particle":"","parse-names":false,"suffix":""},{"dropping-particle":"","family":"Shetty","given":"H.","non-dropping-particle":"","parse-names":false,"suffix":""},{"dropping-particle":"","family":"MacCabe","given":"J. H.","non-dropping-particle":"","parse-names":false,"suffix":""},{"dropping-particle":"","family":"Downs","given":"J.","non-dropping-particle":"","parse-names":false,"suffix":""}],"container-title":"Acta Psychiatrica Scandinavica","id":"ITEM-1","issued":{"date-parts":[["2018"]]},"title":"Clozapine and all-cause mortality in treatment-resistant schizophrenia: a historical cohort study","type":"article-newspaper"},"uris":["http://www.mendeley.com/documents/?uuid=a75307f2-3d12-4bf8-b4b7-1d044cdf9a0c","http://www.mendeley.com/documents/?uuid=af2bbb0f-f3f6-472a-bfb5-9da1aa24800b"]}],"mendeley":{"formattedCitation":"(Cho et al., 2018a)","plainTextFormattedCitation":"(Cho et al., 2018a)","previouslyFormattedCitation":"(Cho et al., 2018a)"},"properties":{"noteIndex":0},"schema":"https://github.com/citation-style-language/schema/raw/master/csl-citation.json"}</w:instrText>
      </w:r>
      <w:r w:rsidRPr="005D3C1C">
        <w:rPr>
          <w:rFonts w:ascii="Arial" w:hAnsi="Arial" w:cs="Arial"/>
          <w:sz w:val="22"/>
          <w:szCs w:val="22"/>
        </w:rPr>
        <w:fldChar w:fldCharType="separate"/>
      </w:r>
      <w:bookmarkStart w:id="4" w:name="__Fieldmark__103_3862467544"/>
      <w:bookmarkStart w:id="5" w:name="__Fieldmark__99_2113833669"/>
      <w:bookmarkStart w:id="6" w:name="__Fieldmark__94_2119414058"/>
      <w:bookmarkStart w:id="7" w:name="__Fieldmark__105_240126034"/>
      <w:r w:rsidR="006C099B" w:rsidRPr="006C099B">
        <w:rPr>
          <w:rStyle w:val="normaltextrun1"/>
          <w:rFonts w:ascii="Arial" w:hAnsi="Arial" w:cs="Arial"/>
          <w:noProof/>
          <w:color w:val="000000"/>
          <w:sz w:val="22"/>
          <w:szCs w:val="22"/>
        </w:rPr>
        <w:t>(Cho et al., 2018a)</w:t>
      </w:r>
      <w:r w:rsidRPr="005D3C1C">
        <w:rPr>
          <w:rFonts w:ascii="Arial" w:hAnsi="Arial" w:cs="Arial"/>
          <w:sz w:val="22"/>
          <w:szCs w:val="22"/>
        </w:rPr>
        <w:fldChar w:fldCharType="end"/>
      </w:r>
      <w:r w:rsidRPr="005D3C1C">
        <w:rPr>
          <w:rFonts w:ascii="Arial" w:hAnsi="Arial" w:cs="Arial"/>
          <w:sz w:val="22"/>
          <w:szCs w:val="22"/>
        </w:rPr>
        <w:fldChar w:fldCharType="begin" w:fldLock="1"/>
      </w:r>
      <w:r w:rsidR="00A24E5C">
        <w:rPr>
          <w:rFonts w:ascii="Arial" w:hAnsi="Arial" w:cs="Arial"/>
          <w:sz w:val="22"/>
          <w:szCs w:val="22"/>
        </w:rPr>
        <w:instrText>ADDIN CSL_CITATION {"citationItems":[{"id":"ITEM-1","itemData":{"DOI":"10.1093/schbul/sbu120","ISSN":"17451701","abstract":"Clozapine can cause severe adverse effects yet it is associated with reduced mortality risk. We test the hypothesis this association is due to increased clinical monitoring and investigate risk of premature mortality from natural causes. We identified 14 754 individuals (879 deaths) with serious mental illness (SMI) including schizophrenia, schizoaffective and bipolar disorders aged ≥ 15 years in a large specialist mental healthcare case register linked to national mortality tracing. In this cohort study we modeled the effect of clozapine on mortality over a 5-year period (2007-2011) using Cox regression. Individuals prescribed clozapine had more severe psychopathology and poorer functional status. Many of the exposures associated with clozapine use were themselves risk factors for increased mortality. However, we identified a strong association between being prescribed clozapine and lower mortality which persisted after controlling for a broad range of potential confounders including clinical monitoring and markers of disease severity (adjusted hazard ratio 0.4; 95% CI 0.2-0.7; p = .001). This association remained after restricting the sample to those with a diagnosis of schizophrenia or those taking antipsychotics and after using propensity scores to reduce the impact of confounding by indication. Among individuals with SMI, those prescribed clozapine had a reduced risk of mortality due to both natural and unnatural causes. We found no evidence to indicate that lower mortality associated with clozapine in SMI was due to increased clinical monitoring or confounding factors. This is the first study to report an association between clozapine and reduced risk of mortality from natural causes.","author":[{"dropping-particle":"","family":"Hayes","given":"Richard D.","non-dropping-particle":"","parse-names":false,"suffix":""},{"dropping-particle":"","family":"Downs","given":"Johnny","non-dropping-particle":"","parse-names":false,"suffix":""},{"dropping-particle":"","family":"Chang","given":"Chin Kuo","non-dropping-particle":"","parse-names":false,"suffix":""},{"dropping-particle":"","family":"Jackson","given":"Richard G.","non-dropping-particle":"","parse-names":false,"suffix":""},{"dropping-particle":"","family":"Shetty","given":"Hitesh","non-dropping-particle":"","parse-names":false,"suffix":""},{"dropping-particle":"","family":"Broadbent","given":"Matthew","non-dropping-particle":"","parse-names":false,"suffix":""},{"dropping-particle":"","family":"Hotopf","given":"Matthew","non-dropping-particle":"","parse-names":false,"suffix":""},{"dropping-particle":"","family":"Stewart","given":"Robert","non-dropping-particle":"","parse-names":false,"suffix":""}],"container-title":"Schizophrenia Bulletin","id":"ITEM-1","issued":{"date-parts":[["2015"]]},"title":"The effect of clozapine on premature mortality: An assessment of clinical monitoring and other potential confounders","type":"article-journal"},"uris":["http://www.mendeley.com/documents/?uuid=6ae6527c-af3a-4fef-94c9-3b5b11e3b7e0","http://www.mendeley.com/documents/?uuid=a2761290-00ac-4fac-837b-9ab0f60745aa"]}],"mendeley":{"formattedCitation":"(Hayes et al., 2015a)","plainTextFormattedCitation":"(Hayes et al., 2015a)","previouslyFormattedCitation":"(Hayes et al., 2015a)"},"properties":{"noteIndex":0},"schema":"https://github.com/citation-style-language/schema/raw/master/csl-citation.json"}</w:instrText>
      </w:r>
      <w:r w:rsidRPr="005D3C1C">
        <w:rPr>
          <w:rFonts w:ascii="Arial" w:hAnsi="Arial" w:cs="Arial"/>
          <w:sz w:val="22"/>
          <w:szCs w:val="22"/>
        </w:rPr>
        <w:fldChar w:fldCharType="separate"/>
      </w:r>
      <w:bookmarkStart w:id="8" w:name="__Fieldmark__114_3862467544"/>
      <w:bookmarkStart w:id="9" w:name="__Fieldmark__107_2113833669"/>
      <w:bookmarkStart w:id="10" w:name="__Fieldmark__99_2119414058"/>
      <w:bookmarkStart w:id="11" w:name="__Fieldmark__109_240126034"/>
      <w:bookmarkEnd w:id="4"/>
      <w:r w:rsidR="006C099B" w:rsidRPr="006C099B">
        <w:rPr>
          <w:rStyle w:val="normaltextrun1"/>
          <w:rFonts w:ascii="Arial" w:hAnsi="Arial" w:cs="Arial"/>
          <w:noProof/>
          <w:color w:val="000000"/>
          <w:sz w:val="22"/>
          <w:szCs w:val="22"/>
        </w:rPr>
        <w:t>(Hayes et al., 2015a)</w:t>
      </w:r>
      <w:r w:rsidRPr="005D3C1C">
        <w:rPr>
          <w:rFonts w:ascii="Arial" w:hAnsi="Arial" w:cs="Arial"/>
          <w:sz w:val="22"/>
          <w:szCs w:val="22"/>
        </w:rPr>
        <w:fldChar w:fldCharType="end"/>
      </w:r>
      <w:bookmarkEnd w:id="5"/>
      <w:bookmarkEnd w:id="6"/>
      <w:bookmarkEnd w:id="7"/>
      <w:bookmarkEnd w:id="8"/>
      <w:bookmarkEnd w:id="9"/>
      <w:bookmarkEnd w:id="10"/>
      <w:bookmarkEnd w:id="11"/>
      <w:r w:rsidRPr="005D3C1C">
        <w:rPr>
          <w:rStyle w:val="normaltextrun1"/>
          <w:rFonts w:ascii="Arial" w:hAnsi="Arial" w:cs="Arial"/>
          <w:color w:val="000000"/>
          <w:sz w:val="22"/>
          <w:szCs w:val="22"/>
        </w:rPr>
        <w:t xml:space="preserve"> and worldwide</w:t>
      </w:r>
      <w:r w:rsidR="00A24E5C">
        <w:rPr>
          <w:rStyle w:val="normaltextrun1"/>
          <w:rFonts w:ascii="Arial" w:hAnsi="Arial" w:cs="Arial"/>
          <w:color w:val="000000"/>
          <w:sz w:val="22"/>
          <w:szCs w:val="22"/>
        </w:rPr>
        <w:t xml:space="preserve"> </w:t>
      </w:r>
      <w:r w:rsidR="00A24E5C">
        <w:rPr>
          <w:rStyle w:val="normaltextrun1"/>
          <w:rFonts w:ascii="Arial" w:hAnsi="Arial" w:cs="Arial"/>
          <w:color w:val="000000"/>
          <w:sz w:val="22"/>
          <w:szCs w:val="22"/>
        </w:rPr>
        <w:fldChar w:fldCharType="begin" w:fldLock="1"/>
      </w:r>
      <w:r w:rsidR="00157441">
        <w:rPr>
          <w:rStyle w:val="normaltextrun1"/>
          <w:rFonts w:ascii="Arial" w:hAnsi="Arial" w:cs="Arial"/>
          <w:color w:val="000000"/>
          <w:sz w:val="22"/>
          <w:szCs w:val="22"/>
        </w:rPr>
        <w:instrText>ADDIN CSL_CITATION {"citationItems":[{"id":"ITEM-1","itemData":{"DOI":"10.1016/S0140-6736(09)60742-X","ISBN":"0140-6736","ISSN":"01406736","PMID":"19595447","abstract":"Background: The introduction of second-generation antipsychotic drugs during the 1990s is widely believed to have adversely affected mortality of patients with schizophrenia. Our aim was to establish the long-term contribution of antipsychotic drugs to mortality in such patients. Methods: Nationwide registers in Finland were used to compare the cause-specific mortality in 66 881 patients versus the total population (5·2 million) between 1996, and 2006, and to link these data with the use of antipsychotic drugs. We measured the all-cause mortality of patients with schizophrenia in outpatient care during current and cumulative exposure to any antipsychotic drug versus no use of these drugs, and exposure to the six most frequently used antipsychotic drugs compared with perphenazine use. Findings: Although the proportional use of second-generation antipsychotic drugs rose from 13% to 64% during follow-up, the gap in life expectancy between patients with schizophrenia and the general population did not widen between 1996 (25 years), and 2006 (22·5 years). Compared with current use of perphenazine, the highest risk for overall mortality was recorded for quetiapine (adjusted hazard ratio [HR] 1·41, 95% CI 1·09-1·82), and the lowest risk for clozapine (0·74, 0·60-0·91; p=0·0045 for the difference between clozapine vs perphenazine, and p&lt;0·0001 for all other antipsychotic drugs). Long-term cumulative exposure (7-11 years) to any antipsychotic treatment was associated with lower mortality than was no drug use (0·81, 0·77-0·84). In patients with one or more filled prescription for an antipsychotic drug, an inverse relation between mortality and duration of cumulative use was noted (HR for trend per exposure year 0·991; 0·985-0·997). Interpretation: Long-term treatment with antipsychotic drugs is associated with lower mortality compared with no antipsychotic use. Second-generation drugs are a highly heterogeneous group, and clozapine seems to be associated with a substantially lower mortality than any other antipsychotics. Restrictions on the use of clozapine should be reassessed. Funding: Annual EVO Financing (Special government subsidies from the Ministry of Health and Welfare, Finland). © 2009 Elsevier Ltd. All rights reserved.","author":[{"dropping-particle":"","family":"Tiihonen","given":"Jari","non-dropping-particle":"","parse-names":false,"suffix":""},{"dropping-particle":"","family":"Lönnqvist","given":"Jouko","non-dropping-particle":"","parse-names":false,"suffix":""},{"dropping-particle":"","family":"Wahlbeck","given":"Kristian","non-dropping-particle":"","parse-names":false,"suffix":""},{"dropping-particle":"","family":"Klaukka","given":"Timo","non-dropping-particle":"","parse-names":false,"suffix":""},{"dropping-particle":"","family":"Niskanen","given":"Leo","non-dropping-particle":"","parse-names":false,"suffix":""},{"dropping-particle":"","family":"Tanskanen","given":"Antti","non-dropping-particle":"","parse-names":false,"suffix":""},{"dropping-particle":"","family":"Haukka","given":"Jari","non-dropping-particle":"","parse-names":false,"suffix":""}],"container-title":"The Lancet","id":"ITEM-1","issue":"9690","issued":{"date-parts":[["2009"]]},"page":"620-627","title":"11-year follow-up of mortality in patients with schizophrenia: a population-based cohort study (FIN11 study)","type":"article-journal","volume":"374"},"uris":["http://www.mendeley.com/documents/?uuid=cb3e24f2-7e6d-4fa2-861a-7a1f765f221a"]}],"mendeley":{"formattedCitation":"(Tiihonen et al., 2009)","plainTextFormattedCitation":"(Tiihonen et al., 2009)","previouslyFormattedCitation":"(Tiihonen et al., 2009)"},"properties":{"noteIndex":0},"schema":"https://github.com/citation-style-language/schema/raw/master/csl-citation.json"}</w:instrText>
      </w:r>
      <w:r w:rsidR="00A24E5C">
        <w:rPr>
          <w:rStyle w:val="normaltextrun1"/>
          <w:rFonts w:ascii="Arial" w:hAnsi="Arial" w:cs="Arial"/>
          <w:color w:val="000000"/>
          <w:sz w:val="22"/>
          <w:szCs w:val="22"/>
        </w:rPr>
        <w:fldChar w:fldCharType="separate"/>
      </w:r>
      <w:r w:rsidR="00A24E5C" w:rsidRPr="00A24E5C">
        <w:rPr>
          <w:rStyle w:val="normaltextrun1"/>
          <w:rFonts w:ascii="Arial" w:hAnsi="Arial" w:cs="Arial"/>
          <w:noProof/>
          <w:color w:val="000000"/>
          <w:sz w:val="22"/>
          <w:szCs w:val="22"/>
        </w:rPr>
        <w:t>(Tiihonen et al., 2009)</w:t>
      </w:r>
      <w:r w:rsidR="00A24E5C">
        <w:rPr>
          <w:rStyle w:val="normaltextrun1"/>
          <w:rFonts w:ascii="Arial" w:hAnsi="Arial" w:cs="Arial"/>
          <w:color w:val="000000"/>
          <w:sz w:val="22"/>
          <w:szCs w:val="22"/>
        </w:rPr>
        <w:fldChar w:fldCharType="end"/>
      </w:r>
      <w:r w:rsidR="005D3C1C">
        <w:rPr>
          <w:rFonts w:ascii="Arial" w:hAnsi="Arial" w:cs="Arial"/>
          <w:sz w:val="22"/>
          <w:szCs w:val="22"/>
        </w:rPr>
        <w:t>,</w:t>
      </w:r>
      <w:r w:rsidRPr="005D3C1C">
        <w:rPr>
          <w:rStyle w:val="normaltextrun1"/>
          <w:rFonts w:ascii="Arial" w:hAnsi="Arial" w:cs="Arial"/>
          <w:color w:val="000000"/>
          <w:sz w:val="22"/>
          <w:szCs w:val="22"/>
        </w:rPr>
        <w:t xml:space="preserve"> with general acceptance that the benefits outweigh the risks</w:t>
      </w:r>
      <w:r w:rsidR="00113E00">
        <w:rPr>
          <w:rStyle w:val="normaltextrun1"/>
          <w:rFonts w:ascii="Arial" w:hAnsi="Arial" w:cs="Arial"/>
          <w:color w:val="000000"/>
          <w:sz w:val="22"/>
          <w:szCs w:val="22"/>
        </w:rPr>
        <w:t xml:space="preserve"> </w:t>
      </w:r>
      <w:r w:rsidRPr="005D3C1C">
        <w:rPr>
          <w:rFonts w:ascii="Arial" w:hAnsi="Arial" w:cs="Arial"/>
          <w:sz w:val="22"/>
          <w:szCs w:val="22"/>
        </w:rPr>
        <w:fldChar w:fldCharType="begin" w:fldLock="1"/>
      </w:r>
      <w:r w:rsidR="00A24E5C">
        <w:rPr>
          <w:rFonts w:ascii="Arial" w:hAnsi="Arial" w:cs="Arial"/>
          <w:sz w:val="22"/>
          <w:szCs w:val="22"/>
        </w:rPr>
        <w:instrText>ADDIN CSL_CITATION {"citationItems":[{"id":"ITEM-1","itemData":{"DOI":"10.1016/S0165-1781(01)00234-7","ISBN":"0165-1781 (Print)\\n0165-1781 (Linking)","ISSN":"01651781","PMID":"11311931","abstract":"Many anti-psychotic medications produce marked weight gain. In this study, we estimate the expected impact of degrees of antipsychotic-induced weight gain on selected mortality rate and incidence rates of impaired glucose tolerance (IGT) and hypertension (HTN) among US adults. Using raw data from 5209 respondents from the Framingham Heart Study's public use data set and national statistics on population demographics, we estimated the expected effect of weight gain on number of deaths and incident cases of IGT and HTN for a 10-year period commencing in 1999. Results indicated that the estimated deleterious effects of weight gain were greater for people with higher BMIs at baseline, for greater degrees of weight gain, for men than women, and for older than younger persons. Because there is a 'U-shaped' relation between BMI and mortality rate, small to moderate weight gains among people with baseline BMIs less than 23 were predicted to decrease mortality rates, whereas weight gains among people with baseline BMIs above that level were expected to increase mortality rates. However, the relations of IGT and HTN with BMI are monotonically increasing. Thus, the anticipated effect of weight gain on IGT and HTN is deleterious regardless of baseline BMI. Because it is unclear whether the beneficial effects of the atypical agents on, for example, reducing suicide mortality, outweigh the putative increase in mortality due to weight gain, we estimate the beneficial effects due to decreased death from suicide with the potential deleterious effects due to a 10-kg weight gain. We found that 492 suicide deaths per 100000 schizophrenic patients would be prevented over 10 years with the use of clozapine compared to 416 additional deaths due to antipsychotic induced weight gain. Although this estimate is rather crude and should be seen only as offering a sense of the likely situation, results suggest that the lives saved via clozapine may essentially be offset by the deaths due to weight gain. As we discuss, it is not possible to provide definitive estimates of the effect of antipsychotic-induced weight gain on health and mortality, but our findings suggest that the magnitude of weight gains induced by many antipsychotic agents is likely to have important deleterious effects on mortality and health. © 2001 Elsevier Science Ireland Ltd.","author":[{"dropping-particle":"","family":"Fontaine","given":"Kevin R.","non-dropping-particle":"","parse-names":false,"suffix":""},{"dropping-particle":"","family":"Heo","given":"Moonseong","non-dropping-particle":"","parse-names":false,"suffix":""},{"dropping-particle":"","family":"Harrigan","given":"Edmund P.","non-dropping-particle":"","parse-names":false,"suffix":""},{"dropping-particle":"","family":"Shear","given":"Charles L.","non-dropping-particle":"","parse-names":false,"suffix":""},{"dropping-particle":"","family":"Lakshminarayanan","given":"Mani","non-dropping-particle":"","parse-names":false,"suffix":""},{"dropping-particle":"","family":"Casey","given":"Daniel E.","non-dropping-particle":"","parse-names":false,"suffix":""},{"dropping-particle":"","family":"Allison","given":"David B.","non-dropping-particle":"","parse-names":false,"suffix":""}],"container-title":"Psychiatry Research","id":"ITEM-1","issue":"3","issued":{"date-parts":[["2001"]]},"page":"277-288","title":"Estimating the consequences of anti-psychotic induced weight gain on health and mortality rate","type":"article-journal","volume":"101"},"uris":["http://www.mendeley.com/documents/?uuid=34831186-8ebf-43dd-ad02-6b1ff650d260"]}],"mendeley":{"formattedCitation":"(Fontaine et al., 2001)","plainTextFormattedCitation":"(Fontaine et al., 2001)","previouslyFormattedCitation":"(Fontaine et al., 2001)"},"properties":{"noteIndex":0},"schema":"https://github.com/citation-style-language/schema/raw/master/csl-citation.json"}</w:instrText>
      </w:r>
      <w:r w:rsidRPr="005D3C1C">
        <w:rPr>
          <w:rFonts w:ascii="Arial" w:hAnsi="Arial" w:cs="Arial"/>
          <w:sz w:val="22"/>
          <w:szCs w:val="22"/>
        </w:rPr>
        <w:fldChar w:fldCharType="separate"/>
      </w:r>
      <w:bookmarkStart w:id="12" w:name="__Fieldmark__152_3862467544"/>
      <w:bookmarkStart w:id="13" w:name="__Fieldmark__136_2113833669"/>
      <w:bookmarkStart w:id="14" w:name="__Fieldmark__119_2119414058"/>
      <w:bookmarkStart w:id="15" w:name="__Fieldmark__119_240126034"/>
      <w:r w:rsidR="006C099B" w:rsidRPr="006C099B">
        <w:rPr>
          <w:rStyle w:val="normaltextrun1"/>
          <w:rFonts w:ascii="Arial" w:hAnsi="Arial" w:cs="Arial"/>
          <w:noProof/>
          <w:color w:val="000000"/>
          <w:sz w:val="22"/>
          <w:szCs w:val="22"/>
        </w:rPr>
        <w:t>(Fontaine et al., 2001)</w:t>
      </w:r>
      <w:r w:rsidRPr="005D3C1C">
        <w:rPr>
          <w:rFonts w:ascii="Arial" w:hAnsi="Arial" w:cs="Arial"/>
          <w:sz w:val="22"/>
          <w:szCs w:val="22"/>
        </w:rPr>
        <w:fldChar w:fldCharType="end"/>
      </w:r>
      <w:bookmarkEnd w:id="12"/>
      <w:bookmarkEnd w:id="13"/>
      <w:bookmarkEnd w:id="14"/>
      <w:bookmarkEnd w:id="15"/>
      <w:r w:rsidRPr="005D3C1C">
        <w:rPr>
          <w:rStyle w:val="eop"/>
          <w:rFonts w:ascii="Arial" w:hAnsi="Arial" w:cs="Arial"/>
          <w:color w:val="000000"/>
          <w:sz w:val="22"/>
          <w:szCs w:val="22"/>
        </w:rPr>
        <w:t xml:space="preserve">. </w:t>
      </w:r>
      <w:r w:rsidR="003700AC" w:rsidRPr="005D3C1C">
        <w:rPr>
          <w:rStyle w:val="normaltextrun1"/>
          <w:rFonts w:ascii="Arial" w:hAnsi="Arial" w:cs="Arial"/>
          <w:sz w:val="22"/>
          <w:szCs w:val="22"/>
        </w:rPr>
        <w:t>Re</w:t>
      </w:r>
      <w:r w:rsidRPr="005D3C1C">
        <w:rPr>
          <w:rStyle w:val="normaltextrun1"/>
          <w:rFonts w:ascii="Arial" w:hAnsi="Arial" w:cs="Arial"/>
          <w:sz w:val="22"/>
          <w:szCs w:val="22"/>
        </w:rPr>
        <w:t>cently, clozapine</w:t>
      </w:r>
      <w:r w:rsidRPr="005D3C1C">
        <w:rPr>
          <w:rStyle w:val="normaltextrun1"/>
          <w:rFonts w:ascii="Arial" w:hAnsi="Arial" w:cs="Arial"/>
          <w:color w:val="000000"/>
          <w:sz w:val="22"/>
          <w:szCs w:val="22"/>
        </w:rPr>
        <w:t xml:space="preserve"> has be</w:t>
      </w:r>
      <w:r w:rsidR="006E5159" w:rsidRPr="005D3C1C">
        <w:rPr>
          <w:rStyle w:val="normaltextrun1"/>
          <w:rFonts w:ascii="Arial" w:hAnsi="Arial" w:cs="Arial"/>
          <w:color w:val="000000"/>
          <w:sz w:val="22"/>
          <w:szCs w:val="22"/>
        </w:rPr>
        <w:t>come</w:t>
      </w:r>
      <w:r w:rsidRPr="005D3C1C">
        <w:rPr>
          <w:rStyle w:val="normaltextrun1"/>
          <w:rFonts w:ascii="Arial" w:hAnsi="Arial" w:cs="Arial"/>
          <w:color w:val="000000"/>
          <w:sz w:val="22"/>
          <w:szCs w:val="22"/>
        </w:rPr>
        <w:t xml:space="preserve"> a source of controversy, with reports of unexpected and potentially preventable deaths</w:t>
      </w:r>
      <w:r w:rsidR="00A02AE6">
        <w:rPr>
          <w:rStyle w:val="normaltextrun1"/>
          <w:rFonts w:ascii="Arial" w:hAnsi="Arial" w:cs="Arial"/>
          <w:color w:val="000000"/>
          <w:sz w:val="22"/>
          <w:szCs w:val="22"/>
        </w:rPr>
        <w:t xml:space="preserve"> </w:t>
      </w:r>
      <w:r w:rsidRPr="005D3C1C">
        <w:rPr>
          <w:rFonts w:ascii="Arial" w:hAnsi="Arial" w:cs="Arial"/>
          <w:sz w:val="22"/>
          <w:szCs w:val="22"/>
        </w:rPr>
        <w:fldChar w:fldCharType="begin" w:fldLock="1"/>
      </w:r>
      <w:r w:rsidR="00A24E5C">
        <w:rPr>
          <w:rFonts w:ascii="Arial" w:hAnsi="Arial" w:cs="Arial"/>
          <w:sz w:val="22"/>
          <w:szCs w:val="22"/>
        </w:rPr>
        <w:instrText>ADDIN CSL_CITATION {"citationItems":[{"id":"ITEM-1","itemData":{"DOI":"10.1136/bmj.k5421","ISSN":"17561833","author":[{"dropping-particle":"","family":"Dyer","given":"Clare","non-dropping-particle":"","parse-names":false,"suffix":""}],"container-title":"BMJ (Clinical research ed.)","id":"ITEM-1","issued":{"date-parts":[["2018"]]},"title":"Coroners warn health secretary of clozapine deaths","type":"article-journal"},"uris":["http://www.mendeley.com/documents/?uuid=69c76c44-fb46-4cf2-8929-036b18e36700"]}],"mendeley":{"formattedCitation":"(Dyer, 2018)","plainTextFormattedCitation":"(Dyer, 2018)","previouslyFormattedCitation":"(Dyer, 2018)"},"properties":{"noteIndex":0},"schema":"https://github.com/citation-style-language/schema/raw/master/csl-citation.json"}</w:instrText>
      </w:r>
      <w:r w:rsidRPr="005D3C1C">
        <w:rPr>
          <w:rFonts w:ascii="Arial" w:hAnsi="Arial" w:cs="Arial"/>
          <w:sz w:val="22"/>
          <w:szCs w:val="22"/>
        </w:rPr>
        <w:fldChar w:fldCharType="separate"/>
      </w:r>
      <w:bookmarkStart w:id="16" w:name="__Fieldmark__169_3862467544"/>
      <w:bookmarkStart w:id="17" w:name="__Fieldmark__149_2113833669"/>
      <w:bookmarkStart w:id="18" w:name="__Fieldmark__128_2119414058"/>
      <w:bookmarkStart w:id="19" w:name="__Fieldmark__127_240126034"/>
      <w:r w:rsidR="006C099B" w:rsidRPr="006C099B">
        <w:rPr>
          <w:rStyle w:val="normaltextrun1"/>
          <w:rFonts w:ascii="Arial" w:hAnsi="Arial" w:cs="Arial"/>
          <w:noProof/>
          <w:color w:val="000000"/>
          <w:sz w:val="22"/>
          <w:szCs w:val="22"/>
        </w:rPr>
        <w:t>(Dyer, 2018)</w:t>
      </w:r>
      <w:r w:rsidRPr="005D3C1C">
        <w:rPr>
          <w:rFonts w:ascii="Arial" w:hAnsi="Arial" w:cs="Arial"/>
          <w:sz w:val="22"/>
          <w:szCs w:val="22"/>
        </w:rPr>
        <w:fldChar w:fldCharType="end"/>
      </w:r>
      <w:bookmarkEnd w:id="16"/>
      <w:bookmarkEnd w:id="17"/>
      <w:bookmarkEnd w:id="18"/>
      <w:bookmarkEnd w:id="19"/>
      <w:r w:rsidRPr="005D3C1C">
        <w:rPr>
          <w:rStyle w:val="normaltextrun1"/>
          <w:rFonts w:ascii="Arial" w:hAnsi="Arial" w:cs="Arial"/>
          <w:color w:val="000000"/>
          <w:sz w:val="22"/>
          <w:szCs w:val="22"/>
        </w:rPr>
        <w:t>. Clozapine-related deaths might be caused by the long term consequences of its metabolic side effects, such as</w:t>
      </w:r>
      <w:r w:rsidRPr="005D3C1C">
        <w:rPr>
          <w:rStyle w:val="normaltextrun1"/>
          <w:rFonts w:ascii="Arial" w:hAnsi="Arial" w:cs="Arial"/>
          <w:sz w:val="22"/>
          <w:szCs w:val="22"/>
        </w:rPr>
        <w:t xml:space="preserve"> weight gain, diabetes and </w:t>
      </w:r>
      <w:r w:rsidR="00DD678C" w:rsidRPr="005D3C1C">
        <w:rPr>
          <w:rStyle w:val="normaltextrun1"/>
          <w:rFonts w:ascii="Arial" w:hAnsi="Arial" w:cs="Arial"/>
          <w:sz w:val="22"/>
          <w:szCs w:val="22"/>
        </w:rPr>
        <w:t>dyslipidaemia</w:t>
      </w:r>
      <w:r w:rsidR="00A02AE6">
        <w:rPr>
          <w:rStyle w:val="normaltextrun1"/>
          <w:rFonts w:ascii="Arial" w:hAnsi="Arial" w:cs="Arial"/>
          <w:sz w:val="22"/>
          <w:szCs w:val="22"/>
        </w:rPr>
        <w:t xml:space="preserve"> </w:t>
      </w:r>
      <w:r w:rsidR="005D3C1C" w:rsidRPr="005D3C1C">
        <w:rPr>
          <w:rStyle w:val="normaltextrun1"/>
          <w:rFonts w:ascii="Arial" w:hAnsi="Arial" w:cs="Arial"/>
          <w:sz w:val="22"/>
          <w:szCs w:val="22"/>
        </w:rPr>
        <w:fldChar w:fldCharType="begin" w:fldLock="1"/>
      </w:r>
      <w:r w:rsidR="00A24E5C">
        <w:rPr>
          <w:rStyle w:val="normaltextrun1"/>
          <w:rFonts w:ascii="Arial" w:hAnsi="Arial" w:cs="Arial"/>
          <w:sz w:val="22"/>
          <w:szCs w:val="22"/>
        </w:rPr>
        <w:instrText>ADDIN CSL_CITATION {"citationItems":[{"id":"ITEM-1","itemData":{"DOI":"10.1016/S0140-6736(13)60733-3","ISBN":"1474-547X (Electronic)\\r0140-6736 (Linking)","ISSN":"1474547X","PMID":"23810019","abstract":"Background: The question of which antipsychotic drug should be preferred for the treatment of schizophrenia is controversial, and conventional pairwise meta-analyses cannot provide a hierarchy based on the randomised evidence. We aimed to integrate the available evidence to create hierarchies of the comparative efficacy, risk of all-cause discontinuation, and major side-effects of antipsychotic drugs. Methods: We did a Bayesian-framework, multiple-treatments meta-analysis (which uses both direct and indirect comparisons) of randomised controlled trials to compare 15 antipsychotic drugs and placebo in the acute treatment of schizophrenia. We searched the Cochrane Schizophrenia Group's specialised register, Medline, Embase, the Cochrane Central Register of Controlled Trials, and ClinicalTrials.gov for reports published up to Sept 1, 2012. Search results were supplemented by reports from the US Food and Drug Administration website and by data requested from pharmaceutical companies. Blinded, randomised controlled trials of patients with schizophrenia or related disorders were eligible. We excluded trials done in patients with predominant negative symptoms, concomitant medical illness, or treatment resistance, and those done in stable patients. Data for seven outcomes were independently extracted by two reviewers. The primary outcome was efficacy, as measured by mean overall change in symptoms. We also examined all-cause discontinuation, weight gain, extrapyramidal side-effects, prolactin increase, QTc prolongation, and sedation. Findings: We identified 212 suitable trials, with data for 43 049 participants. All drugs were significantly more effective than placebo. The standardised mean differences with 95% credible intervals were: clozapine 0.88, 0.73-1.03; amisulpride 0.66, 0.53-0.78; olanzapine 0.59, 0.53-0.65; risperidone 0.56, 0.50-0.63; paliperidone 0.50, 0.39-0.60; zotepine 0.49, 0.31-0.66; haloperidol 0.45, 0.39-0.51; quetiapine 0.44, 0.35-0.52; aripiprazole 0.43, 0.34-0.52; sertindole 0.39, 0.26-0.52; ziprasidone 0.39, 0.30-0.49; chlorpromazine 0.38, 0.23-0.54; asenapine 0.38, 0.25-0.51; lurasidone 0.33, 0.21-0.45; and iloperidone 0.33, 0.22-0.43. Odds ratios compared with placebo for all-cause discontinuation ranged from 0.43 for the best drug (amisulpride) to 0.80 for the worst drug (haloperidol); for extrapyramidal side-effects 0.30 (clozapine) to 4.76 (haloperidol); and for sedation 1.42 (amisulpride) to 8.82 (clozapine). Standardised mean diff…","author":[{"dropping-particle":"","family":"Leucht","given":"Stefan","non-dropping-particle":"","parse-names":false,"suffix":""},{"dropping-particle":"","family":"Cipriani","given":"Andrea","non-dropping-particle":"","parse-names":false,"suffix":""},{"dropping-particle":"","family":"Spineli","given":"Loukia","non-dropping-particle":"","parse-names":false,"suffix":""},{"dropping-particle":"","family":"Mavridis","given":"Dimitris","non-dropping-particle":"","parse-names":false,"suffix":""},{"dropping-particle":"","family":"Örey","given":"Deniz","non-dropping-particle":"","parse-names":false,"suffix":""},{"dropping-particle":"","family":"Richter","given":"Franziska","non-dropping-particle":"","parse-names":false,"suffix":""},{"dropping-particle":"","family":"Samara","given":"Myrto","non-dropping-particle":"","parse-names":false,"suffix":""},{"dropping-particle":"","family":"Barbui","given":"Corrado","non-dropping-particle":"","parse-names":false,"suffix":""},{"dropping-particle":"","family":"Engel","given":"Rolf R.","non-dropping-particle":"","parse-names":false,"suffix":""},{"dropping-particle":"","family":"Geddes","given":"John R.","non-dropping-particle":"","parse-names":false,"suffix":""},{"dropping-particle":"","family":"Kissling","given":"Werner","non-dropping-particle":"","parse-names":false,"suffix":""},{"dropping-particle":"","family":"Stapf","given":"Marko Paul","non-dropping-particle":"","parse-names":false,"suffix":""},{"dropping-particle":"","family":"Lässig","given":"Bettina","non-dropping-particle":"","parse-names":false,"suffix":""},{"dropping-particle":"","family":"Salanti","given":"Georgia","non-dropping-particle":"","parse-names":false,"suffix":""},{"dropping-particle":"","family":"Davis","given":"John M.","non-dropping-particle":"","parse-names":false,"suffix":""}],"container-title":"The Lancet","id":"ITEM-1","issue":"9896","issued":{"date-parts":[["2013"]]},"page":"951-962","publisher":"Elsevier Ltd","title":"Comparative efficacy and tolerability of 15 antipsychotic drugs in schizophrenia: A multiple-treatments meta-analysis","type":"article-journal","volume":"382"},"uris":["http://www.mendeley.com/documents/?uuid=635ed460-b1cf-4b9f-815c-f92a4715a63b"]}],"mendeley":{"formattedCitation":"(Leucht et al., 2013)","plainTextFormattedCitation":"(Leucht et al., 2013)","previouslyFormattedCitation":"(Leucht et al., 2013)"},"properties":{"noteIndex":0},"schema":"https://github.com/citation-style-language/schema/raw/master/csl-citation.json"}</w:instrText>
      </w:r>
      <w:r w:rsidR="005D3C1C" w:rsidRPr="005D3C1C">
        <w:rPr>
          <w:rStyle w:val="normaltextrun1"/>
          <w:rFonts w:ascii="Arial" w:hAnsi="Arial" w:cs="Arial"/>
          <w:sz w:val="22"/>
          <w:szCs w:val="22"/>
        </w:rPr>
        <w:fldChar w:fldCharType="separate"/>
      </w:r>
      <w:r w:rsidR="006C099B" w:rsidRPr="006C099B">
        <w:rPr>
          <w:rStyle w:val="normaltextrun1"/>
          <w:rFonts w:ascii="Arial" w:hAnsi="Arial" w:cs="Arial"/>
          <w:noProof/>
          <w:sz w:val="22"/>
          <w:szCs w:val="22"/>
        </w:rPr>
        <w:t>(Leucht et al., 2013)</w:t>
      </w:r>
      <w:r w:rsidR="005D3C1C" w:rsidRPr="005D3C1C">
        <w:rPr>
          <w:rStyle w:val="normaltextrun1"/>
          <w:rFonts w:ascii="Arial" w:hAnsi="Arial" w:cs="Arial"/>
          <w:sz w:val="22"/>
          <w:szCs w:val="22"/>
        </w:rPr>
        <w:fldChar w:fldCharType="end"/>
      </w:r>
      <w:r w:rsidRPr="005D3C1C">
        <w:rPr>
          <w:rStyle w:val="normaltextrun1"/>
          <w:rFonts w:ascii="Arial" w:hAnsi="Arial" w:cs="Arial"/>
          <w:sz w:val="22"/>
          <w:szCs w:val="22"/>
        </w:rPr>
        <w:t>, but also</w:t>
      </w:r>
      <w:r w:rsidRPr="005D3C1C">
        <w:rPr>
          <w:rStyle w:val="eop"/>
          <w:rFonts w:ascii="Arial" w:hAnsi="Arial" w:cs="Arial"/>
          <w:color w:val="000000"/>
          <w:sz w:val="22"/>
          <w:szCs w:val="22"/>
        </w:rPr>
        <w:t xml:space="preserve"> </w:t>
      </w:r>
      <w:r w:rsidR="006E5159" w:rsidRPr="005D3C1C">
        <w:rPr>
          <w:rStyle w:val="eop"/>
          <w:rFonts w:ascii="Arial" w:hAnsi="Arial" w:cs="Arial"/>
          <w:color w:val="000000"/>
          <w:sz w:val="22"/>
          <w:szCs w:val="22"/>
        </w:rPr>
        <w:t xml:space="preserve">due </w:t>
      </w:r>
      <w:r w:rsidRPr="005D3C1C">
        <w:rPr>
          <w:rStyle w:val="eop"/>
          <w:rFonts w:ascii="Arial" w:hAnsi="Arial" w:cs="Arial"/>
          <w:color w:val="000000"/>
          <w:sz w:val="22"/>
          <w:szCs w:val="22"/>
        </w:rPr>
        <w:t>to a range of dose-dependent and potentially life-threatening side effects such as arrythmias, seizures, ileus, or idiosyncratic/immune reactions such as agranulocytosis and myocarditis</w:t>
      </w:r>
      <w:r w:rsidR="00A02AE6">
        <w:rPr>
          <w:rStyle w:val="eop"/>
          <w:rFonts w:ascii="Arial" w:hAnsi="Arial" w:cs="Arial"/>
          <w:color w:val="000000"/>
          <w:sz w:val="22"/>
          <w:szCs w:val="22"/>
        </w:rPr>
        <w:t xml:space="preserve"> </w:t>
      </w:r>
      <w:r w:rsidR="005D3C1C">
        <w:rPr>
          <w:rStyle w:val="eop"/>
          <w:rFonts w:ascii="Arial" w:hAnsi="Arial" w:cs="Arial"/>
          <w:color w:val="000000"/>
          <w:sz w:val="22"/>
          <w:szCs w:val="22"/>
        </w:rPr>
        <w:fldChar w:fldCharType="begin" w:fldLock="1"/>
      </w:r>
      <w:r w:rsidR="00A24E5C">
        <w:rPr>
          <w:rStyle w:val="eop"/>
          <w:rFonts w:ascii="Arial" w:hAnsi="Arial" w:cs="Arial"/>
          <w:color w:val="000000"/>
          <w:sz w:val="22"/>
          <w:szCs w:val="22"/>
        </w:rPr>
        <w:instrText>ADDIN CSL_CITATION {"citationItems":[{"id":"ITEM-1","itemData":{"DOI":"10.4088/JCP.12r08064","ISBN":"0160-6689","ISSN":"01606689","PMID":"23842012","abstract":"OBJECTIVE: To identify the outcome of potentially serious adverse effects of clozapine, particularly those frequently cited as reasons for clozapine discontinuation, and to characterize management strategies for adverse effects that do not warrant discontinuation.\\n\\nDATA SOURCES: A structured search was performed of PubMed and EMBASE from database inception until September 10, 2012, without any language restrictions, using clozapine as the search term. Reference lists of retrieved articles were cross-checked for additional relevant studies.\\n\\nSTUDY SELECTION: Included in this review were studies that reported on the frequency of the specified clozapine-related adverse effects and that either reported on the grounds for or against clozapine discontinuation or reported on management techniques to maintain patients on clozapine or enable successful clozapine rechallenge. The following side effects were considered important for this review as potential grounds for clozapine discontinuation: neutropenia or agranulocytosis, leukocytosis, thrombocytopenia, thrombocytosis, eosinophilia, leukocytosis, QTc prolongation, electrocardiogram changes, atrial flutter, tachycardia, myocarditis, cardiomyopathy, fever, syncope, diabetes mellitus, diabetic ketoacidosis, diabetic hyperosmolar coma, neuroleptic malignant syndrome, ileus, liver enzyme elevation, or seizure.\\n\\nDATA EXTRACTION: Study results that supported continuation or discontinuation of clozapine or that provided information on management techniques were abstracted.\\n\\nRESULTS: Of a total of 13,385 search results, data from 81 studies were included in this review. Results suggest that prompt discontinuation of clozapine without rechallenge is indicated for agranulocytosis, myocarditis, cardiomyopathy, and a QTc interval &gt; 500 milliseconds that is confirmed and derived using the appropriate correction method. Clozapine discontinuation with potential rechallenge (provided there is appropriate surveillance and management or prophylactic therapy) is indicated for ileus or subileus, neuroleptic malignant syndrome, venous thromboembolism, and diabetic ketoacidosis or hyperosmolar coma. Neutropenia, leukocytosis, seizures, orthostatic hypotension, severe constipation, and weight gain and metabolic abnormalities, including metabolic syndrome and its components, as well as moderately prolonged myocardial repolarization, need to be managed but do not generally warrant clozapine discontinuation. Eosinophilia, leuko…","author":[{"dropping-particle":"","family":"Nielsen","given":"Jimmi","non-dropping-particle":"","parse-names":false,"suffix":""},{"dropping-particle":"","family":"Correll","given":"Christoph U.","non-dropping-particle":"","parse-names":false,"suffix":""},{"dropping-particle":"","family":"Manu","given":"Peter","non-dropping-particle":"","parse-names":false,"suffix":""},{"dropping-particle":"","family":"Kane","given":"John M.","non-dropping-particle":"","parse-names":false,"suffix":""}],"container-title":"Journal of Clinical Psychiatry","id":"ITEM-1","issue":"6","issued":{"date-parts":[["2013"]]},"page":"603-613","title":"Termination of clozapine treatment due to medical reasons: When is it warranted and how can it be avoided?","type":"article-journal","volume":"74"},"uris":["http://www.mendeley.com/documents/?uuid=3b1f6f0b-5a55-4828-9e20-265a9231889d"]}],"mendeley":{"formattedCitation":"(Nielsen et al., 2013)","plainTextFormattedCitation":"(Nielsen et al., 2013)","previouslyFormattedCitation":"(Nielsen et al., 2013)"},"properties":{"noteIndex":0},"schema":"https://github.com/citation-style-language/schema/raw/master/csl-citation.json"}</w:instrText>
      </w:r>
      <w:r w:rsidR="005D3C1C">
        <w:rPr>
          <w:rStyle w:val="eop"/>
          <w:rFonts w:ascii="Arial" w:hAnsi="Arial" w:cs="Arial"/>
          <w:color w:val="000000"/>
          <w:sz w:val="22"/>
          <w:szCs w:val="22"/>
        </w:rPr>
        <w:fldChar w:fldCharType="separate"/>
      </w:r>
      <w:r w:rsidR="006C099B" w:rsidRPr="006C099B">
        <w:rPr>
          <w:rStyle w:val="eop"/>
          <w:rFonts w:ascii="Arial" w:hAnsi="Arial" w:cs="Arial"/>
          <w:noProof/>
          <w:color w:val="000000"/>
          <w:sz w:val="22"/>
          <w:szCs w:val="22"/>
        </w:rPr>
        <w:t>(Nielsen et al., 2013)</w:t>
      </w:r>
      <w:r w:rsidR="005D3C1C">
        <w:rPr>
          <w:rStyle w:val="eop"/>
          <w:rFonts w:ascii="Arial" w:hAnsi="Arial" w:cs="Arial"/>
          <w:color w:val="000000"/>
          <w:sz w:val="22"/>
          <w:szCs w:val="22"/>
        </w:rPr>
        <w:fldChar w:fldCharType="end"/>
      </w:r>
      <w:r w:rsidRPr="005D3C1C">
        <w:rPr>
          <w:rStyle w:val="eop"/>
          <w:rFonts w:ascii="Arial" w:hAnsi="Arial" w:cs="Arial"/>
          <w:color w:val="000000"/>
          <w:sz w:val="22"/>
          <w:szCs w:val="22"/>
        </w:rPr>
        <w:t xml:space="preserve">. </w:t>
      </w:r>
    </w:p>
    <w:p w14:paraId="709D43BB" w14:textId="77777777" w:rsidR="00FE5D8E" w:rsidRPr="005D3C1C" w:rsidRDefault="00FE5D8E" w:rsidP="00871157">
      <w:pPr>
        <w:pStyle w:val="paragraph"/>
        <w:contextualSpacing/>
        <w:jc w:val="both"/>
        <w:textAlignment w:val="baseline"/>
        <w:rPr>
          <w:rStyle w:val="eop"/>
          <w:rFonts w:ascii="Arial" w:hAnsi="Arial" w:cs="Arial"/>
          <w:color w:val="000000"/>
          <w:sz w:val="22"/>
          <w:szCs w:val="22"/>
        </w:rPr>
      </w:pPr>
    </w:p>
    <w:p w14:paraId="5C3C5830" w14:textId="5549542F" w:rsidR="00FE5D8E" w:rsidRDefault="0095382D" w:rsidP="00871157">
      <w:pPr>
        <w:pStyle w:val="paragraph"/>
        <w:contextualSpacing/>
        <w:jc w:val="both"/>
        <w:textAlignment w:val="baseline"/>
      </w:pPr>
      <w:r w:rsidRPr="005D3C1C">
        <w:rPr>
          <w:rStyle w:val="normaltextrun1"/>
          <w:rFonts w:ascii="Arial" w:hAnsi="Arial" w:cs="Arial"/>
          <w:color w:val="000000"/>
          <w:sz w:val="22"/>
          <w:szCs w:val="22"/>
        </w:rPr>
        <w:t>However, there</w:t>
      </w:r>
      <w:r>
        <w:rPr>
          <w:rStyle w:val="normaltextrun1"/>
          <w:rFonts w:ascii="Arial" w:hAnsi="Arial" w:cs="Arial"/>
          <w:color w:val="000000"/>
          <w:sz w:val="22"/>
          <w:szCs w:val="22"/>
        </w:rPr>
        <w:t xml:space="preserve"> are no </w:t>
      </w:r>
      <w:r w:rsidR="006E5159">
        <w:rPr>
          <w:rStyle w:val="normaltextrun1"/>
          <w:rFonts w:ascii="Arial" w:hAnsi="Arial" w:cs="Arial"/>
          <w:color w:val="000000"/>
          <w:sz w:val="22"/>
          <w:szCs w:val="22"/>
        </w:rPr>
        <w:t xml:space="preserve">detailed </w:t>
      </w:r>
      <w:r>
        <w:rPr>
          <w:rStyle w:val="normaltextrun1"/>
          <w:rFonts w:ascii="Arial" w:hAnsi="Arial" w:cs="Arial"/>
          <w:color w:val="000000"/>
          <w:sz w:val="22"/>
          <w:szCs w:val="22"/>
        </w:rPr>
        <w:t xml:space="preserve">studies on the incidence and causes of non-intentional </w:t>
      </w:r>
      <w:r w:rsidR="006E5159">
        <w:rPr>
          <w:rStyle w:val="normaltextrun1"/>
          <w:rFonts w:ascii="Arial" w:hAnsi="Arial" w:cs="Arial"/>
          <w:color w:val="000000"/>
          <w:sz w:val="22"/>
          <w:szCs w:val="22"/>
        </w:rPr>
        <w:t xml:space="preserve">(non-suicidal) </w:t>
      </w:r>
      <w:r w:rsidRPr="002A3F62">
        <w:rPr>
          <w:rStyle w:val="normaltextrun1"/>
          <w:rFonts w:ascii="Arial" w:hAnsi="Arial" w:cs="Arial"/>
          <w:color w:val="000000"/>
          <w:sz w:val="22"/>
          <w:szCs w:val="22"/>
        </w:rPr>
        <w:t>unexpected deaths, which is crucial in order to implement strategies to decrease fatalities. Some studies have distinguished between natural and unnatural</w:t>
      </w:r>
      <w:r w:rsidR="00442D77" w:rsidRPr="002A3F62">
        <w:rPr>
          <w:rStyle w:val="normaltextrun1"/>
          <w:rFonts w:ascii="Arial" w:hAnsi="Arial" w:cs="Arial"/>
          <w:color w:val="000000"/>
          <w:sz w:val="22"/>
          <w:szCs w:val="22"/>
        </w:rPr>
        <w:t xml:space="preserve"> (suicide)</w:t>
      </w:r>
      <w:r w:rsidRPr="002A3F62">
        <w:rPr>
          <w:rStyle w:val="normaltextrun1"/>
          <w:rFonts w:ascii="Arial" w:hAnsi="Arial" w:cs="Arial"/>
          <w:color w:val="000000"/>
          <w:sz w:val="22"/>
          <w:szCs w:val="22"/>
        </w:rPr>
        <w:t xml:space="preserve"> causes </w:t>
      </w:r>
      <w:r w:rsidRPr="002A3F62">
        <w:rPr>
          <w:rFonts w:ascii="Arial" w:hAnsi="Arial" w:cs="Arial"/>
          <w:sz w:val="22"/>
          <w:szCs w:val="22"/>
        </w:rPr>
        <w:fldChar w:fldCharType="begin" w:fldLock="1"/>
      </w:r>
      <w:r w:rsidR="00A24E5C">
        <w:rPr>
          <w:rFonts w:ascii="Arial" w:hAnsi="Arial" w:cs="Arial"/>
          <w:sz w:val="22"/>
          <w:szCs w:val="22"/>
        </w:rPr>
        <w:instrText>ADDIN CSL_CITATION {"citationItems":[{"id":"ITEM-1","itemData":{"DOI":"10.1111/acps.12989","ISSN":"16000447","abstract":"OBJECTIVE Large-scale epidemiological studies have demonstrated a protective effect of clozapine on mortality in people with schizophrenia. Clozapine is reserved for use in patients with treatment-resistant schizophrenia (TRS), but evidence of clozapine's effect on mortality exclusively within TRS samples is inconclusive. Hence, we aimed to investigate the effect of clozapine use on all-cause mortality in TRS patients. METHODS A historical patient cohort sample of 2837 patients, who met criteria for TRS between 1 Jan 2008 and 1 Jan 2016, were selected from the South London and Maudsley NHS Foundation Trust (SLAM) electronic health records (EHR). The national Zaponex Treatment Access System (ZTAS) mandatory monitoring system linked to the SLAM EHR was used to distinguish which patients were initiated on clozapine (n = 1025). Cox proportional hazard models were used, adjusting for sociodemographics, clinical monitoring, mental and physical illness severity and functional status. RESULTS After controlling for potential confounders, the protective effect of clozapine on all-cause mortality was significant (adjusted hazard ratio 0.61; 95% confidence interval 0.38-0.97; P = 0.04). CONCLUSIONS Clozapine reduces the risk of mortality in patients who meet criteria for TRS. We provide further evidence that improving access to clozapine in TRS is likely to reduce the mortality gap in schizophrenia.","author":[{"dropping-particle":"","family":"Cho","given":"J.","non-dropping-particle":"","parse-names":false,"suffix":""},{"dropping-particle":"","family":"Hayes","given":"R. D.","non-dropping-particle":"","parse-names":false,"suffix":""},{"dropping-particle":"","family":"Jewell","given":"A.","non-dropping-particle":"","parse-names":false,"suffix":""},{"dropping-particle":"","family":"Kadra","given":"G.","non-dropping-particle":"","parse-names":false,"suffix":""},{"dropping-particle":"","family":"Shetty","given":"H.","non-dropping-particle":"","parse-names":false,"suffix":""},{"dropping-particle":"","family":"MacCabe","given":"J. H.","non-dropping-particle":"","parse-names":false,"suffix":""},{"dropping-particle":"","family":"Downs","given":"J.","non-dropping-particle":"","parse-names":false,"suffix":""}],"container-title":"Acta Psychiatrica Scandinavica","id":"ITEM-1","issued":{"date-parts":[["2018"]]},"title":"Clozapine and all-cause mortality in treatment-resistant schizophrenia: a historical cohort study","type":"article-newspaper"},"uris":["http://www.mendeley.com/documents/?uuid=af2bbb0f-f3f6-472a-bfb5-9da1aa24800b"]}],"mendeley":{"formattedCitation":"(Cho et al., 2018a)","plainTextFormattedCitation":"(Cho et al., 2018a)","previouslyFormattedCitation":"(Cho et al., 2018a)"},"properties":{"noteIndex":0},"schema":"https://github.com/citation-style-language/schema/raw/master/csl-citation.json"}</w:instrText>
      </w:r>
      <w:r w:rsidRPr="002A3F62">
        <w:rPr>
          <w:rFonts w:ascii="Arial" w:hAnsi="Arial" w:cs="Arial"/>
          <w:sz w:val="22"/>
          <w:szCs w:val="22"/>
        </w:rPr>
        <w:fldChar w:fldCharType="separate"/>
      </w:r>
      <w:bookmarkStart w:id="20" w:name="__Fieldmark__207_3862467544"/>
      <w:bookmarkStart w:id="21" w:name="__Fieldmark__183_2113833669"/>
      <w:bookmarkStart w:id="22" w:name="__Fieldmark__159_2119414058"/>
      <w:bookmarkStart w:id="23" w:name="__Fieldmark__165_240126034"/>
      <w:r w:rsidR="006C099B" w:rsidRPr="006C099B">
        <w:rPr>
          <w:rStyle w:val="normaltextrun1"/>
          <w:rFonts w:ascii="Arial" w:hAnsi="Arial" w:cs="Arial"/>
          <w:noProof/>
          <w:color w:val="000000"/>
          <w:sz w:val="22"/>
          <w:szCs w:val="22"/>
        </w:rPr>
        <w:t>(Cho et al., 2018a)</w:t>
      </w:r>
      <w:r w:rsidRPr="002A3F62">
        <w:rPr>
          <w:rFonts w:ascii="Arial" w:hAnsi="Arial" w:cs="Arial"/>
          <w:sz w:val="22"/>
          <w:szCs w:val="22"/>
        </w:rPr>
        <w:fldChar w:fldCharType="end"/>
      </w:r>
      <w:r w:rsidRPr="002A3F62">
        <w:rPr>
          <w:rFonts w:ascii="Arial" w:hAnsi="Arial" w:cs="Arial"/>
          <w:sz w:val="22"/>
          <w:szCs w:val="22"/>
          <w:vertAlign w:val="superscript"/>
        </w:rPr>
        <w:fldChar w:fldCharType="begin" w:fldLock="1"/>
      </w:r>
      <w:r w:rsidR="00A24E5C">
        <w:rPr>
          <w:rFonts w:ascii="Arial" w:hAnsi="Arial" w:cs="Arial"/>
          <w:sz w:val="22"/>
          <w:szCs w:val="22"/>
          <w:vertAlign w:val="superscript"/>
        </w:rPr>
        <w:instrText>ADDIN CSL_CITATION {"citationItems":[{"id":"ITEM-1","itemData":{"DOI":"10.1093/schbul/sbu120","ISSN":"17451701","abstract":"Clozapine can cause severe adverse effects yet it is associated with reduced mortality risk. We test the hypothesis this association is due to increased clinical monitoring and investigate risk of premature mortality from natural causes. We identified 14 754 individuals (879 deaths) with serious mental illness (SMI) including schizophrenia, schizoaffective and bipolar disorders aged ≥ 15 years in a large specialist mental healthcare case register linked to national mortality tracing. In this cohort study we modeled the effect of clozapine on mortality over a 5-year period (2007-2011) using Cox regression. Individuals prescribed clozapine had more severe psychopathology and poorer functional status. Many of the exposures associated with clozapine use were themselves risk factors for increased mortality. However, we identified a strong association between being prescribed clozapine and lower mortality which persisted after controlling for a broad range of potential confounders including clinical monitoring and markers of disease severity (adjusted hazard ratio 0.4; 95% CI 0.2-0.7; p = .001). This association remained after restricting the sample to those with a diagnosis of schizophrenia or those taking antipsychotics and after using propensity scores to reduce the impact of confounding by indication. Among individuals with SMI, those prescribed clozapine had a reduced risk of mortality due to both natural and unnatural causes. We found no evidence to indicate that lower mortality associated with clozapine in SMI was due to increased clinical monitoring or confounding factors. This is the first study to report an association between clozapine and reduced risk of mortality from natural causes.","author":[{"dropping-particle":"","family":"Hayes","given":"Richard D.","non-dropping-particle":"","parse-names":false,"suffix":""},{"dropping-particle":"","family":"Downs","given":"Johnny","non-dropping-particle":"","parse-names":false,"suffix":""},{"dropping-particle":"","family":"Chang","given":"Chin Kuo","non-dropping-particle":"","parse-names":false,"suffix":""},{"dropping-particle":"","family":"Jackson","given":"Richard G.","non-dropping-particle":"","parse-names":false,"suffix":""},{"dropping-particle":"","family":"Shetty","given":"Hitesh","non-dropping-particle":"","parse-names":false,"suffix":""},{"dropping-particle":"","family":"Broadbent","given":"Matthew","non-dropping-particle":"","parse-names":false,"suffix":""},{"dropping-particle":"","family":"Hotopf","given":"Matthew","non-dropping-particle":"","parse-names":false,"suffix":""},{"dropping-particle":"","family":"Stewart","given":"Robert","non-dropping-particle":"","parse-names":false,"suffix":""}],"container-title":"Schizophrenia Bulletin","id":"ITEM-1","issued":{"date-parts":[["2015"]]},"title":"The effect of clozapine on premature mortality: An assessment of clinical monitoring and other potential confounders","type":"article-journal"},"uris":["http://www.mendeley.com/documents/?uuid=a2761290-00ac-4fac-837b-9ab0f60745aa"]}],"mendeley":{"formattedCitation":"(Hayes et al., 2015a)","plainTextFormattedCitation":"(Hayes et al., 2015a)","previouslyFormattedCitation":"(Hayes et al., 2015a)"},"properties":{"noteIndex":0},"schema":"https://github.com/citation-style-language/schema/raw/master/csl-citation.json"}</w:instrText>
      </w:r>
      <w:r w:rsidRPr="002A3F62">
        <w:rPr>
          <w:rFonts w:ascii="Arial" w:hAnsi="Arial" w:cs="Arial"/>
          <w:sz w:val="22"/>
          <w:szCs w:val="22"/>
          <w:vertAlign w:val="superscript"/>
        </w:rPr>
        <w:fldChar w:fldCharType="separate"/>
      </w:r>
      <w:bookmarkStart w:id="24" w:name="__Fieldmark__218_3862467544"/>
      <w:bookmarkStart w:id="25" w:name="__Fieldmark__191_2113833669"/>
      <w:bookmarkStart w:id="26" w:name="__Fieldmark__164_2119414058"/>
      <w:bookmarkStart w:id="27" w:name="__Fieldmark__169_240126034"/>
      <w:bookmarkEnd w:id="20"/>
      <w:r w:rsidR="006C099B" w:rsidRPr="006C099B">
        <w:rPr>
          <w:rStyle w:val="normaltextrun1"/>
          <w:rFonts w:ascii="Arial" w:hAnsi="Arial" w:cs="Arial"/>
          <w:noProof/>
          <w:color w:val="000000"/>
          <w:sz w:val="22"/>
          <w:szCs w:val="22"/>
        </w:rPr>
        <w:t>(Hayes et al., 2015a)</w:t>
      </w:r>
      <w:r w:rsidRPr="002A3F62">
        <w:rPr>
          <w:rFonts w:ascii="Arial" w:hAnsi="Arial" w:cs="Arial"/>
          <w:sz w:val="22"/>
          <w:szCs w:val="22"/>
          <w:vertAlign w:val="superscript"/>
        </w:rPr>
        <w:fldChar w:fldCharType="end"/>
      </w:r>
      <w:bookmarkEnd w:id="21"/>
      <w:bookmarkEnd w:id="22"/>
      <w:bookmarkEnd w:id="23"/>
      <w:bookmarkEnd w:id="24"/>
      <w:bookmarkEnd w:id="25"/>
      <w:bookmarkEnd w:id="26"/>
      <w:bookmarkEnd w:id="27"/>
      <w:r w:rsidR="00442D77" w:rsidRPr="002A3F62">
        <w:rPr>
          <w:rFonts w:ascii="Arial" w:hAnsi="Arial" w:cs="Arial"/>
          <w:sz w:val="22"/>
          <w:szCs w:val="22"/>
        </w:rPr>
        <w:t xml:space="preserve"> or with cardiovascular deaths </w:t>
      </w:r>
      <w:r w:rsidR="005D3C1C" w:rsidRPr="002A3F62">
        <w:rPr>
          <w:rFonts w:ascii="Arial" w:hAnsi="Arial" w:cs="Arial"/>
          <w:sz w:val="22"/>
          <w:szCs w:val="22"/>
          <w:vertAlign w:val="superscript"/>
        </w:rPr>
        <w:fldChar w:fldCharType="begin" w:fldLock="1"/>
      </w:r>
      <w:r w:rsidR="00A24E5C">
        <w:rPr>
          <w:rFonts w:ascii="Arial" w:hAnsi="Arial" w:cs="Arial"/>
          <w:sz w:val="22"/>
          <w:szCs w:val="22"/>
          <w:vertAlign w:val="superscript"/>
        </w:rPr>
        <w:instrText>ADDIN CSL_CITATION {"citationItems":[{"id":"ITEM-1","itemData":{"DOI":"10.1016/j.schres.2017.12.010","ISSN":"15732509","abstract":"Introduction: It has remained controversial if antipsychotic treatment is associated with increased or decreased mortality among patients with schizophrenia, and if there are any clinically meaningful differences between specific agents and routes of administration. Methods: We linked prospectively gathered nationwide register-based data during 2006–2013 to study all-cause mortality among all patients aged 16–64 years with schizophrenia in Sweden (N = 29,823 in total; N = 4603 in the incident cohort). Multivariate Cox regression models were adjusted for clinical and sociodemographic covariates. Sensitivity analyses with the incident cohort were conducted to control for survival bias. Results: During the mean follow-up of 5.7 years, 2515 patients (8.4%) died. During the maximum follow-up (7.5 years), the lowest cumulative mortality was observed for second generation (SG) long-acting injection (LAI) use (7.5%). Adjusted hazard ratios (aHRs) compared to SG LAI use were 1.37 (95%CI 1.01–1.86) for first generation (FG) LAIs, 1.52 (1.13–2.05) for SG orals, 1.83 (1.33–2.50) for FG orals, and 3.39 (2.53–4.56) for nonuse of antipsychotics. Concerning specific agents, the lowest mortality was observed for once-monthly paliperidone LAI (0.11, 0.03–0.43), oral aripiprazole (0.22, 0.15–0.34), and risperidone LAI (0.31, 0.23–0.43). In pairwise comparison, LAIs were associated with 33% lower mortality than equivalent orals (0.67, 0.56–0.80). The results with incident cohort were consistent with the primary analyses. Conclusions: Among patients with schizophrenia, LAI use is associated with an approximately 30% lower risk of death compared with oral agents. SG LAIs and oral aripiprazole are associated with the lowest mortality.","author":[{"dropping-particle":"","family":"Taipale","given":"Heidi","non-dropping-particle":"","parse-names":false,"suffix":""},{"dropping-particle":"","family":"Mittendorfer-Rutz","given":"Ellenor","non-dropping-particle":"","parse-names":false,"suffix":""},{"dropping-particle":"","family":"Alexanderson","given":"Kristina","non-dropping-particle":"","parse-names":false,"suffix":""},{"dropping-particle":"","family":"Majak","given":"Maila","non-dropping-particle":"","parse-names":false,"suffix":""},{"dropping-particle":"","family":"Mehtälä","given":"Juha","non-dropping-particle":"","parse-names":false,"suffix":""},{"dropping-particle":"","family":"Hoti","given":"Fabian","non-dropping-particle":"","parse-names":false,"suffix":""},{"dropping-particle":"","family":"Jedenius","given":"Erik","non-dropping-particle":"","parse-names":false,"suffix":""},{"dropping-particle":"","family":"Enkusson","given":"Dana","non-dropping-particle":"","parse-names":false,"suffix":""},{"dropping-particle":"","family":"Leval","given":"Amy","non-dropping-particle":"","parse-names":false,"suffix":""},{"dropping-particle":"","family":"Sermon","given":"Jan","non-dropping-particle":"","parse-names":false,"suffix":""},{"dropping-particle":"","family":"Tanskanen","given":"Antti","non-dropping-particle":"","parse-names":false,"suffix":""},{"dropping-particle":"","family":"Tiihonen","given":"Jari","non-dropping-particle":"","parse-names":false,"suffix":""}],"container-title":"Schizophrenia Research","id":"ITEM-1","issued":{"date-parts":[["2018"]]},"page":"274-280","publisher":"The Authors","title":"Antipsychotics and mortality in a nationwide cohort of 29,823 patients with schizophrenia","type":"article-journal","volume":"197"},"uris":["http://www.mendeley.com/documents/?uuid=689289db-1441-4fb6-8db4-dcf0119e2759"]},{"id":"ITEM-2","itemData":{"DOI":"10.1002/wps.20699","ISSN":"20515545","abstract":"Antipsychotics are effective in preventing relapses of schizophrenia, but it is generally believed that their long-term use is harmful for patients’ physical well-being. However, there are no long-term studies which have verified this view. This nationwide, register-based cohort study aimed to assess the risk of hospitalization due to physical health problems, as a marker for severe physical morbidity, and the risk of all-cause mortality, as well as of cardiovascular and suicidal death, associated with antipsychotic use in all patients treated for schizophrenia in inpatient care between 1972 and 2014 in Finland (N=62,250), with up to 20 years of follow-up (median: 14.1 years). The use of antipsychotic drugs (i.e., use of any antipsychotic compared with non-use) and the use of specific antipsychotics were investigated, and outcomes were somatic and cardiovascular hospitalization, and all-cause, cardiovascular and suicide death. Hospitalization-based outcomes were analyzed by a within-individual design to eliminate selection bias, comparing use and non-use periods in the same individual by stratified Cox model. Mortality outcomes were assessed by traditional between-individual Cox multivariate models. The adjusted hazard ratios (aHRs) for any somatic hospitalization and cardiovascular hospitalization were 1.00 (95% CI: 0.98-1.03) and 1.00 (95% CI: 0.92-1.07) during use of any antipsychotic compared to non-exposure periods within the same individual. The aHRs were 0.48 (95% CI: 0.46-0.51) for all-cause mortality, 0.62 (95% CI: 0.57-0.67) for cardiovascular mortality, and 0.52 (95% CI: 0.43-0.62) for suicide mortality during use vs. non-use of any antipsychotic. The most beneficial mortality outcome was associated with use of clozapine in terms of all-cause (aHR=0.39, 95% CI: 0.36-0.43), cardiovascular (aHR=0.55, 95% CI: 0.47-0.64) and suicide mortality (aHR=0.21, 95% CI: 0.15-0.29). The cumulative mortality rates during maximum follow-up of 20 years were 46.2% for no antipsychotic use, 25.7% for any antipsychotic use, and 15.6% for clozapine use. These data suggest that long-term antipsychotic use does not increase severe physical morbidity leading to hospitalization, and is associated with substantially decreased mortality, especially among patients treated with clozapine.","author":[{"dropping-particle":"","family":"Taipale","given":"Heidi","non-dropping-particle":"","parse-names":false,"suffix":""},{"dropping-particle":"","family":"Tanskanen","given":"Antti","non-dropping-particle":"","parse-names":false,"suffix":""},{"dropping-particle":"","family":"Mehtälä","given":"Juha","non-dropping-particle":"","parse-names":false,"suffix":""},{"dropping-particle":"","family":"Vattulainen","given":"Pia","non-dropping-particle":"","parse-names":false,"suffix":""},{"dropping-particle":"","family":"Correll","given":"Christoph U.","non-dropping-particle":"","parse-names":false,"suffix":""},{"dropping-particle":"","family":"Tiihonen","given":"Jari","non-dropping-particle":"","parse-names":false,"suffix":""}],"container-title":"World Psychiatry","id":"ITEM-2","issue":"1","issued":{"date-parts":[["2020"]]},"page":"61-68","title":"20-year follow-up study of physical morbidity and mortality in relationship to antipsychotic treatment in a nationwide cohort of 62,250 patients with schizophrenia (FIN20)","type":"article-journal","volume":"19"},"uris":["http://www.mendeley.com/documents/?uuid=319d5732-c272-4272-8672-6c1bc230fb67"]}],"mendeley":{"formattedCitation":"(Taipale et al., 2020, 2018)","plainTextFormattedCitation":"(Taipale et al., 2020, 2018)","previouslyFormattedCitation":"(Taipale et al., 2020, 2018)"},"properties":{"noteIndex":0},"schema":"https://github.com/citation-style-language/schema/raw/master/csl-citation.json"}</w:instrText>
      </w:r>
      <w:r w:rsidR="005D3C1C" w:rsidRPr="002A3F62">
        <w:rPr>
          <w:rFonts w:ascii="Arial" w:hAnsi="Arial" w:cs="Arial"/>
          <w:sz w:val="22"/>
          <w:szCs w:val="22"/>
          <w:vertAlign w:val="superscript"/>
        </w:rPr>
        <w:fldChar w:fldCharType="separate"/>
      </w:r>
      <w:r w:rsidR="006C099B" w:rsidRPr="006C099B">
        <w:rPr>
          <w:rFonts w:ascii="Arial" w:hAnsi="Arial" w:cs="Arial"/>
          <w:noProof/>
          <w:sz w:val="22"/>
          <w:szCs w:val="22"/>
        </w:rPr>
        <w:t>(Taipale et al., 2020, 2018)</w:t>
      </w:r>
      <w:r w:rsidR="005D3C1C" w:rsidRPr="002A3F62">
        <w:rPr>
          <w:rFonts w:ascii="Arial" w:hAnsi="Arial" w:cs="Arial"/>
          <w:sz w:val="22"/>
          <w:szCs w:val="22"/>
          <w:vertAlign w:val="superscript"/>
        </w:rPr>
        <w:fldChar w:fldCharType="end"/>
      </w:r>
      <w:r w:rsidRPr="002A3F62">
        <w:rPr>
          <w:rStyle w:val="normaltextrun1"/>
          <w:rFonts w:ascii="Arial" w:hAnsi="Arial" w:cs="Arial"/>
          <w:color w:val="000000"/>
          <w:sz w:val="22"/>
          <w:szCs w:val="22"/>
        </w:rPr>
        <w:t>, but this distinction does not provide information about the</w:t>
      </w:r>
      <w:r w:rsidR="005D3C1C" w:rsidRPr="002A3F62">
        <w:rPr>
          <w:rStyle w:val="normaltextrun1"/>
          <w:rFonts w:ascii="Arial" w:hAnsi="Arial" w:cs="Arial"/>
          <w:color w:val="000000"/>
          <w:sz w:val="22"/>
          <w:szCs w:val="22"/>
        </w:rPr>
        <w:t xml:space="preserve"> risk factors associated with </w:t>
      </w:r>
      <w:r w:rsidRPr="002A3F62">
        <w:rPr>
          <w:rStyle w:val="normaltextrun1"/>
          <w:rFonts w:ascii="Arial" w:hAnsi="Arial" w:cs="Arial"/>
          <w:color w:val="000000"/>
          <w:sz w:val="22"/>
          <w:szCs w:val="22"/>
        </w:rPr>
        <w:t>non-intentional (non-suicidal) unexpected causes, which might be avoidable via different</w:t>
      </w:r>
      <w:r w:rsidRPr="00442D77">
        <w:rPr>
          <w:rStyle w:val="normaltextrun1"/>
          <w:rFonts w:ascii="Arial" w:hAnsi="Arial" w:cs="Arial"/>
          <w:color w:val="000000"/>
          <w:sz w:val="22"/>
          <w:szCs w:val="22"/>
        </w:rPr>
        <w:t xml:space="preserve"> strategies. The aims of this study </w:t>
      </w:r>
      <w:r w:rsidRPr="005D3C1C">
        <w:rPr>
          <w:rStyle w:val="normaltextrun1"/>
          <w:rFonts w:ascii="Arial" w:hAnsi="Arial" w:cs="Arial"/>
          <w:color w:val="000000"/>
          <w:sz w:val="22"/>
          <w:szCs w:val="22"/>
        </w:rPr>
        <w:t>were: 1) to establish the cause of death for all clozapine-treated patients over a decade (2009-2018) in a well-defined catchment area in Cambridgeshire, UK, and</w:t>
      </w:r>
      <w:r>
        <w:rPr>
          <w:rStyle w:val="normaltextrun1"/>
          <w:rFonts w:ascii="Arial" w:hAnsi="Arial" w:cs="Arial"/>
          <w:color w:val="000000"/>
          <w:sz w:val="22"/>
          <w:szCs w:val="22"/>
        </w:rPr>
        <w:t xml:space="preserve"> 2) to study risk factors for non-intentional unexpected deaths.</w:t>
      </w:r>
      <w:r>
        <w:rPr>
          <w:rStyle w:val="normaltextrun1"/>
          <w:rFonts w:ascii="Arial" w:hAnsi="Arial" w:cs="Arial"/>
          <w:b/>
          <w:color w:val="000000"/>
          <w:sz w:val="22"/>
          <w:szCs w:val="22"/>
        </w:rPr>
        <w:t xml:space="preserve"> </w:t>
      </w:r>
      <w:r>
        <w:rPr>
          <w:rStyle w:val="normaltextrun1"/>
          <w:rFonts w:ascii="Arial" w:hAnsi="Arial" w:cs="Arial"/>
          <w:color w:val="000000"/>
          <w:sz w:val="22"/>
          <w:szCs w:val="22"/>
        </w:rPr>
        <w:t xml:space="preserve">Here, causes of death were categorised into three main groups: suicide, unexpected non-suicide deaths, and expected deaths. The last of these groups accounted for patients known to be suffering with a life-limiting condition (e.g. cancer) while taking clozapine, </w:t>
      </w:r>
      <w:r w:rsidR="00843B6A">
        <w:rPr>
          <w:rStyle w:val="normaltextrun1"/>
          <w:rFonts w:ascii="Arial" w:hAnsi="Arial" w:cs="Arial"/>
          <w:color w:val="000000"/>
          <w:sz w:val="22"/>
          <w:szCs w:val="22"/>
        </w:rPr>
        <w:t xml:space="preserve">whose deaths were </w:t>
      </w:r>
      <w:r w:rsidR="005A0E87">
        <w:rPr>
          <w:rStyle w:val="normaltextrun1"/>
          <w:rFonts w:ascii="Arial" w:hAnsi="Arial" w:cs="Arial"/>
          <w:color w:val="000000"/>
          <w:sz w:val="22"/>
          <w:szCs w:val="22"/>
        </w:rPr>
        <w:t>considered as</w:t>
      </w:r>
      <w:r>
        <w:rPr>
          <w:rStyle w:val="normaltextrun1"/>
          <w:rFonts w:ascii="Arial" w:hAnsi="Arial" w:cs="Arial"/>
          <w:color w:val="000000"/>
          <w:sz w:val="22"/>
          <w:szCs w:val="22"/>
        </w:rPr>
        <w:t xml:space="preserve"> </w:t>
      </w:r>
      <w:r w:rsidR="00843B6A">
        <w:rPr>
          <w:rStyle w:val="normaltextrun1"/>
          <w:rFonts w:ascii="Arial" w:hAnsi="Arial" w:cs="Arial"/>
          <w:color w:val="000000"/>
          <w:sz w:val="22"/>
          <w:szCs w:val="22"/>
        </w:rPr>
        <w:t>un</w:t>
      </w:r>
      <w:r>
        <w:rPr>
          <w:rStyle w:val="normaltextrun1"/>
          <w:rFonts w:ascii="Arial" w:hAnsi="Arial" w:cs="Arial"/>
          <w:color w:val="000000"/>
          <w:sz w:val="22"/>
          <w:szCs w:val="22"/>
        </w:rPr>
        <w:t xml:space="preserve">related to the medication. </w:t>
      </w:r>
    </w:p>
    <w:p w14:paraId="12102200" w14:textId="77777777" w:rsidR="00FE5D8E" w:rsidRDefault="00FE5D8E" w:rsidP="00871157">
      <w:pPr>
        <w:pStyle w:val="paragraph"/>
        <w:contextualSpacing/>
        <w:jc w:val="both"/>
        <w:textAlignment w:val="baseline"/>
        <w:rPr>
          <w:rStyle w:val="normaltextrun1"/>
          <w:rFonts w:ascii="Arial" w:hAnsi="Arial" w:cs="Arial"/>
          <w:color w:val="000000"/>
          <w:sz w:val="22"/>
          <w:szCs w:val="22"/>
        </w:rPr>
      </w:pPr>
    </w:p>
    <w:p w14:paraId="0FF51772" w14:textId="0704329F" w:rsidR="00FE5D8E" w:rsidRPr="00D56F88" w:rsidRDefault="0095382D" w:rsidP="00871157">
      <w:pPr>
        <w:pStyle w:val="ListParagraph"/>
        <w:numPr>
          <w:ilvl w:val="0"/>
          <w:numId w:val="4"/>
        </w:numPr>
        <w:jc w:val="both"/>
        <w:outlineLvl w:val="0"/>
        <w:rPr>
          <w:rFonts w:ascii="Arial" w:hAnsi="Arial" w:cs="Arial"/>
          <w:b/>
          <w:bCs/>
          <w:color w:val="000000"/>
          <w:sz w:val="22"/>
          <w:szCs w:val="22"/>
        </w:rPr>
      </w:pPr>
      <w:r w:rsidRPr="00D56F88">
        <w:rPr>
          <w:rFonts w:ascii="Arial" w:hAnsi="Arial" w:cs="Arial"/>
          <w:b/>
          <w:bCs/>
          <w:color w:val="000000"/>
          <w:sz w:val="22"/>
          <w:szCs w:val="22"/>
        </w:rPr>
        <w:t xml:space="preserve">Materials and Methods </w:t>
      </w:r>
    </w:p>
    <w:p w14:paraId="489121CB" w14:textId="4EB0E94A" w:rsidR="00FE5D8E" w:rsidRDefault="00D56F88" w:rsidP="00871157">
      <w:pPr>
        <w:contextualSpacing/>
        <w:jc w:val="both"/>
        <w:outlineLvl w:val="0"/>
        <w:rPr>
          <w:rFonts w:ascii="Arial" w:hAnsi="Arial" w:cs="Arial"/>
          <w:bCs/>
          <w:color w:val="000000"/>
          <w:sz w:val="22"/>
          <w:szCs w:val="22"/>
          <w:u w:val="single"/>
        </w:rPr>
      </w:pPr>
      <w:r>
        <w:rPr>
          <w:rFonts w:ascii="Arial" w:hAnsi="Arial" w:cs="Arial"/>
          <w:bCs/>
          <w:color w:val="000000"/>
          <w:sz w:val="22"/>
          <w:szCs w:val="22"/>
          <w:u w:val="single"/>
        </w:rPr>
        <w:t xml:space="preserve">2.1. </w:t>
      </w:r>
      <w:r w:rsidR="0095382D">
        <w:rPr>
          <w:rFonts w:ascii="Arial" w:hAnsi="Arial" w:cs="Arial"/>
          <w:bCs/>
          <w:color w:val="000000"/>
          <w:sz w:val="22"/>
          <w:szCs w:val="22"/>
          <w:u w:val="single"/>
        </w:rPr>
        <w:t>Study Design and setting</w:t>
      </w:r>
    </w:p>
    <w:p w14:paraId="02CA3720" w14:textId="32D7644E" w:rsidR="00FE5D8E" w:rsidRDefault="0095382D" w:rsidP="00871157">
      <w:pPr>
        <w:contextualSpacing/>
        <w:jc w:val="both"/>
      </w:pPr>
      <w:r>
        <w:rPr>
          <w:rFonts w:ascii="Arial" w:hAnsi="Arial" w:cs="Arial"/>
          <w:bCs/>
          <w:color w:val="000000"/>
          <w:sz w:val="22"/>
          <w:szCs w:val="22"/>
        </w:rPr>
        <w:t xml:space="preserve">This was </w:t>
      </w:r>
      <w:r w:rsidR="00E05664">
        <w:rPr>
          <w:rFonts w:ascii="Arial" w:hAnsi="Arial" w:cs="Arial"/>
          <w:bCs/>
          <w:color w:val="000000"/>
          <w:sz w:val="22"/>
          <w:szCs w:val="22"/>
        </w:rPr>
        <w:t>an</w:t>
      </w:r>
      <w:r>
        <w:rPr>
          <w:rFonts w:ascii="Arial" w:hAnsi="Arial" w:cs="Arial"/>
          <w:bCs/>
          <w:color w:val="000000"/>
          <w:sz w:val="22"/>
          <w:szCs w:val="22"/>
        </w:rPr>
        <w:t xml:space="preserve"> </w:t>
      </w:r>
      <w:r w:rsidR="00A24E5C">
        <w:rPr>
          <w:rFonts w:ascii="Arial" w:hAnsi="Arial" w:cs="Arial"/>
          <w:bCs/>
          <w:color w:val="000000"/>
          <w:sz w:val="22"/>
          <w:szCs w:val="22"/>
        </w:rPr>
        <w:t>National Health Service (</w:t>
      </w:r>
      <w:r>
        <w:rPr>
          <w:rFonts w:ascii="Arial" w:hAnsi="Arial" w:cs="Arial"/>
          <w:bCs/>
          <w:color w:val="000000"/>
          <w:sz w:val="22"/>
          <w:szCs w:val="22"/>
        </w:rPr>
        <w:t>NHS</w:t>
      </w:r>
      <w:r w:rsidR="00A24E5C">
        <w:rPr>
          <w:rFonts w:ascii="Arial" w:hAnsi="Arial" w:cs="Arial"/>
          <w:bCs/>
          <w:color w:val="000000"/>
          <w:sz w:val="22"/>
          <w:szCs w:val="22"/>
        </w:rPr>
        <w:t>)</w:t>
      </w:r>
      <w:r>
        <w:rPr>
          <w:rFonts w:ascii="Arial" w:hAnsi="Arial" w:cs="Arial"/>
          <w:bCs/>
          <w:color w:val="000000"/>
          <w:sz w:val="22"/>
          <w:szCs w:val="22"/>
        </w:rPr>
        <w:t>-approved audit to study mortality in patients prescribed clozapine using electronic notes in a retrospective case-control design, including all patients prescribed clozapine under the care of Cambridgeshire and Peterborough NHS Foundation Trust (CPFT) who died between 1</w:t>
      </w:r>
      <w:r>
        <w:rPr>
          <w:rFonts w:ascii="Arial" w:hAnsi="Arial" w:cs="Arial"/>
          <w:bCs/>
          <w:color w:val="000000"/>
          <w:sz w:val="22"/>
          <w:szCs w:val="22"/>
          <w:vertAlign w:val="superscript"/>
        </w:rPr>
        <w:t>st</w:t>
      </w:r>
      <w:r>
        <w:rPr>
          <w:rFonts w:ascii="Arial" w:hAnsi="Arial" w:cs="Arial"/>
          <w:bCs/>
          <w:color w:val="000000"/>
          <w:sz w:val="22"/>
          <w:szCs w:val="22"/>
        </w:rPr>
        <w:t xml:space="preserve"> Jan 2009 and 31</w:t>
      </w:r>
      <w:r>
        <w:rPr>
          <w:rFonts w:ascii="Arial" w:hAnsi="Arial" w:cs="Arial"/>
          <w:bCs/>
          <w:color w:val="000000"/>
          <w:sz w:val="22"/>
          <w:szCs w:val="22"/>
          <w:vertAlign w:val="superscript"/>
        </w:rPr>
        <w:t>st</w:t>
      </w:r>
      <w:r>
        <w:rPr>
          <w:rFonts w:ascii="Arial" w:hAnsi="Arial" w:cs="Arial"/>
          <w:bCs/>
          <w:color w:val="000000"/>
          <w:sz w:val="22"/>
          <w:szCs w:val="22"/>
        </w:rPr>
        <w:t xml:space="preserve"> Dec 2018, and a comparison group. </w:t>
      </w:r>
      <w:r w:rsidR="00DD4542">
        <w:rPr>
          <w:rFonts w:ascii="Arial" w:hAnsi="Arial" w:cs="Arial"/>
          <w:bCs/>
          <w:color w:val="000000"/>
          <w:sz w:val="22"/>
          <w:szCs w:val="22"/>
        </w:rPr>
        <w:t xml:space="preserve">This manuscript adheres to the STROBE recommendations for case-control reports. </w:t>
      </w:r>
    </w:p>
    <w:p w14:paraId="22B179F4" w14:textId="77777777" w:rsidR="00FE5D8E" w:rsidRDefault="00FE5D8E" w:rsidP="00871157">
      <w:pPr>
        <w:contextualSpacing/>
        <w:jc w:val="both"/>
        <w:rPr>
          <w:rFonts w:ascii="Arial" w:hAnsi="Arial" w:cs="Arial"/>
          <w:bCs/>
          <w:color w:val="000000"/>
          <w:sz w:val="22"/>
          <w:szCs w:val="22"/>
        </w:rPr>
      </w:pPr>
    </w:p>
    <w:p w14:paraId="0DA04962" w14:textId="337D21F5" w:rsidR="00FE5D8E" w:rsidRDefault="0095382D" w:rsidP="00871157">
      <w:pPr>
        <w:contextualSpacing/>
        <w:jc w:val="both"/>
      </w:pPr>
      <w:r>
        <w:rPr>
          <w:rFonts w:ascii="Arial" w:hAnsi="Arial" w:cs="Arial"/>
          <w:bCs/>
          <w:color w:val="000000"/>
          <w:sz w:val="22"/>
          <w:szCs w:val="22"/>
        </w:rPr>
        <w:t xml:space="preserve">CPFT is the only mental health provider for a catchment area that covers a population of ~1 million in the East of England, with urban, suburban and rural areas. In UK, all clozapine-treated patients must be seen by a consultant psychiatrist at least once a year, and CPFT runs a dedicated clozapine clinic service for such patients. Therefore, it is extremely unlikely that anyone treated with clozapine in this area was not under the care of CPFT. </w:t>
      </w:r>
    </w:p>
    <w:p w14:paraId="592BE082" w14:textId="77777777" w:rsidR="00FE5D8E" w:rsidRDefault="00FE5D8E" w:rsidP="00871157">
      <w:pPr>
        <w:contextualSpacing/>
        <w:jc w:val="both"/>
        <w:rPr>
          <w:rFonts w:ascii="Arial" w:hAnsi="Arial" w:cs="Arial"/>
          <w:bCs/>
          <w:color w:val="000000"/>
          <w:sz w:val="22"/>
          <w:szCs w:val="22"/>
          <w:u w:val="single"/>
        </w:rPr>
      </w:pPr>
    </w:p>
    <w:p w14:paraId="0350C601" w14:textId="1631D3A4" w:rsidR="00FE5D8E" w:rsidRPr="00D56F88" w:rsidRDefault="0095382D" w:rsidP="00871157">
      <w:pPr>
        <w:pStyle w:val="ListParagraph"/>
        <w:numPr>
          <w:ilvl w:val="1"/>
          <w:numId w:val="4"/>
        </w:numPr>
        <w:jc w:val="both"/>
        <w:rPr>
          <w:rFonts w:ascii="Arial" w:hAnsi="Arial" w:cs="Arial"/>
          <w:bCs/>
          <w:color w:val="000000"/>
          <w:sz w:val="22"/>
          <w:szCs w:val="22"/>
          <w:u w:val="single"/>
        </w:rPr>
      </w:pPr>
      <w:r w:rsidRPr="00D56F88">
        <w:rPr>
          <w:rFonts w:ascii="Arial" w:hAnsi="Arial" w:cs="Arial"/>
          <w:bCs/>
          <w:color w:val="000000"/>
          <w:sz w:val="22"/>
          <w:szCs w:val="22"/>
          <w:u w:val="single"/>
        </w:rPr>
        <w:t>Identificati</w:t>
      </w:r>
      <w:r w:rsidR="00996B47" w:rsidRPr="00D56F88">
        <w:rPr>
          <w:rFonts w:ascii="Arial" w:hAnsi="Arial" w:cs="Arial"/>
          <w:bCs/>
          <w:color w:val="000000"/>
          <w:sz w:val="22"/>
          <w:szCs w:val="22"/>
          <w:u w:val="single"/>
        </w:rPr>
        <w:t>on of cases and causes of death</w:t>
      </w:r>
      <w:r w:rsidRPr="00D56F88">
        <w:rPr>
          <w:rFonts w:ascii="Arial" w:hAnsi="Arial" w:cs="Arial"/>
          <w:bCs/>
          <w:color w:val="000000"/>
          <w:sz w:val="22"/>
          <w:szCs w:val="22"/>
          <w:u w:val="single"/>
        </w:rPr>
        <w:t xml:space="preserve"> </w:t>
      </w:r>
    </w:p>
    <w:p w14:paraId="4CC8C19F" w14:textId="67D335D9" w:rsidR="00FE5D8E" w:rsidRDefault="0095382D" w:rsidP="00871157">
      <w:pPr>
        <w:contextualSpacing/>
        <w:jc w:val="both"/>
      </w:pPr>
      <w:r>
        <w:rPr>
          <w:rFonts w:ascii="Arial" w:hAnsi="Arial" w:cs="Arial"/>
          <w:bCs/>
          <w:color w:val="000000"/>
          <w:sz w:val="22"/>
          <w:szCs w:val="22"/>
        </w:rPr>
        <w:t xml:space="preserve">Deceased patients and cases of death were identified using the </w:t>
      </w:r>
      <w:proofErr w:type="spellStart"/>
      <w:r>
        <w:rPr>
          <w:rFonts w:ascii="Arial" w:hAnsi="Arial" w:cs="Arial"/>
          <w:bCs/>
          <w:color w:val="000000"/>
          <w:sz w:val="22"/>
          <w:szCs w:val="22"/>
        </w:rPr>
        <w:t>Denzapine</w:t>
      </w:r>
      <w:proofErr w:type="spellEnd"/>
      <w:r>
        <w:rPr>
          <w:rFonts w:ascii="Arial" w:hAnsi="Arial" w:cs="Arial"/>
          <w:bCs/>
          <w:color w:val="000000"/>
          <w:sz w:val="22"/>
          <w:szCs w:val="22"/>
        </w:rPr>
        <w:t xml:space="preserve"> Monitoring Service (DMS) and Trust electronic clinical records, as part of an internal mortality review clinical audit. </w:t>
      </w:r>
      <w:r w:rsidR="00651E46">
        <w:rPr>
          <w:rFonts w:ascii="Arial" w:hAnsi="Arial" w:cs="Arial"/>
          <w:bCs/>
          <w:color w:val="000000"/>
          <w:sz w:val="22"/>
          <w:szCs w:val="22"/>
        </w:rPr>
        <w:t>Thirty-three</w:t>
      </w:r>
      <w:r>
        <w:rPr>
          <w:rFonts w:ascii="Arial" w:hAnsi="Arial" w:cs="Arial"/>
          <w:bCs/>
          <w:color w:val="000000"/>
          <w:sz w:val="22"/>
          <w:szCs w:val="22"/>
        </w:rPr>
        <w:t xml:space="preserve"> deceased patients were identified</w:t>
      </w:r>
      <w:r w:rsidR="00E05664">
        <w:rPr>
          <w:rFonts w:ascii="Arial" w:hAnsi="Arial" w:cs="Arial"/>
          <w:bCs/>
          <w:color w:val="000000"/>
          <w:sz w:val="22"/>
          <w:szCs w:val="22"/>
        </w:rPr>
        <w:t xml:space="preserve">, and cause of death was </w:t>
      </w:r>
      <w:r w:rsidR="00DD678C">
        <w:rPr>
          <w:rFonts w:ascii="Arial" w:hAnsi="Arial" w:cs="Arial"/>
          <w:bCs/>
          <w:color w:val="000000"/>
          <w:sz w:val="22"/>
          <w:szCs w:val="22"/>
        </w:rPr>
        <w:t>ascertained</w:t>
      </w:r>
      <w:r w:rsidR="00E05664">
        <w:rPr>
          <w:rFonts w:ascii="Arial" w:hAnsi="Arial" w:cs="Arial"/>
          <w:bCs/>
          <w:color w:val="000000"/>
          <w:sz w:val="22"/>
          <w:szCs w:val="22"/>
        </w:rPr>
        <w:t xml:space="preserve"> using the death certificate or coroner’s inquest report. </w:t>
      </w:r>
    </w:p>
    <w:p w14:paraId="6E229244" w14:textId="77777777" w:rsidR="00FE5D8E" w:rsidRDefault="00FE5D8E" w:rsidP="00871157">
      <w:pPr>
        <w:contextualSpacing/>
        <w:jc w:val="both"/>
        <w:rPr>
          <w:rFonts w:ascii="Arial" w:hAnsi="Arial" w:cs="Arial"/>
          <w:bCs/>
          <w:color w:val="000000"/>
          <w:sz w:val="22"/>
          <w:szCs w:val="22"/>
        </w:rPr>
      </w:pPr>
    </w:p>
    <w:p w14:paraId="3F521F08" w14:textId="28DC633F" w:rsidR="00FE5D8E" w:rsidRDefault="0095382D" w:rsidP="00871157">
      <w:pPr>
        <w:contextualSpacing/>
        <w:jc w:val="both"/>
      </w:pPr>
      <w:r>
        <w:rPr>
          <w:rFonts w:ascii="Arial" w:hAnsi="Arial" w:cs="Arial"/>
          <w:bCs/>
          <w:color w:val="000000"/>
          <w:sz w:val="22"/>
          <w:szCs w:val="22"/>
        </w:rPr>
        <w:t>Causes of death were divided into three categories based on their likely cause: suicide (intentional), unexpected (non-intentional), and expected. Deaths in t</w:t>
      </w:r>
      <w:r>
        <w:rPr>
          <w:rStyle w:val="normaltextrun1"/>
          <w:rFonts w:ascii="Arial" w:hAnsi="Arial" w:cs="Arial"/>
          <w:color w:val="000000"/>
          <w:sz w:val="22"/>
          <w:szCs w:val="22"/>
        </w:rPr>
        <w:t xml:space="preserve">he </w:t>
      </w:r>
      <w:r w:rsidR="00FF4416">
        <w:rPr>
          <w:rStyle w:val="normaltextrun1"/>
          <w:rFonts w:ascii="Arial" w:hAnsi="Arial" w:cs="Arial"/>
          <w:color w:val="000000"/>
          <w:sz w:val="22"/>
          <w:szCs w:val="22"/>
        </w:rPr>
        <w:t xml:space="preserve">‘expected’ </w:t>
      </w:r>
      <w:r>
        <w:rPr>
          <w:rStyle w:val="normaltextrun1"/>
          <w:rFonts w:ascii="Arial" w:hAnsi="Arial" w:cs="Arial"/>
          <w:color w:val="000000"/>
          <w:sz w:val="22"/>
          <w:szCs w:val="22"/>
        </w:rPr>
        <w:t xml:space="preserve">group were considered </w:t>
      </w:r>
      <w:r w:rsidRPr="00EF513C">
        <w:rPr>
          <w:rStyle w:val="normaltextrun1"/>
          <w:rFonts w:ascii="Arial" w:hAnsi="Arial" w:cs="Arial"/>
          <w:i/>
          <w:iCs/>
          <w:color w:val="000000"/>
          <w:sz w:val="22"/>
          <w:szCs w:val="22"/>
        </w:rPr>
        <w:t xml:space="preserve">a priori </w:t>
      </w:r>
      <w:r>
        <w:rPr>
          <w:rStyle w:val="normaltextrun1"/>
          <w:rFonts w:ascii="Arial" w:hAnsi="Arial" w:cs="Arial"/>
          <w:color w:val="000000"/>
          <w:sz w:val="22"/>
          <w:szCs w:val="22"/>
        </w:rPr>
        <w:t xml:space="preserve">unlikely to be associated with clozapine and reflected known life-limiting conditions (e.g. patients with a diagnosis of cancer or dementia). The non-intentional unexpected deaths included (a) deaths potentially attributable to known dose-dependent side </w:t>
      </w:r>
      <w:r>
        <w:rPr>
          <w:rStyle w:val="normaltextrun1"/>
          <w:rFonts w:ascii="Arial" w:hAnsi="Arial" w:cs="Arial"/>
          <w:color w:val="000000"/>
          <w:sz w:val="22"/>
          <w:szCs w:val="22"/>
        </w:rPr>
        <w:lastRenderedPageBreak/>
        <w:t xml:space="preserve">effects of clozapine (seizures, arrhythmias, gastrointestinal); (b) idiosyncratic or immune reactions potentially attributable to clozapine (agranulocytosis, myocarditis); (c) acute consequences of long-term metabolic side-effects attributable to clozapine </w:t>
      </w:r>
      <w:r w:rsidR="00E05664">
        <w:rPr>
          <w:rStyle w:val="normaltextrun1"/>
          <w:rFonts w:ascii="Arial" w:hAnsi="Arial" w:cs="Arial"/>
          <w:color w:val="000000"/>
          <w:sz w:val="22"/>
          <w:szCs w:val="22"/>
        </w:rPr>
        <w:t>(</w:t>
      </w:r>
      <w:proofErr w:type="spellStart"/>
      <w:r w:rsidR="00E05664">
        <w:rPr>
          <w:rStyle w:val="normaltextrun1"/>
          <w:rFonts w:ascii="Arial" w:hAnsi="Arial" w:cs="Arial"/>
          <w:color w:val="000000"/>
          <w:sz w:val="22"/>
          <w:szCs w:val="22"/>
        </w:rPr>
        <w:t>e.g</w:t>
      </w:r>
      <w:proofErr w:type="spellEnd"/>
      <w:r w:rsidR="00E05664">
        <w:rPr>
          <w:rStyle w:val="normaltextrun1"/>
          <w:rFonts w:ascii="Arial" w:hAnsi="Arial" w:cs="Arial"/>
          <w:color w:val="000000"/>
          <w:sz w:val="22"/>
          <w:szCs w:val="22"/>
        </w:rPr>
        <w:t xml:space="preserve"> diabetes or hyperlipidaemia)</w:t>
      </w:r>
      <w:r>
        <w:rPr>
          <w:rStyle w:val="normaltextrun1"/>
          <w:rFonts w:ascii="Arial" w:hAnsi="Arial" w:cs="Arial"/>
          <w:color w:val="000000"/>
          <w:sz w:val="22"/>
          <w:szCs w:val="22"/>
        </w:rPr>
        <w:t>; and (d) those in which cause of death was not ascertained</w:t>
      </w:r>
      <w:r w:rsidR="00FF4416">
        <w:rPr>
          <w:rStyle w:val="normaltextrun1"/>
          <w:rFonts w:ascii="Arial" w:hAnsi="Arial" w:cs="Arial"/>
          <w:color w:val="000000"/>
          <w:sz w:val="22"/>
          <w:szCs w:val="22"/>
        </w:rPr>
        <w:t xml:space="preserve"> (unexplained deaths). As </w:t>
      </w:r>
      <w:r w:rsidR="00E05664">
        <w:rPr>
          <w:rStyle w:val="normaltextrun1"/>
          <w:rFonts w:ascii="Arial" w:hAnsi="Arial" w:cs="Arial"/>
          <w:color w:val="000000"/>
          <w:sz w:val="22"/>
          <w:szCs w:val="22"/>
        </w:rPr>
        <w:t xml:space="preserve">some </w:t>
      </w:r>
      <w:r w:rsidR="00FF4416">
        <w:rPr>
          <w:rStyle w:val="normaltextrun1"/>
          <w:rFonts w:ascii="Arial" w:hAnsi="Arial" w:cs="Arial"/>
          <w:color w:val="000000"/>
          <w:sz w:val="22"/>
          <w:szCs w:val="22"/>
        </w:rPr>
        <w:t xml:space="preserve">causes of </w:t>
      </w:r>
      <w:r w:rsidR="00E05664">
        <w:rPr>
          <w:rStyle w:val="normaltextrun1"/>
          <w:rFonts w:ascii="Arial" w:hAnsi="Arial" w:cs="Arial"/>
          <w:color w:val="000000"/>
          <w:sz w:val="22"/>
          <w:szCs w:val="22"/>
        </w:rPr>
        <w:t>death</w:t>
      </w:r>
      <w:r w:rsidR="00FF4416">
        <w:rPr>
          <w:rStyle w:val="normaltextrun1"/>
          <w:rFonts w:ascii="Arial" w:hAnsi="Arial" w:cs="Arial"/>
          <w:color w:val="000000"/>
          <w:sz w:val="22"/>
          <w:szCs w:val="22"/>
        </w:rPr>
        <w:t xml:space="preserve">, such as </w:t>
      </w:r>
      <w:r w:rsidR="00E05664">
        <w:rPr>
          <w:rStyle w:val="normaltextrun1"/>
          <w:rFonts w:ascii="Arial" w:hAnsi="Arial" w:cs="Arial"/>
          <w:color w:val="000000"/>
          <w:sz w:val="22"/>
          <w:szCs w:val="22"/>
        </w:rPr>
        <w:t xml:space="preserve">sudden arrythmia, </w:t>
      </w:r>
      <w:r w:rsidR="00FF4416">
        <w:rPr>
          <w:rStyle w:val="normaltextrun1"/>
          <w:rFonts w:ascii="Arial" w:hAnsi="Arial" w:cs="Arial"/>
          <w:color w:val="000000"/>
          <w:sz w:val="22"/>
          <w:szCs w:val="22"/>
        </w:rPr>
        <w:t>may leave no trace at</w:t>
      </w:r>
      <w:r w:rsidR="00FF4416" w:rsidRPr="00422EE2">
        <w:rPr>
          <w:rStyle w:val="normaltextrun1"/>
          <w:rFonts w:ascii="Arial" w:hAnsi="Arial" w:cs="Arial"/>
          <w:i/>
          <w:iCs/>
          <w:color w:val="000000"/>
          <w:sz w:val="22"/>
          <w:szCs w:val="22"/>
        </w:rPr>
        <w:t xml:space="preserve"> </w:t>
      </w:r>
      <w:proofErr w:type="gramStart"/>
      <w:r w:rsidR="00FF4416" w:rsidRPr="00422EE2">
        <w:rPr>
          <w:rStyle w:val="normaltextrun1"/>
          <w:rFonts w:ascii="Arial" w:hAnsi="Arial" w:cs="Arial"/>
          <w:i/>
          <w:iCs/>
          <w:color w:val="000000"/>
          <w:sz w:val="22"/>
          <w:szCs w:val="22"/>
        </w:rPr>
        <w:t>post mortem</w:t>
      </w:r>
      <w:proofErr w:type="gramEnd"/>
      <w:r w:rsidR="00FF4416" w:rsidRPr="00422EE2">
        <w:rPr>
          <w:rStyle w:val="normaltextrun1"/>
          <w:rFonts w:ascii="Arial" w:hAnsi="Arial" w:cs="Arial"/>
          <w:i/>
          <w:iCs/>
          <w:color w:val="000000"/>
          <w:sz w:val="22"/>
          <w:szCs w:val="22"/>
        </w:rPr>
        <w:t xml:space="preserve"> </w:t>
      </w:r>
      <w:r w:rsidR="00FF4416">
        <w:rPr>
          <w:rStyle w:val="normaltextrun1"/>
          <w:rFonts w:ascii="Arial" w:hAnsi="Arial" w:cs="Arial"/>
          <w:color w:val="000000"/>
          <w:sz w:val="22"/>
          <w:szCs w:val="22"/>
        </w:rPr>
        <w:t xml:space="preserve">examination, </w:t>
      </w:r>
      <w:r w:rsidR="00E05664">
        <w:rPr>
          <w:rStyle w:val="normaltextrun1"/>
          <w:rFonts w:ascii="Arial" w:hAnsi="Arial" w:cs="Arial"/>
          <w:color w:val="000000"/>
          <w:sz w:val="22"/>
          <w:szCs w:val="22"/>
        </w:rPr>
        <w:t xml:space="preserve">all these cases were included </w:t>
      </w:r>
      <w:r w:rsidR="00FF4416">
        <w:rPr>
          <w:rStyle w:val="normaltextrun1"/>
          <w:rFonts w:ascii="Arial" w:hAnsi="Arial" w:cs="Arial"/>
          <w:color w:val="000000"/>
          <w:sz w:val="22"/>
          <w:szCs w:val="22"/>
        </w:rPr>
        <w:t xml:space="preserve">in the ‘unexpected’ category, </w:t>
      </w:r>
      <w:r w:rsidR="00E05664">
        <w:rPr>
          <w:rStyle w:val="normaltextrun1"/>
          <w:rFonts w:ascii="Arial" w:hAnsi="Arial" w:cs="Arial"/>
          <w:color w:val="000000"/>
          <w:sz w:val="22"/>
          <w:szCs w:val="22"/>
        </w:rPr>
        <w:t>as we de</w:t>
      </w:r>
      <w:r w:rsidR="00FF4416">
        <w:rPr>
          <w:rStyle w:val="normaltextrun1"/>
          <w:rFonts w:ascii="Arial" w:hAnsi="Arial" w:cs="Arial"/>
          <w:color w:val="000000"/>
          <w:sz w:val="22"/>
          <w:szCs w:val="22"/>
        </w:rPr>
        <w:t xml:space="preserve">termined upon </w:t>
      </w:r>
      <w:r w:rsidR="00E05664">
        <w:rPr>
          <w:rStyle w:val="normaltextrun1"/>
          <w:rFonts w:ascii="Arial" w:hAnsi="Arial" w:cs="Arial"/>
          <w:color w:val="000000"/>
          <w:sz w:val="22"/>
          <w:szCs w:val="22"/>
        </w:rPr>
        <w:t xml:space="preserve">a low threshold for attributing </w:t>
      </w:r>
      <w:r w:rsidR="00FF4416">
        <w:rPr>
          <w:rStyle w:val="normaltextrun1"/>
          <w:rFonts w:ascii="Arial" w:hAnsi="Arial" w:cs="Arial"/>
          <w:color w:val="000000"/>
          <w:sz w:val="22"/>
          <w:szCs w:val="22"/>
        </w:rPr>
        <w:t xml:space="preserve">a death as potentially due </w:t>
      </w:r>
      <w:r w:rsidR="00E05664">
        <w:rPr>
          <w:rStyle w:val="normaltextrun1"/>
          <w:rFonts w:ascii="Arial" w:hAnsi="Arial" w:cs="Arial"/>
          <w:color w:val="000000"/>
          <w:sz w:val="22"/>
          <w:szCs w:val="22"/>
        </w:rPr>
        <w:t>to clozapine</w:t>
      </w:r>
      <w:r>
        <w:rPr>
          <w:rStyle w:val="normaltextrun1"/>
          <w:rFonts w:ascii="Arial" w:hAnsi="Arial" w:cs="Arial"/>
          <w:color w:val="000000"/>
          <w:sz w:val="22"/>
          <w:szCs w:val="22"/>
        </w:rPr>
        <w:t xml:space="preserve">. </w:t>
      </w:r>
      <w:r>
        <w:rPr>
          <w:rFonts w:ascii="Arial" w:hAnsi="Arial" w:cs="Arial"/>
          <w:bCs/>
          <w:color w:val="000000"/>
          <w:sz w:val="22"/>
          <w:szCs w:val="22"/>
        </w:rPr>
        <w:t>Paper notes were reviewed for 3 patients</w:t>
      </w:r>
      <w:r w:rsidR="00E05664">
        <w:rPr>
          <w:rFonts w:ascii="Arial" w:hAnsi="Arial" w:cs="Arial"/>
          <w:bCs/>
          <w:color w:val="000000"/>
          <w:sz w:val="22"/>
          <w:szCs w:val="22"/>
        </w:rPr>
        <w:t xml:space="preserve"> </w:t>
      </w:r>
      <w:r w:rsidR="00FF4416">
        <w:rPr>
          <w:rFonts w:ascii="Arial" w:hAnsi="Arial" w:cs="Arial"/>
          <w:bCs/>
          <w:color w:val="000000"/>
          <w:sz w:val="22"/>
          <w:szCs w:val="22"/>
        </w:rPr>
        <w:t xml:space="preserve">for whom relevant </w:t>
      </w:r>
      <w:r w:rsidR="00E05664">
        <w:rPr>
          <w:rFonts w:ascii="Arial" w:hAnsi="Arial" w:cs="Arial"/>
          <w:bCs/>
          <w:color w:val="000000"/>
          <w:sz w:val="22"/>
          <w:szCs w:val="22"/>
        </w:rPr>
        <w:t xml:space="preserve">information </w:t>
      </w:r>
      <w:r w:rsidR="00FF4416">
        <w:rPr>
          <w:rFonts w:ascii="Arial" w:hAnsi="Arial" w:cs="Arial"/>
          <w:bCs/>
          <w:color w:val="000000"/>
          <w:sz w:val="22"/>
          <w:szCs w:val="22"/>
        </w:rPr>
        <w:t xml:space="preserve">was recorded before CPFT’s </w:t>
      </w:r>
      <w:r w:rsidR="00E05664">
        <w:rPr>
          <w:rFonts w:ascii="Arial" w:hAnsi="Arial" w:cs="Arial"/>
          <w:bCs/>
          <w:color w:val="000000"/>
          <w:sz w:val="22"/>
          <w:szCs w:val="22"/>
        </w:rPr>
        <w:t xml:space="preserve">electronic records </w:t>
      </w:r>
      <w:r w:rsidR="00FF4416">
        <w:rPr>
          <w:rFonts w:ascii="Arial" w:hAnsi="Arial" w:cs="Arial"/>
          <w:bCs/>
          <w:color w:val="000000"/>
          <w:sz w:val="22"/>
          <w:szCs w:val="22"/>
        </w:rPr>
        <w:t xml:space="preserve">systems </w:t>
      </w:r>
      <w:r w:rsidR="00E05664">
        <w:rPr>
          <w:rFonts w:ascii="Arial" w:hAnsi="Arial" w:cs="Arial"/>
          <w:bCs/>
          <w:color w:val="000000"/>
          <w:sz w:val="22"/>
          <w:szCs w:val="22"/>
        </w:rPr>
        <w:t xml:space="preserve">were established. </w:t>
      </w:r>
      <w:r>
        <w:rPr>
          <w:rFonts w:ascii="Arial" w:hAnsi="Arial" w:cs="Arial"/>
          <w:bCs/>
          <w:color w:val="000000"/>
          <w:sz w:val="22"/>
          <w:szCs w:val="22"/>
        </w:rPr>
        <w:t xml:space="preserve">When cause of death was not clear from the notes, coroner’s reports were requested. </w:t>
      </w:r>
    </w:p>
    <w:p w14:paraId="4C7D5823" w14:textId="77777777" w:rsidR="00FE5D8E" w:rsidRDefault="00FE5D8E" w:rsidP="00871157">
      <w:pPr>
        <w:contextualSpacing/>
        <w:jc w:val="both"/>
        <w:rPr>
          <w:rFonts w:ascii="Arial" w:hAnsi="Arial" w:cs="Arial"/>
          <w:bCs/>
          <w:color w:val="000000"/>
          <w:sz w:val="22"/>
          <w:szCs w:val="22"/>
        </w:rPr>
      </w:pPr>
    </w:p>
    <w:p w14:paraId="7FAB1592" w14:textId="3AC4F181" w:rsidR="00FE5D8E" w:rsidRPr="00D56F88" w:rsidRDefault="0095382D" w:rsidP="00871157">
      <w:pPr>
        <w:pStyle w:val="ListParagraph"/>
        <w:numPr>
          <w:ilvl w:val="1"/>
          <w:numId w:val="4"/>
        </w:numPr>
        <w:jc w:val="both"/>
        <w:rPr>
          <w:rFonts w:ascii="Arial" w:hAnsi="Arial" w:cs="Arial"/>
          <w:bCs/>
          <w:color w:val="000000"/>
          <w:sz w:val="22"/>
          <w:szCs w:val="22"/>
          <w:u w:val="single"/>
        </w:rPr>
      </w:pPr>
      <w:r w:rsidRPr="00D56F88">
        <w:rPr>
          <w:rFonts w:ascii="Arial" w:hAnsi="Arial" w:cs="Arial"/>
          <w:bCs/>
          <w:color w:val="000000"/>
          <w:sz w:val="22"/>
          <w:szCs w:val="22"/>
          <w:u w:val="single"/>
        </w:rPr>
        <w:t xml:space="preserve">Identification of </w:t>
      </w:r>
      <w:r w:rsidR="00FF4416" w:rsidRPr="00D56F88">
        <w:rPr>
          <w:rFonts w:ascii="Arial" w:hAnsi="Arial" w:cs="Arial"/>
          <w:bCs/>
          <w:color w:val="000000"/>
          <w:sz w:val="22"/>
          <w:szCs w:val="22"/>
          <w:u w:val="single"/>
        </w:rPr>
        <w:t xml:space="preserve">the </w:t>
      </w:r>
      <w:r w:rsidRPr="00D56F88">
        <w:rPr>
          <w:rFonts w:ascii="Arial" w:hAnsi="Arial" w:cs="Arial"/>
          <w:bCs/>
          <w:color w:val="000000"/>
          <w:sz w:val="22"/>
          <w:szCs w:val="22"/>
          <w:u w:val="single"/>
        </w:rPr>
        <w:t>clozapine-treated control group</w:t>
      </w:r>
    </w:p>
    <w:p w14:paraId="2C59F6F7" w14:textId="66F9F07C" w:rsidR="008B57B8" w:rsidRDefault="0095382D" w:rsidP="00871157">
      <w:pPr>
        <w:contextualSpacing/>
        <w:jc w:val="both"/>
        <w:rPr>
          <w:rFonts w:ascii="Arial" w:hAnsi="Arial" w:cs="Arial"/>
          <w:bCs/>
          <w:color w:val="000000"/>
          <w:sz w:val="22"/>
          <w:szCs w:val="22"/>
        </w:rPr>
      </w:pPr>
      <w:r>
        <w:rPr>
          <w:rFonts w:ascii="Arial" w:hAnsi="Arial" w:cs="Arial"/>
          <w:bCs/>
          <w:color w:val="000000"/>
          <w:sz w:val="22"/>
          <w:szCs w:val="22"/>
        </w:rPr>
        <w:t>A comparison group was blindly</w:t>
      </w:r>
      <w:r w:rsidR="00FF4416">
        <w:rPr>
          <w:rFonts w:ascii="Arial" w:hAnsi="Arial" w:cs="Arial"/>
          <w:bCs/>
          <w:color w:val="000000"/>
          <w:sz w:val="22"/>
          <w:szCs w:val="22"/>
        </w:rPr>
        <w:t xml:space="preserve"> and</w:t>
      </w:r>
      <w:r>
        <w:rPr>
          <w:rFonts w:ascii="Arial" w:hAnsi="Arial" w:cs="Arial"/>
          <w:bCs/>
          <w:color w:val="000000"/>
          <w:sz w:val="22"/>
          <w:szCs w:val="22"/>
        </w:rPr>
        <w:t xml:space="preserve"> </w:t>
      </w:r>
      <w:r w:rsidRPr="00EF513C">
        <w:rPr>
          <w:rFonts w:ascii="Arial" w:hAnsi="Arial" w:cs="Arial"/>
          <w:bCs/>
          <w:color w:val="000000"/>
          <w:sz w:val="22"/>
          <w:szCs w:val="22"/>
        </w:rPr>
        <w:t>randomly</w:t>
      </w:r>
      <w:r>
        <w:rPr>
          <w:rFonts w:ascii="Arial" w:hAnsi="Arial" w:cs="Arial"/>
          <w:bCs/>
          <w:color w:val="000000"/>
          <w:sz w:val="22"/>
          <w:szCs w:val="22"/>
        </w:rPr>
        <w:t xml:space="preserve"> selected from the clozapine Clinical and Research Database, an ethically approved database of clozapine-treated patients at CPFT (NHS Research Ethics </w:t>
      </w:r>
      <w:r w:rsidRPr="00574012">
        <w:rPr>
          <w:rFonts w:ascii="Arial" w:hAnsi="Arial" w:cs="Arial"/>
          <w:bCs/>
          <w:color w:val="000000"/>
          <w:sz w:val="22"/>
          <w:szCs w:val="22"/>
        </w:rPr>
        <w:t xml:space="preserve">references 13/EE/0121 &amp; 18/EE/0239). </w:t>
      </w:r>
      <w:r w:rsidR="008B57B8">
        <w:rPr>
          <w:rFonts w:ascii="Arial" w:hAnsi="Arial" w:cs="Arial"/>
          <w:bCs/>
          <w:color w:val="000000"/>
          <w:sz w:val="22"/>
          <w:szCs w:val="22"/>
        </w:rPr>
        <w:t xml:space="preserve">Volunteers have given consent to participate.  </w:t>
      </w:r>
    </w:p>
    <w:p w14:paraId="278558CA" w14:textId="77777777" w:rsidR="008B57B8" w:rsidRDefault="008B57B8" w:rsidP="00871157">
      <w:pPr>
        <w:contextualSpacing/>
        <w:jc w:val="both"/>
        <w:rPr>
          <w:rFonts w:ascii="Arial" w:hAnsi="Arial" w:cs="Arial"/>
          <w:bCs/>
          <w:color w:val="000000"/>
          <w:sz w:val="22"/>
          <w:szCs w:val="22"/>
        </w:rPr>
      </w:pPr>
    </w:p>
    <w:p w14:paraId="23795BD5" w14:textId="126428FE" w:rsidR="00FE5D8E" w:rsidRDefault="0095382D" w:rsidP="00871157">
      <w:pPr>
        <w:contextualSpacing/>
        <w:jc w:val="both"/>
        <w:rPr>
          <w:rFonts w:ascii="Arial" w:hAnsi="Arial" w:cs="Arial"/>
          <w:bCs/>
          <w:color w:val="000000"/>
          <w:sz w:val="22"/>
          <w:szCs w:val="22"/>
        </w:rPr>
      </w:pPr>
      <w:r w:rsidRPr="00574012">
        <w:rPr>
          <w:rFonts w:ascii="Arial" w:hAnsi="Arial" w:cs="Arial"/>
          <w:bCs/>
          <w:color w:val="000000"/>
          <w:sz w:val="22"/>
          <w:szCs w:val="22"/>
        </w:rPr>
        <w:t xml:space="preserve">Exclusion criteria for the group were: death prior to 1 Jan 2019; started clozapine </w:t>
      </w:r>
      <w:r w:rsidR="00574012" w:rsidRPr="00574012">
        <w:rPr>
          <w:rFonts w:ascii="Arial" w:hAnsi="Arial" w:cs="Arial"/>
          <w:bCs/>
          <w:color w:val="000000"/>
          <w:sz w:val="22"/>
          <w:szCs w:val="22"/>
        </w:rPr>
        <w:t xml:space="preserve">after </w:t>
      </w:r>
      <w:r w:rsidRPr="00574012">
        <w:rPr>
          <w:rFonts w:ascii="Arial" w:hAnsi="Arial" w:cs="Arial"/>
          <w:bCs/>
          <w:color w:val="000000"/>
          <w:sz w:val="22"/>
          <w:szCs w:val="22"/>
        </w:rPr>
        <w:t>2009 (52 excluded); lost to follow-up between 2009-2018 (34 cases</w:t>
      </w:r>
      <w:r w:rsidR="00FF4416">
        <w:rPr>
          <w:rFonts w:ascii="Arial" w:hAnsi="Arial" w:cs="Arial"/>
          <w:bCs/>
          <w:color w:val="000000"/>
          <w:sz w:val="22"/>
          <w:szCs w:val="22"/>
        </w:rPr>
        <w:t xml:space="preserve"> excluded</w:t>
      </w:r>
      <w:r w:rsidRPr="00574012">
        <w:rPr>
          <w:rFonts w:ascii="Arial" w:hAnsi="Arial" w:cs="Arial"/>
          <w:bCs/>
          <w:color w:val="000000"/>
          <w:sz w:val="22"/>
          <w:szCs w:val="22"/>
        </w:rPr>
        <w:t>); or off-label use of clozapine (18 cases</w:t>
      </w:r>
      <w:r>
        <w:rPr>
          <w:rFonts w:ascii="Arial" w:hAnsi="Arial" w:cs="Arial"/>
          <w:bCs/>
          <w:color w:val="000000"/>
          <w:sz w:val="22"/>
          <w:szCs w:val="22"/>
        </w:rPr>
        <w:t>). Therefore, all patients in the control group had schizophrenia and were continuously treated with clozapine from before 2008 to after 2018. In total, 123 patients were identified as the control group</w:t>
      </w:r>
      <w:r w:rsidR="00FF4416">
        <w:rPr>
          <w:rFonts w:ascii="Arial" w:hAnsi="Arial" w:cs="Arial"/>
          <w:bCs/>
          <w:color w:val="000000"/>
          <w:sz w:val="22"/>
          <w:szCs w:val="22"/>
        </w:rPr>
        <w:t>, which equa</w:t>
      </w:r>
      <w:r w:rsidR="005735D6">
        <w:rPr>
          <w:rFonts w:ascii="Arial" w:hAnsi="Arial" w:cs="Arial"/>
          <w:bCs/>
          <w:color w:val="000000"/>
          <w:sz w:val="22"/>
          <w:szCs w:val="22"/>
        </w:rPr>
        <w:t>te</w:t>
      </w:r>
      <w:r w:rsidR="00FF4416">
        <w:rPr>
          <w:rFonts w:ascii="Arial" w:hAnsi="Arial" w:cs="Arial"/>
          <w:bCs/>
          <w:color w:val="000000"/>
          <w:sz w:val="22"/>
          <w:szCs w:val="22"/>
        </w:rPr>
        <w:t>s to 29% of all clozapine-</w:t>
      </w:r>
      <w:r w:rsidR="005735D6">
        <w:rPr>
          <w:rFonts w:ascii="Arial" w:hAnsi="Arial" w:cs="Arial"/>
          <w:bCs/>
          <w:color w:val="000000"/>
          <w:sz w:val="22"/>
          <w:szCs w:val="22"/>
        </w:rPr>
        <w:t xml:space="preserve">treated </w:t>
      </w:r>
      <w:r w:rsidR="00FF4416">
        <w:rPr>
          <w:rFonts w:ascii="Arial" w:hAnsi="Arial" w:cs="Arial"/>
          <w:bCs/>
          <w:color w:val="000000"/>
          <w:sz w:val="22"/>
          <w:szCs w:val="22"/>
        </w:rPr>
        <w:t>patients</w:t>
      </w:r>
      <w:r w:rsidR="00DD4542">
        <w:rPr>
          <w:rFonts w:ascii="Arial" w:hAnsi="Arial" w:cs="Arial"/>
          <w:bCs/>
          <w:color w:val="000000"/>
          <w:sz w:val="22"/>
          <w:szCs w:val="22"/>
        </w:rPr>
        <w:t xml:space="preserve"> in the trust. </w:t>
      </w:r>
    </w:p>
    <w:p w14:paraId="17C5FE5E" w14:textId="77777777" w:rsidR="00DD4542" w:rsidRDefault="00DD4542" w:rsidP="00871157">
      <w:pPr>
        <w:contextualSpacing/>
        <w:jc w:val="both"/>
        <w:rPr>
          <w:rFonts w:ascii="Arial" w:hAnsi="Arial" w:cs="Arial"/>
          <w:bCs/>
          <w:color w:val="000000"/>
          <w:sz w:val="22"/>
          <w:szCs w:val="22"/>
          <w:highlight w:val="yellow"/>
        </w:rPr>
      </w:pPr>
    </w:p>
    <w:p w14:paraId="57464A5B" w14:textId="7783C391" w:rsidR="007C71EF" w:rsidRDefault="007C71EF" w:rsidP="00871157">
      <w:pPr>
        <w:contextualSpacing/>
        <w:jc w:val="both"/>
        <w:rPr>
          <w:rFonts w:ascii="Arial" w:hAnsi="Arial" w:cs="Arial"/>
          <w:bCs/>
          <w:color w:val="000000"/>
          <w:sz w:val="22"/>
          <w:szCs w:val="22"/>
        </w:rPr>
      </w:pPr>
      <w:r>
        <w:rPr>
          <w:rFonts w:ascii="Arial" w:hAnsi="Arial" w:cs="Arial"/>
          <w:bCs/>
          <w:color w:val="000000"/>
          <w:sz w:val="22"/>
          <w:szCs w:val="22"/>
        </w:rPr>
        <w:t xml:space="preserve">The information we extracted for each </w:t>
      </w:r>
      <w:r w:rsidR="00574012">
        <w:rPr>
          <w:rFonts w:ascii="Arial" w:hAnsi="Arial" w:cs="Arial"/>
          <w:bCs/>
          <w:color w:val="000000"/>
          <w:sz w:val="22"/>
          <w:szCs w:val="22"/>
        </w:rPr>
        <w:t>patient</w:t>
      </w:r>
      <w:r>
        <w:rPr>
          <w:rFonts w:ascii="Arial" w:hAnsi="Arial" w:cs="Arial"/>
          <w:bCs/>
          <w:color w:val="000000"/>
          <w:sz w:val="22"/>
          <w:szCs w:val="22"/>
        </w:rPr>
        <w:t xml:space="preserve"> included social-demographic factors (age, gender), health behaviour (smoking</w:t>
      </w:r>
      <w:r w:rsidR="00651E46">
        <w:rPr>
          <w:rFonts w:ascii="Arial" w:hAnsi="Arial" w:cs="Arial"/>
          <w:bCs/>
          <w:color w:val="000000"/>
          <w:sz w:val="22"/>
          <w:szCs w:val="22"/>
        </w:rPr>
        <w:t xml:space="preserve"> </w:t>
      </w:r>
      <w:r w:rsidR="00422EE2">
        <w:rPr>
          <w:rFonts w:ascii="Arial" w:hAnsi="Arial" w:cs="Arial"/>
          <w:bCs/>
          <w:color w:val="000000"/>
          <w:sz w:val="22"/>
          <w:szCs w:val="22"/>
        </w:rPr>
        <w:t>status</w:t>
      </w:r>
      <w:r>
        <w:rPr>
          <w:rFonts w:ascii="Arial" w:hAnsi="Arial" w:cs="Arial"/>
          <w:bCs/>
          <w:color w:val="000000"/>
          <w:sz w:val="22"/>
          <w:szCs w:val="22"/>
        </w:rPr>
        <w:t>), clozapine dosage, co-prescriptions (</w:t>
      </w:r>
      <w:r w:rsidR="00422EE2">
        <w:rPr>
          <w:rFonts w:ascii="Arial" w:hAnsi="Arial" w:cs="Arial"/>
          <w:bCs/>
          <w:color w:val="000000"/>
          <w:sz w:val="22"/>
          <w:szCs w:val="22"/>
        </w:rPr>
        <w:t xml:space="preserve">whether taking an </w:t>
      </w:r>
      <w:r>
        <w:rPr>
          <w:rFonts w:ascii="Arial" w:hAnsi="Arial" w:cs="Arial"/>
          <w:bCs/>
          <w:color w:val="000000"/>
          <w:sz w:val="22"/>
          <w:szCs w:val="22"/>
        </w:rPr>
        <w:t xml:space="preserve">antipsychotic, antidepressant, or mood stabilizer), and </w:t>
      </w:r>
      <w:r w:rsidR="00422EE2">
        <w:rPr>
          <w:rFonts w:ascii="Arial" w:hAnsi="Arial" w:cs="Arial"/>
          <w:bCs/>
          <w:color w:val="000000"/>
          <w:sz w:val="22"/>
          <w:szCs w:val="22"/>
        </w:rPr>
        <w:t>co</w:t>
      </w:r>
      <w:r>
        <w:rPr>
          <w:rFonts w:ascii="Arial" w:hAnsi="Arial" w:cs="Arial"/>
          <w:bCs/>
          <w:color w:val="000000"/>
          <w:sz w:val="22"/>
          <w:szCs w:val="22"/>
        </w:rPr>
        <w:t>morbidity (</w:t>
      </w:r>
      <w:r w:rsidR="00422EE2">
        <w:rPr>
          <w:rFonts w:ascii="Arial" w:hAnsi="Arial" w:cs="Arial"/>
          <w:bCs/>
          <w:color w:val="000000"/>
          <w:sz w:val="22"/>
          <w:szCs w:val="22"/>
        </w:rPr>
        <w:t xml:space="preserve">presence of </w:t>
      </w:r>
      <w:r>
        <w:rPr>
          <w:rFonts w:ascii="Arial" w:hAnsi="Arial" w:cs="Arial"/>
          <w:bCs/>
          <w:color w:val="000000"/>
          <w:sz w:val="22"/>
          <w:szCs w:val="22"/>
        </w:rPr>
        <w:t>type 2 diabetes</w:t>
      </w:r>
      <w:r w:rsidR="00422EE2">
        <w:rPr>
          <w:rFonts w:ascii="Arial" w:hAnsi="Arial" w:cs="Arial"/>
          <w:bCs/>
          <w:color w:val="000000"/>
          <w:sz w:val="22"/>
          <w:szCs w:val="22"/>
        </w:rPr>
        <w:t xml:space="preserve"> mellitus</w:t>
      </w:r>
      <w:r w:rsidR="00A02AE6">
        <w:rPr>
          <w:rFonts w:ascii="Arial" w:hAnsi="Arial" w:cs="Arial"/>
          <w:bCs/>
          <w:color w:val="000000"/>
          <w:sz w:val="22"/>
          <w:szCs w:val="22"/>
        </w:rPr>
        <w:t>)</w:t>
      </w:r>
      <w:r>
        <w:rPr>
          <w:rFonts w:ascii="Arial" w:hAnsi="Arial" w:cs="Arial"/>
          <w:bCs/>
          <w:color w:val="000000"/>
          <w:sz w:val="22"/>
          <w:szCs w:val="22"/>
        </w:rPr>
        <w:t xml:space="preserve">. </w:t>
      </w:r>
      <w:r w:rsidR="00E41622">
        <w:rPr>
          <w:rFonts w:ascii="Arial" w:hAnsi="Arial" w:cs="Arial"/>
          <w:bCs/>
          <w:color w:val="000000"/>
          <w:sz w:val="22"/>
          <w:szCs w:val="22"/>
        </w:rPr>
        <w:t xml:space="preserve">Age was calculated </w:t>
      </w:r>
      <w:r w:rsidR="00B50182">
        <w:rPr>
          <w:rFonts w:ascii="Arial" w:hAnsi="Arial" w:cs="Arial"/>
          <w:bCs/>
          <w:color w:val="000000"/>
          <w:sz w:val="22"/>
          <w:szCs w:val="22"/>
        </w:rPr>
        <w:t>up to the</w:t>
      </w:r>
      <w:r w:rsidR="00E41622">
        <w:rPr>
          <w:rFonts w:ascii="Arial" w:hAnsi="Arial" w:cs="Arial"/>
          <w:bCs/>
          <w:color w:val="000000"/>
          <w:sz w:val="22"/>
          <w:szCs w:val="22"/>
        </w:rPr>
        <w:t xml:space="preserve"> death day or 1 Jan 2019. </w:t>
      </w:r>
      <w:r>
        <w:rPr>
          <w:rFonts w:ascii="Arial" w:hAnsi="Arial" w:cs="Arial"/>
          <w:bCs/>
          <w:color w:val="000000"/>
          <w:sz w:val="22"/>
          <w:szCs w:val="22"/>
        </w:rPr>
        <w:t>Clozapine dosage higher than 52</w:t>
      </w:r>
      <w:r w:rsidR="00574012">
        <w:rPr>
          <w:rFonts w:ascii="Arial" w:hAnsi="Arial" w:cs="Arial"/>
          <w:bCs/>
          <w:color w:val="000000"/>
          <w:sz w:val="22"/>
          <w:szCs w:val="22"/>
        </w:rPr>
        <w:t>5</w:t>
      </w:r>
      <w:r>
        <w:rPr>
          <w:rFonts w:ascii="Arial" w:hAnsi="Arial" w:cs="Arial"/>
          <w:bCs/>
          <w:color w:val="000000"/>
          <w:sz w:val="22"/>
          <w:szCs w:val="22"/>
        </w:rPr>
        <w:t xml:space="preserve">mg/day </w:t>
      </w:r>
      <w:r w:rsidR="00422EE2">
        <w:rPr>
          <w:rFonts w:ascii="Arial" w:hAnsi="Arial" w:cs="Arial"/>
          <w:bCs/>
          <w:color w:val="000000"/>
          <w:sz w:val="22"/>
          <w:szCs w:val="22"/>
        </w:rPr>
        <w:t>wa</w:t>
      </w:r>
      <w:r>
        <w:rPr>
          <w:rFonts w:ascii="Arial" w:hAnsi="Arial" w:cs="Arial"/>
          <w:bCs/>
          <w:color w:val="000000"/>
          <w:sz w:val="22"/>
          <w:szCs w:val="22"/>
        </w:rPr>
        <w:t>s treated as high dosage</w:t>
      </w:r>
      <w:r w:rsidR="00574012">
        <w:rPr>
          <w:rFonts w:ascii="Arial" w:hAnsi="Arial" w:cs="Arial"/>
          <w:bCs/>
          <w:color w:val="000000"/>
          <w:sz w:val="22"/>
          <w:szCs w:val="22"/>
        </w:rPr>
        <w:t xml:space="preserve"> (</w:t>
      </w:r>
      <w:r w:rsidR="00422EE2">
        <w:rPr>
          <w:rFonts w:ascii="Arial" w:hAnsi="Arial" w:cs="Arial"/>
          <w:bCs/>
          <w:color w:val="000000"/>
          <w:sz w:val="22"/>
          <w:szCs w:val="22"/>
        </w:rPr>
        <w:t xml:space="preserve">being </w:t>
      </w:r>
      <w:r w:rsidR="00574012">
        <w:rPr>
          <w:rFonts w:ascii="Arial" w:hAnsi="Arial" w:cs="Arial"/>
          <w:bCs/>
          <w:color w:val="000000"/>
          <w:sz w:val="22"/>
          <w:szCs w:val="22"/>
        </w:rPr>
        <w:t>above 55% of B</w:t>
      </w:r>
      <w:r w:rsidR="005735D6">
        <w:rPr>
          <w:rFonts w:ascii="Arial" w:hAnsi="Arial" w:cs="Arial"/>
          <w:bCs/>
          <w:color w:val="000000"/>
          <w:sz w:val="22"/>
          <w:szCs w:val="22"/>
        </w:rPr>
        <w:t>ritish National Formulary recommended maximum</w:t>
      </w:r>
      <w:r w:rsidR="00574012">
        <w:rPr>
          <w:rFonts w:ascii="Arial" w:hAnsi="Arial" w:cs="Arial"/>
          <w:bCs/>
          <w:color w:val="000000"/>
          <w:sz w:val="22"/>
          <w:szCs w:val="22"/>
        </w:rPr>
        <w:t xml:space="preserve">). </w:t>
      </w:r>
    </w:p>
    <w:p w14:paraId="42DA9CA5" w14:textId="7F8FEAB4" w:rsidR="00FF45E8" w:rsidRDefault="00FF45E8" w:rsidP="00871157">
      <w:pPr>
        <w:contextualSpacing/>
        <w:jc w:val="both"/>
        <w:rPr>
          <w:rFonts w:ascii="Arial" w:hAnsi="Arial" w:cs="Arial"/>
          <w:bCs/>
          <w:color w:val="000000"/>
          <w:sz w:val="22"/>
          <w:szCs w:val="22"/>
        </w:rPr>
      </w:pPr>
      <w:r>
        <w:rPr>
          <w:rFonts w:ascii="Arial" w:hAnsi="Arial" w:cs="Arial"/>
          <w:bCs/>
          <w:color w:val="000000"/>
          <w:sz w:val="22"/>
          <w:szCs w:val="22"/>
        </w:rPr>
        <w:t xml:space="preserve">Data is available to other researchers upon request. </w:t>
      </w:r>
    </w:p>
    <w:p w14:paraId="1FD027D6" w14:textId="77777777" w:rsidR="00FE5D8E" w:rsidRDefault="00FE5D8E" w:rsidP="00871157">
      <w:pPr>
        <w:contextualSpacing/>
        <w:jc w:val="both"/>
        <w:rPr>
          <w:rFonts w:ascii="Arial" w:hAnsi="Arial" w:cs="Arial"/>
          <w:bCs/>
          <w:color w:val="000000"/>
          <w:sz w:val="22"/>
          <w:szCs w:val="22"/>
        </w:rPr>
      </w:pPr>
    </w:p>
    <w:p w14:paraId="0F94F6D1" w14:textId="698379F4" w:rsidR="00FE5D8E" w:rsidRPr="00D56F88" w:rsidRDefault="0095382D" w:rsidP="00871157">
      <w:pPr>
        <w:pStyle w:val="ListParagraph"/>
        <w:numPr>
          <w:ilvl w:val="1"/>
          <w:numId w:val="4"/>
        </w:numPr>
        <w:jc w:val="both"/>
        <w:outlineLvl w:val="0"/>
        <w:rPr>
          <w:rFonts w:ascii="Arial" w:hAnsi="Arial" w:cs="Arial"/>
          <w:bCs/>
          <w:color w:val="000000"/>
          <w:sz w:val="22"/>
          <w:szCs w:val="22"/>
          <w:u w:val="single"/>
        </w:rPr>
      </w:pPr>
      <w:r w:rsidRPr="00D56F88">
        <w:rPr>
          <w:rFonts w:ascii="Arial" w:hAnsi="Arial" w:cs="Arial"/>
          <w:bCs/>
          <w:color w:val="000000"/>
          <w:sz w:val="22"/>
          <w:szCs w:val="22"/>
          <w:u w:val="single"/>
        </w:rPr>
        <w:t>Statistical analysis</w:t>
      </w:r>
    </w:p>
    <w:p w14:paraId="60CD5AA2" w14:textId="107FA9AB" w:rsidR="00FE5D8E" w:rsidRDefault="0095382D" w:rsidP="00871157">
      <w:pPr>
        <w:spacing w:after="240"/>
        <w:contextualSpacing/>
        <w:jc w:val="both"/>
        <w:rPr>
          <w:rFonts w:ascii="Arial" w:hAnsi="Arial" w:cs="Arial"/>
          <w:bCs/>
          <w:color w:val="000000"/>
          <w:sz w:val="22"/>
          <w:szCs w:val="22"/>
        </w:rPr>
      </w:pPr>
      <w:r>
        <w:rPr>
          <w:rFonts w:ascii="Arial" w:hAnsi="Arial" w:cs="Arial"/>
          <w:bCs/>
          <w:color w:val="000000"/>
          <w:sz w:val="22"/>
          <w:szCs w:val="22"/>
        </w:rPr>
        <w:t xml:space="preserve">Descriptive statistics for each group, as defined by cause-of-death category or “alive” status, included an analysis of continuous and categorical data for patient characteristics. χ² tests were used for categorical variables and ANOVA (analysis of variance) or </w:t>
      </w:r>
      <w:r w:rsidR="005735D6">
        <w:rPr>
          <w:rFonts w:ascii="Arial" w:hAnsi="Arial" w:cs="Arial"/>
          <w:bCs/>
          <w:color w:val="000000"/>
          <w:sz w:val="22"/>
          <w:szCs w:val="22"/>
        </w:rPr>
        <w:t>Fisher’s least significance difference (</w:t>
      </w:r>
      <w:r>
        <w:rPr>
          <w:rFonts w:ascii="Arial" w:hAnsi="Arial" w:cs="Arial"/>
          <w:bCs/>
          <w:color w:val="000000"/>
          <w:sz w:val="22"/>
          <w:szCs w:val="22"/>
        </w:rPr>
        <w:t>LSD</w:t>
      </w:r>
      <w:r w:rsidR="005735D6">
        <w:rPr>
          <w:rFonts w:ascii="Arial" w:hAnsi="Arial" w:cs="Arial"/>
          <w:bCs/>
          <w:color w:val="000000"/>
          <w:sz w:val="22"/>
          <w:szCs w:val="22"/>
        </w:rPr>
        <w:t>)</w:t>
      </w:r>
      <w:r>
        <w:rPr>
          <w:rFonts w:ascii="Arial" w:hAnsi="Arial" w:cs="Arial"/>
          <w:bCs/>
          <w:color w:val="000000"/>
          <w:sz w:val="22"/>
          <w:szCs w:val="22"/>
        </w:rPr>
        <w:t xml:space="preserve"> post-hoc tests were used for continuous variables. </w:t>
      </w:r>
    </w:p>
    <w:p w14:paraId="76FE936F" w14:textId="3ABA8BF1" w:rsidR="00651E46" w:rsidRPr="00BC239B" w:rsidRDefault="00651E46" w:rsidP="00871157">
      <w:pPr>
        <w:spacing w:after="240"/>
        <w:contextualSpacing/>
        <w:jc w:val="both"/>
        <w:rPr>
          <w:rFonts w:ascii="Arial" w:hAnsi="Arial" w:cs="Arial"/>
          <w:bCs/>
          <w:i/>
          <w:iCs/>
          <w:color w:val="000000"/>
          <w:sz w:val="22"/>
          <w:szCs w:val="22"/>
        </w:rPr>
      </w:pPr>
      <w:r w:rsidRPr="00BC239B">
        <w:rPr>
          <w:rFonts w:ascii="Arial" w:hAnsi="Arial" w:cs="Arial"/>
          <w:bCs/>
          <w:i/>
          <w:iCs/>
          <w:color w:val="000000"/>
          <w:sz w:val="22"/>
          <w:szCs w:val="22"/>
        </w:rPr>
        <w:t>Logistic regression analyses</w:t>
      </w:r>
    </w:p>
    <w:p w14:paraId="78DB0529" w14:textId="161B6778" w:rsidR="001D1B3D" w:rsidRDefault="00422EE2" w:rsidP="00871157">
      <w:pPr>
        <w:spacing w:after="240"/>
        <w:contextualSpacing/>
        <w:jc w:val="both"/>
        <w:rPr>
          <w:rFonts w:ascii="Arial" w:hAnsi="Arial" w:cs="Arial"/>
          <w:bCs/>
          <w:color w:val="000000"/>
          <w:sz w:val="22"/>
          <w:szCs w:val="22"/>
        </w:rPr>
      </w:pPr>
      <w:r>
        <w:rPr>
          <w:rFonts w:ascii="Arial" w:hAnsi="Arial" w:cs="Arial"/>
          <w:bCs/>
          <w:color w:val="000000"/>
          <w:sz w:val="22"/>
          <w:szCs w:val="22"/>
        </w:rPr>
        <w:t xml:space="preserve">A </w:t>
      </w:r>
      <w:r w:rsidR="007349AA" w:rsidRPr="00133E1A">
        <w:rPr>
          <w:rFonts w:ascii="Arial" w:hAnsi="Arial" w:cs="Arial"/>
          <w:bCs/>
          <w:color w:val="000000"/>
          <w:sz w:val="22"/>
          <w:szCs w:val="22"/>
        </w:rPr>
        <w:t>Logistic regression model</w:t>
      </w:r>
      <w:r w:rsidR="00F70DDE">
        <w:rPr>
          <w:rFonts w:ascii="Arial" w:hAnsi="Arial" w:cs="Arial"/>
          <w:bCs/>
          <w:color w:val="000000"/>
          <w:sz w:val="22"/>
          <w:szCs w:val="22"/>
        </w:rPr>
        <w:t>s</w:t>
      </w:r>
      <w:r w:rsidR="007349AA" w:rsidRPr="00133E1A">
        <w:rPr>
          <w:rFonts w:ascii="Arial" w:hAnsi="Arial" w:cs="Arial"/>
          <w:bCs/>
          <w:color w:val="000000"/>
          <w:sz w:val="22"/>
          <w:szCs w:val="22"/>
        </w:rPr>
        <w:t xml:space="preserve"> w</w:t>
      </w:r>
      <w:r w:rsidR="00F70DDE">
        <w:rPr>
          <w:rFonts w:ascii="Arial" w:hAnsi="Arial" w:cs="Arial"/>
          <w:bCs/>
          <w:color w:val="000000"/>
          <w:sz w:val="22"/>
          <w:szCs w:val="22"/>
        </w:rPr>
        <w:t>ere</w:t>
      </w:r>
      <w:r w:rsidR="007349AA" w:rsidRPr="00133E1A">
        <w:rPr>
          <w:rFonts w:ascii="Arial" w:hAnsi="Arial" w:cs="Arial"/>
          <w:bCs/>
          <w:color w:val="000000"/>
          <w:sz w:val="22"/>
          <w:szCs w:val="22"/>
        </w:rPr>
        <w:t xml:space="preserve"> used to examine </w:t>
      </w:r>
      <w:r>
        <w:rPr>
          <w:rFonts w:ascii="Arial" w:hAnsi="Arial" w:cs="Arial"/>
          <w:bCs/>
          <w:color w:val="000000"/>
          <w:sz w:val="22"/>
          <w:szCs w:val="22"/>
        </w:rPr>
        <w:t xml:space="preserve">the </w:t>
      </w:r>
      <w:r w:rsidR="007349AA" w:rsidRPr="00133E1A">
        <w:rPr>
          <w:rFonts w:ascii="Arial" w:hAnsi="Arial" w:cs="Arial"/>
          <w:bCs/>
          <w:color w:val="000000"/>
          <w:sz w:val="22"/>
          <w:szCs w:val="22"/>
        </w:rPr>
        <w:t xml:space="preserve">corrected association between high dose clozapine and </w:t>
      </w:r>
      <w:r>
        <w:rPr>
          <w:rFonts w:ascii="Arial" w:hAnsi="Arial" w:cs="Arial"/>
          <w:bCs/>
          <w:color w:val="000000"/>
          <w:sz w:val="22"/>
          <w:szCs w:val="22"/>
        </w:rPr>
        <w:t xml:space="preserve">the </w:t>
      </w:r>
      <w:r w:rsidR="007349AA" w:rsidRPr="00133E1A">
        <w:rPr>
          <w:rFonts w:ascii="Arial" w:hAnsi="Arial" w:cs="Arial"/>
          <w:bCs/>
          <w:color w:val="000000"/>
          <w:sz w:val="22"/>
          <w:szCs w:val="22"/>
        </w:rPr>
        <w:t xml:space="preserve">risk for </w:t>
      </w:r>
      <w:r>
        <w:rPr>
          <w:rFonts w:ascii="Arial" w:hAnsi="Arial" w:cs="Arial"/>
          <w:bCs/>
          <w:color w:val="000000"/>
          <w:sz w:val="22"/>
          <w:szCs w:val="22"/>
        </w:rPr>
        <w:t xml:space="preserve">of </w:t>
      </w:r>
      <w:r w:rsidR="007349AA" w:rsidRPr="00133E1A">
        <w:rPr>
          <w:rFonts w:ascii="Arial" w:hAnsi="Arial" w:cs="Arial"/>
          <w:bCs/>
          <w:color w:val="000000"/>
          <w:sz w:val="22"/>
          <w:szCs w:val="22"/>
        </w:rPr>
        <w:t xml:space="preserve">unexpected death, </w:t>
      </w:r>
      <w:r>
        <w:rPr>
          <w:rFonts w:ascii="Arial" w:hAnsi="Arial" w:cs="Arial"/>
          <w:bCs/>
          <w:color w:val="000000"/>
          <w:sz w:val="22"/>
          <w:szCs w:val="22"/>
        </w:rPr>
        <w:t xml:space="preserve">controlling for </w:t>
      </w:r>
      <w:r w:rsidR="007349AA" w:rsidRPr="00133E1A">
        <w:rPr>
          <w:rFonts w:ascii="Arial" w:hAnsi="Arial" w:cs="Arial"/>
          <w:bCs/>
          <w:color w:val="000000"/>
          <w:sz w:val="22"/>
          <w:szCs w:val="22"/>
        </w:rPr>
        <w:t xml:space="preserve">socio-demographic variables, </w:t>
      </w:r>
      <w:r>
        <w:rPr>
          <w:rFonts w:ascii="Arial" w:hAnsi="Arial" w:cs="Arial"/>
          <w:bCs/>
          <w:color w:val="000000"/>
          <w:sz w:val="22"/>
          <w:szCs w:val="22"/>
        </w:rPr>
        <w:t>smoking</w:t>
      </w:r>
      <w:r w:rsidR="007349AA" w:rsidRPr="00133E1A">
        <w:rPr>
          <w:rFonts w:ascii="Arial" w:hAnsi="Arial" w:cs="Arial"/>
          <w:bCs/>
          <w:color w:val="000000"/>
          <w:sz w:val="22"/>
          <w:szCs w:val="22"/>
        </w:rPr>
        <w:t>, co-prescription</w:t>
      </w:r>
      <w:r>
        <w:rPr>
          <w:rFonts w:ascii="Arial" w:hAnsi="Arial" w:cs="Arial"/>
          <w:bCs/>
          <w:color w:val="000000"/>
          <w:sz w:val="22"/>
          <w:szCs w:val="22"/>
        </w:rPr>
        <w:t>,</w:t>
      </w:r>
      <w:r w:rsidR="007349AA" w:rsidRPr="00133E1A">
        <w:rPr>
          <w:rFonts w:ascii="Arial" w:hAnsi="Arial" w:cs="Arial"/>
          <w:bCs/>
          <w:color w:val="000000"/>
          <w:sz w:val="22"/>
          <w:szCs w:val="22"/>
        </w:rPr>
        <w:t xml:space="preserve"> and </w:t>
      </w:r>
      <w:r>
        <w:rPr>
          <w:rFonts w:ascii="Arial" w:hAnsi="Arial" w:cs="Arial"/>
          <w:bCs/>
          <w:color w:val="000000"/>
          <w:sz w:val="22"/>
          <w:szCs w:val="22"/>
        </w:rPr>
        <w:t>type 2 diabetes</w:t>
      </w:r>
      <w:r w:rsidR="00F70DDE">
        <w:rPr>
          <w:rFonts w:ascii="Arial" w:hAnsi="Arial" w:cs="Arial"/>
          <w:bCs/>
          <w:color w:val="000000"/>
          <w:sz w:val="22"/>
          <w:szCs w:val="22"/>
        </w:rPr>
        <w:t xml:space="preserve">. </w:t>
      </w:r>
      <w:r w:rsidR="007349AA" w:rsidRPr="00133E1A">
        <w:rPr>
          <w:rFonts w:ascii="Arial" w:hAnsi="Arial" w:cs="Arial"/>
          <w:bCs/>
          <w:color w:val="000000"/>
          <w:sz w:val="22"/>
          <w:szCs w:val="22"/>
        </w:rPr>
        <w:t xml:space="preserve">To further control for potential differences between high dose clozapine exposure and </w:t>
      </w:r>
      <w:r>
        <w:rPr>
          <w:rFonts w:ascii="Arial" w:hAnsi="Arial" w:cs="Arial"/>
          <w:bCs/>
          <w:color w:val="000000"/>
          <w:sz w:val="22"/>
          <w:szCs w:val="22"/>
        </w:rPr>
        <w:t xml:space="preserve">lower </w:t>
      </w:r>
      <w:r w:rsidR="007349AA" w:rsidRPr="00133E1A">
        <w:rPr>
          <w:rFonts w:ascii="Arial" w:hAnsi="Arial" w:cs="Arial"/>
          <w:bCs/>
          <w:color w:val="000000"/>
          <w:sz w:val="22"/>
          <w:szCs w:val="22"/>
        </w:rPr>
        <w:t>dose clozapine exposure, and also to test the robust</w:t>
      </w:r>
      <w:r w:rsidR="00651E46">
        <w:rPr>
          <w:rFonts w:ascii="Arial" w:hAnsi="Arial" w:cs="Arial"/>
          <w:bCs/>
          <w:color w:val="000000"/>
          <w:sz w:val="22"/>
          <w:szCs w:val="22"/>
        </w:rPr>
        <w:t>ness</w:t>
      </w:r>
      <w:r w:rsidR="007349AA" w:rsidRPr="00133E1A">
        <w:rPr>
          <w:rFonts w:ascii="Arial" w:hAnsi="Arial" w:cs="Arial"/>
          <w:bCs/>
          <w:color w:val="000000"/>
          <w:sz w:val="22"/>
          <w:szCs w:val="22"/>
        </w:rPr>
        <w:t xml:space="preserve"> of </w:t>
      </w:r>
      <w:r>
        <w:rPr>
          <w:rFonts w:ascii="Arial" w:hAnsi="Arial" w:cs="Arial"/>
          <w:bCs/>
          <w:color w:val="000000"/>
          <w:sz w:val="22"/>
          <w:szCs w:val="22"/>
        </w:rPr>
        <w:t>the initial model</w:t>
      </w:r>
      <w:r w:rsidR="007349AA" w:rsidRPr="00133E1A">
        <w:rPr>
          <w:rFonts w:ascii="Arial" w:hAnsi="Arial" w:cs="Arial"/>
          <w:bCs/>
          <w:color w:val="000000"/>
          <w:sz w:val="22"/>
          <w:szCs w:val="22"/>
        </w:rPr>
        <w:t xml:space="preserve">, we repeated </w:t>
      </w:r>
      <w:r w:rsidR="00651E46">
        <w:rPr>
          <w:rFonts w:ascii="Arial" w:hAnsi="Arial" w:cs="Arial"/>
          <w:bCs/>
          <w:color w:val="000000"/>
          <w:sz w:val="22"/>
          <w:szCs w:val="22"/>
        </w:rPr>
        <w:t xml:space="preserve">the </w:t>
      </w:r>
      <w:r w:rsidR="007349AA" w:rsidRPr="00133E1A">
        <w:rPr>
          <w:rFonts w:ascii="Arial" w:hAnsi="Arial" w:cs="Arial"/>
          <w:bCs/>
          <w:color w:val="000000"/>
          <w:sz w:val="22"/>
          <w:szCs w:val="22"/>
        </w:rPr>
        <w:t>logistic regression but adjust</w:t>
      </w:r>
      <w:r>
        <w:rPr>
          <w:rFonts w:ascii="Arial" w:hAnsi="Arial" w:cs="Arial"/>
          <w:bCs/>
          <w:color w:val="000000"/>
          <w:sz w:val="22"/>
          <w:szCs w:val="22"/>
        </w:rPr>
        <w:t>ed</w:t>
      </w:r>
      <w:r w:rsidR="00651E46">
        <w:rPr>
          <w:rFonts w:ascii="Arial" w:hAnsi="Arial" w:cs="Arial"/>
          <w:bCs/>
          <w:color w:val="000000"/>
          <w:sz w:val="22"/>
          <w:szCs w:val="22"/>
        </w:rPr>
        <w:t xml:space="preserve"> </w:t>
      </w:r>
      <w:r w:rsidR="007349AA" w:rsidRPr="00133E1A">
        <w:rPr>
          <w:rFonts w:ascii="Arial" w:hAnsi="Arial" w:cs="Arial"/>
          <w:bCs/>
          <w:color w:val="000000"/>
          <w:sz w:val="22"/>
          <w:szCs w:val="22"/>
        </w:rPr>
        <w:t>by inverse probability weights (IPWs). IPWs were calculated from propensity scores generated by another logistic regression between high-dose clozapine (</w:t>
      </w:r>
      <w:r>
        <w:rPr>
          <w:rFonts w:ascii="Arial" w:hAnsi="Arial" w:cs="Arial"/>
          <w:bCs/>
          <w:color w:val="000000"/>
          <w:sz w:val="22"/>
          <w:szCs w:val="22"/>
        </w:rPr>
        <w:t xml:space="preserve">as a binary variable) </w:t>
      </w:r>
      <w:r w:rsidR="007349AA" w:rsidRPr="00133E1A">
        <w:rPr>
          <w:rFonts w:ascii="Arial" w:hAnsi="Arial" w:cs="Arial"/>
          <w:bCs/>
          <w:color w:val="000000"/>
          <w:sz w:val="22"/>
          <w:szCs w:val="22"/>
        </w:rPr>
        <w:t>and other covariates.</w:t>
      </w:r>
      <w:r w:rsidR="00F70DDE">
        <w:rPr>
          <w:rFonts w:ascii="Arial" w:hAnsi="Arial" w:cs="Arial"/>
          <w:bCs/>
          <w:color w:val="000000"/>
          <w:sz w:val="22"/>
          <w:szCs w:val="22"/>
        </w:rPr>
        <w:t xml:space="preserve"> A</w:t>
      </w:r>
      <w:r w:rsidR="005735D6">
        <w:rPr>
          <w:rFonts w:ascii="Arial" w:hAnsi="Arial" w:cs="Arial"/>
          <w:bCs/>
          <w:color w:val="000000"/>
          <w:sz w:val="22"/>
          <w:szCs w:val="22"/>
        </w:rPr>
        <w:t>n a</w:t>
      </w:r>
      <w:r w:rsidR="00F70DDE">
        <w:rPr>
          <w:rFonts w:ascii="Arial" w:hAnsi="Arial" w:cs="Arial"/>
          <w:bCs/>
          <w:color w:val="000000"/>
          <w:sz w:val="22"/>
          <w:szCs w:val="22"/>
        </w:rPr>
        <w:t>ddi</w:t>
      </w:r>
      <w:r w:rsidR="00BC239B">
        <w:rPr>
          <w:rFonts w:ascii="Arial" w:hAnsi="Arial" w:cs="Arial"/>
          <w:bCs/>
          <w:color w:val="000000"/>
          <w:sz w:val="22"/>
          <w:szCs w:val="22"/>
        </w:rPr>
        <w:t>tio</w:t>
      </w:r>
      <w:r w:rsidR="00F70DDE">
        <w:rPr>
          <w:rFonts w:ascii="Arial" w:hAnsi="Arial" w:cs="Arial"/>
          <w:bCs/>
          <w:color w:val="000000"/>
          <w:sz w:val="22"/>
          <w:szCs w:val="22"/>
        </w:rPr>
        <w:t xml:space="preserve">nal model </w:t>
      </w:r>
      <w:r w:rsidR="00BC239B">
        <w:rPr>
          <w:rFonts w:ascii="Arial" w:hAnsi="Arial" w:cs="Arial"/>
          <w:bCs/>
          <w:color w:val="000000"/>
          <w:sz w:val="22"/>
          <w:szCs w:val="22"/>
        </w:rPr>
        <w:t>explored</w:t>
      </w:r>
      <w:r w:rsidR="00F70DDE">
        <w:rPr>
          <w:rFonts w:ascii="Arial" w:hAnsi="Arial" w:cs="Arial"/>
          <w:bCs/>
          <w:color w:val="000000"/>
          <w:sz w:val="22"/>
          <w:szCs w:val="22"/>
        </w:rPr>
        <w:t xml:space="preserve"> whether a particular year was associated w</w:t>
      </w:r>
      <w:r w:rsidR="005D3C1C">
        <w:rPr>
          <w:rFonts w:ascii="Arial" w:hAnsi="Arial" w:cs="Arial"/>
          <w:bCs/>
          <w:color w:val="000000"/>
          <w:sz w:val="22"/>
          <w:szCs w:val="22"/>
        </w:rPr>
        <w:t>i</w:t>
      </w:r>
      <w:r w:rsidR="00F70DDE">
        <w:rPr>
          <w:rFonts w:ascii="Arial" w:hAnsi="Arial" w:cs="Arial"/>
          <w:bCs/>
          <w:color w:val="000000"/>
          <w:sz w:val="22"/>
          <w:szCs w:val="22"/>
        </w:rPr>
        <w:t xml:space="preserve">th unexpected greater mortality (see </w:t>
      </w:r>
      <w:r w:rsidR="00FF6713">
        <w:rPr>
          <w:rFonts w:ascii="Arial" w:hAnsi="Arial" w:cs="Arial"/>
          <w:bCs/>
          <w:color w:val="000000"/>
          <w:sz w:val="22"/>
          <w:szCs w:val="22"/>
        </w:rPr>
        <w:t>results</w:t>
      </w:r>
      <w:r w:rsidR="00F70DDE">
        <w:rPr>
          <w:rFonts w:ascii="Arial" w:hAnsi="Arial" w:cs="Arial"/>
          <w:bCs/>
          <w:color w:val="000000"/>
          <w:sz w:val="22"/>
          <w:szCs w:val="22"/>
        </w:rPr>
        <w:t xml:space="preserve">). </w:t>
      </w:r>
    </w:p>
    <w:p w14:paraId="40253E8A" w14:textId="5149A436" w:rsidR="00FE5D8E" w:rsidRDefault="0095382D" w:rsidP="00871157">
      <w:pPr>
        <w:snapToGrid w:val="0"/>
        <w:spacing w:after="240"/>
        <w:contextualSpacing/>
        <w:jc w:val="both"/>
        <w:rPr>
          <w:rFonts w:ascii="Arial" w:hAnsi="Arial" w:cs="Arial"/>
          <w:bCs/>
          <w:color w:val="000000"/>
          <w:sz w:val="22"/>
          <w:szCs w:val="22"/>
        </w:rPr>
      </w:pPr>
      <w:r>
        <w:rPr>
          <w:rFonts w:ascii="Arial" w:hAnsi="Arial" w:cs="Arial"/>
          <w:bCs/>
          <w:color w:val="000000"/>
          <w:sz w:val="22"/>
          <w:szCs w:val="22"/>
        </w:rPr>
        <w:t>R version 3</w:t>
      </w:r>
      <w:r w:rsidRPr="001D1B3D">
        <w:rPr>
          <w:rFonts w:ascii="Arial" w:hAnsi="Arial" w:cs="Arial"/>
          <w:bCs/>
          <w:color w:val="000000"/>
          <w:sz w:val="22"/>
          <w:szCs w:val="22"/>
        </w:rPr>
        <w:t>.5.3 wa</w:t>
      </w:r>
      <w:r>
        <w:rPr>
          <w:rFonts w:ascii="Arial" w:hAnsi="Arial" w:cs="Arial"/>
          <w:bCs/>
          <w:color w:val="000000"/>
          <w:sz w:val="22"/>
          <w:szCs w:val="22"/>
        </w:rPr>
        <w:t>s used for analysis and figure plotting. We us</w:t>
      </w:r>
      <w:r w:rsidR="00DE02C8">
        <w:rPr>
          <w:rFonts w:ascii="Arial" w:hAnsi="Arial" w:cs="Arial"/>
          <w:bCs/>
          <w:color w:val="000000"/>
          <w:sz w:val="22"/>
          <w:szCs w:val="22"/>
        </w:rPr>
        <w:t>ed a significance threshold of alpha</w:t>
      </w:r>
      <w:r>
        <w:rPr>
          <w:rFonts w:ascii="Arial" w:hAnsi="Arial" w:cs="Arial"/>
          <w:bCs/>
          <w:color w:val="000000"/>
          <w:sz w:val="22"/>
          <w:szCs w:val="22"/>
        </w:rPr>
        <w:t xml:space="preserve"> = 0.05 throughout. </w:t>
      </w:r>
    </w:p>
    <w:p w14:paraId="6FDCFCE3" w14:textId="1CF7207F" w:rsidR="00FE5D8E" w:rsidRPr="00D56F88" w:rsidRDefault="00871157" w:rsidP="00871157">
      <w:pPr>
        <w:pStyle w:val="ListParagraph"/>
        <w:numPr>
          <w:ilvl w:val="0"/>
          <w:numId w:val="4"/>
        </w:numPr>
        <w:jc w:val="both"/>
        <w:rPr>
          <w:rFonts w:ascii="Arial" w:hAnsi="Arial" w:cs="Arial"/>
          <w:sz w:val="22"/>
          <w:szCs w:val="22"/>
        </w:rPr>
      </w:pPr>
      <w:r>
        <w:rPr>
          <w:rFonts w:ascii="Arial" w:hAnsi="Arial" w:cs="Arial"/>
          <w:b/>
          <w:sz w:val="22"/>
          <w:szCs w:val="22"/>
        </w:rPr>
        <w:t>R</w:t>
      </w:r>
      <w:r w:rsidR="0095382D" w:rsidRPr="00D56F88">
        <w:rPr>
          <w:rFonts w:ascii="Arial" w:hAnsi="Arial" w:cs="Arial"/>
          <w:b/>
          <w:sz w:val="22"/>
          <w:szCs w:val="22"/>
        </w:rPr>
        <w:t xml:space="preserve">esults </w:t>
      </w:r>
    </w:p>
    <w:p w14:paraId="0BDE789E" w14:textId="6F8FE722" w:rsidR="00FE5D8E" w:rsidRDefault="0095382D" w:rsidP="00871157">
      <w:pPr>
        <w:contextualSpacing/>
        <w:jc w:val="both"/>
        <w:rPr>
          <w:rFonts w:ascii="Arial" w:hAnsi="Arial" w:cs="Arial"/>
          <w:sz w:val="22"/>
          <w:szCs w:val="22"/>
        </w:rPr>
      </w:pPr>
      <w:r>
        <w:rPr>
          <w:rFonts w:ascii="Arial" w:hAnsi="Arial" w:cs="Arial"/>
          <w:sz w:val="22"/>
          <w:szCs w:val="22"/>
        </w:rPr>
        <w:t>Thirty-three clozapine-treated people died between 2009 and 2018</w:t>
      </w:r>
      <w:r>
        <w:rPr>
          <w:rFonts w:ascii="Arial" w:hAnsi="Arial" w:cs="Arial"/>
          <w:b/>
          <w:sz w:val="22"/>
          <w:szCs w:val="22"/>
        </w:rPr>
        <w:t xml:space="preserve"> (Figure 1a</w:t>
      </w:r>
      <w:r>
        <w:rPr>
          <w:rFonts w:ascii="Arial" w:hAnsi="Arial" w:cs="Arial"/>
          <w:sz w:val="22"/>
          <w:szCs w:val="22"/>
        </w:rPr>
        <w:t xml:space="preserve">). </w:t>
      </w:r>
      <w:r>
        <w:rPr>
          <w:rFonts w:ascii="Arial" w:hAnsi="Arial" w:cs="Arial"/>
          <w:bCs/>
          <w:color w:val="000000"/>
          <w:sz w:val="22"/>
          <w:szCs w:val="22"/>
        </w:rPr>
        <w:t>The average number of people treated with clozapine by CPFT durin</w:t>
      </w:r>
      <w:r>
        <w:rPr>
          <w:rFonts w:ascii="Arial" w:hAnsi="Arial" w:cs="Arial"/>
          <w:sz w:val="22"/>
          <w:szCs w:val="22"/>
        </w:rPr>
        <w:t>g this 10-year period was 425 (ranging from 388 in 2009 to 467 in 2018), making the average mortality yearly rate (incidence of deaths per year) in clozapine-treated patients 0.8%, ranging from 0% in 20</w:t>
      </w:r>
      <w:r>
        <w:rPr>
          <w:rFonts w:ascii="Arial" w:hAnsi="Arial" w:cs="Arial"/>
          <w:bCs/>
          <w:color w:val="000000"/>
          <w:sz w:val="22"/>
          <w:szCs w:val="22"/>
        </w:rPr>
        <w:t>11 to 1.53% in 2</w:t>
      </w:r>
      <w:r>
        <w:rPr>
          <w:rFonts w:ascii="Arial" w:hAnsi="Arial" w:cs="Arial"/>
          <w:sz w:val="22"/>
          <w:szCs w:val="22"/>
        </w:rPr>
        <w:t xml:space="preserve">018. </w:t>
      </w:r>
      <w:r w:rsidR="00F70DDE">
        <w:rPr>
          <w:rFonts w:ascii="Arial" w:hAnsi="Arial" w:cs="Arial"/>
          <w:sz w:val="22"/>
          <w:szCs w:val="22"/>
        </w:rPr>
        <w:t>T</w:t>
      </w:r>
      <w:r w:rsidR="00B9626A">
        <w:rPr>
          <w:rFonts w:ascii="Arial" w:hAnsi="Arial" w:cs="Arial"/>
          <w:sz w:val="22"/>
          <w:szCs w:val="22"/>
        </w:rPr>
        <w:t xml:space="preserve">he </w:t>
      </w:r>
      <w:r w:rsidR="00B9626A">
        <w:rPr>
          <w:rFonts w:ascii="Arial" w:hAnsi="Arial" w:cs="Arial"/>
          <w:sz w:val="22"/>
          <w:szCs w:val="22"/>
        </w:rPr>
        <w:lastRenderedPageBreak/>
        <w:t xml:space="preserve">average </w:t>
      </w:r>
      <w:r w:rsidR="00EF25E8">
        <w:rPr>
          <w:rFonts w:ascii="Arial" w:hAnsi="Arial" w:cs="Arial"/>
          <w:sz w:val="22"/>
          <w:szCs w:val="22"/>
        </w:rPr>
        <w:t>rate</w:t>
      </w:r>
      <w:r w:rsidR="00EF25E8" w:rsidRPr="00B9626A">
        <w:rPr>
          <w:rFonts w:ascii="Arial" w:hAnsi="Arial" w:cs="Arial"/>
          <w:sz w:val="22"/>
          <w:szCs w:val="22"/>
        </w:rPr>
        <w:t xml:space="preserve"> </w:t>
      </w:r>
      <w:r w:rsidR="00B9626A" w:rsidRPr="00B9626A">
        <w:rPr>
          <w:rFonts w:ascii="Arial" w:hAnsi="Arial" w:cs="Arial"/>
          <w:sz w:val="22"/>
          <w:szCs w:val="22"/>
        </w:rPr>
        <w:t xml:space="preserve">of </w:t>
      </w:r>
      <w:r w:rsidR="00F70DDE">
        <w:rPr>
          <w:rFonts w:ascii="Arial" w:hAnsi="Arial" w:cs="Arial"/>
          <w:sz w:val="22"/>
          <w:szCs w:val="22"/>
        </w:rPr>
        <w:t xml:space="preserve">unexpected </w:t>
      </w:r>
      <w:r w:rsidR="00B9626A" w:rsidRPr="00B9626A">
        <w:rPr>
          <w:rFonts w:ascii="Arial" w:hAnsi="Arial" w:cs="Arial"/>
          <w:sz w:val="22"/>
          <w:szCs w:val="22"/>
        </w:rPr>
        <w:t xml:space="preserve">deaths per year </w:t>
      </w:r>
      <w:r w:rsidR="00B9626A">
        <w:rPr>
          <w:rFonts w:ascii="Arial" w:hAnsi="Arial" w:cs="Arial"/>
          <w:sz w:val="22"/>
          <w:szCs w:val="22"/>
        </w:rPr>
        <w:t xml:space="preserve">was 0.4%, </w:t>
      </w:r>
      <w:r w:rsidR="00EF25E8">
        <w:rPr>
          <w:rFonts w:ascii="Arial" w:hAnsi="Arial" w:cs="Arial"/>
          <w:sz w:val="22"/>
          <w:szCs w:val="22"/>
        </w:rPr>
        <w:t xml:space="preserve">followed by death </w:t>
      </w:r>
      <w:r w:rsidR="00B9626A">
        <w:rPr>
          <w:rFonts w:ascii="Arial" w:hAnsi="Arial" w:cs="Arial"/>
          <w:sz w:val="22"/>
          <w:szCs w:val="22"/>
        </w:rPr>
        <w:t xml:space="preserve">due to suicide (0.2%) </w:t>
      </w:r>
      <w:r w:rsidR="00DE02C8">
        <w:rPr>
          <w:rFonts w:ascii="Arial" w:hAnsi="Arial" w:cs="Arial"/>
          <w:sz w:val="22"/>
          <w:szCs w:val="22"/>
        </w:rPr>
        <w:t>and</w:t>
      </w:r>
      <w:r w:rsidR="00F70DDE">
        <w:rPr>
          <w:rFonts w:ascii="Arial" w:hAnsi="Arial" w:cs="Arial"/>
          <w:sz w:val="22"/>
          <w:szCs w:val="22"/>
        </w:rPr>
        <w:t xml:space="preserve"> </w:t>
      </w:r>
      <w:r w:rsidR="00B9626A">
        <w:rPr>
          <w:rFonts w:ascii="Arial" w:hAnsi="Arial" w:cs="Arial"/>
          <w:sz w:val="22"/>
          <w:szCs w:val="22"/>
        </w:rPr>
        <w:t>expected reasons (0.2%).</w:t>
      </w:r>
    </w:p>
    <w:p w14:paraId="7EA2E61B" w14:textId="77777777" w:rsidR="00D56F88" w:rsidRDefault="00D56F88" w:rsidP="00871157">
      <w:pPr>
        <w:contextualSpacing/>
        <w:jc w:val="both"/>
        <w:rPr>
          <w:rFonts w:ascii="Arial" w:hAnsi="Arial" w:cs="Arial"/>
          <w:sz w:val="22"/>
          <w:szCs w:val="22"/>
        </w:rPr>
      </w:pPr>
    </w:p>
    <w:p w14:paraId="78B25AF9" w14:textId="13E7967E" w:rsidR="00FE5D8E" w:rsidRPr="00D56F88" w:rsidRDefault="00D56F88" w:rsidP="00871157">
      <w:pPr>
        <w:spacing w:after="160"/>
        <w:contextualSpacing/>
        <w:jc w:val="both"/>
        <w:outlineLvl w:val="0"/>
        <w:rPr>
          <w:rFonts w:ascii="Arial" w:hAnsi="Arial" w:cs="Arial"/>
          <w:iCs/>
          <w:color w:val="000000" w:themeColor="text1"/>
          <w:sz w:val="22"/>
          <w:szCs w:val="22"/>
          <w:u w:val="single"/>
        </w:rPr>
      </w:pPr>
      <w:r w:rsidRPr="00D56F88">
        <w:rPr>
          <w:rFonts w:ascii="Arial" w:hAnsi="Arial" w:cs="Arial"/>
          <w:iCs/>
          <w:color w:val="000000" w:themeColor="text1"/>
          <w:sz w:val="22"/>
          <w:szCs w:val="22"/>
          <w:u w:val="single"/>
        </w:rPr>
        <w:t xml:space="preserve">3.1. </w:t>
      </w:r>
      <w:r w:rsidR="0095382D" w:rsidRPr="00D56F88">
        <w:rPr>
          <w:rFonts w:ascii="Arial" w:hAnsi="Arial" w:cs="Arial"/>
          <w:iCs/>
          <w:color w:val="000000" w:themeColor="text1"/>
          <w:sz w:val="22"/>
          <w:szCs w:val="22"/>
          <w:u w:val="single"/>
        </w:rPr>
        <w:t>Causes of death analysis</w:t>
      </w:r>
    </w:p>
    <w:p w14:paraId="6D58E9C8" w14:textId="08D6B8DA" w:rsidR="00FE5D8E" w:rsidRDefault="0095382D" w:rsidP="00871157">
      <w:pPr>
        <w:spacing w:after="160"/>
        <w:contextualSpacing/>
        <w:jc w:val="both"/>
      </w:pPr>
      <w:r>
        <w:rPr>
          <w:rFonts w:ascii="Arial" w:hAnsi="Arial" w:cs="Arial"/>
          <w:sz w:val="22"/>
          <w:szCs w:val="22"/>
        </w:rPr>
        <w:t>Among the 33 cases, 8 (24%) died by suicide, 8 (24%) were expected death</w:t>
      </w:r>
      <w:r w:rsidR="00F70DDE">
        <w:rPr>
          <w:rFonts w:ascii="Arial" w:hAnsi="Arial" w:cs="Arial"/>
          <w:sz w:val="22"/>
          <w:szCs w:val="22"/>
        </w:rPr>
        <w:t>s</w:t>
      </w:r>
      <w:r>
        <w:rPr>
          <w:rFonts w:ascii="Arial" w:hAnsi="Arial" w:cs="Arial"/>
          <w:sz w:val="22"/>
          <w:szCs w:val="22"/>
        </w:rPr>
        <w:t>, and 17 (52%) in the unexpected death</w:t>
      </w:r>
      <w:r w:rsidR="00F70DDE">
        <w:rPr>
          <w:rFonts w:ascii="Arial" w:hAnsi="Arial" w:cs="Arial"/>
          <w:sz w:val="22"/>
          <w:szCs w:val="22"/>
        </w:rPr>
        <w:t>s</w:t>
      </w:r>
      <w:r>
        <w:rPr>
          <w:rFonts w:ascii="Arial" w:hAnsi="Arial" w:cs="Arial"/>
          <w:sz w:val="22"/>
          <w:szCs w:val="22"/>
        </w:rPr>
        <w:t xml:space="preserve"> (</w:t>
      </w:r>
      <w:r>
        <w:rPr>
          <w:rFonts w:ascii="Arial" w:hAnsi="Arial" w:cs="Arial"/>
          <w:b/>
          <w:sz w:val="22"/>
          <w:szCs w:val="22"/>
        </w:rPr>
        <w:t>Figure 1b</w:t>
      </w:r>
      <w:r>
        <w:rPr>
          <w:rFonts w:ascii="Arial" w:hAnsi="Arial" w:cs="Arial"/>
          <w:sz w:val="22"/>
          <w:szCs w:val="22"/>
        </w:rPr>
        <w:t xml:space="preserve">). </w:t>
      </w:r>
      <w:r w:rsidR="00F70DDE">
        <w:rPr>
          <w:rFonts w:ascii="Arial" w:hAnsi="Arial" w:cs="Arial"/>
          <w:sz w:val="22"/>
          <w:szCs w:val="22"/>
        </w:rPr>
        <w:t>A</w:t>
      </w:r>
      <w:r>
        <w:rPr>
          <w:rFonts w:ascii="Arial" w:hAnsi="Arial" w:cs="Arial"/>
          <w:sz w:val="22"/>
          <w:szCs w:val="22"/>
        </w:rPr>
        <w:t xml:space="preserve"> significant</w:t>
      </w:r>
      <w:r w:rsidR="00144BC1">
        <w:rPr>
          <w:rFonts w:ascii="Arial" w:hAnsi="Arial" w:cs="Arial"/>
          <w:sz w:val="22"/>
          <w:szCs w:val="22"/>
        </w:rPr>
        <w:t>ly</w:t>
      </w:r>
      <w:r>
        <w:rPr>
          <w:rFonts w:ascii="Arial" w:hAnsi="Arial" w:cs="Arial"/>
          <w:sz w:val="22"/>
          <w:szCs w:val="22"/>
        </w:rPr>
        <w:t xml:space="preserve"> higher </w:t>
      </w:r>
      <w:r w:rsidR="0097434C">
        <w:rPr>
          <w:rFonts w:ascii="Arial" w:hAnsi="Arial" w:cs="Arial"/>
          <w:sz w:val="22"/>
          <w:szCs w:val="22"/>
        </w:rPr>
        <w:t xml:space="preserve">mean </w:t>
      </w:r>
      <w:r>
        <w:rPr>
          <w:rFonts w:ascii="Arial" w:hAnsi="Arial" w:cs="Arial"/>
          <w:sz w:val="22"/>
          <w:szCs w:val="22"/>
        </w:rPr>
        <w:t xml:space="preserve">clozapine dose in </w:t>
      </w:r>
      <w:r w:rsidR="00E05664">
        <w:rPr>
          <w:rFonts w:ascii="Arial" w:hAnsi="Arial" w:cs="Arial"/>
          <w:sz w:val="22"/>
          <w:szCs w:val="22"/>
        </w:rPr>
        <w:t>the unexpected group than in the other groups</w:t>
      </w:r>
      <w:r w:rsidR="00144BC1">
        <w:rPr>
          <w:rFonts w:ascii="Arial" w:hAnsi="Arial" w:cs="Arial"/>
          <w:sz w:val="22"/>
          <w:szCs w:val="22"/>
        </w:rPr>
        <w:t xml:space="preserve"> was noted</w:t>
      </w:r>
      <w:r w:rsidR="00007246">
        <w:rPr>
          <w:rFonts w:ascii="Arial" w:hAnsi="Arial" w:cs="Arial"/>
          <w:sz w:val="22"/>
          <w:szCs w:val="22"/>
        </w:rPr>
        <w:t>. Ten out of 17</w:t>
      </w:r>
      <w:r w:rsidR="0097434C">
        <w:rPr>
          <w:rFonts w:ascii="Arial" w:hAnsi="Arial" w:cs="Arial"/>
          <w:sz w:val="22"/>
          <w:szCs w:val="22"/>
        </w:rPr>
        <w:t xml:space="preserve"> cases in the</w:t>
      </w:r>
      <w:r w:rsidR="00007246">
        <w:rPr>
          <w:rFonts w:ascii="Arial" w:hAnsi="Arial" w:cs="Arial"/>
          <w:sz w:val="22"/>
          <w:szCs w:val="22"/>
        </w:rPr>
        <w:t xml:space="preserve"> unexpected group cases were </w:t>
      </w:r>
      <w:r w:rsidR="00B506E2">
        <w:rPr>
          <w:rFonts w:ascii="Arial" w:hAnsi="Arial" w:cs="Arial"/>
          <w:sz w:val="22"/>
          <w:szCs w:val="22"/>
        </w:rPr>
        <w:t xml:space="preserve">deaths recorded as </w:t>
      </w:r>
      <w:r w:rsidR="00007246">
        <w:rPr>
          <w:rFonts w:ascii="Arial" w:hAnsi="Arial" w:cs="Arial"/>
          <w:sz w:val="22"/>
          <w:szCs w:val="22"/>
        </w:rPr>
        <w:t xml:space="preserve">unexplained </w:t>
      </w:r>
      <w:r w:rsidR="000B6158">
        <w:rPr>
          <w:rFonts w:ascii="Arial" w:hAnsi="Arial" w:cs="Arial"/>
          <w:sz w:val="22"/>
          <w:szCs w:val="22"/>
        </w:rPr>
        <w:t>by the coroner</w:t>
      </w:r>
      <w:r w:rsidR="00B506E2">
        <w:rPr>
          <w:rFonts w:ascii="Arial" w:hAnsi="Arial" w:cs="Arial"/>
          <w:sz w:val="22"/>
          <w:szCs w:val="22"/>
        </w:rPr>
        <w:t xml:space="preserve"> (‘open conclusion’ </w:t>
      </w:r>
      <w:r w:rsidR="009C126B">
        <w:rPr>
          <w:rFonts w:ascii="Arial" w:hAnsi="Arial" w:cs="Arial"/>
          <w:sz w:val="22"/>
          <w:szCs w:val="22"/>
        </w:rPr>
        <w:t>formerly</w:t>
      </w:r>
      <w:r w:rsidR="00B506E2">
        <w:rPr>
          <w:rFonts w:ascii="Arial" w:hAnsi="Arial" w:cs="Arial"/>
          <w:sz w:val="22"/>
          <w:szCs w:val="22"/>
        </w:rPr>
        <w:t xml:space="preserve"> ‘open verdict’)</w:t>
      </w:r>
      <w:r w:rsidR="000B6158">
        <w:rPr>
          <w:rFonts w:ascii="Arial" w:hAnsi="Arial" w:cs="Arial"/>
          <w:sz w:val="22"/>
          <w:szCs w:val="22"/>
        </w:rPr>
        <w:t xml:space="preserve">. </w:t>
      </w:r>
      <w:r w:rsidR="00B506E2">
        <w:rPr>
          <w:rFonts w:ascii="Arial" w:hAnsi="Arial" w:cs="Arial"/>
          <w:b/>
          <w:sz w:val="22"/>
          <w:szCs w:val="22"/>
        </w:rPr>
        <w:t>Table 1</w:t>
      </w:r>
      <w:r w:rsidR="00B506E2">
        <w:rPr>
          <w:rFonts w:ascii="Arial" w:hAnsi="Arial" w:cs="Arial"/>
          <w:sz w:val="22"/>
          <w:szCs w:val="22"/>
        </w:rPr>
        <w:t xml:space="preserve"> shows demographics and clinical variables.</w:t>
      </w:r>
    </w:p>
    <w:p w14:paraId="070D8A15" w14:textId="77777777" w:rsidR="00FE5D8E" w:rsidRDefault="00FE5D8E" w:rsidP="00871157">
      <w:pPr>
        <w:spacing w:after="160"/>
        <w:contextualSpacing/>
        <w:jc w:val="both"/>
        <w:rPr>
          <w:rFonts w:ascii="Arial" w:hAnsi="Arial" w:cs="Arial"/>
          <w:sz w:val="22"/>
          <w:szCs w:val="22"/>
        </w:rPr>
      </w:pPr>
    </w:p>
    <w:p w14:paraId="2D76F4D0" w14:textId="40ECFFEE" w:rsidR="00FE5D8E" w:rsidRPr="00D56F88" w:rsidRDefault="0095382D" w:rsidP="00871157">
      <w:pPr>
        <w:pStyle w:val="ListParagraph"/>
        <w:numPr>
          <w:ilvl w:val="1"/>
          <w:numId w:val="4"/>
        </w:numPr>
        <w:jc w:val="both"/>
        <w:rPr>
          <w:rFonts w:ascii="Arial" w:hAnsi="Arial" w:cs="Arial"/>
          <w:iCs/>
          <w:sz w:val="22"/>
          <w:szCs w:val="22"/>
          <w:u w:val="single"/>
        </w:rPr>
      </w:pPr>
      <w:r w:rsidRPr="00D56F88">
        <w:rPr>
          <w:rFonts w:ascii="Arial" w:hAnsi="Arial" w:cs="Arial"/>
          <w:iCs/>
          <w:sz w:val="22"/>
          <w:szCs w:val="22"/>
          <w:u w:val="single"/>
        </w:rPr>
        <w:t>Comparing risk factors in the unexpected deaths group with control group</w:t>
      </w:r>
    </w:p>
    <w:p w14:paraId="7EC2FD7B" w14:textId="3F201F40" w:rsidR="00A23838" w:rsidRPr="007349AA" w:rsidRDefault="0095382D" w:rsidP="00871157">
      <w:pPr>
        <w:spacing w:after="160"/>
        <w:contextualSpacing/>
        <w:jc w:val="both"/>
        <w:rPr>
          <w:rFonts w:ascii="Arial" w:hAnsi="Arial" w:cs="Arial"/>
          <w:sz w:val="22"/>
          <w:szCs w:val="22"/>
        </w:rPr>
      </w:pPr>
      <w:r>
        <w:rPr>
          <w:rFonts w:ascii="Arial" w:hAnsi="Arial" w:cs="Arial"/>
          <w:sz w:val="22"/>
          <w:szCs w:val="22"/>
        </w:rPr>
        <w:t xml:space="preserve">We aimed to identify predictors of unexpected death using a clozapine-treated control comparison group (n=123). </w:t>
      </w:r>
      <w:r>
        <w:rPr>
          <w:rFonts w:ascii="Arial" w:hAnsi="Arial" w:cs="Arial"/>
          <w:b/>
          <w:sz w:val="22"/>
          <w:szCs w:val="22"/>
        </w:rPr>
        <w:t>Table 2</w:t>
      </w:r>
      <w:r>
        <w:rPr>
          <w:rFonts w:ascii="Arial" w:hAnsi="Arial" w:cs="Arial"/>
          <w:sz w:val="22"/>
          <w:szCs w:val="22"/>
        </w:rPr>
        <w:t xml:space="preserve"> shows </w:t>
      </w:r>
      <w:r w:rsidR="00A37FCC">
        <w:rPr>
          <w:rFonts w:ascii="Arial" w:hAnsi="Arial" w:cs="Arial"/>
          <w:sz w:val="22"/>
          <w:szCs w:val="22"/>
        </w:rPr>
        <w:t xml:space="preserve">the </w:t>
      </w:r>
      <w:r w:rsidR="00A37FCC" w:rsidRPr="00A37FCC">
        <w:rPr>
          <w:rFonts w:ascii="Arial" w:hAnsi="Arial" w:cs="Arial"/>
          <w:sz w:val="22"/>
          <w:szCs w:val="22"/>
        </w:rPr>
        <w:t>univariate analysis</w:t>
      </w:r>
      <w:r w:rsidR="00A37FCC">
        <w:rPr>
          <w:rFonts w:ascii="Arial" w:hAnsi="Arial" w:cs="Arial"/>
          <w:sz w:val="22"/>
          <w:szCs w:val="22"/>
        </w:rPr>
        <w:t xml:space="preserve"> of </w:t>
      </w:r>
      <w:r>
        <w:rPr>
          <w:rFonts w:ascii="Arial" w:hAnsi="Arial" w:cs="Arial"/>
          <w:sz w:val="22"/>
          <w:szCs w:val="22"/>
        </w:rPr>
        <w:t>demographic and clinical variables of the patients who died unexpectedly and those in the clozapine-treated control group</w:t>
      </w:r>
      <w:r w:rsidR="00B506E2">
        <w:rPr>
          <w:rFonts w:ascii="Arial" w:hAnsi="Arial" w:cs="Arial"/>
          <w:sz w:val="22"/>
          <w:szCs w:val="22"/>
        </w:rPr>
        <w:t xml:space="preserve"> (who did not die)</w:t>
      </w:r>
      <w:r>
        <w:rPr>
          <w:rFonts w:ascii="Arial" w:hAnsi="Arial" w:cs="Arial"/>
          <w:sz w:val="22"/>
          <w:szCs w:val="22"/>
        </w:rPr>
        <w:t xml:space="preserve">. </w:t>
      </w:r>
      <w:r w:rsidR="00C05D59">
        <w:rPr>
          <w:rFonts w:ascii="Arial" w:hAnsi="Arial" w:cs="Arial"/>
          <w:sz w:val="22"/>
          <w:szCs w:val="22"/>
        </w:rPr>
        <w:t xml:space="preserve">Clozapine dose is as prescribed at time of death. </w:t>
      </w:r>
      <w:r>
        <w:rPr>
          <w:rFonts w:ascii="Arial" w:hAnsi="Arial" w:cs="Arial"/>
          <w:sz w:val="22"/>
          <w:szCs w:val="22"/>
        </w:rPr>
        <w:t>Patients who</w:t>
      </w:r>
      <w:r w:rsidR="00144BC1">
        <w:rPr>
          <w:rFonts w:ascii="Arial" w:hAnsi="Arial" w:cs="Arial"/>
          <w:sz w:val="22"/>
          <w:szCs w:val="22"/>
        </w:rPr>
        <w:t>se deaths were unexpected</w:t>
      </w:r>
      <w:r>
        <w:rPr>
          <w:rFonts w:ascii="Arial" w:hAnsi="Arial" w:cs="Arial"/>
          <w:sz w:val="22"/>
          <w:szCs w:val="22"/>
        </w:rPr>
        <w:t xml:space="preserve"> were </w:t>
      </w:r>
      <w:r w:rsidR="00144BC1">
        <w:rPr>
          <w:rFonts w:ascii="Arial" w:hAnsi="Arial" w:cs="Arial"/>
          <w:sz w:val="22"/>
          <w:szCs w:val="22"/>
        </w:rPr>
        <w:t>prescribed</w:t>
      </w:r>
      <w:r>
        <w:rPr>
          <w:rFonts w:ascii="Arial" w:hAnsi="Arial" w:cs="Arial"/>
          <w:sz w:val="22"/>
          <w:szCs w:val="22"/>
        </w:rPr>
        <w:t xml:space="preserve"> higher doses of clozapine (p = 0.021)</w:t>
      </w:r>
      <w:r w:rsidR="00B506E2">
        <w:rPr>
          <w:rFonts w:ascii="Arial" w:hAnsi="Arial" w:cs="Arial"/>
          <w:sz w:val="22"/>
          <w:szCs w:val="22"/>
        </w:rPr>
        <w:t>, were younger (p = 0.002), and were marginally less likely to be co-prescribed an antidepressant (p = 0.061)</w:t>
      </w:r>
      <w:r>
        <w:rPr>
          <w:rFonts w:ascii="Arial" w:hAnsi="Arial" w:cs="Arial"/>
          <w:sz w:val="22"/>
          <w:szCs w:val="22"/>
        </w:rPr>
        <w:t xml:space="preserve">. </w:t>
      </w:r>
    </w:p>
    <w:p w14:paraId="53E3EA18" w14:textId="6518891E" w:rsidR="00FE5D8E" w:rsidRPr="00D56F88" w:rsidRDefault="00790A8D" w:rsidP="00871157">
      <w:pPr>
        <w:contextualSpacing/>
        <w:jc w:val="both"/>
        <w:rPr>
          <w:rFonts w:ascii="Arial" w:eastAsiaTheme="minorEastAsia" w:hAnsi="Arial" w:cs="Arial"/>
          <w:bCs/>
          <w:color w:val="000000"/>
          <w:sz w:val="22"/>
          <w:szCs w:val="22"/>
          <w:lang w:val="en-US" w:eastAsia="zh-CN"/>
        </w:rPr>
      </w:pPr>
      <w:r>
        <w:rPr>
          <w:rFonts w:ascii="Arial" w:hAnsi="Arial" w:cs="Arial"/>
          <w:bCs/>
          <w:color w:val="000000"/>
          <w:sz w:val="22"/>
          <w:szCs w:val="22"/>
        </w:rPr>
        <w:t>The logistic regression</w:t>
      </w:r>
      <w:r w:rsidR="0095382D" w:rsidRPr="00790A8D">
        <w:rPr>
          <w:rFonts w:ascii="Arial" w:hAnsi="Arial" w:cs="Arial"/>
          <w:bCs/>
          <w:color w:val="000000"/>
          <w:sz w:val="22"/>
          <w:szCs w:val="22"/>
        </w:rPr>
        <w:t xml:space="preserve"> analysis, in which the effects of all predictors were controlled for all others, is shown in </w:t>
      </w:r>
      <w:r>
        <w:rPr>
          <w:rFonts w:ascii="Arial" w:hAnsi="Arial" w:cs="Arial"/>
          <w:b/>
          <w:bCs/>
          <w:color w:val="000000"/>
          <w:sz w:val="22"/>
          <w:szCs w:val="22"/>
        </w:rPr>
        <w:t>table 3</w:t>
      </w:r>
      <w:r w:rsidR="0095382D" w:rsidRPr="00790A8D">
        <w:rPr>
          <w:rFonts w:ascii="Arial" w:hAnsi="Arial" w:cs="Arial"/>
          <w:bCs/>
          <w:color w:val="000000"/>
          <w:sz w:val="22"/>
          <w:szCs w:val="22"/>
        </w:rPr>
        <w:t>. Those taking high-dose clozapine had an elevated risk of death (</w:t>
      </w:r>
      <w:r w:rsidR="00053EB5">
        <w:rPr>
          <w:rFonts w:ascii="Arial" w:hAnsi="Arial" w:cs="Arial"/>
          <w:bCs/>
          <w:color w:val="000000"/>
          <w:sz w:val="22"/>
          <w:szCs w:val="22"/>
        </w:rPr>
        <w:t>O</w:t>
      </w:r>
      <w:r w:rsidR="0095382D" w:rsidRPr="00790A8D">
        <w:rPr>
          <w:rFonts w:ascii="Arial" w:hAnsi="Arial" w:cs="Arial"/>
          <w:bCs/>
          <w:color w:val="000000"/>
          <w:sz w:val="22"/>
          <w:szCs w:val="22"/>
        </w:rPr>
        <w:t xml:space="preserve">R = </w:t>
      </w:r>
      <w:r w:rsidR="00053EB5">
        <w:rPr>
          <w:rFonts w:ascii="Arial" w:hAnsi="Arial" w:cs="Arial"/>
          <w:bCs/>
          <w:color w:val="000000"/>
          <w:sz w:val="22"/>
          <w:szCs w:val="22"/>
        </w:rPr>
        <w:t>5.937</w:t>
      </w:r>
      <w:r w:rsidR="0095382D" w:rsidRPr="00790A8D">
        <w:rPr>
          <w:rFonts w:ascii="Arial" w:hAnsi="Arial" w:cs="Arial"/>
          <w:bCs/>
          <w:color w:val="000000"/>
          <w:sz w:val="22"/>
          <w:szCs w:val="22"/>
        </w:rPr>
        <w:t>, CI 95%</w:t>
      </w:r>
      <w:r w:rsidR="00053EB5">
        <w:rPr>
          <w:rFonts w:ascii="Arial" w:hAnsi="Arial" w:cs="Arial"/>
          <w:bCs/>
          <w:color w:val="000000"/>
          <w:sz w:val="22"/>
          <w:szCs w:val="22"/>
        </w:rPr>
        <w:t xml:space="preserve"> 1.243-30.595)</w:t>
      </w:r>
      <w:r w:rsidR="00053EB5">
        <w:rPr>
          <w:rFonts w:ascii="Arial" w:eastAsiaTheme="minorEastAsia" w:hAnsi="Arial" w:cs="Arial"/>
          <w:bCs/>
          <w:color w:val="000000"/>
          <w:sz w:val="22"/>
          <w:szCs w:val="22"/>
          <w:lang w:val="en-US" w:eastAsia="zh-CN"/>
        </w:rPr>
        <w:t xml:space="preserve">, and this result </w:t>
      </w:r>
      <w:r w:rsidR="00B506E2">
        <w:rPr>
          <w:rFonts w:ascii="Arial" w:eastAsiaTheme="minorEastAsia" w:hAnsi="Arial" w:cs="Arial"/>
          <w:bCs/>
          <w:color w:val="000000"/>
          <w:sz w:val="22"/>
          <w:szCs w:val="22"/>
          <w:lang w:val="en-US" w:eastAsia="zh-CN"/>
        </w:rPr>
        <w:t xml:space="preserve">remained </w:t>
      </w:r>
      <w:r w:rsidR="00053EB5" w:rsidRPr="007349AA">
        <w:rPr>
          <w:rFonts w:ascii="Arial" w:hAnsi="Arial" w:cs="Arial"/>
          <w:bCs/>
          <w:color w:val="000000"/>
          <w:sz w:val="22"/>
          <w:szCs w:val="22"/>
        </w:rPr>
        <w:t>sig</w:t>
      </w:r>
      <w:proofErr w:type="spellStart"/>
      <w:r w:rsidR="00053EB5">
        <w:rPr>
          <w:rFonts w:ascii="Arial" w:eastAsiaTheme="minorEastAsia" w:hAnsi="Arial" w:cs="Arial"/>
          <w:bCs/>
          <w:color w:val="000000"/>
          <w:sz w:val="22"/>
          <w:szCs w:val="22"/>
          <w:lang w:val="en-US" w:eastAsia="zh-CN"/>
        </w:rPr>
        <w:t>nificant</w:t>
      </w:r>
      <w:proofErr w:type="spellEnd"/>
      <w:r w:rsidR="00053EB5">
        <w:rPr>
          <w:rFonts w:ascii="Arial" w:eastAsiaTheme="minorEastAsia" w:hAnsi="Arial" w:cs="Arial"/>
          <w:bCs/>
          <w:color w:val="000000"/>
          <w:sz w:val="22"/>
          <w:szCs w:val="22"/>
          <w:lang w:val="en-US" w:eastAsia="zh-CN"/>
        </w:rPr>
        <w:t xml:space="preserve"> after the logistic model </w:t>
      </w:r>
      <w:r w:rsidR="00053EB5" w:rsidRPr="00D56F88">
        <w:rPr>
          <w:rFonts w:ascii="Arial" w:eastAsiaTheme="minorEastAsia" w:hAnsi="Arial" w:cs="Arial"/>
          <w:bCs/>
          <w:color w:val="000000"/>
          <w:sz w:val="22"/>
          <w:szCs w:val="22"/>
          <w:lang w:val="en-US" w:eastAsia="zh-CN"/>
        </w:rPr>
        <w:t xml:space="preserve">was weighted by IPW </w:t>
      </w:r>
      <w:r w:rsidR="00053EB5" w:rsidRPr="00D56F88">
        <w:rPr>
          <w:rFonts w:ascii="Arial" w:hAnsi="Arial" w:cs="Arial"/>
          <w:bCs/>
          <w:color w:val="000000"/>
          <w:sz w:val="22"/>
          <w:szCs w:val="22"/>
        </w:rPr>
        <w:t>(OR = 9.249, CI 95% 2.358-40.914)</w:t>
      </w:r>
      <w:r w:rsidR="00053EB5" w:rsidRPr="00D56F88">
        <w:rPr>
          <w:rFonts w:ascii="Arial" w:eastAsiaTheme="minorEastAsia" w:hAnsi="Arial" w:cs="Arial"/>
          <w:bCs/>
          <w:color w:val="000000"/>
          <w:sz w:val="22"/>
          <w:szCs w:val="22"/>
          <w:lang w:val="en-US" w:eastAsia="zh-CN"/>
        </w:rPr>
        <w:t>.</w:t>
      </w:r>
      <w:r w:rsidR="00842EA3" w:rsidRPr="00D56F88">
        <w:rPr>
          <w:rFonts w:ascii="Arial" w:eastAsiaTheme="minorEastAsia" w:hAnsi="Arial" w:cs="Arial"/>
          <w:bCs/>
          <w:color w:val="000000"/>
          <w:sz w:val="22"/>
          <w:szCs w:val="22"/>
          <w:lang w:val="en-US" w:eastAsia="zh-CN"/>
        </w:rPr>
        <w:t xml:space="preserve"> </w:t>
      </w:r>
      <w:r w:rsidR="0095382D" w:rsidRPr="00D56F88">
        <w:rPr>
          <w:rFonts w:ascii="Arial" w:hAnsi="Arial" w:cs="Arial"/>
          <w:bCs/>
          <w:color w:val="000000"/>
          <w:sz w:val="22"/>
          <w:szCs w:val="22"/>
        </w:rPr>
        <w:t>However, the ri</w:t>
      </w:r>
      <w:r w:rsidR="00711C06" w:rsidRPr="00D56F88">
        <w:rPr>
          <w:rFonts w:ascii="Arial" w:hAnsi="Arial" w:cs="Arial"/>
          <w:bCs/>
          <w:color w:val="000000"/>
          <w:sz w:val="22"/>
          <w:szCs w:val="22"/>
        </w:rPr>
        <w:t xml:space="preserve">sk of death was lower in those </w:t>
      </w:r>
      <w:r w:rsidR="0095382D" w:rsidRPr="00D56F88">
        <w:rPr>
          <w:rFonts w:ascii="Arial" w:hAnsi="Arial" w:cs="Arial"/>
          <w:bCs/>
          <w:color w:val="000000"/>
          <w:sz w:val="22"/>
          <w:szCs w:val="22"/>
        </w:rPr>
        <w:t xml:space="preserve">taking </w:t>
      </w:r>
      <w:r w:rsidR="00AD6C4B" w:rsidRPr="00D56F88">
        <w:rPr>
          <w:rFonts w:ascii="Arial" w:hAnsi="Arial" w:cs="Arial"/>
          <w:bCs/>
          <w:color w:val="000000"/>
          <w:sz w:val="22"/>
          <w:szCs w:val="22"/>
        </w:rPr>
        <w:t xml:space="preserve">antidepressants </w:t>
      </w:r>
      <w:r w:rsidR="0095382D" w:rsidRPr="00D56F88">
        <w:rPr>
          <w:rFonts w:ascii="Arial" w:hAnsi="Arial" w:cs="Arial"/>
          <w:bCs/>
          <w:color w:val="000000"/>
          <w:sz w:val="22"/>
          <w:szCs w:val="22"/>
        </w:rPr>
        <w:t>in addition to clozapine (</w:t>
      </w:r>
      <w:r w:rsidR="00711C06" w:rsidRPr="00D56F88">
        <w:rPr>
          <w:rFonts w:ascii="Arial" w:hAnsi="Arial" w:cs="Arial"/>
          <w:bCs/>
          <w:color w:val="000000"/>
          <w:sz w:val="22"/>
          <w:szCs w:val="22"/>
        </w:rPr>
        <w:t>OR</w:t>
      </w:r>
      <w:r w:rsidR="0095382D" w:rsidRPr="00D56F88">
        <w:rPr>
          <w:rFonts w:ascii="Arial" w:hAnsi="Arial" w:cs="Arial"/>
          <w:bCs/>
          <w:color w:val="000000"/>
          <w:sz w:val="22"/>
          <w:szCs w:val="22"/>
        </w:rPr>
        <w:t xml:space="preserve"> = 0.</w:t>
      </w:r>
      <w:r w:rsidR="00AD6C4B" w:rsidRPr="00D56F88">
        <w:rPr>
          <w:rFonts w:ascii="Arial" w:hAnsi="Arial" w:cs="Arial"/>
          <w:bCs/>
          <w:color w:val="000000"/>
          <w:sz w:val="22"/>
          <w:szCs w:val="22"/>
        </w:rPr>
        <w:t>116</w:t>
      </w:r>
      <w:r w:rsidR="0095382D" w:rsidRPr="00D56F88">
        <w:rPr>
          <w:rFonts w:ascii="Arial" w:hAnsi="Arial" w:cs="Arial"/>
          <w:bCs/>
          <w:color w:val="000000"/>
          <w:sz w:val="22"/>
          <w:szCs w:val="22"/>
        </w:rPr>
        <w:t>, CI 95%</w:t>
      </w:r>
      <w:r w:rsidR="00711C06" w:rsidRPr="00D56F88">
        <w:rPr>
          <w:rFonts w:ascii="Arial" w:hAnsi="Arial" w:cs="Arial"/>
          <w:bCs/>
          <w:color w:val="000000"/>
          <w:sz w:val="22"/>
          <w:szCs w:val="22"/>
        </w:rPr>
        <w:t xml:space="preserve"> </w:t>
      </w:r>
      <w:r w:rsidR="0095382D" w:rsidRPr="00D56F88">
        <w:rPr>
          <w:rFonts w:ascii="Arial" w:hAnsi="Arial" w:cs="Arial"/>
          <w:bCs/>
          <w:color w:val="000000"/>
          <w:sz w:val="22"/>
          <w:szCs w:val="22"/>
        </w:rPr>
        <w:t>0.0</w:t>
      </w:r>
      <w:r w:rsidR="00AD6C4B" w:rsidRPr="00D56F88">
        <w:rPr>
          <w:rFonts w:ascii="Arial" w:hAnsi="Arial" w:cs="Arial"/>
          <w:bCs/>
          <w:color w:val="000000"/>
          <w:sz w:val="22"/>
          <w:szCs w:val="22"/>
        </w:rPr>
        <w:t>08</w:t>
      </w:r>
      <w:r w:rsidR="0095382D" w:rsidRPr="00D56F88">
        <w:rPr>
          <w:rFonts w:ascii="Arial" w:hAnsi="Arial" w:cs="Arial"/>
          <w:bCs/>
          <w:color w:val="000000"/>
          <w:sz w:val="22"/>
          <w:szCs w:val="22"/>
        </w:rPr>
        <w:t>-0.</w:t>
      </w:r>
      <w:r w:rsidR="00AD6C4B" w:rsidRPr="00D56F88">
        <w:rPr>
          <w:rFonts w:ascii="Arial" w:hAnsi="Arial" w:cs="Arial"/>
          <w:bCs/>
          <w:color w:val="000000"/>
          <w:sz w:val="22"/>
          <w:szCs w:val="22"/>
        </w:rPr>
        <w:t>672</w:t>
      </w:r>
      <w:r w:rsidR="0095382D" w:rsidRPr="00D56F88">
        <w:rPr>
          <w:rFonts w:ascii="Arial" w:hAnsi="Arial" w:cs="Arial"/>
          <w:bCs/>
          <w:color w:val="000000"/>
          <w:sz w:val="22"/>
          <w:szCs w:val="22"/>
        </w:rPr>
        <w:t>)</w:t>
      </w:r>
      <w:r w:rsidR="00EE6DB6" w:rsidRPr="00D56F88">
        <w:rPr>
          <w:rFonts w:ascii="Arial" w:hAnsi="Arial" w:cs="Arial"/>
          <w:bCs/>
          <w:color w:val="000000"/>
          <w:sz w:val="22"/>
          <w:szCs w:val="22"/>
        </w:rPr>
        <w:t>.</w:t>
      </w:r>
    </w:p>
    <w:p w14:paraId="699881BE" w14:textId="77777777" w:rsidR="00FE5D8E" w:rsidRPr="00D56F88" w:rsidRDefault="00FE5D8E" w:rsidP="00871157">
      <w:pPr>
        <w:contextualSpacing/>
        <w:jc w:val="both"/>
        <w:rPr>
          <w:rFonts w:ascii="Arial" w:hAnsi="Arial" w:cs="Arial"/>
          <w:bCs/>
          <w:color w:val="000000"/>
          <w:sz w:val="22"/>
          <w:szCs w:val="22"/>
        </w:rPr>
      </w:pPr>
    </w:p>
    <w:p w14:paraId="1AB64CDD" w14:textId="7850B5CA" w:rsidR="00FE5D8E" w:rsidRPr="00D56F88" w:rsidRDefault="0095382D" w:rsidP="00871157">
      <w:pPr>
        <w:pStyle w:val="ListParagraph"/>
        <w:numPr>
          <w:ilvl w:val="1"/>
          <w:numId w:val="4"/>
        </w:numPr>
        <w:spacing w:after="160"/>
        <w:jc w:val="both"/>
        <w:rPr>
          <w:rFonts w:ascii="Arial" w:hAnsi="Arial" w:cs="Arial"/>
        </w:rPr>
      </w:pPr>
      <w:r w:rsidRPr="00D56F88">
        <w:rPr>
          <w:rFonts w:ascii="Arial" w:hAnsi="Arial" w:cs="Arial"/>
          <w:sz w:val="22"/>
          <w:szCs w:val="22"/>
          <w:u w:val="single"/>
        </w:rPr>
        <w:t xml:space="preserve">The </w:t>
      </w:r>
      <w:r w:rsidR="00144BC1" w:rsidRPr="00D56F88">
        <w:rPr>
          <w:rFonts w:ascii="Arial" w:hAnsi="Arial" w:cs="Arial"/>
          <w:sz w:val="22"/>
          <w:szCs w:val="22"/>
          <w:u w:val="single"/>
        </w:rPr>
        <w:t xml:space="preserve">peak </w:t>
      </w:r>
      <w:r w:rsidRPr="00D56F88">
        <w:rPr>
          <w:rFonts w:ascii="Arial" w:hAnsi="Arial" w:cs="Arial"/>
          <w:sz w:val="22"/>
          <w:szCs w:val="22"/>
          <w:u w:val="single"/>
        </w:rPr>
        <w:t>in deaths during 2018</w:t>
      </w:r>
    </w:p>
    <w:p w14:paraId="5EAF70E8" w14:textId="7B40BD1B" w:rsidR="00FE5D8E" w:rsidRPr="006175EA" w:rsidRDefault="0095382D" w:rsidP="00871157">
      <w:pPr>
        <w:contextualSpacing/>
        <w:jc w:val="both"/>
        <w:rPr>
          <w:rFonts w:ascii="Arial" w:hAnsi="Arial" w:cs="Arial"/>
          <w:bCs/>
          <w:color w:val="000000"/>
          <w:sz w:val="22"/>
          <w:szCs w:val="22"/>
          <w:highlight w:val="yellow"/>
        </w:rPr>
      </w:pPr>
      <w:r w:rsidRPr="00D56F88">
        <w:rPr>
          <w:rFonts w:ascii="Arial" w:hAnsi="Arial" w:cs="Arial"/>
          <w:bCs/>
          <w:color w:val="000000"/>
          <w:sz w:val="22"/>
          <w:szCs w:val="22"/>
        </w:rPr>
        <w:t>The increase in deaths observed for 2018 was further explored using linear regression with the proportion of exposed patients dying in each year as the dependent variable</w:t>
      </w:r>
      <w:r w:rsidR="002A3F62" w:rsidRPr="00D56F88">
        <w:rPr>
          <w:rFonts w:ascii="Arial" w:eastAsiaTheme="minorEastAsia" w:hAnsi="Arial" w:cs="Arial"/>
          <w:bCs/>
          <w:color w:val="000000"/>
          <w:sz w:val="22"/>
          <w:szCs w:val="22"/>
          <w:lang w:val="en-US" w:eastAsia="zh-CN"/>
        </w:rPr>
        <w:t xml:space="preserve"> and the independent variable</w:t>
      </w:r>
      <w:r w:rsidR="002A3F62" w:rsidRPr="002A3F62">
        <w:rPr>
          <w:rFonts w:ascii="Arial" w:eastAsiaTheme="minorEastAsia" w:hAnsi="Arial" w:cs="Arial"/>
          <w:bCs/>
          <w:color w:val="000000"/>
          <w:sz w:val="22"/>
          <w:szCs w:val="22"/>
          <w:lang w:val="en-US" w:eastAsia="zh-CN"/>
        </w:rPr>
        <w:t xml:space="preserve"> is a binary variable (year = 2018 or not)</w:t>
      </w:r>
      <w:r w:rsidRPr="002A3F62">
        <w:rPr>
          <w:rFonts w:ascii="Arial" w:hAnsi="Arial" w:cs="Arial"/>
          <w:bCs/>
          <w:color w:val="000000"/>
          <w:sz w:val="22"/>
          <w:szCs w:val="22"/>
        </w:rPr>
        <w:t xml:space="preserve">. </w:t>
      </w:r>
      <w:r w:rsidR="002A3F62" w:rsidRPr="002A3F62">
        <w:rPr>
          <w:rFonts w:ascii="Arial" w:eastAsiaTheme="minorEastAsia" w:hAnsi="Arial" w:cs="Arial"/>
          <w:bCs/>
          <w:color w:val="000000"/>
          <w:sz w:val="22"/>
          <w:szCs w:val="22"/>
          <w:lang w:val="en-US" w:eastAsia="zh-CN"/>
        </w:rPr>
        <w:t xml:space="preserve">To control for an overall time trend in death rates, we included the calendar year as a covariate. </w:t>
      </w:r>
      <w:r w:rsidRPr="002A3F62">
        <w:rPr>
          <w:rFonts w:ascii="Arial" w:hAnsi="Arial" w:cs="Arial"/>
          <w:bCs/>
          <w:color w:val="000000"/>
          <w:sz w:val="22"/>
          <w:szCs w:val="22"/>
        </w:rPr>
        <w:t xml:space="preserve">The results </w:t>
      </w:r>
      <w:r w:rsidR="001468AB" w:rsidRPr="00DE02C8">
        <w:rPr>
          <w:rFonts w:ascii="Arial" w:hAnsi="Arial" w:cs="Arial"/>
          <w:bCs/>
          <w:color w:val="000000"/>
          <w:sz w:val="22"/>
          <w:szCs w:val="22"/>
        </w:rPr>
        <w:t xml:space="preserve">in </w:t>
      </w:r>
      <w:r w:rsidR="001468AB" w:rsidRPr="00DE02C8">
        <w:rPr>
          <w:rFonts w:ascii="Arial" w:hAnsi="Arial" w:cs="Arial"/>
          <w:b/>
          <w:bCs/>
          <w:color w:val="000000"/>
          <w:sz w:val="22"/>
          <w:szCs w:val="22"/>
        </w:rPr>
        <w:t xml:space="preserve">Table </w:t>
      </w:r>
      <w:r w:rsidR="00660D01" w:rsidRPr="00DE02C8">
        <w:rPr>
          <w:rFonts w:ascii="Arial" w:hAnsi="Arial" w:cs="Arial"/>
          <w:b/>
          <w:bCs/>
          <w:color w:val="000000"/>
          <w:sz w:val="22"/>
          <w:szCs w:val="22"/>
        </w:rPr>
        <w:t>S1</w:t>
      </w:r>
      <w:r w:rsidR="001468AB" w:rsidRPr="002A3F62">
        <w:rPr>
          <w:rFonts w:ascii="Arial" w:hAnsi="Arial" w:cs="Arial"/>
          <w:b/>
          <w:bCs/>
          <w:color w:val="000000"/>
          <w:sz w:val="22"/>
          <w:szCs w:val="22"/>
        </w:rPr>
        <w:t xml:space="preserve"> </w:t>
      </w:r>
      <w:r w:rsidRPr="002A3F62">
        <w:rPr>
          <w:rFonts w:ascii="Arial" w:hAnsi="Arial" w:cs="Arial"/>
          <w:bCs/>
          <w:color w:val="000000"/>
          <w:sz w:val="22"/>
          <w:szCs w:val="22"/>
        </w:rPr>
        <w:t>show that a greater death rate was found in 2018, driven by excess of unexpected deaths in patient treated with high dose of clozapine (&gt;525 mg daily; p=.001); but not due to suicide (p=.</w:t>
      </w:r>
      <w:r w:rsidR="00656EE6">
        <w:rPr>
          <w:rFonts w:ascii="Arial" w:hAnsi="Arial" w:cs="Arial"/>
          <w:bCs/>
          <w:color w:val="000000"/>
          <w:sz w:val="22"/>
          <w:szCs w:val="22"/>
        </w:rPr>
        <w:t>373</w:t>
      </w:r>
      <w:r w:rsidRPr="002A3F62">
        <w:rPr>
          <w:rFonts w:ascii="Arial" w:hAnsi="Arial" w:cs="Arial"/>
          <w:bCs/>
          <w:color w:val="000000"/>
          <w:sz w:val="22"/>
          <w:szCs w:val="22"/>
        </w:rPr>
        <w:t>) or expected deaths (p=.</w:t>
      </w:r>
      <w:r w:rsidR="00656EE6">
        <w:rPr>
          <w:rFonts w:ascii="Arial" w:hAnsi="Arial" w:cs="Arial"/>
          <w:bCs/>
          <w:color w:val="000000"/>
          <w:sz w:val="22"/>
          <w:szCs w:val="22"/>
        </w:rPr>
        <w:t>720</w:t>
      </w:r>
      <w:r w:rsidRPr="002A3F62">
        <w:rPr>
          <w:rFonts w:ascii="Arial" w:hAnsi="Arial" w:cs="Arial"/>
          <w:bCs/>
          <w:color w:val="000000"/>
          <w:sz w:val="22"/>
          <w:szCs w:val="22"/>
        </w:rPr>
        <w:t>)</w:t>
      </w:r>
      <w:r w:rsidRPr="006175EA">
        <w:rPr>
          <w:rFonts w:ascii="Arial" w:hAnsi="Arial" w:cs="Arial"/>
          <w:bCs/>
          <w:color w:val="000000"/>
          <w:sz w:val="22"/>
          <w:szCs w:val="22"/>
        </w:rPr>
        <w:t>.</w:t>
      </w:r>
      <w:r w:rsidR="00B506E2">
        <w:rPr>
          <w:rFonts w:ascii="Arial" w:hAnsi="Arial" w:cs="Arial"/>
          <w:bCs/>
          <w:color w:val="000000"/>
          <w:sz w:val="22"/>
          <w:szCs w:val="22"/>
        </w:rPr>
        <w:t xml:space="preserve"> There was a linear trend for expected deaths, independent of 2018. </w:t>
      </w:r>
    </w:p>
    <w:p w14:paraId="0B8B5E15" w14:textId="77777777" w:rsidR="00FE5D8E" w:rsidRDefault="00FE5D8E" w:rsidP="00871157">
      <w:pPr>
        <w:spacing w:after="160"/>
        <w:contextualSpacing/>
        <w:jc w:val="both"/>
        <w:rPr>
          <w:rFonts w:ascii="Arial" w:hAnsi="Arial" w:cs="Arial"/>
          <w:bCs/>
          <w:color w:val="000000"/>
          <w:sz w:val="22"/>
          <w:szCs w:val="22"/>
        </w:rPr>
      </w:pPr>
    </w:p>
    <w:p w14:paraId="7CA51162" w14:textId="063E5B2E" w:rsidR="00FE5D8E" w:rsidRPr="00D56F88" w:rsidRDefault="0095382D" w:rsidP="00871157">
      <w:pPr>
        <w:pStyle w:val="ListParagraph"/>
        <w:numPr>
          <w:ilvl w:val="0"/>
          <w:numId w:val="4"/>
        </w:numPr>
        <w:outlineLvl w:val="0"/>
        <w:rPr>
          <w:rFonts w:ascii="Arial" w:hAnsi="Arial" w:cs="Arial"/>
          <w:b/>
          <w:sz w:val="22"/>
          <w:szCs w:val="22"/>
        </w:rPr>
      </w:pPr>
      <w:r w:rsidRPr="00D56F88">
        <w:rPr>
          <w:rFonts w:ascii="Arial" w:hAnsi="Arial" w:cs="Arial"/>
          <w:b/>
          <w:sz w:val="22"/>
          <w:szCs w:val="22"/>
        </w:rPr>
        <w:t>Discussion</w:t>
      </w:r>
    </w:p>
    <w:p w14:paraId="6398E0EC" w14:textId="0989E6B0" w:rsidR="00FE5D8E" w:rsidRDefault="0095382D" w:rsidP="00871157">
      <w:pPr>
        <w:contextualSpacing/>
        <w:jc w:val="both"/>
      </w:pPr>
      <w:r>
        <w:rPr>
          <w:rFonts w:ascii="Arial" w:hAnsi="Arial" w:cs="Arial"/>
          <w:sz w:val="22"/>
          <w:szCs w:val="22"/>
        </w:rPr>
        <w:t>We found that</w:t>
      </w:r>
      <w:r w:rsidR="00CC1D14">
        <w:rPr>
          <w:rFonts w:ascii="Arial" w:hAnsi="Arial" w:cs="Arial"/>
          <w:sz w:val="22"/>
          <w:szCs w:val="22"/>
        </w:rPr>
        <w:t xml:space="preserve"> </w:t>
      </w:r>
      <w:r>
        <w:rPr>
          <w:rFonts w:ascii="Arial" w:hAnsi="Arial" w:cs="Arial"/>
          <w:sz w:val="22"/>
          <w:szCs w:val="22"/>
        </w:rPr>
        <w:t xml:space="preserve">most deaths (52%) were due to unexpected physical causes, compared to suicide (24%) or those expected in the context of known life-limiting physical illness (24%). The overall mortality rate was 0.8% per year. Unexpected deaths had a relatively low mortality rate (0.4% per year) but with a significant peak during 2018 of 1.1%. </w:t>
      </w:r>
      <w:r w:rsidR="00144BC1">
        <w:rPr>
          <w:rFonts w:ascii="Arial" w:hAnsi="Arial" w:cs="Arial"/>
          <w:sz w:val="22"/>
          <w:szCs w:val="22"/>
        </w:rPr>
        <w:t>High clozapine dose was consistently found as a risk factor for an early unexpected death.</w:t>
      </w:r>
    </w:p>
    <w:p w14:paraId="7AF9B58B" w14:textId="77777777" w:rsidR="00FE5D8E" w:rsidRDefault="00FE5D8E" w:rsidP="00871157">
      <w:pPr>
        <w:contextualSpacing/>
        <w:jc w:val="both"/>
        <w:rPr>
          <w:rFonts w:ascii="Arial" w:hAnsi="Arial" w:cs="Arial"/>
          <w:b/>
          <w:sz w:val="22"/>
          <w:szCs w:val="22"/>
        </w:rPr>
      </w:pPr>
    </w:p>
    <w:p w14:paraId="239746FB" w14:textId="4F262CE1" w:rsidR="00DE02C8" w:rsidRPr="00DE02C8" w:rsidRDefault="00D56F88" w:rsidP="00871157">
      <w:pPr>
        <w:contextualSpacing/>
        <w:jc w:val="both"/>
        <w:rPr>
          <w:rFonts w:ascii="Arial" w:hAnsi="Arial" w:cs="Arial"/>
          <w:sz w:val="22"/>
          <w:szCs w:val="22"/>
          <w:u w:val="single"/>
        </w:rPr>
      </w:pPr>
      <w:r>
        <w:rPr>
          <w:rFonts w:ascii="Arial" w:hAnsi="Arial" w:cs="Arial"/>
          <w:sz w:val="22"/>
          <w:szCs w:val="22"/>
          <w:u w:val="single"/>
        </w:rPr>
        <w:t xml:space="preserve">4.1. </w:t>
      </w:r>
      <w:r w:rsidR="00DE02C8" w:rsidRPr="00DE02C8">
        <w:rPr>
          <w:rFonts w:ascii="Arial" w:hAnsi="Arial" w:cs="Arial"/>
          <w:sz w:val="22"/>
          <w:szCs w:val="22"/>
          <w:u w:val="single"/>
        </w:rPr>
        <w:t>Mortality rate compared to other studies</w:t>
      </w:r>
    </w:p>
    <w:p w14:paraId="6C668AB4" w14:textId="5C00715A" w:rsidR="00FE5D8E" w:rsidRDefault="0095382D" w:rsidP="00871157">
      <w:pPr>
        <w:contextualSpacing/>
        <w:jc w:val="both"/>
        <w:rPr>
          <w:rFonts w:ascii="Arial" w:hAnsi="Arial" w:cs="Arial"/>
          <w:sz w:val="22"/>
          <w:szCs w:val="22"/>
        </w:rPr>
      </w:pPr>
      <w:r>
        <w:rPr>
          <w:rFonts w:ascii="Arial" w:hAnsi="Arial" w:cs="Arial"/>
          <w:sz w:val="22"/>
          <w:szCs w:val="22"/>
        </w:rPr>
        <w:t xml:space="preserve">The mortality rates found in our study were </w:t>
      </w:r>
      <w:r w:rsidR="00E6572C">
        <w:rPr>
          <w:rFonts w:ascii="Arial" w:hAnsi="Arial" w:cs="Arial"/>
          <w:sz w:val="22"/>
          <w:szCs w:val="22"/>
        </w:rPr>
        <w:t>similar to</w:t>
      </w:r>
      <w:r w:rsidR="00F03637">
        <w:rPr>
          <w:rFonts w:ascii="Arial" w:hAnsi="Arial" w:cs="Arial"/>
          <w:sz w:val="22"/>
          <w:szCs w:val="22"/>
        </w:rPr>
        <w:t xml:space="preserve"> </w:t>
      </w:r>
      <w:r w:rsidR="00E6572C">
        <w:rPr>
          <w:rFonts w:ascii="Arial" w:hAnsi="Arial" w:cs="Arial"/>
          <w:sz w:val="22"/>
          <w:szCs w:val="22"/>
        </w:rPr>
        <w:t>one large study in Sweden which found 0.78% (</w:t>
      </w:r>
      <w:r w:rsidR="00E6572C" w:rsidRPr="00E6572C">
        <w:rPr>
          <w:rFonts w:ascii="Arial" w:hAnsi="Arial" w:cs="Arial"/>
          <w:i/>
          <w:iCs/>
          <w:sz w:val="22"/>
          <w:szCs w:val="22"/>
        </w:rPr>
        <w:t>vs.</w:t>
      </w:r>
      <w:r w:rsidR="00E6572C">
        <w:rPr>
          <w:rFonts w:ascii="Arial" w:hAnsi="Arial" w:cs="Arial"/>
          <w:sz w:val="22"/>
          <w:szCs w:val="22"/>
        </w:rPr>
        <w:t xml:space="preserve"> 0.80% in our study)</w:t>
      </w:r>
      <w:r w:rsidR="00A02AE6">
        <w:rPr>
          <w:rFonts w:ascii="Arial" w:hAnsi="Arial" w:cs="Arial"/>
          <w:sz w:val="22"/>
          <w:szCs w:val="22"/>
        </w:rPr>
        <w:t xml:space="preserve"> </w:t>
      </w:r>
      <w:r w:rsidR="00E6572C">
        <w:rPr>
          <w:rFonts w:ascii="Arial" w:hAnsi="Arial" w:cs="Arial"/>
          <w:sz w:val="22"/>
          <w:szCs w:val="22"/>
        </w:rPr>
        <w:fldChar w:fldCharType="begin" w:fldLock="1"/>
      </w:r>
      <w:r w:rsidR="00A24E5C">
        <w:rPr>
          <w:rFonts w:ascii="Arial" w:hAnsi="Arial" w:cs="Arial"/>
          <w:sz w:val="22"/>
          <w:szCs w:val="22"/>
        </w:rPr>
        <w:instrText>ADDIN CSL_CITATION {"citationItems":[{"id":"ITEM-1","itemData":{"DOI":"10.1016/j.schres.2017.12.010","ISSN":"15732509","abstract":"Introduction: It has remained controversial if antipsychotic treatment is associated with increased or decreased mortality among patients with schizophrenia, and if there are any clinically meaningful differences between specific agents and routes of administration. Methods: We linked prospectively gathered nationwide register-based data during 2006–2013 to study all-cause mortality among all patients aged 16–64 years with schizophrenia in Sweden (N = 29,823 in total; N = 4603 in the incident cohort). Multivariate Cox regression models were adjusted for clinical and sociodemographic covariates. Sensitivity analyses with the incident cohort were conducted to control for survival bias. Results: During the mean follow-up of 5.7 years, 2515 patients (8.4%) died. During the maximum follow-up (7.5 years), the lowest cumulative mortality was observed for second generation (SG) long-acting injection (LAI) use (7.5%). Adjusted hazard ratios (aHRs) compared to SG LAI use were 1.37 (95%CI 1.01–1.86) for first generation (FG) LAIs, 1.52 (1.13–2.05) for SG orals, 1.83 (1.33–2.50) for FG orals, and 3.39 (2.53–4.56) for nonuse of antipsychotics. Concerning specific agents, the lowest mortality was observed for once-monthly paliperidone LAI (0.11, 0.03–0.43), oral aripiprazole (0.22, 0.15–0.34), and risperidone LAI (0.31, 0.23–0.43). In pairwise comparison, LAIs were associated with 33% lower mortality than equivalent orals (0.67, 0.56–0.80). The results with incident cohort were consistent with the primary analyses. Conclusions: Among patients with schizophrenia, LAI use is associated with an approximately 30% lower risk of death compared with oral agents. SG LAIs and oral aripiprazole are associated with the lowest mortality.","author":[{"dropping-particle":"","family":"Taipale","given":"Heidi","non-dropping-particle":"","parse-names":false,"suffix":""},{"dropping-particle":"","family":"Mittendorfer-Rutz","given":"Ellenor","non-dropping-particle":"","parse-names":false,"suffix":""},{"dropping-particle":"","family":"Alexanderson","given":"Kristina","non-dropping-particle":"","parse-names":false,"suffix":""},{"dropping-particle":"","family":"Majak","given":"Maila","non-dropping-particle":"","parse-names":false,"suffix":""},{"dropping-particle":"","family":"Mehtälä","given":"Juha","non-dropping-particle":"","parse-names":false,"suffix":""},{"dropping-particle":"","family":"Hoti","given":"Fabian","non-dropping-particle":"","parse-names":false,"suffix":""},{"dropping-particle":"","family":"Jedenius","given":"Erik","non-dropping-particle":"","parse-names":false,"suffix":""},{"dropping-particle":"","family":"Enkusson","given":"Dana","non-dropping-particle":"","parse-names":false,"suffix":""},{"dropping-particle":"","family":"Leval","given":"Amy","non-dropping-particle":"","parse-names":false,"suffix":""},{"dropping-particle":"","family":"Sermon","given":"Jan","non-dropping-particle":"","parse-names":false,"suffix":""},{"dropping-particle":"","family":"Tanskanen","given":"Antti","non-dropping-particle":"","parse-names":false,"suffix":""},{"dropping-particle":"","family":"Tiihonen","given":"Jari","non-dropping-particle":"","parse-names":false,"suffix":""}],"container-title":"Schizophrenia Research","id":"ITEM-1","issued":{"date-parts":[["2018"]]},"page":"274-280","publisher":"The Authors","title":"Antipsychotics and mortality in a nationwide cohort of 29,823 patients with schizophrenia","type":"article-journal","volume":"197"},"uris":["http://www.mendeley.com/documents/?uuid=689289db-1441-4fb6-8db4-dcf0119e2759"]}],"mendeley":{"formattedCitation":"(Taipale et al., 2018)","plainTextFormattedCitation":"(Taipale et al., 2018)","previouslyFormattedCitation":"(Taipale et al., 2018)"},"properties":{"noteIndex":0},"schema":"https://github.com/citation-style-language/schema/raw/master/csl-citation.json"}</w:instrText>
      </w:r>
      <w:r w:rsidR="00E6572C">
        <w:rPr>
          <w:rFonts w:ascii="Arial" w:hAnsi="Arial" w:cs="Arial"/>
          <w:sz w:val="22"/>
          <w:szCs w:val="22"/>
        </w:rPr>
        <w:fldChar w:fldCharType="separate"/>
      </w:r>
      <w:r w:rsidR="006C099B" w:rsidRPr="006C099B">
        <w:rPr>
          <w:rFonts w:ascii="Arial" w:hAnsi="Arial" w:cs="Arial"/>
          <w:noProof/>
          <w:sz w:val="22"/>
          <w:szCs w:val="22"/>
        </w:rPr>
        <w:t>(Taipale et al., 2018)</w:t>
      </w:r>
      <w:r w:rsidR="00E6572C">
        <w:rPr>
          <w:rFonts w:ascii="Arial" w:hAnsi="Arial" w:cs="Arial"/>
          <w:sz w:val="22"/>
          <w:szCs w:val="22"/>
        </w:rPr>
        <w:fldChar w:fldCharType="end"/>
      </w:r>
      <w:r w:rsidR="00E6572C">
        <w:rPr>
          <w:rFonts w:ascii="Arial" w:hAnsi="Arial" w:cs="Arial"/>
          <w:sz w:val="22"/>
          <w:szCs w:val="22"/>
        </w:rPr>
        <w:t xml:space="preserve"> and </w:t>
      </w:r>
      <w:r w:rsidR="000B6158">
        <w:rPr>
          <w:rFonts w:ascii="Arial" w:hAnsi="Arial" w:cs="Arial"/>
          <w:sz w:val="22"/>
          <w:szCs w:val="22"/>
        </w:rPr>
        <w:t>in line</w:t>
      </w:r>
      <w:r>
        <w:rPr>
          <w:rFonts w:ascii="Arial" w:hAnsi="Arial" w:cs="Arial"/>
          <w:sz w:val="22"/>
          <w:szCs w:val="22"/>
        </w:rPr>
        <w:t xml:space="preserve"> </w:t>
      </w:r>
      <w:r w:rsidR="00A02AE6">
        <w:rPr>
          <w:rFonts w:ascii="Arial" w:hAnsi="Arial" w:cs="Arial"/>
          <w:sz w:val="22"/>
          <w:szCs w:val="22"/>
        </w:rPr>
        <w:t xml:space="preserve">of </w:t>
      </w:r>
      <w:r>
        <w:rPr>
          <w:rFonts w:ascii="Arial" w:hAnsi="Arial" w:cs="Arial"/>
          <w:sz w:val="22"/>
          <w:szCs w:val="22"/>
        </w:rPr>
        <w:t>two previous UK studies. Hayes et al.</w:t>
      </w:r>
      <w:r w:rsidR="00B177B9">
        <w:rPr>
          <w:rFonts w:ascii="Arial" w:hAnsi="Arial" w:cs="Arial"/>
          <w:sz w:val="22"/>
          <w:szCs w:val="22"/>
        </w:rPr>
        <w:fldChar w:fldCharType="begin" w:fldLock="1"/>
      </w:r>
      <w:r w:rsidR="00A24E5C">
        <w:rPr>
          <w:rFonts w:ascii="Arial" w:hAnsi="Arial" w:cs="Arial"/>
          <w:sz w:val="22"/>
          <w:szCs w:val="22"/>
        </w:rPr>
        <w:instrText>ADDIN CSL_CITATION {"citationItems":[{"id":"ITEM-1","itemData":{"DOI":"10.1093/schbul/sbu120","ISSN":"17451701","abstract":"Clozapine can cause severe adverse effects yet it is associated with reduced mortality risk. We test the hypothesis this association is due to increased clinical monitoring and investigate risk of premature mortality from natural causes. We identified 14 754 individuals (879 deaths) with serious mental illness (SMI) including schizophrenia, schizoaffective and bipolar disorders aged ≥ 15 years in a large specialist mental healthcare case register linked to national mortality tracing. In this cohort study we modeled the effect of clozapine on mortality over a 5-year period (2007-2011) using Cox regression. Individuals prescribed clozapine had more severe psychopathology and poorer functional status. Many of the exposures associated with clozapine use were themselves risk factors for increased mortality. However, we identified a strong association between being prescribed clozapine and lower mortality which persisted after controlling for a broad range of potential confounders including clinical monitoring and markers of disease severity (adjusted hazard ratio 0.4; 95% CI 0.2-0.7; p = .001). This association remained after restricting the sample to those with a diagnosis of schizophrenia or those taking antipsychotics and after using propensity scores to reduce the impact of confounding by indication. Among individuals with SMI, those prescribed clozapine had a reduced risk of mortality due to both natural and unnatural causes. We found no evidence to indicate that lower mortality associated with clozapine in SMI was due to increased clinical monitoring or confounding factors. This is the first study to report an association between clozapine and reduced risk of mortality from natural causes.","author":[{"dropping-particle":"","family":"Hayes","given":"Richard D.","non-dropping-particle":"","parse-names":false,"suffix":""},{"dropping-particle":"","family":"Downs","given":"Johnny","non-dropping-particle":"","parse-names":false,"suffix":""},{"dropping-particle":"","family":"Chang","given":"Chin Kuo","non-dropping-particle":"","parse-names":false,"suffix":""},{"dropping-particle":"","family":"Jackson","given":"Richard G.","non-dropping-particle":"","parse-names":false,"suffix":""},{"dropping-particle":"","family":"Shetty","given":"Hitesh","non-dropping-particle":"","parse-names":false,"suffix":""},{"dropping-particle":"","family":"Broadbent","given":"Matthew","non-dropping-particle":"","parse-names":false,"suffix":""},{"dropping-particle":"","family":"Hotopf","given":"Matthew","non-dropping-particle":"","parse-names":false,"suffix":""},{"dropping-particle":"","family":"Stewart","given":"Robert","non-dropping-particle":"","parse-names":false,"suffix":""}],"container-title":"Schizophrenia Bulletin","id":"ITEM-1","issued":{"date-parts":[["2015"]]},"title":"The effect of clozapine on premature mortality: An assessment of clinical monitoring and other potential confounders","type":"article-journal"},"uris":["http://www.mendeley.com/documents/?uuid=6ae6527c-af3a-4fef-94c9-3b5b11e3b7e0"]}],"mendeley":{"formattedCitation":"(Hayes et al., 2015a)","plainTextFormattedCitation":"(Hayes et al., 2015a)","previouslyFormattedCitation":"(Hayes et al., 2015a)"},"properties":{"noteIndex":0},"schema":"https://github.com/citation-style-language/schema/raw/master/csl-citation.json"}</w:instrText>
      </w:r>
      <w:r w:rsidR="00B177B9">
        <w:rPr>
          <w:rFonts w:ascii="Arial" w:hAnsi="Arial" w:cs="Arial"/>
          <w:sz w:val="22"/>
          <w:szCs w:val="22"/>
        </w:rPr>
        <w:fldChar w:fldCharType="separate"/>
      </w:r>
      <w:r w:rsidR="006C099B" w:rsidRPr="006C099B">
        <w:rPr>
          <w:rFonts w:ascii="Arial" w:hAnsi="Arial" w:cs="Arial"/>
          <w:noProof/>
          <w:sz w:val="22"/>
          <w:szCs w:val="22"/>
        </w:rPr>
        <w:t>(Hayes et al., 2015a)</w:t>
      </w:r>
      <w:r w:rsidR="00B177B9">
        <w:rPr>
          <w:rFonts w:ascii="Arial" w:hAnsi="Arial" w:cs="Arial"/>
          <w:sz w:val="22"/>
          <w:szCs w:val="22"/>
        </w:rPr>
        <w:fldChar w:fldCharType="end"/>
      </w:r>
      <w:r>
        <w:rPr>
          <w:rFonts w:ascii="Arial" w:hAnsi="Arial" w:cs="Arial"/>
          <w:sz w:val="22"/>
          <w:szCs w:val="22"/>
        </w:rPr>
        <w:t xml:space="preserve"> reported a 2% mortality rate (17 deaths in 748 patients prescribed clozapine </w:t>
      </w:r>
      <w:r>
        <w:rPr>
          <w:rFonts w:ascii="Arial" w:hAnsi="Arial" w:cs="Arial"/>
          <w:i/>
          <w:sz w:val="22"/>
          <w:szCs w:val="22"/>
        </w:rPr>
        <w:t>de novo</w:t>
      </w:r>
      <w:r>
        <w:rPr>
          <w:rFonts w:ascii="Arial" w:hAnsi="Arial" w:cs="Arial"/>
          <w:sz w:val="22"/>
          <w:szCs w:val="22"/>
        </w:rPr>
        <w:t>) after 5 years of follow-up, whereas Cho et al.</w:t>
      </w:r>
      <w:r w:rsidR="00B177B9">
        <w:rPr>
          <w:rFonts w:ascii="Arial" w:hAnsi="Arial" w:cs="Arial"/>
          <w:sz w:val="22"/>
          <w:szCs w:val="22"/>
        </w:rPr>
        <w:fldChar w:fldCharType="begin" w:fldLock="1"/>
      </w:r>
      <w:r w:rsidR="00A24E5C">
        <w:rPr>
          <w:rFonts w:ascii="Arial" w:hAnsi="Arial" w:cs="Arial"/>
          <w:sz w:val="22"/>
          <w:szCs w:val="22"/>
        </w:rPr>
        <w:instrText>ADDIN CSL_CITATION {"citationItems":[{"id":"ITEM-1","itemData":{"DOI":"10.1111/acps.12989","ISSN":"16000447","abstract":"OBJECTIVE Large-scale epidemiological studies have demonstrated a protective effect of clozapine on mortality in people with schizophrenia. Clozapine is reserved for use in patients with treatment-resistant schizophrenia (TRS), but evidence of clozapine's effect on mortality exclusively within TRS samples is inconclusive. Hence, we aimed to investigate the effect of clozapine use on all-cause mortality in TRS patients. METHODS A historical patient cohort sample of 2837 patients, who met criteria for TRS between 1 Jan 2008 and 1 Jan 2016, were selected from the South London and Maudsley NHS Foundation Trust (SLAM) electronic health records (EHR). The national Zaponex Treatment Access System (ZTAS) mandatory monitoring system linked to the SLAM EHR was used to distinguish which patients were initiated on clozapine (n = 1025). Cox proportional hazard models were used, adjusting for sociodemographics, clinical monitoring, mental and physical illness severity and functional status. RESULTS After controlling for potential confounders, the protective effect of clozapine on all-cause mortality was significant (adjusted hazard ratio 0.61; 95% confidence interval 0.38-0.97; P = 0.04). CONCLUSIONS Clozapine reduces the risk of mortality in patients who meet criteria for TRS. We provide further evidence that improving access to clozapine in TRS is likely to reduce the mortality gap in schizophrenia.","author":[{"dropping-particle":"","family":"Cho","given":"J.","non-dropping-particle":"","parse-names":false,"suffix":""},{"dropping-particle":"","family":"Hayes","given":"R. D.","non-dropping-particle":"","parse-names":false,"suffix":""},{"dropping-particle":"","family":"Jewell","given":"A.","non-dropping-particle":"","parse-names":false,"suffix":""},{"dropping-particle":"","family":"Kadra","given":"G.","non-dropping-particle":"","parse-names":false,"suffix":""},{"dropping-particle":"","family":"Shetty","given":"H.","non-dropping-particle":"","parse-names":false,"suffix":""},{"dropping-particle":"","family":"MacCabe","given":"J. H.","non-dropping-particle":"","parse-names":false,"suffix":""},{"dropping-particle":"","family":"Downs","given":"J.","non-dropping-particle":"","parse-names":false,"suffix":""}],"container-title":"Acta Psychiatrica Scandinavica","id":"ITEM-1","issued":{"date-parts":[["2018"]]},"publisher":"Blackwell Publishing Ltd","title":"Clozapine and all-cause mortality in treatment-resistant schizophrenia: a historical cohort study","type":"article-newspaper"},"uris":["http://www.mendeley.com/documents/?uuid=c74fa193-b436-3d55-afa9-6fb375c901d5"]}],"mendeley":{"formattedCitation":"(Cho et al., 2018b)","plainTextFormattedCitation":"(Cho et al., 2018b)","previouslyFormattedCitation":"(Cho et al., 2018b)"},"properties":{"noteIndex":0},"schema":"https://github.com/citation-style-language/schema/raw/master/csl-citation.json"}</w:instrText>
      </w:r>
      <w:r w:rsidR="00B177B9">
        <w:rPr>
          <w:rFonts w:ascii="Arial" w:hAnsi="Arial" w:cs="Arial"/>
          <w:sz w:val="22"/>
          <w:szCs w:val="22"/>
        </w:rPr>
        <w:fldChar w:fldCharType="separate"/>
      </w:r>
      <w:r w:rsidR="006C099B" w:rsidRPr="006C099B">
        <w:rPr>
          <w:rFonts w:ascii="Arial" w:hAnsi="Arial" w:cs="Arial"/>
          <w:noProof/>
          <w:sz w:val="22"/>
          <w:szCs w:val="22"/>
        </w:rPr>
        <w:t>(Cho et al., 2018b)</w:t>
      </w:r>
      <w:r w:rsidR="00B177B9">
        <w:rPr>
          <w:rFonts w:ascii="Arial" w:hAnsi="Arial" w:cs="Arial"/>
          <w:sz w:val="22"/>
          <w:szCs w:val="22"/>
        </w:rPr>
        <w:fldChar w:fldCharType="end"/>
      </w:r>
      <w:r>
        <w:rPr>
          <w:rFonts w:ascii="Arial" w:hAnsi="Arial" w:cs="Arial"/>
          <w:sz w:val="22"/>
          <w:szCs w:val="22"/>
        </w:rPr>
        <w:t xml:space="preserve"> found a 3.5% mortality rate (35 of 1025 patients prescribed clozapine </w:t>
      </w:r>
      <w:r>
        <w:rPr>
          <w:rFonts w:ascii="Arial" w:hAnsi="Arial" w:cs="Arial"/>
          <w:i/>
          <w:sz w:val="22"/>
          <w:szCs w:val="22"/>
        </w:rPr>
        <w:t>de novo</w:t>
      </w:r>
      <w:r>
        <w:rPr>
          <w:rFonts w:ascii="Arial" w:hAnsi="Arial" w:cs="Arial"/>
          <w:sz w:val="22"/>
          <w:szCs w:val="22"/>
        </w:rPr>
        <w:t xml:space="preserve">) at 5 years, within the same population. Our study found a higher mortality rate, but it should be noted that </w:t>
      </w:r>
      <w:r w:rsidR="00144BC1">
        <w:rPr>
          <w:rFonts w:ascii="Arial" w:hAnsi="Arial" w:cs="Arial"/>
          <w:sz w:val="22"/>
          <w:szCs w:val="22"/>
        </w:rPr>
        <w:t>our study spanned for 10 years (inst</w:t>
      </w:r>
      <w:r w:rsidR="00BC239B">
        <w:rPr>
          <w:rFonts w:ascii="Arial" w:hAnsi="Arial" w:cs="Arial"/>
          <w:sz w:val="22"/>
          <w:szCs w:val="22"/>
        </w:rPr>
        <w:t>e</w:t>
      </w:r>
      <w:r w:rsidR="00144BC1">
        <w:rPr>
          <w:rFonts w:ascii="Arial" w:hAnsi="Arial" w:cs="Arial"/>
          <w:sz w:val="22"/>
          <w:szCs w:val="22"/>
        </w:rPr>
        <w:t xml:space="preserve">ad of 5) and </w:t>
      </w:r>
      <w:r>
        <w:rPr>
          <w:rFonts w:ascii="Arial" w:hAnsi="Arial" w:cs="Arial"/>
          <w:sz w:val="22"/>
          <w:szCs w:val="22"/>
        </w:rPr>
        <w:t xml:space="preserve">our patients were not </w:t>
      </w:r>
      <w:r>
        <w:rPr>
          <w:rFonts w:ascii="Arial" w:hAnsi="Arial" w:cs="Arial"/>
          <w:i/>
          <w:sz w:val="22"/>
          <w:szCs w:val="22"/>
        </w:rPr>
        <w:t>de novo</w:t>
      </w:r>
      <w:r>
        <w:rPr>
          <w:rFonts w:ascii="Arial" w:hAnsi="Arial" w:cs="Arial"/>
          <w:sz w:val="22"/>
          <w:szCs w:val="22"/>
        </w:rPr>
        <w:t xml:space="preserve"> clozapine patients, hence </w:t>
      </w:r>
      <w:r w:rsidR="005735D6">
        <w:rPr>
          <w:rFonts w:ascii="Arial" w:hAnsi="Arial" w:cs="Arial"/>
          <w:sz w:val="22"/>
          <w:szCs w:val="22"/>
        </w:rPr>
        <w:t xml:space="preserve">they were </w:t>
      </w:r>
      <w:r w:rsidR="00CC1D14">
        <w:rPr>
          <w:rFonts w:ascii="Arial" w:hAnsi="Arial" w:cs="Arial"/>
          <w:sz w:val="22"/>
          <w:szCs w:val="22"/>
        </w:rPr>
        <w:t xml:space="preserve">significantly </w:t>
      </w:r>
      <w:r w:rsidR="00144BC1">
        <w:rPr>
          <w:rFonts w:ascii="Arial" w:hAnsi="Arial" w:cs="Arial"/>
          <w:sz w:val="22"/>
          <w:szCs w:val="22"/>
        </w:rPr>
        <w:t>older</w:t>
      </w:r>
      <w:r w:rsidR="00A02AE6">
        <w:rPr>
          <w:rFonts w:ascii="Arial" w:hAnsi="Arial" w:cs="Arial"/>
          <w:sz w:val="22"/>
          <w:szCs w:val="22"/>
        </w:rPr>
        <w:t xml:space="preserve">. </w:t>
      </w:r>
    </w:p>
    <w:p w14:paraId="1975A67B" w14:textId="77777777" w:rsidR="00D00C3B" w:rsidRDefault="00D00C3B" w:rsidP="00871157">
      <w:pPr>
        <w:contextualSpacing/>
        <w:jc w:val="both"/>
        <w:rPr>
          <w:rFonts w:ascii="Arial" w:hAnsi="Arial" w:cs="Arial"/>
          <w:sz w:val="22"/>
          <w:szCs w:val="22"/>
        </w:rPr>
      </w:pPr>
    </w:p>
    <w:p w14:paraId="34E41A52" w14:textId="7CAA79D2" w:rsidR="00FE5D8E" w:rsidRDefault="0095382D" w:rsidP="00871157">
      <w:pPr>
        <w:contextualSpacing/>
        <w:jc w:val="both"/>
      </w:pPr>
      <w:r>
        <w:rPr>
          <w:rFonts w:ascii="Arial" w:hAnsi="Arial" w:cs="Arial"/>
          <w:sz w:val="22"/>
          <w:szCs w:val="22"/>
        </w:rPr>
        <w:t xml:space="preserve">Over a 10-year period, we found 8 </w:t>
      </w:r>
      <w:r w:rsidR="005735D6">
        <w:rPr>
          <w:rFonts w:ascii="Arial" w:hAnsi="Arial" w:cs="Arial"/>
          <w:sz w:val="22"/>
          <w:szCs w:val="22"/>
        </w:rPr>
        <w:t xml:space="preserve">people who died by </w:t>
      </w:r>
      <w:r>
        <w:rPr>
          <w:rFonts w:ascii="Arial" w:hAnsi="Arial" w:cs="Arial"/>
          <w:sz w:val="22"/>
          <w:szCs w:val="22"/>
        </w:rPr>
        <w:t xml:space="preserve">suicide and 8 </w:t>
      </w:r>
      <w:r w:rsidR="005735D6">
        <w:rPr>
          <w:rFonts w:ascii="Arial" w:hAnsi="Arial" w:cs="Arial"/>
          <w:sz w:val="22"/>
          <w:szCs w:val="22"/>
        </w:rPr>
        <w:t xml:space="preserve">who </w:t>
      </w:r>
      <w:r>
        <w:rPr>
          <w:rFonts w:ascii="Arial" w:hAnsi="Arial" w:cs="Arial"/>
          <w:sz w:val="22"/>
          <w:szCs w:val="22"/>
        </w:rPr>
        <w:t xml:space="preserve">died of expected causes. It has been suggested that </w:t>
      </w:r>
      <w:r w:rsidR="00B506E2">
        <w:rPr>
          <w:rFonts w:ascii="Arial" w:hAnsi="Arial" w:cs="Arial"/>
          <w:sz w:val="22"/>
          <w:szCs w:val="22"/>
        </w:rPr>
        <w:t xml:space="preserve">clozapine </w:t>
      </w:r>
      <w:r>
        <w:rPr>
          <w:rFonts w:ascii="Arial" w:hAnsi="Arial" w:cs="Arial"/>
          <w:sz w:val="22"/>
          <w:szCs w:val="22"/>
        </w:rPr>
        <w:t>reduces suicide in people with schizophrenia</w:t>
      </w:r>
      <w:r w:rsidR="00CC1D14">
        <w:rPr>
          <w:rFonts w:ascii="Arial" w:hAnsi="Arial" w:cs="Arial"/>
          <w:sz w:val="22"/>
          <w:szCs w:val="22"/>
        </w:rPr>
        <w:t xml:space="preserve"> </w:t>
      </w:r>
      <w:r w:rsidR="00B177B9">
        <w:rPr>
          <w:rFonts w:ascii="Arial" w:hAnsi="Arial" w:cs="Arial"/>
          <w:sz w:val="22"/>
          <w:szCs w:val="22"/>
        </w:rPr>
        <w:lastRenderedPageBreak/>
        <w:fldChar w:fldCharType="begin" w:fldLock="1"/>
      </w:r>
      <w:r w:rsidR="00A24E5C">
        <w:rPr>
          <w:rFonts w:ascii="Arial" w:hAnsi="Arial" w:cs="Arial"/>
          <w:sz w:val="22"/>
          <w:szCs w:val="22"/>
        </w:rPr>
        <w:instrText>ADDIN CSL_CITATION {"citationItems":[{"id":"ITEM-1","itemData":{"DOI":"10.1002/wps.20699","ISSN":"20515545","abstract":"Antipsychotics are effective in preventing relapses of schizophrenia, but it is generally believed that their long-term use is harmful for patients’ physical well-being. However, there are no long-term studies which have verified this view. This nationwide, register-based cohort study aimed to assess the risk of hospitalization due to physical health problems, as a marker for severe physical morbidity, and the risk of all-cause mortality, as well as of cardiovascular and suicidal death, associated with antipsychotic use in all patients treated for schizophrenia in inpatient care between 1972 and 2014 in Finland (N=62,250), with up to 20 years of follow-up (median: 14.1 years). The use of antipsychotic drugs (i.e., use of any antipsychotic compared with non-use) and the use of specific antipsychotics were investigated, and outcomes were somatic and cardiovascular hospitalization, and all-cause, cardiovascular and suicide death. Hospitalization-based outcomes were analyzed by a within-individual design to eliminate selection bias, comparing use and non-use periods in the same individual by stratified Cox model. Mortality outcomes were assessed by traditional between-individual Cox multivariate models. The adjusted hazard ratios (aHRs) for any somatic hospitalization and cardiovascular hospitalization were 1.00 (95% CI: 0.98-1.03) and 1.00 (95% CI: 0.92-1.07) during use of any antipsychotic compared to non-exposure periods within the same individual. The aHRs were 0.48 (95% CI: 0.46-0.51) for all-cause mortality, 0.62 (95% CI: 0.57-0.67) for cardiovascular mortality, and 0.52 (95% CI: 0.43-0.62) for suicide mortality during use vs. non-use of any antipsychotic. The most beneficial mortality outcome was associated with use of clozapine in terms of all-cause (aHR=0.39, 95% CI: 0.36-0.43), cardiovascular (aHR=0.55, 95% CI: 0.47-0.64) and suicide mortality (aHR=0.21, 95% CI: 0.15-0.29). The cumulative mortality rates during maximum follow-up of 20 years were 46.2% for no antipsychotic use, 25.7% for any antipsychotic use, and 15.6% for clozapine use. These data suggest that long-term antipsychotic use does not increase severe physical morbidity leading to hospitalization, and is associated with substantially decreased mortality, especially among patients treated with clozapine.","author":[{"dropping-particle":"","family":"Taipale","given":"Heidi","non-dropping-particle":"","parse-names":false,"suffix":""},{"dropping-particle":"","family":"Tanskanen","given":"Antti","non-dropping-particle":"","parse-names":false,"suffix":""},{"dropping-particle":"","family":"Mehtälä","given":"Juha","non-dropping-particle":"","parse-names":false,"suffix":""},{"dropping-particle":"","family":"Vattulainen","given":"Pia","non-dropping-particle":"","parse-names":false,"suffix":""},{"dropping-particle":"","family":"Correll","given":"Christoph U.","non-dropping-particle":"","parse-names":false,"suffix":""},{"dropping-particle":"","family":"Tiihonen","given":"Jari","non-dropping-particle":"","parse-names":false,"suffix":""}],"container-title":"World Psychiatry","id":"ITEM-1","issue":"1","issued":{"date-parts":[["2020"]]},"page":"61-68","title":"20-year follow-up study of physical morbidity and mortality in relationship to antipsychotic treatment in a nationwide cohort of 62,250 patients with schizophrenia (FIN20)","type":"article-journal","volume":"19"},"uris":["http://www.mendeley.com/documents/?uuid=319d5732-c272-4272-8672-6c1bc230fb67"]}],"mendeley":{"formattedCitation":"(Taipale et al., 2020)","plainTextFormattedCitation":"(Taipale et al., 2020)","previouslyFormattedCitation":"(Taipale et al., 2020)"},"properties":{"noteIndex":0},"schema":"https://github.com/citation-style-language/schema/raw/master/csl-citation.json"}</w:instrText>
      </w:r>
      <w:r w:rsidR="00B177B9">
        <w:rPr>
          <w:rFonts w:ascii="Arial" w:hAnsi="Arial" w:cs="Arial"/>
          <w:sz w:val="22"/>
          <w:szCs w:val="22"/>
        </w:rPr>
        <w:fldChar w:fldCharType="separate"/>
      </w:r>
      <w:r w:rsidR="006C099B" w:rsidRPr="006C099B">
        <w:rPr>
          <w:rFonts w:ascii="Arial" w:hAnsi="Arial" w:cs="Arial"/>
          <w:noProof/>
          <w:sz w:val="22"/>
          <w:szCs w:val="22"/>
        </w:rPr>
        <w:t>(Taipale et al., 2020)</w:t>
      </w:r>
      <w:r w:rsidR="00B177B9">
        <w:rPr>
          <w:rFonts w:ascii="Arial" w:hAnsi="Arial" w:cs="Arial"/>
          <w:sz w:val="22"/>
          <w:szCs w:val="22"/>
        </w:rPr>
        <w:fldChar w:fldCharType="end"/>
      </w:r>
      <w:r>
        <w:rPr>
          <w:rFonts w:ascii="Arial" w:hAnsi="Arial" w:cs="Arial"/>
          <w:sz w:val="22"/>
          <w:szCs w:val="22"/>
        </w:rPr>
        <w:t xml:space="preserve">, which could explain the relatively lower incidence seen in this study compared to unexpected deaths. Those whose deaths were expected were significantly older </w:t>
      </w:r>
      <w:r w:rsidR="00144BC1">
        <w:rPr>
          <w:rFonts w:ascii="Arial" w:hAnsi="Arial" w:cs="Arial"/>
          <w:sz w:val="22"/>
          <w:szCs w:val="22"/>
        </w:rPr>
        <w:t xml:space="preserve">and </w:t>
      </w:r>
      <w:r>
        <w:rPr>
          <w:rFonts w:ascii="Arial" w:hAnsi="Arial" w:cs="Arial"/>
          <w:sz w:val="22"/>
          <w:szCs w:val="22"/>
        </w:rPr>
        <w:t xml:space="preserve">were prescribed </w:t>
      </w:r>
      <w:r w:rsidR="005735D6">
        <w:rPr>
          <w:rFonts w:ascii="Arial" w:hAnsi="Arial" w:cs="Arial"/>
          <w:sz w:val="22"/>
          <w:szCs w:val="22"/>
        </w:rPr>
        <w:t xml:space="preserve">a </w:t>
      </w:r>
      <w:r>
        <w:rPr>
          <w:rFonts w:ascii="Arial" w:hAnsi="Arial" w:cs="Arial"/>
          <w:sz w:val="22"/>
          <w:szCs w:val="22"/>
        </w:rPr>
        <w:t xml:space="preserve">lower </w:t>
      </w:r>
      <w:r w:rsidR="00144BC1">
        <w:rPr>
          <w:rFonts w:ascii="Arial" w:hAnsi="Arial" w:cs="Arial"/>
          <w:sz w:val="22"/>
          <w:szCs w:val="22"/>
        </w:rPr>
        <w:t xml:space="preserve">dose of </w:t>
      </w:r>
      <w:r>
        <w:rPr>
          <w:rFonts w:ascii="Arial" w:hAnsi="Arial" w:cs="Arial"/>
          <w:sz w:val="22"/>
          <w:szCs w:val="22"/>
        </w:rPr>
        <w:t xml:space="preserve">clozapine, which was not surprising in the context of age and physical comorbidity.  </w:t>
      </w:r>
    </w:p>
    <w:p w14:paraId="2DD28A3E" w14:textId="77777777" w:rsidR="00FE5D8E" w:rsidRDefault="00FE5D8E" w:rsidP="00871157">
      <w:pPr>
        <w:contextualSpacing/>
        <w:jc w:val="both"/>
        <w:rPr>
          <w:rFonts w:ascii="Arial" w:hAnsi="Arial" w:cs="Arial"/>
          <w:sz w:val="22"/>
          <w:szCs w:val="22"/>
        </w:rPr>
      </w:pPr>
    </w:p>
    <w:p w14:paraId="35B27C8C" w14:textId="18B5C009" w:rsidR="00DE02C8" w:rsidRPr="00D56F88" w:rsidRDefault="00DE02C8" w:rsidP="00871157">
      <w:pPr>
        <w:pStyle w:val="ListParagraph"/>
        <w:numPr>
          <w:ilvl w:val="1"/>
          <w:numId w:val="4"/>
        </w:numPr>
        <w:jc w:val="both"/>
        <w:rPr>
          <w:rFonts w:ascii="Arial" w:hAnsi="Arial" w:cs="Arial"/>
          <w:sz w:val="22"/>
          <w:szCs w:val="22"/>
          <w:u w:val="single"/>
        </w:rPr>
      </w:pPr>
      <w:r w:rsidRPr="00D56F88">
        <w:rPr>
          <w:rFonts w:ascii="Arial" w:hAnsi="Arial" w:cs="Arial"/>
          <w:sz w:val="22"/>
          <w:szCs w:val="22"/>
          <w:u w:val="single"/>
        </w:rPr>
        <w:t>Risk factors in the ‘unexpected deaths’ group</w:t>
      </w:r>
    </w:p>
    <w:p w14:paraId="010E26D2" w14:textId="54F263E5" w:rsidR="00FE5D8E" w:rsidRDefault="0095382D" w:rsidP="00871157">
      <w:pPr>
        <w:contextualSpacing/>
        <w:jc w:val="both"/>
        <w:rPr>
          <w:rFonts w:ascii="Arial" w:hAnsi="Arial" w:cs="Arial"/>
          <w:sz w:val="22"/>
          <w:szCs w:val="22"/>
        </w:rPr>
      </w:pPr>
      <w:r>
        <w:rPr>
          <w:rFonts w:ascii="Arial" w:hAnsi="Arial" w:cs="Arial"/>
          <w:sz w:val="22"/>
          <w:szCs w:val="22"/>
        </w:rPr>
        <w:t>Most deaths (52%) were unexpected, which to our knowledge has not been reported before</w:t>
      </w:r>
      <w:r w:rsidR="0094185F">
        <w:rPr>
          <w:rFonts w:ascii="Arial" w:hAnsi="Arial" w:cs="Arial"/>
          <w:sz w:val="22"/>
          <w:szCs w:val="22"/>
        </w:rPr>
        <w:t>, and associated with higher clozapine</w:t>
      </w:r>
      <w:r w:rsidR="00C85AE7">
        <w:rPr>
          <w:rFonts w:ascii="Arial" w:hAnsi="Arial" w:cs="Arial"/>
          <w:sz w:val="22"/>
          <w:szCs w:val="22"/>
        </w:rPr>
        <w:t xml:space="preserve"> dose</w:t>
      </w:r>
      <w:r w:rsidR="0094185F">
        <w:rPr>
          <w:rFonts w:ascii="Arial" w:hAnsi="Arial" w:cs="Arial"/>
          <w:sz w:val="22"/>
          <w:szCs w:val="22"/>
        </w:rPr>
        <w:t xml:space="preserve">. In our study, </w:t>
      </w:r>
      <w:r>
        <w:rPr>
          <w:rFonts w:ascii="Arial" w:hAnsi="Arial" w:cs="Arial"/>
          <w:sz w:val="22"/>
          <w:szCs w:val="22"/>
        </w:rPr>
        <w:t xml:space="preserve">this category </w:t>
      </w:r>
      <w:r w:rsidR="00C85AE7">
        <w:rPr>
          <w:rFonts w:ascii="Arial" w:hAnsi="Arial" w:cs="Arial"/>
          <w:sz w:val="22"/>
          <w:szCs w:val="22"/>
        </w:rPr>
        <w:t xml:space="preserve">included a higher proportion of </w:t>
      </w:r>
      <w:r>
        <w:rPr>
          <w:rFonts w:ascii="Arial" w:hAnsi="Arial" w:cs="Arial"/>
          <w:sz w:val="22"/>
          <w:szCs w:val="22"/>
        </w:rPr>
        <w:t>people on high dose (</w:t>
      </w:r>
      <w:r w:rsidR="00774D69">
        <w:rPr>
          <w:rFonts w:ascii="Arial" w:hAnsi="Arial" w:cs="Arial"/>
          <w:sz w:val="22"/>
          <w:szCs w:val="22"/>
        </w:rPr>
        <w:t>40</w:t>
      </w:r>
      <w:r>
        <w:rPr>
          <w:rFonts w:ascii="Arial" w:hAnsi="Arial" w:cs="Arial"/>
          <w:sz w:val="22"/>
          <w:szCs w:val="22"/>
        </w:rPr>
        <w:t>% were prescribed &gt;525mg/day) than the clozapine-treated</w:t>
      </w:r>
      <w:r w:rsidR="00C85AE7">
        <w:rPr>
          <w:rFonts w:ascii="Arial" w:hAnsi="Arial" w:cs="Arial"/>
          <w:sz w:val="22"/>
          <w:szCs w:val="22"/>
        </w:rPr>
        <w:t xml:space="preserve"> surviving </w:t>
      </w:r>
      <w:r>
        <w:rPr>
          <w:rFonts w:ascii="Arial" w:hAnsi="Arial" w:cs="Arial"/>
          <w:sz w:val="22"/>
          <w:szCs w:val="22"/>
        </w:rPr>
        <w:t>control group</w:t>
      </w:r>
      <w:r w:rsidR="0094185F">
        <w:rPr>
          <w:rFonts w:ascii="Arial" w:hAnsi="Arial" w:cs="Arial"/>
          <w:sz w:val="22"/>
          <w:szCs w:val="22"/>
        </w:rPr>
        <w:t xml:space="preserve"> and the other two causes of death. </w:t>
      </w:r>
      <w:r w:rsidR="00C85AE7">
        <w:rPr>
          <w:rFonts w:ascii="Arial" w:hAnsi="Arial" w:cs="Arial"/>
          <w:sz w:val="22"/>
          <w:szCs w:val="22"/>
        </w:rPr>
        <w:t xml:space="preserve">Similarly, the mean </w:t>
      </w:r>
      <w:r w:rsidR="0094185F">
        <w:rPr>
          <w:rFonts w:ascii="Arial" w:hAnsi="Arial" w:cs="Arial"/>
          <w:sz w:val="22"/>
          <w:szCs w:val="22"/>
        </w:rPr>
        <w:t xml:space="preserve">clozapine dose was significantly higher in this group than in the </w:t>
      </w:r>
      <w:r w:rsidR="00C85AE7">
        <w:rPr>
          <w:rFonts w:ascii="Arial" w:hAnsi="Arial" w:cs="Arial"/>
          <w:sz w:val="22"/>
          <w:szCs w:val="22"/>
        </w:rPr>
        <w:t xml:space="preserve">surviving </w:t>
      </w:r>
      <w:r w:rsidR="0094185F">
        <w:rPr>
          <w:rFonts w:ascii="Arial" w:hAnsi="Arial" w:cs="Arial"/>
          <w:sz w:val="22"/>
          <w:szCs w:val="22"/>
        </w:rPr>
        <w:t xml:space="preserve">comparison group and the </w:t>
      </w:r>
      <w:r w:rsidR="00C85AE7">
        <w:rPr>
          <w:rFonts w:ascii="Arial" w:hAnsi="Arial" w:cs="Arial"/>
          <w:sz w:val="22"/>
          <w:szCs w:val="22"/>
        </w:rPr>
        <w:t>‘expected’</w:t>
      </w:r>
      <w:r w:rsidR="0094185F">
        <w:rPr>
          <w:rFonts w:ascii="Arial" w:hAnsi="Arial" w:cs="Arial"/>
          <w:sz w:val="22"/>
          <w:szCs w:val="22"/>
        </w:rPr>
        <w:t xml:space="preserve"> group, </w:t>
      </w:r>
      <w:r w:rsidR="00C85AE7">
        <w:rPr>
          <w:rFonts w:ascii="Arial" w:hAnsi="Arial" w:cs="Arial"/>
          <w:sz w:val="22"/>
          <w:szCs w:val="22"/>
        </w:rPr>
        <w:t>though</w:t>
      </w:r>
      <w:r w:rsidR="0094185F">
        <w:rPr>
          <w:rFonts w:ascii="Arial" w:hAnsi="Arial" w:cs="Arial"/>
          <w:sz w:val="22"/>
          <w:szCs w:val="22"/>
        </w:rPr>
        <w:t xml:space="preserve"> not </w:t>
      </w:r>
      <w:r w:rsidR="00C85AE7">
        <w:rPr>
          <w:rFonts w:ascii="Arial" w:hAnsi="Arial" w:cs="Arial"/>
          <w:sz w:val="22"/>
          <w:szCs w:val="22"/>
        </w:rPr>
        <w:t>t</w:t>
      </w:r>
      <w:r w:rsidR="0094185F">
        <w:rPr>
          <w:rFonts w:ascii="Arial" w:hAnsi="Arial" w:cs="Arial"/>
          <w:sz w:val="22"/>
          <w:szCs w:val="22"/>
        </w:rPr>
        <w:t xml:space="preserve">he suicide group. </w:t>
      </w:r>
      <w:r>
        <w:rPr>
          <w:rFonts w:ascii="Arial" w:hAnsi="Arial" w:cs="Arial"/>
          <w:sz w:val="22"/>
          <w:szCs w:val="22"/>
        </w:rPr>
        <w:t>Smoking was also more frequent in the unexpected-death group compared to the other groups, although this difference was not significant. Smoking and clozapine dose are correlated due to induction of cytochrome CYP1A2 activity</w:t>
      </w:r>
      <w:r w:rsidR="00CC1D14">
        <w:rPr>
          <w:rFonts w:ascii="Arial" w:hAnsi="Arial" w:cs="Arial"/>
          <w:sz w:val="22"/>
          <w:szCs w:val="22"/>
        </w:rPr>
        <w:t xml:space="preserve"> by smoking </w:t>
      </w:r>
      <w:r w:rsidR="00B177B9">
        <w:rPr>
          <w:rFonts w:ascii="Arial" w:hAnsi="Arial" w:cs="Arial"/>
          <w:sz w:val="22"/>
          <w:szCs w:val="22"/>
        </w:rPr>
        <w:fldChar w:fldCharType="begin" w:fldLock="1"/>
      </w:r>
      <w:r w:rsidR="00A24E5C">
        <w:rPr>
          <w:rFonts w:ascii="Arial" w:hAnsi="Arial" w:cs="Arial"/>
          <w:sz w:val="22"/>
          <w:szCs w:val="22"/>
        </w:rPr>
        <w:instrText>ADDIN CSL_CITATION {"citationItems":[{"id":"ITEM-1","itemData":{"DOI":"10.1097/FPC.0000000000000347","ISSN":"17446880","author":[{"dropping-particle":"","family":"Thorn","given":"Caroline F.","non-dropping-particle":"","parse-names":false,"suffix":""},{"dropping-particle":"","family":"Müller","given":"Daniel J.","non-dropping-particle":"","parse-names":false,"suffix":""},{"dropping-particle":"","family":"Altman","given":"Russ B.","non-dropping-particle":"","parse-names":false,"suffix":""},{"dropping-particle":"","family":"Klein","given":"Teri E.","non-dropping-particle":"","parse-names":false,"suffix":""}],"container-title":"Pharmacogenetics and Genomics","id":"ITEM-1","issued":{"date-parts":[["2018"]]},"title":"PharmGKB summary: Clozapine pathway, pharmacokinetics","type":"article-journal"},"uris":["http://www.mendeley.com/documents/?uuid=3984fd6f-2426-43af-bda7-f4fd9fd61423"]},{"id":"ITEM-2","itemData":{"DOI":"10.1097/00004714-200108000-00007","ISSN":"02710749","abstract":"Clozapine is an atypical antipsychotic drug and displays efficacy in 30% to 60% of patients with schizophrenia who do not respond to traditional antipsychotics. A clozapine concentration greater than 1,150 nmol/L increases the probability of antipsychotic efficacy. However, plasma clozapine concentration can vary more than 45-fold during longterm treatment. The aim of this study was to assess the contribution of CYP1A2 to variability in steady-state concentration of clozapine and its active metabolite norclozapine. Patients with schizophrenia or schizoaffective disorder were prospectively monitored during clozapine treatment (N = 18). The in vivo CYP1A2 activity was measured using the caffeine metabolic ratio (CMR) in overnight urine. Trough plasma samples were drawn after at least 5 days of treatment with a constant regimen of clozapine. A significant negative association was found between the CMR and the dose-corrected clozapine (rs = -0.87,p &lt; 0.01) and norclozapine (rs = -0.76,p &lt; 0.01) concentrations. Nonsmokers displayed a higher clozapine (3.2-fold) and norclozapine (2.3-fold) concentration than smokers (p &lt; 0.05). Furthermore, there was marked person-to-person variation in CYP1A2 activity during multiple-dose clozapine treatment (coefficient of variation = 60%). Age, weight, serum creatinine, and grapefruit juice consumption did not significantly contribute to variability in clozapine and norclozapine concentration (p &gt; 0.05). In conclusion, CYP1A2 is one of the important contributors to disposition of clozapine during multiple-dose treatment. Although further in vitro experiments are necessary, the precise metabolic pathways catalyzed by CYP1A2 seem to be subsequent to the formation of norclozapine, hitherto less recognized quantitatively important alternate disposition routes, or both. From a clinical perspective, an environmentally induced or constitutively high CYP1A2 expression can lead to a decrease in steady-state concentration of clozapine as well as its active metabolite norclozapine. Thus, interindividual variability in CYP1A2 activity may potentially explain treatment resistance to clozapine in some patients. CYP1A2 phenotyping with a simple caffeine test may contribute to individualization of clozapine dosage and differentiate between treatment noncompliance and high CYP1A2 activity.","author":[{"dropping-particle":"","family":"Özdemir","given":"Vural","non-dropping-particle":"","parse-names":false,"suffix":""},{"dropping-particle":"","family":"Kalow","given":"Werner","non-dropping-particle":"","parse-names":false,"suffix":""},{"dropping-particle":"","family":"Posner","given":"Paul","non-dropping-particle":"","parse-names":false,"suffix":""},{"dropping-particle":"","family":"Collins","given":"Evan J.","non-dropping-particle":"","parse-names":false,"suffix":""},{"dropping-particle":"","family":"Kennedy","given":"James L.","non-dropping-particle":"","parse-names":false,"suffix":""},{"dropping-particle":"","family":"Tang","given":"Bing Kou","non-dropping-particle":"","parse-names":false,"suffix":""},{"dropping-particle":"","family":"Albers","given":"Lawrence J.","non-dropping-particle":"","parse-names":false,"suffix":""},{"dropping-particle":"","family":"Reist","given":"Christopher","non-dropping-particle":"","parse-names":false,"suffix":""},{"dropping-particle":"","family":"Roy","given":"Rochelle","non-dropping-particle":"","parse-names":false,"suffix":""},{"dropping-particle":"","family":"Walkes","given":"Winston","non-dropping-particle":"","parse-names":false,"suffix":""},{"dropping-particle":"","family":"Afra","given":"Pegah","non-dropping-particle":"","parse-names":false,"suffix":""}],"container-title":"Journal of Clinical Psychopharmacology","id":"ITEM-2","issued":{"date-parts":[["2001"]]},"title":"CYP1A2 activity as measured by a caffeine test predicts clozapine and active metabolite norclozapine steady-state concentration in patients with schizophrenia","type":"article-journal"},"uris":["http://www.mendeley.com/documents/?uuid=d1fd55e2-5b56-478f-844d-34e7998a781b"]}],"mendeley":{"formattedCitation":"(Özdemir et al., 2001; Thorn et al., 2018)","plainTextFormattedCitation":"(Özdemir et al., 2001; Thorn et al., 2018)","previouslyFormattedCitation":"(Özdemir et al., 2001; Thorn et al., 2018)"},"properties":{"noteIndex":0},"schema":"https://github.com/citation-style-language/schema/raw/master/csl-citation.json"}</w:instrText>
      </w:r>
      <w:r w:rsidR="00B177B9">
        <w:rPr>
          <w:rFonts w:ascii="Arial" w:hAnsi="Arial" w:cs="Arial"/>
          <w:sz w:val="22"/>
          <w:szCs w:val="22"/>
        </w:rPr>
        <w:fldChar w:fldCharType="separate"/>
      </w:r>
      <w:r w:rsidR="006C099B" w:rsidRPr="006C099B">
        <w:rPr>
          <w:rFonts w:ascii="Arial" w:hAnsi="Arial" w:cs="Arial"/>
          <w:noProof/>
          <w:sz w:val="22"/>
          <w:szCs w:val="22"/>
        </w:rPr>
        <w:t>(Özdemir et al., 2001; Thorn et al., 2018)</w:t>
      </w:r>
      <w:r w:rsidR="00B177B9">
        <w:rPr>
          <w:rFonts w:ascii="Arial" w:hAnsi="Arial" w:cs="Arial"/>
          <w:sz w:val="22"/>
          <w:szCs w:val="22"/>
        </w:rPr>
        <w:fldChar w:fldCharType="end"/>
      </w:r>
      <w:r>
        <w:rPr>
          <w:rFonts w:ascii="Arial" w:hAnsi="Arial" w:cs="Arial"/>
          <w:sz w:val="22"/>
          <w:szCs w:val="22"/>
        </w:rPr>
        <w:t xml:space="preserve">. </w:t>
      </w:r>
      <w:r w:rsidR="00CC1D14">
        <w:rPr>
          <w:rFonts w:ascii="Arial" w:hAnsi="Arial" w:cs="Arial"/>
          <w:sz w:val="22"/>
          <w:szCs w:val="22"/>
        </w:rPr>
        <w:t>The</w:t>
      </w:r>
      <w:r w:rsidR="0052699C">
        <w:rPr>
          <w:rFonts w:ascii="Arial" w:hAnsi="Arial" w:cs="Arial"/>
          <w:sz w:val="22"/>
          <w:szCs w:val="22"/>
        </w:rPr>
        <w:t xml:space="preserve"> average age in the unexpected group was relatively young (52 years old)</w:t>
      </w:r>
      <w:r w:rsidR="00CC1D14">
        <w:rPr>
          <w:rFonts w:ascii="Arial" w:hAnsi="Arial" w:cs="Arial"/>
          <w:sz w:val="22"/>
          <w:szCs w:val="22"/>
        </w:rPr>
        <w:t xml:space="preserve">, </w:t>
      </w:r>
      <w:r w:rsidR="00D00C3B">
        <w:rPr>
          <w:rFonts w:ascii="Arial" w:hAnsi="Arial" w:cs="Arial"/>
          <w:sz w:val="22"/>
          <w:szCs w:val="22"/>
        </w:rPr>
        <w:t xml:space="preserve">in line with the early deaths associated in </w:t>
      </w:r>
      <w:r w:rsidR="00D00C3B" w:rsidRPr="00EC1A3F">
        <w:rPr>
          <w:rFonts w:ascii="Arial" w:hAnsi="Arial" w:cs="Arial"/>
          <w:sz w:val="22"/>
          <w:szCs w:val="22"/>
        </w:rPr>
        <w:t>schizophrenia</w:t>
      </w:r>
      <w:r w:rsidR="00CC1D14">
        <w:rPr>
          <w:rFonts w:ascii="Arial" w:hAnsi="Arial" w:cs="Arial"/>
          <w:sz w:val="22"/>
          <w:szCs w:val="22"/>
        </w:rPr>
        <w:t xml:space="preserve"> </w:t>
      </w:r>
      <w:r w:rsidR="00B177B9">
        <w:rPr>
          <w:rFonts w:ascii="Arial" w:hAnsi="Arial" w:cs="Arial"/>
          <w:sz w:val="22"/>
          <w:szCs w:val="22"/>
        </w:rPr>
        <w:fldChar w:fldCharType="begin" w:fldLock="1"/>
      </w:r>
      <w:r w:rsidR="00A24E5C">
        <w:rPr>
          <w:rFonts w:ascii="Arial" w:hAnsi="Arial" w:cs="Arial"/>
          <w:sz w:val="22"/>
          <w:szCs w:val="22"/>
        </w:rPr>
        <w:instrText>ADDIN CSL_CITATION {"citationItems":[{"id":"ITEM-1","itemData":{"DOI":"10.1038/nrdp.2015.67","ISBN":"2056-676X","ISSN":"2056676X","PMID":"27189524","abstract":"Schizophrenia is a chronic psychiatric disorder with a heterogeneous genetic and neurobiological background that influences early brain development, and is expressed as a combination of psychotic symptoms — such as hallucinations, delusions and disorganization — and motivational and cognitive dysfunctions. The mean lifetime prevalence of the disorder is just below 1%, but large regional differences in prevalence rates are evident owing to disparities in urbanicity and patterns of immigration. Although gross brain pathology is not a characteristic of schizophrenia, the disorder involves subtle pathological changes in specific neural cell populations and in cell–cell communication. Schizophrenia, as a cognitive and behavioural disorder, is ultimately about how the brain processes information. Indeed, neuroimaging studies have shown that information processing is functionally abnormal in patients with first-episode and chronic schizophrenia. Although pharmacological treatments for schizophrenia can relieve psychotic symptoms, such drugs generally do not lead to substantial improvements in social, cognitive and occupational functioning. Psychosocial interventions such as cognitive–behavioural therapy, cognitive remediation and supported education and employment have added treatment value, but are inconsistently applied. Given that schizophrenia starts many years before a diagnosis is typically made, the identification of individuals at risk and those in the early phases of the disorder, and the exploration of preventive approaches are crucial.","author":[{"dropping-particle":"","family":"Kahn","given":"René S.","non-dropping-particle":"","parse-names":false,"suffix":""},{"dropping-particle":"","family":"Sommer","given":"Iris E.","non-dropping-particle":"","parse-names":false,"suffix":""},{"dropping-particle":"","family":"Murray","given":"Robin M.","non-dropping-particle":"","parse-names":false,"suffix":""},{"dropping-particle":"","family":"Meyer-Lindenberg","given":"Andreas","non-dropping-particle":"","parse-names":false,"suffix":""},{"dropping-particle":"","family":"Weinberger","given":"Daniel R.","non-dropping-particle":"","parse-names":false,"suffix":""},{"dropping-particle":"","family":"Cannon","given":"Tyrone D.","non-dropping-particle":"","parse-names":false,"suffix":""},{"dropping-particle":"","family":"O'Donovan","given":"Michael","non-dropping-particle":"","parse-names":false,"suffix":""},{"dropping-particle":"","family":"Correll","given":"Christoph U.","non-dropping-particle":"","parse-names":false,"suffix":""},{"dropping-particle":"","family":"Kane","given":"John M.","non-dropping-particle":"","parse-names":false,"suffix":""},{"dropping-particle":"","family":"Os","given":"Jim","non-dropping-particle":"Van","parse-names":false,"suffix":""},{"dropping-particle":"","family":"Insel","given":"Thomas R.","non-dropping-particle":"","parse-names":false,"suffix":""}],"container-title":"Nature Reviews Disease Primers","id":"ITEM-1","issued":{"date-parts":[["2015"]]},"title":"Schizophrenia","type":"article-journal"},"uris":["http://www.mendeley.com/documents/?uuid=4fa56fab-fbbf-38c2-95a0-1f82ff3bfabc"]}],"mendeley":{"formattedCitation":"(Kahn et al., 2015)","plainTextFormattedCitation":"(Kahn et al., 2015)","previouslyFormattedCitation":"(Kahn et al., 2015)"},"properties":{"noteIndex":0},"schema":"https://github.com/citation-style-language/schema/raw/master/csl-citation.json"}</w:instrText>
      </w:r>
      <w:r w:rsidR="00B177B9">
        <w:rPr>
          <w:rFonts w:ascii="Arial" w:hAnsi="Arial" w:cs="Arial"/>
          <w:sz w:val="22"/>
          <w:szCs w:val="22"/>
        </w:rPr>
        <w:fldChar w:fldCharType="separate"/>
      </w:r>
      <w:r w:rsidR="006C099B" w:rsidRPr="006C099B">
        <w:rPr>
          <w:rFonts w:ascii="Arial" w:hAnsi="Arial" w:cs="Arial"/>
          <w:noProof/>
          <w:sz w:val="22"/>
          <w:szCs w:val="22"/>
        </w:rPr>
        <w:t>(Kahn et al., 2015)</w:t>
      </w:r>
      <w:r w:rsidR="00B177B9">
        <w:rPr>
          <w:rFonts w:ascii="Arial" w:hAnsi="Arial" w:cs="Arial"/>
          <w:sz w:val="22"/>
          <w:szCs w:val="22"/>
        </w:rPr>
        <w:fldChar w:fldCharType="end"/>
      </w:r>
      <w:r w:rsidR="00B177B9">
        <w:rPr>
          <w:rFonts w:ascii="Arial" w:hAnsi="Arial" w:cs="Arial"/>
          <w:sz w:val="22"/>
          <w:szCs w:val="22"/>
        </w:rPr>
        <w:t xml:space="preserve">. </w:t>
      </w:r>
      <w:r w:rsidR="0052699C" w:rsidRPr="00EC1A3F">
        <w:rPr>
          <w:rFonts w:ascii="Arial" w:hAnsi="Arial" w:cs="Arial"/>
          <w:sz w:val="22"/>
          <w:szCs w:val="22"/>
        </w:rPr>
        <w:t xml:space="preserve">The rates of </w:t>
      </w:r>
      <w:r w:rsidR="0094185F">
        <w:rPr>
          <w:rFonts w:ascii="Arial" w:hAnsi="Arial" w:cs="Arial"/>
          <w:sz w:val="22"/>
          <w:szCs w:val="22"/>
        </w:rPr>
        <w:t xml:space="preserve">usage of </w:t>
      </w:r>
      <w:r w:rsidR="0052699C" w:rsidRPr="00EC1A3F">
        <w:rPr>
          <w:rFonts w:ascii="Arial" w:hAnsi="Arial" w:cs="Arial"/>
          <w:sz w:val="22"/>
          <w:szCs w:val="22"/>
        </w:rPr>
        <w:t>psychotropics were no</w:t>
      </w:r>
      <w:r w:rsidR="0094185F">
        <w:rPr>
          <w:rFonts w:ascii="Arial" w:hAnsi="Arial" w:cs="Arial"/>
          <w:sz w:val="22"/>
          <w:szCs w:val="22"/>
        </w:rPr>
        <w:t>t</w:t>
      </w:r>
      <w:r w:rsidR="0052699C" w:rsidRPr="00EC1A3F">
        <w:rPr>
          <w:rFonts w:ascii="Arial" w:hAnsi="Arial" w:cs="Arial"/>
          <w:sz w:val="22"/>
          <w:szCs w:val="22"/>
        </w:rPr>
        <w:t xml:space="preserve"> different between the unexpected death group and the control group (</w:t>
      </w:r>
      <w:r w:rsidR="0052699C" w:rsidRPr="006D4E04">
        <w:rPr>
          <w:rFonts w:ascii="Arial" w:hAnsi="Arial" w:cs="Arial"/>
          <w:b/>
          <w:bCs/>
          <w:sz w:val="22"/>
          <w:szCs w:val="22"/>
        </w:rPr>
        <w:t>Table 2</w:t>
      </w:r>
      <w:r w:rsidR="0052699C" w:rsidRPr="00EC1A3F">
        <w:rPr>
          <w:rFonts w:ascii="Arial" w:hAnsi="Arial" w:cs="Arial"/>
          <w:sz w:val="22"/>
          <w:szCs w:val="22"/>
        </w:rPr>
        <w:t>) and rates of type 2 diabetes no different either, which might be counterintuitive.</w:t>
      </w:r>
      <w:r w:rsidR="0052699C">
        <w:rPr>
          <w:rFonts w:ascii="Arial" w:hAnsi="Arial" w:cs="Arial"/>
          <w:sz w:val="22"/>
          <w:szCs w:val="22"/>
        </w:rPr>
        <w:t xml:space="preserve"> </w:t>
      </w:r>
    </w:p>
    <w:p w14:paraId="15E674AE" w14:textId="77777777" w:rsidR="0052699C" w:rsidRDefault="0052699C" w:rsidP="00871157">
      <w:pPr>
        <w:contextualSpacing/>
        <w:jc w:val="both"/>
        <w:rPr>
          <w:rFonts w:ascii="Arial" w:hAnsi="Arial" w:cs="Arial"/>
          <w:sz w:val="22"/>
          <w:szCs w:val="22"/>
        </w:rPr>
      </w:pPr>
    </w:p>
    <w:p w14:paraId="1FF8B0E9" w14:textId="47D0F7FE" w:rsidR="0052699C" w:rsidRDefault="0052699C" w:rsidP="00871157">
      <w:pPr>
        <w:contextualSpacing/>
        <w:jc w:val="both"/>
      </w:pPr>
      <w:r>
        <w:rPr>
          <w:rFonts w:ascii="Arial" w:hAnsi="Arial" w:cs="Arial"/>
          <w:sz w:val="22"/>
          <w:szCs w:val="22"/>
        </w:rPr>
        <w:t>Those causes of death categorized</w:t>
      </w:r>
      <w:r w:rsidR="00C85AE7">
        <w:rPr>
          <w:rFonts w:ascii="Arial" w:hAnsi="Arial" w:cs="Arial"/>
          <w:sz w:val="22"/>
          <w:szCs w:val="22"/>
        </w:rPr>
        <w:t xml:space="preserve"> as </w:t>
      </w:r>
      <w:r>
        <w:rPr>
          <w:rFonts w:ascii="Arial" w:hAnsi="Arial" w:cs="Arial"/>
          <w:sz w:val="22"/>
          <w:szCs w:val="22"/>
        </w:rPr>
        <w:t>“unexpected” were not necessarily caused by clozapine but were via mechanisms known to be associated with clozapine use (inc</w:t>
      </w:r>
      <w:r w:rsidR="00B64145">
        <w:rPr>
          <w:rFonts w:ascii="Arial" w:hAnsi="Arial" w:cs="Arial"/>
          <w:sz w:val="22"/>
          <w:szCs w:val="22"/>
        </w:rPr>
        <w:t>luding unexplained sudden death</w:t>
      </w:r>
      <w:r>
        <w:rPr>
          <w:rFonts w:ascii="Arial" w:hAnsi="Arial" w:cs="Arial"/>
          <w:sz w:val="22"/>
          <w:szCs w:val="22"/>
        </w:rPr>
        <w:t>). The present data raise the possibility of interventions to reduce further the long-term mortality associated with clozapine treatment. In particular, unexpected death was associated with high-dose clozapine. I</w:t>
      </w:r>
      <w:r>
        <w:rPr>
          <w:rFonts w:ascii="Arial" w:hAnsi="Arial" w:cs="Arial"/>
          <w:color w:val="000000" w:themeColor="text1"/>
          <w:sz w:val="22"/>
          <w:szCs w:val="22"/>
          <w:shd w:val="clear" w:color="auto" w:fill="FFFFFF"/>
        </w:rPr>
        <w:t>t might be beneficial to introduce more regular monitoring of clozapine plasma levels. Currently, UK NICE guidelines advise that plasma level measurement should not be a routine practice and is only indicated for assessing compliance or suspected toxicity</w:t>
      </w:r>
      <w:r>
        <w:fldChar w:fldCharType="begin" w:fldLock="1"/>
      </w:r>
      <w:r w:rsidR="00A24E5C">
        <w:instrText>ADDIN CSL_CITATION {"citationItems":[{"id":"ITEM-1","itemData":{"DOI":"10.1002/14651858.CD010823.pub2.Copyright","ISBN":"GC178","PMID":"25340235","abstract":"The summary of the published clinical guideline on Psychosis and schizophrenia in adults. It links to the published guidance and key documents.","author":[{"dropping-particle":"","family":"National Institute of Health and Clinical Excellence","given":"","non-dropping-particle":"","parse-names":false,"suffix":""}],"container-title":"The NICE guidelines on treament and management","id":"ITEM-1","issue":"February","issued":{"date-parts":[["2014"]]},"page":"74-80","title":"Psychosis and schizophrenia in adults","type":"article-journal"},"uris":["http://www.mendeley.com/documents/?uuid=3a1970d8-d7d7-4655-b786-d77fce7f5673"]}],"mendeley":{"formattedCitation":"(National Institute of Health and Clinical Excellence, 2014)","plainTextFormattedCitation":"(National Institute of Health and Clinical Excellence, 2014)","previouslyFormattedCitation":"(National Institute of Health and Clinical Excellence, 2014)"},"properties":{"noteIndex":0},"schema":"https://github.com/citation-style-language/schema/raw/master/csl-citation.json"}</w:instrText>
      </w:r>
      <w:r>
        <w:fldChar w:fldCharType="separate"/>
      </w:r>
      <w:r w:rsidR="006C099B" w:rsidRPr="006C099B">
        <w:rPr>
          <w:rFonts w:ascii="Arial" w:hAnsi="Arial" w:cs="Arial"/>
          <w:noProof/>
          <w:color w:val="000000" w:themeColor="text1"/>
          <w:sz w:val="22"/>
          <w:szCs w:val="22"/>
          <w:shd w:val="clear" w:color="auto" w:fill="FFFFFF"/>
        </w:rPr>
        <w:t>(National Institute of Health and Clinical Excellence, 2014)</w:t>
      </w:r>
      <w:r>
        <w:fldChar w:fldCharType="end"/>
      </w:r>
      <w:r>
        <w:rPr>
          <w:rFonts w:ascii="Arial" w:hAnsi="Arial" w:cs="Arial"/>
          <w:color w:val="000000" w:themeColor="text1"/>
          <w:sz w:val="22"/>
          <w:szCs w:val="22"/>
          <w:shd w:val="clear" w:color="auto" w:fill="FFFFFF"/>
        </w:rPr>
        <w:t xml:space="preserve">. </w:t>
      </w:r>
    </w:p>
    <w:p w14:paraId="724236AE" w14:textId="728C6E47" w:rsidR="0052699C" w:rsidRDefault="0052699C" w:rsidP="00871157">
      <w:pPr>
        <w:contextualSpacing/>
        <w:jc w:val="both"/>
        <w:rPr>
          <w:rFonts w:ascii="Arial" w:hAnsi="Arial" w:cs="Arial"/>
          <w:sz w:val="22"/>
          <w:szCs w:val="22"/>
        </w:rPr>
      </w:pPr>
    </w:p>
    <w:p w14:paraId="16F405E8" w14:textId="6236450C" w:rsidR="00FE5D8E" w:rsidRPr="00D56F88" w:rsidRDefault="00DE02C8" w:rsidP="00871157">
      <w:pPr>
        <w:pStyle w:val="ListParagraph"/>
        <w:numPr>
          <w:ilvl w:val="1"/>
          <w:numId w:val="4"/>
        </w:numPr>
        <w:jc w:val="both"/>
        <w:rPr>
          <w:rFonts w:ascii="Arial" w:hAnsi="Arial" w:cs="Arial"/>
          <w:sz w:val="22"/>
          <w:szCs w:val="22"/>
          <w:u w:val="single"/>
        </w:rPr>
      </w:pPr>
      <w:r w:rsidRPr="00D56F88">
        <w:rPr>
          <w:rFonts w:ascii="Arial" w:hAnsi="Arial" w:cs="Arial"/>
          <w:sz w:val="22"/>
          <w:szCs w:val="22"/>
          <w:u w:val="single"/>
        </w:rPr>
        <w:t>Mortality peak in 2018</w:t>
      </w:r>
    </w:p>
    <w:p w14:paraId="08A2396E" w14:textId="4F88F540" w:rsidR="00FE5D8E" w:rsidRDefault="00CC1D14" w:rsidP="00871157">
      <w:pPr>
        <w:contextualSpacing/>
        <w:jc w:val="both"/>
      </w:pPr>
      <w:r>
        <w:rPr>
          <w:rFonts w:ascii="Arial" w:hAnsi="Arial" w:cs="Arial"/>
          <w:sz w:val="22"/>
          <w:szCs w:val="22"/>
        </w:rPr>
        <w:t xml:space="preserve">We found </w:t>
      </w:r>
      <w:r w:rsidR="0095382D">
        <w:rPr>
          <w:rFonts w:ascii="Arial" w:hAnsi="Arial" w:cs="Arial"/>
          <w:sz w:val="22"/>
          <w:szCs w:val="22"/>
        </w:rPr>
        <w:t xml:space="preserve">a significant unexpected mortality peak during 2018 attributed to 3 unexpected deaths </w:t>
      </w:r>
      <w:r w:rsidR="009C126B">
        <w:rPr>
          <w:rFonts w:ascii="Arial" w:hAnsi="Arial" w:cs="Arial"/>
          <w:sz w:val="22"/>
          <w:szCs w:val="22"/>
        </w:rPr>
        <w:t xml:space="preserve">during a 10 days period </w:t>
      </w:r>
      <w:r w:rsidR="0095382D">
        <w:rPr>
          <w:rFonts w:ascii="Arial" w:hAnsi="Arial" w:cs="Arial"/>
          <w:sz w:val="22"/>
          <w:szCs w:val="22"/>
        </w:rPr>
        <w:t xml:space="preserve">at the end of the summer heat wave. July 2018 maximum temperatures were </w:t>
      </w:r>
      <w:r w:rsidR="00C85AE7">
        <w:rPr>
          <w:rFonts w:ascii="Arial" w:hAnsi="Arial" w:cs="Arial"/>
          <w:sz w:val="22"/>
          <w:szCs w:val="22"/>
        </w:rPr>
        <w:t xml:space="preserve">more than </w:t>
      </w:r>
      <w:r w:rsidR="0095382D">
        <w:rPr>
          <w:rFonts w:ascii="Arial" w:hAnsi="Arial" w:cs="Arial"/>
          <w:sz w:val="22"/>
          <w:szCs w:val="22"/>
        </w:rPr>
        <w:t>4</w:t>
      </w:r>
      <w:r w:rsidR="0095382D">
        <w:rPr>
          <w:rFonts w:ascii="Arial" w:hAnsi="Arial" w:cs="Arial"/>
          <w:color w:val="000000" w:themeColor="text1"/>
          <w:sz w:val="22"/>
          <w:szCs w:val="22"/>
          <w:shd w:val="clear" w:color="auto" w:fill="FFFFFF"/>
        </w:rPr>
        <w:t xml:space="preserve">°C </w:t>
      </w:r>
      <w:r w:rsidR="0095382D">
        <w:rPr>
          <w:rFonts w:ascii="Arial" w:hAnsi="Arial" w:cs="Arial"/>
          <w:sz w:val="22"/>
          <w:szCs w:val="22"/>
        </w:rPr>
        <w:t xml:space="preserve">above </w:t>
      </w:r>
      <w:r w:rsidR="0052699C">
        <w:rPr>
          <w:rFonts w:ascii="Arial" w:hAnsi="Arial" w:cs="Arial"/>
          <w:sz w:val="22"/>
          <w:szCs w:val="22"/>
        </w:rPr>
        <w:t>the long</w:t>
      </w:r>
      <w:r w:rsidR="00B177B9">
        <w:rPr>
          <w:rFonts w:ascii="Arial" w:hAnsi="Arial" w:cs="Arial"/>
          <w:sz w:val="22"/>
          <w:szCs w:val="22"/>
        </w:rPr>
        <w:t>-</w:t>
      </w:r>
      <w:r w:rsidR="0052699C">
        <w:rPr>
          <w:rFonts w:ascii="Arial" w:hAnsi="Arial" w:cs="Arial"/>
          <w:sz w:val="22"/>
          <w:szCs w:val="22"/>
        </w:rPr>
        <w:t>term average for that month</w:t>
      </w:r>
      <w:r>
        <w:rPr>
          <w:rFonts w:ascii="Arial" w:hAnsi="Arial" w:cs="Arial"/>
          <w:sz w:val="22"/>
          <w:szCs w:val="22"/>
        </w:rPr>
        <w:t xml:space="preserve"> </w:t>
      </w:r>
      <w:r w:rsidR="00C23BCB">
        <w:rPr>
          <w:rFonts w:ascii="Arial" w:hAnsi="Arial" w:cs="Arial"/>
          <w:sz w:val="22"/>
          <w:szCs w:val="22"/>
        </w:rPr>
        <w:fldChar w:fldCharType="begin" w:fldLock="1"/>
      </w:r>
      <w:r w:rsidR="00A24E5C">
        <w:rPr>
          <w:rFonts w:ascii="Arial" w:hAnsi="Arial" w:cs="Arial"/>
          <w:sz w:val="22"/>
          <w:szCs w:val="22"/>
        </w:rPr>
        <w:instrText>ADDIN CSL_CITATION {"citationItems":[{"id":"ITEM-1","itemData":{"URL":"https://www.metoffice.gov.uk/binaries/content/assets/metofficegovuk/pdf/weather/learn-about/uk-past-events/interesting/2018/summer-2018---met-office.pdf","accessed":{"date-parts":[["2020","1","28"]]},"author":[{"dropping-particle":"","family":"Office","given":"Met","non-dropping-particle":"","parse-names":false,"suffix":""}],"container-title":"16 Oct","id":"ITEM-1","issued":{"date-parts":[["2018"]]},"title":"No Title","type":"webpage"},"uris":["http://www.mendeley.com/documents/?uuid=542b89fd-2eb0-4734-b547-e6035d9d7858"]}],"mendeley":{"formattedCitation":"(Office, 2018)","plainTextFormattedCitation":"(Office, 2018)","previouslyFormattedCitation":"(Office, 2018)"},"properties":{"noteIndex":0},"schema":"https://github.com/citation-style-language/schema/raw/master/csl-citation.json"}</w:instrText>
      </w:r>
      <w:r w:rsidR="00C23BCB">
        <w:rPr>
          <w:rFonts w:ascii="Arial" w:hAnsi="Arial" w:cs="Arial"/>
          <w:sz w:val="22"/>
          <w:szCs w:val="22"/>
        </w:rPr>
        <w:fldChar w:fldCharType="separate"/>
      </w:r>
      <w:r w:rsidR="006C099B" w:rsidRPr="006C099B">
        <w:rPr>
          <w:rFonts w:ascii="Arial" w:hAnsi="Arial" w:cs="Arial"/>
          <w:noProof/>
          <w:sz w:val="22"/>
          <w:szCs w:val="22"/>
        </w:rPr>
        <w:t>(Office, 2018)</w:t>
      </w:r>
      <w:r w:rsidR="00C23BCB">
        <w:rPr>
          <w:rFonts w:ascii="Arial" w:hAnsi="Arial" w:cs="Arial"/>
          <w:sz w:val="22"/>
          <w:szCs w:val="22"/>
        </w:rPr>
        <w:fldChar w:fldCharType="end"/>
      </w:r>
      <w:r w:rsidR="0095382D">
        <w:rPr>
          <w:rFonts w:ascii="Arial" w:hAnsi="Arial" w:cs="Arial"/>
          <w:sz w:val="22"/>
          <w:szCs w:val="22"/>
        </w:rPr>
        <w:t xml:space="preserve"> and dehydration is a potential common risk factor for clozapine-associated deaths, exacerbating all dose-dependent side effects. The mortality increase during the heat wave is in line with a previous report suggesting an 5% increase in risk of death with every 1</w:t>
      </w:r>
      <w:r w:rsidR="0095382D">
        <w:rPr>
          <w:rFonts w:ascii="Arial" w:hAnsi="Arial" w:cs="Arial"/>
          <w:color w:val="000000" w:themeColor="text1"/>
          <w:sz w:val="22"/>
          <w:szCs w:val="22"/>
          <w:shd w:val="clear" w:color="auto" w:fill="FFFFFF"/>
        </w:rPr>
        <w:t>°C rise in temperature in patients with a psychotic illness, dementia, or substance misuse</w:t>
      </w:r>
      <w:r w:rsidR="0095382D">
        <w:fldChar w:fldCharType="begin" w:fldLock="1"/>
      </w:r>
      <w:r w:rsidR="00A24E5C">
        <w:instrText>ADDIN CSL_CITATION {"citationItems":[{"id":"ITEM-1","itemData":{"DOI":"10.1192/bjp.bp.111.100404","ISSN":"00071250","abstract":"BACKGROUND: Climate change is expected to have significant effects on human health, partly through an increase in extreme events such as heatwaves. People with mental illness may be at particular risk.\\n\\nAIMS: To estimate risk conferred by high ambient temperature on patients with psychosis, dementia and substance misuse.\\n\\nMETHOD: We applied time-series regression analysis to data from a nationally representative primary care cohort study. Relative risk of death per 1°C increase in temperature was calculated above a threshold.\\n\\nRESULTS: Patients with mental illness showed an overall increase in risk of death of 4.9% (95% CI 2.0-7.8) per 1°C increase in temperature above the 93rd percentile of the annual temperature distribution. Younger patients and those with a primary diagnosis of substance misuse demonstrated greatest mortality risk.\\n\\nCONCLUSIONS: The increased risk of death during hot weather in patients with psychosis, dementia and substance misuse has implications for public health strategies during heatwaves.","author":[{"dropping-particle":"","family":"Page","given":"Lisa A.","non-dropping-particle":"","parse-names":false,"suffix":""},{"dropping-particle":"","family":"Hajat","given":"Shakoor","non-dropping-particle":"","parse-names":false,"suffix":""},{"dropping-particle":"","family":"Sari Kovats","given":"R.","non-dropping-particle":"","parse-names":false,"suffix":""},{"dropping-particle":"","family":"Howard","given":"Louise M.","non-dropping-particle":"","parse-names":false,"suffix":""}],"container-title":"British Journal of Psychiatry","id":"ITEM-1","issue":"6","issued":{"date-parts":[["2012"]]},"page":"485-490","title":"Temperature-related deaths in people with psychosis, dementia and substance misuse","type":"article-journal","volume":"200"},"uris":["http://www.mendeley.com/documents/?uuid=8870305c-3d9c-437e-87a5-58c1e37c0cbc"]}],"mendeley":{"formattedCitation":"(Page et al., 2012)","plainTextFormattedCitation":"(Page et al., 2012)","previouslyFormattedCitation":"(Page et al., 2012)"},"properties":{"noteIndex":0},"schema":"https://github.com/citation-style-language/schema/raw/master/csl-citation.json"}</w:instrText>
      </w:r>
      <w:r w:rsidR="0095382D">
        <w:fldChar w:fldCharType="separate"/>
      </w:r>
      <w:bookmarkStart w:id="28" w:name="__Fieldmark__712_3862467544"/>
      <w:bookmarkStart w:id="29" w:name="__Fieldmark__588_2113833669"/>
      <w:bookmarkStart w:id="30" w:name="__Fieldmark__572_2119414058"/>
      <w:bookmarkStart w:id="31" w:name="__Fieldmark__584_240126034"/>
      <w:r w:rsidR="006C099B" w:rsidRPr="006C099B">
        <w:rPr>
          <w:rFonts w:ascii="Arial" w:hAnsi="Arial" w:cs="Arial"/>
          <w:noProof/>
          <w:color w:val="000000" w:themeColor="text1"/>
          <w:sz w:val="22"/>
          <w:szCs w:val="22"/>
          <w:shd w:val="clear" w:color="auto" w:fill="FFFFFF"/>
        </w:rPr>
        <w:t>(Page et al., 2012)</w:t>
      </w:r>
      <w:r w:rsidR="0095382D">
        <w:fldChar w:fldCharType="end"/>
      </w:r>
      <w:bookmarkEnd w:id="28"/>
      <w:bookmarkEnd w:id="29"/>
      <w:bookmarkEnd w:id="30"/>
      <w:bookmarkEnd w:id="31"/>
      <w:r w:rsidR="0095382D">
        <w:rPr>
          <w:rFonts w:ascii="Arial" w:hAnsi="Arial" w:cs="Arial"/>
          <w:color w:val="000000" w:themeColor="text1"/>
          <w:sz w:val="22"/>
          <w:szCs w:val="22"/>
          <w:shd w:val="clear" w:color="auto" w:fill="FFFFFF"/>
        </w:rPr>
        <w:t>. Heat is a biologically and behaviourally plausible risk. Dopamine antagonists can affect the ability to regulate temperature</w:t>
      </w:r>
      <w:r w:rsidR="0095382D">
        <w:fldChar w:fldCharType="begin" w:fldLock="1"/>
      </w:r>
      <w:r w:rsidR="00A24E5C">
        <w:instrText>ADDIN CSL_CITATION {"citationItems":[{"id":"ITEM-1","itemData":{"DOI":"10.1177/0269881104040250","ISSN":"02698811","abstract":"A case of heatstroke is reported in a 32-year-old man diagnosed with schizophrenia and on clozapine monotherapy. The importance of the need to avoid misdiagnosing heat stroke as neuroleptic malignant syndrome is reviewed.","author":[{"dropping-particle":"","family":"Kerwin","given":"R. W.","non-dropping-particle":"","parse-names":false,"suffix":""},{"dropping-particle":"","family":"Osborne","given":"Sarah","non-dropping-particle":"","parse-names":false,"suffix":""},{"dropping-particle":"","family":"Sainz-Fuertes","given":"Ricardo","non-dropping-particle":"","parse-names":false,"suffix":""}],"container-title":"Journal of Psychopharmacology","id":"ITEM-1","issued":{"date-parts":[["2004"]]},"title":"Heat stroke in schizophrenia during clozapine treatment: Rapid recognition and management","type":"article"},"uris":["http://www.mendeley.com/documents/?uuid=9d342934-3c7b-4aec-99f7-88b30b31090a"]}],"mendeley":{"formattedCitation":"(Kerwin et al., 2004)","plainTextFormattedCitation":"(Kerwin et al., 2004)","previouslyFormattedCitation":"(Kerwin et al., 2004)"},"properties":{"noteIndex":0},"schema":"https://github.com/citation-style-language/schema/raw/master/csl-citation.json"}</w:instrText>
      </w:r>
      <w:r w:rsidR="0095382D">
        <w:fldChar w:fldCharType="separate"/>
      </w:r>
      <w:bookmarkStart w:id="32" w:name="__Fieldmark__728_3862467544"/>
      <w:bookmarkStart w:id="33" w:name="__Fieldmark__600_2113833669"/>
      <w:bookmarkStart w:id="34" w:name="__Fieldmark__580_2119414058"/>
      <w:bookmarkStart w:id="35" w:name="__Fieldmark__609_240126034"/>
      <w:r w:rsidR="006C099B" w:rsidRPr="006C099B">
        <w:rPr>
          <w:rFonts w:ascii="Arial" w:hAnsi="Arial" w:cs="Arial"/>
          <w:noProof/>
          <w:sz w:val="22"/>
          <w:szCs w:val="22"/>
        </w:rPr>
        <w:t>(Kerwin et al., 2004)</w:t>
      </w:r>
      <w:r w:rsidR="0095382D">
        <w:fldChar w:fldCharType="end"/>
      </w:r>
      <w:bookmarkEnd w:id="32"/>
      <w:bookmarkEnd w:id="33"/>
      <w:bookmarkEnd w:id="34"/>
      <w:bookmarkEnd w:id="35"/>
      <w:r w:rsidR="0095382D">
        <w:rPr>
          <w:rFonts w:ascii="Arial" w:hAnsi="Arial" w:cs="Arial"/>
          <w:sz w:val="22"/>
          <w:szCs w:val="22"/>
        </w:rPr>
        <w:t xml:space="preserve">. </w:t>
      </w:r>
      <w:r w:rsidR="0095382D">
        <w:rPr>
          <w:rFonts w:ascii="Arial" w:hAnsi="Arial" w:cs="Arial"/>
          <w:color w:val="000000" w:themeColor="text1"/>
          <w:sz w:val="22"/>
          <w:szCs w:val="22"/>
          <w:shd w:val="clear" w:color="auto" w:fill="FFFFFF"/>
        </w:rPr>
        <w:t>Although the role of the heat wave in our results remains speculative, the relevance, biological plausibility and potential recurrence suggests that clinicians should be vigilant when temperature rises.</w:t>
      </w:r>
      <w:r w:rsidR="0095382D">
        <w:rPr>
          <w:rFonts w:ascii="Arial" w:hAnsi="Arial" w:cs="Arial"/>
          <w:sz w:val="22"/>
          <w:szCs w:val="22"/>
        </w:rPr>
        <w:t xml:space="preserve"> I</w:t>
      </w:r>
      <w:r w:rsidR="0095382D">
        <w:rPr>
          <w:rFonts w:ascii="Arial" w:hAnsi="Arial" w:cs="Arial"/>
          <w:color w:val="000000" w:themeColor="text1"/>
          <w:sz w:val="22"/>
          <w:szCs w:val="22"/>
          <w:shd w:val="clear" w:color="auto" w:fill="FFFFFF"/>
        </w:rPr>
        <w:t>ncreasing general knowledge, by service users</w:t>
      </w:r>
      <w:r w:rsidR="00EC7ADE">
        <w:rPr>
          <w:rFonts w:ascii="Arial" w:hAnsi="Arial" w:cs="Arial"/>
          <w:color w:val="000000" w:themeColor="text1"/>
          <w:sz w:val="22"/>
          <w:szCs w:val="22"/>
          <w:shd w:val="clear" w:color="auto" w:fill="FFFFFF"/>
        </w:rPr>
        <w:t>, c</w:t>
      </w:r>
      <w:r w:rsidR="0095382D">
        <w:rPr>
          <w:rFonts w:ascii="Arial" w:hAnsi="Arial" w:cs="Arial"/>
          <w:color w:val="000000" w:themeColor="text1"/>
          <w:sz w:val="22"/>
          <w:szCs w:val="22"/>
          <w:shd w:val="clear" w:color="auto" w:fill="FFFFFF"/>
        </w:rPr>
        <w:t>linicians</w:t>
      </w:r>
      <w:r w:rsidR="00EC7ADE">
        <w:rPr>
          <w:rFonts w:ascii="Arial" w:hAnsi="Arial" w:cs="Arial"/>
          <w:color w:val="000000" w:themeColor="text1"/>
          <w:sz w:val="22"/>
          <w:szCs w:val="22"/>
          <w:shd w:val="clear" w:color="auto" w:fill="FFFFFF"/>
        </w:rPr>
        <w:t xml:space="preserve"> and carers</w:t>
      </w:r>
      <w:r w:rsidR="0095382D">
        <w:rPr>
          <w:rFonts w:ascii="Arial" w:hAnsi="Arial" w:cs="Arial"/>
          <w:color w:val="000000" w:themeColor="text1"/>
          <w:sz w:val="22"/>
          <w:szCs w:val="22"/>
          <w:shd w:val="clear" w:color="auto" w:fill="FFFFFF"/>
        </w:rPr>
        <w:t>, of clozapine’s side effects and signs of dehydration and its management might help to decrease mortality</w:t>
      </w:r>
      <w:r>
        <w:rPr>
          <w:rFonts w:ascii="Arial" w:hAnsi="Arial" w:cs="Arial"/>
          <w:color w:val="000000" w:themeColor="text1"/>
          <w:sz w:val="22"/>
          <w:szCs w:val="22"/>
          <w:shd w:val="clear" w:color="auto" w:fill="FFFFFF"/>
        </w:rPr>
        <w:t xml:space="preserve"> albeit </w:t>
      </w:r>
      <w:r w:rsidR="0095382D">
        <w:rPr>
          <w:rFonts w:ascii="Arial" w:hAnsi="Arial" w:cs="Arial"/>
          <w:sz w:val="22"/>
          <w:szCs w:val="22"/>
        </w:rPr>
        <w:t>further research would be required.</w:t>
      </w:r>
    </w:p>
    <w:p w14:paraId="7367E06A" w14:textId="77777777" w:rsidR="00DE02C8" w:rsidRDefault="00DE02C8" w:rsidP="00871157">
      <w:pPr>
        <w:contextualSpacing/>
        <w:jc w:val="both"/>
        <w:rPr>
          <w:rFonts w:ascii="Arial" w:hAnsi="Arial" w:cs="Arial"/>
          <w:color w:val="000000" w:themeColor="text1"/>
          <w:sz w:val="22"/>
          <w:szCs w:val="22"/>
          <w:shd w:val="clear" w:color="auto" w:fill="FFFFFF"/>
        </w:rPr>
      </w:pPr>
    </w:p>
    <w:p w14:paraId="73193046" w14:textId="7CA0BF48" w:rsidR="00DE02C8" w:rsidRPr="00D56F88" w:rsidRDefault="00DE02C8" w:rsidP="00871157">
      <w:pPr>
        <w:pStyle w:val="ListParagraph"/>
        <w:numPr>
          <w:ilvl w:val="1"/>
          <w:numId w:val="4"/>
        </w:numPr>
        <w:jc w:val="both"/>
        <w:rPr>
          <w:rFonts w:ascii="Arial" w:hAnsi="Arial" w:cs="Arial"/>
          <w:color w:val="000000" w:themeColor="text1"/>
          <w:sz w:val="22"/>
          <w:szCs w:val="22"/>
          <w:u w:val="single"/>
          <w:shd w:val="clear" w:color="auto" w:fill="FFFFFF"/>
        </w:rPr>
      </w:pPr>
      <w:r w:rsidRPr="00D56F88">
        <w:rPr>
          <w:rFonts w:ascii="Arial" w:hAnsi="Arial" w:cs="Arial"/>
          <w:color w:val="000000" w:themeColor="text1"/>
          <w:sz w:val="22"/>
          <w:szCs w:val="22"/>
          <w:u w:val="single"/>
          <w:shd w:val="clear" w:color="auto" w:fill="FFFFFF"/>
        </w:rPr>
        <w:t xml:space="preserve">Limitations </w:t>
      </w:r>
    </w:p>
    <w:p w14:paraId="76E9DA44" w14:textId="2327C0FB" w:rsidR="00FE5D8E" w:rsidRDefault="00CC1D14" w:rsidP="00871157">
      <w:pPr>
        <w:contextualSpacing/>
        <w:jc w:val="both"/>
        <w:rPr>
          <w:rFonts w:ascii="Arial" w:hAnsi="Arial" w:cs="Arial"/>
          <w:color w:val="000000" w:themeColor="text1"/>
          <w:sz w:val="22"/>
          <w:szCs w:val="22"/>
          <w:shd w:val="clear" w:color="auto" w:fill="FFFFFF"/>
        </w:rPr>
      </w:pPr>
      <w:r>
        <w:rPr>
          <w:rFonts w:ascii="Arial" w:hAnsi="Arial" w:cs="Arial"/>
          <w:color w:val="000000" w:themeColor="text1"/>
          <w:sz w:val="22"/>
          <w:szCs w:val="22"/>
          <w:shd w:val="clear" w:color="auto" w:fill="FFFFFF"/>
        </w:rPr>
        <w:t>T</w:t>
      </w:r>
      <w:r w:rsidR="0095382D">
        <w:rPr>
          <w:rFonts w:ascii="Arial" w:hAnsi="Arial" w:cs="Arial"/>
          <w:color w:val="000000" w:themeColor="text1"/>
          <w:sz w:val="22"/>
          <w:szCs w:val="22"/>
          <w:shd w:val="clear" w:color="auto" w:fill="FFFFFF"/>
        </w:rPr>
        <w:t>he principal</w:t>
      </w:r>
      <w:r>
        <w:rPr>
          <w:rFonts w:ascii="Arial" w:hAnsi="Arial" w:cs="Arial"/>
          <w:color w:val="000000" w:themeColor="text1"/>
          <w:sz w:val="22"/>
          <w:szCs w:val="22"/>
          <w:shd w:val="clear" w:color="auto" w:fill="FFFFFF"/>
        </w:rPr>
        <w:t xml:space="preserve"> limitation </w:t>
      </w:r>
      <w:r w:rsidR="0095382D">
        <w:rPr>
          <w:rFonts w:ascii="Arial" w:hAnsi="Arial" w:cs="Arial"/>
          <w:color w:val="000000" w:themeColor="text1"/>
          <w:sz w:val="22"/>
          <w:szCs w:val="22"/>
          <w:shd w:val="clear" w:color="auto" w:fill="FFFFFF"/>
        </w:rPr>
        <w:t xml:space="preserve">is a sample size; </w:t>
      </w:r>
      <w:proofErr w:type="gramStart"/>
      <w:r w:rsidR="0095382D">
        <w:rPr>
          <w:rFonts w:ascii="Arial" w:hAnsi="Arial" w:cs="Arial"/>
          <w:color w:val="000000" w:themeColor="text1"/>
          <w:sz w:val="22"/>
          <w:szCs w:val="22"/>
          <w:shd w:val="clear" w:color="auto" w:fill="FFFFFF"/>
        </w:rPr>
        <w:t>thus</w:t>
      </w:r>
      <w:proofErr w:type="gramEnd"/>
      <w:r w:rsidR="0095382D">
        <w:rPr>
          <w:rFonts w:ascii="Arial" w:hAnsi="Arial" w:cs="Arial"/>
          <w:color w:val="000000" w:themeColor="text1"/>
          <w:sz w:val="22"/>
          <w:szCs w:val="22"/>
          <w:shd w:val="clear" w:color="auto" w:fill="FFFFFF"/>
        </w:rPr>
        <w:t xml:space="preserve"> replication in a larger population is warranted. The link between a spike in unexpected deaths and a heat wave remains speculative, though cautionary. </w:t>
      </w:r>
      <w:r w:rsidR="006C5478">
        <w:rPr>
          <w:rFonts w:ascii="Arial" w:hAnsi="Arial" w:cs="Arial"/>
          <w:color w:val="000000" w:themeColor="text1"/>
          <w:sz w:val="22"/>
          <w:szCs w:val="22"/>
          <w:shd w:val="clear" w:color="auto" w:fill="FFFFFF"/>
        </w:rPr>
        <w:t xml:space="preserve">Unexpected death group might have been treated with a higher dose due to more severe symptoms of psychosis, but this could not be explored in this work. </w:t>
      </w:r>
      <w:r w:rsidR="0095382D">
        <w:rPr>
          <w:rFonts w:ascii="Arial" w:hAnsi="Arial" w:cs="Arial"/>
          <w:color w:val="000000" w:themeColor="text1"/>
          <w:sz w:val="22"/>
          <w:szCs w:val="22"/>
          <w:shd w:val="clear" w:color="auto" w:fill="FFFFFF"/>
        </w:rPr>
        <w:t>The sparse cases limited our</w:t>
      </w:r>
      <w:r w:rsidR="0094185F">
        <w:rPr>
          <w:rFonts w:ascii="Arial" w:hAnsi="Arial" w:cs="Arial"/>
          <w:color w:val="000000" w:themeColor="text1"/>
          <w:sz w:val="22"/>
          <w:szCs w:val="22"/>
          <w:shd w:val="clear" w:color="auto" w:fill="FFFFFF"/>
        </w:rPr>
        <w:t xml:space="preserve"> ability to explore the relationship between </w:t>
      </w:r>
      <w:r w:rsidR="0095382D">
        <w:rPr>
          <w:rFonts w:ascii="Arial" w:hAnsi="Arial" w:cs="Arial"/>
          <w:color w:val="000000" w:themeColor="text1"/>
          <w:sz w:val="22"/>
          <w:szCs w:val="22"/>
          <w:shd w:val="clear" w:color="auto" w:fill="FFFFFF"/>
        </w:rPr>
        <w:t>ambient temperature and death using more suitable models, such as a time-stratified case-crossover study design</w:t>
      </w:r>
      <w:r w:rsidR="00D44218">
        <w:rPr>
          <w:rFonts w:ascii="Arial" w:hAnsi="Arial" w:cs="Arial"/>
          <w:color w:val="000000" w:themeColor="text1"/>
          <w:sz w:val="22"/>
          <w:szCs w:val="22"/>
          <w:shd w:val="clear" w:color="auto" w:fill="FFFFFF"/>
        </w:rPr>
        <w:t xml:space="preserve"> </w:t>
      </w:r>
      <w:r w:rsidR="00B177B9">
        <w:rPr>
          <w:rFonts w:ascii="Arial" w:hAnsi="Arial" w:cs="Arial"/>
          <w:color w:val="000000" w:themeColor="text1"/>
          <w:sz w:val="22"/>
          <w:szCs w:val="22"/>
          <w:shd w:val="clear" w:color="auto" w:fill="FFFFFF"/>
        </w:rPr>
        <w:fldChar w:fldCharType="begin" w:fldLock="1"/>
      </w:r>
      <w:r w:rsidR="00A24E5C">
        <w:rPr>
          <w:rFonts w:ascii="Arial" w:hAnsi="Arial" w:cs="Arial"/>
          <w:color w:val="000000" w:themeColor="text1"/>
          <w:sz w:val="22"/>
          <w:szCs w:val="22"/>
          <w:shd w:val="clear" w:color="auto" w:fill="FFFFFF"/>
        </w:rPr>
        <w:instrText>ADDIN CSL_CITATION {"citationItems":[{"id":"ITEM-1","itemData":{"DOI":"10.1097/01.ede.0000181315.18836.9d","ISSN":"10443983","abstract":"The case-crossover design has been widely used to study the association between short-term air pollution exposure and the risk of an acute adverse health event. The design uses cases only; for each individual case, exposure just before the event is compared with exposure at other control (or \"referent\") times. Time-invariant confounders are controlled by making within-subject comparisons. Even more important in the air pollution setting is that time-varying confounders can also be controlled by design by matching referents to the index time. The referent selection strategy is important for reasons in addition to control of confounding. The case-crossover design makes the implicit assumption that there is no trend in exposure across the referent times. In addition, the statistical method that is used-conditional logistic regression-is unbiased only with certain referent strategies. We review here the case-crossover literature in the air pollution context, focusing on key issues regarding referent selection. We conclude with a set of recommendations for choosing a referent strategy with air pollution exposure data. Specifically, we advocate the time-stratified approach to referent selection because it ensures unbiased conditional logistic regression estimates, avoids bias resulting from time trend in the exposure series, and can be tailored to match on specific time-varying confounders. Copyright © 2005 by Lippincott Williams &amp; Wilkins.","author":[{"dropping-particle":"","family":"Janes","given":"Holly","non-dropping-particle":"","parse-names":false,"suffix":""},{"dropping-particle":"","family":"Sheppard","given":"Lianne","non-dropping-particle":"","parse-names":false,"suffix":""},{"dropping-particle":"","family":"Lumley","given":"Thomas","non-dropping-particle":"","parse-names":false,"suffix":""}],"container-title":"Epidemiology","id":"ITEM-1","issued":{"date-parts":[["2005"]]},"title":"Case-crossover analyses of air pollution exposure data: Referent selection strategies and their implications for bias","type":"article"},"uris":["http://www.mendeley.com/documents/?uuid=9b4ead9c-d7f3-4cde-8efb-562b6245c2e4"]},{"id":"ITEM-2","itemData":{"DOI":"10.1186/s12874-016-0197-0","ISSN":"14712288","abstract":"Background: The case-crossover design is an attractive alternative to the classical case-control design which can be used to study the onset of acute events if the risk factors of interest vary in time. By comparing exposures within cases at different time periods, the case-crossover design does not rely on control subjects which can be difficult to acquire. However, using the standard method of maximum likelihood, resulting risk estimates can be heavily biased when the prevalence to risk factors is very low (or very high). Methods: To overcome the problem of low risk factor prevalences, penalized conditional logistic regression via the lasso (least absolute shrinkage and selection operator) has been proposed in the literature as well as related methods such as the Firth correction. We apply and compare several penalized regression approaches in the context of a case-crossover analysis of the European Study of Severe Cutaneous Adverse Reactions (EuroSCAR; 1997-2001). Results: Out of 30 drugs, standard methods only correctly classified 17 drugs (including some highly implausible risk estimates), while penalized methods correctly classified 22 drugs. Conclusion: Penalized methods generally yield better risk classifications and much more plausible risk estimates for the EuroSCAR study than standard methods. As these novel techniques can be easily implemented using available R packages, we encourage routine use of penalized conditional logistic regression for case-crossover data.","author":[{"dropping-particle":"","family":"Doerken","given":"Sam","non-dropping-particle":"","parse-names":false,"suffix":""},{"dropping-particle":"","family":"Mockenhaupt","given":"Maja","non-dropping-particle":"","parse-names":false,"suffix":""},{"dropping-particle":"","family":"Naldi","given":"Luigi","non-dropping-particle":"","parse-names":false,"suffix":""},{"dropping-particle":"","family":"Schumacher","given":"Martin","non-dropping-particle":"","parse-names":false,"suffix":""},{"dropping-particle":"","family":"Sekula","given":"Peggy","non-dropping-particle":"","parse-names":false,"suffix":""}],"container-title":"BMC Medical Research Methodology","id":"ITEM-2","issued":{"date-parts":[["2016"]]},"title":"The case-crossover design via penalized regression","type":"article-journal"},"uris":["http://www.mendeley.com/documents/?uuid=6ca35906-2901-4635-a948-574e1ab3cb4d"]}],"mendeley":{"formattedCitation":"(Doerken et al., 2016; Janes et al., 2005)","plainTextFormattedCitation":"(Doerken et al., 2016; Janes et al., 2005)","previouslyFormattedCitation":"(Doerken et al., 2016; Janes et al., 2005)"},"properties":{"noteIndex":0},"schema":"https://github.com/citation-style-language/schema/raw/master/csl-citation.json"}</w:instrText>
      </w:r>
      <w:r w:rsidR="00B177B9">
        <w:rPr>
          <w:rFonts w:ascii="Arial" w:hAnsi="Arial" w:cs="Arial"/>
          <w:color w:val="000000" w:themeColor="text1"/>
          <w:sz w:val="22"/>
          <w:szCs w:val="22"/>
          <w:shd w:val="clear" w:color="auto" w:fill="FFFFFF"/>
        </w:rPr>
        <w:fldChar w:fldCharType="separate"/>
      </w:r>
      <w:r w:rsidR="006C099B" w:rsidRPr="006C099B">
        <w:rPr>
          <w:rFonts w:ascii="Arial" w:hAnsi="Arial" w:cs="Arial"/>
          <w:noProof/>
          <w:color w:val="000000" w:themeColor="text1"/>
          <w:sz w:val="22"/>
          <w:szCs w:val="22"/>
          <w:shd w:val="clear" w:color="auto" w:fill="FFFFFF"/>
        </w:rPr>
        <w:t>(Doerken et al., 2016; Janes et al., 2005)</w:t>
      </w:r>
      <w:r w:rsidR="00B177B9">
        <w:rPr>
          <w:rFonts w:ascii="Arial" w:hAnsi="Arial" w:cs="Arial"/>
          <w:color w:val="000000" w:themeColor="text1"/>
          <w:sz w:val="22"/>
          <w:szCs w:val="22"/>
          <w:shd w:val="clear" w:color="auto" w:fill="FFFFFF"/>
        </w:rPr>
        <w:fldChar w:fldCharType="end"/>
      </w:r>
      <w:r w:rsidR="0095382D">
        <w:rPr>
          <w:rFonts w:ascii="Arial" w:hAnsi="Arial" w:cs="Arial"/>
          <w:color w:val="000000" w:themeColor="text1"/>
          <w:sz w:val="22"/>
          <w:szCs w:val="22"/>
          <w:shd w:val="clear" w:color="auto" w:fill="FFFFFF"/>
        </w:rPr>
        <w:t xml:space="preserve"> or a distributed lag non-linear model</w:t>
      </w:r>
      <w:r w:rsidR="00D44218">
        <w:rPr>
          <w:rFonts w:ascii="Arial" w:hAnsi="Arial" w:cs="Arial"/>
          <w:color w:val="000000" w:themeColor="text1"/>
          <w:sz w:val="22"/>
          <w:szCs w:val="22"/>
          <w:shd w:val="clear" w:color="auto" w:fill="FFFFFF"/>
        </w:rPr>
        <w:t xml:space="preserve"> </w:t>
      </w:r>
      <w:r w:rsidR="00B177B9">
        <w:rPr>
          <w:rFonts w:ascii="Arial" w:hAnsi="Arial" w:cs="Arial"/>
          <w:color w:val="000000" w:themeColor="text1"/>
          <w:sz w:val="22"/>
          <w:szCs w:val="22"/>
          <w:shd w:val="clear" w:color="auto" w:fill="FFFFFF"/>
        </w:rPr>
        <w:fldChar w:fldCharType="begin" w:fldLock="1"/>
      </w:r>
      <w:r w:rsidR="00A24E5C">
        <w:rPr>
          <w:rFonts w:ascii="Arial" w:hAnsi="Arial" w:cs="Arial"/>
          <w:color w:val="000000" w:themeColor="text1"/>
          <w:sz w:val="22"/>
          <w:szCs w:val="22"/>
          <w:shd w:val="clear" w:color="auto" w:fill="FFFFFF"/>
        </w:rPr>
        <w:instrText>ADDIN CSL_CITATION {"citationItems":[{"id":"ITEM-1","itemData":{"DOI":"10.18637/jss.v043.i08","ISSN":"15487660","PMID":"22003319","abstract":"Distributed lag non-linear models (DLNMs) represent a modeling framework to flexibly describe associations showing potentially non-linear and delayed effects in time series data. This methodology rests on the definition of a crossbasis, a bi-dimensional functional space expressed by the combination of two sets of basis functions, which specify the relationships in the dimensions of predictor and lags, respectively. This framework is implemented in the R package dlnm, which provides functions to perform the broad range of models within the DLNM family and then to help interpret the results, with an emphasis on graphical representation. This paper o ers an overview of the capabilities of the package, describing the conceptual and practical steps to specify and interpret DLNMs with an example of application to real data.","author":[{"dropping-particle":"","family":"Gasparrini","given":"Antonio","non-dropping-particle":"","parse-names":false,"suffix":""}],"container-title":"Journal of Statistical Software","id":"ITEM-1","issued":{"date-parts":[["2011"]]},"title":"Distributed lag linear and non-linear models in R: The package dlnm","type":"article-journal"},"uris":["http://www.mendeley.com/documents/?uuid=fd39d1b8-018f-4b7b-8d41-59f686d10643"]}],"mendeley":{"formattedCitation":"(Gasparrini, 2011)","plainTextFormattedCitation":"(Gasparrini, 2011)","previouslyFormattedCitation":"(Gasparrini, 2011)"},"properties":{"noteIndex":0},"schema":"https://github.com/citation-style-language/schema/raw/master/csl-citation.json"}</w:instrText>
      </w:r>
      <w:r w:rsidR="00B177B9">
        <w:rPr>
          <w:rFonts w:ascii="Arial" w:hAnsi="Arial" w:cs="Arial"/>
          <w:color w:val="000000" w:themeColor="text1"/>
          <w:sz w:val="22"/>
          <w:szCs w:val="22"/>
          <w:shd w:val="clear" w:color="auto" w:fill="FFFFFF"/>
        </w:rPr>
        <w:fldChar w:fldCharType="separate"/>
      </w:r>
      <w:r w:rsidR="006C099B" w:rsidRPr="006C099B">
        <w:rPr>
          <w:rFonts w:ascii="Arial" w:hAnsi="Arial" w:cs="Arial"/>
          <w:noProof/>
          <w:color w:val="000000" w:themeColor="text1"/>
          <w:sz w:val="22"/>
          <w:szCs w:val="22"/>
          <w:shd w:val="clear" w:color="auto" w:fill="FFFFFF"/>
        </w:rPr>
        <w:t>(Gasparrini, 2011)</w:t>
      </w:r>
      <w:r w:rsidR="00B177B9">
        <w:rPr>
          <w:rFonts w:ascii="Arial" w:hAnsi="Arial" w:cs="Arial"/>
          <w:color w:val="000000" w:themeColor="text1"/>
          <w:sz w:val="22"/>
          <w:szCs w:val="22"/>
          <w:shd w:val="clear" w:color="auto" w:fill="FFFFFF"/>
        </w:rPr>
        <w:fldChar w:fldCharType="end"/>
      </w:r>
      <w:r w:rsidR="00B177B9">
        <w:rPr>
          <w:rFonts w:ascii="Arial" w:hAnsi="Arial" w:cs="Arial"/>
          <w:color w:val="000000" w:themeColor="text1"/>
          <w:sz w:val="22"/>
          <w:szCs w:val="22"/>
          <w:shd w:val="clear" w:color="auto" w:fill="FFFFFF"/>
        </w:rPr>
        <w:t>.</w:t>
      </w:r>
      <w:r w:rsidR="0095382D">
        <w:rPr>
          <w:rFonts w:ascii="Arial" w:hAnsi="Arial" w:cs="Arial"/>
          <w:color w:val="000000" w:themeColor="text1"/>
          <w:sz w:val="22"/>
          <w:szCs w:val="22"/>
          <w:shd w:val="clear" w:color="auto" w:fill="FFFFFF"/>
        </w:rPr>
        <w:t xml:space="preserve"> However, deaths on clozapine are infrequent events, and other studies in this area have similar numbers</w:t>
      </w:r>
      <w:r w:rsidR="00F03637">
        <w:rPr>
          <w:rFonts w:ascii="Arial" w:hAnsi="Arial" w:cs="Arial"/>
          <w:color w:val="000000" w:themeColor="text1"/>
          <w:sz w:val="22"/>
          <w:szCs w:val="22"/>
          <w:shd w:val="clear" w:color="auto" w:fill="FFFFFF"/>
        </w:rPr>
        <w:fldChar w:fldCharType="begin" w:fldLock="1"/>
      </w:r>
      <w:r w:rsidR="00A24E5C">
        <w:rPr>
          <w:rFonts w:ascii="Arial" w:hAnsi="Arial" w:cs="Arial"/>
          <w:color w:val="000000" w:themeColor="text1"/>
          <w:sz w:val="22"/>
          <w:szCs w:val="22"/>
          <w:shd w:val="clear" w:color="auto" w:fill="FFFFFF"/>
        </w:rPr>
        <w:instrText>ADDIN CSL_CITATION {"citationItems":[{"id":"ITEM-1","itemData":{"DOI":"10.1111/acps.12989","ISSN":"16000447","abstract":"OBJECTIVE Large-scale epidemiological studies have demonstrated a protective effect of clozapine on mortality in people with schizophrenia. Clozapine is reserved for use in patients with treatment-resistant schizophrenia (TRS), but evidence of clozapine's effect on mortality exclusively within TRS samples is inconclusive. Hence, we aimed to investigate the effect of clozapine use on all-cause mortality in TRS patients. METHODS A historical patient cohort sample of 2837 patients, who met criteria for TRS between 1 Jan 2008 and 1 Jan 2016, were selected from the South London and Maudsley NHS Foundation Trust (SLAM) electronic health records (EHR). The national Zaponex Treatment Access System (ZTAS) mandatory monitoring system linked to the SLAM EHR was used to distinguish which patients were initiated on clozapine (n = 1025). Cox proportional hazard models were used, adjusting for sociodemographics, clinical monitoring, mental and physical illness severity and functional status. RESULTS After controlling for potential confounders, the protective effect of clozapine on all-cause mortality was significant (adjusted hazard ratio 0.61; 95% confidence interval 0.38-0.97; P = 0.04). CONCLUSIONS Clozapine reduces the risk of mortality in patients who meet criteria for TRS. We provide further evidence that improving access to clozapine in TRS is likely to reduce the mortality gap in schizophrenia.","author":[{"dropping-particle":"","family":"Cho","given":"J.","non-dropping-particle":"","parse-names":false,"suffix":""},{"dropping-particle":"","family":"Hayes","given":"R. D.","non-dropping-particle":"","parse-names":false,"suffix":""},{"dropping-particle":"","family":"Jewell","given":"A.","non-dropping-particle":"","parse-names":false,"suffix":""},{"dropping-particle":"","family":"Kadra","given":"G.","non-dropping-particle":"","parse-names":false,"suffix":""},{"dropping-particle":"","family":"Shetty","given":"H.","non-dropping-particle":"","parse-names":false,"suffix":""},{"dropping-particle":"","family":"MacCabe","given":"J. H.","non-dropping-particle":"","parse-names":false,"suffix":""},{"dropping-particle":"","family":"Downs","given":"J.","non-dropping-particle":"","parse-names":false,"suffix":""}],"container-title":"Acta Psychiatrica Scandinavica","id":"ITEM-1","issued":{"date-parts":[["2018"]]},"title":"Clozapine and all-cause mortality in treatment-resistant schizophrenia: a historical cohort study","type":"article-newspaper"},"uris":["http://www.mendeley.com/documents/?uuid=a75307f2-3d12-4bf8-b4b7-1d044cdf9a0c"]}],"mendeley":{"formattedCitation":"(Cho et al., 2018a)","plainTextFormattedCitation":"(Cho et al., 2018a)","previouslyFormattedCitation":"(Cho et al., 2018a)"},"properties":{"noteIndex":0},"schema":"https://github.com/citation-style-language/schema/raw/master/csl-citation.json"}</w:instrText>
      </w:r>
      <w:r w:rsidR="00F03637">
        <w:rPr>
          <w:rFonts w:ascii="Arial" w:hAnsi="Arial" w:cs="Arial"/>
          <w:color w:val="000000" w:themeColor="text1"/>
          <w:sz w:val="22"/>
          <w:szCs w:val="22"/>
          <w:shd w:val="clear" w:color="auto" w:fill="FFFFFF"/>
        </w:rPr>
        <w:fldChar w:fldCharType="separate"/>
      </w:r>
      <w:r w:rsidR="006C099B" w:rsidRPr="006C099B">
        <w:rPr>
          <w:rFonts w:ascii="Arial" w:hAnsi="Arial" w:cs="Arial"/>
          <w:noProof/>
          <w:color w:val="000000" w:themeColor="text1"/>
          <w:sz w:val="22"/>
          <w:szCs w:val="22"/>
          <w:shd w:val="clear" w:color="auto" w:fill="FFFFFF"/>
        </w:rPr>
        <w:t>(Cho et al., 2018a)</w:t>
      </w:r>
      <w:r w:rsidR="00F03637">
        <w:rPr>
          <w:rFonts w:ascii="Arial" w:hAnsi="Arial" w:cs="Arial"/>
          <w:color w:val="000000" w:themeColor="text1"/>
          <w:sz w:val="22"/>
          <w:szCs w:val="22"/>
          <w:shd w:val="clear" w:color="auto" w:fill="FFFFFF"/>
        </w:rPr>
        <w:fldChar w:fldCharType="end"/>
      </w:r>
      <w:r w:rsidR="0095382D">
        <w:rPr>
          <w:rFonts w:ascii="Arial" w:hAnsi="Arial" w:cs="Arial"/>
          <w:color w:val="000000" w:themeColor="text1"/>
          <w:sz w:val="22"/>
          <w:szCs w:val="22"/>
          <w:shd w:val="clear" w:color="auto" w:fill="FFFFFF"/>
        </w:rPr>
        <w:t xml:space="preserve"> or fewer deaths</w:t>
      </w:r>
      <w:r w:rsidR="00F03637">
        <w:rPr>
          <w:rFonts w:ascii="Arial" w:hAnsi="Arial" w:cs="Arial"/>
          <w:color w:val="000000" w:themeColor="text1"/>
          <w:sz w:val="22"/>
          <w:szCs w:val="22"/>
          <w:shd w:val="clear" w:color="auto" w:fill="FFFFFF"/>
        </w:rPr>
        <w:fldChar w:fldCharType="begin" w:fldLock="1"/>
      </w:r>
      <w:r w:rsidR="00A24E5C">
        <w:rPr>
          <w:rFonts w:ascii="Arial" w:hAnsi="Arial" w:cs="Arial"/>
          <w:color w:val="000000" w:themeColor="text1"/>
          <w:sz w:val="22"/>
          <w:szCs w:val="22"/>
          <w:shd w:val="clear" w:color="auto" w:fill="FFFFFF"/>
        </w:rPr>
        <w:instrText>ADDIN CSL_CITATION {"citationItems":[{"id":"ITEM-1","itemData":{"DOI":"10.1093/schbul/sbu120","ISSN":"17451701","abstract":"Clozapine can cause severe adverse effects yet it is associated with reduced mortality risk. We test the hypothesis this association is due to increased clinical monitoring and investigate risk of premature mortality from natural causes. We identified 14 754 individuals (879 deaths) with serious mental illness (SMI) including schizophrenia, schizoaffective and bipolar disorders aged ≥ 15 years in a large specialist mental healthcare case register linked to national mortality tracing. In this cohort study we modeled the effect of clozapine on mortality over a 5-year period (2007-2011) using Cox regression. Individuals prescribed clozapine had more severe psychopathology and poorer functional status. Many of the exposures associated with clozapine use were themselves risk factors for increased mortality. However, we identified a strong association between being prescribed clozapine and lower mortality which persisted after controlling for a broad range of potential confounders including clinical monitoring and markers of disease severity (adjusted hazard ratio 0.4; 95% CI 0.2-0.7; p = .001). This association remained after restricting the sample to those with a diagnosis of schizophrenia or those taking antipsychotics and after using propensity scores to reduce the impact of confounding by indication. Among individuals with SMI, those prescribed clozapine had a reduced risk of mortality due to both natural and unnatural causes. We found no evidence to indicate that lower mortality associated with clozapine in SMI was due to increased clinical monitoring or confounding factors. This is the first study to report an association between clozapine and reduced risk of mortality from natural causes.","author":[{"dropping-particle":"","family":"Hayes","given":"Richard D.","non-dropping-particle":"","parse-names":false,"suffix":""},{"dropping-particle":"","family":"Downs","given":"Johnny","non-dropping-particle":"","parse-names":false,"suffix":""},{"dropping-particle":"","family":"Chang","given":"Chin Kuo","non-dropping-particle":"","parse-names":false,"suffix":""},{"dropping-particle":"","family":"Jackson","given":"Richard G.","non-dropping-particle":"","parse-names":false,"suffix":""},{"dropping-particle":"","family":"Shetty","given":"Hitesh","non-dropping-particle":"","parse-names":false,"suffix":""},{"dropping-particle":"","family":"Broadbent","given":"Matthew","non-dropping-particle":"","parse-names":false,"suffix":""},{"dropping-particle":"","family":"Hotopf","given":"Matthew","non-dropping-particle":"","parse-names":false,"suffix":""},{"dropping-particle":"","family":"Stewart","given":"Robert","non-dropping-particle":"","parse-names":false,"suffix":""}],"container-title":"Schizophrenia Bulletin","id":"ITEM-1","issue":"3","issued":{"date-parts":[["2015"]]},"page":"644-655","publisher":"Oxford University Press","title":"The effect of clozapine on premature mortality: An assessment of clinical monitoring and other potential confounders","type":"article-journal","volume":"41"},"uris":["http://www.mendeley.com/documents/?uuid=e8c1e2fe-1faa-3e24-b1b1-3a7ef57d1b5f"]}],"mendeley":{"formattedCitation":"(Hayes et al., 2015b)","plainTextFormattedCitation":"(Hayes et al., 2015b)","previouslyFormattedCitation":"(Hayes et al., 2015b)"},"properties":{"noteIndex":0},"schema":"https://github.com/citation-style-language/schema/raw/master/csl-citation.json"}</w:instrText>
      </w:r>
      <w:r w:rsidR="00F03637">
        <w:rPr>
          <w:rFonts w:ascii="Arial" w:hAnsi="Arial" w:cs="Arial"/>
          <w:color w:val="000000" w:themeColor="text1"/>
          <w:sz w:val="22"/>
          <w:szCs w:val="22"/>
          <w:shd w:val="clear" w:color="auto" w:fill="FFFFFF"/>
        </w:rPr>
        <w:fldChar w:fldCharType="separate"/>
      </w:r>
      <w:r w:rsidR="006C099B" w:rsidRPr="006C099B">
        <w:rPr>
          <w:rFonts w:ascii="Arial" w:hAnsi="Arial" w:cs="Arial"/>
          <w:noProof/>
          <w:color w:val="000000" w:themeColor="text1"/>
          <w:sz w:val="22"/>
          <w:szCs w:val="22"/>
          <w:shd w:val="clear" w:color="auto" w:fill="FFFFFF"/>
        </w:rPr>
        <w:t>(Hayes et al., 2015b)</w:t>
      </w:r>
      <w:r w:rsidR="00F03637">
        <w:rPr>
          <w:rFonts w:ascii="Arial" w:hAnsi="Arial" w:cs="Arial"/>
          <w:color w:val="000000" w:themeColor="text1"/>
          <w:sz w:val="22"/>
          <w:szCs w:val="22"/>
          <w:shd w:val="clear" w:color="auto" w:fill="FFFFFF"/>
        </w:rPr>
        <w:fldChar w:fldCharType="end"/>
      </w:r>
      <w:r w:rsidR="0095382D">
        <w:rPr>
          <w:rFonts w:ascii="Arial" w:hAnsi="Arial" w:cs="Arial"/>
          <w:color w:val="000000" w:themeColor="text1"/>
          <w:sz w:val="22"/>
          <w:szCs w:val="22"/>
          <w:shd w:val="clear" w:color="auto" w:fill="FFFFFF"/>
        </w:rPr>
        <w:t xml:space="preserve"> than our study. Another </w:t>
      </w:r>
      <w:r w:rsidR="0095382D">
        <w:rPr>
          <w:rFonts w:ascii="Arial" w:hAnsi="Arial" w:cs="Arial"/>
          <w:color w:val="000000" w:themeColor="text1"/>
          <w:sz w:val="22"/>
          <w:szCs w:val="22"/>
          <w:shd w:val="clear" w:color="auto" w:fill="FFFFFF"/>
        </w:rPr>
        <w:lastRenderedPageBreak/>
        <w:t>limitation is in the data available for mortality risk prediction; for this reason, we were unable to predict death by clozapine/</w:t>
      </w:r>
      <w:proofErr w:type="spellStart"/>
      <w:r w:rsidR="0095382D">
        <w:rPr>
          <w:rFonts w:ascii="Arial" w:hAnsi="Arial" w:cs="Arial"/>
          <w:color w:val="000000" w:themeColor="text1"/>
          <w:sz w:val="22"/>
          <w:szCs w:val="22"/>
          <w:shd w:val="clear" w:color="auto" w:fill="FFFFFF"/>
        </w:rPr>
        <w:t>norclozapine</w:t>
      </w:r>
      <w:proofErr w:type="spellEnd"/>
      <w:r w:rsidR="0095382D">
        <w:rPr>
          <w:rFonts w:ascii="Arial" w:hAnsi="Arial" w:cs="Arial"/>
          <w:color w:val="000000" w:themeColor="text1"/>
          <w:sz w:val="22"/>
          <w:szCs w:val="22"/>
          <w:shd w:val="clear" w:color="auto" w:fill="FFFFFF"/>
        </w:rPr>
        <w:t xml:space="preserve"> plasma levels, or by weight or other cardiovascular risk factors, since data was only available on these variables for a subset of patients who had died more recently. Advantages of our study include the examination of a very well-defined catchment area and a monopoly provider of clozapine services, as well as an in-depth analysis of causes of death, </w:t>
      </w:r>
      <w:r w:rsidR="0095382D" w:rsidRPr="00660D01">
        <w:rPr>
          <w:rFonts w:ascii="Arial" w:hAnsi="Arial" w:cs="Arial"/>
          <w:color w:val="000000" w:themeColor="text1"/>
          <w:sz w:val="22"/>
          <w:szCs w:val="22"/>
          <w:shd w:val="clear" w:color="auto" w:fill="FFFFFF"/>
        </w:rPr>
        <w:t xml:space="preserve">which might be difficult using large-scale record linkage. </w:t>
      </w:r>
    </w:p>
    <w:p w14:paraId="4BC9FC3F" w14:textId="1EDED694" w:rsidR="00A24E5C" w:rsidRPr="00A24E5C" w:rsidRDefault="00A24E5C" w:rsidP="00871157">
      <w:pPr>
        <w:contextualSpacing/>
        <w:jc w:val="both"/>
        <w:rPr>
          <w:rFonts w:ascii="Arial" w:hAnsi="Arial" w:cs="Arial"/>
          <w:color w:val="000000" w:themeColor="text1"/>
          <w:sz w:val="22"/>
          <w:szCs w:val="22"/>
          <w:shd w:val="clear" w:color="auto" w:fill="FFFFFF"/>
        </w:rPr>
      </w:pPr>
    </w:p>
    <w:p w14:paraId="665CC94B" w14:textId="372C8BD2" w:rsidR="00A24E5C" w:rsidRPr="00CE7E01" w:rsidRDefault="00A24E5C" w:rsidP="00871157">
      <w:pPr>
        <w:pStyle w:val="ListParagraph"/>
        <w:numPr>
          <w:ilvl w:val="1"/>
          <w:numId w:val="4"/>
        </w:numPr>
        <w:jc w:val="both"/>
        <w:rPr>
          <w:rFonts w:ascii="Arial" w:hAnsi="Arial" w:cs="Arial"/>
          <w:sz w:val="22"/>
          <w:szCs w:val="22"/>
        </w:rPr>
      </w:pPr>
      <w:r w:rsidRPr="00CE7E01">
        <w:rPr>
          <w:rFonts w:ascii="Arial" w:hAnsi="Arial" w:cs="Arial"/>
          <w:sz w:val="22"/>
          <w:szCs w:val="22"/>
        </w:rPr>
        <w:t>Conclusions</w:t>
      </w:r>
    </w:p>
    <w:p w14:paraId="028754BF" w14:textId="58DA776C" w:rsidR="00A24E5C" w:rsidRPr="00CE7E01" w:rsidRDefault="00A24E5C" w:rsidP="00871157">
      <w:pPr>
        <w:contextualSpacing/>
        <w:jc w:val="both"/>
        <w:rPr>
          <w:rFonts w:ascii="Arial" w:hAnsi="Arial" w:cs="Arial"/>
          <w:sz w:val="22"/>
          <w:szCs w:val="22"/>
        </w:rPr>
      </w:pPr>
      <w:r>
        <w:rPr>
          <w:rFonts w:ascii="Arial" w:hAnsi="Arial" w:cs="Arial"/>
          <w:color w:val="000000" w:themeColor="text1"/>
          <w:sz w:val="22"/>
          <w:szCs w:val="22"/>
          <w:shd w:val="clear" w:color="auto" w:fill="FFFFFF"/>
        </w:rPr>
        <w:t>C</w:t>
      </w:r>
      <w:r w:rsidRPr="00CE7E01">
        <w:rPr>
          <w:rFonts w:ascii="Arial" w:hAnsi="Arial" w:cs="Arial"/>
          <w:color w:val="000000" w:themeColor="text1"/>
          <w:sz w:val="22"/>
          <w:szCs w:val="22"/>
          <w:shd w:val="clear" w:color="auto" w:fill="FFFFFF"/>
        </w:rPr>
        <w:t>lozapine-</w:t>
      </w:r>
      <w:r w:rsidR="00AB72F7">
        <w:rPr>
          <w:rFonts w:ascii="Arial" w:hAnsi="Arial" w:cs="Arial"/>
          <w:color w:val="000000" w:themeColor="text1"/>
          <w:sz w:val="22"/>
          <w:szCs w:val="22"/>
          <w:shd w:val="clear" w:color="auto" w:fill="FFFFFF"/>
        </w:rPr>
        <w:t xml:space="preserve">associated </w:t>
      </w:r>
      <w:r w:rsidRPr="00CE7E01">
        <w:rPr>
          <w:rFonts w:ascii="Arial" w:hAnsi="Arial" w:cs="Arial"/>
          <w:color w:val="000000" w:themeColor="text1"/>
          <w:sz w:val="22"/>
          <w:szCs w:val="22"/>
          <w:shd w:val="clear" w:color="auto" w:fill="FFFFFF"/>
        </w:rPr>
        <w:t xml:space="preserve">mortality in patients with chronic schizophrenia is low. When such patients died, the commonest category of cause of death was unexpected physical cause. High clozapine dose was a risk factor for unexpected death, and perhaps particularly so under circumstances that might increase blood levels such as heat waves. Clinicians should regularly monitor for potential side effects and educate about symptoms for early identification. Consideration should be given to regular monitoring of plasma levels of clozapine and its metabolites. </w:t>
      </w:r>
    </w:p>
    <w:p w14:paraId="42FCB9FA" w14:textId="77777777" w:rsidR="00A24E5C" w:rsidRPr="00660D01" w:rsidRDefault="00A24E5C" w:rsidP="00CE7E01">
      <w:pPr>
        <w:spacing w:line="360" w:lineRule="auto"/>
        <w:jc w:val="both"/>
      </w:pPr>
    </w:p>
    <w:p w14:paraId="7FB417C5" w14:textId="77777777" w:rsidR="00871157" w:rsidRPr="00FA460D" w:rsidRDefault="00871157" w:rsidP="00871157">
      <w:pPr>
        <w:spacing w:after="160"/>
        <w:contextualSpacing/>
        <w:jc w:val="both"/>
        <w:rPr>
          <w:rFonts w:ascii="Arial" w:hAnsi="Arial" w:cs="Arial"/>
          <w:b/>
          <w:sz w:val="22"/>
          <w:szCs w:val="22"/>
        </w:rPr>
      </w:pPr>
      <w:r w:rsidRPr="00FA460D">
        <w:rPr>
          <w:rFonts w:ascii="Arial" w:hAnsi="Arial" w:cs="Arial"/>
          <w:b/>
          <w:sz w:val="22"/>
          <w:szCs w:val="22"/>
        </w:rPr>
        <w:t>Acknowledgements</w:t>
      </w:r>
    </w:p>
    <w:p w14:paraId="3B00E1D1" w14:textId="77777777" w:rsidR="00871157" w:rsidRDefault="00871157" w:rsidP="00871157">
      <w:pPr>
        <w:jc w:val="both"/>
        <w:rPr>
          <w:rFonts w:ascii="Arial" w:hAnsi="Arial" w:cs="Arial"/>
          <w:sz w:val="22"/>
          <w:szCs w:val="22"/>
        </w:rPr>
      </w:pPr>
      <w:r>
        <w:rPr>
          <w:rFonts w:ascii="Arial" w:hAnsi="Arial" w:cs="Arial"/>
          <w:sz w:val="22"/>
          <w:szCs w:val="22"/>
        </w:rPr>
        <w:t>Thanks</w:t>
      </w:r>
      <w:r w:rsidRPr="00FA460D">
        <w:rPr>
          <w:rFonts w:ascii="Arial" w:hAnsi="Arial" w:cs="Arial"/>
          <w:sz w:val="22"/>
          <w:szCs w:val="22"/>
        </w:rPr>
        <w:t xml:space="preserve"> to the pharmacy department, clozapine clinic </w:t>
      </w:r>
      <w:r>
        <w:rPr>
          <w:rFonts w:ascii="Arial" w:hAnsi="Arial" w:cs="Arial"/>
          <w:sz w:val="22"/>
          <w:szCs w:val="22"/>
        </w:rPr>
        <w:t xml:space="preserve">staff </w:t>
      </w:r>
      <w:r w:rsidRPr="00FA460D">
        <w:rPr>
          <w:rFonts w:ascii="Arial" w:hAnsi="Arial" w:cs="Arial"/>
          <w:sz w:val="22"/>
          <w:szCs w:val="22"/>
        </w:rPr>
        <w:t xml:space="preserve">and special thanks to </w:t>
      </w:r>
      <w:proofErr w:type="spellStart"/>
      <w:r w:rsidRPr="00FA460D">
        <w:rPr>
          <w:rFonts w:ascii="Arial" w:hAnsi="Arial" w:cs="Arial"/>
          <w:sz w:val="22"/>
          <w:szCs w:val="22"/>
        </w:rPr>
        <w:t>Dr.</w:t>
      </w:r>
      <w:proofErr w:type="spellEnd"/>
      <w:r w:rsidRPr="00FA460D">
        <w:rPr>
          <w:rFonts w:ascii="Arial" w:hAnsi="Arial" w:cs="Arial"/>
          <w:sz w:val="22"/>
          <w:szCs w:val="22"/>
        </w:rPr>
        <w:t xml:space="preserve"> Anna </w:t>
      </w:r>
      <w:proofErr w:type="spellStart"/>
      <w:r w:rsidRPr="00FA460D">
        <w:rPr>
          <w:rFonts w:ascii="Arial" w:hAnsi="Arial" w:cs="Arial"/>
          <w:sz w:val="22"/>
          <w:szCs w:val="22"/>
        </w:rPr>
        <w:t>Yankova</w:t>
      </w:r>
      <w:proofErr w:type="spellEnd"/>
      <w:r w:rsidRPr="00FA460D">
        <w:rPr>
          <w:rFonts w:ascii="Arial" w:hAnsi="Arial" w:cs="Arial"/>
          <w:sz w:val="22"/>
          <w:szCs w:val="22"/>
        </w:rPr>
        <w:t xml:space="preserve"> for the comments to the final draft. </w:t>
      </w:r>
    </w:p>
    <w:p w14:paraId="04674756" w14:textId="276F361B" w:rsidR="00FE5D8E" w:rsidRDefault="00FE5D8E" w:rsidP="008B57B8">
      <w:pPr>
        <w:spacing w:line="360" w:lineRule="auto"/>
        <w:contextualSpacing/>
        <w:jc w:val="both"/>
        <w:rPr>
          <w:rFonts w:ascii="Arial" w:hAnsi="Arial" w:cs="Arial"/>
          <w:color w:val="000000" w:themeColor="text1"/>
          <w:sz w:val="22"/>
          <w:szCs w:val="22"/>
        </w:rPr>
      </w:pPr>
    </w:p>
    <w:p w14:paraId="2DE6719A" w14:textId="77777777" w:rsidR="00871157" w:rsidRPr="00FF45E8" w:rsidRDefault="00871157" w:rsidP="00871157">
      <w:pPr>
        <w:jc w:val="both"/>
        <w:rPr>
          <w:rFonts w:ascii="Arial" w:hAnsi="Arial" w:cs="Arial"/>
          <w:b/>
          <w:sz w:val="22"/>
          <w:szCs w:val="22"/>
        </w:rPr>
      </w:pPr>
      <w:r w:rsidRPr="00FF45E8">
        <w:rPr>
          <w:rFonts w:ascii="Arial" w:hAnsi="Arial" w:cs="Arial"/>
          <w:b/>
          <w:sz w:val="22"/>
          <w:szCs w:val="22"/>
        </w:rPr>
        <w:t>Author Contribution</w:t>
      </w:r>
    </w:p>
    <w:p w14:paraId="7CA0DC6F" w14:textId="77777777" w:rsidR="00871157" w:rsidRDefault="00871157" w:rsidP="00871157">
      <w:r>
        <w:rPr>
          <w:rFonts w:ascii="Arial" w:hAnsi="Arial" w:cs="Arial"/>
          <w:sz w:val="22"/>
          <w:szCs w:val="22"/>
        </w:rPr>
        <w:t xml:space="preserve">ER, CT, CJ and EFE designed the study and collected the data. ER, SC, RNC and EFE conducted the statistical analysis and wrote the first draft. All authors were involved in the interpretation of the results. All authors contributed and approved to the final manuscript.  </w:t>
      </w:r>
    </w:p>
    <w:p w14:paraId="6CE92522" w14:textId="77777777" w:rsidR="00FE5D8E" w:rsidRDefault="00FE5D8E">
      <w:pPr>
        <w:contextualSpacing/>
        <w:jc w:val="both"/>
        <w:rPr>
          <w:rFonts w:ascii="Arial" w:hAnsi="Arial" w:cs="Arial"/>
          <w:b/>
          <w:sz w:val="22"/>
          <w:szCs w:val="22"/>
        </w:rPr>
      </w:pPr>
    </w:p>
    <w:p w14:paraId="0140D9A0" w14:textId="77777777" w:rsidR="00871157" w:rsidRDefault="00871157" w:rsidP="00871157">
      <w:pPr>
        <w:spacing w:after="160"/>
        <w:contextualSpacing/>
        <w:jc w:val="both"/>
        <w:rPr>
          <w:rFonts w:ascii="Arial" w:hAnsi="Arial" w:cs="Arial"/>
          <w:b/>
          <w:sz w:val="22"/>
          <w:szCs w:val="22"/>
        </w:rPr>
      </w:pPr>
      <w:r>
        <w:rPr>
          <w:rFonts w:ascii="Arial" w:hAnsi="Arial" w:cs="Arial"/>
          <w:b/>
          <w:sz w:val="22"/>
          <w:szCs w:val="22"/>
        </w:rPr>
        <w:t>Declaration of interest</w:t>
      </w:r>
    </w:p>
    <w:p w14:paraId="2FE988BF" w14:textId="77777777" w:rsidR="00871157" w:rsidRPr="00FF45E8" w:rsidRDefault="00871157" w:rsidP="00871157">
      <w:pPr>
        <w:spacing w:after="160"/>
        <w:contextualSpacing/>
        <w:jc w:val="both"/>
        <w:rPr>
          <w:rFonts w:ascii="Arial" w:hAnsi="Arial" w:cs="Arial"/>
          <w:sz w:val="22"/>
          <w:szCs w:val="22"/>
        </w:rPr>
      </w:pPr>
      <w:r w:rsidRPr="00FF45E8">
        <w:rPr>
          <w:rFonts w:ascii="Arial" w:hAnsi="Arial" w:cs="Arial"/>
          <w:sz w:val="22"/>
          <w:szCs w:val="22"/>
        </w:rPr>
        <w:t xml:space="preserve">All authors declare no conflict of interest with this work </w:t>
      </w:r>
    </w:p>
    <w:p w14:paraId="303A6D99" w14:textId="77777777" w:rsidR="00871157" w:rsidRDefault="00871157">
      <w:pPr>
        <w:rPr>
          <w:rFonts w:ascii="Arial" w:hAnsi="Arial" w:cs="Arial"/>
          <w:b/>
          <w:sz w:val="22"/>
          <w:szCs w:val="22"/>
        </w:rPr>
      </w:pPr>
    </w:p>
    <w:p w14:paraId="4C8B4BBE" w14:textId="77777777" w:rsidR="00871157" w:rsidRPr="00FF45E8" w:rsidRDefault="00871157" w:rsidP="00871157">
      <w:pPr>
        <w:jc w:val="both"/>
        <w:rPr>
          <w:rFonts w:ascii="Arial" w:hAnsi="Arial" w:cs="Arial"/>
          <w:b/>
          <w:sz w:val="22"/>
          <w:szCs w:val="22"/>
        </w:rPr>
      </w:pPr>
      <w:r w:rsidRPr="00FF45E8">
        <w:rPr>
          <w:rFonts w:ascii="Arial" w:hAnsi="Arial" w:cs="Arial"/>
          <w:b/>
          <w:sz w:val="22"/>
          <w:szCs w:val="22"/>
        </w:rPr>
        <w:t>Funding</w:t>
      </w:r>
    </w:p>
    <w:p w14:paraId="16E5849A" w14:textId="77777777" w:rsidR="00871157" w:rsidRPr="00FF45E8" w:rsidRDefault="00871157" w:rsidP="00871157">
      <w:pPr>
        <w:jc w:val="both"/>
        <w:rPr>
          <w:rFonts w:ascii="Arial" w:hAnsi="Arial" w:cs="Arial"/>
        </w:rPr>
      </w:pPr>
      <w:r>
        <w:rPr>
          <w:rFonts w:ascii="Arial" w:hAnsi="Arial" w:cs="Arial"/>
          <w:sz w:val="22"/>
          <w:szCs w:val="22"/>
        </w:rPr>
        <w:t xml:space="preserve">This work is not directly funded by any organization. The work uses information for </w:t>
      </w:r>
      <w:proofErr w:type="gramStart"/>
      <w:r>
        <w:rPr>
          <w:rFonts w:ascii="Arial" w:hAnsi="Arial" w:cs="Arial"/>
          <w:sz w:val="22"/>
          <w:szCs w:val="22"/>
        </w:rPr>
        <w:t>the  CPFT</w:t>
      </w:r>
      <w:proofErr w:type="gramEnd"/>
      <w:r>
        <w:rPr>
          <w:rFonts w:ascii="Arial" w:hAnsi="Arial" w:cs="Arial"/>
          <w:sz w:val="22"/>
          <w:szCs w:val="22"/>
        </w:rPr>
        <w:t xml:space="preserve"> Research Database, which </w:t>
      </w:r>
      <w:r w:rsidRPr="00FA460D">
        <w:rPr>
          <w:rFonts w:ascii="Arial" w:hAnsi="Arial" w:cs="Arial"/>
          <w:sz w:val="22"/>
          <w:szCs w:val="22"/>
        </w:rPr>
        <w:t xml:space="preserve">was supported by the UK National Institute for Health Research (NIHR) Cambridge Biomedical Research Centre (BRC); the views expressed are those of the authors and not necessarily those of the NIHR or the Department of Health and Social Care. </w:t>
      </w:r>
      <w:r w:rsidRPr="00FF45E8">
        <w:rPr>
          <w:rFonts w:ascii="Arial" w:hAnsi="Arial" w:cs="Arial"/>
          <w:sz w:val="22"/>
          <w:szCs w:val="22"/>
        </w:rPr>
        <w:t xml:space="preserve">SC’s and RNC’s research </w:t>
      </w:r>
      <w:proofErr w:type="gramStart"/>
      <w:r w:rsidRPr="00FF45E8">
        <w:rPr>
          <w:rFonts w:ascii="Arial" w:hAnsi="Arial" w:cs="Arial"/>
          <w:sz w:val="22"/>
          <w:szCs w:val="22"/>
        </w:rPr>
        <w:t>was</w:t>
      </w:r>
      <w:proofErr w:type="gramEnd"/>
      <w:r w:rsidRPr="00FF45E8">
        <w:rPr>
          <w:rFonts w:ascii="Arial" w:hAnsi="Arial" w:cs="Arial"/>
          <w:sz w:val="22"/>
          <w:szCs w:val="22"/>
        </w:rPr>
        <w:t xml:space="preserve"> supported by the Medical Research Council (grant MC_PC_17213 to RNC).</w:t>
      </w:r>
    </w:p>
    <w:p w14:paraId="29DE7735" w14:textId="7052B6C4" w:rsidR="00DE02C8" w:rsidRDefault="00DE02C8">
      <w:pPr>
        <w:rPr>
          <w:rFonts w:ascii="Arial" w:hAnsi="Arial" w:cs="Arial"/>
          <w:b/>
          <w:sz w:val="22"/>
          <w:szCs w:val="22"/>
        </w:rPr>
      </w:pPr>
      <w:r>
        <w:rPr>
          <w:rFonts w:ascii="Arial" w:hAnsi="Arial" w:cs="Arial"/>
          <w:b/>
          <w:sz w:val="22"/>
          <w:szCs w:val="22"/>
        </w:rPr>
        <w:br w:type="page"/>
      </w:r>
    </w:p>
    <w:p w14:paraId="71E0630F" w14:textId="77777777" w:rsidR="00996B47" w:rsidRDefault="00996B47">
      <w:pPr>
        <w:contextualSpacing/>
        <w:jc w:val="both"/>
        <w:rPr>
          <w:rFonts w:ascii="Arial" w:hAnsi="Arial" w:cs="Arial"/>
          <w:b/>
          <w:sz w:val="22"/>
          <w:szCs w:val="22"/>
        </w:rPr>
      </w:pPr>
    </w:p>
    <w:p w14:paraId="2819FE91" w14:textId="0AF2D25D" w:rsidR="00FE5D8E" w:rsidRPr="004E0B11" w:rsidRDefault="0095382D">
      <w:pPr>
        <w:jc w:val="both"/>
        <w:rPr>
          <w:rFonts w:ascii="Arial" w:hAnsi="Arial" w:cs="Arial"/>
          <w:sz w:val="16"/>
          <w:szCs w:val="16"/>
        </w:rPr>
      </w:pPr>
      <w:r>
        <w:rPr>
          <w:rFonts w:ascii="Arial" w:hAnsi="Arial" w:cs="Arial"/>
          <w:b/>
          <w:sz w:val="22"/>
          <w:szCs w:val="22"/>
        </w:rPr>
        <w:t>Table 1.</w:t>
      </w:r>
      <w:r>
        <w:rPr>
          <w:rFonts w:ascii="Arial" w:hAnsi="Arial" w:cs="Arial"/>
          <w:sz w:val="22"/>
          <w:szCs w:val="22"/>
        </w:rPr>
        <w:t xml:space="preserve"> </w:t>
      </w:r>
      <w:r>
        <w:rPr>
          <w:rFonts w:ascii="Arial" w:hAnsi="Arial" w:cs="Arial"/>
          <w:i/>
          <w:sz w:val="22"/>
          <w:szCs w:val="22"/>
        </w:rPr>
        <w:t xml:space="preserve">Demographics </w:t>
      </w:r>
      <w:r w:rsidRPr="004E0B11">
        <w:rPr>
          <w:rFonts w:ascii="Arial" w:hAnsi="Arial" w:cs="Arial"/>
          <w:i/>
          <w:sz w:val="22"/>
          <w:szCs w:val="22"/>
        </w:rPr>
        <w:t xml:space="preserve">and clinical data of the 33 clozapine-treated patients who died between 2009-2018 inclusive. </w:t>
      </w:r>
      <w:r w:rsidR="0094185F" w:rsidRPr="004E0B11">
        <w:rPr>
          <w:rFonts w:ascii="Arial" w:hAnsi="Arial" w:cs="Arial"/>
          <w:i/>
          <w:sz w:val="22"/>
          <w:szCs w:val="22"/>
        </w:rPr>
        <w:t>Causes of deaths were categorized as suicide (A); expected death due to physical illness (B); and unexpected and/or unexplained (C). Data are shown as percentage (n), or mean (standard deviation)</w:t>
      </w:r>
    </w:p>
    <w:tbl>
      <w:tblPr>
        <w:tblStyle w:val="TableGrid"/>
        <w:tblW w:w="9026" w:type="dxa"/>
        <w:tblCellMar>
          <w:left w:w="100" w:type="dxa"/>
          <w:right w:w="85" w:type="dxa"/>
        </w:tblCellMar>
        <w:tblLook w:val="04A0" w:firstRow="1" w:lastRow="0" w:firstColumn="1" w:lastColumn="0" w:noHBand="0" w:noVBand="1"/>
      </w:tblPr>
      <w:tblGrid>
        <w:gridCol w:w="2181"/>
        <w:gridCol w:w="1266"/>
        <w:gridCol w:w="1262"/>
        <w:gridCol w:w="1280"/>
        <w:gridCol w:w="1312"/>
        <w:gridCol w:w="897"/>
        <w:gridCol w:w="828"/>
      </w:tblGrid>
      <w:tr w:rsidR="00446C31" w:rsidRPr="004E0B11" w14:paraId="6B0A190B" w14:textId="77777777" w:rsidTr="00446C31">
        <w:tc>
          <w:tcPr>
            <w:tcW w:w="2236" w:type="dxa"/>
            <w:tcBorders>
              <w:top w:val="single" w:sz="12" w:space="0" w:color="000000"/>
              <w:left w:val="nil"/>
              <w:bottom w:val="single" w:sz="6" w:space="0" w:color="000000"/>
              <w:right w:val="nil"/>
            </w:tcBorders>
            <w:shd w:val="clear" w:color="auto" w:fill="auto"/>
          </w:tcPr>
          <w:p w14:paraId="0847CF6E" w14:textId="77777777" w:rsidR="00446C31" w:rsidRPr="004E0B11" w:rsidRDefault="00446C31">
            <w:pPr>
              <w:jc w:val="both"/>
              <w:rPr>
                <w:rFonts w:ascii="Arial" w:hAnsi="Arial" w:cs="Arial"/>
                <w:sz w:val="16"/>
                <w:szCs w:val="16"/>
              </w:rPr>
            </w:pPr>
          </w:p>
          <w:p w14:paraId="45ED5EC4" w14:textId="77777777" w:rsidR="00446C31" w:rsidRPr="004E0B11" w:rsidRDefault="00446C31">
            <w:pPr>
              <w:jc w:val="both"/>
              <w:rPr>
                <w:rFonts w:ascii="Arial" w:hAnsi="Arial" w:cs="Arial"/>
                <w:sz w:val="16"/>
                <w:szCs w:val="16"/>
              </w:rPr>
            </w:pPr>
          </w:p>
        </w:tc>
        <w:tc>
          <w:tcPr>
            <w:tcW w:w="1284" w:type="dxa"/>
            <w:tcBorders>
              <w:top w:val="single" w:sz="12" w:space="0" w:color="000000"/>
              <w:left w:val="nil"/>
              <w:bottom w:val="single" w:sz="6" w:space="0" w:color="000000"/>
              <w:right w:val="nil"/>
            </w:tcBorders>
            <w:shd w:val="clear" w:color="auto" w:fill="auto"/>
          </w:tcPr>
          <w:p w14:paraId="3E595AB2" w14:textId="291567AC" w:rsidR="00446C31" w:rsidRPr="004E0B11" w:rsidRDefault="00446C31">
            <w:pPr>
              <w:jc w:val="center"/>
              <w:rPr>
                <w:rFonts w:ascii="Arial" w:hAnsi="Arial" w:cs="Arial"/>
                <w:sz w:val="16"/>
                <w:szCs w:val="16"/>
              </w:rPr>
            </w:pPr>
            <w:r w:rsidRPr="004E0B11">
              <w:rPr>
                <w:rFonts w:ascii="Arial" w:hAnsi="Arial" w:cs="Arial"/>
                <w:b/>
                <w:sz w:val="16"/>
                <w:szCs w:val="16"/>
              </w:rPr>
              <w:t>All</w:t>
            </w:r>
          </w:p>
          <w:p w14:paraId="04F9422C" w14:textId="77777777" w:rsidR="00446C31" w:rsidRPr="004E0B11" w:rsidRDefault="00446C31">
            <w:pPr>
              <w:jc w:val="center"/>
              <w:rPr>
                <w:rFonts w:ascii="Arial" w:hAnsi="Arial" w:cs="Arial"/>
                <w:b/>
                <w:sz w:val="16"/>
                <w:szCs w:val="16"/>
              </w:rPr>
            </w:pPr>
            <w:r w:rsidRPr="004E0B11">
              <w:rPr>
                <w:rFonts w:ascii="Arial" w:hAnsi="Arial" w:cs="Arial"/>
                <w:b/>
                <w:sz w:val="16"/>
                <w:szCs w:val="16"/>
              </w:rPr>
              <w:t>(n=33)</w:t>
            </w:r>
          </w:p>
        </w:tc>
        <w:tc>
          <w:tcPr>
            <w:tcW w:w="1283" w:type="dxa"/>
            <w:tcBorders>
              <w:top w:val="single" w:sz="12" w:space="0" w:color="000000"/>
              <w:left w:val="nil"/>
              <w:bottom w:val="single" w:sz="6" w:space="0" w:color="000000"/>
              <w:right w:val="nil"/>
            </w:tcBorders>
            <w:shd w:val="clear" w:color="auto" w:fill="auto"/>
          </w:tcPr>
          <w:p w14:paraId="696C4DDA" w14:textId="77777777" w:rsidR="00446C31" w:rsidRPr="004E0B11" w:rsidRDefault="00446C31">
            <w:pPr>
              <w:jc w:val="center"/>
              <w:rPr>
                <w:rFonts w:ascii="Arial" w:hAnsi="Arial" w:cs="Arial"/>
                <w:b/>
                <w:sz w:val="16"/>
                <w:szCs w:val="16"/>
              </w:rPr>
            </w:pPr>
            <w:r w:rsidRPr="004E0B11">
              <w:rPr>
                <w:rFonts w:ascii="Arial" w:hAnsi="Arial" w:cs="Arial"/>
                <w:b/>
                <w:sz w:val="16"/>
                <w:szCs w:val="16"/>
              </w:rPr>
              <w:t>A. Suicide</w:t>
            </w:r>
          </w:p>
          <w:p w14:paraId="7AF3830D" w14:textId="77777777" w:rsidR="00446C31" w:rsidRPr="004E0B11" w:rsidRDefault="00446C31">
            <w:pPr>
              <w:jc w:val="center"/>
              <w:rPr>
                <w:rFonts w:ascii="Arial" w:hAnsi="Arial" w:cs="Arial"/>
                <w:b/>
                <w:sz w:val="16"/>
                <w:szCs w:val="16"/>
              </w:rPr>
            </w:pPr>
            <w:r w:rsidRPr="004E0B11">
              <w:rPr>
                <w:rFonts w:ascii="Arial" w:hAnsi="Arial" w:cs="Arial"/>
                <w:b/>
                <w:sz w:val="16"/>
                <w:szCs w:val="16"/>
              </w:rPr>
              <w:t>(n=8)</w:t>
            </w:r>
          </w:p>
        </w:tc>
        <w:tc>
          <w:tcPr>
            <w:tcW w:w="1296" w:type="dxa"/>
            <w:tcBorders>
              <w:top w:val="single" w:sz="12" w:space="0" w:color="000000"/>
              <w:left w:val="nil"/>
              <w:bottom w:val="single" w:sz="6" w:space="0" w:color="000000"/>
              <w:right w:val="nil"/>
            </w:tcBorders>
            <w:shd w:val="clear" w:color="auto" w:fill="auto"/>
          </w:tcPr>
          <w:p w14:paraId="6AF78846" w14:textId="77777777" w:rsidR="00446C31" w:rsidRPr="004E0B11" w:rsidRDefault="00446C31">
            <w:pPr>
              <w:jc w:val="center"/>
              <w:rPr>
                <w:rFonts w:ascii="Arial" w:hAnsi="Arial" w:cs="Arial"/>
                <w:b/>
                <w:sz w:val="16"/>
                <w:szCs w:val="16"/>
              </w:rPr>
            </w:pPr>
            <w:r w:rsidRPr="004E0B11">
              <w:rPr>
                <w:rFonts w:ascii="Arial" w:hAnsi="Arial" w:cs="Arial"/>
                <w:b/>
                <w:sz w:val="16"/>
                <w:szCs w:val="16"/>
              </w:rPr>
              <w:t>B. Expected</w:t>
            </w:r>
          </w:p>
          <w:p w14:paraId="3533DDB1" w14:textId="77777777" w:rsidR="00446C31" w:rsidRPr="004E0B11" w:rsidRDefault="00446C31">
            <w:pPr>
              <w:jc w:val="center"/>
              <w:rPr>
                <w:rFonts w:ascii="Arial" w:hAnsi="Arial" w:cs="Arial"/>
                <w:b/>
                <w:sz w:val="16"/>
                <w:szCs w:val="16"/>
              </w:rPr>
            </w:pPr>
            <w:r w:rsidRPr="004E0B11">
              <w:rPr>
                <w:rFonts w:ascii="Arial" w:hAnsi="Arial" w:cs="Arial"/>
                <w:b/>
                <w:sz w:val="16"/>
                <w:szCs w:val="16"/>
              </w:rPr>
              <w:t>(n=8)</w:t>
            </w:r>
          </w:p>
        </w:tc>
        <w:tc>
          <w:tcPr>
            <w:tcW w:w="1321" w:type="dxa"/>
            <w:tcBorders>
              <w:top w:val="single" w:sz="12" w:space="0" w:color="000000"/>
              <w:left w:val="nil"/>
              <w:bottom w:val="single" w:sz="6" w:space="0" w:color="000000"/>
              <w:right w:val="nil"/>
            </w:tcBorders>
            <w:shd w:val="clear" w:color="auto" w:fill="auto"/>
          </w:tcPr>
          <w:p w14:paraId="21CC974F" w14:textId="77777777" w:rsidR="00446C31" w:rsidRPr="004E0B11" w:rsidRDefault="00446C31">
            <w:pPr>
              <w:jc w:val="center"/>
              <w:rPr>
                <w:rFonts w:ascii="Arial" w:hAnsi="Arial" w:cs="Arial"/>
                <w:b/>
                <w:sz w:val="16"/>
                <w:szCs w:val="16"/>
              </w:rPr>
            </w:pPr>
            <w:r w:rsidRPr="004E0B11">
              <w:rPr>
                <w:rFonts w:ascii="Arial" w:hAnsi="Arial" w:cs="Arial"/>
                <w:b/>
                <w:sz w:val="16"/>
                <w:szCs w:val="16"/>
              </w:rPr>
              <w:t>C. Unexpected</w:t>
            </w:r>
          </w:p>
          <w:p w14:paraId="40D57A88" w14:textId="0D320105" w:rsidR="00446C31" w:rsidRPr="004E0B11" w:rsidRDefault="00446C31">
            <w:pPr>
              <w:jc w:val="center"/>
              <w:rPr>
                <w:rFonts w:ascii="Arial" w:hAnsi="Arial" w:cs="Arial"/>
                <w:b/>
                <w:sz w:val="16"/>
                <w:szCs w:val="16"/>
              </w:rPr>
            </w:pPr>
            <w:r w:rsidRPr="004E0B11">
              <w:rPr>
                <w:rFonts w:ascii="Arial" w:hAnsi="Arial" w:cs="Arial"/>
                <w:b/>
                <w:sz w:val="16"/>
                <w:szCs w:val="16"/>
              </w:rPr>
              <w:t>(n=17)</w:t>
            </w:r>
            <w:r w:rsidR="0094185F" w:rsidRPr="004E0B11">
              <w:rPr>
                <w:rFonts w:ascii="Arial" w:hAnsi="Arial" w:cs="Arial"/>
                <w:i/>
                <w:sz w:val="16"/>
                <w:szCs w:val="16"/>
              </w:rPr>
              <w:t xml:space="preserve"> †</w:t>
            </w:r>
          </w:p>
        </w:tc>
        <w:tc>
          <w:tcPr>
            <w:tcW w:w="770" w:type="dxa"/>
            <w:tcBorders>
              <w:top w:val="single" w:sz="12" w:space="0" w:color="000000"/>
              <w:left w:val="nil"/>
              <w:bottom w:val="single" w:sz="6" w:space="0" w:color="000000"/>
              <w:right w:val="nil"/>
            </w:tcBorders>
            <w:vAlign w:val="center"/>
          </w:tcPr>
          <w:p w14:paraId="2515CA30" w14:textId="275B3847" w:rsidR="00446C31" w:rsidRPr="004E0B11" w:rsidRDefault="00446C31" w:rsidP="00446C31">
            <w:pPr>
              <w:jc w:val="center"/>
              <w:rPr>
                <w:rFonts w:ascii="Arial" w:hAnsi="Arial" w:cs="Arial"/>
                <w:b/>
                <w:i/>
                <w:iCs/>
                <w:sz w:val="16"/>
                <w:szCs w:val="16"/>
              </w:rPr>
            </w:pPr>
            <w:r w:rsidRPr="004E0B11">
              <w:rPr>
                <w:rFonts w:ascii="Arial" w:hAnsi="Arial" w:cs="Arial"/>
                <w:b/>
                <w:i/>
                <w:iCs/>
                <w:sz w:val="16"/>
                <w:szCs w:val="16"/>
              </w:rPr>
              <w:t>Statistics</w:t>
            </w:r>
          </w:p>
        </w:tc>
        <w:tc>
          <w:tcPr>
            <w:tcW w:w="836" w:type="dxa"/>
            <w:tcBorders>
              <w:top w:val="single" w:sz="12" w:space="0" w:color="000000"/>
              <w:left w:val="nil"/>
              <w:bottom w:val="single" w:sz="6" w:space="0" w:color="000000"/>
              <w:right w:val="nil"/>
            </w:tcBorders>
            <w:shd w:val="clear" w:color="auto" w:fill="auto"/>
            <w:vAlign w:val="center"/>
          </w:tcPr>
          <w:p w14:paraId="58CA7C29" w14:textId="4CEEBFDC" w:rsidR="00446C31" w:rsidRPr="004E0B11" w:rsidRDefault="003111FA">
            <w:pPr>
              <w:jc w:val="center"/>
              <w:rPr>
                <w:rFonts w:ascii="Arial" w:hAnsi="Arial" w:cs="Arial"/>
                <w:i/>
                <w:iCs/>
                <w:sz w:val="16"/>
                <w:szCs w:val="16"/>
              </w:rPr>
            </w:pPr>
            <w:r w:rsidRPr="004E0B11">
              <w:rPr>
                <w:rFonts w:ascii="Arial" w:hAnsi="Arial" w:cs="Arial"/>
                <w:b/>
                <w:i/>
                <w:iCs/>
                <w:sz w:val="16"/>
                <w:szCs w:val="16"/>
              </w:rPr>
              <w:t>P Value</w:t>
            </w:r>
          </w:p>
        </w:tc>
      </w:tr>
      <w:tr w:rsidR="00446C31" w:rsidRPr="004E0B11" w14:paraId="4AFBA68B" w14:textId="77777777" w:rsidTr="00446C31">
        <w:tc>
          <w:tcPr>
            <w:tcW w:w="2236" w:type="dxa"/>
            <w:tcBorders>
              <w:top w:val="nil"/>
              <w:left w:val="nil"/>
              <w:bottom w:val="nil"/>
              <w:right w:val="nil"/>
            </w:tcBorders>
            <w:shd w:val="clear" w:color="auto" w:fill="auto"/>
          </w:tcPr>
          <w:p w14:paraId="28909B1B" w14:textId="211D5C2E" w:rsidR="00446C31" w:rsidRPr="004E0B11" w:rsidRDefault="00446C31" w:rsidP="004E0C00">
            <w:pPr>
              <w:jc w:val="both"/>
              <w:rPr>
                <w:rFonts w:ascii="Arial" w:hAnsi="Arial" w:cs="Arial"/>
                <w:sz w:val="16"/>
                <w:szCs w:val="16"/>
              </w:rPr>
            </w:pPr>
            <w:r w:rsidRPr="004E0B11">
              <w:rPr>
                <w:rFonts w:ascii="Arial" w:hAnsi="Arial" w:cs="Arial"/>
                <w:sz w:val="16"/>
                <w:szCs w:val="16"/>
              </w:rPr>
              <w:t>Male</w:t>
            </w:r>
          </w:p>
        </w:tc>
        <w:tc>
          <w:tcPr>
            <w:tcW w:w="1284" w:type="dxa"/>
            <w:tcBorders>
              <w:top w:val="nil"/>
              <w:left w:val="nil"/>
              <w:bottom w:val="nil"/>
              <w:right w:val="nil"/>
            </w:tcBorders>
            <w:shd w:val="clear" w:color="auto" w:fill="auto"/>
          </w:tcPr>
          <w:p w14:paraId="4E9B2E5A" w14:textId="77777777" w:rsidR="00446C31" w:rsidRPr="004E0B11" w:rsidRDefault="00446C31">
            <w:pPr>
              <w:jc w:val="center"/>
              <w:rPr>
                <w:rFonts w:ascii="Arial" w:hAnsi="Arial" w:cs="Arial"/>
                <w:sz w:val="16"/>
                <w:szCs w:val="16"/>
              </w:rPr>
            </w:pPr>
            <w:r w:rsidRPr="004E0B11">
              <w:rPr>
                <w:rFonts w:ascii="Arial" w:hAnsi="Arial" w:cs="Arial"/>
                <w:sz w:val="16"/>
                <w:szCs w:val="16"/>
              </w:rPr>
              <w:t>73% (24)</w:t>
            </w:r>
          </w:p>
        </w:tc>
        <w:tc>
          <w:tcPr>
            <w:tcW w:w="1283" w:type="dxa"/>
            <w:tcBorders>
              <w:top w:val="nil"/>
              <w:left w:val="nil"/>
              <w:bottom w:val="nil"/>
              <w:right w:val="nil"/>
            </w:tcBorders>
            <w:shd w:val="clear" w:color="auto" w:fill="auto"/>
          </w:tcPr>
          <w:p w14:paraId="324E20D7" w14:textId="77777777" w:rsidR="00446C31" w:rsidRPr="004E0B11" w:rsidRDefault="00446C31">
            <w:pPr>
              <w:jc w:val="center"/>
              <w:rPr>
                <w:rFonts w:ascii="Arial" w:hAnsi="Arial" w:cs="Arial"/>
                <w:sz w:val="16"/>
                <w:szCs w:val="16"/>
              </w:rPr>
            </w:pPr>
            <w:r w:rsidRPr="004E0B11">
              <w:rPr>
                <w:rFonts w:ascii="Arial" w:hAnsi="Arial" w:cs="Arial"/>
                <w:sz w:val="16"/>
                <w:szCs w:val="16"/>
              </w:rPr>
              <w:t>75% (6)</w:t>
            </w:r>
          </w:p>
        </w:tc>
        <w:tc>
          <w:tcPr>
            <w:tcW w:w="1296" w:type="dxa"/>
            <w:tcBorders>
              <w:top w:val="nil"/>
              <w:left w:val="nil"/>
              <w:bottom w:val="nil"/>
              <w:right w:val="nil"/>
            </w:tcBorders>
            <w:shd w:val="clear" w:color="auto" w:fill="auto"/>
          </w:tcPr>
          <w:p w14:paraId="7A4EB264" w14:textId="77777777" w:rsidR="00446C31" w:rsidRPr="004E0B11" w:rsidRDefault="00446C31">
            <w:pPr>
              <w:jc w:val="center"/>
              <w:rPr>
                <w:rFonts w:ascii="Arial" w:hAnsi="Arial" w:cs="Arial"/>
                <w:sz w:val="16"/>
                <w:szCs w:val="16"/>
              </w:rPr>
            </w:pPr>
            <w:r w:rsidRPr="004E0B11">
              <w:rPr>
                <w:rFonts w:ascii="Arial" w:hAnsi="Arial" w:cs="Arial"/>
                <w:sz w:val="16"/>
                <w:szCs w:val="16"/>
              </w:rPr>
              <w:t>62.5% (5)</w:t>
            </w:r>
          </w:p>
        </w:tc>
        <w:tc>
          <w:tcPr>
            <w:tcW w:w="1321" w:type="dxa"/>
            <w:tcBorders>
              <w:top w:val="nil"/>
              <w:left w:val="nil"/>
              <w:bottom w:val="nil"/>
              <w:right w:val="nil"/>
            </w:tcBorders>
            <w:shd w:val="clear" w:color="auto" w:fill="auto"/>
          </w:tcPr>
          <w:p w14:paraId="381EA1D0" w14:textId="77777777" w:rsidR="00446C31" w:rsidRPr="004E0B11" w:rsidRDefault="00446C31">
            <w:pPr>
              <w:jc w:val="center"/>
              <w:rPr>
                <w:rFonts w:ascii="Arial" w:hAnsi="Arial" w:cs="Arial"/>
                <w:sz w:val="16"/>
                <w:szCs w:val="16"/>
              </w:rPr>
            </w:pPr>
            <w:r w:rsidRPr="004E0B11">
              <w:rPr>
                <w:rFonts w:ascii="Arial" w:hAnsi="Arial" w:cs="Arial"/>
                <w:sz w:val="16"/>
                <w:szCs w:val="16"/>
              </w:rPr>
              <w:t>76.5% (13)</w:t>
            </w:r>
          </w:p>
        </w:tc>
        <w:tc>
          <w:tcPr>
            <w:tcW w:w="770" w:type="dxa"/>
            <w:tcBorders>
              <w:top w:val="nil"/>
              <w:left w:val="nil"/>
              <w:bottom w:val="nil"/>
              <w:right w:val="nil"/>
            </w:tcBorders>
          </w:tcPr>
          <w:p w14:paraId="5489F69D" w14:textId="7BBD8FD8" w:rsidR="00446C31" w:rsidRPr="004E0B11" w:rsidRDefault="00A37E17" w:rsidP="00446C31">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=0.52</m:t>
                </m:r>
              </m:oMath>
            </m:oMathPara>
          </w:p>
        </w:tc>
        <w:tc>
          <w:tcPr>
            <w:tcW w:w="836" w:type="dxa"/>
            <w:tcBorders>
              <w:top w:val="nil"/>
              <w:left w:val="nil"/>
              <w:bottom w:val="nil"/>
              <w:right w:val="nil"/>
            </w:tcBorders>
            <w:shd w:val="clear" w:color="auto" w:fill="auto"/>
          </w:tcPr>
          <w:p w14:paraId="0A32693B" w14:textId="4FFA688E" w:rsidR="00446C31" w:rsidRPr="004E0B11" w:rsidRDefault="00446C31">
            <w:pPr>
              <w:jc w:val="center"/>
              <w:rPr>
                <w:rFonts w:ascii="Arial" w:hAnsi="Arial" w:cs="Arial"/>
                <w:sz w:val="16"/>
                <w:szCs w:val="16"/>
              </w:rPr>
            </w:pPr>
            <w:r w:rsidRPr="004E0B11">
              <w:rPr>
                <w:rFonts w:ascii="Arial" w:hAnsi="Arial" w:cs="Arial"/>
                <w:sz w:val="16"/>
                <w:szCs w:val="16"/>
              </w:rPr>
              <w:t>0.755</w:t>
            </w:r>
          </w:p>
        </w:tc>
      </w:tr>
      <w:tr w:rsidR="00446C31" w:rsidRPr="004E0B11" w14:paraId="4E036369" w14:textId="77777777" w:rsidTr="00446C31">
        <w:tc>
          <w:tcPr>
            <w:tcW w:w="2236" w:type="dxa"/>
            <w:tcBorders>
              <w:top w:val="nil"/>
              <w:left w:val="nil"/>
              <w:bottom w:val="nil"/>
              <w:right w:val="nil"/>
            </w:tcBorders>
            <w:shd w:val="clear" w:color="auto" w:fill="auto"/>
          </w:tcPr>
          <w:p w14:paraId="3330FF7C" w14:textId="356B6159" w:rsidR="00446C31" w:rsidRPr="004E0B11" w:rsidRDefault="00446C31" w:rsidP="004E0C00">
            <w:pPr>
              <w:jc w:val="both"/>
              <w:rPr>
                <w:rFonts w:ascii="Arial" w:hAnsi="Arial" w:cs="Arial"/>
                <w:sz w:val="16"/>
                <w:szCs w:val="16"/>
              </w:rPr>
            </w:pPr>
            <w:r w:rsidRPr="004E0B11">
              <w:rPr>
                <w:rFonts w:ascii="Arial" w:hAnsi="Arial" w:cs="Arial"/>
                <w:sz w:val="16"/>
                <w:szCs w:val="16"/>
              </w:rPr>
              <w:t>Age</w:t>
            </w:r>
          </w:p>
        </w:tc>
        <w:tc>
          <w:tcPr>
            <w:tcW w:w="1284" w:type="dxa"/>
            <w:tcBorders>
              <w:top w:val="nil"/>
              <w:left w:val="nil"/>
              <w:bottom w:val="nil"/>
              <w:right w:val="nil"/>
            </w:tcBorders>
            <w:shd w:val="clear" w:color="auto" w:fill="auto"/>
          </w:tcPr>
          <w:p w14:paraId="79C5FB7B" w14:textId="77777777" w:rsidR="00446C31" w:rsidRPr="004E0B11" w:rsidRDefault="00446C31">
            <w:pPr>
              <w:jc w:val="center"/>
              <w:rPr>
                <w:rFonts w:ascii="Arial" w:hAnsi="Arial" w:cs="Arial"/>
                <w:sz w:val="16"/>
                <w:szCs w:val="16"/>
              </w:rPr>
            </w:pPr>
            <w:r w:rsidRPr="004E0B11">
              <w:rPr>
                <w:rFonts w:ascii="Arial" w:hAnsi="Arial" w:cs="Arial"/>
                <w:sz w:val="16"/>
                <w:szCs w:val="16"/>
              </w:rPr>
              <w:t>53.2 (14.3)</w:t>
            </w:r>
          </w:p>
        </w:tc>
        <w:tc>
          <w:tcPr>
            <w:tcW w:w="1283" w:type="dxa"/>
            <w:tcBorders>
              <w:top w:val="nil"/>
              <w:left w:val="nil"/>
              <w:bottom w:val="nil"/>
              <w:right w:val="nil"/>
            </w:tcBorders>
            <w:shd w:val="clear" w:color="auto" w:fill="auto"/>
          </w:tcPr>
          <w:p w14:paraId="3B4D89CE" w14:textId="77777777" w:rsidR="00446C31" w:rsidRPr="004E0B11" w:rsidRDefault="00446C31">
            <w:pPr>
              <w:jc w:val="center"/>
              <w:rPr>
                <w:rFonts w:ascii="Arial" w:hAnsi="Arial" w:cs="Arial"/>
                <w:sz w:val="16"/>
                <w:szCs w:val="16"/>
              </w:rPr>
            </w:pPr>
            <w:r w:rsidRPr="004E0B11">
              <w:rPr>
                <w:rFonts w:ascii="Arial" w:hAnsi="Arial" w:cs="Arial"/>
                <w:sz w:val="16"/>
                <w:szCs w:val="16"/>
              </w:rPr>
              <w:t>44.9 (8.6)</w:t>
            </w:r>
          </w:p>
        </w:tc>
        <w:tc>
          <w:tcPr>
            <w:tcW w:w="1296" w:type="dxa"/>
            <w:tcBorders>
              <w:top w:val="nil"/>
              <w:left w:val="nil"/>
              <w:bottom w:val="nil"/>
              <w:right w:val="nil"/>
            </w:tcBorders>
            <w:shd w:val="clear" w:color="auto" w:fill="auto"/>
          </w:tcPr>
          <w:p w14:paraId="28AC81DF" w14:textId="77777777" w:rsidR="00446C31" w:rsidRPr="004E0B11" w:rsidRDefault="00446C31">
            <w:pPr>
              <w:jc w:val="center"/>
              <w:rPr>
                <w:rFonts w:ascii="Arial" w:hAnsi="Arial" w:cs="Arial"/>
                <w:sz w:val="16"/>
                <w:szCs w:val="16"/>
              </w:rPr>
            </w:pPr>
            <w:r w:rsidRPr="004E0B11">
              <w:rPr>
                <w:rFonts w:ascii="Arial" w:hAnsi="Arial" w:cs="Arial"/>
                <w:sz w:val="16"/>
                <w:szCs w:val="16"/>
              </w:rPr>
              <w:t>65.4 (14.0)</w:t>
            </w:r>
          </w:p>
        </w:tc>
        <w:tc>
          <w:tcPr>
            <w:tcW w:w="1321" w:type="dxa"/>
            <w:tcBorders>
              <w:top w:val="nil"/>
              <w:left w:val="nil"/>
              <w:bottom w:val="nil"/>
              <w:right w:val="nil"/>
            </w:tcBorders>
            <w:shd w:val="clear" w:color="auto" w:fill="auto"/>
          </w:tcPr>
          <w:p w14:paraId="7CFF2046" w14:textId="77777777" w:rsidR="00446C31" w:rsidRPr="004E0B11" w:rsidRDefault="00446C31">
            <w:pPr>
              <w:jc w:val="center"/>
              <w:rPr>
                <w:rFonts w:ascii="Arial" w:hAnsi="Arial" w:cs="Arial"/>
                <w:sz w:val="16"/>
                <w:szCs w:val="16"/>
              </w:rPr>
            </w:pPr>
            <w:r w:rsidRPr="004E0B11">
              <w:rPr>
                <w:rFonts w:ascii="Arial" w:hAnsi="Arial" w:cs="Arial"/>
                <w:sz w:val="16"/>
                <w:szCs w:val="16"/>
              </w:rPr>
              <w:t>51.9 (13.9)</w:t>
            </w:r>
          </w:p>
        </w:tc>
        <w:tc>
          <w:tcPr>
            <w:tcW w:w="770" w:type="dxa"/>
            <w:tcBorders>
              <w:top w:val="nil"/>
              <w:left w:val="nil"/>
              <w:bottom w:val="nil"/>
              <w:right w:val="nil"/>
            </w:tcBorders>
          </w:tcPr>
          <w:p w14:paraId="212E1937" w14:textId="34D5C18C" w:rsidR="00446C31" w:rsidRPr="004E0B11" w:rsidRDefault="00836EEF" w:rsidP="00D031A7">
            <w:pPr>
              <w:jc w:val="center"/>
              <w:rPr>
                <w:rFonts w:ascii="Arial" w:hAnsi="Arial" w:cs="Arial"/>
                <w:sz w:val="16"/>
                <w:szCs w:val="16"/>
              </w:rPr>
            </w:pPr>
            <m:oMathPara>
              <m:oMath>
                <m:r>
                  <m:rPr>
                    <m:sty m:val="p"/>
                  </m:rPr>
                  <w:rPr>
                    <w:rFonts w:ascii="Cambria Math" w:hAnsi="Cambria Math" w:cs="Arial"/>
                    <w:sz w:val="16"/>
                    <w:szCs w:val="16"/>
                  </w:rPr>
                  <m:t>F = 4.84</m:t>
                </m:r>
              </m:oMath>
            </m:oMathPara>
          </w:p>
        </w:tc>
        <w:tc>
          <w:tcPr>
            <w:tcW w:w="836" w:type="dxa"/>
            <w:tcBorders>
              <w:top w:val="nil"/>
              <w:left w:val="nil"/>
              <w:bottom w:val="nil"/>
              <w:right w:val="nil"/>
            </w:tcBorders>
            <w:shd w:val="clear" w:color="auto" w:fill="auto"/>
          </w:tcPr>
          <w:p w14:paraId="62861C95" w14:textId="4BC6B582" w:rsidR="00446C31" w:rsidRPr="004E0B11" w:rsidRDefault="00446C31" w:rsidP="00D031A7">
            <w:pPr>
              <w:jc w:val="center"/>
              <w:rPr>
                <w:rFonts w:ascii="Arial" w:hAnsi="Arial" w:cs="Arial"/>
                <w:b/>
                <w:sz w:val="16"/>
                <w:szCs w:val="16"/>
              </w:rPr>
            </w:pPr>
            <w:r w:rsidRPr="004E0B11">
              <w:rPr>
                <w:rFonts w:ascii="Arial" w:hAnsi="Arial" w:cs="Arial"/>
                <w:b/>
                <w:sz w:val="16"/>
                <w:szCs w:val="16"/>
              </w:rPr>
              <w:t>0.015</w:t>
            </w:r>
            <w:r w:rsidRPr="004E0B11">
              <w:rPr>
                <w:rFonts w:ascii="Arial" w:hAnsi="Arial" w:cs="Arial"/>
                <w:b/>
                <w:sz w:val="16"/>
                <w:szCs w:val="16"/>
                <w:vertAlign w:val="superscript"/>
              </w:rPr>
              <w:t>a</w:t>
            </w:r>
          </w:p>
        </w:tc>
      </w:tr>
      <w:tr w:rsidR="00446C31" w:rsidRPr="004E0B11" w14:paraId="75520A6D" w14:textId="77777777" w:rsidTr="00446C31">
        <w:tc>
          <w:tcPr>
            <w:tcW w:w="2236" w:type="dxa"/>
            <w:tcBorders>
              <w:top w:val="nil"/>
              <w:left w:val="nil"/>
              <w:bottom w:val="nil"/>
              <w:right w:val="nil"/>
            </w:tcBorders>
            <w:shd w:val="clear" w:color="auto" w:fill="auto"/>
          </w:tcPr>
          <w:p w14:paraId="73098078" w14:textId="18C93193" w:rsidR="00446C31" w:rsidRPr="004E0B11" w:rsidRDefault="00446C31" w:rsidP="00C0237C">
            <w:pPr>
              <w:jc w:val="both"/>
              <w:rPr>
                <w:rFonts w:ascii="Arial" w:hAnsi="Arial" w:cs="Arial"/>
                <w:sz w:val="16"/>
                <w:szCs w:val="16"/>
              </w:rPr>
            </w:pPr>
            <w:r w:rsidRPr="004E0B11">
              <w:rPr>
                <w:rFonts w:ascii="Arial" w:hAnsi="Arial" w:cs="Arial"/>
                <w:sz w:val="16"/>
                <w:szCs w:val="16"/>
              </w:rPr>
              <w:t>Clozapine dose (mg)</w:t>
            </w:r>
          </w:p>
        </w:tc>
        <w:tc>
          <w:tcPr>
            <w:tcW w:w="1284" w:type="dxa"/>
            <w:tcBorders>
              <w:top w:val="nil"/>
              <w:left w:val="nil"/>
              <w:bottom w:val="nil"/>
              <w:right w:val="nil"/>
            </w:tcBorders>
            <w:shd w:val="clear" w:color="auto" w:fill="auto"/>
          </w:tcPr>
          <w:p w14:paraId="4E9266D1" w14:textId="77777777" w:rsidR="00446C31" w:rsidRPr="004E0B11" w:rsidRDefault="00446C31">
            <w:pPr>
              <w:jc w:val="center"/>
              <w:rPr>
                <w:rFonts w:ascii="Arial" w:hAnsi="Arial" w:cs="Arial"/>
                <w:sz w:val="16"/>
                <w:szCs w:val="16"/>
              </w:rPr>
            </w:pPr>
            <w:r w:rsidRPr="004E0B11">
              <w:rPr>
                <w:rFonts w:ascii="Arial" w:hAnsi="Arial" w:cs="Arial"/>
                <w:sz w:val="16"/>
                <w:szCs w:val="16"/>
              </w:rPr>
              <w:t>400.0 (186.6)</w:t>
            </w:r>
          </w:p>
        </w:tc>
        <w:tc>
          <w:tcPr>
            <w:tcW w:w="1283" w:type="dxa"/>
            <w:tcBorders>
              <w:top w:val="nil"/>
              <w:left w:val="nil"/>
              <w:bottom w:val="nil"/>
              <w:right w:val="nil"/>
            </w:tcBorders>
            <w:shd w:val="clear" w:color="auto" w:fill="auto"/>
          </w:tcPr>
          <w:p w14:paraId="617F3711" w14:textId="77777777" w:rsidR="00446C31" w:rsidRPr="004E0B11" w:rsidRDefault="00446C31">
            <w:pPr>
              <w:jc w:val="center"/>
              <w:rPr>
                <w:rFonts w:ascii="Arial" w:hAnsi="Arial" w:cs="Arial"/>
                <w:sz w:val="16"/>
                <w:szCs w:val="16"/>
              </w:rPr>
            </w:pPr>
            <w:r w:rsidRPr="004E0B11">
              <w:rPr>
                <w:rFonts w:ascii="Arial" w:hAnsi="Arial" w:cs="Arial"/>
                <w:sz w:val="16"/>
                <w:szCs w:val="16"/>
              </w:rPr>
              <w:t>437.5 (102.6)</w:t>
            </w:r>
          </w:p>
        </w:tc>
        <w:tc>
          <w:tcPr>
            <w:tcW w:w="1296" w:type="dxa"/>
            <w:tcBorders>
              <w:top w:val="nil"/>
              <w:left w:val="nil"/>
              <w:bottom w:val="nil"/>
              <w:right w:val="nil"/>
            </w:tcBorders>
            <w:shd w:val="clear" w:color="auto" w:fill="auto"/>
          </w:tcPr>
          <w:p w14:paraId="68706A87" w14:textId="77777777" w:rsidR="00446C31" w:rsidRPr="004E0B11" w:rsidRDefault="00446C31">
            <w:pPr>
              <w:jc w:val="center"/>
              <w:rPr>
                <w:rFonts w:ascii="Arial" w:hAnsi="Arial" w:cs="Arial"/>
                <w:sz w:val="16"/>
                <w:szCs w:val="16"/>
              </w:rPr>
            </w:pPr>
            <w:r w:rsidRPr="004E0B11">
              <w:rPr>
                <w:rFonts w:ascii="Arial" w:hAnsi="Arial" w:cs="Arial"/>
                <w:sz w:val="16"/>
                <w:szCs w:val="16"/>
              </w:rPr>
              <w:t>228.6 (143.2)</w:t>
            </w:r>
          </w:p>
        </w:tc>
        <w:tc>
          <w:tcPr>
            <w:tcW w:w="1321" w:type="dxa"/>
            <w:tcBorders>
              <w:top w:val="nil"/>
              <w:left w:val="nil"/>
              <w:bottom w:val="nil"/>
              <w:right w:val="nil"/>
            </w:tcBorders>
            <w:shd w:val="clear" w:color="auto" w:fill="auto"/>
          </w:tcPr>
          <w:p w14:paraId="3BB3B7B3" w14:textId="207CF0EF" w:rsidR="00446C31" w:rsidRPr="004E0B11" w:rsidRDefault="00446C31">
            <w:pPr>
              <w:jc w:val="center"/>
              <w:rPr>
                <w:rFonts w:ascii="Arial" w:hAnsi="Arial" w:cs="Arial"/>
                <w:sz w:val="16"/>
                <w:szCs w:val="16"/>
              </w:rPr>
            </w:pPr>
            <w:r w:rsidRPr="004E0B11">
              <w:rPr>
                <w:rFonts w:ascii="Arial" w:hAnsi="Arial" w:cs="Arial"/>
                <w:sz w:val="16"/>
                <w:szCs w:val="16"/>
              </w:rPr>
              <w:t>460.0 (196.8)</w:t>
            </w:r>
            <w:r w:rsidR="004D0C45" w:rsidRPr="004E0B11">
              <w:rPr>
                <w:rFonts w:ascii="Arial" w:hAnsi="Arial" w:cs="Arial"/>
                <w:i/>
                <w:sz w:val="16"/>
                <w:szCs w:val="16"/>
              </w:rPr>
              <w:t xml:space="preserve"> </w:t>
            </w:r>
          </w:p>
        </w:tc>
        <w:tc>
          <w:tcPr>
            <w:tcW w:w="770" w:type="dxa"/>
            <w:tcBorders>
              <w:top w:val="nil"/>
              <w:left w:val="nil"/>
              <w:bottom w:val="nil"/>
              <w:right w:val="nil"/>
            </w:tcBorders>
          </w:tcPr>
          <w:p w14:paraId="4C8ACCA1" w14:textId="7C2D29F9" w:rsidR="00446C31" w:rsidRPr="004E0B11" w:rsidRDefault="00836EEF" w:rsidP="00836EEF">
            <w:pPr>
              <w:jc w:val="center"/>
              <w:rPr>
                <w:rFonts w:ascii="Arial" w:hAnsi="Arial" w:cs="Arial"/>
                <w:b/>
                <w:sz w:val="16"/>
                <w:szCs w:val="16"/>
              </w:rPr>
            </w:pPr>
            <m:oMathPara>
              <m:oMath>
                <m:r>
                  <m:rPr>
                    <m:sty m:val="p"/>
                  </m:rPr>
                  <w:rPr>
                    <w:rFonts w:ascii="Cambria Math" w:hAnsi="Cambria Math" w:cs="Arial"/>
                    <w:sz w:val="16"/>
                    <w:szCs w:val="16"/>
                  </w:rPr>
                  <m:t>F = 5.05</m:t>
                </m:r>
              </m:oMath>
            </m:oMathPara>
          </w:p>
        </w:tc>
        <w:tc>
          <w:tcPr>
            <w:tcW w:w="836" w:type="dxa"/>
            <w:tcBorders>
              <w:top w:val="nil"/>
              <w:left w:val="nil"/>
              <w:bottom w:val="nil"/>
              <w:right w:val="nil"/>
            </w:tcBorders>
            <w:shd w:val="clear" w:color="auto" w:fill="auto"/>
          </w:tcPr>
          <w:p w14:paraId="789B3520" w14:textId="774B5D5F" w:rsidR="00446C31" w:rsidRPr="004E0B11" w:rsidRDefault="00446C31" w:rsidP="00836EEF">
            <w:pPr>
              <w:jc w:val="center"/>
              <w:rPr>
                <w:rFonts w:ascii="Arial" w:hAnsi="Arial" w:cs="Arial"/>
                <w:b/>
                <w:sz w:val="16"/>
                <w:szCs w:val="16"/>
              </w:rPr>
            </w:pPr>
            <w:r w:rsidRPr="004E0B11">
              <w:rPr>
                <w:rFonts w:ascii="Arial" w:hAnsi="Arial" w:cs="Arial"/>
                <w:b/>
                <w:sz w:val="16"/>
                <w:szCs w:val="16"/>
              </w:rPr>
              <w:t>0.01</w:t>
            </w:r>
            <w:r w:rsidR="00836EEF" w:rsidRPr="004E0B11">
              <w:rPr>
                <w:rFonts w:ascii="Arial" w:hAnsi="Arial" w:cs="Arial"/>
                <w:b/>
                <w:sz w:val="16"/>
                <w:szCs w:val="16"/>
              </w:rPr>
              <w:t>3</w:t>
            </w:r>
            <w:r w:rsidRPr="004E0B11">
              <w:rPr>
                <w:rFonts w:ascii="Arial" w:hAnsi="Arial" w:cs="Arial"/>
                <w:b/>
                <w:sz w:val="16"/>
                <w:szCs w:val="16"/>
                <w:vertAlign w:val="superscript"/>
              </w:rPr>
              <w:t>b</w:t>
            </w:r>
          </w:p>
        </w:tc>
      </w:tr>
      <w:tr w:rsidR="00446C31" w:rsidRPr="004E0B11" w14:paraId="11C46C78" w14:textId="77777777" w:rsidTr="00446C31">
        <w:tc>
          <w:tcPr>
            <w:tcW w:w="2236" w:type="dxa"/>
            <w:tcBorders>
              <w:top w:val="nil"/>
              <w:left w:val="nil"/>
              <w:bottom w:val="nil"/>
              <w:right w:val="nil"/>
            </w:tcBorders>
            <w:shd w:val="clear" w:color="auto" w:fill="auto"/>
          </w:tcPr>
          <w:p w14:paraId="6766F6E6" w14:textId="2F2CF646" w:rsidR="00446C31" w:rsidRPr="004E0B11" w:rsidRDefault="00446C31">
            <w:pPr>
              <w:jc w:val="both"/>
              <w:rPr>
                <w:rFonts w:ascii="Arial" w:hAnsi="Arial" w:cs="Arial"/>
                <w:sz w:val="16"/>
                <w:szCs w:val="16"/>
              </w:rPr>
            </w:pPr>
            <w:r w:rsidRPr="004E0B11">
              <w:rPr>
                <w:rFonts w:ascii="Arial" w:hAnsi="Arial" w:cs="Arial"/>
                <w:sz w:val="16"/>
                <w:szCs w:val="16"/>
              </w:rPr>
              <w:t>Clozapine dose &gt;525mg</w:t>
            </w:r>
            <w:r w:rsidR="00E51B70">
              <w:rPr>
                <w:rFonts w:ascii="Arial" w:hAnsi="Arial" w:cs="Arial"/>
                <w:sz w:val="16"/>
                <w:szCs w:val="16"/>
              </w:rPr>
              <w:t xml:space="preserve"> (n)</w:t>
            </w:r>
          </w:p>
        </w:tc>
        <w:tc>
          <w:tcPr>
            <w:tcW w:w="1284" w:type="dxa"/>
            <w:tcBorders>
              <w:top w:val="nil"/>
              <w:left w:val="nil"/>
              <w:bottom w:val="nil"/>
              <w:right w:val="nil"/>
            </w:tcBorders>
            <w:shd w:val="clear" w:color="auto" w:fill="auto"/>
          </w:tcPr>
          <w:p w14:paraId="741AC6C5" w14:textId="77777777" w:rsidR="00446C31" w:rsidRPr="004E0B11" w:rsidRDefault="00446C31">
            <w:pPr>
              <w:jc w:val="center"/>
              <w:rPr>
                <w:rFonts w:ascii="Arial" w:hAnsi="Arial" w:cs="Arial"/>
                <w:sz w:val="16"/>
                <w:szCs w:val="16"/>
              </w:rPr>
            </w:pPr>
            <w:r w:rsidRPr="004E0B11">
              <w:rPr>
                <w:rFonts w:ascii="Arial" w:hAnsi="Arial" w:cs="Arial"/>
                <w:sz w:val="16"/>
                <w:szCs w:val="16"/>
              </w:rPr>
              <w:t>21.2</w:t>
            </w:r>
            <w:proofErr w:type="gramStart"/>
            <w:r w:rsidRPr="004E0B11">
              <w:rPr>
                <w:rFonts w:ascii="Arial" w:hAnsi="Arial" w:cs="Arial"/>
                <w:sz w:val="16"/>
                <w:szCs w:val="16"/>
              </w:rPr>
              <w:t>%(</w:t>
            </w:r>
            <w:proofErr w:type="gramEnd"/>
            <w:r w:rsidRPr="004E0B11">
              <w:rPr>
                <w:rFonts w:ascii="Arial" w:hAnsi="Arial" w:cs="Arial"/>
                <w:sz w:val="16"/>
                <w:szCs w:val="16"/>
              </w:rPr>
              <w:t>7)</w:t>
            </w:r>
          </w:p>
        </w:tc>
        <w:tc>
          <w:tcPr>
            <w:tcW w:w="1283" w:type="dxa"/>
            <w:tcBorders>
              <w:top w:val="nil"/>
              <w:left w:val="nil"/>
              <w:bottom w:val="nil"/>
              <w:right w:val="nil"/>
            </w:tcBorders>
            <w:shd w:val="clear" w:color="auto" w:fill="auto"/>
          </w:tcPr>
          <w:p w14:paraId="42485F04" w14:textId="29F981EA" w:rsidR="00446C31" w:rsidRPr="004E0B11" w:rsidRDefault="00840741">
            <w:pPr>
              <w:jc w:val="center"/>
              <w:rPr>
                <w:rFonts w:ascii="Arial" w:hAnsi="Arial" w:cs="Arial"/>
                <w:sz w:val="16"/>
                <w:szCs w:val="16"/>
              </w:rPr>
            </w:pPr>
            <w:r w:rsidRPr="004E0B11">
              <w:rPr>
                <w:rFonts w:ascii="Arial" w:hAnsi="Arial" w:cs="Arial"/>
                <w:sz w:val="16"/>
                <w:szCs w:val="16"/>
              </w:rPr>
              <w:t>0</w:t>
            </w:r>
            <w:r w:rsidR="00446C31" w:rsidRPr="004E0B11">
              <w:rPr>
                <w:rFonts w:ascii="Arial" w:hAnsi="Arial" w:cs="Arial"/>
                <w:sz w:val="16"/>
                <w:szCs w:val="16"/>
              </w:rPr>
              <w:t>%</w:t>
            </w:r>
            <w:r w:rsidR="006D4E04" w:rsidRPr="004E0B11">
              <w:rPr>
                <w:rFonts w:ascii="Arial" w:hAnsi="Arial" w:cs="Arial"/>
                <w:sz w:val="16"/>
                <w:szCs w:val="16"/>
              </w:rPr>
              <w:t xml:space="preserve"> </w:t>
            </w:r>
            <w:r w:rsidR="00446C31" w:rsidRPr="004E0B11">
              <w:rPr>
                <w:rFonts w:ascii="Arial" w:hAnsi="Arial" w:cs="Arial"/>
                <w:sz w:val="16"/>
                <w:szCs w:val="16"/>
              </w:rPr>
              <w:t>(</w:t>
            </w:r>
            <w:r w:rsidRPr="004E0B11">
              <w:rPr>
                <w:rFonts w:ascii="Arial" w:hAnsi="Arial" w:cs="Arial"/>
                <w:sz w:val="16"/>
                <w:szCs w:val="16"/>
              </w:rPr>
              <w:t>0</w:t>
            </w:r>
            <w:r w:rsidR="00446C31" w:rsidRPr="004E0B11">
              <w:rPr>
                <w:rFonts w:ascii="Arial" w:hAnsi="Arial" w:cs="Arial"/>
                <w:sz w:val="16"/>
                <w:szCs w:val="16"/>
              </w:rPr>
              <w:t>)</w:t>
            </w:r>
          </w:p>
        </w:tc>
        <w:tc>
          <w:tcPr>
            <w:tcW w:w="1296" w:type="dxa"/>
            <w:tcBorders>
              <w:top w:val="nil"/>
              <w:left w:val="nil"/>
              <w:bottom w:val="nil"/>
              <w:right w:val="nil"/>
            </w:tcBorders>
            <w:shd w:val="clear" w:color="auto" w:fill="auto"/>
          </w:tcPr>
          <w:p w14:paraId="6D71E235" w14:textId="04075FF9" w:rsidR="00446C31" w:rsidRPr="004E0B11" w:rsidRDefault="00446C31">
            <w:pPr>
              <w:jc w:val="center"/>
              <w:rPr>
                <w:rFonts w:ascii="Arial" w:hAnsi="Arial" w:cs="Arial"/>
                <w:sz w:val="16"/>
                <w:szCs w:val="16"/>
              </w:rPr>
            </w:pPr>
            <w:r w:rsidRPr="004E0B11">
              <w:rPr>
                <w:rFonts w:ascii="Arial" w:hAnsi="Arial" w:cs="Arial"/>
                <w:sz w:val="16"/>
                <w:szCs w:val="16"/>
              </w:rPr>
              <w:t>0%</w:t>
            </w:r>
            <w:r w:rsidR="006D4E04" w:rsidRPr="004E0B11">
              <w:rPr>
                <w:rFonts w:ascii="Arial" w:hAnsi="Arial" w:cs="Arial"/>
                <w:sz w:val="16"/>
                <w:szCs w:val="16"/>
              </w:rPr>
              <w:t xml:space="preserve"> </w:t>
            </w:r>
            <w:r w:rsidRPr="004E0B11">
              <w:rPr>
                <w:rFonts w:ascii="Arial" w:hAnsi="Arial" w:cs="Arial"/>
                <w:sz w:val="16"/>
                <w:szCs w:val="16"/>
              </w:rPr>
              <w:t>(0)</w:t>
            </w:r>
          </w:p>
        </w:tc>
        <w:tc>
          <w:tcPr>
            <w:tcW w:w="1321" w:type="dxa"/>
            <w:tcBorders>
              <w:top w:val="nil"/>
              <w:left w:val="nil"/>
              <w:bottom w:val="nil"/>
              <w:right w:val="nil"/>
            </w:tcBorders>
            <w:shd w:val="clear" w:color="auto" w:fill="auto"/>
          </w:tcPr>
          <w:p w14:paraId="45000F94" w14:textId="6AFF95F4" w:rsidR="00446C31" w:rsidRPr="004E0B11" w:rsidRDefault="00FA460D">
            <w:pPr>
              <w:jc w:val="center"/>
              <w:rPr>
                <w:rFonts w:ascii="Arial" w:hAnsi="Arial" w:cs="Arial"/>
                <w:sz w:val="16"/>
                <w:szCs w:val="16"/>
              </w:rPr>
            </w:pPr>
            <w:r w:rsidRPr="004E0B11">
              <w:rPr>
                <w:rFonts w:ascii="Arial" w:hAnsi="Arial" w:cs="Arial"/>
                <w:sz w:val="16"/>
                <w:szCs w:val="16"/>
              </w:rPr>
              <w:t>40</w:t>
            </w:r>
            <w:r w:rsidR="00446C31" w:rsidRPr="004E0B11">
              <w:rPr>
                <w:rFonts w:ascii="Arial" w:hAnsi="Arial" w:cs="Arial"/>
                <w:sz w:val="16"/>
                <w:szCs w:val="16"/>
              </w:rPr>
              <w:t>%</w:t>
            </w:r>
            <w:r w:rsidR="006D4E04" w:rsidRPr="004E0B11">
              <w:rPr>
                <w:rFonts w:ascii="Arial" w:hAnsi="Arial" w:cs="Arial"/>
                <w:sz w:val="16"/>
                <w:szCs w:val="16"/>
              </w:rPr>
              <w:t xml:space="preserve"> </w:t>
            </w:r>
            <w:r w:rsidR="00446C31" w:rsidRPr="004E0B11">
              <w:rPr>
                <w:rFonts w:ascii="Arial" w:hAnsi="Arial" w:cs="Arial"/>
                <w:sz w:val="16"/>
                <w:szCs w:val="16"/>
              </w:rPr>
              <w:t>(6)</w:t>
            </w:r>
            <w:r w:rsidR="004D0C45" w:rsidRPr="004E0B11">
              <w:rPr>
                <w:rFonts w:ascii="Arial" w:hAnsi="Arial" w:cs="Arial"/>
                <w:i/>
                <w:sz w:val="16"/>
                <w:szCs w:val="16"/>
              </w:rPr>
              <w:t xml:space="preserve"> </w:t>
            </w:r>
          </w:p>
        </w:tc>
        <w:tc>
          <w:tcPr>
            <w:tcW w:w="770" w:type="dxa"/>
            <w:tcBorders>
              <w:top w:val="nil"/>
              <w:left w:val="nil"/>
              <w:bottom w:val="nil"/>
              <w:right w:val="nil"/>
            </w:tcBorders>
          </w:tcPr>
          <w:p w14:paraId="3AD88A8A" w14:textId="65CE8FFE" w:rsidR="00446C31" w:rsidRPr="004E0B11" w:rsidRDefault="00A37E17" w:rsidP="00B3761A">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=7.50</m:t>
                </m:r>
              </m:oMath>
            </m:oMathPara>
          </w:p>
        </w:tc>
        <w:tc>
          <w:tcPr>
            <w:tcW w:w="836" w:type="dxa"/>
            <w:tcBorders>
              <w:top w:val="nil"/>
              <w:left w:val="nil"/>
              <w:bottom w:val="nil"/>
              <w:right w:val="nil"/>
            </w:tcBorders>
            <w:shd w:val="clear" w:color="auto" w:fill="auto"/>
          </w:tcPr>
          <w:p w14:paraId="2E627237" w14:textId="2DEA893C" w:rsidR="00446C31" w:rsidRPr="004E0B11" w:rsidRDefault="00446C31" w:rsidP="00B3761A">
            <w:pPr>
              <w:jc w:val="center"/>
              <w:rPr>
                <w:rFonts w:ascii="Arial" w:hAnsi="Arial" w:cs="Arial"/>
                <w:b/>
                <w:bCs/>
                <w:sz w:val="16"/>
                <w:szCs w:val="16"/>
              </w:rPr>
            </w:pPr>
            <w:r w:rsidRPr="004E0B11">
              <w:rPr>
                <w:rFonts w:ascii="Arial" w:hAnsi="Arial" w:cs="Arial"/>
                <w:b/>
                <w:bCs/>
                <w:sz w:val="16"/>
                <w:szCs w:val="16"/>
              </w:rPr>
              <w:t>0.</w:t>
            </w:r>
            <w:r w:rsidR="00840741" w:rsidRPr="004E0B11">
              <w:rPr>
                <w:rFonts w:ascii="Arial" w:hAnsi="Arial" w:cs="Arial"/>
                <w:b/>
                <w:bCs/>
                <w:sz w:val="16"/>
                <w:szCs w:val="16"/>
              </w:rPr>
              <w:t>024</w:t>
            </w:r>
          </w:p>
        </w:tc>
      </w:tr>
      <w:tr w:rsidR="00446C31" w:rsidRPr="004E0B11" w14:paraId="6DAB1E8C" w14:textId="77777777" w:rsidTr="00446C31">
        <w:tc>
          <w:tcPr>
            <w:tcW w:w="2236" w:type="dxa"/>
            <w:tcBorders>
              <w:top w:val="nil"/>
              <w:left w:val="nil"/>
              <w:bottom w:val="single" w:sz="12" w:space="0" w:color="000000"/>
              <w:right w:val="nil"/>
            </w:tcBorders>
            <w:shd w:val="clear" w:color="auto" w:fill="auto"/>
          </w:tcPr>
          <w:p w14:paraId="3781EBD2" w14:textId="12C54D25" w:rsidR="00446C31" w:rsidRPr="004E0B11" w:rsidRDefault="00446C31">
            <w:pPr>
              <w:jc w:val="both"/>
              <w:rPr>
                <w:rFonts w:ascii="Arial" w:hAnsi="Arial" w:cs="Arial"/>
                <w:sz w:val="16"/>
                <w:szCs w:val="16"/>
              </w:rPr>
            </w:pPr>
            <w:r w:rsidRPr="004E0B11">
              <w:rPr>
                <w:rFonts w:ascii="Arial" w:hAnsi="Arial" w:cs="Arial"/>
                <w:sz w:val="16"/>
                <w:szCs w:val="16"/>
              </w:rPr>
              <w:t>Smoker</w:t>
            </w:r>
            <w:r w:rsidRPr="004E0B11">
              <w:rPr>
                <w:rFonts w:ascii="Arial" w:hAnsi="Arial" w:cs="Arial"/>
                <w:sz w:val="16"/>
                <w:szCs w:val="16"/>
                <w:vertAlign w:val="superscript"/>
              </w:rPr>
              <w:t>‡</w:t>
            </w:r>
          </w:p>
        </w:tc>
        <w:tc>
          <w:tcPr>
            <w:tcW w:w="1284" w:type="dxa"/>
            <w:tcBorders>
              <w:top w:val="nil"/>
              <w:left w:val="nil"/>
              <w:bottom w:val="single" w:sz="12" w:space="0" w:color="000000"/>
              <w:right w:val="nil"/>
            </w:tcBorders>
            <w:shd w:val="clear" w:color="auto" w:fill="auto"/>
          </w:tcPr>
          <w:p w14:paraId="0E40A1EC" w14:textId="77777777" w:rsidR="00446C31" w:rsidRPr="004E0B11" w:rsidRDefault="00446C31">
            <w:pPr>
              <w:jc w:val="center"/>
              <w:rPr>
                <w:rFonts w:ascii="Arial" w:hAnsi="Arial" w:cs="Arial"/>
                <w:sz w:val="16"/>
                <w:szCs w:val="16"/>
              </w:rPr>
            </w:pPr>
            <w:r w:rsidRPr="004E0B11">
              <w:rPr>
                <w:rFonts w:ascii="Arial" w:hAnsi="Arial" w:cs="Arial"/>
                <w:sz w:val="16"/>
                <w:szCs w:val="16"/>
              </w:rPr>
              <w:t>51.5% (17)</w:t>
            </w:r>
          </w:p>
        </w:tc>
        <w:tc>
          <w:tcPr>
            <w:tcW w:w="1283" w:type="dxa"/>
            <w:tcBorders>
              <w:top w:val="nil"/>
              <w:left w:val="nil"/>
              <w:bottom w:val="single" w:sz="12" w:space="0" w:color="000000"/>
              <w:right w:val="nil"/>
            </w:tcBorders>
            <w:shd w:val="clear" w:color="auto" w:fill="auto"/>
          </w:tcPr>
          <w:p w14:paraId="60908AE9" w14:textId="77777777" w:rsidR="00446C31" w:rsidRPr="004E0B11" w:rsidRDefault="00446C31">
            <w:pPr>
              <w:jc w:val="center"/>
              <w:rPr>
                <w:rFonts w:ascii="Arial" w:hAnsi="Arial" w:cs="Arial"/>
                <w:sz w:val="16"/>
                <w:szCs w:val="16"/>
              </w:rPr>
            </w:pPr>
            <w:r w:rsidRPr="004E0B11">
              <w:rPr>
                <w:rFonts w:ascii="Arial" w:hAnsi="Arial" w:cs="Arial"/>
                <w:sz w:val="16"/>
                <w:szCs w:val="16"/>
              </w:rPr>
              <w:t>37.5% (3)</w:t>
            </w:r>
          </w:p>
        </w:tc>
        <w:tc>
          <w:tcPr>
            <w:tcW w:w="1296" w:type="dxa"/>
            <w:tcBorders>
              <w:top w:val="nil"/>
              <w:left w:val="nil"/>
              <w:bottom w:val="single" w:sz="12" w:space="0" w:color="000000"/>
              <w:right w:val="nil"/>
            </w:tcBorders>
            <w:shd w:val="clear" w:color="auto" w:fill="auto"/>
          </w:tcPr>
          <w:p w14:paraId="242E04FB" w14:textId="77777777" w:rsidR="00446C31" w:rsidRPr="004E0B11" w:rsidRDefault="00446C31">
            <w:pPr>
              <w:jc w:val="center"/>
              <w:rPr>
                <w:rFonts w:ascii="Arial" w:hAnsi="Arial" w:cs="Arial"/>
                <w:sz w:val="16"/>
                <w:szCs w:val="16"/>
              </w:rPr>
            </w:pPr>
            <w:r w:rsidRPr="004E0B11">
              <w:rPr>
                <w:rFonts w:ascii="Arial" w:hAnsi="Arial" w:cs="Arial"/>
                <w:sz w:val="16"/>
                <w:szCs w:val="16"/>
              </w:rPr>
              <w:t>37.5% (3)</w:t>
            </w:r>
          </w:p>
        </w:tc>
        <w:tc>
          <w:tcPr>
            <w:tcW w:w="1321" w:type="dxa"/>
            <w:tcBorders>
              <w:top w:val="nil"/>
              <w:left w:val="nil"/>
              <w:bottom w:val="single" w:sz="12" w:space="0" w:color="000000"/>
              <w:right w:val="nil"/>
            </w:tcBorders>
            <w:shd w:val="clear" w:color="auto" w:fill="auto"/>
          </w:tcPr>
          <w:p w14:paraId="1481E016" w14:textId="77777777" w:rsidR="00446C31" w:rsidRPr="004E0B11" w:rsidRDefault="00446C31">
            <w:pPr>
              <w:jc w:val="center"/>
              <w:rPr>
                <w:rFonts w:ascii="Arial" w:hAnsi="Arial" w:cs="Arial"/>
                <w:sz w:val="16"/>
                <w:szCs w:val="16"/>
              </w:rPr>
            </w:pPr>
            <w:r w:rsidRPr="004E0B11">
              <w:rPr>
                <w:rFonts w:ascii="Arial" w:hAnsi="Arial" w:cs="Arial"/>
                <w:sz w:val="16"/>
                <w:szCs w:val="16"/>
              </w:rPr>
              <w:t>64.7% (11)</w:t>
            </w:r>
          </w:p>
        </w:tc>
        <w:tc>
          <w:tcPr>
            <w:tcW w:w="770" w:type="dxa"/>
            <w:tcBorders>
              <w:top w:val="nil"/>
              <w:left w:val="nil"/>
              <w:bottom w:val="single" w:sz="12" w:space="0" w:color="000000"/>
              <w:right w:val="nil"/>
            </w:tcBorders>
          </w:tcPr>
          <w:p w14:paraId="7792CFA9" w14:textId="3438D5A3" w:rsidR="00446C31" w:rsidRPr="004E0B11" w:rsidRDefault="00A37E17" w:rsidP="00312DC4">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=2.26</m:t>
                </m:r>
              </m:oMath>
            </m:oMathPara>
          </w:p>
        </w:tc>
        <w:tc>
          <w:tcPr>
            <w:tcW w:w="836" w:type="dxa"/>
            <w:tcBorders>
              <w:top w:val="nil"/>
              <w:left w:val="nil"/>
              <w:bottom w:val="single" w:sz="12" w:space="0" w:color="000000"/>
              <w:right w:val="nil"/>
            </w:tcBorders>
            <w:shd w:val="clear" w:color="auto" w:fill="auto"/>
          </w:tcPr>
          <w:p w14:paraId="557E69BB" w14:textId="2047A507" w:rsidR="00446C31" w:rsidRPr="004E0B11" w:rsidRDefault="00446C31">
            <w:pPr>
              <w:jc w:val="center"/>
              <w:rPr>
                <w:rFonts w:ascii="Arial" w:hAnsi="Arial" w:cs="Arial"/>
                <w:sz w:val="16"/>
                <w:szCs w:val="16"/>
              </w:rPr>
            </w:pPr>
            <w:r w:rsidRPr="004E0B11">
              <w:rPr>
                <w:rFonts w:ascii="Arial" w:hAnsi="Arial" w:cs="Arial"/>
                <w:sz w:val="16"/>
                <w:szCs w:val="16"/>
              </w:rPr>
              <w:t>0.324</w:t>
            </w:r>
          </w:p>
        </w:tc>
      </w:tr>
    </w:tbl>
    <w:p w14:paraId="4FF9C4DF" w14:textId="75CE84BD" w:rsidR="00FE5D8E" w:rsidRPr="004E0B11" w:rsidRDefault="00FA34AA">
      <w:pPr>
        <w:jc w:val="both"/>
        <w:rPr>
          <w:rFonts w:ascii="Arial" w:hAnsi="Arial" w:cs="Arial"/>
        </w:rPr>
      </w:pPr>
      <w:r w:rsidRPr="004E0B11">
        <w:rPr>
          <w:rFonts w:ascii="Arial" w:hAnsi="Arial" w:cs="Arial"/>
          <w:i/>
          <w:sz w:val="16"/>
          <w:szCs w:val="20"/>
        </w:rPr>
        <w:t>†</w:t>
      </w:r>
      <w:r w:rsidR="0095382D" w:rsidRPr="004E0B11">
        <w:rPr>
          <w:rFonts w:ascii="Arial" w:hAnsi="Arial" w:cs="Arial"/>
          <w:i/>
          <w:sz w:val="20"/>
          <w:szCs w:val="20"/>
        </w:rPr>
        <w:t xml:space="preserve"> </w:t>
      </w:r>
      <w:r w:rsidR="0094185F" w:rsidRPr="004E0B11">
        <w:rPr>
          <w:rFonts w:ascii="Arial" w:hAnsi="Arial" w:cs="Arial"/>
          <w:i/>
          <w:sz w:val="20"/>
          <w:szCs w:val="20"/>
        </w:rPr>
        <w:t>Clozapine dose data was m</w:t>
      </w:r>
      <w:r w:rsidR="0095382D" w:rsidRPr="004E0B11">
        <w:rPr>
          <w:rFonts w:ascii="Arial" w:hAnsi="Arial" w:cs="Arial"/>
          <w:i/>
          <w:sz w:val="20"/>
          <w:szCs w:val="20"/>
        </w:rPr>
        <w:t xml:space="preserve">issing </w:t>
      </w:r>
      <w:r w:rsidR="0094185F" w:rsidRPr="004E0B11">
        <w:rPr>
          <w:rFonts w:ascii="Arial" w:hAnsi="Arial" w:cs="Arial"/>
          <w:i/>
          <w:sz w:val="20"/>
          <w:szCs w:val="20"/>
        </w:rPr>
        <w:t>for</w:t>
      </w:r>
      <w:r w:rsidR="0095382D" w:rsidRPr="004E0B11">
        <w:rPr>
          <w:rFonts w:ascii="Arial" w:hAnsi="Arial" w:cs="Arial"/>
          <w:i/>
          <w:sz w:val="20"/>
          <w:szCs w:val="20"/>
        </w:rPr>
        <w:t xml:space="preserve"> one case and another on titration </w:t>
      </w:r>
      <w:r w:rsidR="0094185F" w:rsidRPr="004E0B11">
        <w:rPr>
          <w:rFonts w:ascii="Arial" w:hAnsi="Arial" w:cs="Arial"/>
          <w:i/>
          <w:sz w:val="20"/>
          <w:szCs w:val="20"/>
        </w:rPr>
        <w:t xml:space="preserve">was </w:t>
      </w:r>
      <w:r w:rsidR="0095382D" w:rsidRPr="004E0B11">
        <w:rPr>
          <w:rFonts w:ascii="Arial" w:hAnsi="Arial" w:cs="Arial"/>
          <w:i/>
          <w:sz w:val="20"/>
          <w:szCs w:val="20"/>
        </w:rPr>
        <w:t xml:space="preserve">excluded. </w:t>
      </w:r>
    </w:p>
    <w:p w14:paraId="484D1910" w14:textId="06C66931" w:rsidR="00FE5D8E" w:rsidRPr="004E0B11" w:rsidRDefault="00C22E61">
      <w:pPr>
        <w:jc w:val="both"/>
        <w:rPr>
          <w:rFonts w:ascii="Arial" w:hAnsi="Arial" w:cs="Arial"/>
        </w:rPr>
      </w:pPr>
      <w:r w:rsidRPr="004E0B11">
        <w:rPr>
          <w:rFonts w:ascii="Arial" w:hAnsi="Arial" w:cs="Arial"/>
          <w:i/>
          <w:sz w:val="20"/>
          <w:szCs w:val="20"/>
          <w:vertAlign w:val="superscript"/>
        </w:rPr>
        <w:t>a</w:t>
      </w:r>
      <w:r w:rsidR="0095382D" w:rsidRPr="004E0B11">
        <w:rPr>
          <w:rFonts w:ascii="Arial" w:hAnsi="Arial" w:cs="Arial"/>
          <w:i/>
          <w:sz w:val="20"/>
          <w:szCs w:val="20"/>
        </w:rPr>
        <w:t xml:space="preserve"> Post-hoc LSD tests showed statistically significant differences between group B and groups A (p=0.005) and C (p=0.030), but no differences </w:t>
      </w:r>
      <w:r w:rsidR="00904D8B" w:rsidRPr="004E0B11">
        <w:rPr>
          <w:rFonts w:ascii="Arial" w:hAnsi="Arial" w:cs="Arial"/>
          <w:i/>
          <w:sz w:val="20"/>
          <w:szCs w:val="20"/>
        </w:rPr>
        <w:t>between group A and C (p=0.211).</w:t>
      </w:r>
    </w:p>
    <w:p w14:paraId="50C75088" w14:textId="7374050C" w:rsidR="00FE5D8E" w:rsidRPr="00C22E61" w:rsidRDefault="00C22E61">
      <w:pPr>
        <w:jc w:val="both"/>
        <w:rPr>
          <w:rFonts w:ascii="Arial" w:hAnsi="Arial" w:cs="Arial"/>
          <w:i/>
          <w:sz w:val="20"/>
          <w:szCs w:val="20"/>
        </w:rPr>
      </w:pPr>
      <w:r w:rsidRPr="004E0B11">
        <w:rPr>
          <w:rFonts w:ascii="Arial" w:hAnsi="Arial" w:cs="Arial"/>
          <w:i/>
          <w:sz w:val="20"/>
          <w:szCs w:val="20"/>
          <w:vertAlign w:val="superscript"/>
        </w:rPr>
        <w:t>b</w:t>
      </w:r>
      <w:r w:rsidR="0095382D" w:rsidRPr="004E0B11">
        <w:rPr>
          <w:rFonts w:ascii="Arial" w:hAnsi="Arial" w:cs="Arial"/>
          <w:i/>
          <w:sz w:val="20"/>
          <w:szCs w:val="20"/>
          <w:vertAlign w:val="superscript"/>
        </w:rPr>
        <w:t xml:space="preserve"> </w:t>
      </w:r>
      <w:r w:rsidR="0095382D" w:rsidRPr="004E0B11">
        <w:rPr>
          <w:rFonts w:ascii="Arial" w:hAnsi="Arial" w:cs="Arial"/>
          <w:i/>
          <w:sz w:val="20"/>
          <w:szCs w:val="20"/>
        </w:rPr>
        <w:t xml:space="preserve">Post-hoc test (LSD test) showed statistically significant differences </w:t>
      </w:r>
      <w:r w:rsidRPr="004E0B11">
        <w:rPr>
          <w:rFonts w:ascii="Arial" w:hAnsi="Arial" w:cs="Arial"/>
          <w:i/>
          <w:sz w:val="20"/>
          <w:szCs w:val="20"/>
        </w:rPr>
        <w:t>between group B and groups A (p=0.005) and C (p=0.022)</w:t>
      </w:r>
      <w:r w:rsidR="0095382D" w:rsidRPr="004E0B11">
        <w:rPr>
          <w:rFonts w:ascii="Arial" w:hAnsi="Arial" w:cs="Arial"/>
          <w:i/>
          <w:sz w:val="20"/>
          <w:szCs w:val="20"/>
        </w:rPr>
        <w:t>, and no differences between</w:t>
      </w:r>
      <w:r w:rsidRPr="004E0B11">
        <w:rPr>
          <w:rFonts w:ascii="Arial" w:hAnsi="Arial" w:cs="Arial"/>
          <w:i/>
          <w:sz w:val="20"/>
          <w:szCs w:val="20"/>
        </w:rPr>
        <w:t xml:space="preserve"> group A and C (p=0.948).</w:t>
      </w:r>
    </w:p>
    <w:p w14:paraId="495F6789" w14:textId="77777777" w:rsidR="00FE5D8E" w:rsidRDefault="00FE5D8E">
      <w:pPr>
        <w:jc w:val="both"/>
        <w:outlineLvl w:val="0"/>
        <w:rPr>
          <w:rFonts w:ascii="Arial" w:hAnsi="Arial" w:cs="Arial"/>
          <w:b/>
          <w:sz w:val="22"/>
          <w:szCs w:val="22"/>
        </w:rPr>
      </w:pPr>
    </w:p>
    <w:p w14:paraId="5286C1C6" w14:textId="77777777" w:rsidR="00A203A1" w:rsidRDefault="00A203A1">
      <w:pPr>
        <w:jc w:val="both"/>
        <w:outlineLvl w:val="0"/>
        <w:rPr>
          <w:rFonts w:ascii="Arial" w:hAnsi="Arial" w:cs="Arial"/>
          <w:b/>
          <w:sz w:val="22"/>
          <w:szCs w:val="22"/>
        </w:rPr>
      </w:pPr>
    </w:p>
    <w:p w14:paraId="16C4B19B" w14:textId="77777777" w:rsidR="00A203A1" w:rsidRDefault="00A203A1">
      <w:pPr>
        <w:jc w:val="both"/>
        <w:outlineLvl w:val="0"/>
        <w:rPr>
          <w:rFonts w:ascii="Arial" w:hAnsi="Arial" w:cs="Arial"/>
          <w:b/>
          <w:sz w:val="22"/>
          <w:szCs w:val="22"/>
        </w:rPr>
      </w:pPr>
    </w:p>
    <w:p w14:paraId="49E90C89" w14:textId="77777777" w:rsidR="008B57B8" w:rsidRDefault="008B57B8">
      <w:pPr>
        <w:rPr>
          <w:rFonts w:ascii="Arial" w:hAnsi="Arial" w:cs="Arial"/>
          <w:b/>
          <w:sz w:val="22"/>
          <w:szCs w:val="22"/>
        </w:rPr>
      </w:pPr>
      <w:r>
        <w:rPr>
          <w:rFonts w:ascii="Arial" w:hAnsi="Arial" w:cs="Arial"/>
          <w:b/>
          <w:sz w:val="22"/>
          <w:szCs w:val="22"/>
        </w:rPr>
        <w:br w:type="page"/>
      </w:r>
    </w:p>
    <w:p w14:paraId="6C13CCC2" w14:textId="2F28C3B7" w:rsidR="00FE5D8E" w:rsidRPr="004E0B11" w:rsidRDefault="0095382D">
      <w:pPr>
        <w:jc w:val="both"/>
        <w:outlineLvl w:val="0"/>
        <w:rPr>
          <w:rFonts w:ascii="Arial" w:hAnsi="Arial" w:cs="Arial"/>
          <w:i/>
          <w:sz w:val="22"/>
          <w:szCs w:val="22"/>
        </w:rPr>
      </w:pPr>
      <w:r w:rsidRPr="00E0454F">
        <w:rPr>
          <w:rFonts w:ascii="Arial" w:hAnsi="Arial" w:cs="Arial"/>
          <w:b/>
          <w:sz w:val="22"/>
          <w:szCs w:val="22"/>
        </w:rPr>
        <w:lastRenderedPageBreak/>
        <w:t>Table 2.</w:t>
      </w:r>
      <w:r w:rsidRPr="00E0454F">
        <w:rPr>
          <w:rFonts w:ascii="Arial" w:hAnsi="Arial" w:cs="Arial"/>
          <w:sz w:val="22"/>
          <w:szCs w:val="22"/>
        </w:rPr>
        <w:t xml:space="preserve"> </w:t>
      </w:r>
      <w:r w:rsidRPr="00E0454F">
        <w:rPr>
          <w:rFonts w:ascii="Arial" w:hAnsi="Arial" w:cs="Arial"/>
          <w:i/>
          <w:sz w:val="22"/>
          <w:szCs w:val="22"/>
        </w:rPr>
        <w:t xml:space="preserve">Comparison of the sociodemographic and </w:t>
      </w:r>
      <w:r w:rsidRPr="004E0B11">
        <w:rPr>
          <w:rFonts w:ascii="Arial" w:hAnsi="Arial" w:cs="Arial"/>
          <w:i/>
          <w:sz w:val="22"/>
          <w:szCs w:val="22"/>
        </w:rPr>
        <w:t>clinical variables of the unexpected death group (n=1</w:t>
      </w:r>
      <w:r w:rsidR="004D0C45" w:rsidRPr="004E0B11">
        <w:rPr>
          <w:rFonts w:ascii="Arial" w:hAnsi="Arial" w:cs="Arial"/>
          <w:i/>
          <w:sz w:val="22"/>
          <w:szCs w:val="22"/>
        </w:rPr>
        <w:t>5</w:t>
      </w:r>
      <w:r w:rsidRPr="004E0B11">
        <w:rPr>
          <w:rFonts w:ascii="Arial" w:hAnsi="Arial" w:cs="Arial"/>
          <w:i/>
          <w:sz w:val="22"/>
          <w:szCs w:val="22"/>
        </w:rPr>
        <w:t>) with the control clozapine-treated group (n=123).</w:t>
      </w:r>
    </w:p>
    <w:tbl>
      <w:tblPr>
        <w:tblStyle w:val="TableGrid1"/>
        <w:tblW w:w="5000" w:type="pct"/>
        <w:tblCellMar>
          <w:left w:w="28" w:type="dxa"/>
          <w:right w:w="28" w:type="dxa"/>
        </w:tblCellMar>
        <w:tblLook w:val="04A0" w:firstRow="1" w:lastRow="0" w:firstColumn="1" w:lastColumn="0" w:noHBand="0" w:noVBand="1"/>
      </w:tblPr>
      <w:tblGrid>
        <w:gridCol w:w="2706"/>
        <w:gridCol w:w="1972"/>
        <w:gridCol w:w="2551"/>
        <w:gridCol w:w="848"/>
        <w:gridCol w:w="949"/>
      </w:tblGrid>
      <w:tr w:rsidR="002D7CF2" w:rsidRPr="004E0B11" w14:paraId="33D3740D" w14:textId="77777777" w:rsidTr="008322CD">
        <w:tc>
          <w:tcPr>
            <w:tcW w:w="2706" w:type="dxa"/>
            <w:tcBorders>
              <w:top w:val="single" w:sz="12" w:space="0" w:color="000000"/>
              <w:left w:val="nil"/>
              <w:bottom w:val="single" w:sz="6" w:space="0" w:color="000000"/>
              <w:right w:val="nil"/>
            </w:tcBorders>
            <w:shd w:val="clear" w:color="auto" w:fill="auto"/>
          </w:tcPr>
          <w:p w14:paraId="4EA30E16" w14:textId="1791FE6B" w:rsidR="002D7CF2" w:rsidRPr="004E0B11" w:rsidRDefault="002D7CF2" w:rsidP="002D7CF2">
            <w:pPr>
              <w:jc w:val="both"/>
              <w:rPr>
                <w:rFonts w:ascii="Arial" w:hAnsi="Arial" w:cs="Arial"/>
                <w:sz w:val="16"/>
                <w:szCs w:val="16"/>
              </w:rPr>
            </w:pPr>
          </w:p>
        </w:tc>
        <w:tc>
          <w:tcPr>
            <w:tcW w:w="1972" w:type="dxa"/>
            <w:tcBorders>
              <w:top w:val="single" w:sz="12" w:space="0" w:color="000000"/>
              <w:left w:val="nil"/>
              <w:bottom w:val="single" w:sz="6" w:space="0" w:color="000000"/>
              <w:right w:val="nil"/>
            </w:tcBorders>
            <w:shd w:val="clear" w:color="auto" w:fill="auto"/>
          </w:tcPr>
          <w:p w14:paraId="60603323" w14:textId="77777777" w:rsidR="002D7CF2" w:rsidRPr="004E0B11" w:rsidRDefault="002D7CF2" w:rsidP="002D7CF2">
            <w:pPr>
              <w:jc w:val="center"/>
              <w:rPr>
                <w:rFonts w:ascii="Arial" w:hAnsi="Arial" w:cs="Arial"/>
                <w:b/>
                <w:sz w:val="16"/>
                <w:szCs w:val="16"/>
              </w:rPr>
            </w:pPr>
            <w:r w:rsidRPr="004E0B11">
              <w:rPr>
                <w:rFonts w:ascii="Arial" w:hAnsi="Arial" w:cs="Arial"/>
                <w:b/>
                <w:sz w:val="16"/>
                <w:szCs w:val="16"/>
              </w:rPr>
              <w:t xml:space="preserve">Unexpected death </w:t>
            </w:r>
          </w:p>
          <w:p w14:paraId="6596BB0D" w14:textId="136DF56C" w:rsidR="002D7CF2" w:rsidRPr="004E0B11" w:rsidRDefault="002D7CF2" w:rsidP="002D7CF2">
            <w:pPr>
              <w:jc w:val="center"/>
              <w:rPr>
                <w:rFonts w:ascii="Arial" w:hAnsi="Arial" w:cs="Arial"/>
                <w:sz w:val="16"/>
                <w:szCs w:val="16"/>
              </w:rPr>
            </w:pPr>
            <w:r w:rsidRPr="004E0B11">
              <w:rPr>
                <w:rFonts w:ascii="Arial" w:hAnsi="Arial" w:cs="Arial"/>
                <w:b/>
                <w:sz w:val="16"/>
                <w:szCs w:val="16"/>
              </w:rPr>
              <w:t>(n = 1</w:t>
            </w:r>
            <w:r w:rsidR="004D0C45" w:rsidRPr="004E0B11">
              <w:rPr>
                <w:rFonts w:ascii="Arial" w:hAnsi="Arial" w:cs="Arial"/>
                <w:b/>
                <w:sz w:val="16"/>
                <w:szCs w:val="16"/>
              </w:rPr>
              <w:t>5</w:t>
            </w:r>
            <w:r w:rsidRPr="004E0B11">
              <w:rPr>
                <w:rFonts w:ascii="Arial" w:hAnsi="Arial" w:cs="Arial"/>
                <w:b/>
                <w:sz w:val="16"/>
                <w:szCs w:val="16"/>
              </w:rPr>
              <w:t xml:space="preserve">) </w:t>
            </w:r>
          </w:p>
        </w:tc>
        <w:tc>
          <w:tcPr>
            <w:tcW w:w="2551" w:type="dxa"/>
            <w:tcBorders>
              <w:top w:val="single" w:sz="12" w:space="0" w:color="000000"/>
              <w:left w:val="nil"/>
              <w:bottom w:val="single" w:sz="6" w:space="0" w:color="000000"/>
              <w:right w:val="nil"/>
            </w:tcBorders>
            <w:shd w:val="clear" w:color="auto" w:fill="auto"/>
          </w:tcPr>
          <w:p w14:paraId="6292CCCB" w14:textId="1D860700" w:rsidR="002D7CF2" w:rsidRPr="004E0B11" w:rsidRDefault="002D7CF2" w:rsidP="002D7CF2">
            <w:pPr>
              <w:jc w:val="center"/>
              <w:rPr>
                <w:rFonts w:ascii="Arial" w:hAnsi="Arial" w:cs="Arial"/>
                <w:sz w:val="16"/>
                <w:szCs w:val="16"/>
              </w:rPr>
            </w:pPr>
            <w:r w:rsidRPr="004E0B11">
              <w:rPr>
                <w:rFonts w:ascii="Arial" w:hAnsi="Arial" w:cs="Arial"/>
                <w:b/>
                <w:sz w:val="16"/>
                <w:szCs w:val="16"/>
              </w:rPr>
              <w:t>Clozapine-treated controls</w:t>
            </w:r>
          </w:p>
          <w:p w14:paraId="34C7773E" w14:textId="39C74E70" w:rsidR="002D7CF2" w:rsidRPr="004E0B11" w:rsidRDefault="002D7CF2" w:rsidP="002D7CF2">
            <w:pPr>
              <w:jc w:val="center"/>
              <w:rPr>
                <w:rFonts w:ascii="Arial" w:hAnsi="Arial" w:cs="Arial"/>
                <w:sz w:val="16"/>
                <w:szCs w:val="16"/>
              </w:rPr>
            </w:pPr>
            <w:r w:rsidRPr="004E0B11">
              <w:rPr>
                <w:rFonts w:ascii="Arial" w:hAnsi="Arial" w:cs="Arial"/>
                <w:b/>
                <w:sz w:val="16"/>
                <w:szCs w:val="16"/>
              </w:rPr>
              <w:t>(n = 123)</w:t>
            </w:r>
          </w:p>
        </w:tc>
        <w:tc>
          <w:tcPr>
            <w:tcW w:w="848" w:type="dxa"/>
            <w:tcBorders>
              <w:top w:val="single" w:sz="12" w:space="0" w:color="000000"/>
              <w:left w:val="nil"/>
              <w:bottom w:val="single" w:sz="6" w:space="0" w:color="000000"/>
              <w:right w:val="nil"/>
            </w:tcBorders>
            <w:vAlign w:val="center"/>
          </w:tcPr>
          <w:p w14:paraId="76A686CA" w14:textId="3D5C68A1" w:rsidR="002D7CF2" w:rsidRPr="004E0B11" w:rsidRDefault="002D7CF2" w:rsidP="002D7CF2">
            <w:pPr>
              <w:jc w:val="center"/>
              <w:rPr>
                <w:rFonts w:ascii="Arial" w:hAnsi="Arial" w:cs="Arial"/>
                <w:b/>
                <w:sz w:val="16"/>
                <w:szCs w:val="16"/>
              </w:rPr>
            </w:pPr>
            <w:r w:rsidRPr="004E0B11">
              <w:rPr>
                <w:rFonts w:ascii="Arial" w:hAnsi="Arial" w:cs="Arial"/>
                <w:b/>
                <w:sz w:val="16"/>
                <w:szCs w:val="16"/>
              </w:rPr>
              <w:t>Statistics</w:t>
            </w:r>
          </w:p>
        </w:tc>
        <w:tc>
          <w:tcPr>
            <w:tcW w:w="949" w:type="dxa"/>
            <w:tcBorders>
              <w:top w:val="single" w:sz="12" w:space="0" w:color="000000"/>
              <w:left w:val="nil"/>
              <w:bottom w:val="single" w:sz="6" w:space="0" w:color="000000"/>
              <w:right w:val="nil"/>
            </w:tcBorders>
            <w:shd w:val="clear" w:color="auto" w:fill="auto"/>
            <w:vAlign w:val="center"/>
          </w:tcPr>
          <w:p w14:paraId="633643C9" w14:textId="6FACC835" w:rsidR="002D7CF2" w:rsidRPr="004E0B11" w:rsidRDefault="002D7CF2" w:rsidP="00992CF4">
            <w:pPr>
              <w:jc w:val="center"/>
              <w:rPr>
                <w:rFonts w:ascii="Arial" w:hAnsi="Arial" w:cs="Arial"/>
                <w:b/>
                <w:sz w:val="16"/>
                <w:szCs w:val="16"/>
              </w:rPr>
            </w:pPr>
            <w:r w:rsidRPr="004E0B11">
              <w:rPr>
                <w:rFonts w:ascii="Arial" w:hAnsi="Arial" w:cs="Arial"/>
                <w:b/>
                <w:sz w:val="16"/>
                <w:szCs w:val="16"/>
              </w:rPr>
              <w:t>P Value</w:t>
            </w:r>
          </w:p>
        </w:tc>
      </w:tr>
      <w:tr w:rsidR="002D7CF2" w:rsidRPr="004E0B11" w14:paraId="431D8F5C" w14:textId="77777777" w:rsidTr="008322CD">
        <w:tc>
          <w:tcPr>
            <w:tcW w:w="2706" w:type="dxa"/>
            <w:tcBorders>
              <w:top w:val="single" w:sz="6" w:space="0" w:color="000000"/>
              <w:left w:val="nil"/>
              <w:bottom w:val="nil"/>
              <w:right w:val="nil"/>
            </w:tcBorders>
            <w:shd w:val="clear" w:color="auto" w:fill="auto"/>
          </w:tcPr>
          <w:p w14:paraId="5217DE21" w14:textId="14ED7F2D" w:rsidR="002D7CF2" w:rsidRPr="004E0B11" w:rsidRDefault="002D7CF2">
            <w:pPr>
              <w:jc w:val="both"/>
              <w:rPr>
                <w:rFonts w:ascii="Arial" w:hAnsi="Arial" w:cs="Arial"/>
                <w:sz w:val="16"/>
                <w:szCs w:val="16"/>
              </w:rPr>
            </w:pPr>
            <w:r w:rsidRPr="004E0B11">
              <w:rPr>
                <w:rFonts w:ascii="Arial" w:hAnsi="Arial" w:cs="Arial"/>
                <w:sz w:val="16"/>
                <w:szCs w:val="16"/>
              </w:rPr>
              <w:t>Male</w:t>
            </w:r>
          </w:p>
        </w:tc>
        <w:tc>
          <w:tcPr>
            <w:tcW w:w="1972" w:type="dxa"/>
            <w:tcBorders>
              <w:top w:val="single" w:sz="6" w:space="0" w:color="000000"/>
              <w:left w:val="nil"/>
              <w:bottom w:val="nil"/>
              <w:right w:val="nil"/>
            </w:tcBorders>
            <w:shd w:val="clear" w:color="auto" w:fill="auto"/>
          </w:tcPr>
          <w:p w14:paraId="78B175CC" w14:textId="77777777" w:rsidR="002D7CF2" w:rsidRPr="004E0B11" w:rsidRDefault="002D7CF2">
            <w:pPr>
              <w:jc w:val="center"/>
              <w:rPr>
                <w:rFonts w:ascii="Arial" w:hAnsi="Arial" w:cs="Arial"/>
                <w:sz w:val="16"/>
                <w:szCs w:val="16"/>
              </w:rPr>
            </w:pPr>
            <w:r w:rsidRPr="004E0B11">
              <w:rPr>
                <w:rFonts w:ascii="Arial" w:hAnsi="Arial" w:cs="Arial"/>
                <w:sz w:val="16"/>
                <w:szCs w:val="16"/>
              </w:rPr>
              <w:t>76.5% (13)</w:t>
            </w:r>
          </w:p>
        </w:tc>
        <w:tc>
          <w:tcPr>
            <w:tcW w:w="2551" w:type="dxa"/>
            <w:tcBorders>
              <w:top w:val="single" w:sz="6" w:space="0" w:color="000000"/>
              <w:left w:val="nil"/>
              <w:bottom w:val="nil"/>
              <w:right w:val="nil"/>
            </w:tcBorders>
            <w:shd w:val="clear" w:color="auto" w:fill="auto"/>
          </w:tcPr>
          <w:p w14:paraId="4B00FCD5" w14:textId="77777777" w:rsidR="002D7CF2" w:rsidRPr="004E0B11" w:rsidRDefault="002D7CF2">
            <w:pPr>
              <w:jc w:val="center"/>
              <w:rPr>
                <w:rFonts w:ascii="Arial" w:hAnsi="Arial" w:cs="Arial"/>
                <w:sz w:val="16"/>
                <w:szCs w:val="16"/>
              </w:rPr>
            </w:pPr>
            <w:r w:rsidRPr="004E0B11">
              <w:rPr>
                <w:rFonts w:ascii="Arial" w:hAnsi="Arial" w:cs="Arial"/>
                <w:sz w:val="16"/>
                <w:szCs w:val="16"/>
              </w:rPr>
              <w:t>80.5% (99)</w:t>
            </w:r>
          </w:p>
        </w:tc>
        <w:tc>
          <w:tcPr>
            <w:tcW w:w="848" w:type="dxa"/>
            <w:tcBorders>
              <w:top w:val="single" w:sz="6" w:space="0" w:color="000000"/>
              <w:left w:val="nil"/>
              <w:bottom w:val="nil"/>
              <w:right w:val="nil"/>
            </w:tcBorders>
          </w:tcPr>
          <w:p w14:paraId="77AA2B8D" w14:textId="7843B53B" w:rsidR="002D7CF2" w:rsidRPr="004E0B11" w:rsidRDefault="00A37E17" w:rsidP="008322CD">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=0.004</m:t>
                </m:r>
              </m:oMath>
            </m:oMathPara>
          </w:p>
        </w:tc>
        <w:tc>
          <w:tcPr>
            <w:tcW w:w="949" w:type="dxa"/>
            <w:tcBorders>
              <w:top w:val="single" w:sz="6" w:space="0" w:color="000000"/>
              <w:left w:val="nil"/>
              <w:bottom w:val="nil"/>
              <w:right w:val="nil"/>
            </w:tcBorders>
            <w:shd w:val="clear" w:color="auto" w:fill="auto"/>
          </w:tcPr>
          <w:p w14:paraId="7FF05C9A" w14:textId="6D8DE57F" w:rsidR="002D7CF2" w:rsidRPr="004E0B11" w:rsidRDefault="002D7CF2">
            <w:pPr>
              <w:jc w:val="center"/>
              <w:rPr>
                <w:rFonts w:ascii="Arial" w:hAnsi="Arial" w:cs="Arial"/>
                <w:sz w:val="16"/>
                <w:szCs w:val="16"/>
              </w:rPr>
            </w:pPr>
            <w:r w:rsidRPr="004E0B11">
              <w:rPr>
                <w:rFonts w:ascii="Arial" w:hAnsi="Arial" w:cs="Arial"/>
                <w:sz w:val="16"/>
                <w:szCs w:val="16"/>
              </w:rPr>
              <w:t>0.948</w:t>
            </w:r>
          </w:p>
        </w:tc>
      </w:tr>
      <w:tr w:rsidR="002D7CF2" w:rsidRPr="004E0B11" w14:paraId="5FF43CEE" w14:textId="77777777" w:rsidTr="008322CD">
        <w:tc>
          <w:tcPr>
            <w:tcW w:w="2706" w:type="dxa"/>
            <w:tcBorders>
              <w:top w:val="nil"/>
              <w:left w:val="nil"/>
              <w:bottom w:val="nil"/>
              <w:right w:val="nil"/>
            </w:tcBorders>
            <w:shd w:val="clear" w:color="auto" w:fill="auto"/>
          </w:tcPr>
          <w:p w14:paraId="6011895F" w14:textId="541F1914" w:rsidR="002D7CF2" w:rsidRPr="004E0B11" w:rsidRDefault="002D7CF2">
            <w:pPr>
              <w:jc w:val="both"/>
              <w:rPr>
                <w:rFonts w:ascii="Arial" w:hAnsi="Arial" w:cs="Arial"/>
                <w:sz w:val="16"/>
                <w:szCs w:val="16"/>
              </w:rPr>
            </w:pPr>
            <w:r w:rsidRPr="004E0B11">
              <w:rPr>
                <w:rFonts w:ascii="Arial" w:hAnsi="Arial" w:cs="Arial"/>
                <w:sz w:val="16"/>
                <w:szCs w:val="16"/>
              </w:rPr>
              <w:t>Age</w:t>
            </w:r>
          </w:p>
        </w:tc>
        <w:tc>
          <w:tcPr>
            <w:tcW w:w="1972" w:type="dxa"/>
            <w:tcBorders>
              <w:top w:val="nil"/>
              <w:left w:val="nil"/>
              <w:bottom w:val="nil"/>
              <w:right w:val="nil"/>
            </w:tcBorders>
            <w:shd w:val="clear" w:color="auto" w:fill="auto"/>
          </w:tcPr>
          <w:p w14:paraId="1BCFF042" w14:textId="7A21CADC" w:rsidR="002D7CF2" w:rsidRPr="004E0B11" w:rsidRDefault="002D7CF2">
            <w:pPr>
              <w:jc w:val="center"/>
              <w:rPr>
                <w:rFonts w:ascii="Arial" w:hAnsi="Arial" w:cs="Arial"/>
                <w:sz w:val="16"/>
                <w:szCs w:val="16"/>
              </w:rPr>
            </w:pPr>
            <w:r w:rsidRPr="004E0B11">
              <w:rPr>
                <w:rFonts w:ascii="Arial" w:hAnsi="Arial" w:cs="Arial"/>
                <w:sz w:val="16"/>
                <w:szCs w:val="16"/>
              </w:rPr>
              <w:t>48.4 (9.45)</w:t>
            </w:r>
          </w:p>
        </w:tc>
        <w:tc>
          <w:tcPr>
            <w:tcW w:w="2551" w:type="dxa"/>
            <w:tcBorders>
              <w:top w:val="nil"/>
              <w:left w:val="nil"/>
              <w:bottom w:val="nil"/>
              <w:right w:val="nil"/>
            </w:tcBorders>
            <w:shd w:val="clear" w:color="auto" w:fill="auto"/>
          </w:tcPr>
          <w:p w14:paraId="1340D94A" w14:textId="7D70460A" w:rsidR="002D7CF2" w:rsidRPr="004E0B11" w:rsidRDefault="002D7CF2">
            <w:pPr>
              <w:jc w:val="center"/>
              <w:rPr>
                <w:rFonts w:ascii="Arial" w:hAnsi="Arial" w:cs="Arial"/>
                <w:sz w:val="16"/>
                <w:szCs w:val="16"/>
              </w:rPr>
            </w:pPr>
            <w:r w:rsidRPr="004E0B11">
              <w:rPr>
                <w:rFonts w:ascii="Arial" w:hAnsi="Arial" w:cs="Arial"/>
                <w:sz w:val="16"/>
                <w:szCs w:val="16"/>
              </w:rPr>
              <w:t>51.9 (13.9)</w:t>
            </w:r>
          </w:p>
        </w:tc>
        <w:tc>
          <w:tcPr>
            <w:tcW w:w="848" w:type="dxa"/>
            <w:tcBorders>
              <w:top w:val="nil"/>
              <w:left w:val="nil"/>
              <w:bottom w:val="nil"/>
              <w:right w:val="nil"/>
            </w:tcBorders>
          </w:tcPr>
          <w:p w14:paraId="2F20913F" w14:textId="3DD495E0" w:rsidR="002D7CF2" w:rsidRPr="004E0B11" w:rsidRDefault="00D24F64">
            <w:pPr>
              <w:jc w:val="center"/>
              <w:rPr>
                <w:rFonts w:ascii="Arial" w:hAnsi="Arial" w:cs="Arial"/>
                <w:b/>
                <w:sz w:val="16"/>
                <w:szCs w:val="16"/>
              </w:rPr>
            </w:pPr>
            <m:oMathPara>
              <m:oMath>
                <m:r>
                  <w:rPr>
                    <w:rFonts w:ascii="Cambria Math" w:hAnsi="Cambria Math" w:cs="Arial"/>
                    <w:sz w:val="16"/>
                    <w:szCs w:val="16"/>
                  </w:rPr>
                  <m:t>t=0.52</m:t>
                </m:r>
              </m:oMath>
            </m:oMathPara>
          </w:p>
        </w:tc>
        <w:tc>
          <w:tcPr>
            <w:tcW w:w="949" w:type="dxa"/>
            <w:tcBorders>
              <w:top w:val="nil"/>
              <w:left w:val="nil"/>
              <w:bottom w:val="nil"/>
              <w:right w:val="nil"/>
            </w:tcBorders>
            <w:shd w:val="clear" w:color="auto" w:fill="auto"/>
          </w:tcPr>
          <w:p w14:paraId="39DCA009" w14:textId="5655A826" w:rsidR="002D7CF2" w:rsidRPr="004E0B11" w:rsidRDefault="002D7CF2">
            <w:pPr>
              <w:jc w:val="center"/>
              <w:rPr>
                <w:rFonts w:ascii="Arial" w:hAnsi="Arial" w:cs="Arial"/>
                <w:b/>
                <w:sz w:val="16"/>
                <w:szCs w:val="16"/>
              </w:rPr>
            </w:pPr>
            <w:r w:rsidRPr="004E0B11">
              <w:rPr>
                <w:rFonts w:ascii="Arial" w:hAnsi="Arial" w:cs="Arial"/>
                <w:b/>
                <w:sz w:val="16"/>
                <w:szCs w:val="16"/>
              </w:rPr>
              <w:t>0.002</w:t>
            </w:r>
          </w:p>
        </w:tc>
      </w:tr>
      <w:tr w:rsidR="002D7CF2" w:rsidRPr="004E0B11" w14:paraId="026019A0" w14:textId="77777777" w:rsidTr="008322CD">
        <w:tc>
          <w:tcPr>
            <w:tcW w:w="2706" w:type="dxa"/>
            <w:tcBorders>
              <w:top w:val="nil"/>
              <w:left w:val="nil"/>
              <w:bottom w:val="nil"/>
              <w:right w:val="nil"/>
            </w:tcBorders>
            <w:shd w:val="clear" w:color="auto" w:fill="auto"/>
          </w:tcPr>
          <w:p w14:paraId="37D25120" w14:textId="48B12322" w:rsidR="002D7CF2" w:rsidRPr="004E0B11" w:rsidRDefault="002D7CF2">
            <w:pPr>
              <w:jc w:val="both"/>
              <w:rPr>
                <w:rFonts w:ascii="Arial" w:hAnsi="Arial" w:cs="Arial"/>
                <w:sz w:val="16"/>
                <w:szCs w:val="16"/>
              </w:rPr>
            </w:pPr>
            <w:r w:rsidRPr="004E0B11">
              <w:rPr>
                <w:rFonts w:ascii="Arial" w:hAnsi="Arial" w:cs="Arial"/>
                <w:sz w:val="16"/>
                <w:szCs w:val="16"/>
              </w:rPr>
              <w:t>Smoker</w:t>
            </w:r>
          </w:p>
        </w:tc>
        <w:tc>
          <w:tcPr>
            <w:tcW w:w="1972" w:type="dxa"/>
            <w:tcBorders>
              <w:top w:val="nil"/>
              <w:left w:val="nil"/>
              <w:bottom w:val="nil"/>
              <w:right w:val="nil"/>
            </w:tcBorders>
            <w:shd w:val="clear" w:color="auto" w:fill="auto"/>
          </w:tcPr>
          <w:p w14:paraId="1A7F0A39" w14:textId="77777777" w:rsidR="002D7CF2" w:rsidRPr="004E0B11" w:rsidRDefault="002D7CF2">
            <w:pPr>
              <w:jc w:val="center"/>
              <w:rPr>
                <w:rFonts w:ascii="Arial" w:hAnsi="Arial" w:cs="Arial"/>
                <w:sz w:val="16"/>
                <w:szCs w:val="16"/>
              </w:rPr>
            </w:pPr>
            <w:r w:rsidRPr="004E0B11">
              <w:rPr>
                <w:rFonts w:ascii="Arial" w:hAnsi="Arial" w:cs="Arial"/>
                <w:sz w:val="16"/>
                <w:szCs w:val="16"/>
              </w:rPr>
              <w:t>68.8% (11)</w:t>
            </w:r>
          </w:p>
        </w:tc>
        <w:tc>
          <w:tcPr>
            <w:tcW w:w="2551" w:type="dxa"/>
            <w:tcBorders>
              <w:top w:val="nil"/>
              <w:left w:val="nil"/>
              <w:bottom w:val="nil"/>
              <w:right w:val="nil"/>
            </w:tcBorders>
            <w:shd w:val="clear" w:color="auto" w:fill="auto"/>
          </w:tcPr>
          <w:p w14:paraId="16B7FF22" w14:textId="77777777" w:rsidR="002D7CF2" w:rsidRPr="004E0B11" w:rsidRDefault="002D7CF2">
            <w:pPr>
              <w:jc w:val="center"/>
              <w:rPr>
                <w:rFonts w:ascii="Arial" w:hAnsi="Arial" w:cs="Arial"/>
                <w:sz w:val="16"/>
                <w:szCs w:val="16"/>
              </w:rPr>
            </w:pPr>
            <w:r w:rsidRPr="004E0B11">
              <w:rPr>
                <w:rFonts w:ascii="Arial" w:hAnsi="Arial" w:cs="Arial"/>
                <w:sz w:val="16"/>
                <w:szCs w:val="16"/>
              </w:rPr>
              <w:t>43.9% (54)</w:t>
            </w:r>
          </w:p>
        </w:tc>
        <w:tc>
          <w:tcPr>
            <w:tcW w:w="848" w:type="dxa"/>
            <w:tcBorders>
              <w:top w:val="nil"/>
              <w:left w:val="nil"/>
              <w:bottom w:val="nil"/>
              <w:right w:val="nil"/>
            </w:tcBorders>
          </w:tcPr>
          <w:p w14:paraId="7BB70DEC" w14:textId="1534B23B" w:rsidR="002D7CF2" w:rsidRPr="004E0B11" w:rsidRDefault="00A37E17" w:rsidP="000F5D9B">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=2.58</m:t>
                </m:r>
              </m:oMath>
            </m:oMathPara>
          </w:p>
        </w:tc>
        <w:tc>
          <w:tcPr>
            <w:tcW w:w="949" w:type="dxa"/>
            <w:tcBorders>
              <w:top w:val="nil"/>
              <w:left w:val="nil"/>
              <w:bottom w:val="nil"/>
              <w:right w:val="nil"/>
            </w:tcBorders>
            <w:shd w:val="clear" w:color="auto" w:fill="auto"/>
          </w:tcPr>
          <w:p w14:paraId="2BC36756" w14:textId="0F70F6C1" w:rsidR="002D7CF2" w:rsidRPr="004E0B11" w:rsidRDefault="002D7CF2">
            <w:pPr>
              <w:jc w:val="center"/>
              <w:rPr>
                <w:rFonts w:ascii="Arial" w:hAnsi="Arial" w:cs="Arial"/>
                <w:sz w:val="16"/>
                <w:szCs w:val="16"/>
              </w:rPr>
            </w:pPr>
            <w:r w:rsidRPr="004E0B11">
              <w:rPr>
                <w:rFonts w:ascii="Arial" w:hAnsi="Arial" w:cs="Arial"/>
                <w:sz w:val="16"/>
                <w:szCs w:val="16"/>
              </w:rPr>
              <w:t>0.108</w:t>
            </w:r>
          </w:p>
        </w:tc>
      </w:tr>
      <w:tr w:rsidR="00840741" w:rsidRPr="004E0B11" w14:paraId="0A30A875" w14:textId="77777777" w:rsidTr="008322CD">
        <w:tc>
          <w:tcPr>
            <w:tcW w:w="2706" w:type="dxa"/>
            <w:tcBorders>
              <w:top w:val="nil"/>
              <w:left w:val="nil"/>
              <w:bottom w:val="nil"/>
              <w:right w:val="nil"/>
            </w:tcBorders>
            <w:shd w:val="clear" w:color="auto" w:fill="auto"/>
          </w:tcPr>
          <w:p w14:paraId="6F955F98" w14:textId="266DC5FD" w:rsidR="00840741" w:rsidRPr="004E0B11" w:rsidRDefault="00840741">
            <w:pPr>
              <w:jc w:val="both"/>
              <w:rPr>
                <w:rFonts w:ascii="Arial" w:hAnsi="Arial" w:cs="Arial"/>
                <w:sz w:val="16"/>
                <w:szCs w:val="16"/>
              </w:rPr>
            </w:pPr>
            <w:r w:rsidRPr="004E0B11">
              <w:rPr>
                <w:rFonts w:ascii="Arial" w:hAnsi="Arial" w:cs="Arial"/>
                <w:sz w:val="16"/>
                <w:szCs w:val="16"/>
              </w:rPr>
              <w:t>Clozapine dose (mg)</w:t>
            </w:r>
          </w:p>
        </w:tc>
        <w:tc>
          <w:tcPr>
            <w:tcW w:w="1972" w:type="dxa"/>
            <w:tcBorders>
              <w:top w:val="nil"/>
              <w:left w:val="nil"/>
              <w:bottom w:val="nil"/>
              <w:right w:val="nil"/>
            </w:tcBorders>
            <w:shd w:val="clear" w:color="auto" w:fill="auto"/>
          </w:tcPr>
          <w:p w14:paraId="50814BEB" w14:textId="56DFCE8B" w:rsidR="00840741" w:rsidRPr="004E0B11" w:rsidRDefault="00840741">
            <w:pPr>
              <w:jc w:val="center"/>
              <w:rPr>
                <w:rFonts w:ascii="Arial" w:hAnsi="Arial" w:cs="Arial"/>
                <w:sz w:val="16"/>
                <w:szCs w:val="16"/>
              </w:rPr>
            </w:pPr>
            <w:r w:rsidRPr="004E0B11">
              <w:rPr>
                <w:rFonts w:ascii="Arial" w:hAnsi="Arial" w:cs="Arial"/>
                <w:sz w:val="16"/>
                <w:szCs w:val="16"/>
              </w:rPr>
              <w:t>460 (196.8)</w:t>
            </w:r>
          </w:p>
        </w:tc>
        <w:tc>
          <w:tcPr>
            <w:tcW w:w="2551" w:type="dxa"/>
            <w:tcBorders>
              <w:top w:val="nil"/>
              <w:left w:val="nil"/>
              <w:bottom w:val="nil"/>
              <w:right w:val="nil"/>
            </w:tcBorders>
            <w:shd w:val="clear" w:color="auto" w:fill="auto"/>
          </w:tcPr>
          <w:p w14:paraId="0B4A6066" w14:textId="16CF8E83" w:rsidR="00840741" w:rsidRPr="004E0B11" w:rsidRDefault="00840741">
            <w:pPr>
              <w:jc w:val="center"/>
              <w:rPr>
                <w:rFonts w:ascii="Arial" w:hAnsi="Arial" w:cs="Arial"/>
                <w:sz w:val="16"/>
                <w:szCs w:val="16"/>
              </w:rPr>
            </w:pPr>
            <w:r w:rsidRPr="004E0B11">
              <w:rPr>
                <w:rFonts w:ascii="Arial" w:hAnsi="Arial" w:cs="Arial"/>
                <w:sz w:val="16"/>
                <w:szCs w:val="16"/>
              </w:rPr>
              <w:t>343 (155.9)</w:t>
            </w:r>
          </w:p>
        </w:tc>
        <w:tc>
          <w:tcPr>
            <w:tcW w:w="848" w:type="dxa"/>
            <w:tcBorders>
              <w:top w:val="nil"/>
              <w:left w:val="nil"/>
              <w:bottom w:val="nil"/>
              <w:right w:val="nil"/>
            </w:tcBorders>
          </w:tcPr>
          <w:p w14:paraId="3F60DD5B" w14:textId="5AD5D6AD" w:rsidR="00840741" w:rsidRPr="004E0B11" w:rsidRDefault="00840741">
            <w:pPr>
              <w:jc w:val="center"/>
              <w:rPr>
                <w:rFonts w:ascii="Arial" w:hAnsi="Arial" w:cs="Arial"/>
                <w:i/>
                <w:iCs/>
                <w:sz w:val="16"/>
                <w:szCs w:val="16"/>
              </w:rPr>
            </w:pPr>
            <w:r w:rsidRPr="004E0B11">
              <w:rPr>
                <w:rFonts w:ascii="Arial" w:hAnsi="Arial" w:cs="Arial"/>
                <w:i/>
                <w:iCs/>
                <w:sz w:val="16"/>
                <w:szCs w:val="16"/>
              </w:rPr>
              <w:t>t = -2.656</w:t>
            </w:r>
          </w:p>
        </w:tc>
        <w:tc>
          <w:tcPr>
            <w:tcW w:w="949" w:type="dxa"/>
            <w:tcBorders>
              <w:top w:val="nil"/>
              <w:left w:val="nil"/>
              <w:bottom w:val="nil"/>
              <w:right w:val="nil"/>
            </w:tcBorders>
            <w:shd w:val="clear" w:color="auto" w:fill="auto"/>
          </w:tcPr>
          <w:p w14:paraId="0218BDA9" w14:textId="3375CC2A" w:rsidR="00840741" w:rsidRPr="004E0B11" w:rsidRDefault="00840741">
            <w:pPr>
              <w:jc w:val="center"/>
              <w:rPr>
                <w:rFonts w:ascii="Arial" w:hAnsi="Arial" w:cs="Arial"/>
                <w:b/>
                <w:sz w:val="16"/>
                <w:szCs w:val="16"/>
              </w:rPr>
            </w:pPr>
            <w:r w:rsidRPr="004E0B11">
              <w:rPr>
                <w:rFonts w:ascii="Arial" w:hAnsi="Arial" w:cs="Arial"/>
                <w:b/>
                <w:sz w:val="16"/>
                <w:szCs w:val="16"/>
              </w:rPr>
              <w:t>0.009</w:t>
            </w:r>
          </w:p>
        </w:tc>
      </w:tr>
      <w:tr w:rsidR="002D7CF2" w:rsidRPr="004E0B11" w14:paraId="6A6F07EF" w14:textId="77777777" w:rsidTr="008322CD">
        <w:tc>
          <w:tcPr>
            <w:tcW w:w="2706" w:type="dxa"/>
            <w:tcBorders>
              <w:top w:val="nil"/>
              <w:left w:val="nil"/>
              <w:bottom w:val="nil"/>
              <w:right w:val="nil"/>
            </w:tcBorders>
            <w:shd w:val="clear" w:color="auto" w:fill="auto"/>
          </w:tcPr>
          <w:p w14:paraId="3BC3B843" w14:textId="327101B0" w:rsidR="002D7CF2" w:rsidRPr="004E0B11" w:rsidRDefault="002D7CF2">
            <w:pPr>
              <w:jc w:val="both"/>
              <w:rPr>
                <w:rFonts w:ascii="Arial" w:hAnsi="Arial" w:cs="Arial"/>
                <w:sz w:val="16"/>
                <w:szCs w:val="16"/>
              </w:rPr>
            </w:pPr>
            <w:r w:rsidRPr="004E0B11">
              <w:rPr>
                <w:rFonts w:ascii="Arial" w:hAnsi="Arial" w:cs="Arial"/>
                <w:sz w:val="16"/>
                <w:szCs w:val="16"/>
              </w:rPr>
              <w:t>Clozapine dose &gt;525mg/day</w:t>
            </w:r>
            <w:r w:rsidR="004D0C45" w:rsidRPr="004E0B11">
              <w:rPr>
                <w:rFonts w:ascii="Arial" w:hAnsi="Arial" w:cs="Arial"/>
                <w:sz w:val="16"/>
                <w:szCs w:val="16"/>
              </w:rPr>
              <w:t>*</w:t>
            </w:r>
          </w:p>
        </w:tc>
        <w:tc>
          <w:tcPr>
            <w:tcW w:w="1972" w:type="dxa"/>
            <w:tcBorders>
              <w:top w:val="nil"/>
              <w:left w:val="nil"/>
              <w:bottom w:val="nil"/>
              <w:right w:val="nil"/>
            </w:tcBorders>
            <w:shd w:val="clear" w:color="auto" w:fill="auto"/>
          </w:tcPr>
          <w:p w14:paraId="5E80B177" w14:textId="77777777" w:rsidR="002D7CF2" w:rsidRPr="004E0B11" w:rsidRDefault="002D7CF2">
            <w:pPr>
              <w:jc w:val="center"/>
              <w:rPr>
                <w:rFonts w:ascii="Arial" w:hAnsi="Arial" w:cs="Arial"/>
                <w:sz w:val="16"/>
                <w:szCs w:val="16"/>
              </w:rPr>
            </w:pPr>
            <w:r w:rsidRPr="004E0B11">
              <w:rPr>
                <w:rFonts w:ascii="Arial" w:hAnsi="Arial" w:cs="Arial"/>
                <w:sz w:val="16"/>
                <w:szCs w:val="16"/>
              </w:rPr>
              <w:t>40.0% (6)</w:t>
            </w:r>
          </w:p>
        </w:tc>
        <w:tc>
          <w:tcPr>
            <w:tcW w:w="2551" w:type="dxa"/>
            <w:tcBorders>
              <w:top w:val="nil"/>
              <w:left w:val="nil"/>
              <w:bottom w:val="nil"/>
              <w:right w:val="nil"/>
            </w:tcBorders>
            <w:shd w:val="clear" w:color="auto" w:fill="auto"/>
          </w:tcPr>
          <w:p w14:paraId="0A250BE2" w14:textId="77777777" w:rsidR="002D7CF2" w:rsidRPr="004E0B11" w:rsidRDefault="002D7CF2">
            <w:pPr>
              <w:jc w:val="center"/>
              <w:rPr>
                <w:rFonts w:ascii="Arial" w:hAnsi="Arial" w:cs="Arial"/>
                <w:sz w:val="16"/>
                <w:szCs w:val="16"/>
              </w:rPr>
            </w:pPr>
            <w:r w:rsidRPr="004E0B11">
              <w:rPr>
                <w:rFonts w:ascii="Arial" w:hAnsi="Arial" w:cs="Arial"/>
                <w:sz w:val="16"/>
                <w:szCs w:val="16"/>
              </w:rPr>
              <w:t>13.1% (16)</w:t>
            </w:r>
          </w:p>
        </w:tc>
        <w:tc>
          <w:tcPr>
            <w:tcW w:w="848" w:type="dxa"/>
            <w:tcBorders>
              <w:top w:val="nil"/>
              <w:left w:val="nil"/>
              <w:bottom w:val="nil"/>
              <w:right w:val="nil"/>
            </w:tcBorders>
          </w:tcPr>
          <w:p w14:paraId="20594F99" w14:textId="31FA0E28" w:rsidR="002D7CF2" w:rsidRPr="004E0B11" w:rsidRDefault="00A37E17">
            <w:pPr>
              <w:jc w:val="center"/>
              <w:rPr>
                <w:rFonts w:ascii="Arial" w:hAnsi="Arial" w:cs="Arial"/>
                <w:b/>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=7.163</m:t>
                </m:r>
              </m:oMath>
            </m:oMathPara>
          </w:p>
        </w:tc>
        <w:tc>
          <w:tcPr>
            <w:tcW w:w="949" w:type="dxa"/>
            <w:tcBorders>
              <w:top w:val="nil"/>
              <w:left w:val="nil"/>
              <w:bottom w:val="nil"/>
              <w:right w:val="nil"/>
            </w:tcBorders>
            <w:shd w:val="clear" w:color="auto" w:fill="auto"/>
          </w:tcPr>
          <w:p w14:paraId="4A4594EC" w14:textId="60FDE2E8" w:rsidR="002D7CF2" w:rsidRPr="004E0B11" w:rsidRDefault="002D7CF2">
            <w:pPr>
              <w:jc w:val="center"/>
              <w:rPr>
                <w:rFonts w:ascii="Arial" w:hAnsi="Arial" w:cs="Arial"/>
                <w:b/>
                <w:sz w:val="16"/>
                <w:szCs w:val="16"/>
              </w:rPr>
            </w:pPr>
            <w:r w:rsidRPr="004E0B11">
              <w:rPr>
                <w:rFonts w:ascii="Arial" w:hAnsi="Arial" w:cs="Arial"/>
                <w:b/>
                <w:sz w:val="16"/>
                <w:szCs w:val="16"/>
              </w:rPr>
              <w:t>0.0</w:t>
            </w:r>
            <w:r w:rsidR="00FA460D" w:rsidRPr="004E0B11">
              <w:rPr>
                <w:rFonts w:ascii="Arial" w:hAnsi="Arial" w:cs="Arial"/>
                <w:b/>
                <w:sz w:val="16"/>
                <w:szCs w:val="16"/>
              </w:rPr>
              <w:t>07</w:t>
            </w:r>
          </w:p>
        </w:tc>
      </w:tr>
      <w:tr w:rsidR="002D7CF2" w:rsidRPr="004E0B11" w14:paraId="61B0CF9A" w14:textId="77777777" w:rsidTr="008322CD">
        <w:tc>
          <w:tcPr>
            <w:tcW w:w="2706" w:type="dxa"/>
            <w:tcBorders>
              <w:top w:val="nil"/>
              <w:left w:val="nil"/>
              <w:bottom w:val="nil"/>
              <w:right w:val="nil"/>
            </w:tcBorders>
            <w:shd w:val="clear" w:color="auto" w:fill="auto"/>
          </w:tcPr>
          <w:p w14:paraId="409052BC" w14:textId="130B9BFB" w:rsidR="002D7CF2" w:rsidRPr="004E0B11" w:rsidRDefault="002D7CF2">
            <w:pPr>
              <w:jc w:val="both"/>
              <w:rPr>
                <w:rFonts w:ascii="Arial" w:hAnsi="Arial" w:cs="Arial"/>
                <w:sz w:val="16"/>
                <w:szCs w:val="16"/>
              </w:rPr>
            </w:pPr>
            <w:r w:rsidRPr="004E0B11">
              <w:rPr>
                <w:rFonts w:ascii="Arial" w:hAnsi="Arial" w:cs="Arial"/>
                <w:sz w:val="16"/>
                <w:szCs w:val="16"/>
              </w:rPr>
              <w:t>On additional antipsychotic</w:t>
            </w:r>
          </w:p>
        </w:tc>
        <w:tc>
          <w:tcPr>
            <w:tcW w:w="1972" w:type="dxa"/>
            <w:tcBorders>
              <w:top w:val="nil"/>
              <w:left w:val="nil"/>
              <w:bottom w:val="nil"/>
              <w:right w:val="nil"/>
            </w:tcBorders>
            <w:shd w:val="clear" w:color="auto" w:fill="auto"/>
          </w:tcPr>
          <w:p w14:paraId="7BC2DA3F" w14:textId="77777777" w:rsidR="002D7CF2" w:rsidRPr="004E0B11" w:rsidRDefault="002D7CF2">
            <w:pPr>
              <w:jc w:val="center"/>
              <w:rPr>
                <w:rFonts w:ascii="Arial" w:hAnsi="Arial" w:cs="Arial"/>
                <w:sz w:val="16"/>
                <w:szCs w:val="16"/>
              </w:rPr>
            </w:pPr>
            <w:r w:rsidRPr="004E0B11">
              <w:rPr>
                <w:rFonts w:ascii="Arial" w:hAnsi="Arial" w:cs="Arial"/>
                <w:sz w:val="16"/>
                <w:szCs w:val="16"/>
              </w:rPr>
              <w:t>17.6% (3)</w:t>
            </w:r>
          </w:p>
        </w:tc>
        <w:tc>
          <w:tcPr>
            <w:tcW w:w="2551" w:type="dxa"/>
            <w:tcBorders>
              <w:top w:val="nil"/>
              <w:left w:val="nil"/>
              <w:bottom w:val="nil"/>
              <w:right w:val="nil"/>
            </w:tcBorders>
            <w:shd w:val="clear" w:color="auto" w:fill="auto"/>
          </w:tcPr>
          <w:p w14:paraId="7D3BAEED" w14:textId="77777777" w:rsidR="002D7CF2" w:rsidRPr="004E0B11" w:rsidRDefault="002D7CF2">
            <w:pPr>
              <w:jc w:val="center"/>
              <w:rPr>
                <w:rFonts w:ascii="Arial" w:hAnsi="Arial" w:cs="Arial"/>
                <w:sz w:val="16"/>
                <w:szCs w:val="16"/>
              </w:rPr>
            </w:pPr>
            <w:r w:rsidRPr="004E0B11">
              <w:rPr>
                <w:rFonts w:ascii="Arial" w:hAnsi="Arial" w:cs="Arial"/>
                <w:sz w:val="16"/>
                <w:szCs w:val="16"/>
              </w:rPr>
              <w:t>41.5% (51)</w:t>
            </w:r>
          </w:p>
        </w:tc>
        <w:tc>
          <w:tcPr>
            <w:tcW w:w="848" w:type="dxa"/>
            <w:tcBorders>
              <w:top w:val="nil"/>
              <w:left w:val="nil"/>
              <w:bottom w:val="nil"/>
              <w:right w:val="nil"/>
            </w:tcBorders>
          </w:tcPr>
          <w:p w14:paraId="0C187E6B" w14:textId="3D24DF9A" w:rsidR="002D7CF2" w:rsidRPr="004E0B11" w:rsidRDefault="00A37E17" w:rsidP="00035B78">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=2.64</m:t>
                </m:r>
              </m:oMath>
            </m:oMathPara>
          </w:p>
        </w:tc>
        <w:tc>
          <w:tcPr>
            <w:tcW w:w="949" w:type="dxa"/>
            <w:tcBorders>
              <w:top w:val="nil"/>
              <w:left w:val="nil"/>
              <w:bottom w:val="nil"/>
              <w:right w:val="nil"/>
            </w:tcBorders>
            <w:shd w:val="clear" w:color="auto" w:fill="auto"/>
          </w:tcPr>
          <w:p w14:paraId="75B2A6AA" w14:textId="1D4F73C1" w:rsidR="002D7CF2" w:rsidRPr="004E0B11" w:rsidRDefault="002D7CF2">
            <w:pPr>
              <w:jc w:val="center"/>
              <w:rPr>
                <w:rFonts w:ascii="Arial" w:hAnsi="Arial" w:cs="Arial"/>
                <w:sz w:val="16"/>
                <w:szCs w:val="16"/>
              </w:rPr>
            </w:pPr>
            <w:r w:rsidRPr="004E0B11">
              <w:rPr>
                <w:rFonts w:ascii="Arial" w:hAnsi="Arial" w:cs="Arial"/>
                <w:sz w:val="16"/>
                <w:szCs w:val="16"/>
              </w:rPr>
              <w:t>0.104</w:t>
            </w:r>
          </w:p>
        </w:tc>
      </w:tr>
      <w:tr w:rsidR="002D7CF2" w:rsidRPr="004E0B11" w14:paraId="5F741B84" w14:textId="77777777" w:rsidTr="008322CD">
        <w:tc>
          <w:tcPr>
            <w:tcW w:w="2706" w:type="dxa"/>
            <w:tcBorders>
              <w:top w:val="nil"/>
              <w:left w:val="nil"/>
              <w:bottom w:val="nil"/>
              <w:right w:val="nil"/>
            </w:tcBorders>
            <w:shd w:val="clear" w:color="auto" w:fill="auto"/>
          </w:tcPr>
          <w:p w14:paraId="57192CEC" w14:textId="3F6BB7B6" w:rsidR="002D7CF2" w:rsidRPr="004E0B11" w:rsidRDefault="002D7CF2">
            <w:pPr>
              <w:jc w:val="both"/>
              <w:rPr>
                <w:rFonts w:ascii="Arial" w:hAnsi="Arial" w:cs="Arial"/>
                <w:sz w:val="16"/>
                <w:szCs w:val="16"/>
              </w:rPr>
            </w:pPr>
            <w:r w:rsidRPr="004E0B11">
              <w:rPr>
                <w:rFonts w:ascii="Arial" w:hAnsi="Arial" w:cs="Arial"/>
                <w:sz w:val="16"/>
                <w:szCs w:val="16"/>
              </w:rPr>
              <w:t>On antidepressant</w:t>
            </w:r>
          </w:p>
        </w:tc>
        <w:tc>
          <w:tcPr>
            <w:tcW w:w="1972" w:type="dxa"/>
            <w:tcBorders>
              <w:top w:val="nil"/>
              <w:left w:val="nil"/>
              <w:bottom w:val="nil"/>
              <w:right w:val="nil"/>
            </w:tcBorders>
            <w:shd w:val="clear" w:color="auto" w:fill="auto"/>
          </w:tcPr>
          <w:p w14:paraId="7BDD3BBD" w14:textId="77777777" w:rsidR="002D7CF2" w:rsidRPr="004E0B11" w:rsidRDefault="002D7CF2">
            <w:pPr>
              <w:jc w:val="center"/>
              <w:rPr>
                <w:rFonts w:ascii="Arial" w:hAnsi="Arial" w:cs="Arial"/>
                <w:sz w:val="16"/>
                <w:szCs w:val="16"/>
              </w:rPr>
            </w:pPr>
            <w:r w:rsidRPr="004E0B11">
              <w:rPr>
                <w:rFonts w:ascii="Arial" w:hAnsi="Arial" w:cs="Arial"/>
                <w:sz w:val="16"/>
                <w:szCs w:val="16"/>
              </w:rPr>
              <w:t>11.8% (2)</w:t>
            </w:r>
          </w:p>
        </w:tc>
        <w:tc>
          <w:tcPr>
            <w:tcW w:w="2551" w:type="dxa"/>
            <w:tcBorders>
              <w:top w:val="nil"/>
              <w:left w:val="nil"/>
              <w:bottom w:val="nil"/>
              <w:right w:val="nil"/>
            </w:tcBorders>
            <w:shd w:val="clear" w:color="auto" w:fill="auto"/>
          </w:tcPr>
          <w:p w14:paraId="7149B1FA" w14:textId="77777777" w:rsidR="002D7CF2" w:rsidRPr="004E0B11" w:rsidRDefault="002D7CF2">
            <w:pPr>
              <w:jc w:val="center"/>
              <w:rPr>
                <w:rFonts w:ascii="Arial" w:hAnsi="Arial" w:cs="Arial"/>
                <w:sz w:val="16"/>
                <w:szCs w:val="16"/>
              </w:rPr>
            </w:pPr>
            <w:r w:rsidRPr="004E0B11">
              <w:rPr>
                <w:rFonts w:ascii="Arial" w:hAnsi="Arial" w:cs="Arial"/>
                <w:sz w:val="16"/>
                <w:szCs w:val="16"/>
              </w:rPr>
              <w:t>38.2% (47)</w:t>
            </w:r>
          </w:p>
        </w:tc>
        <w:tc>
          <w:tcPr>
            <w:tcW w:w="848" w:type="dxa"/>
            <w:tcBorders>
              <w:top w:val="nil"/>
              <w:left w:val="nil"/>
              <w:bottom w:val="nil"/>
              <w:right w:val="nil"/>
            </w:tcBorders>
          </w:tcPr>
          <w:p w14:paraId="51DB1DAA" w14:textId="2042BAB8" w:rsidR="002D7CF2" w:rsidRPr="004E0B11" w:rsidRDefault="00A37E17" w:rsidP="00035B78">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=3.50</m:t>
                </m:r>
              </m:oMath>
            </m:oMathPara>
          </w:p>
        </w:tc>
        <w:tc>
          <w:tcPr>
            <w:tcW w:w="949" w:type="dxa"/>
            <w:tcBorders>
              <w:top w:val="nil"/>
              <w:left w:val="nil"/>
              <w:bottom w:val="nil"/>
              <w:right w:val="nil"/>
            </w:tcBorders>
            <w:shd w:val="clear" w:color="auto" w:fill="auto"/>
          </w:tcPr>
          <w:p w14:paraId="333DA873" w14:textId="22B69767" w:rsidR="002D7CF2" w:rsidRPr="004E0B11" w:rsidRDefault="002D7CF2">
            <w:pPr>
              <w:jc w:val="center"/>
              <w:rPr>
                <w:rFonts w:ascii="Arial" w:hAnsi="Arial" w:cs="Arial"/>
                <w:sz w:val="16"/>
                <w:szCs w:val="16"/>
              </w:rPr>
            </w:pPr>
            <w:r w:rsidRPr="004E0B11">
              <w:rPr>
                <w:rFonts w:ascii="Arial" w:hAnsi="Arial" w:cs="Arial"/>
                <w:sz w:val="16"/>
                <w:szCs w:val="16"/>
              </w:rPr>
              <w:t>0.061</w:t>
            </w:r>
          </w:p>
        </w:tc>
      </w:tr>
      <w:tr w:rsidR="002D7CF2" w:rsidRPr="004E0B11" w14:paraId="55D016E6" w14:textId="77777777" w:rsidTr="008322CD">
        <w:tc>
          <w:tcPr>
            <w:tcW w:w="2706" w:type="dxa"/>
            <w:tcBorders>
              <w:top w:val="nil"/>
              <w:left w:val="nil"/>
              <w:bottom w:val="nil"/>
              <w:right w:val="nil"/>
            </w:tcBorders>
            <w:shd w:val="clear" w:color="auto" w:fill="auto"/>
          </w:tcPr>
          <w:p w14:paraId="04508BB2" w14:textId="22739E8E" w:rsidR="002D7CF2" w:rsidRPr="004E0B11" w:rsidRDefault="002D7CF2">
            <w:pPr>
              <w:jc w:val="both"/>
              <w:rPr>
                <w:rFonts w:ascii="Arial" w:hAnsi="Arial" w:cs="Arial"/>
                <w:sz w:val="16"/>
                <w:szCs w:val="16"/>
              </w:rPr>
            </w:pPr>
            <w:r w:rsidRPr="004E0B11">
              <w:rPr>
                <w:rFonts w:ascii="Arial" w:hAnsi="Arial" w:cs="Arial"/>
                <w:sz w:val="16"/>
                <w:szCs w:val="16"/>
              </w:rPr>
              <w:t>On mood stabilizer</w:t>
            </w:r>
          </w:p>
        </w:tc>
        <w:tc>
          <w:tcPr>
            <w:tcW w:w="1972" w:type="dxa"/>
            <w:tcBorders>
              <w:top w:val="nil"/>
              <w:left w:val="nil"/>
              <w:bottom w:val="nil"/>
              <w:right w:val="nil"/>
            </w:tcBorders>
            <w:shd w:val="clear" w:color="auto" w:fill="auto"/>
          </w:tcPr>
          <w:p w14:paraId="210BDEFE" w14:textId="77777777" w:rsidR="002D7CF2" w:rsidRPr="004E0B11" w:rsidRDefault="002D7CF2">
            <w:pPr>
              <w:jc w:val="center"/>
              <w:rPr>
                <w:rFonts w:ascii="Arial" w:hAnsi="Arial" w:cs="Arial"/>
                <w:sz w:val="16"/>
                <w:szCs w:val="16"/>
              </w:rPr>
            </w:pPr>
            <w:r w:rsidRPr="004E0B11">
              <w:rPr>
                <w:rFonts w:ascii="Arial" w:hAnsi="Arial" w:cs="Arial"/>
                <w:sz w:val="16"/>
                <w:szCs w:val="16"/>
              </w:rPr>
              <w:t>17.6% (3)</w:t>
            </w:r>
          </w:p>
        </w:tc>
        <w:tc>
          <w:tcPr>
            <w:tcW w:w="2551" w:type="dxa"/>
            <w:tcBorders>
              <w:top w:val="nil"/>
              <w:left w:val="nil"/>
              <w:bottom w:val="nil"/>
              <w:right w:val="nil"/>
            </w:tcBorders>
            <w:shd w:val="clear" w:color="auto" w:fill="auto"/>
          </w:tcPr>
          <w:p w14:paraId="5F767A02" w14:textId="77777777" w:rsidR="002D7CF2" w:rsidRPr="004E0B11" w:rsidRDefault="002D7CF2">
            <w:pPr>
              <w:jc w:val="center"/>
              <w:rPr>
                <w:rFonts w:ascii="Arial" w:hAnsi="Arial" w:cs="Arial"/>
                <w:sz w:val="16"/>
                <w:szCs w:val="16"/>
              </w:rPr>
            </w:pPr>
            <w:r w:rsidRPr="004E0B11">
              <w:rPr>
                <w:rFonts w:ascii="Arial" w:hAnsi="Arial" w:cs="Arial"/>
                <w:sz w:val="16"/>
                <w:szCs w:val="16"/>
              </w:rPr>
              <w:t>8.9% (11)</w:t>
            </w:r>
          </w:p>
        </w:tc>
        <w:tc>
          <w:tcPr>
            <w:tcW w:w="848" w:type="dxa"/>
            <w:tcBorders>
              <w:top w:val="nil"/>
              <w:left w:val="nil"/>
              <w:bottom w:val="nil"/>
              <w:right w:val="nil"/>
            </w:tcBorders>
          </w:tcPr>
          <w:p w14:paraId="53B25851" w14:textId="5CE2F9BD" w:rsidR="002D7CF2" w:rsidRPr="004E0B11" w:rsidRDefault="00A37E17" w:rsidP="00035B78">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=0.48</m:t>
                </m:r>
              </m:oMath>
            </m:oMathPara>
          </w:p>
        </w:tc>
        <w:tc>
          <w:tcPr>
            <w:tcW w:w="949" w:type="dxa"/>
            <w:tcBorders>
              <w:top w:val="nil"/>
              <w:left w:val="nil"/>
              <w:bottom w:val="nil"/>
              <w:right w:val="nil"/>
            </w:tcBorders>
            <w:shd w:val="clear" w:color="auto" w:fill="auto"/>
          </w:tcPr>
          <w:p w14:paraId="5F33805B" w14:textId="5E0DD507" w:rsidR="002D7CF2" w:rsidRPr="004E0B11" w:rsidRDefault="002D7CF2">
            <w:pPr>
              <w:jc w:val="center"/>
              <w:rPr>
                <w:rFonts w:ascii="Arial" w:hAnsi="Arial" w:cs="Arial"/>
                <w:sz w:val="16"/>
                <w:szCs w:val="16"/>
              </w:rPr>
            </w:pPr>
            <w:r w:rsidRPr="004E0B11">
              <w:rPr>
                <w:rFonts w:ascii="Arial" w:hAnsi="Arial" w:cs="Arial"/>
                <w:sz w:val="16"/>
                <w:szCs w:val="16"/>
              </w:rPr>
              <w:t>0.490</w:t>
            </w:r>
          </w:p>
        </w:tc>
      </w:tr>
      <w:tr w:rsidR="002D7CF2" w:rsidRPr="004E0B11" w14:paraId="79958E56" w14:textId="77777777" w:rsidTr="008322CD">
        <w:tc>
          <w:tcPr>
            <w:tcW w:w="2706" w:type="dxa"/>
            <w:tcBorders>
              <w:top w:val="nil"/>
              <w:left w:val="nil"/>
              <w:bottom w:val="single" w:sz="12" w:space="0" w:color="000000"/>
              <w:right w:val="nil"/>
            </w:tcBorders>
            <w:shd w:val="clear" w:color="auto" w:fill="auto"/>
          </w:tcPr>
          <w:p w14:paraId="2B0B485A" w14:textId="48967478" w:rsidR="002D7CF2" w:rsidRPr="004E0B11" w:rsidRDefault="002D7CF2">
            <w:pPr>
              <w:jc w:val="both"/>
              <w:rPr>
                <w:rFonts w:ascii="Arial" w:hAnsi="Arial" w:cs="Arial"/>
                <w:sz w:val="16"/>
                <w:szCs w:val="16"/>
              </w:rPr>
            </w:pPr>
            <w:r w:rsidRPr="004E0B11">
              <w:rPr>
                <w:rFonts w:ascii="Arial" w:hAnsi="Arial" w:cs="Arial"/>
                <w:sz w:val="16"/>
                <w:szCs w:val="16"/>
              </w:rPr>
              <w:t>Type 2 diabetes mellitus</w:t>
            </w:r>
          </w:p>
        </w:tc>
        <w:tc>
          <w:tcPr>
            <w:tcW w:w="1972" w:type="dxa"/>
            <w:tcBorders>
              <w:top w:val="nil"/>
              <w:left w:val="nil"/>
              <w:bottom w:val="single" w:sz="12" w:space="0" w:color="000000"/>
              <w:right w:val="nil"/>
            </w:tcBorders>
            <w:shd w:val="clear" w:color="auto" w:fill="auto"/>
          </w:tcPr>
          <w:p w14:paraId="6AE37385" w14:textId="77777777" w:rsidR="002D7CF2" w:rsidRPr="004E0B11" w:rsidRDefault="002D7CF2">
            <w:pPr>
              <w:jc w:val="center"/>
              <w:rPr>
                <w:rFonts w:ascii="Arial" w:hAnsi="Arial" w:cs="Arial"/>
                <w:sz w:val="16"/>
                <w:szCs w:val="16"/>
              </w:rPr>
            </w:pPr>
            <w:r w:rsidRPr="004E0B11">
              <w:rPr>
                <w:rFonts w:ascii="Arial" w:hAnsi="Arial" w:cs="Arial"/>
                <w:sz w:val="16"/>
                <w:szCs w:val="16"/>
              </w:rPr>
              <w:t>17.6% (3)</w:t>
            </w:r>
          </w:p>
        </w:tc>
        <w:tc>
          <w:tcPr>
            <w:tcW w:w="2551" w:type="dxa"/>
            <w:tcBorders>
              <w:top w:val="nil"/>
              <w:left w:val="nil"/>
              <w:bottom w:val="single" w:sz="12" w:space="0" w:color="000000"/>
              <w:right w:val="nil"/>
            </w:tcBorders>
            <w:shd w:val="clear" w:color="auto" w:fill="auto"/>
          </w:tcPr>
          <w:p w14:paraId="32D39274" w14:textId="77777777" w:rsidR="002D7CF2" w:rsidRPr="004E0B11" w:rsidRDefault="002D7CF2">
            <w:pPr>
              <w:jc w:val="center"/>
              <w:rPr>
                <w:rFonts w:ascii="Arial" w:hAnsi="Arial" w:cs="Arial"/>
                <w:sz w:val="16"/>
                <w:szCs w:val="16"/>
              </w:rPr>
            </w:pPr>
            <w:r w:rsidRPr="004E0B11">
              <w:rPr>
                <w:rFonts w:ascii="Arial" w:hAnsi="Arial" w:cs="Arial"/>
                <w:sz w:val="16"/>
                <w:szCs w:val="16"/>
              </w:rPr>
              <w:t>24.4% (30)</w:t>
            </w:r>
          </w:p>
        </w:tc>
        <w:tc>
          <w:tcPr>
            <w:tcW w:w="848" w:type="dxa"/>
            <w:tcBorders>
              <w:top w:val="nil"/>
              <w:left w:val="nil"/>
              <w:bottom w:val="single" w:sz="12" w:space="0" w:color="000000"/>
              <w:right w:val="nil"/>
            </w:tcBorders>
          </w:tcPr>
          <w:p w14:paraId="31C96E1C" w14:textId="1A48B9C2" w:rsidR="002D7CF2" w:rsidRPr="004E0B11" w:rsidRDefault="00A37E17" w:rsidP="00035B78">
            <w:pPr>
              <w:jc w:val="center"/>
              <w:rPr>
                <w:rFonts w:ascii="Arial" w:hAnsi="Arial" w:cs="Arial"/>
                <w:sz w:val="16"/>
                <w:szCs w:val="16"/>
              </w:rPr>
            </w:pPr>
            <m:oMathPara>
              <m:oMath>
                <m:sSup>
                  <m:sSupPr>
                    <m:ctrlPr>
                      <w:rPr>
                        <w:rFonts w:ascii="Cambria Math" w:hAnsi="Cambria Math" w:cs="Arial"/>
                        <w:i/>
                        <w:sz w:val="16"/>
                        <w:szCs w:val="16"/>
                      </w:rPr>
                    </m:ctrlPr>
                  </m:sSupPr>
                  <m:e>
                    <m:r>
                      <w:rPr>
                        <w:rFonts w:ascii="Cambria Math" w:hAnsi="Cambria Math" w:cs="Arial"/>
                        <w:sz w:val="16"/>
                        <w:szCs w:val="16"/>
                      </w:rPr>
                      <m:t>x</m:t>
                    </m:r>
                  </m:e>
                  <m:sup>
                    <m:r>
                      <w:rPr>
                        <w:rFonts w:ascii="Cambria Math" w:hAnsi="Cambria Math" w:cs="Arial"/>
                        <w:sz w:val="16"/>
                        <w:szCs w:val="16"/>
                      </w:rPr>
                      <m:t>2</m:t>
                    </m:r>
                  </m:sup>
                </m:sSup>
                <m:r>
                  <w:rPr>
                    <w:rFonts w:ascii="Cambria Math" w:hAnsi="Cambria Math" w:cs="Arial"/>
                    <w:sz w:val="16"/>
                    <w:szCs w:val="16"/>
                  </w:rPr>
                  <m:t>=0.10</m:t>
                </m:r>
              </m:oMath>
            </m:oMathPara>
          </w:p>
        </w:tc>
        <w:tc>
          <w:tcPr>
            <w:tcW w:w="949" w:type="dxa"/>
            <w:tcBorders>
              <w:top w:val="nil"/>
              <w:left w:val="nil"/>
              <w:bottom w:val="single" w:sz="12" w:space="0" w:color="000000"/>
              <w:right w:val="nil"/>
            </w:tcBorders>
            <w:shd w:val="clear" w:color="auto" w:fill="auto"/>
          </w:tcPr>
          <w:p w14:paraId="79A63D96" w14:textId="7BF2EF0B" w:rsidR="002D7CF2" w:rsidRPr="004E0B11" w:rsidRDefault="002D7CF2">
            <w:pPr>
              <w:jc w:val="center"/>
              <w:rPr>
                <w:rFonts w:ascii="Arial" w:hAnsi="Arial" w:cs="Arial"/>
                <w:sz w:val="16"/>
                <w:szCs w:val="16"/>
              </w:rPr>
            </w:pPr>
            <w:r w:rsidRPr="004E0B11">
              <w:rPr>
                <w:rFonts w:ascii="Arial" w:hAnsi="Arial" w:cs="Arial"/>
                <w:sz w:val="16"/>
                <w:szCs w:val="16"/>
              </w:rPr>
              <w:t>0.757</w:t>
            </w:r>
          </w:p>
        </w:tc>
      </w:tr>
    </w:tbl>
    <w:p w14:paraId="563F3951" w14:textId="4CF7E91B" w:rsidR="00A203A1" w:rsidRPr="004E0B11" w:rsidRDefault="00A203A1">
      <w:pPr>
        <w:jc w:val="both"/>
        <w:rPr>
          <w:rFonts w:ascii="Arial" w:hAnsi="Arial" w:cs="Arial"/>
          <w:i/>
          <w:sz w:val="20"/>
          <w:szCs w:val="20"/>
        </w:rPr>
      </w:pPr>
    </w:p>
    <w:p w14:paraId="5DB68A6C" w14:textId="77777777" w:rsidR="004D0C45" w:rsidRPr="004E0B11" w:rsidRDefault="004D0C45">
      <w:pPr>
        <w:jc w:val="both"/>
        <w:rPr>
          <w:rFonts w:ascii="Arial" w:hAnsi="Arial" w:cs="Arial"/>
          <w:i/>
          <w:sz w:val="20"/>
          <w:szCs w:val="20"/>
        </w:rPr>
      </w:pPr>
    </w:p>
    <w:p w14:paraId="12DE57A3" w14:textId="77777777" w:rsidR="00A203A1" w:rsidRPr="004E0B11" w:rsidRDefault="00A203A1">
      <w:pPr>
        <w:jc w:val="both"/>
        <w:rPr>
          <w:rFonts w:ascii="Arial" w:hAnsi="Arial" w:cs="Arial"/>
          <w:i/>
          <w:sz w:val="20"/>
          <w:szCs w:val="20"/>
        </w:rPr>
      </w:pPr>
    </w:p>
    <w:p w14:paraId="76D4B0E6" w14:textId="77777777" w:rsidR="00A203A1" w:rsidRPr="004E0B11" w:rsidRDefault="00A203A1">
      <w:pPr>
        <w:jc w:val="both"/>
        <w:rPr>
          <w:rFonts w:ascii="Arial" w:hAnsi="Arial" w:cs="Arial"/>
          <w:i/>
          <w:sz w:val="20"/>
          <w:szCs w:val="20"/>
        </w:rPr>
      </w:pPr>
    </w:p>
    <w:p w14:paraId="751374BF" w14:textId="77777777" w:rsidR="008B57B8" w:rsidRDefault="008B57B8">
      <w:pPr>
        <w:rPr>
          <w:rFonts w:ascii="Arial" w:hAnsi="Arial" w:cs="Arial"/>
          <w:b/>
          <w:color w:val="000000" w:themeColor="text1"/>
          <w:sz w:val="20"/>
          <w:szCs w:val="20"/>
        </w:rPr>
      </w:pPr>
      <w:r>
        <w:rPr>
          <w:rFonts w:ascii="Arial" w:hAnsi="Arial" w:cs="Arial"/>
          <w:b/>
          <w:color w:val="000000" w:themeColor="text1"/>
          <w:sz w:val="20"/>
          <w:szCs w:val="20"/>
        </w:rPr>
        <w:br w:type="page"/>
      </w:r>
    </w:p>
    <w:p w14:paraId="3E49D07B" w14:textId="0C92C16F" w:rsidR="00790A8D" w:rsidRDefault="00790A8D" w:rsidP="00790A8D">
      <w:pPr>
        <w:spacing w:after="160"/>
        <w:contextualSpacing/>
        <w:jc w:val="both"/>
        <w:rPr>
          <w:rFonts w:ascii="Arial" w:hAnsi="Arial" w:cs="Arial"/>
          <w:color w:val="000000" w:themeColor="text1"/>
          <w:sz w:val="20"/>
          <w:szCs w:val="20"/>
        </w:rPr>
      </w:pPr>
      <w:r w:rsidRPr="00790A8D">
        <w:rPr>
          <w:rFonts w:ascii="Arial" w:hAnsi="Arial" w:cs="Arial"/>
          <w:b/>
          <w:color w:val="000000" w:themeColor="text1"/>
          <w:sz w:val="20"/>
          <w:szCs w:val="20"/>
        </w:rPr>
        <w:lastRenderedPageBreak/>
        <w:t>Table 3</w:t>
      </w:r>
      <w:r w:rsidRPr="00A149DD">
        <w:rPr>
          <w:rFonts w:ascii="Arial" w:hAnsi="Arial" w:cs="Arial"/>
          <w:color w:val="000000" w:themeColor="text1"/>
          <w:sz w:val="20"/>
          <w:szCs w:val="20"/>
        </w:rPr>
        <w:t xml:space="preserve">. Predictors of death </w:t>
      </w:r>
      <w:r w:rsidR="006D4E04">
        <w:rPr>
          <w:rFonts w:ascii="Arial" w:hAnsi="Arial" w:cs="Arial"/>
          <w:color w:val="000000" w:themeColor="text1"/>
          <w:sz w:val="20"/>
          <w:szCs w:val="20"/>
        </w:rPr>
        <w:t xml:space="preserve">in patient who died unexpectedly and clozapine-treated group who did not die </w:t>
      </w:r>
      <w:r w:rsidRPr="00A149DD">
        <w:rPr>
          <w:rFonts w:ascii="Arial" w:hAnsi="Arial" w:cs="Arial"/>
          <w:color w:val="000000" w:themeColor="text1"/>
          <w:sz w:val="20"/>
          <w:szCs w:val="20"/>
        </w:rPr>
        <w:t xml:space="preserve">(expressed as </w:t>
      </w:r>
      <w:r>
        <w:rPr>
          <w:rFonts w:ascii="Arial" w:hAnsi="Arial" w:cs="Arial"/>
          <w:color w:val="000000" w:themeColor="text1"/>
          <w:sz w:val="20"/>
          <w:szCs w:val="20"/>
        </w:rPr>
        <w:t>odd</w:t>
      </w:r>
      <w:r w:rsidRPr="00A149DD">
        <w:rPr>
          <w:rFonts w:ascii="Arial" w:hAnsi="Arial" w:cs="Arial"/>
          <w:color w:val="000000" w:themeColor="text1"/>
          <w:sz w:val="20"/>
          <w:szCs w:val="20"/>
        </w:rPr>
        <w:t xml:space="preserve"> ratios with 95% confidence intervals, corrected for all other factors in the model).</w:t>
      </w:r>
    </w:p>
    <w:tbl>
      <w:tblPr>
        <w:tblW w:w="5000" w:type="pct"/>
        <w:tblLook w:val="04A0" w:firstRow="1" w:lastRow="0" w:firstColumn="1" w:lastColumn="0" w:noHBand="0" w:noVBand="1"/>
      </w:tblPr>
      <w:tblGrid>
        <w:gridCol w:w="2649"/>
        <w:gridCol w:w="2338"/>
        <w:gridCol w:w="732"/>
        <w:gridCol w:w="2575"/>
        <w:gridCol w:w="732"/>
      </w:tblGrid>
      <w:tr w:rsidR="00790A8D" w:rsidRPr="00E57E24" w14:paraId="48B0CB87" w14:textId="77777777" w:rsidTr="00F70DDE">
        <w:trPr>
          <w:trHeight w:val="310"/>
        </w:trPr>
        <w:tc>
          <w:tcPr>
            <w:tcW w:w="1511" w:type="pct"/>
            <w:tcBorders>
              <w:top w:val="single" w:sz="12" w:space="0" w:color="auto"/>
              <w:left w:val="nil"/>
              <w:bottom w:val="nil"/>
              <w:right w:val="nil"/>
            </w:tcBorders>
            <w:shd w:val="clear" w:color="auto" w:fill="auto"/>
            <w:noWrap/>
            <w:vAlign w:val="center"/>
            <w:hideMark/>
          </w:tcPr>
          <w:p w14:paraId="30CFE650" w14:textId="77777777" w:rsidR="00790A8D" w:rsidRPr="00E57E24" w:rsidRDefault="00790A8D" w:rsidP="00F70DDE">
            <w:pPr>
              <w:rPr>
                <w:rFonts w:ascii="Arial" w:hAnsi="Arial" w:cs="Arial"/>
                <w:color w:val="000000"/>
                <w:sz w:val="16"/>
                <w:szCs w:val="22"/>
                <w:lang w:val="en-US" w:eastAsia="zh-CN"/>
              </w:rPr>
            </w:pPr>
          </w:p>
        </w:tc>
        <w:tc>
          <w:tcPr>
            <w:tcW w:w="1687" w:type="pct"/>
            <w:gridSpan w:val="2"/>
            <w:tcBorders>
              <w:top w:val="single" w:sz="12" w:space="0" w:color="auto"/>
              <w:left w:val="nil"/>
              <w:bottom w:val="single" w:sz="8" w:space="0" w:color="auto"/>
              <w:right w:val="nil"/>
            </w:tcBorders>
            <w:shd w:val="clear" w:color="auto" w:fill="auto"/>
            <w:noWrap/>
            <w:vAlign w:val="center"/>
            <w:hideMark/>
          </w:tcPr>
          <w:p w14:paraId="32C3468F" w14:textId="77777777" w:rsidR="00790A8D" w:rsidRPr="00E57E24" w:rsidRDefault="00790A8D" w:rsidP="00F70DDE">
            <w:pPr>
              <w:jc w:val="center"/>
              <w:rPr>
                <w:rFonts w:ascii="Arial" w:hAnsi="Arial" w:cs="Arial"/>
                <w:b/>
                <w:bCs/>
                <w:color w:val="000000"/>
                <w:sz w:val="16"/>
                <w:szCs w:val="22"/>
                <w:lang w:val="en-US" w:eastAsia="zh-CN"/>
              </w:rPr>
            </w:pPr>
            <w:r w:rsidRPr="00E57E24">
              <w:rPr>
                <w:rFonts w:ascii="Arial" w:hAnsi="Arial" w:cs="Arial"/>
                <w:b/>
                <w:bCs/>
                <w:color w:val="000000"/>
                <w:sz w:val="16"/>
                <w:szCs w:val="22"/>
                <w:lang w:val="en-US" w:eastAsia="zh-CN"/>
              </w:rPr>
              <w:t>Logistic regression</w:t>
            </w:r>
          </w:p>
        </w:tc>
        <w:tc>
          <w:tcPr>
            <w:tcW w:w="1802" w:type="pct"/>
            <w:gridSpan w:val="2"/>
            <w:tcBorders>
              <w:top w:val="single" w:sz="12" w:space="0" w:color="auto"/>
              <w:left w:val="nil"/>
              <w:bottom w:val="single" w:sz="8" w:space="0" w:color="auto"/>
              <w:right w:val="nil"/>
            </w:tcBorders>
            <w:shd w:val="clear" w:color="auto" w:fill="auto"/>
            <w:noWrap/>
            <w:vAlign w:val="center"/>
            <w:hideMark/>
          </w:tcPr>
          <w:p w14:paraId="087697F8" w14:textId="77777777" w:rsidR="00790A8D" w:rsidRPr="00E57E24" w:rsidRDefault="00790A8D" w:rsidP="00F70DDE">
            <w:pPr>
              <w:jc w:val="center"/>
              <w:rPr>
                <w:rFonts w:ascii="Arial" w:hAnsi="Arial" w:cs="Arial"/>
                <w:b/>
                <w:bCs/>
                <w:color w:val="000000"/>
                <w:sz w:val="16"/>
                <w:szCs w:val="22"/>
                <w:lang w:val="en-US" w:eastAsia="zh-CN"/>
              </w:rPr>
            </w:pPr>
            <w:r w:rsidRPr="00E57E24">
              <w:rPr>
                <w:rFonts w:ascii="Arial" w:hAnsi="Arial" w:cs="Arial"/>
                <w:b/>
                <w:bCs/>
                <w:color w:val="000000"/>
                <w:sz w:val="16"/>
                <w:szCs w:val="22"/>
                <w:lang w:val="en-US" w:eastAsia="zh-CN"/>
              </w:rPr>
              <w:t>Logistic regression weighted by IPW</w:t>
            </w:r>
          </w:p>
        </w:tc>
      </w:tr>
      <w:tr w:rsidR="00790A8D" w:rsidRPr="00E57E24" w14:paraId="28ADFF79" w14:textId="77777777" w:rsidTr="00F70DDE">
        <w:trPr>
          <w:trHeight w:val="300"/>
        </w:trPr>
        <w:tc>
          <w:tcPr>
            <w:tcW w:w="1511" w:type="pct"/>
            <w:tcBorders>
              <w:top w:val="nil"/>
              <w:left w:val="nil"/>
              <w:bottom w:val="single" w:sz="8" w:space="0" w:color="auto"/>
              <w:right w:val="nil"/>
            </w:tcBorders>
            <w:shd w:val="clear" w:color="auto" w:fill="auto"/>
            <w:noWrap/>
            <w:vAlign w:val="center"/>
            <w:hideMark/>
          </w:tcPr>
          <w:p w14:paraId="417CC9FE" w14:textId="77777777" w:rsidR="00790A8D" w:rsidRPr="00E57E24" w:rsidRDefault="00790A8D" w:rsidP="00F70DDE">
            <w:pPr>
              <w:rPr>
                <w:rFonts w:ascii="Arial" w:hAnsi="Arial" w:cs="Arial"/>
                <w:color w:val="000000"/>
                <w:sz w:val="16"/>
                <w:szCs w:val="22"/>
                <w:lang w:val="en-US" w:eastAsia="zh-CN"/>
              </w:rPr>
            </w:pPr>
          </w:p>
        </w:tc>
        <w:tc>
          <w:tcPr>
            <w:tcW w:w="1370" w:type="pct"/>
            <w:tcBorders>
              <w:top w:val="nil"/>
              <w:left w:val="nil"/>
              <w:bottom w:val="single" w:sz="8" w:space="0" w:color="auto"/>
              <w:right w:val="nil"/>
            </w:tcBorders>
            <w:shd w:val="clear" w:color="auto" w:fill="auto"/>
            <w:noWrap/>
            <w:vAlign w:val="center"/>
            <w:hideMark/>
          </w:tcPr>
          <w:p w14:paraId="6B5DE7D8"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OR (95% CI)</w:t>
            </w:r>
          </w:p>
        </w:tc>
        <w:tc>
          <w:tcPr>
            <w:tcW w:w="317" w:type="pct"/>
            <w:tcBorders>
              <w:top w:val="nil"/>
              <w:left w:val="nil"/>
              <w:bottom w:val="single" w:sz="8" w:space="0" w:color="auto"/>
              <w:right w:val="nil"/>
            </w:tcBorders>
            <w:shd w:val="clear" w:color="auto" w:fill="auto"/>
            <w:noWrap/>
            <w:vAlign w:val="center"/>
            <w:hideMark/>
          </w:tcPr>
          <w:p w14:paraId="0C9429C1"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p value</w:t>
            </w:r>
          </w:p>
        </w:tc>
        <w:tc>
          <w:tcPr>
            <w:tcW w:w="1485" w:type="pct"/>
            <w:tcBorders>
              <w:top w:val="nil"/>
              <w:left w:val="nil"/>
              <w:bottom w:val="single" w:sz="8" w:space="0" w:color="auto"/>
              <w:right w:val="nil"/>
            </w:tcBorders>
            <w:shd w:val="clear" w:color="auto" w:fill="auto"/>
            <w:noWrap/>
            <w:vAlign w:val="center"/>
            <w:hideMark/>
          </w:tcPr>
          <w:p w14:paraId="2B129453"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OR (95% CI)</w:t>
            </w:r>
          </w:p>
        </w:tc>
        <w:tc>
          <w:tcPr>
            <w:tcW w:w="317" w:type="pct"/>
            <w:tcBorders>
              <w:top w:val="nil"/>
              <w:left w:val="nil"/>
              <w:bottom w:val="single" w:sz="8" w:space="0" w:color="auto"/>
              <w:right w:val="nil"/>
            </w:tcBorders>
            <w:shd w:val="clear" w:color="auto" w:fill="auto"/>
            <w:noWrap/>
            <w:vAlign w:val="center"/>
            <w:hideMark/>
          </w:tcPr>
          <w:p w14:paraId="02D10B5F"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p value</w:t>
            </w:r>
          </w:p>
        </w:tc>
      </w:tr>
      <w:tr w:rsidR="00790A8D" w:rsidRPr="00E57E24" w14:paraId="75255736" w14:textId="77777777" w:rsidTr="00F70DDE">
        <w:trPr>
          <w:trHeight w:val="290"/>
        </w:trPr>
        <w:tc>
          <w:tcPr>
            <w:tcW w:w="1511" w:type="pct"/>
            <w:tcBorders>
              <w:top w:val="nil"/>
              <w:left w:val="nil"/>
              <w:bottom w:val="nil"/>
              <w:right w:val="nil"/>
            </w:tcBorders>
            <w:shd w:val="clear" w:color="auto" w:fill="auto"/>
            <w:noWrap/>
            <w:vAlign w:val="center"/>
            <w:hideMark/>
          </w:tcPr>
          <w:p w14:paraId="362E9522" w14:textId="654F1EB5"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Clozapine dose &gt;= 525mg (= Yes)</w:t>
            </w:r>
          </w:p>
        </w:tc>
        <w:tc>
          <w:tcPr>
            <w:tcW w:w="1370" w:type="pct"/>
            <w:tcBorders>
              <w:top w:val="nil"/>
              <w:left w:val="nil"/>
              <w:bottom w:val="nil"/>
              <w:right w:val="nil"/>
            </w:tcBorders>
            <w:shd w:val="clear" w:color="auto" w:fill="auto"/>
            <w:noWrap/>
            <w:vAlign w:val="center"/>
            <w:hideMark/>
          </w:tcPr>
          <w:p w14:paraId="341C1178" w14:textId="77777777" w:rsidR="00790A8D" w:rsidRPr="008E43A5" w:rsidRDefault="00790A8D" w:rsidP="00F70DDE">
            <w:pPr>
              <w:jc w:val="center"/>
              <w:rPr>
                <w:rFonts w:ascii="Arial" w:hAnsi="Arial" w:cs="Arial"/>
                <w:b/>
                <w:bCs/>
                <w:color w:val="000000"/>
                <w:sz w:val="16"/>
                <w:szCs w:val="22"/>
                <w:lang w:val="en-US" w:eastAsia="zh-CN"/>
              </w:rPr>
            </w:pPr>
            <w:r w:rsidRPr="008E43A5">
              <w:rPr>
                <w:rFonts w:ascii="Arial" w:hAnsi="Arial" w:cs="Arial"/>
                <w:b/>
                <w:bCs/>
                <w:color w:val="000000"/>
                <w:sz w:val="16"/>
                <w:szCs w:val="22"/>
                <w:lang w:val="en-US" w:eastAsia="zh-CN"/>
              </w:rPr>
              <w:t>5.937[1.243 30.595]</w:t>
            </w:r>
          </w:p>
        </w:tc>
        <w:tc>
          <w:tcPr>
            <w:tcW w:w="317" w:type="pct"/>
            <w:tcBorders>
              <w:top w:val="nil"/>
              <w:left w:val="nil"/>
              <w:bottom w:val="nil"/>
              <w:right w:val="nil"/>
            </w:tcBorders>
            <w:shd w:val="clear" w:color="auto" w:fill="auto"/>
            <w:noWrap/>
            <w:vAlign w:val="center"/>
            <w:hideMark/>
          </w:tcPr>
          <w:p w14:paraId="33D6F373" w14:textId="77777777" w:rsidR="00790A8D" w:rsidRPr="008E43A5" w:rsidRDefault="00790A8D" w:rsidP="00F70DDE">
            <w:pPr>
              <w:jc w:val="center"/>
              <w:rPr>
                <w:rFonts w:ascii="Arial" w:hAnsi="Arial" w:cs="Arial"/>
                <w:b/>
                <w:bCs/>
                <w:color w:val="000000"/>
                <w:sz w:val="16"/>
                <w:szCs w:val="22"/>
                <w:lang w:val="en-US" w:eastAsia="zh-CN"/>
              </w:rPr>
            </w:pPr>
            <w:r w:rsidRPr="008E43A5">
              <w:rPr>
                <w:rFonts w:ascii="Arial" w:hAnsi="Arial" w:cs="Arial"/>
                <w:b/>
                <w:bCs/>
                <w:color w:val="000000"/>
                <w:sz w:val="16"/>
                <w:szCs w:val="22"/>
                <w:lang w:val="en-US" w:eastAsia="zh-CN"/>
              </w:rPr>
              <w:t>0.026</w:t>
            </w:r>
          </w:p>
        </w:tc>
        <w:tc>
          <w:tcPr>
            <w:tcW w:w="1485" w:type="pct"/>
            <w:tcBorders>
              <w:top w:val="nil"/>
              <w:left w:val="nil"/>
              <w:bottom w:val="nil"/>
              <w:right w:val="nil"/>
            </w:tcBorders>
            <w:shd w:val="clear" w:color="auto" w:fill="auto"/>
            <w:noWrap/>
            <w:vAlign w:val="center"/>
            <w:hideMark/>
          </w:tcPr>
          <w:p w14:paraId="584647DC" w14:textId="77777777" w:rsidR="00790A8D" w:rsidRPr="00E57E24" w:rsidRDefault="00790A8D" w:rsidP="00F70DDE">
            <w:pPr>
              <w:jc w:val="center"/>
              <w:rPr>
                <w:rFonts w:ascii="Arial" w:hAnsi="Arial" w:cs="Arial"/>
                <w:b/>
                <w:bCs/>
                <w:color w:val="000000"/>
                <w:sz w:val="16"/>
                <w:szCs w:val="22"/>
                <w:lang w:val="en-US" w:eastAsia="zh-CN"/>
              </w:rPr>
            </w:pPr>
            <w:r w:rsidRPr="00E57E24">
              <w:rPr>
                <w:rFonts w:ascii="Arial" w:hAnsi="Arial" w:cs="Arial"/>
                <w:b/>
                <w:bCs/>
                <w:color w:val="000000"/>
                <w:sz w:val="16"/>
                <w:szCs w:val="22"/>
                <w:lang w:val="en-US" w:eastAsia="zh-CN"/>
              </w:rPr>
              <w:t>9.249[2.358 40.914]</w:t>
            </w:r>
          </w:p>
        </w:tc>
        <w:tc>
          <w:tcPr>
            <w:tcW w:w="317" w:type="pct"/>
            <w:tcBorders>
              <w:top w:val="nil"/>
              <w:left w:val="nil"/>
              <w:bottom w:val="nil"/>
              <w:right w:val="nil"/>
            </w:tcBorders>
            <w:shd w:val="clear" w:color="auto" w:fill="auto"/>
            <w:noWrap/>
            <w:vAlign w:val="center"/>
            <w:hideMark/>
          </w:tcPr>
          <w:p w14:paraId="1B3FAEE5" w14:textId="77777777" w:rsidR="00790A8D" w:rsidRPr="008E43A5" w:rsidRDefault="00790A8D" w:rsidP="00F70DDE">
            <w:pPr>
              <w:jc w:val="center"/>
              <w:rPr>
                <w:rFonts w:ascii="Arial" w:hAnsi="Arial" w:cs="Arial"/>
                <w:b/>
                <w:bCs/>
                <w:color w:val="000000"/>
                <w:sz w:val="16"/>
                <w:szCs w:val="22"/>
                <w:lang w:val="en-US" w:eastAsia="zh-CN"/>
              </w:rPr>
            </w:pPr>
            <w:r w:rsidRPr="008E43A5">
              <w:rPr>
                <w:rFonts w:ascii="Arial" w:hAnsi="Arial" w:cs="Arial"/>
                <w:b/>
                <w:bCs/>
                <w:color w:val="000000"/>
                <w:sz w:val="16"/>
                <w:szCs w:val="22"/>
                <w:lang w:val="en-US" w:eastAsia="zh-CN"/>
              </w:rPr>
              <w:t>0.002</w:t>
            </w:r>
          </w:p>
        </w:tc>
      </w:tr>
      <w:tr w:rsidR="00790A8D" w:rsidRPr="00E57E24" w14:paraId="4F7D6508" w14:textId="77777777" w:rsidTr="00F70DDE">
        <w:trPr>
          <w:trHeight w:val="290"/>
        </w:trPr>
        <w:tc>
          <w:tcPr>
            <w:tcW w:w="1511" w:type="pct"/>
            <w:tcBorders>
              <w:top w:val="nil"/>
              <w:left w:val="nil"/>
              <w:bottom w:val="nil"/>
              <w:right w:val="nil"/>
            </w:tcBorders>
            <w:shd w:val="clear" w:color="auto" w:fill="auto"/>
            <w:noWrap/>
            <w:vAlign w:val="center"/>
            <w:hideMark/>
          </w:tcPr>
          <w:p w14:paraId="348FB285"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Age</w:t>
            </w:r>
          </w:p>
        </w:tc>
        <w:tc>
          <w:tcPr>
            <w:tcW w:w="1370" w:type="pct"/>
            <w:tcBorders>
              <w:top w:val="nil"/>
              <w:left w:val="nil"/>
              <w:bottom w:val="nil"/>
              <w:right w:val="nil"/>
            </w:tcBorders>
            <w:shd w:val="clear" w:color="auto" w:fill="auto"/>
            <w:noWrap/>
            <w:vAlign w:val="center"/>
            <w:hideMark/>
          </w:tcPr>
          <w:p w14:paraId="07C0748F"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1.033[0.968 1.104]</w:t>
            </w:r>
          </w:p>
        </w:tc>
        <w:tc>
          <w:tcPr>
            <w:tcW w:w="317" w:type="pct"/>
            <w:tcBorders>
              <w:top w:val="nil"/>
              <w:left w:val="nil"/>
              <w:bottom w:val="nil"/>
              <w:right w:val="nil"/>
            </w:tcBorders>
            <w:shd w:val="clear" w:color="auto" w:fill="auto"/>
            <w:noWrap/>
            <w:vAlign w:val="center"/>
            <w:hideMark/>
          </w:tcPr>
          <w:p w14:paraId="7D443610"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0.326</w:t>
            </w:r>
          </w:p>
        </w:tc>
        <w:tc>
          <w:tcPr>
            <w:tcW w:w="1485" w:type="pct"/>
            <w:tcBorders>
              <w:top w:val="nil"/>
              <w:left w:val="nil"/>
              <w:bottom w:val="nil"/>
              <w:right w:val="nil"/>
            </w:tcBorders>
            <w:shd w:val="clear" w:color="auto" w:fill="auto"/>
            <w:noWrap/>
            <w:vAlign w:val="center"/>
            <w:hideMark/>
          </w:tcPr>
          <w:p w14:paraId="3CDAF2C8"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1.019[0.956 1.086]</w:t>
            </w:r>
          </w:p>
        </w:tc>
        <w:tc>
          <w:tcPr>
            <w:tcW w:w="317" w:type="pct"/>
            <w:tcBorders>
              <w:top w:val="nil"/>
              <w:left w:val="nil"/>
              <w:bottom w:val="nil"/>
              <w:right w:val="nil"/>
            </w:tcBorders>
            <w:shd w:val="clear" w:color="auto" w:fill="auto"/>
            <w:noWrap/>
            <w:vAlign w:val="center"/>
            <w:hideMark/>
          </w:tcPr>
          <w:p w14:paraId="36A0BCF2"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0.559</w:t>
            </w:r>
          </w:p>
        </w:tc>
      </w:tr>
      <w:tr w:rsidR="00790A8D" w:rsidRPr="00E57E24" w14:paraId="4828E25D" w14:textId="77777777" w:rsidTr="00F70DDE">
        <w:trPr>
          <w:trHeight w:val="290"/>
        </w:trPr>
        <w:tc>
          <w:tcPr>
            <w:tcW w:w="1511" w:type="pct"/>
            <w:tcBorders>
              <w:top w:val="nil"/>
              <w:left w:val="nil"/>
              <w:bottom w:val="nil"/>
              <w:right w:val="nil"/>
            </w:tcBorders>
            <w:shd w:val="clear" w:color="auto" w:fill="auto"/>
            <w:noWrap/>
            <w:vAlign w:val="center"/>
            <w:hideMark/>
          </w:tcPr>
          <w:p w14:paraId="1899CAEF"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Male (= Yes)</w:t>
            </w:r>
          </w:p>
        </w:tc>
        <w:tc>
          <w:tcPr>
            <w:tcW w:w="1370" w:type="pct"/>
            <w:tcBorders>
              <w:top w:val="nil"/>
              <w:left w:val="nil"/>
              <w:bottom w:val="nil"/>
              <w:right w:val="nil"/>
            </w:tcBorders>
            <w:shd w:val="clear" w:color="auto" w:fill="auto"/>
            <w:noWrap/>
            <w:vAlign w:val="center"/>
            <w:hideMark/>
          </w:tcPr>
          <w:p w14:paraId="5F0B034C"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0.374[0.086 1.734]</w:t>
            </w:r>
          </w:p>
        </w:tc>
        <w:tc>
          <w:tcPr>
            <w:tcW w:w="317" w:type="pct"/>
            <w:tcBorders>
              <w:top w:val="nil"/>
              <w:left w:val="nil"/>
              <w:bottom w:val="nil"/>
              <w:right w:val="nil"/>
            </w:tcBorders>
            <w:shd w:val="clear" w:color="auto" w:fill="auto"/>
            <w:noWrap/>
            <w:vAlign w:val="center"/>
            <w:hideMark/>
          </w:tcPr>
          <w:p w14:paraId="448A5798"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0.188</w:t>
            </w:r>
          </w:p>
        </w:tc>
        <w:tc>
          <w:tcPr>
            <w:tcW w:w="1485" w:type="pct"/>
            <w:tcBorders>
              <w:top w:val="nil"/>
              <w:left w:val="nil"/>
              <w:bottom w:val="nil"/>
              <w:right w:val="nil"/>
            </w:tcBorders>
            <w:shd w:val="clear" w:color="auto" w:fill="auto"/>
            <w:noWrap/>
            <w:vAlign w:val="center"/>
            <w:hideMark/>
          </w:tcPr>
          <w:p w14:paraId="0A4F4C05"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0.332[0.073 1.623]</w:t>
            </w:r>
          </w:p>
        </w:tc>
        <w:tc>
          <w:tcPr>
            <w:tcW w:w="317" w:type="pct"/>
            <w:tcBorders>
              <w:top w:val="nil"/>
              <w:left w:val="nil"/>
              <w:bottom w:val="nil"/>
              <w:right w:val="nil"/>
            </w:tcBorders>
            <w:shd w:val="clear" w:color="auto" w:fill="auto"/>
            <w:noWrap/>
            <w:vAlign w:val="center"/>
            <w:hideMark/>
          </w:tcPr>
          <w:p w14:paraId="1F242194"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0.152</w:t>
            </w:r>
          </w:p>
        </w:tc>
      </w:tr>
      <w:tr w:rsidR="00790A8D" w:rsidRPr="00E57E24" w14:paraId="3C14248A" w14:textId="77777777" w:rsidTr="00F70DDE">
        <w:trPr>
          <w:trHeight w:val="290"/>
        </w:trPr>
        <w:tc>
          <w:tcPr>
            <w:tcW w:w="1511" w:type="pct"/>
            <w:tcBorders>
              <w:top w:val="nil"/>
              <w:left w:val="nil"/>
              <w:bottom w:val="nil"/>
              <w:right w:val="nil"/>
            </w:tcBorders>
            <w:shd w:val="clear" w:color="auto" w:fill="auto"/>
            <w:noWrap/>
            <w:vAlign w:val="center"/>
            <w:hideMark/>
          </w:tcPr>
          <w:p w14:paraId="6380DB15"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0"/>
                <w:lang w:eastAsia="zh-CN"/>
              </w:rPr>
              <w:t>Smoker (= Yes)</w:t>
            </w:r>
          </w:p>
        </w:tc>
        <w:tc>
          <w:tcPr>
            <w:tcW w:w="1370" w:type="pct"/>
            <w:tcBorders>
              <w:top w:val="nil"/>
              <w:left w:val="nil"/>
              <w:bottom w:val="nil"/>
              <w:right w:val="nil"/>
            </w:tcBorders>
            <w:shd w:val="clear" w:color="auto" w:fill="auto"/>
            <w:noWrap/>
            <w:vAlign w:val="center"/>
            <w:hideMark/>
          </w:tcPr>
          <w:p w14:paraId="6161918A"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2.404[0.679 9.869]</w:t>
            </w:r>
          </w:p>
        </w:tc>
        <w:tc>
          <w:tcPr>
            <w:tcW w:w="317" w:type="pct"/>
            <w:tcBorders>
              <w:top w:val="nil"/>
              <w:left w:val="nil"/>
              <w:bottom w:val="nil"/>
              <w:right w:val="nil"/>
            </w:tcBorders>
            <w:shd w:val="clear" w:color="auto" w:fill="auto"/>
            <w:noWrap/>
            <w:vAlign w:val="center"/>
            <w:hideMark/>
          </w:tcPr>
          <w:p w14:paraId="77193DF6"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0.188</w:t>
            </w:r>
          </w:p>
        </w:tc>
        <w:tc>
          <w:tcPr>
            <w:tcW w:w="1485" w:type="pct"/>
            <w:tcBorders>
              <w:top w:val="nil"/>
              <w:left w:val="nil"/>
              <w:bottom w:val="nil"/>
              <w:right w:val="nil"/>
            </w:tcBorders>
            <w:shd w:val="clear" w:color="auto" w:fill="auto"/>
            <w:noWrap/>
            <w:vAlign w:val="center"/>
            <w:hideMark/>
          </w:tcPr>
          <w:p w14:paraId="1E6AF69D"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1.793[0.525 6.613]</w:t>
            </w:r>
          </w:p>
        </w:tc>
        <w:tc>
          <w:tcPr>
            <w:tcW w:w="317" w:type="pct"/>
            <w:tcBorders>
              <w:top w:val="nil"/>
              <w:left w:val="nil"/>
              <w:bottom w:val="nil"/>
              <w:right w:val="nil"/>
            </w:tcBorders>
            <w:shd w:val="clear" w:color="auto" w:fill="auto"/>
            <w:noWrap/>
            <w:vAlign w:val="center"/>
            <w:hideMark/>
          </w:tcPr>
          <w:p w14:paraId="08839C69"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0.357</w:t>
            </w:r>
          </w:p>
        </w:tc>
      </w:tr>
      <w:tr w:rsidR="00790A8D" w:rsidRPr="00E57E24" w14:paraId="2480FCE6" w14:textId="77777777" w:rsidTr="00F70DDE">
        <w:trPr>
          <w:trHeight w:val="290"/>
        </w:trPr>
        <w:tc>
          <w:tcPr>
            <w:tcW w:w="1511" w:type="pct"/>
            <w:tcBorders>
              <w:top w:val="nil"/>
              <w:left w:val="nil"/>
              <w:bottom w:val="nil"/>
              <w:right w:val="nil"/>
            </w:tcBorders>
            <w:shd w:val="clear" w:color="auto" w:fill="auto"/>
            <w:noWrap/>
            <w:vAlign w:val="center"/>
            <w:hideMark/>
          </w:tcPr>
          <w:p w14:paraId="6BCA850B"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Antipsychotic (= Yes)</w:t>
            </w:r>
          </w:p>
        </w:tc>
        <w:tc>
          <w:tcPr>
            <w:tcW w:w="1370" w:type="pct"/>
            <w:tcBorders>
              <w:top w:val="nil"/>
              <w:left w:val="nil"/>
              <w:bottom w:val="nil"/>
              <w:right w:val="nil"/>
            </w:tcBorders>
            <w:shd w:val="clear" w:color="auto" w:fill="auto"/>
            <w:noWrap/>
            <w:vAlign w:val="center"/>
            <w:hideMark/>
          </w:tcPr>
          <w:p w14:paraId="535ED8B4" w14:textId="77777777" w:rsidR="00790A8D" w:rsidRPr="006D4E04" w:rsidRDefault="00790A8D" w:rsidP="00F70DDE">
            <w:pPr>
              <w:jc w:val="center"/>
              <w:rPr>
                <w:rFonts w:ascii="Arial" w:hAnsi="Arial" w:cs="Arial"/>
                <w:color w:val="000000"/>
                <w:sz w:val="16"/>
                <w:szCs w:val="22"/>
                <w:lang w:val="en-US" w:eastAsia="zh-CN"/>
              </w:rPr>
            </w:pPr>
            <w:r w:rsidRPr="006D4E04">
              <w:rPr>
                <w:rFonts w:ascii="Arial" w:hAnsi="Arial" w:cs="Arial"/>
                <w:color w:val="000000"/>
                <w:sz w:val="16"/>
                <w:szCs w:val="22"/>
                <w:lang w:val="en-US" w:eastAsia="zh-CN"/>
              </w:rPr>
              <w:t>0.228[0.036 0.996]</w:t>
            </w:r>
          </w:p>
        </w:tc>
        <w:tc>
          <w:tcPr>
            <w:tcW w:w="317" w:type="pct"/>
            <w:tcBorders>
              <w:top w:val="nil"/>
              <w:left w:val="nil"/>
              <w:bottom w:val="nil"/>
              <w:right w:val="nil"/>
            </w:tcBorders>
            <w:shd w:val="clear" w:color="auto" w:fill="auto"/>
            <w:noWrap/>
            <w:vAlign w:val="center"/>
            <w:hideMark/>
          </w:tcPr>
          <w:p w14:paraId="78AC45D5"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0.073</w:t>
            </w:r>
          </w:p>
        </w:tc>
        <w:tc>
          <w:tcPr>
            <w:tcW w:w="1485" w:type="pct"/>
            <w:tcBorders>
              <w:top w:val="nil"/>
              <w:left w:val="nil"/>
              <w:bottom w:val="nil"/>
              <w:right w:val="nil"/>
            </w:tcBorders>
            <w:shd w:val="clear" w:color="auto" w:fill="auto"/>
            <w:noWrap/>
            <w:vAlign w:val="center"/>
            <w:hideMark/>
          </w:tcPr>
          <w:p w14:paraId="03FFF16C"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0.292[0.05 1.201]</w:t>
            </w:r>
          </w:p>
        </w:tc>
        <w:tc>
          <w:tcPr>
            <w:tcW w:w="317" w:type="pct"/>
            <w:tcBorders>
              <w:top w:val="nil"/>
              <w:left w:val="nil"/>
              <w:bottom w:val="nil"/>
              <w:right w:val="nil"/>
            </w:tcBorders>
            <w:shd w:val="clear" w:color="auto" w:fill="auto"/>
            <w:noWrap/>
            <w:vAlign w:val="center"/>
            <w:hideMark/>
          </w:tcPr>
          <w:p w14:paraId="0CDD6539"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0.119</w:t>
            </w:r>
          </w:p>
        </w:tc>
      </w:tr>
      <w:tr w:rsidR="00790A8D" w:rsidRPr="00E57E24" w14:paraId="3206AFEB" w14:textId="77777777" w:rsidTr="00F70DDE">
        <w:trPr>
          <w:trHeight w:val="290"/>
        </w:trPr>
        <w:tc>
          <w:tcPr>
            <w:tcW w:w="1511" w:type="pct"/>
            <w:tcBorders>
              <w:top w:val="nil"/>
              <w:left w:val="nil"/>
              <w:bottom w:val="nil"/>
              <w:right w:val="nil"/>
            </w:tcBorders>
            <w:shd w:val="clear" w:color="auto" w:fill="auto"/>
            <w:noWrap/>
            <w:vAlign w:val="center"/>
            <w:hideMark/>
          </w:tcPr>
          <w:p w14:paraId="0372B815"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Antidepressant (= Yes)</w:t>
            </w:r>
          </w:p>
        </w:tc>
        <w:tc>
          <w:tcPr>
            <w:tcW w:w="1370" w:type="pct"/>
            <w:tcBorders>
              <w:top w:val="nil"/>
              <w:left w:val="nil"/>
              <w:bottom w:val="nil"/>
              <w:right w:val="nil"/>
            </w:tcBorders>
            <w:shd w:val="clear" w:color="auto" w:fill="auto"/>
            <w:noWrap/>
            <w:vAlign w:val="center"/>
            <w:hideMark/>
          </w:tcPr>
          <w:p w14:paraId="630CBDC4"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0.262[0.034 1.266]</w:t>
            </w:r>
          </w:p>
        </w:tc>
        <w:tc>
          <w:tcPr>
            <w:tcW w:w="317" w:type="pct"/>
            <w:tcBorders>
              <w:top w:val="nil"/>
              <w:left w:val="nil"/>
              <w:bottom w:val="nil"/>
              <w:right w:val="nil"/>
            </w:tcBorders>
            <w:shd w:val="clear" w:color="auto" w:fill="auto"/>
            <w:noWrap/>
            <w:vAlign w:val="center"/>
            <w:hideMark/>
          </w:tcPr>
          <w:p w14:paraId="7AD8F49F"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0.132</w:t>
            </w:r>
          </w:p>
        </w:tc>
        <w:tc>
          <w:tcPr>
            <w:tcW w:w="1485" w:type="pct"/>
            <w:tcBorders>
              <w:top w:val="nil"/>
              <w:left w:val="nil"/>
              <w:bottom w:val="nil"/>
              <w:right w:val="nil"/>
            </w:tcBorders>
            <w:shd w:val="clear" w:color="auto" w:fill="auto"/>
            <w:noWrap/>
            <w:vAlign w:val="center"/>
            <w:hideMark/>
          </w:tcPr>
          <w:p w14:paraId="702D7198" w14:textId="77777777" w:rsidR="00790A8D" w:rsidRPr="008E43A5" w:rsidRDefault="00790A8D" w:rsidP="00F70DDE">
            <w:pPr>
              <w:jc w:val="center"/>
              <w:rPr>
                <w:rFonts w:ascii="Arial" w:hAnsi="Arial" w:cs="Arial"/>
                <w:b/>
                <w:bCs/>
                <w:color w:val="000000"/>
                <w:sz w:val="16"/>
                <w:szCs w:val="22"/>
                <w:lang w:val="en-US" w:eastAsia="zh-CN"/>
              </w:rPr>
            </w:pPr>
            <w:r w:rsidRPr="008E43A5">
              <w:rPr>
                <w:rFonts w:ascii="Arial" w:hAnsi="Arial" w:cs="Arial"/>
                <w:b/>
                <w:bCs/>
                <w:color w:val="000000"/>
                <w:sz w:val="16"/>
                <w:szCs w:val="22"/>
                <w:lang w:val="en-US" w:eastAsia="zh-CN"/>
              </w:rPr>
              <w:t>0.116[0.008 0.672]</w:t>
            </w:r>
          </w:p>
        </w:tc>
        <w:tc>
          <w:tcPr>
            <w:tcW w:w="317" w:type="pct"/>
            <w:tcBorders>
              <w:top w:val="nil"/>
              <w:left w:val="nil"/>
              <w:bottom w:val="nil"/>
              <w:right w:val="nil"/>
            </w:tcBorders>
            <w:shd w:val="clear" w:color="auto" w:fill="auto"/>
            <w:noWrap/>
            <w:vAlign w:val="center"/>
            <w:hideMark/>
          </w:tcPr>
          <w:p w14:paraId="1A6BBB8C" w14:textId="77777777" w:rsidR="00790A8D" w:rsidRPr="008E43A5" w:rsidRDefault="00790A8D" w:rsidP="00F70DDE">
            <w:pPr>
              <w:jc w:val="center"/>
              <w:rPr>
                <w:rFonts w:ascii="Arial" w:hAnsi="Arial" w:cs="Arial"/>
                <w:b/>
                <w:bCs/>
                <w:color w:val="000000"/>
                <w:sz w:val="16"/>
                <w:szCs w:val="22"/>
                <w:lang w:val="en-US" w:eastAsia="zh-CN"/>
              </w:rPr>
            </w:pPr>
            <w:r w:rsidRPr="008E43A5">
              <w:rPr>
                <w:rFonts w:ascii="Arial" w:hAnsi="Arial" w:cs="Arial"/>
                <w:b/>
                <w:bCs/>
                <w:color w:val="000000"/>
                <w:sz w:val="16"/>
                <w:szCs w:val="22"/>
                <w:lang w:val="en-US" w:eastAsia="zh-CN"/>
              </w:rPr>
              <w:t>0.041</w:t>
            </w:r>
          </w:p>
        </w:tc>
      </w:tr>
      <w:tr w:rsidR="00790A8D" w:rsidRPr="00E57E24" w14:paraId="70166C19" w14:textId="77777777" w:rsidTr="00F70DDE">
        <w:trPr>
          <w:trHeight w:val="290"/>
        </w:trPr>
        <w:tc>
          <w:tcPr>
            <w:tcW w:w="1511" w:type="pct"/>
            <w:tcBorders>
              <w:top w:val="nil"/>
              <w:left w:val="nil"/>
              <w:bottom w:val="nil"/>
              <w:right w:val="nil"/>
            </w:tcBorders>
            <w:shd w:val="clear" w:color="auto" w:fill="auto"/>
            <w:noWrap/>
            <w:vAlign w:val="center"/>
            <w:hideMark/>
          </w:tcPr>
          <w:p w14:paraId="45979DD7"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Mood stabilizer (= Yes)</w:t>
            </w:r>
          </w:p>
        </w:tc>
        <w:tc>
          <w:tcPr>
            <w:tcW w:w="1370" w:type="pct"/>
            <w:tcBorders>
              <w:top w:val="nil"/>
              <w:left w:val="nil"/>
              <w:bottom w:val="nil"/>
              <w:right w:val="nil"/>
            </w:tcBorders>
            <w:shd w:val="clear" w:color="auto" w:fill="auto"/>
            <w:noWrap/>
            <w:vAlign w:val="center"/>
            <w:hideMark/>
          </w:tcPr>
          <w:p w14:paraId="648F2848"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1.319[0.063 10.184]</w:t>
            </w:r>
          </w:p>
        </w:tc>
        <w:tc>
          <w:tcPr>
            <w:tcW w:w="317" w:type="pct"/>
            <w:tcBorders>
              <w:top w:val="nil"/>
              <w:left w:val="nil"/>
              <w:bottom w:val="nil"/>
              <w:right w:val="nil"/>
            </w:tcBorders>
            <w:shd w:val="clear" w:color="auto" w:fill="auto"/>
            <w:noWrap/>
            <w:vAlign w:val="center"/>
            <w:hideMark/>
          </w:tcPr>
          <w:p w14:paraId="63093090"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0.815</w:t>
            </w:r>
          </w:p>
        </w:tc>
        <w:tc>
          <w:tcPr>
            <w:tcW w:w="1485" w:type="pct"/>
            <w:tcBorders>
              <w:top w:val="nil"/>
              <w:left w:val="nil"/>
              <w:bottom w:val="nil"/>
              <w:right w:val="nil"/>
            </w:tcBorders>
            <w:shd w:val="clear" w:color="auto" w:fill="auto"/>
            <w:noWrap/>
            <w:vAlign w:val="center"/>
            <w:hideMark/>
          </w:tcPr>
          <w:p w14:paraId="7298FF6B"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0.481[0.002 5.707]</w:t>
            </w:r>
          </w:p>
        </w:tc>
        <w:tc>
          <w:tcPr>
            <w:tcW w:w="317" w:type="pct"/>
            <w:tcBorders>
              <w:top w:val="nil"/>
              <w:left w:val="nil"/>
              <w:bottom w:val="nil"/>
              <w:right w:val="nil"/>
            </w:tcBorders>
            <w:shd w:val="clear" w:color="auto" w:fill="auto"/>
            <w:noWrap/>
            <w:vAlign w:val="center"/>
            <w:hideMark/>
          </w:tcPr>
          <w:p w14:paraId="728B966B"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0.656</w:t>
            </w:r>
          </w:p>
        </w:tc>
      </w:tr>
      <w:tr w:rsidR="00790A8D" w:rsidRPr="00E57E24" w14:paraId="767D8BC5" w14:textId="77777777" w:rsidTr="00F70DDE">
        <w:trPr>
          <w:trHeight w:val="300"/>
        </w:trPr>
        <w:tc>
          <w:tcPr>
            <w:tcW w:w="1511" w:type="pct"/>
            <w:tcBorders>
              <w:top w:val="nil"/>
              <w:left w:val="nil"/>
              <w:bottom w:val="single" w:sz="12" w:space="0" w:color="auto"/>
              <w:right w:val="nil"/>
            </w:tcBorders>
            <w:shd w:val="clear" w:color="auto" w:fill="auto"/>
            <w:noWrap/>
            <w:vAlign w:val="center"/>
            <w:hideMark/>
          </w:tcPr>
          <w:p w14:paraId="273DE435" w14:textId="77777777" w:rsidR="00790A8D" w:rsidRPr="00E57E24" w:rsidRDefault="00790A8D" w:rsidP="00F70DDE">
            <w:pPr>
              <w:rPr>
                <w:rFonts w:ascii="Arial" w:hAnsi="Arial" w:cs="Arial"/>
                <w:color w:val="000000"/>
                <w:sz w:val="16"/>
                <w:szCs w:val="22"/>
                <w:lang w:val="en-US" w:eastAsia="zh-CN"/>
              </w:rPr>
            </w:pPr>
            <w:r w:rsidRPr="00E57E24">
              <w:rPr>
                <w:rFonts w:ascii="Arial" w:hAnsi="Arial" w:cs="Arial"/>
                <w:color w:val="000000"/>
                <w:sz w:val="16"/>
                <w:szCs w:val="22"/>
                <w:lang w:val="en-US" w:eastAsia="zh-CN"/>
              </w:rPr>
              <w:t>Type 2 diabetes mellitus (= Yes)</w:t>
            </w:r>
          </w:p>
        </w:tc>
        <w:tc>
          <w:tcPr>
            <w:tcW w:w="1370" w:type="pct"/>
            <w:tcBorders>
              <w:top w:val="nil"/>
              <w:left w:val="nil"/>
              <w:bottom w:val="single" w:sz="12" w:space="0" w:color="auto"/>
              <w:right w:val="nil"/>
            </w:tcBorders>
            <w:shd w:val="clear" w:color="auto" w:fill="auto"/>
            <w:noWrap/>
            <w:vAlign w:val="center"/>
            <w:hideMark/>
          </w:tcPr>
          <w:p w14:paraId="0C68991A"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0.494[0.067 2.31]</w:t>
            </w:r>
          </w:p>
        </w:tc>
        <w:tc>
          <w:tcPr>
            <w:tcW w:w="317" w:type="pct"/>
            <w:tcBorders>
              <w:top w:val="nil"/>
              <w:left w:val="nil"/>
              <w:bottom w:val="single" w:sz="12" w:space="0" w:color="auto"/>
              <w:right w:val="nil"/>
            </w:tcBorders>
            <w:shd w:val="clear" w:color="auto" w:fill="auto"/>
            <w:noWrap/>
            <w:vAlign w:val="center"/>
            <w:hideMark/>
          </w:tcPr>
          <w:p w14:paraId="23C637BD"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0.415</w:t>
            </w:r>
          </w:p>
        </w:tc>
        <w:tc>
          <w:tcPr>
            <w:tcW w:w="1485" w:type="pct"/>
            <w:tcBorders>
              <w:top w:val="nil"/>
              <w:left w:val="nil"/>
              <w:bottom w:val="single" w:sz="12" w:space="0" w:color="auto"/>
              <w:right w:val="nil"/>
            </w:tcBorders>
            <w:shd w:val="clear" w:color="auto" w:fill="auto"/>
            <w:noWrap/>
            <w:vAlign w:val="center"/>
            <w:hideMark/>
          </w:tcPr>
          <w:p w14:paraId="06551778"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0.504[0.064 2.453]</w:t>
            </w:r>
          </w:p>
        </w:tc>
        <w:tc>
          <w:tcPr>
            <w:tcW w:w="317" w:type="pct"/>
            <w:tcBorders>
              <w:top w:val="nil"/>
              <w:left w:val="nil"/>
              <w:bottom w:val="single" w:sz="12" w:space="0" w:color="auto"/>
              <w:right w:val="nil"/>
            </w:tcBorders>
            <w:shd w:val="clear" w:color="auto" w:fill="auto"/>
            <w:noWrap/>
            <w:vAlign w:val="center"/>
            <w:hideMark/>
          </w:tcPr>
          <w:p w14:paraId="097206DA" w14:textId="77777777" w:rsidR="00790A8D" w:rsidRPr="00E57E24" w:rsidRDefault="00790A8D" w:rsidP="00F70DDE">
            <w:pPr>
              <w:jc w:val="center"/>
              <w:rPr>
                <w:rFonts w:ascii="Arial" w:hAnsi="Arial" w:cs="Arial"/>
                <w:color w:val="000000"/>
                <w:sz w:val="16"/>
                <w:szCs w:val="22"/>
                <w:lang w:val="en-US" w:eastAsia="zh-CN"/>
              </w:rPr>
            </w:pPr>
            <w:r w:rsidRPr="00E57E24">
              <w:rPr>
                <w:rFonts w:ascii="Arial" w:hAnsi="Arial" w:cs="Arial"/>
                <w:color w:val="000000"/>
                <w:sz w:val="16"/>
                <w:szCs w:val="22"/>
                <w:lang w:val="en-US" w:eastAsia="zh-CN"/>
              </w:rPr>
              <w:t>0.439</w:t>
            </w:r>
          </w:p>
        </w:tc>
      </w:tr>
    </w:tbl>
    <w:p w14:paraId="1D9C5A9D" w14:textId="4967F5B5" w:rsidR="00FE5D8E" w:rsidRDefault="00790A8D">
      <w:pPr>
        <w:rPr>
          <w:rFonts w:ascii="Arial" w:hAnsi="Arial" w:cs="Arial"/>
          <w:b/>
          <w:sz w:val="22"/>
          <w:szCs w:val="22"/>
        </w:rPr>
      </w:pPr>
      <w:r>
        <w:rPr>
          <w:rFonts w:ascii="Arial" w:hAnsi="Arial" w:cs="Arial"/>
          <w:color w:val="000000" w:themeColor="text1"/>
          <w:sz w:val="20"/>
          <w:szCs w:val="20"/>
        </w:rPr>
        <w:tab/>
      </w:r>
    </w:p>
    <w:p w14:paraId="393F8436" w14:textId="77777777" w:rsidR="00740696" w:rsidRDefault="00740696">
      <w:r>
        <w:br w:type="page"/>
      </w:r>
    </w:p>
    <w:p w14:paraId="2FB1454C" w14:textId="06F6B7F9" w:rsidR="00740696" w:rsidRDefault="00740696" w:rsidP="00740696">
      <w:r w:rsidRPr="00B64145">
        <w:rPr>
          <w:rFonts w:ascii="Arial" w:eastAsia="SimSun" w:hAnsi="Arial" w:cs="Arial"/>
          <w:b/>
          <w:sz w:val="22"/>
        </w:rPr>
        <w:lastRenderedPageBreak/>
        <w:t xml:space="preserve">Table </w:t>
      </w:r>
      <w:r w:rsidR="00937B6F" w:rsidRPr="00B64145">
        <w:rPr>
          <w:rFonts w:ascii="Arial" w:eastAsia="SimSun" w:hAnsi="Arial" w:cs="Arial"/>
          <w:b/>
          <w:sz w:val="22"/>
        </w:rPr>
        <w:t>S1</w:t>
      </w:r>
      <w:r w:rsidRPr="00B64145">
        <w:rPr>
          <w:rFonts w:ascii="Arial" w:eastAsia="SimSun" w:hAnsi="Arial" w:cs="Arial"/>
          <w:b/>
          <w:sz w:val="22"/>
        </w:rPr>
        <w:t>.</w:t>
      </w:r>
      <w:r>
        <w:rPr>
          <w:rFonts w:ascii="Arial" w:eastAsia="SimSun" w:hAnsi="Arial" w:cs="Arial"/>
          <w:sz w:val="22"/>
        </w:rPr>
        <w:t xml:space="preserve"> </w:t>
      </w:r>
      <w:r w:rsidRPr="00AB61BC">
        <w:rPr>
          <w:rFonts w:ascii="Arial" w:hAnsi="Arial" w:cs="Arial"/>
          <w:i/>
          <w:sz w:val="22"/>
          <w:szCs w:val="22"/>
        </w:rPr>
        <w:t>Testing the hypothesis that death rates increased in 2018 for those taking clozapine, relative to previous years.</w:t>
      </w:r>
    </w:p>
    <w:tbl>
      <w:tblPr>
        <w:tblW w:w="5000" w:type="pct"/>
        <w:tblBorders>
          <w:top w:val="single" w:sz="12" w:space="0" w:color="000000"/>
          <w:bottom w:val="single" w:sz="4" w:space="0" w:color="000000"/>
          <w:insideH w:val="single" w:sz="4" w:space="0" w:color="000000"/>
        </w:tblBorders>
        <w:tblLook w:val="04A0" w:firstRow="1" w:lastRow="0" w:firstColumn="1" w:lastColumn="0" w:noHBand="0" w:noVBand="1"/>
      </w:tblPr>
      <w:tblGrid>
        <w:gridCol w:w="5032"/>
        <w:gridCol w:w="1203"/>
        <w:gridCol w:w="1073"/>
        <w:gridCol w:w="840"/>
        <w:gridCol w:w="878"/>
      </w:tblGrid>
      <w:tr w:rsidR="00656EE6" w14:paraId="5F69B5BD" w14:textId="77777777" w:rsidTr="00656EE6">
        <w:trPr>
          <w:trHeight w:val="293"/>
        </w:trPr>
        <w:tc>
          <w:tcPr>
            <w:tcW w:w="5032" w:type="dxa"/>
            <w:tcBorders>
              <w:top w:val="single" w:sz="12" w:space="0" w:color="000000"/>
              <w:bottom w:val="single" w:sz="4" w:space="0" w:color="000000"/>
            </w:tcBorders>
            <w:shd w:val="clear" w:color="auto" w:fill="auto"/>
            <w:vAlign w:val="center"/>
          </w:tcPr>
          <w:p w14:paraId="21A2C71F" w14:textId="77777777" w:rsidR="00656EE6" w:rsidRDefault="00656EE6" w:rsidP="005735D6">
            <w:pPr>
              <w:jc w:val="center"/>
              <w:rPr>
                <w:rFonts w:ascii="Arial" w:eastAsia="SimSun" w:hAnsi="Arial" w:cs="Arial"/>
                <w:color w:val="000000"/>
                <w:sz w:val="16"/>
              </w:rPr>
            </w:pPr>
          </w:p>
        </w:tc>
        <w:tc>
          <w:tcPr>
            <w:tcW w:w="1203" w:type="dxa"/>
            <w:tcBorders>
              <w:top w:val="single" w:sz="12" w:space="0" w:color="000000"/>
              <w:bottom w:val="single" w:sz="4" w:space="0" w:color="000000"/>
            </w:tcBorders>
            <w:shd w:val="clear" w:color="auto" w:fill="auto"/>
            <w:vAlign w:val="center"/>
          </w:tcPr>
          <w:p w14:paraId="7CBDA3E2" w14:textId="77777777" w:rsidR="00656EE6" w:rsidRDefault="00656EE6" w:rsidP="005735D6">
            <w:pPr>
              <w:jc w:val="center"/>
              <w:rPr>
                <w:rFonts w:ascii="Arial" w:hAnsi="Arial" w:cs="Arial"/>
                <w:b/>
                <w:sz w:val="16"/>
                <w:szCs w:val="20"/>
              </w:rPr>
            </w:pPr>
            <w:r>
              <w:rPr>
                <w:rFonts w:ascii="Arial" w:hAnsi="Arial" w:cs="Arial"/>
                <w:b/>
                <w:sz w:val="16"/>
                <w:szCs w:val="20"/>
              </w:rPr>
              <w:t>Coefficient</w:t>
            </w:r>
          </w:p>
        </w:tc>
        <w:tc>
          <w:tcPr>
            <w:tcW w:w="1073" w:type="dxa"/>
            <w:tcBorders>
              <w:top w:val="single" w:sz="12" w:space="0" w:color="000000"/>
              <w:bottom w:val="single" w:sz="4" w:space="0" w:color="000000"/>
            </w:tcBorders>
            <w:shd w:val="clear" w:color="auto" w:fill="auto"/>
            <w:vAlign w:val="center"/>
          </w:tcPr>
          <w:p w14:paraId="12451B14" w14:textId="77777777" w:rsidR="00656EE6" w:rsidRDefault="00656EE6" w:rsidP="005735D6">
            <w:pPr>
              <w:jc w:val="center"/>
              <w:rPr>
                <w:rFonts w:ascii="Arial" w:hAnsi="Arial" w:cs="Arial"/>
                <w:b/>
                <w:sz w:val="16"/>
                <w:szCs w:val="20"/>
              </w:rPr>
            </w:pPr>
            <w:r>
              <w:rPr>
                <w:rFonts w:ascii="Arial" w:hAnsi="Arial" w:cs="Arial"/>
                <w:b/>
                <w:sz w:val="16"/>
                <w:szCs w:val="20"/>
              </w:rPr>
              <w:t>Std. Error</w:t>
            </w:r>
          </w:p>
        </w:tc>
        <w:tc>
          <w:tcPr>
            <w:tcW w:w="840" w:type="dxa"/>
            <w:tcBorders>
              <w:top w:val="single" w:sz="12" w:space="0" w:color="000000"/>
              <w:bottom w:val="single" w:sz="4" w:space="0" w:color="000000"/>
            </w:tcBorders>
            <w:shd w:val="clear" w:color="auto" w:fill="auto"/>
            <w:vAlign w:val="center"/>
          </w:tcPr>
          <w:p w14:paraId="002C790E" w14:textId="77777777" w:rsidR="00656EE6" w:rsidRDefault="00656EE6" w:rsidP="005735D6">
            <w:pPr>
              <w:jc w:val="center"/>
              <w:rPr>
                <w:rFonts w:ascii="Arial" w:hAnsi="Arial" w:cs="Arial"/>
                <w:b/>
                <w:sz w:val="16"/>
                <w:szCs w:val="20"/>
              </w:rPr>
            </w:pPr>
            <w:r>
              <w:rPr>
                <w:rFonts w:ascii="Arial" w:hAnsi="Arial" w:cs="Arial"/>
                <w:b/>
                <w:sz w:val="16"/>
                <w:szCs w:val="20"/>
              </w:rPr>
              <w:t>t value</w:t>
            </w:r>
          </w:p>
        </w:tc>
        <w:tc>
          <w:tcPr>
            <w:tcW w:w="878" w:type="dxa"/>
            <w:tcBorders>
              <w:top w:val="single" w:sz="12" w:space="0" w:color="000000"/>
              <w:bottom w:val="single" w:sz="4" w:space="0" w:color="000000"/>
            </w:tcBorders>
            <w:shd w:val="clear" w:color="auto" w:fill="auto"/>
            <w:vAlign w:val="center"/>
          </w:tcPr>
          <w:p w14:paraId="452CB6B2" w14:textId="77777777" w:rsidR="00656EE6" w:rsidRDefault="00656EE6" w:rsidP="005735D6">
            <w:pPr>
              <w:jc w:val="center"/>
              <w:rPr>
                <w:rFonts w:ascii="Arial" w:hAnsi="Arial" w:cs="Arial"/>
                <w:b/>
                <w:sz w:val="16"/>
                <w:szCs w:val="20"/>
              </w:rPr>
            </w:pPr>
            <w:r>
              <w:rPr>
                <w:rFonts w:ascii="Arial" w:hAnsi="Arial" w:cs="Arial"/>
                <w:b/>
                <w:sz w:val="16"/>
                <w:szCs w:val="20"/>
              </w:rPr>
              <w:t>p value</w:t>
            </w:r>
          </w:p>
        </w:tc>
      </w:tr>
      <w:tr w:rsidR="00656EE6" w14:paraId="7A750A9B" w14:textId="77777777" w:rsidTr="00656EE6">
        <w:trPr>
          <w:trHeight w:val="293"/>
        </w:trPr>
        <w:tc>
          <w:tcPr>
            <w:tcW w:w="5032" w:type="dxa"/>
            <w:tcBorders>
              <w:top w:val="single" w:sz="4" w:space="0" w:color="000000"/>
            </w:tcBorders>
            <w:shd w:val="clear" w:color="auto" w:fill="auto"/>
            <w:vAlign w:val="center"/>
          </w:tcPr>
          <w:p w14:paraId="756DEB2C" w14:textId="77777777" w:rsidR="00656EE6" w:rsidRDefault="00656EE6" w:rsidP="005735D6">
            <w:pPr>
              <w:rPr>
                <w:rFonts w:ascii="Arial" w:eastAsia="SimSun" w:hAnsi="Arial" w:cs="Arial"/>
                <w:b/>
                <w:bCs/>
                <w:color w:val="000000"/>
                <w:sz w:val="16"/>
              </w:rPr>
            </w:pPr>
            <w:r>
              <w:rPr>
                <w:rFonts w:ascii="Arial" w:eastAsia="SimSun" w:hAnsi="Arial" w:cs="Arial"/>
                <w:b/>
                <w:bCs/>
                <w:color w:val="000000"/>
                <w:sz w:val="16"/>
              </w:rPr>
              <w:t>All death</w:t>
            </w:r>
          </w:p>
        </w:tc>
        <w:tc>
          <w:tcPr>
            <w:tcW w:w="1203" w:type="dxa"/>
            <w:tcBorders>
              <w:top w:val="single" w:sz="4" w:space="0" w:color="000000"/>
            </w:tcBorders>
            <w:shd w:val="clear" w:color="auto" w:fill="auto"/>
            <w:vAlign w:val="center"/>
          </w:tcPr>
          <w:p w14:paraId="14E3FD2F" w14:textId="77777777" w:rsidR="00656EE6" w:rsidRPr="00557B46" w:rsidRDefault="00656EE6" w:rsidP="005735D6">
            <w:pPr>
              <w:jc w:val="center"/>
              <w:rPr>
                <w:rFonts w:ascii="Arial" w:eastAsia="SimSun" w:hAnsi="Arial" w:cs="Arial"/>
                <w:color w:val="000000"/>
                <w:sz w:val="16"/>
              </w:rPr>
            </w:pPr>
          </w:p>
        </w:tc>
        <w:tc>
          <w:tcPr>
            <w:tcW w:w="1073" w:type="dxa"/>
            <w:tcBorders>
              <w:top w:val="single" w:sz="4" w:space="0" w:color="000000"/>
            </w:tcBorders>
            <w:shd w:val="clear" w:color="auto" w:fill="auto"/>
            <w:vAlign w:val="center"/>
          </w:tcPr>
          <w:p w14:paraId="0974B3D8" w14:textId="77777777" w:rsidR="00656EE6" w:rsidRPr="00557B46" w:rsidRDefault="00656EE6" w:rsidP="005735D6">
            <w:pPr>
              <w:jc w:val="center"/>
              <w:rPr>
                <w:rFonts w:ascii="Arial" w:eastAsia="SimSun" w:hAnsi="Arial" w:cs="Arial"/>
                <w:color w:val="000000"/>
                <w:sz w:val="16"/>
              </w:rPr>
            </w:pPr>
          </w:p>
        </w:tc>
        <w:tc>
          <w:tcPr>
            <w:tcW w:w="840" w:type="dxa"/>
            <w:tcBorders>
              <w:top w:val="single" w:sz="4" w:space="0" w:color="000000"/>
            </w:tcBorders>
            <w:shd w:val="clear" w:color="auto" w:fill="auto"/>
            <w:vAlign w:val="center"/>
          </w:tcPr>
          <w:p w14:paraId="5D2408AF" w14:textId="77777777" w:rsidR="00656EE6" w:rsidRPr="00557B46" w:rsidRDefault="00656EE6" w:rsidP="005735D6">
            <w:pPr>
              <w:jc w:val="center"/>
              <w:rPr>
                <w:rFonts w:ascii="Arial" w:eastAsia="SimSun" w:hAnsi="Arial" w:cs="Arial"/>
                <w:color w:val="000000"/>
                <w:sz w:val="16"/>
              </w:rPr>
            </w:pPr>
          </w:p>
        </w:tc>
        <w:tc>
          <w:tcPr>
            <w:tcW w:w="878" w:type="dxa"/>
            <w:tcBorders>
              <w:top w:val="single" w:sz="4" w:space="0" w:color="000000"/>
            </w:tcBorders>
            <w:shd w:val="clear" w:color="auto" w:fill="auto"/>
            <w:vAlign w:val="center"/>
          </w:tcPr>
          <w:p w14:paraId="4A6E09A6" w14:textId="77777777" w:rsidR="00656EE6" w:rsidRPr="00557B46" w:rsidRDefault="00656EE6" w:rsidP="005735D6">
            <w:pPr>
              <w:jc w:val="center"/>
              <w:rPr>
                <w:rFonts w:ascii="Arial" w:eastAsia="SimSun" w:hAnsi="Arial" w:cs="Arial"/>
                <w:color w:val="000000"/>
                <w:sz w:val="16"/>
              </w:rPr>
            </w:pPr>
          </w:p>
        </w:tc>
      </w:tr>
      <w:tr w:rsidR="00656EE6" w14:paraId="541B0210" w14:textId="77777777" w:rsidTr="00656EE6">
        <w:trPr>
          <w:trHeight w:val="293"/>
        </w:trPr>
        <w:tc>
          <w:tcPr>
            <w:tcW w:w="5032" w:type="dxa"/>
            <w:shd w:val="clear" w:color="auto" w:fill="auto"/>
            <w:vAlign w:val="center"/>
          </w:tcPr>
          <w:p w14:paraId="7724CC53"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w:t>
            </w:r>
          </w:p>
        </w:tc>
        <w:tc>
          <w:tcPr>
            <w:tcW w:w="1203" w:type="dxa"/>
            <w:shd w:val="clear" w:color="auto" w:fill="auto"/>
          </w:tcPr>
          <w:p w14:paraId="59BF7B45"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0.00065 </w:t>
            </w:r>
          </w:p>
        </w:tc>
        <w:tc>
          <w:tcPr>
            <w:tcW w:w="1073" w:type="dxa"/>
            <w:shd w:val="clear" w:color="auto" w:fill="auto"/>
          </w:tcPr>
          <w:p w14:paraId="21E8EE4B"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0.00040 </w:t>
            </w:r>
          </w:p>
        </w:tc>
        <w:tc>
          <w:tcPr>
            <w:tcW w:w="840" w:type="dxa"/>
            <w:shd w:val="clear" w:color="auto" w:fill="auto"/>
          </w:tcPr>
          <w:p w14:paraId="000A8020"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1.6350 </w:t>
            </w:r>
          </w:p>
        </w:tc>
        <w:tc>
          <w:tcPr>
            <w:tcW w:w="878" w:type="dxa"/>
            <w:shd w:val="clear" w:color="auto" w:fill="auto"/>
          </w:tcPr>
          <w:p w14:paraId="2DE20D0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0.1460 </w:t>
            </w:r>
          </w:p>
        </w:tc>
      </w:tr>
      <w:tr w:rsidR="00656EE6" w14:paraId="144A5536" w14:textId="77777777" w:rsidTr="00656EE6">
        <w:trPr>
          <w:trHeight w:val="293"/>
        </w:trPr>
        <w:tc>
          <w:tcPr>
            <w:tcW w:w="5032" w:type="dxa"/>
            <w:tcBorders>
              <w:bottom w:val="single" w:sz="4" w:space="0" w:color="000000"/>
            </w:tcBorders>
            <w:shd w:val="clear" w:color="auto" w:fill="auto"/>
            <w:vAlign w:val="center"/>
          </w:tcPr>
          <w:p w14:paraId="2B2B0797"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 = 2018</w:t>
            </w:r>
          </w:p>
        </w:tc>
        <w:tc>
          <w:tcPr>
            <w:tcW w:w="1203" w:type="dxa"/>
            <w:tcBorders>
              <w:bottom w:val="single" w:sz="4" w:space="0" w:color="000000"/>
            </w:tcBorders>
            <w:shd w:val="clear" w:color="auto" w:fill="auto"/>
          </w:tcPr>
          <w:p w14:paraId="2CCEF549"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0.00535 </w:t>
            </w:r>
          </w:p>
        </w:tc>
        <w:tc>
          <w:tcPr>
            <w:tcW w:w="1073" w:type="dxa"/>
            <w:tcBorders>
              <w:bottom w:val="single" w:sz="4" w:space="0" w:color="000000"/>
            </w:tcBorders>
            <w:shd w:val="clear" w:color="auto" w:fill="auto"/>
          </w:tcPr>
          <w:p w14:paraId="1AA4CBA9"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0.00381 </w:t>
            </w:r>
          </w:p>
        </w:tc>
        <w:tc>
          <w:tcPr>
            <w:tcW w:w="840" w:type="dxa"/>
            <w:tcBorders>
              <w:bottom w:val="single" w:sz="4" w:space="0" w:color="000000"/>
            </w:tcBorders>
            <w:shd w:val="clear" w:color="auto" w:fill="auto"/>
          </w:tcPr>
          <w:p w14:paraId="3F25D994"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1.4030 </w:t>
            </w:r>
          </w:p>
        </w:tc>
        <w:tc>
          <w:tcPr>
            <w:tcW w:w="878" w:type="dxa"/>
            <w:tcBorders>
              <w:bottom w:val="single" w:sz="4" w:space="0" w:color="000000"/>
            </w:tcBorders>
            <w:shd w:val="clear" w:color="auto" w:fill="auto"/>
          </w:tcPr>
          <w:p w14:paraId="2A18CBAC"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0.2030 </w:t>
            </w:r>
          </w:p>
        </w:tc>
      </w:tr>
      <w:tr w:rsidR="00656EE6" w14:paraId="15286F16" w14:textId="77777777" w:rsidTr="00656EE6">
        <w:trPr>
          <w:trHeight w:val="293"/>
        </w:trPr>
        <w:tc>
          <w:tcPr>
            <w:tcW w:w="5032" w:type="dxa"/>
            <w:tcBorders>
              <w:top w:val="single" w:sz="4" w:space="0" w:color="000000"/>
            </w:tcBorders>
            <w:shd w:val="clear" w:color="auto" w:fill="auto"/>
            <w:vAlign w:val="center"/>
          </w:tcPr>
          <w:p w14:paraId="02B3B64A" w14:textId="77777777" w:rsidR="00656EE6" w:rsidRDefault="00656EE6" w:rsidP="005735D6">
            <w:pPr>
              <w:rPr>
                <w:rFonts w:ascii="Arial" w:hAnsi="Arial" w:cs="Arial"/>
                <w:sz w:val="16"/>
              </w:rPr>
            </w:pPr>
            <w:r>
              <w:rPr>
                <w:rFonts w:ascii="Arial" w:eastAsia="SimSun" w:hAnsi="Arial" w:cs="Arial"/>
                <w:b/>
                <w:bCs/>
                <w:color w:val="000000"/>
                <w:sz w:val="16"/>
              </w:rPr>
              <w:t>Death due to suicide</w:t>
            </w:r>
          </w:p>
        </w:tc>
        <w:tc>
          <w:tcPr>
            <w:tcW w:w="1203" w:type="dxa"/>
            <w:tcBorders>
              <w:top w:val="single" w:sz="4" w:space="0" w:color="000000"/>
            </w:tcBorders>
            <w:shd w:val="clear" w:color="auto" w:fill="auto"/>
          </w:tcPr>
          <w:p w14:paraId="4364D4CD" w14:textId="77777777" w:rsidR="00656EE6" w:rsidRPr="00557B46" w:rsidRDefault="00656EE6" w:rsidP="005735D6">
            <w:pPr>
              <w:jc w:val="center"/>
              <w:rPr>
                <w:rFonts w:ascii="Arial" w:eastAsia="SimSun" w:hAnsi="Arial" w:cs="Arial"/>
                <w:color w:val="000000"/>
                <w:sz w:val="16"/>
              </w:rPr>
            </w:pPr>
          </w:p>
        </w:tc>
        <w:tc>
          <w:tcPr>
            <w:tcW w:w="1073" w:type="dxa"/>
            <w:tcBorders>
              <w:top w:val="single" w:sz="4" w:space="0" w:color="000000"/>
            </w:tcBorders>
            <w:shd w:val="clear" w:color="auto" w:fill="auto"/>
          </w:tcPr>
          <w:p w14:paraId="0E44A4DA" w14:textId="77777777" w:rsidR="00656EE6" w:rsidRPr="00557B46" w:rsidRDefault="00656EE6" w:rsidP="005735D6">
            <w:pPr>
              <w:jc w:val="center"/>
              <w:rPr>
                <w:rFonts w:ascii="Arial" w:eastAsia="SimSun" w:hAnsi="Arial" w:cs="Arial"/>
                <w:color w:val="000000"/>
                <w:sz w:val="16"/>
              </w:rPr>
            </w:pPr>
          </w:p>
        </w:tc>
        <w:tc>
          <w:tcPr>
            <w:tcW w:w="840" w:type="dxa"/>
            <w:tcBorders>
              <w:top w:val="single" w:sz="4" w:space="0" w:color="000000"/>
            </w:tcBorders>
            <w:shd w:val="clear" w:color="auto" w:fill="auto"/>
          </w:tcPr>
          <w:p w14:paraId="7A750AA5" w14:textId="77777777" w:rsidR="00656EE6" w:rsidRPr="00557B46" w:rsidRDefault="00656EE6" w:rsidP="005735D6">
            <w:pPr>
              <w:jc w:val="center"/>
              <w:rPr>
                <w:rFonts w:ascii="Arial" w:eastAsia="SimSun" w:hAnsi="Arial" w:cs="Arial"/>
                <w:color w:val="000000"/>
                <w:sz w:val="16"/>
              </w:rPr>
            </w:pPr>
          </w:p>
        </w:tc>
        <w:tc>
          <w:tcPr>
            <w:tcW w:w="878" w:type="dxa"/>
            <w:tcBorders>
              <w:top w:val="single" w:sz="4" w:space="0" w:color="000000"/>
            </w:tcBorders>
            <w:shd w:val="clear" w:color="auto" w:fill="auto"/>
          </w:tcPr>
          <w:p w14:paraId="772658C5" w14:textId="77777777" w:rsidR="00656EE6" w:rsidRPr="00557B46" w:rsidRDefault="00656EE6" w:rsidP="005735D6">
            <w:pPr>
              <w:jc w:val="center"/>
              <w:rPr>
                <w:rFonts w:ascii="Arial" w:eastAsia="SimSun" w:hAnsi="Arial" w:cs="Arial"/>
                <w:color w:val="000000"/>
                <w:sz w:val="16"/>
              </w:rPr>
            </w:pPr>
          </w:p>
        </w:tc>
      </w:tr>
      <w:tr w:rsidR="00656EE6" w14:paraId="02D3851F" w14:textId="77777777" w:rsidTr="00656EE6">
        <w:trPr>
          <w:trHeight w:val="293"/>
        </w:trPr>
        <w:tc>
          <w:tcPr>
            <w:tcW w:w="5032" w:type="dxa"/>
            <w:shd w:val="clear" w:color="auto" w:fill="auto"/>
            <w:vAlign w:val="center"/>
          </w:tcPr>
          <w:p w14:paraId="4B3A59A9"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w:t>
            </w:r>
          </w:p>
        </w:tc>
        <w:tc>
          <w:tcPr>
            <w:tcW w:w="1203" w:type="dxa"/>
            <w:shd w:val="clear" w:color="auto" w:fill="auto"/>
          </w:tcPr>
          <w:p w14:paraId="188E8AD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0.00013 </w:t>
            </w:r>
          </w:p>
        </w:tc>
        <w:tc>
          <w:tcPr>
            <w:tcW w:w="1073" w:type="dxa"/>
            <w:shd w:val="clear" w:color="auto" w:fill="auto"/>
          </w:tcPr>
          <w:p w14:paraId="2F719A99"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0.00030 </w:t>
            </w:r>
          </w:p>
        </w:tc>
        <w:tc>
          <w:tcPr>
            <w:tcW w:w="840" w:type="dxa"/>
            <w:shd w:val="clear" w:color="auto" w:fill="auto"/>
          </w:tcPr>
          <w:p w14:paraId="3444AB69"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0.4420 </w:t>
            </w:r>
          </w:p>
        </w:tc>
        <w:tc>
          <w:tcPr>
            <w:tcW w:w="878" w:type="dxa"/>
            <w:shd w:val="clear" w:color="auto" w:fill="auto"/>
          </w:tcPr>
          <w:p w14:paraId="4970AE17"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0.6720 </w:t>
            </w:r>
          </w:p>
        </w:tc>
      </w:tr>
      <w:tr w:rsidR="00656EE6" w14:paraId="3A48A6AE" w14:textId="77777777" w:rsidTr="00656EE6">
        <w:trPr>
          <w:trHeight w:val="293"/>
        </w:trPr>
        <w:tc>
          <w:tcPr>
            <w:tcW w:w="5032" w:type="dxa"/>
            <w:tcBorders>
              <w:bottom w:val="single" w:sz="4" w:space="0" w:color="000000"/>
            </w:tcBorders>
            <w:shd w:val="clear" w:color="auto" w:fill="auto"/>
            <w:vAlign w:val="center"/>
          </w:tcPr>
          <w:p w14:paraId="07A6A4CC"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 = 2018</w:t>
            </w:r>
          </w:p>
        </w:tc>
        <w:tc>
          <w:tcPr>
            <w:tcW w:w="1203" w:type="dxa"/>
            <w:tcBorders>
              <w:bottom w:val="single" w:sz="4" w:space="0" w:color="000000"/>
            </w:tcBorders>
            <w:shd w:val="clear" w:color="auto" w:fill="auto"/>
          </w:tcPr>
          <w:p w14:paraId="1F0CD1DF"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-0.00275 </w:t>
            </w:r>
          </w:p>
        </w:tc>
        <w:tc>
          <w:tcPr>
            <w:tcW w:w="1073" w:type="dxa"/>
            <w:tcBorders>
              <w:bottom w:val="single" w:sz="4" w:space="0" w:color="000000"/>
            </w:tcBorders>
            <w:shd w:val="clear" w:color="auto" w:fill="auto"/>
          </w:tcPr>
          <w:p w14:paraId="49DC257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0.00289 </w:t>
            </w:r>
          </w:p>
        </w:tc>
        <w:tc>
          <w:tcPr>
            <w:tcW w:w="840" w:type="dxa"/>
            <w:tcBorders>
              <w:bottom w:val="single" w:sz="4" w:space="0" w:color="000000"/>
            </w:tcBorders>
            <w:shd w:val="clear" w:color="auto" w:fill="auto"/>
          </w:tcPr>
          <w:p w14:paraId="1D96A33C"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-0.9530 </w:t>
            </w:r>
          </w:p>
        </w:tc>
        <w:tc>
          <w:tcPr>
            <w:tcW w:w="878" w:type="dxa"/>
            <w:tcBorders>
              <w:bottom w:val="single" w:sz="4" w:space="0" w:color="000000"/>
            </w:tcBorders>
            <w:shd w:val="clear" w:color="auto" w:fill="auto"/>
          </w:tcPr>
          <w:p w14:paraId="3700F1C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0.3730 </w:t>
            </w:r>
          </w:p>
        </w:tc>
      </w:tr>
      <w:tr w:rsidR="00656EE6" w14:paraId="17075209" w14:textId="77777777" w:rsidTr="00656EE6">
        <w:trPr>
          <w:trHeight w:val="293"/>
        </w:trPr>
        <w:tc>
          <w:tcPr>
            <w:tcW w:w="5032" w:type="dxa"/>
            <w:tcBorders>
              <w:top w:val="single" w:sz="4" w:space="0" w:color="000000"/>
            </w:tcBorders>
            <w:shd w:val="clear" w:color="auto" w:fill="auto"/>
            <w:vAlign w:val="center"/>
          </w:tcPr>
          <w:p w14:paraId="102F21F4" w14:textId="77777777" w:rsidR="00656EE6" w:rsidRDefault="00656EE6" w:rsidP="005735D6">
            <w:r>
              <w:rPr>
                <w:rFonts w:ascii="Arial" w:eastAsia="SimSun" w:hAnsi="Arial" w:cs="Arial"/>
                <w:b/>
                <w:bCs/>
                <w:color w:val="000000"/>
                <w:sz w:val="16"/>
              </w:rPr>
              <w:t>Expected death (due to known physical health condition)</w:t>
            </w:r>
          </w:p>
        </w:tc>
        <w:tc>
          <w:tcPr>
            <w:tcW w:w="1203" w:type="dxa"/>
            <w:tcBorders>
              <w:top w:val="single" w:sz="4" w:space="0" w:color="000000"/>
            </w:tcBorders>
            <w:shd w:val="clear" w:color="auto" w:fill="auto"/>
          </w:tcPr>
          <w:p w14:paraId="7B363EB7" w14:textId="77777777" w:rsidR="00656EE6" w:rsidRPr="00557B46" w:rsidRDefault="00656EE6" w:rsidP="005735D6">
            <w:pPr>
              <w:jc w:val="center"/>
              <w:rPr>
                <w:rFonts w:ascii="Arial" w:eastAsia="SimSun" w:hAnsi="Arial" w:cs="Arial"/>
                <w:color w:val="000000"/>
                <w:sz w:val="16"/>
              </w:rPr>
            </w:pPr>
          </w:p>
        </w:tc>
        <w:tc>
          <w:tcPr>
            <w:tcW w:w="1073" w:type="dxa"/>
            <w:tcBorders>
              <w:top w:val="single" w:sz="4" w:space="0" w:color="000000"/>
            </w:tcBorders>
            <w:shd w:val="clear" w:color="auto" w:fill="auto"/>
          </w:tcPr>
          <w:p w14:paraId="6B10F1B5" w14:textId="77777777" w:rsidR="00656EE6" w:rsidRPr="00557B46" w:rsidRDefault="00656EE6" w:rsidP="005735D6">
            <w:pPr>
              <w:jc w:val="center"/>
              <w:rPr>
                <w:rFonts w:ascii="Arial" w:eastAsia="SimSun" w:hAnsi="Arial" w:cs="Arial"/>
                <w:color w:val="000000"/>
                <w:sz w:val="16"/>
              </w:rPr>
            </w:pPr>
          </w:p>
        </w:tc>
        <w:tc>
          <w:tcPr>
            <w:tcW w:w="840" w:type="dxa"/>
            <w:tcBorders>
              <w:top w:val="single" w:sz="4" w:space="0" w:color="000000"/>
            </w:tcBorders>
            <w:shd w:val="clear" w:color="auto" w:fill="auto"/>
          </w:tcPr>
          <w:p w14:paraId="04159715" w14:textId="77777777" w:rsidR="00656EE6" w:rsidRPr="00557B46" w:rsidRDefault="00656EE6" w:rsidP="005735D6">
            <w:pPr>
              <w:jc w:val="center"/>
              <w:rPr>
                <w:rFonts w:ascii="Arial" w:eastAsia="SimSun" w:hAnsi="Arial" w:cs="Arial"/>
                <w:color w:val="000000"/>
                <w:sz w:val="16"/>
              </w:rPr>
            </w:pPr>
          </w:p>
        </w:tc>
        <w:tc>
          <w:tcPr>
            <w:tcW w:w="878" w:type="dxa"/>
            <w:tcBorders>
              <w:top w:val="single" w:sz="4" w:space="0" w:color="000000"/>
            </w:tcBorders>
            <w:shd w:val="clear" w:color="auto" w:fill="auto"/>
          </w:tcPr>
          <w:p w14:paraId="4B51AA83" w14:textId="77777777" w:rsidR="00656EE6" w:rsidRPr="00557B46" w:rsidRDefault="00656EE6" w:rsidP="005735D6">
            <w:pPr>
              <w:jc w:val="center"/>
              <w:rPr>
                <w:rFonts w:ascii="Arial" w:eastAsia="SimSun" w:hAnsi="Arial" w:cs="Arial"/>
                <w:color w:val="000000"/>
                <w:sz w:val="16"/>
              </w:rPr>
            </w:pPr>
          </w:p>
        </w:tc>
      </w:tr>
      <w:tr w:rsidR="00656EE6" w14:paraId="16E1D277" w14:textId="77777777" w:rsidTr="00656EE6">
        <w:trPr>
          <w:trHeight w:val="293"/>
        </w:trPr>
        <w:tc>
          <w:tcPr>
            <w:tcW w:w="5032" w:type="dxa"/>
            <w:shd w:val="clear" w:color="auto" w:fill="auto"/>
            <w:vAlign w:val="center"/>
          </w:tcPr>
          <w:p w14:paraId="0EE2F312" w14:textId="77777777" w:rsidR="00656EE6" w:rsidRDefault="00656EE6" w:rsidP="005735D6">
            <w:pPr>
              <w:rPr>
                <w:rFonts w:ascii="Arial" w:eastAsia="SimSun" w:hAnsi="Arial" w:cs="Arial"/>
                <w:b/>
                <w:bCs/>
                <w:color w:val="000000"/>
                <w:sz w:val="16"/>
              </w:rPr>
            </w:pPr>
            <w:r>
              <w:rPr>
                <w:rFonts w:ascii="Arial" w:eastAsia="SimSun" w:hAnsi="Arial" w:cs="Arial"/>
                <w:b/>
                <w:bCs/>
                <w:color w:val="000000"/>
                <w:sz w:val="16"/>
              </w:rPr>
              <w:t>Year</w:t>
            </w:r>
          </w:p>
        </w:tc>
        <w:tc>
          <w:tcPr>
            <w:tcW w:w="1203" w:type="dxa"/>
            <w:shd w:val="clear" w:color="auto" w:fill="auto"/>
          </w:tcPr>
          <w:p w14:paraId="3393BE2D"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0.00051 </w:t>
            </w:r>
          </w:p>
        </w:tc>
        <w:tc>
          <w:tcPr>
            <w:tcW w:w="1073" w:type="dxa"/>
            <w:shd w:val="clear" w:color="auto" w:fill="auto"/>
          </w:tcPr>
          <w:p w14:paraId="45F38682"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0.00009 </w:t>
            </w:r>
          </w:p>
        </w:tc>
        <w:tc>
          <w:tcPr>
            <w:tcW w:w="840" w:type="dxa"/>
            <w:shd w:val="clear" w:color="auto" w:fill="auto"/>
          </w:tcPr>
          <w:p w14:paraId="2A7C11F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5.4350 </w:t>
            </w:r>
          </w:p>
        </w:tc>
        <w:tc>
          <w:tcPr>
            <w:tcW w:w="878" w:type="dxa"/>
            <w:shd w:val="clear" w:color="auto" w:fill="auto"/>
          </w:tcPr>
          <w:p w14:paraId="74CA7B1C" w14:textId="77777777" w:rsidR="00656EE6" w:rsidRPr="00656EE6" w:rsidRDefault="00656EE6" w:rsidP="005735D6">
            <w:pPr>
              <w:jc w:val="center"/>
              <w:rPr>
                <w:rFonts w:ascii="Arial" w:eastAsia="SimSun" w:hAnsi="Arial" w:cs="Arial"/>
                <w:b/>
                <w:bCs/>
                <w:color w:val="000000"/>
                <w:sz w:val="16"/>
              </w:rPr>
            </w:pPr>
            <w:r w:rsidRPr="00656EE6">
              <w:rPr>
                <w:rFonts w:ascii="Arial" w:eastAsia="SimSun" w:hAnsi="Arial" w:cs="Arial"/>
                <w:b/>
                <w:bCs/>
                <w:color w:val="000000"/>
                <w:sz w:val="16"/>
              </w:rPr>
              <w:t xml:space="preserve">0.0010 </w:t>
            </w:r>
          </w:p>
        </w:tc>
      </w:tr>
      <w:tr w:rsidR="00656EE6" w14:paraId="5F5D0C07" w14:textId="77777777" w:rsidTr="00656EE6">
        <w:trPr>
          <w:trHeight w:val="293"/>
        </w:trPr>
        <w:tc>
          <w:tcPr>
            <w:tcW w:w="5032" w:type="dxa"/>
            <w:tcBorders>
              <w:bottom w:val="single" w:sz="4" w:space="0" w:color="000000"/>
            </w:tcBorders>
            <w:shd w:val="clear" w:color="auto" w:fill="auto"/>
            <w:vAlign w:val="center"/>
          </w:tcPr>
          <w:p w14:paraId="7053EB48"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 = 2018</w:t>
            </w:r>
          </w:p>
        </w:tc>
        <w:tc>
          <w:tcPr>
            <w:tcW w:w="1203" w:type="dxa"/>
            <w:tcBorders>
              <w:bottom w:val="single" w:sz="4" w:space="0" w:color="000000"/>
            </w:tcBorders>
            <w:shd w:val="clear" w:color="auto" w:fill="auto"/>
          </w:tcPr>
          <w:p w14:paraId="5E761101"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0.00034 </w:t>
            </w:r>
          </w:p>
        </w:tc>
        <w:tc>
          <w:tcPr>
            <w:tcW w:w="1073" w:type="dxa"/>
            <w:tcBorders>
              <w:bottom w:val="single" w:sz="4" w:space="0" w:color="000000"/>
            </w:tcBorders>
            <w:shd w:val="clear" w:color="auto" w:fill="auto"/>
          </w:tcPr>
          <w:p w14:paraId="72774A46"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0.00090 </w:t>
            </w:r>
          </w:p>
        </w:tc>
        <w:tc>
          <w:tcPr>
            <w:tcW w:w="840" w:type="dxa"/>
            <w:tcBorders>
              <w:bottom w:val="single" w:sz="4" w:space="0" w:color="000000"/>
            </w:tcBorders>
            <w:shd w:val="clear" w:color="auto" w:fill="auto"/>
          </w:tcPr>
          <w:p w14:paraId="65694362"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0.3730 </w:t>
            </w:r>
          </w:p>
        </w:tc>
        <w:tc>
          <w:tcPr>
            <w:tcW w:w="878" w:type="dxa"/>
            <w:tcBorders>
              <w:bottom w:val="single" w:sz="4" w:space="0" w:color="000000"/>
            </w:tcBorders>
            <w:shd w:val="clear" w:color="auto" w:fill="auto"/>
          </w:tcPr>
          <w:p w14:paraId="124AEC6F"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0.7200 </w:t>
            </w:r>
          </w:p>
        </w:tc>
      </w:tr>
      <w:tr w:rsidR="00656EE6" w14:paraId="30A38960" w14:textId="77777777" w:rsidTr="00656EE6">
        <w:trPr>
          <w:trHeight w:val="293"/>
        </w:trPr>
        <w:tc>
          <w:tcPr>
            <w:tcW w:w="5032" w:type="dxa"/>
            <w:tcBorders>
              <w:top w:val="single" w:sz="4" w:space="0" w:color="000000"/>
            </w:tcBorders>
            <w:shd w:val="clear" w:color="auto" w:fill="auto"/>
            <w:vAlign w:val="center"/>
          </w:tcPr>
          <w:p w14:paraId="0FA3611B" w14:textId="77777777" w:rsidR="00656EE6" w:rsidRDefault="00656EE6" w:rsidP="005735D6">
            <w:r>
              <w:rPr>
                <w:rFonts w:ascii="Arial" w:eastAsia="SimSun" w:hAnsi="Arial" w:cs="Arial"/>
                <w:b/>
                <w:bCs/>
                <w:color w:val="000000"/>
                <w:sz w:val="16"/>
              </w:rPr>
              <w:t>Unexpected death (potentially attributable to a clozapine side effect)</w:t>
            </w:r>
          </w:p>
        </w:tc>
        <w:tc>
          <w:tcPr>
            <w:tcW w:w="1203" w:type="dxa"/>
            <w:tcBorders>
              <w:top w:val="single" w:sz="4" w:space="0" w:color="000000"/>
            </w:tcBorders>
            <w:shd w:val="clear" w:color="auto" w:fill="auto"/>
          </w:tcPr>
          <w:p w14:paraId="09D10641" w14:textId="77777777" w:rsidR="00656EE6" w:rsidRPr="00557B46" w:rsidRDefault="00656EE6" w:rsidP="005735D6">
            <w:pPr>
              <w:jc w:val="center"/>
              <w:rPr>
                <w:rFonts w:ascii="Arial" w:eastAsia="SimSun" w:hAnsi="Arial" w:cs="Arial"/>
                <w:color w:val="000000"/>
                <w:sz w:val="16"/>
              </w:rPr>
            </w:pPr>
          </w:p>
        </w:tc>
        <w:tc>
          <w:tcPr>
            <w:tcW w:w="1073" w:type="dxa"/>
            <w:tcBorders>
              <w:top w:val="single" w:sz="4" w:space="0" w:color="000000"/>
            </w:tcBorders>
            <w:shd w:val="clear" w:color="auto" w:fill="auto"/>
          </w:tcPr>
          <w:p w14:paraId="32E99CFE" w14:textId="77777777" w:rsidR="00656EE6" w:rsidRPr="00557B46" w:rsidRDefault="00656EE6" w:rsidP="005735D6">
            <w:pPr>
              <w:jc w:val="center"/>
              <w:rPr>
                <w:rFonts w:ascii="Arial" w:eastAsia="SimSun" w:hAnsi="Arial" w:cs="Arial"/>
                <w:color w:val="000000"/>
                <w:sz w:val="16"/>
              </w:rPr>
            </w:pPr>
          </w:p>
        </w:tc>
        <w:tc>
          <w:tcPr>
            <w:tcW w:w="840" w:type="dxa"/>
            <w:tcBorders>
              <w:top w:val="single" w:sz="4" w:space="0" w:color="000000"/>
            </w:tcBorders>
            <w:shd w:val="clear" w:color="auto" w:fill="auto"/>
          </w:tcPr>
          <w:p w14:paraId="47388AA6" w14:textId="77777777" w:rsidR="00656EE6" w:rsidRPr="00557B46" w:rsidRDefault="00656EE6" w:rsidP="005735D6">
            <w:pPr>
              <w:jc w:val="center"/>
              <w:rPr>
                <w:rFonts w:ascii="Arial" w:eastAsia="SimSun" w:hAnsi="Arial" w:cs="Arial"/>
                <w:color w:val="000000"/>
                <w:sz w:val="16"/>
              </w:rPr>
            </w:pPr>
          </w:p>
        </w:tc>
        <w:tc>
          <w:tcPr>
            <w:tcW w:w="878" w:type="dxa"/>
            <w:tcBorders>
              <w:top w:val="single" w:sz="4" w:space="0" w:color="000000"/>
            </w:tcBorders>
            <w:shd w:val="clear" w:color="auto" w:fill="auto"/>
          </w:tcPr>
          <w:p w14:paraId="5F2BDBFE" w14:textId="77777777" w:rsidR="00656EE6" w:rsidRPr="00557B46" w:rsidRDefault="00656EE6" w:rsidP="005735D6">
            <w:pPr>
              <w:jc w:val="center"/>
              <w:rPr>
                <w:rFonts w:ascii="Arial" w:eastAsia="SimSun" w:hAnsi="Arial" w:cs="Arial"/>
                <w:color w:val="000000"/>
                <w:sz w:val="16"/>
              </w:rPr>
            </w:pPr>
          </w:p>
        </w:tc>
      </w:tr>
      <w:tr w:rsidR="00656EE6" w14:paraId="1AD94D99" w14:textId="77777777" w:rsidTr="00656EE6">
        <w:trPr>
          <w:trHeight w:val="293"/>
        </w:trPr>
        <w:tc>
          <w:tcPr>
            <w:tcW w:w="5032" w:type="dxa"/>
            <w:shd w:val="clear" w:color="auto" w:fill="auto"/>
            <w:vAlign w:val="center"/>
          </w:tcPr>
          <w:p w14:paraId="0CD9E326"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w:t>
            </w:r>
          </w:p>
        </w:tc>
        <w:tc>
          <w:tcPr>
            <w:tcW w:w="1203" w:type="dxa"/>
            <w:shd w:val="clear" w:color="auto" w:fill="auto"/>
          </w:tcPr>
          <w:p w14:paraId="1DEBCFEB"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0.00001 </w:t>
            </w:r>
          </w:p>
        </w:tc>
        <w:tc>
          <w:tcPr>
            <w:tcW w:w="1073" w:type="dxa"/>
            <w:shd w:val="clear" w:color="auto" w:fill="auto"/>
          </w:tcPr>
          <w:p w14:paraId="7A943D2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0.00040 </w:t>
            </w:r>
          </w:p>
        </w:tc>
        <w:tc>
          <w:tcPr>
            <w:tcW w:w="840" w:type="dxa"/>
            <w:shd w:val="clear" w:color="auto" w:fill="auto"/>
          </w:tcPr>
          <w:p w14:paraId="23FB6973"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0.0180 </w:t>
            </w:r>
          </w:p>
        </w:tc>
        <w:tc>
          <w:tcPr>
            <w:tcW w:w="878" w:type="dxa"/>
            <w:shd w:val="clear" w:color="auto" w:fill="auto"/>
          </w:tcPr>
          <w:p w14:paraId="7F09178C"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0.9860 </w:t>
            </w:r>
          </w:p>
        </w:tc>
      </w:tr>
      <w:tr w:rsidR="00656EE6" w14:paraId="13ED242C" w14:textId="77777777" w:rsidTr="00656EE6">
        <w:trPr>
          <w:trHeight w:val="293"/>
        </w:trPr>
        <w:tc>
          <w:tcPr>
            <w:tcW w:w="5032" w:type="dxa"/>
            <w:tcBorders>
              <w:bottom w:val="single" w:sz="4" w:space="0" w:color="000000"/>
            </w:tcBorders>
            <w:shd w:val="clear" w:color="auto" w:fill="auto"/>
            <w:vAlign w:val="center"/>
          </w:tcPr>
          <w:p w14:paraId="1D82A440"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 = 2018</w:t>
            </w:r>
          </w:p>
        </w:tc>
        <w:tc>
          <w:tcPr>
            <w:tcW w:w="1203" w:type="dxa"/>
            <w:tcBorders>
              <w:bottom w:val="single" w:sz="4" w:space="0" w:color="000000"/>
            </w:tcBorders>
            <w:shd w:val="clear" w:color="auto" w:fill="auto"/>
          </w:tcPr>
          <w:p w14:paraId="37E3F189"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0.00777 </w:t>
            </w:r>
          </w:p>
        </w:tc>
        <w:tc>
          <w:tcPr>
            <w:tcW w:w="1073" w:type="dxa"/>
            <w:tcBorders>
              <w:bottom w:val="single" w:sz="4" w:space="0" w:color="000000"/>
            </w:tcBorders>
            <w:shd w:val="clear" w:color="auto" w:fill="auto"/>
          </w:tcPr>
          <w:p w14:paraId="3EB5D6C8"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0.00384 </w:t>
            </w:r>
          </w:p>
        </w:tc>
        <w:tc>
          <w:tcPr>
            <w:tcW w:w="840" w:type="dxa"/>
            <w:tcBorders>
              <w:bottom w:val="single" w:sz="4" w:space="0" w:color="000000"/>
            </w:tcBorders>
            <w:shd w:val="clear" w:color="auto" w:fill="auto"/>
          </w:tcPr>
          <w:p w14:paraId="60FD9178"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2.0240 </w:t>
            </w:r>
          </w:p>
        </w:tc>
        <w:tc>
          <w:tcPr>
            <w:tcW w:w="878" w:type="dxa"/>
            <w:tcBorders>
              <w:bottom w:val="single" w:sz="4" w:space="0" w:color="000000"/>
            </w:tcBorders>
            <w:shd w:val="clear" w:color="auto" w:fill="auto"/>
          </w:tcPr>
          <w:p w14:paraId="7AC28820"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0.0826 </w:t>
            </w:r>
          </w:p>
        </w:tc>
      </w:tr>
      <w:tr w:rsidR="00656EE6" w14:paraId="4A18FD7B" w14:textId="77777777" w:rsidTr="00656EE6">
        <w:trPr>
          <w:trHeight w:val="293"/>
        </w:trPr>
        <w:tc>
          <w:tcPr>
            <w:tcW w:w="5032" w:type="dxa"/>
            <w:tcBorders>
              <w:top w:val="single" w:sz="4" w:space="0" w:color="000000"/>
            </w:tcBorders>
            <w:shd w:val="clear" w:color="auto" w:fill="auto"/>
            <w:vAlign w:val="center"/>
          </w:tcPr>
          <w:p w14:paraId="0B9158DF" w14:textId="77777777" w:rsidR="00656EE6" w:rsidRDefault="00656EE6" w:rsidP="005735D6">
            <w:pPr>
              <w:rPr>
                <w:rFonts w:ascii="Arial" w:hAnsi="Arial" w:cs="Arial"/>
                <w:sz w:val="16"/>
              </w:rPr>
            </w:pPr>
            <w:r>
              <w:rPr>
                <w:rFonts w:ascii="Arial" w:eastAsia="SimSun" w:hAnsi="Arial" w:cs="Arial"/>
                <w:b/>
                <w:bCs/>
                <w:color w:val="000000"/>
                <w:sz w:val="16"/>
              </w:rPr>
              <w:t>Unexpected death associated with high-dose clozapine</w:t>
            </w:r>
          </w:p>
        </w:tc>
        <w:tc>
          <w:tcPr>
            <w:tcW w:w="1203" w:type="dxa"/>
            <w:tcBorders>
              <w:top w:val="single" w:sz="4" w:space="0" w:color="000000"/>
            </w:tcBorders>
            <w:shd w:val="clear" w:color="auto" w:fill="auto"/>
          </w:tcPr>
          <w:p w14:paraId="620B0EEB" w14:textId="77777777" w:rsidR="00656EE6" w:rsidRPr="00557B46" w:rsidRDefault="00656EE6" w:rsidP="005735D6">
            <w:pPr>
              <w:jc w:val="center"/>
              <w:rPr>
                <w:rFonts w:ascii="Arial" w:eastAsia="SimSun" w:hAnsi="Arial" w:cs="Arial"/>
                <w:color w:val="000000"/>
                <w:sz w:val="16"/>
              </w:rPr>
            </w:pPr>
          </w:p>
        </w:tc>
        <w:tc>
          <w:tcPr>
            <w:tcW w:w="1073" w:type="dxa"/>
            <w:tcBorders>
              <w:top w:val="single" w:sz="4" w:space="0" w:color="000000"/>
            </w:tcBorders>
            <w:shd w:val="clear" w:color="auto" w:fill="auto"/>
          </w:tcPr>
          <w:p w14:paraId="5D483824" w14:textId="77777777" w:rsidR="00656EE6" w:rsidRPr="00557B46" w:rsidRDefault="00656EE6" w:rsidP="005735D6">
            <w:pPr>
              <w:jc w:val="center"/>
              <w:rPr>
                <w:rFonts w:ascii="Arial" w:eastAsia="SimSun" w:hAnsi="Arial" w:cs="Arial"/>
                <w:color w:val="000000"/>
                <w:sz w:val="16"/>
              </w:rPr>
            </w:pPr>
          </w:p>
        </w:tc>
        <w:tc>
          <w:tcPr>
            <w:tcW w:w="840" w:type="dxa"/>
            <w:tcBorders>
              <w:top w:val="single" w:sz="4" w:space="0" w:color="000000"/>
            </w:tcBorders>
            <w:shd w:val="clear" w:color="auto" w:fill="auto"/>
          </w:tcPr>
          <w:p w14:paraId="369EB710" w14:textId="77777777" w:rsidR="00656EE6" w:rsidRPr="00557B46" w:rsidRDefault="00656EE6" w:rsidP="005735D6">
            <w:pPr>
              <w:jc w:val="center"/>
              <w:rPr>
                <w:rFonts w:ascii="Arial" w:eastAsia="SimSun" w:hAnsi="Arial" w:cs="Arial"/>
                <w:color w:val="000000"/>
                <w:sz w:val="16"/>
              </w:rPr>
            </w:pPr>
          </w:p>
        </w:tc>
        <w:tc>
          <w:tcPr>
            <w:tcW w:w="878" w:type="dxa"/>
            <w:tcBorders>
              <w:top w:val="single" w:sz="4" w:space="0" w:color="000000"/>
            </w:tcBorders>
            <w:shd w:val="clear" w:color="auto" w:fill="auto"/>
          </w:tcPr>
          <w:p w14:paraId="01E1AF91" w14:textId="77777777" w:rsidR="00656EE6" w:rsidRPr="00557B46" w:rsidRDefault="00656EE6" w:rsidP="005735D6">
            <w:pPr>
              <w:jc w:val="center"/>
              <w:rPr>
                <w:rFonts w:ascii="Arial" w:eastAsia="SimSun" w:hAnsi="Arial" w:cs="Arial"/>
                <w:color w:val="000000"/>
                <w:sz w:val="16"/>
              </w:rPr>
            </w:pPr>
          </w:p>
        </w:tc>
      </w:tr>
      <w:tr w:rsidR="00656EE6" w14:paraId="26F0076C" w14:textId="77777777" w:rsidTr="00656EE6">
        <w:trPr>
          <w:trHeight w:val="293"/>
        </w:trPr>
        <w:tc>
          <w:tcPr>
            <w:tcW w:w="5032" w:type="dxa"/>
            <w:shd w:val="clear" w:color="auto" w:fill="auto"/>
            <w:vAlign w:val="center"/>
          </w:tcPr>
          <w:p w14:paraId="3BC12D2E"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w:t>
            </w:r>
          </w:p>
        </w:tc>
        <w:tc>
          <w:tcPr>
            <w:tcW w:w="1203" w:type="dxa"/>
            <w:shd w:val="clear" w:color="auto" w:fill="auto"/>
          </w:tcPr>
          <w:p w14:paraId="7CEF11DA"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-0.00026 </w:t>
            </w:r>
          </w:p>
        </w:tc>
        <w:tc>
          <w:tcPr>
            <w:tcW w:w="1073" w:type="dxa"/>
            <w:shd w:val="clear" w:color="auto" w:fill="auto"/>
          </w:tcPr>
          <w:p w14:paraId="7A8CD7B8"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0.00014 </w:t>
            </w:r>
          </w:p>
        </w:tc>
        <w:tc>
          <w:tcPr>
            <w:tcW w:w="840" w:type="dxa"/>
            <w:shd w:val="clear" w:color="auto" w:fill="auto"/>
          </w:tcPr>
          <w:p w14:paraId="083CB40B"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-1.8680 </w:t>
            </w:r>
          </w:p>
        </w:tc>
        <w:tc>
          <w:tcPr>
            <w:tcW w:w="878" w:type="dxa"/>
            <w:shd w:val="clear" w:color="auto" w:fill="auto"/>
          </w:tcPr>
          <w:p w14:paraId="1BD3C9C3"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0.1040 </w:t>
            </w:r>
          </w:p>
        </w:tc>
      </w:tr>
      <w:tr w:rsidR="00656EE6" w14:paraId="2D51D6B9" w14:textId="77777777" w:rsidTr="00656EE6">
        <w:trPr>
          <w:trHeight w:val="293"/>
        </w:trPr>
        <w:tc>
          <w:tcPr>
            <w:tcW w:w="5032" w:type="dxa"/>
            <w:tcBorders>
              <w:bottom w:val="single" w:sz="12" w:space="0" w:color="000000"/>
            </w:tcBorders>
            <w:shd w:val="clear" w:color="auto" w:fill="auto"/>
            <w:vAlign w:val="center"/>
          </w:tcPr>
          <w:p w14:paraId="61597BF2" w14:textId="77777777" w:rsidR="00656EE6" w:rsidRDefault="00656EE6" w:rsidP="005735D6">
            <w:pPr>
              <w:rPr>
                <w:rFonts w:ascii="Arial" w:eastAsia="SimSun" w:hAnsi="Arial" w:cs="Arial"/>
                <w:color w:val="000000"/>
                <w:sz w:val="16"/>
              </w:rPr>
            </w:pPr>
            <w:r>
              <w:rPr>
                <w:rFonts w:ascii="Arial" w:eastAsia="SimSun" w:hAnsi="Arial" w:cs="Arial"/>
                <w:color w:val="000000"/>
                <w:sz w:val="16"/>
              </w:rPr>
              <w:t>Year = 2018</w:t>
            </w:r>
          </w:p>
        </w:tc>
        <w:tc>
          <w:tcPr>
            <w:tcW w:w="1203" w:type="dxa"/>
            <w:tcBorders>
              <w:bottom w:val="single" w:sz="12" w:space="0" w:color="000000"/>
            </w:tcBorders>
            <w:shd w:val="clear" w:color="auto" w:fill="auto"/>
          </w:tcPr>
          <w:p w14:paraId="40F4D838"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0.00706 </w:t>
            </w:r>
          </w:p>
        </w:tc>
        <w:tc>
          <w:tcPr>
            <w:tcW w:w="1073" w:type="dxa"/>
            <w:tcBorders>
              <w:bottom w:val="single" w:sz="12" w:space="0" w:color="000000"/>
            </w:tcBorders>
            <w:shd w:val="clear" w:color="auto" w:fill="auto"/>
          </w:tcPr>
          <w:p w14:paraId="0C17A600"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0.00134 </w:t>
            </w:r>
          </w:p>
        </w:tc>
        <w:tc>
          <w:tcPr>
            <w:tcW w:w="840" w:type="dxa"/>
            <w:tcBorders>
              <w:bottom w:val="single" w:sz="12" w:space="0" w:color="000000"/>
            </w:tcBorders>
            <w:shd w:val="clear" w:color="auto" w:fill="auto"/>
          </w:tcPr>
          <w:p w14:paraId="024816AF" w14:textId="77777777" w:rsidR="00656EE6" w:rsidRPr="00557B46" w:rsidRDefault="00656EE6" w:rsidP="005735D6">
            <w:pPr>
              <w:jc w:val="center"/>
              <w:rPr>
                <w:rFonts w:ascii="Arial" w:eastAsia="SimSun" w:hAnsi="Arial" w:cs="Arial"/>
                <w:color w:val="000000"/>
                <w:sz w:val="16"/>
              </w:rPr>
            </w:pPr>
            <w:r w:rsidRPr="00557B46">
              <w:rPr>
                <w:rFonts w:ascii="Arial" w:eastAsia="SimSun" w:hAnsi="Arial" w:cs="Arial"/>
                <w:color w:val="000000"/>
                <w:sz w:val="16"/>
              </w:rPr>
              <w:t xml:space="preserve">5.2600 </w:t>
            </w:r>
          </w:p>
        </w:tc>
        <w:tc>
          <w:tcPr>
            <w:tcW w:w="878" w:type="dxa"/>
            <w:tcBorders>
              <w:bottom w:val="single" w:sz="12" w:space="0" w:color="000000"/>
            </w:tcBorders>
            <w:shd w:val="clear" w:color="auto" w:fill="auto"/>
          </w:tcPr>
          <w:p w14:paraId="229AF265" w14:textId="77777777" w:rsidR="00656EE6" w:rsidRPr="00656EE6" w:rsidRDefault="00656EE6" w:rsidP="005735D6">
            <w:pPr>
              <w:jc w:val="center"/>
              <w:rPr>
                <w:rFonts w:ascii="Arial" w:eastAsia="SimSun" w:hAnsi="Arial" w:cs="Arial"/>
                <w:b/>
                <w:bCs/>
                <w:color w:val="000000"/>
                <w:sz w:val="16"/>
              </w:rPr>
            </w:pPr>
            <w:r w:rsidRPr="00656EE6">
              <w:rPr>
                <w:rFonts w:ascii="Arial" w:eastAsia="SimSun" w:hAnsi="Arial" w:cs="Arial"/>
                <w:b/>
                <w:bCs/>
                <w:color w:val="000000"/>
                <w:sz w:val="16"/>
              </w:rPr>
              <w:t xml:space="preserve">0.0012 </w:t>
            </w:r>
          </w:p>
        </w:tc>
      </w:tr>
    </w:tbl>
    <w:p w14:paraId="5C4C68EF" w14:textId="77777777" w:rsidR="00656EE6" w:rsidRDefault="00656EE6">
      <w:pPr>
        <w:rPr>
          <w:rFonts w:ascii="Arial" w:hAnsi="Arial" w:cs="Arial"/>
          <w:b/>
          <w:sz w:val="22"/>
          <w:szCs w:val="22"/>
        </w:rPr>
      </w:pPr>
      <w:r>
        <w:rPr>
          <w:rFonts w:ascii="Arial" w:hAnsi="Arial" w:cs="Arial"/>
          <w:b/>
          <w:sz w:val="22"/>
          <w:szCs w:val="22"/>
        </w:rPr>
        <w:br w:type="page"/>
      </w:r>
    </w:p>
    <w:p w14:paraId="2B6DB706" w14:textId="07B6DD57" w:rsidR="00FE5D8E" w:rsidRDefault="0095382D">
      <w:pPr>
        <w:jc w:val="both"/>
        <w:outlineLvl w:val="0"/>
        <w:rPr>
          <w:rFonts w:ascii="Arial" w:hAnsi="Arial" w:cs="Arial"/>
          <w:i/>
          <w:color w:val="000000" w:themeColor="text1"/>
          <w:sz w:val="22"/>
          <w:szCs w:val="22"/>
        </w:rPr>
      </w:pPr>
      <w:r w:rsidRPr="001D1B3D">
        <w:rPr>
          <w:rFonts w:ascii="Arial" w:hAnsi="Arial" w:cs="Arial"/>
          <w:b/>
          <w:sz w:val="22"/>
          <w:szCs w:val="22"/>
        </w:rPr>
        <w:lastRenderedPageBreak/>
        <w:t>Figure1</w:t>
      </w:r>
      <w:r w:rsidRPr="001D1B3D">
        <w:rPr>
          <w:rFonts w:ascii="Arial" w:hAnsi="Arial" w:cs="Arial"/>
          <w:bCs/>
          <w:i/>
          <w:sz w:val="22"/>
          <w:szCs w:val="22"/>
        </w:rPr>
        <w:t>. N</w:t>
      </w:r>
      <w:r w:rsidRPr="001D1B3D">
        <w:rPr>
          <w:rFonts w:ascii="Arial" w:hAnsi="Arial" w:cs="Arial"/>
          <w:bCs/>
          <w:i/>
          <w:color w:val="000000" w:themeColor="text1"/>
          <w:sz w:val="22"/>
          <w:szCs w:val="22"/>
        </w:rPr>
        <w:t>umber</w:t>
      </w:r>
      <w:r w:rsidRPr="001D1B3D">
        <w:rPr>
          <w:rFonts w:ascii="Arial" w:hAnsi="Arial" w:cs="Arial"/>
          <w:i/>
          <w:color w:val="000000" w:themeColor="text1"/>
          <w:sz w:val="22"/>
          <w:szCs w:val="22"/>
        </w:rPr>
        <w:t xml:space="preserve"> of deaths</w:t>
      </w:r>
      <w:r w:rsidR="006D4E04">
        <w:rPr>
          <w:rFonts w:ascii="Arial" w:hAnsi="Arial" w:cs="Arial"/>
          <w:i/>
          <w:color w:val="000000" w:themeColor="text1"/>
          <w:sz w:val="22"/>
          <w:szCs w:val="22"/>
        </w:rPr>
        <w:t xml:space="preserve"> per year</w:t>
      </w:r>
      <w:r w:rsidRPr="001D1B3D">
        <w:rPr>
          <w:rFonts w:ascii="Arial" w:hAnsi="Arial" w:cs="Arial"/>
          <w:i/>
          <w:color w:val="000000" w:themeColor="text1"/>
          <w:sz w:val="22"/>
          <w:szCs w:val="22"/>
        </w:rPr>
        <w:t xml:space="preserve"> from 2009 – 2018</w:t>
      </w:r>
      <w:r w:rsidR="006D4E04">
        <w:rPr>
          <w:rFonts w:ascii="Arial" w:hAnsi="Arial" w:cs="Arial"/>
          <w:i/>
          <w:color w:val="000000" w:themeColor="text1"/>
          <w:sz w:val="22"/>
          <w:szCs w:val="22"/>
        </w:rPr>
        <w:t xml:space="preserve">. A: Total deaths, B: Deaths by type. </w:t>
      </w:r>
    </w:p>
    <w:p w14:paraId="0D560509" w14:textId="380BE71D" w:rsidR="00871157" w:rsidRDefault="00871157">
      <w:pPr>
        <w:jc w:val="both"/>
        <w:outlineLvl w:val="0"/>
        <w:rPr>
          <w:rFonts w:ascii="Arial" w:hAnsi="Arial" w:cs="Arial"/>
          <w:i/>
          <w:color w:val="000000" w:themeColor="text1"/>
          <w:sz w:val="22"/>
          <w:szCs w:val="22"/>
        </w:rPr>
      </w:pPr>
    </w:p>
    <w:p w14:paraId="4B0FCD20" w14:textId="1EBE5F2D" w:rsidR="00EF513C" w:rsidRDefault="00871157">
      <w:pPr>
        <w:rPr>
          <w:rFonts w:ascii="Arial" w:hAnsi="Arial" w:cs="Arial"/>
          <w:b/>
          <w:color w:val="000000" w:themeColor="text1"/>
          <w:sz w:val="20"/>
          <w:szCs w:val="20"/>
        </w:rPr>
      </w:pPr>
      <w:r>
        <w:rPr>
          <w:rFonts w:ascii="Arial" w:hAnsi="Arial" w:cs="Arial"/>
          <w:b/>
          <w:noProof/>
          <w:color w:val="000000" w:themeColor="text1"/>
          <w:sz w:val="20"/>
          <w:szCs w:val="20"/>
        </w:rPr>
        <w:drawing>
          <wp:inline distT="0" distB="0" distL="0" distR="0" wp14:anchorId="4CAF7657" wp14:editId="0FE9643B">
            <wp:extent cx="5731510" cy="3695065"/>
            <wp:effectExtent l="0" t="0" r="0" b="635"/>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695065"/>
                    </a:xfrm>
                    <a:prstGeom prst="rect">
                      <a:avLst/>
                    </a:prstGeom>
                  </pic:spPr>
                </pic:pic>
              </a:graphicData>
            </a:graphic>
          </wp:inline>
        </w:drawing>
      </w:r>
    </w:p>
    <w:p w14:paraId="60B287C5" w14:textId="3CABA25D" w:rsidR="00FE5D8E" w:rsidRDefault="00FE5D8E">
      <w:pPr>
        <w:spacing w:after="160"/>
        <w:contextualSpacing/>
        <w:jc w:val="both"/>
        <w:rPr>
          <w:rFonts w:ascii="Arial" w:hAnsi="Arial" w:cs="Arial"/>
          <w:color w:val="000000" w:themeColor="text1"/>
          <w:sz w:val="20"/>
          <w:szCs w:val="20"/>
        </w:rPr>
      </w:pPr>
    </w:p>
    <w:p w14:paraId="642559C1" w14:textId="77777777" w:rsidR="00871157" w:rsidRDefault="00871157">
      <w:pPr>
        <w:rPr>
          <w:rFonts w:ascii="Arial" w:hAnsi="Arial" w:cs="Arial"/>
          <w:b/>
          <w:color w:val="000000" w:themeColor="text1"/>
          <w:sz w:val="22"/>
          <w:szCs w:val="22"/>
        </w:rPr>
      </w:pPr>
      <w:r>
        <w:rPr>
          <w:rFonts w:ascii="Arial" w:hAnsi="Arial" w:cs="Arial"/>
          <w:b/>
          <w:color w:val="000000" w:themeColor="text1"/>
          <w:sz w:val="22"/>
          <w:szCs w:val="22"/>
        </w:rPr>
        <w:br w:type="page"/>
      </w:r>
    </w:p>
    <w:p w14:paraId="5C3FB814" w14:textId="0855F1AE" w:rsidR="00FE5D8E" w:rsidRDefault="0095382D">
      <w:pPr>
        <w:spacing w:after="160"/>
        <w:jc w:val="both"/>
        <w:rPr>
          <w:rFonts w:ascii="Arial" w:hAnsi="Arial" w:cs="Arial"/>
          <w:b/>
          <w:color w:val="000000" w:themeColor="text1"/>
          <w:sz w:val="22"/>
          <w:szCs w:val="22"/>
        </w:rPr>
      </w:pPr>
      <w:r>
        <w:rPr>
          <w:rFonts w:ascii="Arial" w:hAnsi="Arial" w:cs="Arial"/>
          <w:b/>
          <w:color w:val="000000" w:themeColor="text1"/>
          <w:sz w:val="22"/>
          <w:szCs w:val="22"/>
        </w:rPr>
        <w:lastRenderedPageBreak/>
        <w:t>References</w:t>
      </w:r>
    </w:p>
    <w:p w14:paraId="0F2AA24F" w14:textId="005D6B16" w:rsidR="00157441" w:rsidRPr="00157441" w:rsidRDefault="005D3C1C" w:rsidP="00157441">
      <w:pPr>
        <w:widowControl w:val="0"/>
        <w:autoSpaceDE w:val="0"/>
        <w:autoSpaceDN w:val="0"/>
        <w:adjustRightInd w:val="0"/>
        <w:ind w:left="480" w:hanging="480"/>
        <w:rPr>
          <w:noProof/>
        </w:rPr>
      </w:pPr>
      <w:r>
        <w:fldChar w:fldCharType="begin" w:fldLock="1"/>
      </w:r>
      <w:r>
        <w:instrText xml:space="preserve">ADDIN Mendeley Bibliography CSL_BIBLIOGRAPHY </w:instrText>
      </w:r>
      <w:r>
        <w:fldChar w:fldCharType="separate"/>
      </w:r>
      <w:r w:rsidR="00157441" w:rsidRPr="00157441">
        <w:rPr>
          <w:noProof/>
        </w:rPr>
        <w:t>Cho, J., Hayes, R.D., Jewell, A., Kadra, G., Shetty, H., MacCabe, J.H., Downs, J., 20</w:t>
      </w:r>
      <w:r w:rsidR="004F396E">
        <w:rPr>
          <w:noProof/>
        </w:rPr>
        <w:t>19</w:t>
      </w:r>
      <w:r w:rsidR="00157441" w:rsidRPr="00157441">
        <w:rPr>
          <w:noProof/>
        </w:rPr>
        <w:t>. Clozapine and all-cause mortality in treatment-resistant schizophrenia: a historical cohort study. Acta Psychiatr. Scand.</w:t>
      </w:r>
      <w:r w:rsidR="004F396E">
        <w:rPr>
          <w:noProof/>
        </w:rPr>
        <w:t xml:space="preserve"> 139. </w:t>
      </w:r>
      <w:r w:rsidR="009B7DCB">
        <w:rPr>
          <w:noProof/>
        </w:rPr>
        <w:t>237-247.</w:t>
      </w:r>
      <w:r w:rsidR="00157441" w:rsidRPr="00157441">
        <w:rPr>
          <w:noProof/>
        </w:rPr>
        <w:t xml:space="preserve"> </w:t>
      </w:r>
    </w:p>
    <w:p w14:paraId="5A83C1E0" w14:textId="49355468" w:rsidR="00157441" w:rsidRPr="00157441" w:rsidRDefault="00157441" w:rsidP="00157441">
      <w:pPr>
        <w:widowControl w:val="0"/>
        <w:autoSpaceDE w:val="0"/>
        <w:autoSpaceDN w:val="0"/>
        <w:adjustRightInd w:val="0"/>
        <w:ind w:left="480" w:hanging="480"/>
        <w:rPr>
          <w:noProof/>
        </w:rPr>
      </w:pPr>
      <w:r w:rsidRPr="00157441">
        <w:rPr>
          <w:noProof/>
        </w:rPr>
        <w:t xml:space="preserve">Doerken, S., Mockenhaupt, M., Naldi, L., Schumacher, M., Sekula, P., 2016. The case-crossover design via penalized regression. BMC Med. Res. Methodol. </w:t>
      </w:r>
    </w:p>
    <w:p w14:paraId="0BB1A07F" w14:textId="32A22EC3" w:rsidR="00157441" w:rsidRPr="00157441" w:rsidRDefault="00157441" w:rsidP="00157441">
      <w:pPr>
        <w:widowControl w:val="0"/>
        <w:autoSpaceDE w:val="0"/>
        <w:autoSpaceDN w:val="0"/>
        <w:adjustRightInd w:val="0"/>
        <w:ind w:left="480" w:hanging="480"/>
        <w:rPr>
          <w:noProof/>
        </w:rPr>
      </w:pPr>
      <w:r w:rsidRPr="00157441">
        <w:rPr>
          <w:noProof/>
        </w:rPr>
        <w:t>Dyer, C., 2018. Coroners warn health secretary of clozapine deaths. BMJ.</w:t>
      </w:r>
      <w:r w:rsidR="009B7DCB">
        <w:rPr>
          <w:noProof/>
        </w:rPr>
        <w:t xml:space="preserve"> 16:103.</w:t>
      </w:r>
      <w:r w:rsidRPr="00157441">
        <w:rPr>
          <w:noProof/>
        </w:rPr>
        <w:t xml:space="preserve"> </w:t>
      </w:r>
    </w:p>
    <w:p w14:paraId="3866CDC0" w14:textId="12E8C5AF" w:rsidR="00157441" w:rsidRPr="00157441" w:rsidRDefault="00157441" w:rsidP="00157441">
      <w:pPr>
        <w:widowControl w:val="0"/>
        <w:autoSpaceDE w:val="0"/>
        <w:autoSpaceDN w:val="0"/>
        <w:adjustRightInd w:val="0"/>
        <w:ind w:left="480" w:hanging="480"/>
        <w:rPr>
          <w:noProof/>
        </w:rPr>
      </w:pPr>
      <w:r w:rsidRPr="00157441">
        <w:rPr>
          <w:noProof/>
        </w:rPr>
        <w:t xml:space="preserve">Fontaine, K.R., Heo, M., Harrigan, E.P., Shear, C.L., Lakshminarayanan, M., Casey, D.E., Allison, D.B., 2001. Estimating the consequences of anti-psychotic induced weight gain on health and mortality rate. Psychiatry Res. 101, 277–288. </w:t>
      </w:r>
    </w:p>
    <w:p w14:paraId="5AF01FA2" w14:textId="06F4920F" w:rsidR="00157441" w:rsidRPr="00157441" w:rsidRDefault="00157441" w:rsidP="00157441">
      <w:pPr>
        <w:widowControl w:val="0"/>
        <w:autoSpaceDE w:val="0"/>
        <w:autoSpaceDN w:val="0"/>
        <w:adjustRightInd w:val="0"/>
        <w:ind w:left="480" w:hanging="480"/>
        <w:rPr>
          <w:noProof/>
        </w:rPr>
      </w:pPr>
      <w:r w:rsidRPr="00157441">
        <w:rPr>
          <w:noProof/>
        </w:rPr>
        <w:t>Gasparrini, A., 2011. Distributed lag linear and non-linear models in R: The package dlnm. J. Stat. Softw.</w:t>
      </w:r>
      <w:r w:rsidR="009B7DCB">
        <w:rPr>
          <w:noProof/>
        </w:rPr>
        <w:t xml:space="preserve"> 43:1-20.</w:t>
      </w:r>
      <w:r w:rsidRPr="00157441">
        <w:rPr>
          <w:noProof/>
        </w:rPr>
        <w:t xml:space="preserve"> </w:t>
      </w:r>
    </w:p>
    <w:p w14:paraId="48FA5E5F" w14:textId="6F9407DD" w:rsidR="00157441" w:rsidRPr="00157441" w:rsidRDefault="00157441" w:rsidP="00157441">
      <w:pPr>
        <w:widowControl w:val="0"/>
        <w:autoSpaceDE w:val="0"/>
        <w:autoSpaceDN w:val="0"/>
        <w:adjustRightInd w:val="0"/>
        <w:ind w:left="480" w:hanging="480"/>
        <w:rPr>
          <w:noProof/>
        </w:rPr>
      </w:pPr>
      <w:r w:rsidRPr="00157441">
        <w:rPr>
          <w:noProof/>
        </w:rPr>
        <w:t>Hayes, R.D., Downs, J., Chang, C.K., Jackson, R.G., Shetty, H., Broadbent, M., Hotopf, M., Stewart, R., 2015a. The effect of clozapine on premature mortality: An assessment of clinical monitoring and other potential confounders. Schizophr. Bull</w:t>
      </w:r>
      <w:r>
        <w:rPr>
          <w:noProof/>
        </w:rPr>
        <w:t>. 41, 644-655</w:t>
      </w:r>
      <w:r w:rsidRPr="00157441">
        <w:rPr>
          <w:noProof/>
        </w:rPr>
        <w:t xml:space="preserve">. </w:t>
      </w:r>
    </w:p>
    <w:p w14:paraId="3E8E219C" w14:textId="0B268AB3" w:rsidR="00157441" w:rsidRPr="00157441" w:rsidRDefault="00157441" w:rsidP="00CE7E01">
      <w:pPr>
        <w:widowControl w:val="0"/>
        <w:autoSpaceDE w:val="0"/>
        <w:autoSpaceDN w:val="0"/>
        <w:adjustRightInd w:val="0"/>
        <w:ind w:left="567" w:hanging="567"/>
        <w:rPr>
          <w:noProof/>
        </w:rPr>
      </w:pPr>
      <w:r w:rsidRPr="00157441">
        <w:rPr>
          <w:noProof/>
        </w:rPr>
        <w:t>Hjorthøj, C., Stürup, A.E., McGrath, J.J., Nordentoft, M., 2017. Years of potential life lost and life expectancy in schizophrenia: a systematic review and meta-analysis. The Lancet Psychiatry.</w:t>
      </w:r>
      <w:r w:rsidR="009B7DCB">
        <w:rPr>
          <w:noProof/>
        </w:rPr>
        <w:t xml:space="preserve"> 4:295-301. </w:t>
      </w:r>
      <w:r w:rsidRPr="00157441">
        <w:rPr>
          <w:noProof/>
        </w:rPr>
        <w:t xml:space="preserve"> </w:t>
      </w:r>
    </w:p>
    <w:p w14:paraId="6DAC37A9" w14:textId="60A3AFB2" w:rsidR="00157441" w:rsidRPr="00157441" w:rsidRDefault="00157441" w:rsidP="00157441">
      <w:pPr>
        <w:widowControl w:val="0"/>
        <w:autoSpaceDE w:val="0"/>
        <w:autoSpaceDN w:val="0"/>
        <w:adjustRightInd w:val="0"/>
        <w:ind w:left="480" w:hanging="480"/>
        <w:rPr>
          <w:noProof/>
        </w:rPr>
      </w:pPr>
      <w:r w:rsidRPr="00157441">
        <w:rPr>
          <w:noProof/>
        </w:rPr>
        <w:t>Janes, H., Sheppard, L., Lumley, T., 2005. Case-crossover analyses of air pollution exposure data: Referent selection strategies and their implications for bias. Epidemiology.</w:t>
      </w:r>
      <w:r w:rsidR="009B7DCB">
        <w:rPr>
          <w:noProof/>
        </w:rPr>
        <w:t xml:space="preserve"> 114:A690-1</w:t>
      </w:r>
      <w:r w:rsidRPr="00157441">
        <w:rPr>
          <w:noProof/>
        </w:rPr>
        <w:t xml:space="preserve"> </w:t>
      </w:r>
    </w:p>
    <w:p w14:paraId="02E02E02" w14:textId="02982220" w:rsidR="00157441" w:rsidRPr="00157441" w:rsidRDefault="00157441" w:rsidP="00157441">
      <w:pPr>
        <w:widowControl w:val="0"/>
        <w:autoSpaceDE w:val="0"/>
        <w:autoSpaceDN w:val="0"/>
        <w:adjustRightInd w:val="0"/>
        <w:ind w:left="480" w:hanging="480"/>
        <w:rPr>
          <w:noProof/>
        </w:rPr>
      </w:pPr>
      <w:r w:rsidRPr="00157441">
        <w:rPr>
          <w:noProof/>
        </w:rPr>
        <w:t>Kahn, R.S., Sommer, I.E., Murray, R.M., Meyer-Lindenberg, A., Weinberger, D.R., Cannon, T.D., O’Donovan, M., Correll, C.U., Kane, J.M., Van Os, J., Insel, T.R., 2015. Schizophrenia. Nat. Rev. Dis. Prim.</w:t>
      </w:r>
      <w:r w:rsidR="009B7DCB">
        <w:rPr>
          <w:noProof/>
        </w:rPr>
        <w:t xml:space="preserve"> 1:15067. </w:t>
      </w:r>
      <w:r w:rsidRPr="00157441">
        <w:rPr>
          <w:noProof/>
        </w:rPr>
        <w:t xml:space="preserve"> </w:t>
      </w:r>
    </w:p>
    <w:p w14:paraId="6D51AD82" w14:textId="77777777" w:rsidR="00157441" w:rsidRPr="00157441" w:rsidRDefault="00157441" w:rsidP="00157441">
      <w:pPr>
        <w:widowControl w:val="0"/>
        <w:autoSpaceDE w:val="0"/>
        <w:autoSpaceDN w:val="0"/>
        <w:adjustRightInd w:val="0"/>
        <w:ind w:left="480" w:hanging="480"/>
        <w:rPr>
          <w:noProof/>
        </w:rPr>
      </w:pPr>
      <w:r w:rsidRPr="00157441">
        <w:rPr>
          <w:noProof/>
        </w:rPr>
        <w:t>Kane, J., Honigfeld, G., Singer, J., Meltzer, H., 1988. Clozapine for the treament-resistant schizophrenic. Arch Gen Psychiatry 45, 789–796.</w:t>
      </w:r>
    </w:p>
    <w:p w14:paraId="717A4990" w14:textId="3FF56197" w:rsidR="00157441" w:rsidRPr="00157441" w:rsidRDefault="00157441" w:rsidP="00157441">
      <w:pPr>
        <w:widowControl w:val="0"/>
        <w:autoSpaceDE w:val="0"/>
        <w:autoSpaceDN w:val="0"/>
        <w:adjustRightInd w:val="0"/>
        <w:ind w:left="480" w:hanging="480"/>
        <w:rPr>
          <w:noProof/>
        </w:rPr>
      </w:pPr>
      <w:r w:rsidRPr="00157441">
        <w:rPr>
          <w:noProof/>
        </w:rPr>
        <w:t>Kerwin, R.W., Osborne, S., Sainz-Fuertes, R., 2004. Heat stroke in schizophrenia during clozapine treatment: Rapid recognition and management. J. Psychopharmacol.</w:t>
      </w:r>
      <w:r w:rsidR="009B7DCB">
        <w:rPr>
          <w:noProof/>
        </w:rPr>
        <w:t xml:space="preserve"> 18:121-3</w:t>
      </w:r>
      <w:r w:rsidRPr="00157441">
        <w:rPr>
          <w:noProof/>
        </w:rPr>
        <w:t xml:space="preserve"> </w:t>
      </w:r>
    </w:p>
    <w:p w14:paraId="7B651B76" w14:textId="43ADA171" w:rsidR="00157441" w:rsidRPr="00157441" w:rsidRDefault="00157441" w:rsidP="00157441">
      <w:pPr>
        <w:widowControl w:val="0"/>
        <w:autoSpaceDE w:val="0"/>
        <w:autoSpaceDN w:val="0"/>
        <w:adjustRightInd w:val="0"/>
        <w:ind w:left="480" w:hanging="480"/>
        <w:rPr>
          <w:noProof/>
        </w:rPr>
      </w:pPr>
      <w:r w:rsidRPr="00157441">
        <w:rPr>
          <w:noProof/>
        </w:rPr>
        <w:t xml:space="preserve">Leucht, S., Cipriani, A., Spineli, L., Mavridis, D., Örey, D., Richter, F., Samara, M., Barbui, C., Engel, R.R., Geddes, J.R., Kissling, W., Stapf, M.P., Lässig, B., Salanti, G., Davis, J.M., 2013. Comparative efficacy and tolerability of 15 antipsychotic drugs in schizophrenia: A multiple-treatments meta-analysis. Lancet 382, 951–962. </w:t>
      </w:r>
    </w:p>
    <w:p w14:paraId="70DB6B56" w14:textId="51F5581B" w:rsidR="00157441" w:rsidRPr="00157441" w:rsidRDefault="00157441" w:rsidP="00157441">
      <w:pPr>
        <w:widowControl w:val="0"/>
        <w:autoSpaceDE w:val="0"/>
        <w:autoSpaceDN w:val="0"/>
        <w:adjustRightInd w:val="0"/>
        <w:ind w:left="480" w:hanging="480"/>
        <w:rPr>
          <w:noProof/>
        </w:rPr>
      </w:pPr>
      <w:r w:rsidRPr="00157441">
        <w:rPr>
          <w:noProof/>
        </w:rPr>
        <w:t xml:space="preserve">National Institute of Health and Clinical Excellence, 2014. Psychosis and schizophrenia in adults. NICE Guidel. treament Manag. 74–80. </w:t>
      </w:r>
    </w:p>
    <w:p w14:paraId="2CB1AA9E" w14:textId="4C41D5DB" w:rsidR="00157441" w:rsidRPr="00157441" w:rsidRDefault="00157441" w:rsidP="00157441">
      <w:pPr>
        <w:widowControl w:val="0"/>
        <w:autoSpaceDE w:val="0"/>
        <w:autoSpaceDN w:val="0"/>
        <w:adjustRightInd w:val="0"/>
        <w:ind w:left="480" w:hanging="480"/>
        <w:rPr>
          <w:noProof/>
        </w:rPr>
      </w:pPr>
      <w:r w:rsidRPr="00157441">
        <w:rPr>
          <w:noProof/>
        </w:rPr>
        <w:t xml:space="preserve">Nielsen, J., Correll, C.U., Manu, P., Kane, J.M., 2013. Termination of clozapine treatment due to medical reasons: When is it warranted and how can it be avoided? J. Clin. Psychiatry 74, 603–613. </w:t>
      </w:r>
    </w:p>
    <w:p w14:paraId="36EB4A4A" w14:textId="77777777" w:rsidR="00157441" w:rsidRPr="00157441" w:rsidRDefault="00157441" w:rsidP="00157441">
      <w:pPr>
        <w:widowControl w:val="0"/>
        <w:autoSpaceDE w:val="0"/>
        <w:autoSpaceDN w:val="0"/>
        <w:adjustRightInd w:val="0"/>
        <w:ind w:left="480" w:hanging="480"/>
        <w:rPr>
          <w:noProof/>
        </w:rPr>
      </w:pPr>
      <w:r w:rsidRPr="00157441">
        <w:rPr>
          <w:noProof/>
        </w:rPr>
        <w:t>Office, M., 2018. No Title [WWW Document]. 16 Oct. URL https://www.metoffice.gov.uk/binaries/content/assets/metofficegovuk/pdf/weather/learn-about/uk-past-events/interesting/2018/summer-2018---met-office.pdf (accessed 1.28.20).</w:t>
      </w:r>
    </w:p>
    <w:p w14:paraId="7B8DB905" w14:textId="14B6086E" w:rsidR="00157441" w:rsidRPr="00157441" w:rsidRDefault="00157441" w:rsidP="00157441">
      <w:pPr>
        <w:widowControl w:val="0"/>
        <w:autoSpaceDE w:val="0"/>
        <w:autoSpaceDN w:val="0"/>
        <w:adjustRightInd w:val="0"/>
        <w:ind w:left="480" w:hanging="480"/>
        <w:rPr>
          <w:noProof/>
        </w:rPr>
      </w:pPr>
      <w:r w:rsidRPr="00157441">
        <w:rPr>
          <w:noProof/>
        </w:rPr>
        <w:t>Özdemir, V., Kalow, W., Posner, P., Collins, E.J., Kennedy, J.L., Tang, B.K., Albers, L.J., Reist, C., Roy, R., Walkes, W., Afra, P., 2001. CYP1A2 activity as measured by a caffeine test predicts clozapine and active metabolite norclozapine steady-state concentration in patients with schizophrenia. J. Clin. Psychopharmacol.</w:t>
      </w:r>
      <w:r w:rsidR="009B7DCB">
        <w:rPr>
          <w:noProof/>
        </w:rPr>
        <w:t xml:space="preserve"> 21. 398-407 </w:t>
      </w:r>
      <w:r w:rsidRPr="00157441">
        <w:rPr>
          <w:noProof/>
        </w:rPr>
        <w:t xml:space="preserve"> </w:t>
      </w:r>
    </w:p>
    <w:p w14:paraId="06FFE13E" w14:textId="266E1D95" w:rsidR="00157441" w:rsidRPr="00157441" w:rsidRDefault="00157441" w:rsidP="00157441">
      <w:pPr>
        <w:widowControl w:val="0"/>
        <w:autoSpaceDE w:val="0"/>
        <w:autoSpaceDN w:val="0"/>
        <w:adjustRightInd w:val="0"/>
        <w:ind w:left="480" w:hanging="480"/>
        <w:rPr>
          <w:noProof/>
        </w:rPr>
      </w:pPr>
      <w:r w:rsidRPr="00157441">
        <w:rPr>
          <w:noProof/>
        </w:rPr>
        <w:t xml:space="preserve">Page, L.A., Hajat, S., Sari Kovats, R., Howard, L.M., 2012. Temperature-related deaths in people with psychosis, dementia and substance misuse. Br. J. Psychiatry 200, 485–490. </w:t>
      </w:r>
    </w:p>
    <w:p w14:paraId="2170B4B5" w14:textId="6971AAC1" w:rsidR="00157441" w:rsidRPr="00157441" w:rsidRDefault="00157441" w:rsidP="00157441">
      <w:pPr>
        <w:widowControl w:val="0"/>
        <w:autoSpaceDE w:val="0"/>
        <w:autoSpaceDN w:val="0"/>
        <w:adjustRightInd w:val="0"/>
        <w:ind w:left="480" w:hanging="480"/>
        <w:rPr>
          <w:noProof/>
        </w:rPr>
      </w:pPr>
      <w:r w:rsidRPr="00157441">
        <w:rPr>
          <w:noProof/>
        </w:rPr>
        <w:t xml:space="preserve">Taipale, H., Mittendorfer-Rutz, E., Alexanderson, K., Majak, M., Mehtälä, J., Hoti, F., Jedenius, E., Enkusson, D., Leval, A., Sermon, J., Tanskanen, A., Tiihonen, J., 2018. Antipsychotics and mortality in a nationwide cohort of 29,823 patients with schizophrenia. Schizophr. Res. 197, 274–280. </w:t>
      </w:r>
    </w:p>
    <w:p w14:paraId="7BD14B88" w14:textId="3864E16A" w:rsidR="00157441" w:rsidRPr="00157441" w:rsidRDefault="00157441" w:rsidP="00157441">
      <w:pPr>
        <w:widowControl w:val="0"/>
        <w:autoSpaceDE w:val="0"/>
        <w:autoSpaceDN w:val="0"/>
        <w:adjustRightInd w:val="0"/>
        <w:ind w:left="480" w:hanging="480"/>
        <w:rPr>
          <w:noProof/>
        </w:rPr>
      </w:pPr>
      <w:r w:rsidRPr="00157441">
        <w:rPr>
          <w:noProof/>
        </w:rPr>
        <w:lastRenderedPageBreak/>
        <w:t xml:space="preserve">Taipale, H., Tanskanen, A., Mehtälä, J., Vattulainen, P., Correll, C.U., Tiihonen, J., 2020. 20-year follow-up study of physical morbidity and mortality in relationship to antipsychotic treatment in a nationwide cohort of 62,250 patients with schizophrenia (FIN20). World Psychiatry 19, 61–68. </w:t>
      </w:r>
    </w:p>
    <w:p w14:paraId="274BA10F" w14:textId="11287D65" w:rsidR="00157441" w:rsidRPr="00157441" w:rsidRDefault="00157441" w:rsidP="00157441">
      <w:pPr>
        <w:widowControl w:val="0"/>
        <w:autoSpaceDE w:val="0"/>
        <w:autoSpaceDN w:val="0"/>
        <w:adjustRightInd w:val="0"/>
        <w:ind w:left="480" w:hanging="480"/>
        <w:rPr>
          <w:noProof/>
        </w:rPr>
      </w:pPr>
      <w:r w:rsidRPr="00157441">
        <w:rPr>
          <w:noProof/>
        </w:rPr>
        <w:t>Thorn, C.F., Müller, D.J., Altman, R.B., Klein, T.E., 2018. PharmGKB summary: Clozapine pathway, pharmacokinetics. Pharmacogenet. Genomics.</w:t>
      </w:r>
      <w:r w:rsidR="009B7DCB">
        <w:rPr>
          <w:noProof/>
        </w:rPr>
        <w:t xml:space="preserve"> 28. 214-222. </w:t>
      </w:r>
      <w:r w:rsidRPr="00157441">
        <w:rPr>
          <w:noProof/>
        </w:rPr>
        <w:t xml:space="preserve"> </w:t>
      </w:r>
    </w:p>
    <w:p w14:paraId="1B6E91A5" w14:textId="595F5605" w:rsidR="00157441" w:rsidRPr="00157441" w:rsidRDefault="00157441" w:rsidP="00157441">
      <w:pPr>
        <w:widowControl w:val="0"/>
        <w:autoSpaceDE w:val="0"/>
        <w:autoSpaceDN w:val="0"/>
        <w:adjustRightInd w:val="0"/>
        <w:ind w:left="480" w:hanging="480"/>
        <w:rPr>
          <w:noProof/>
        </w:rPr>
      </w:pPr>
      <w:r w:rsidRPr="00157441">
        <w:rPr>
          <w:noProof/>
        </w:rPr>
        <w:t xml:space="preserve">Tiihonen, J., Lönnqvist, J., Wahlbeck, K., Klaukka, T., Niskanen, L., Tanskanen, A., Haukka, J., 2009. 11-year follow-up of mortality in patients with schizophrenia: a population-based cohort study (FIN11 study). Lancet 374, 620–627. </w:t>
      </w:r>
    </w:p>
    <w:p w14:paraId="29102C82" w14:textId="7BD62E92" w:rsidR="00FE5D8E" w:rsidRDefault="005D3C1C" w:rsidP="00157441">
      <w:pPr>
        <w:widowControl w:val="0"/>
        <w:autoSpaceDE w:val="0"/>
        <w:autoSpaceDN w:val="0"/>
        <w:adjustRightInd w:val="0"/>
        <w:ind w:left="480" w:hanging="480"/>
      </w:pPr>
      <w:r>
        <w:fldChar w:fldCharType="end"/>
      </w:r>
    </w:p>
    <w:sectPr w:rsidR="00FE5D8E">
      <w:footerReference w:type="default" r:id="rId9"/>
      <w:pgSz w:w="11906" w:h="16838"/>
      <w:pgMar w:top="1440" w:right="1440" w:bottom="1276" w:left="1440" w:header="0" w:footer="72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731F6E" w14:textId="77777777" w:rsidR="00A37E17" w:rsidRDefault="00A37E17">
      <w:r>
        <w:separator/>
      </w:r>
    </w:p>
  </w:endnote>
  <w:endnote w:type="continuationSeparator" w:id="0">
    <w:p w14:paraId="61BD81E2" w14:textId="77777777" w:rsidR="00A37E17" w:rsidRDefault="00A37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OpenSymbol">
    <w:altName w:val="Arial Unicode MS"/>
    <w:panose1 w:val="020B0604020202020204"/>
    <w:charset w:val="01"/>
    <w:family w:val="roman"/>
    <w:pitch w:val="variable"/>
  </w:font>
  <w:font w:name="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Noto Sans CJK SC">
    <w:panose1 w:val="020B0604020202020204"/>
    <w:charset w:val="00"/>
    <w:family w:val="roman"/>
    <w:notTrueType/>
    <w:pitch w:val="default"/>
  </w:font>
  <w:font w:name="Lohit Devanagari">
    <w:altName w:val="Times New Roman"/>
    <w:panose1 w:val="020B0604020202020204"/>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75435921"/>
      <w:docPartObj>
        <w:docPartGallery w:val="Page Numbers (Bottom of Page)"/>
        <w:docPartUnique/>
      </w:docPartObj>
    </w:sdtPr>
    <w:sdtEndPr/>
    <w:sdtContent>
      <w:p w14:paraId="7C58BBC5" w14:textId="77777777" w:rsidR="004F396E" w:rsidRDefault="004F396E">
        <w:pPr>
          <w:pStyle w:val="Footer"/>
          <w:jc w:val="right"/>
        </w:pPr>
        <w:r>
          <w:fldChar w:fldCharType="begin"/>
        </w:r>
        <w:r>
          <w:instrText>PAGE</w:instrText>
        </w:r>
        <w:r>
          <w:fldChar w:fldCharType="separate"/>
        </w:r>
        <w:r>
          <w:rPr>
            <w:noProof/>
          </w:rPr>
          <w:t>12</w:t>
        </w:r>
        <w:r>
          <w:fldChar w:fldCharType="end"/>
        </w:r>
      </w:p>
    </w:sdtContent>
  </w:sdt>
  <w:p w14:paraId="73286AF3" w14:textId="417C68E4" w:rsidR="004F396E" w:rsidRDefault="004F396E">
    <w:pPr>
      <w:pStyle w:val="Footer"/>
    </w:pPr>
    <w:r>
      <w:rPr>
        <w:rFonts w:ascii="Arial" w:hAnsi="Arial" w:cs="Arial"/>
        <w:i/>
        <w:sz w:val="20"/>
        <w:szCs w:val="20"/>
      </w:rPr>
      <w:t>Mortality in clozapine-treated patients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00D4F3" w14:textId="77777777" w:rsidR="00A37E17" w:rsidRDefault="00A37E17">
      <w:r>
        <w:separator/>
      </w:r>
    </w:p>
  </w:footnote>
  <w:footnote w:type="continuationSeparator" w:id="0">
    <w:p w14:paraId="5687EEA1" w14:textId="77777777" w:rsidR="00A37E17" w:rsidRDefault="00A37E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15480"/>
    <w:multiLevelType w:val="hybridMultilevel"/>
    <w:tmpl w:val="6840C5D4"/>
    <w:lvl w:ilvl="0" w:tplc="D9486148">
      <w:numFmt w:val="bullet"/>
      <w:lvlText w:val=""/>
      <w:lvlJc w:val="left"/>
      <w:pPr>
        <w:ind w:left="360" w:hanging="360"/>
      </w:pPr>
      <w:rPr>
        <w:rFonts w:ascii="Wingdings" w:eastAsia="Times New Roman" w:hAnsi="Wingdings" w:cs="Arial"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15:restartNumberingAfterBreak="0">
    <w:nsid w:val="3C5301C4"/>
    <w:multiLevelType w:val="multilevel"/>
    <w:tmpl w:val="18142832"/>
    <w:lvl w:ilvl="0">
      <w:start w:val="1"/>
      <w:numFmt w:val="decimal"/>
      <w:lvlText w:val="%1."/>
      <w:lvlJc w:val="left"/>
      <w:pPr>
        <w:ind w:left="720" w:hanging="360"/>
      </w:pPr>
      <w:rPr>
        <w:rFonts w:ascii="Arial" w:hAnsi="Arial" w:cs="Arial" w:hint="default"/>
        <w:b/>
        <w:color w:val="000000"/>
        <w:sz w:val="22"/>
      </w:rPr>
    </w:lvl>
    <w:lvl w:ilvl="1">
      <w:start w:val="2"/>
      <w:numFmt w:val="decimal"/>
      <w:isLgl/>
      <w:lvlText w:val="%1.%2."/>
      <w:lvlJc w:val="left"/>
      <w:pPr>
        <w:ind w:left="1080" w:hanging="720"/>
      </w:pPr>
      <w:rPr>
        <w:rFonts w:hint="default"/>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617B7852"/>
    <w:multiLevelType w:val="multilevel"/>
    <w:tmpl w:val="436CDC8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78A34986"/>
    <w:multiLevelType w:val="multilevel"/>
    <w:tmpl w:val="E152A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6"/>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DQ1NDY3sjQzMDQwsjBS0lEKTi0uzszPAykwqQUA9H7J5CwAAAA="/>
  </w:docVars>
  <w:rsids>
    <w:rsidRoot w:val="00FE5D8E"/>
    <w:rsid w:val="00007246"/>
    <w:rsid w:val="000074B9"/>
    <w:rsid w:val="00011861"/>
    <w:rsid w:val="0003354F"/>
    <w:rsid w:val="00035B78"/>
    <w:rsid w:val="00053EB5"/>
    <w:rsid w:val="000540ED"/>
    <w:rsid w:val="00056AEA"/>
    <w:rsid w:val="00073792"/>
    <w:rsid w:val="00074823"/>
    <w:rsid w:val="00082DB1"/>
    <w:rsid w:val="00084AAC"/>
    <w:rsid w:val="00091B5E"/>
    <w:rsid w:val="00095C09"/>
    <w:rsid w:val="000B6158"/>
    <w:rsid w:val="000B6AAD"/>
    <w:rsid w:val="000B7E6C"/>
    <w:rsid w:val="000D1C8B"/>
    <w:rsid w:val="000D6E0A"/>
    <w:rsid w:val="000F25E4"/>
    <w:rsid w:val="000F5D9B"/>
    <w:rsid w:val="00113E00"/>
    <w:rsid w:val="001146C3"/>
    <w:rsid w:val="001259F0"/>
    <w:rsid w:val="00133E1A"/>
    <w:rsid w:val="00144BC1"/>
    <w:rsid w:val="001468AB"/>
    <w:rsid w:val="00153CB1"/>
    <w:rsid w:val="00157441"/>
    <w:rsid w:val="001771C7"/>
    <w:rsid w:val="0018406A"/>
    <w:rsid w:val="00186467"/>
    <w:rsid w:val="001A004B"/>
    <w:rsid w:val="001A17FC"/>
    <w:rsid w:val="001B32D0"/>
    <w:rsid w:val="001B6E65"/>
    <w:rsid w:val="001D1B3D"/>
    <w:rsid w:val="001D4F10"/>
    <w:rsid w:val="001F1773"/>
    <w:rsid w:val="001F29AD"/>
    <w:rsid w:val="00200C9A"/>
    <w:rsid w:val="0021038C"/>
    <w:rsid w:val="00224190"/>
    <w:rsid w:val="00225BB5"/>
    <w:rsid w:val="00227049"/>
    <w:rsid w:val="002417AC"/>
    <w:rsid w:val="0025196F"/>
    <w:rsid w:val="00252148"/>
    <w:rsid w:val="002605B3"/>
    <w:rsid w:val="00270220"/>
    <w:rsid w:val="002733FA"/>
    <w:rsid w:val="00275A75"/>
    <w:rsid w:val="00287A08"/>
    <w:rsid w:val="002A3F62"/>
    <w:rsid w:val="002B008D"/>
    <w:rsid w:val="002B2212"/>
    <w:rsid w:val="002B6841"/>
    <w:rsid w:val="002C01A7"/>
    <w:rsid w:val="002D6715"/>
    <w:rsid w:val="002D7730"/>
    <w:rsid w:val="002D78AF"/>
    <w:rsid w:val="002D7CF2"/>
    <w:rsid w:val="002F2B85"/>
    <w:rsid w:val="003111FA"/>
    <w:rsid w:val="00312DC4"/>
    <w:rsid w:val="003223C3"/>
    <w:rsid w:val="00332F8C"/>
    <w:rsid w:val="003700AC"/>
    <w:rsid w:val="00377497"/>
    <w:rsid w:val="00382086"/>
    <w:rsid w:val="0039161E"/>
    <w:rsid w:val="003B26EA"/>
    <w:rsid w:val="003C2505"/>
    <w:rsid w:val="00400D24"/>
    <w:rsid w:val="00416B43"/>
    <w:rsid w:val="00420025"/>
    <w:rsid w:val="00422EE2"/>
    <w:rsid w:val="0043049D"/>
    <w:rsid w:val="00434F19"/>
    <w:rsid w:val="00442D77"/>
    <w:rsid w:val="00446C31"/>
    <w:rsid w:val="004A5CE2"/>
    <w:rsid w:val="004B2E8F"/>
    <w:rsid w:val="004B54E4"/>
    <w:rsid w:val="004C077A"/>
    <w:rsid w:val="004D0C45"/>
    <w:rsid w:val="004D78D3"/>
    <w:rsid w:val="004E0B11"/>
    <w:rsid w:val="004E0C00"/>
    <w:rsid w:val="004E2A2C"/>
    <w:rsid w:val="004F202E"/>
    <w:rsid w:val="004F396E"/>
    <w:rsid w:val="00504A8A"/>
    <w:rsid w:val="0051235F"/>
    <w:rsid w:val="0052696B"/>
    <w:rsid w:val="0052699C"/>
    <w:rsid w:val="00534730"/>
    <w:rsid w:val="00553564"/>
    <w:rsid w:val="00556057"/>
    <w:rsid w:val="00557873"/>
    <w:rsid w:val="00566E07"/>
    <w:rsid w:val="00566F18"/>
    <w:rsid w:val="00572BCF"/>
    <w:rsid w:val="005735D6"/>
    <w:rsid w:val="00574012"/>
    <w:rsid w:val="00582112"/>
    <w:rsid w:val="0058430E"/>
    <w:rsid w:val="00590A2B"/>
    <w:rsid w:val="005A0E87"/>
    <w:rsid w:val="005A0F8F"/>
    <w:rsid w:val="005A5269"/>
    <w:rsid w:val="005B56F5"/>
    <w:rsid w:val="005B6D72"/>
    <w:rsid w:val="005C3041"/>
    <w:rsid w:val="005C7629"/>
    <w:rsid w:val="005D1F51"/>
    <w:rsid w:val="005D3C1C"/>
    <w:rsid w:val="005E0D75"/>
    <w:rsid w:val="00607071"/>
    <w:rsid w:val="006175EA"/>
    <w:rsid w:val="00617E08"/>
    <w:rsid w:val="00625D3B"/>
    <w:rsid w:val="00651E46"/>
    <w:rsid w:val="00656EE6"/>
    <w:rsid w:val="00660D01"/>
    <w:rsid w:val="006725D7"/>
    <w:rsid w:val="0067602E"/>
    <w:rsid w:val="0068563B"/>
    <w:rsid w:val="00686384"/>
    <w:rsid w:val="006A15E5"/>
    <w:rsid w:val="006B2716"/>
    <w:rsid w:val="006B2722"/>
    <w:rsid w:val="006C099B"/>
    <w:rsid w:val="006C5478"/>
    <w:rsid w:val="006C7192"/>
    <w:rsid w:val="006C7B94"/>
    <w:rsid w:val="006D099C"/>
    <w:rsid w:val="006D45D8"/>
    <w:rsid w:val="006D4E04"/>
    <w:rsid w:val="006D6A74"/>
    <w:rsid w:val="006D76C1"/>
    <w:rsid w:val="006E5159"/>
    <w:rsid w:val="007061A5"/>
    <w:rsid w:val="00711C06"/>
    <w:rsid w:val="00716042"/>
    <w:rsid w:val="00725141"/>
    <w:rsid w:val="00725577"/>
    <w:rsid w:val="007349AA"/>
    <w:rsid w:val="00740696"/>
    <w:rsid w:val="00751C2C"/>
    <w:rsid w:val="00762A7B"/>
    <w:rsid w:val="00765093"/>
    <w:rsid w:val="0077451B"/>
    <w:rsid w:val="00774D69"/>
    <w:rsid w:val="00775917"/>
    <w:rsid w:val="00790A8D"/>
    <w:rsid w:val="00791568"/>
    <w:rsid w:val="00794048"/>
    <w:rsid w:val="007A575C"/>
    <w:rsid w:val="007C2199"/>
    <w:rsid w:val="007C393E"/>
    <w:rsid w:val="007C71EF"/>
    <w:rsid w:val="007D339B"/>
    <w:rsid w:val="007D6D92"/>
    <w:rsid w:val="007E21B5"/>
    <w:rsid w:val="007E6A11"/>
    <w:rsid w:val="007E757E"/>
    <w:rsid w:val="00821390"/>
    <w:rsid w:val="008232E3"/>
    <w:rsid w:val="00827C0C"/>
    <w:rsid w:val="008322CD"/>
    <w:rsid w:val="00836EEF"/>
    <w:rsid w:val="00840741"/>
    <w:rsid w:val="00842EA3"/>
    <w:rsid w:val="00843B6A"/>
    <w:rsid w:val="008566CD"/>
    <w:rsid w:val="0085704A"/>
    <w:rsid w:val="008643F9"/>
    <w:rsid w:val="00871157"/>
    <w:rsid w:val="00880ADB"/>
    <w:rsid w:val="00895F92"/>
    <w:rsid w:val="008A680E"/>
    <w:rsid w:val="008B2655"/>
    <w:rsid w:val="008B364C"/>
    <w:rsid w:val="008B57B8"/>
    <w:rsid w:val="008D16DA"/>
    <w:rsid w:val="008E43A5"/>
    <w:rsid w:val="008F6391"/>
    <w:rsid w:val="00904D8B"/>
    <w:rsid w:val="009079C7"/>
    <w:rsid w:val="00910203"/>
    <w:rsid w:val="00916B19"/>
    <w:rsid w:val="00926ADC"/>
    <w:rsid w:val="00927619"/>
    <w:rsid w:val="00937B6F"/>
    <w:rsid w:val="00937F78"/>
    <w:rsid w:val="00940AD3"/>
    <w:rsid w:val="0094185F"/>
    <w:rsid w:val="009474AD"/>
    <w:rsid w:val="0095382D"/>
    <w:rsid w:val="009567D6"/>
    <w:rsid w:val="00964CBA"/>
    <w:rsid w:val="00965B09"/>
    <w:rsid w:val="0097434C"/>
    <w:rsid w:val="00974B82"/>
    <w:rsid w:val="00991FBA"/>
    <w:rsid w:val="00992CF4"/>
    <w:rsid w:val="00996B47"/>
    <w:rsid w:val="009B5CD0"/>
    <w:rsid w:val="009B7DCB"/>
    <w:rsid w:val="009C126B"/>
    <w:rsid w:val="009E36F7"/>
    <w:rsid w:val="00A02AE6"/>
    <w:rsid w:val="00A149DD"/>
    <w:rsid w:val="00A15353"/>
    <w:rsid w:val="00A203A1"/>
    <w:rsid w:val="00A23838"/>
    <w:rsid w:val="00A24E5C"/>
    <w:rsid w:val="00A32851"/>
    <w:rsid w:val="00A37E17"/>
    <w:rsid w:val="00A37FCC"/>
    <w:rsid w:val="00A44D2C"/>
    <w:rsid w:val="00A8779B"/>
    <w:rsid w:val="00AA03AA"/>
    <w:rsid w:val="00AB387A"/>
    <w:rsid w:val="00AB61BC"/>
    <w:rsid w:val="00AB72F7"/>
    <w:rsid w:val="00AD1881"/>
    <w:rsid w:val="00AD6C4B"/>
    <w:rsid w:val="00B020D7"/>
    <w:rsid w:val="00B055B7"/>
    <w:rsid w:val="00B14574"/>
    <w:rsid w:val="00B177B9"/>
    <w:rsid w:val="00B17F05"/>
    <w:rsid w:val="00B20AAB"/>
    <w:rsid w:val="00B33C41"/>
    <w:rsid w:val="00B3761A"/>
    <w:rsid w:val="00B471D2"/>
    <w:rsid w:val="00B50182"/>
    <w:rsid w:val="00B506E2"/>
    <w:rsid w:val="00B64145"/>
    <w:rsid w:val="00B76380"/>
    <w:rsid w:val="00B874A9"/>
    <w:rsid w:val="00B9331A"/>
    <w:rsid w:val="00B93782"/>
    <w:rsid w:val="00B9626A"/>
    <w:rsid w:val="00BA16C2"/>
    <w:rsid w:val="00BA2261"/>
    <w:rsid w:val="00BB187E"/>
    <w:rsid w:val="00BC239B"/>
    <w:rsid w:val="00C0237C"/>
    <w:rsid w:val="00C05D59"/>
    <w:rsid w:val="00C22E61"/>
    <w:rsid w:val="00C23BCB"/>
    <w:rsid w:val="00C30105"/>
    <w:rsid w:val="00C3417C"/>
    <w:rsid w:val="00C51D2D"/>
    <w:rsid w:val="00C62E6F"/>
    <w:rsid w:val="00C67A82"/>
    <w:rsid w:val="00C81E3C"/>
    <w:rsid w:val="00C85AE7"/>
    <w:rsid w:val="00C93891"/>
    <w:rsid w:val="00CC1D14"/>
    <w:rsid w:val="00CC59C4"/>
    <w:rsid w:val="00CD293A"/>
    <w:rsid w:val="00CE05D1"/>
    <w:rsid w:val="00CE7E01"/>
    <w:rsid w:val="00CF615D"/>
    <w:rsid w:val="00D0071C"/>
    <w:rsid w:val="00D00C3B"/>
    <w:rsid w:val="00D031A7"/>
    <w:rsid w:val="00D129EA"/>
    <w:rsid w:val="00D216FF"/>
    <w:rsid w:val="00D227E7"/>
    <w:rsid w:val="00D24F64"/>
    <w:rsid w:val="00D3128B"/>
    <w:rsid w:val="00D34EAF"/>
    <w:rsid w:val="00D3528B"/>
    <w:rsid w:val="00D44218"/>
    <w:rsid w:val="00D52B11"/>
    <w:rsid w:val="00D55A1D"/>
    <w:rsid w:val="00D55DEC"/>
    <w:rsid w:val="00D56278"/>
    <w:rsid w:val="00D56F88"/>
    <w:rsid w:val="00D74F84"/>
    <w:rsid w:val="00D83A65"/>
    <w:rsid w:val="00DA6644"/>
    <w:rsid w:val="00DA6B9D"/>
    <w:rsid w:val="00DB0290"/>
    <w:rsid w:val="00DC0610"/>
    <w:rsid w:val="00DD4542"/>
    <w:rsid w:val="00DD678C"/>
    <w:rsid w:val="00DE02C8"/>
    <w:rsid w:val="00DE1717"/>
    <w:rsid w:val="00DE4CB9"/>
    <w:rsid w:val="00DF1EF8"/>
    <w:rsid w:val="00DF5D17"/>
    <w:rsid w:val="00E0454F"/>
    <w:rsid w:val="00E05664"/>
    <w:rsid w:val="00E10C1E"/>
    <w:rsid w:val="00E16728"/>
    <w:rsid w:val="00E179FB"/>
    <w:rsid w:val="00E2125E"/>
    <w:rsid w:val="00E26427"/>
    <w:rsid w:val="00E337F9"/>
    <w:rsid w:val="00E41622"/>
    <w:rsid w:val="00E43C00"/>
    <w:rsid w:val="00E51B70"/>
    <w:rsid w:val="00E56F1F"/>
    <w:rsid w:val="00E57E24"/>
    <w:rsid w:val="00E62BCB"/>
    <w:rsid w:val="00E6572C"/>
    <w:rsid w:val="00EC00D5"/>
    <w:rsid w:val="00EC1A3F"/>
    <w:rsid w:val="00EC2263"/>
    <w:rsid w:val="00EC380D"/>
    <w:rsid w:val="00EC7ADE"/>
    <w:rsid w:val="00ED20FF"/>
    <w:rsid w:val="00EE2748"/>
    <w:rsid w:val="00EE4E14"/>
    <w:rsid w:val="00EE6DB6"/>
    <w:rsid w:val="00EF1B45"/>
    <w:rsid w:val="00EF25E8"/>
    <w:rsid w:val="00EF513C"/>
    <w:rsid w:val="00F0051A"/>
    <w:rsid w:val="00F03637"/>
    <w:rsid w:val="00F14397"/>
    <w:rsid w:val="00F14438"/>
    <w:rsid w:val="00F625B0"/>
    <w:rsid w:val="00F70DDE"/>
    <w:rsid w:val="00F741C0"/>
    <w:rsid w:val="00F81C95"/>
    <w:rsid w:val="00F84882"/>
    <w:rsid w:val="00F94F9B"/>
    <w:rsid w:val="00FA34AA"/>
    <w:rsid w:val="00FA460D"/>
    <w:rsid w:val="00FB2511"/>
    <w:rsid w:val="00FC1360"/>
    <w:rsid w:val="00FD10C0"/>
    <w:rsid w:val="00FD4740"/>
    <w:rsid w:val="00FE5D8E"/>
    <w:rsid w:val="00FF4416"/>
    <w:rsid w:val="00FF45E8"/>
    <w:rsid w:val="00FF6713"/>
    <w:rsid w:val="00FF7130"/>
  </w:rsids>
  <m:mathPr>
    <m:mathFont m:val="Cambria Math"/>
    <m:brkBin m:val="before"/>
    <m:brkBinSub m:val="--"/>
    <m:smallFrac m:val="0"/>
    <m:dispDef/>
    <m:lMargin m:val="0"/>
    <m:rMargin m:val="0"/>
    <m:defJc m:val="centerGroup"/>
    <m:wrapIndent m:val="1440"/>
    <m:intLim m:val="subSup"/>
    <m:naryLim m:val="undOvr"/>
  </m:mathPr>
  <w:themeFontLang w:val="en-GB" w:eastAsia="zh-CN"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71FAF3"/>
  <w15:docId w15:val="{7A8E628B-BB5A-B443-8AE6-766FADC2B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SimSun" w:hAnsiTheme="minorHAnsi" w:cstheme="minorBidi"/>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18C"/>
    <w:rPr>
      <w:rFonts w:ascii="Times New Roman" w:eastAsia="Times New Roman" w:hAnsi="Times New Roman" w:cs="Times New Roman"/>
      <w:sz w:val="24"/>
    </w:rPr>
  </w:style>
  <w:style w:type="paragraph" w:styleId="Heading1">
    <w:name w:val="heading 1"/>
    <w:basedOn w:val="Normal"/>
    <w:next w:val="Normal"/>
    <w:link w:val="Heading1Char"/>
    <w:uiPriority w:val="9"/>
    <w:qFormat/>
    <w:rsid w:val="00E25E9B"/>
    <w:pPr>
      <w:keepNext/>
      <w:keepLines/>
      <w:spacing w:before="340" w:after="330" w:line="578" w:lineRule="auto"/>
      <w:outlineLvl w:val="0"/>
    </w:pPr>
    <w:rPr>
      <w:b/>
      <w:bCs/>
      <w:kern w:val="2"/>
      <w:sz w:val="44"/>
      <w:szCs w:val="4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FA0BF8"/>
    <w:rPr>
      <w:color w:val="0000FF"/>
      <w:u w:val="single"/>
    </w:rPr>
  </w:style>
  <w:style w:type="character" w:styleId="CommentReference">
    <w:name w:val="annotation reference"/>
    <w:basedOn w:val="DefaultParagraphFont"/>
    <w:uiPriority w:val="99"/>
    <w:semiHidden/>
    <w:unhideWhenUsed/>
    <w:qFormat/>
    <w:rsid w:val="00FA0BF8"/>
    <w:rPr>
      <w:sz w:val="16"/>
      <w:szCs w:val="16"/>
    </w:rPr>
  </w:style>
  <w:style w:type="character" w:customStyle="1" w:styleId="CommentTextChar">
    <w:name w:val="Comment Text Char"/>
    <w:basedOn w:val="DefaultParagraphFont"/>
    <w:link w:val="CommentText"/>
    <w:uiPriority w:val="99"/>
    <w:semiHidden/>
    <w:qFormat/>
    <w:rsid w:val="00FA0BF8"/>
    <w:rPr>
      <w:rFonts w:ascii="Times New Roman" w:eastAsia="Times New Roman" w:hAnsi="Times New Roman" w:cs="Times New Roman"/>
      <w:sz w:val="20"/>
      <w:szCs w:val="20"/>
    </w:rPr>
  </w:style>
  <w:style w:type="character" w:customStyle="1" w:styleId="BalloonTextChar">
    <w:name w:val="Balloon Text Char"/>
    <w:basedOn w:val="DefaultParagraphFont"/>
    <w:link w:val="BalloonText"/>
    <w:uiPriority w:val="99"/>
    <w:semiHidden/>
    <w:qFormat/>
    <w:rsid w:val="00FA0BF8"/>
    <w:rPr>
      <w:rFonts w:ascii="Times New Roman" w:eastAsia="Times New Roman" w:hAnsi="Times New Roman" w:cs="Times New Roman"/>
      <w:sz w:val="18"/>
      <w:szCs w:val="18"/>
    </w:rPr>
  </w:style>
  <w:style w:type="character" w:customStyle="1" w:styleId="CommentSubjectChar">
    <w:name w:val="Comment Subject Char"/>
    <w:basedOn w:val="CommentTextChar"/>
    <w:link w:val="CommentSubject"/>
    <w:uiPriority w:val="99"/>
    <w:semiHidden/>
    <w:qFormat/>
    <w:rsid w:val="00FA0BF8"/>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qFormat/>
    <w:rsid w:val="003203E4"/>
    <w:rPr>
      <w:color w:val="954F72" w:themeColor="followedHyperlink"/>
      <w:u w:val="single"/>
    </w:rPr>
  </w:style>
  <w:style w:type="character" w:customStyle="1" w:styleId="UnresolvedMention1">
    <w:name w:val="Unresolved Mention1"/>
    <w:basedOn w:val="DefaultParagraphFont"/>
    <w:uiPriority w:val="99"/>
    <w:semiHidden/>
    <w:unhideWhenUsed/>
    <w:qFormat/>
    <w:rsid w:val="0032187C"/>
    <w:rPr>
      <w:color w:val="808080"/>
      <w:shd w:val="clear" w:color="auto" w:fill="E6E6E6"/>
    </w:rPr>
  </w:style>
  <w:style w:type="character" w:customStyle="1" w:styleId="HeaderChar">
    <w:name w:val="Header Char"/>
    <w:basedOn w:val="DefaultParagraphFont"/>
    <w:link w:val="Header"/>
    <w:uiPriority w:val="99"/>
    <w:qFormat/>
    <w:rsid w:val="00967A96"/>
    <w:rPr>
      <w:rFonts w:ascii="Times New Roman" w:eastAsia="Times New Roman" w:hAnsi="Times New Roman" w:cs="Times New Roman"/>
    </w:rPr>
  </w:style>
  <w:style w:type="character" w:customStyle="1" w:styleId="FooterChar">
    <w:name w:val="Footer Char"/>
    <w:basedOn w:val="DefaultParagraphFont"/>
    <w:link w:val="Footer"/>
    <w:uiPriority w:val="99"/>
    <w:qFormat/>
    <w:rsid w:val="00967A96"/>
    <w:rPr>
      <w:rFonts w:ascii="Times New Roman" w:eastAsia="Times New Roman" w:hAnsi="Times New Roman" w:cs="Times New Roman"/>
    </w:rPr>
  </w:style>
  <w:style w:type="character" w:customStyle="1" w:styleId="spellingerror">
    <w:name w:val="spellingerror"/>
    <w:basedOn w:val="DefaultParagraphFont"/>
    <w:qFormat/>
    <w:rsid w:val="00B5199E"/>
  </w:style>
  <w:style w:type="character" w:customStyle="1" w:styleId="normaltextrun1">
    <w:name w:val="normaltextrun1"/>
    <w:basedOn w:val="DefaultParagraphFont"/>
    <w:qFormat/>
    <w:rsid w:val="00B5199E"/>
  </w:style>
  <w:style w:type="character" w:customStyle="1" w:styleId="eop">
    <w:name w:val="eop"/>
    <w:basedOn w:val="DefaultParagraphFont"/>
    <w:qFormat/>
    <w:rsid w:val="00B5199E"/>
  </w:style>
  <w:style w:type="character" w:styleId="Strong">
    <w:name w:val="Strong"/>
    <w:basedOn w:val="DefaultParagraphFont"/>
    <w:uiPriority w:val="22"/>
    <w:qFormat/>
    <w:rsid w:val="00060C6B"/>
    <w:rPr>
      <w:b/>
      <w:bCs/>
    </w:rPr>
  </w:style>
  <w:style w:type="character" w:customStyle="1" w:styleId="Heading1Char">
    <w:name w:val="Heading 1 Char"/>
    <w:basedOn w:val="DefaultParagraphFont"/>
    <w:link w:val="Heading1"/>
    <w:uiPriority w:val="9"/>
    <w:qFormat/>
    <w:rsid w:val="00E25E9B"/>
    <w:rPr>
      <w:rFonts w:ascii="Times New Roman" w:eastAsia="Times New Roman" w:hAnsi="Times New Roman" w:cs="Times New Roman"/>
      <w:b/>
      <w:bCs/>
      <w:kern w:val="2"/>
      <w:sz w:val="44"/>
      <w:szCs w:val="44"/>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eastAsia="Times New Roman" w:cs="Arial"/>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eastAsia="Times New Roman" w:cs="Arial"/>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eastAsia="Times New Roman" w:cs="Arial"/>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Bullets">
    <w:name w:val="Bullets"/>
    <w:qFormat/>
    <w:rPr>
      <w:rFonts w:ascii="OpenSymbol" w:eastAsia="OpenSymbol" w:hAnsi="OpenSymbol" w:cs="OpenSymbol"/>
    </w:rPr>
  </w:style>
  <w:style w:type="character" w:customStyle="1" w:styleId="ListLabel19">
    <w:name w:val="ListLabel 19"/>
    <w:qFormat/>
    <w:rPr>
      <w:rFonts w:cs="OpenSymbol"/>
    </w:rPr>
  </w:style>
  <w:style w:type="character" w:customStyle="1" w:styleId="ListLabel20">
    <w:name w:val="ListLabel 20"/>
    <w:qFormat/>
    <w:rPr>
      <w:rFonts w:cs="OpenSymbol"/>
    </w:rPr>
  </w:style>
  <w:style w:type="character" w:customStyle="1" w:styleId="ListLabel21">
    <w:name w:val="ListLabel 21"/>
    <w:qFormat/>
    <w:rPr>
      <w:rFonts w:cs="OpenSymbol"/>
    </w:rPr>
  </w:style>
  <w:style w:type="character" w:customStyle="1" w:styleId="ListLabel22">
    <w:name w:val="ListLabel 22"/>
    <w:qFormat/>
    <w:rPr>
      <w:rFonts w:cs="OpenSymbol"/>
    </w:rPr>
  </w:style>
  <w:style w:type="character" w:customStyle="1" w:styleId="ListLabel23">
    <w:name w:val="ListLabel 23"/>
    <w:qFormat/>
    <w:rPr>
      <w:rFonts w:cs="OpenSymbol"/>
    </w:rPr>
  </w:style>
  <w:style w:type="character" w:customStyle="1" w:styleId="ListLabel24">
    <w:name w:val="ListLabel 24"/>
    <w:qFormat/>
    <w:rPr>
      <w:rFonts w:cs="OpenSymbol"/>
    </w:rPr>
  </w:style>
  <w:style w:type="character" w:customStyle="1" w:styleId="ListLabel25">
    <w:name w:val="ListLabel 25"/>
    <w:qFormat/>
    <w:rPr>
      <w:rFonts w:cs="OpenSymbol"/>
    </w:rPr>
  </w:style>
  <w:style w:type="character" w:customStyle="1" w:styleId="ListLabel26">
    <w:name w:val="ListLabel 26"/>
    <w:qFormat/>
    <w:rPr>
      <w:rFonts w:cs="OpenSymbol"/>
    </w:rPr>
  </w:style>
  <w:style w:type="character" w:customStyle="1" w:styleId="ListLabel27">
    <w:name w:val="ListLabel 27"/>
    <w:qFormat/>
    <w:rPr>
      <w:rFonts w:cs="OpenSymbol"/>
    </w:rPr>
  </w:style>
  <w:style w:type="character" w:customStyle="1" w:styleId="ListLabel28">
    <w:name w:val="ListLabel 28"/>
    <w:qFormat/>
    <w:rPr>
      <w:rFonts w:cs="OpenSymbol"/>
    </w:rPr>
  </w:style>
  <w:style w:type="character" w:customStyle="1" w:styleId="ListLabel29">
    <w:name w:val="ListLabel 29"/>
    <w:qFormat/>
    <w:rPr>
      <w:rFonts w:cs="OpenSymbol"/>
    </w:rPr>
  </w:style>
  <w:style w:type="character" w:customStyle="1" w:styleId="ListLabel30">
    <w:name w:val="ListLabel 30"/>
    <w:qFormat/>
    <w:rPr>
      <w:rFonts w:cs="OpenSymbol"/>
    </w:rPr>
  </w:style>
  <w:style w:type="character" w:customStyle="1" w:styleId="ListLabel31">
    <w:name w:val="ListLabel 31"/>
    <w:qFormat/>
    <w:rPr>
      <w:rFonts w:cs="OpenSymbol"/>
    </w:rPr>
  </w:style>
  <w:style w:type="character" w:customStyle="1" w:styleId="ListLabel32">
    <w:name w:val="ListLabel 32"/>
    <w:qFormat/>
    <w:rPr>
      <w:rFonts w:cs="OpenSymbol"/>
    </w:rPr>
  </w:style>
  <w:style w:type="character" w:customStyle="1" w:styleId="ListLabel33">
    <w:name w:val="ListLabel 33"/>
    <w:qFormat/>
    <w:rPr>
      <w:rFonts w:cs="OpenSymbol"/>
    </w:rPr>
  </w:style>
  <w:style w:type="character" w:customStyle="1" w:styleId="ListLabel34">
    <w:name w:val="ListLabel 34"/>
    <w:qFormat/>
    <w:rPr>
      <w:rFonts w:cs="OpenSymbol"/>
    </w:rPr>
  </w:style>
  <w:style w:type="character" w:customStyle="1" w:styleId="ListLabel35">
    <w:name w:val="ListLabel 35"/>
    <w:qFormat/>
    <w:rPr>
      <w:rFonts w:cs="OpenSymbol"/>
    </w:rPr>
  </w:style>
  <w:style w:type="character" w:customStyle="1" w:styleId="ListLabel36">
    <w:name w:val="ListLabel 36"/>
    <w:qFormat/>
    <w:rPr>
      <w:rFonts w:cs="OpenSymbol"/>
    </w:rPr>
  </w:style>
  <w:style w:type="character" w:customStyle="1" w:styleId="ListLabel37">
    <w:name w:val="ListLabel 37"/>
    <w:qFormat/>
    <w:rPr>
      <w:rFonts w:cs="OpenSymbol"/>
    </w:rPr>
  </w:style>
  <w:style w:type="character" w:customStyle="1" w:styleId="ListLabel38">
    <w:name w:val="ListLabel 38"/>
    <w:qFormat/>
    <w:rPr>
      <w:rFonts w:cs="OpenSymbol"/>
    </w:rPr>
  </w:style>
  <w:style w:type="character" w:customStyle="1" w:styleId="ListLabel39">
    <w:name w:val="ListLabel 39"/>
    <w:qFormat/>
    <w:rPr>
      <w:rFonts w:cs="OpenSymbol"/>
    </w:rPr>
  </w:style>
  <w:style w:type="character" w:customStyle="1" w:styleId="ListLabel40">
    <w:name w:val="ListLabel 40"/>
    <w:qFormat/>
    <w:rPr>
      <w:rFonts w:cs="OpenSymbol"/>
    </w:rPr>
  </w:style>
  <w:style w:type="character" w:customStyle="1" w:styleId="ListLabel41">
    <w:name w:val="ListLabel 41"/>
    <w:qFormat/>
    <w:rPr>
      <w:rFonts w:cs="OpenSymbol"/>
    </w:rPr>
  </w:style>
  <w:style w:type="character" w:customStyle="1" w:styleId="ListLabel42">
    <w:name w:val="ListLabel 42"/>
    <w:qFormat/>
    <w:rPr>
      <w:rFonts w:cs="OpenSymbol"/>
    </w:rPr>
  </w:style>
  <w:style w:type="character" w:customStyle="1" w:styleId="ListLabel43">
    <w:name w:val="ListLabel 43"/>
    <w:qFormat/>
    <w:rPr>
      <w:rFonts w:cs="OpenSymbol"/>
    </w:rPr>
  </w:style>
  <w:style w:type="character" w:customStyle="1" w:styleId="ListLabel44">
    <w:name w:val="ListLabel 44"/>
    <w:qFormat/>
    <w:rPr>
      <w:rFonts w:cs="OpenSymbol"/>
    </w:rPr>
  </w:style>
  <w:style w:type="character" w:customStyle="1" w:styleId="ListLabel45">
    <w:name w:val="ListLabel 45"/>
    <w:qFormat/>
    <w:rPr>
      <w:rFonts w:cs="OpenSymbol"/>
    </w:rPr>
  </w:style>
  <w:style w:type="paragraph" w:customStyle="1" w:styleId="Heading">
    <w:name w:val="Heading"/>
    <w:basedOn w:val="Normal"/>
    <w:next w:val="BodyText"/>
    <w:qFormat/>
    <w:pPr>
      <w:keepNext/>
      <w:spacing w:before="240" w:after="120"/>
    </w:pPr>
    <w:rPr>
      <w:rFonts w:ascii="Arial" w:eastAsia="Noto Sans CJK SC" w:hAnsi="Arial"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rPr>
  </w:style>
  <w:style w:type="paragraph" w:customStyle="1" w:styleId="Index">
    <w:name w:val="Index"/>
    <w:basedOn w:val="Normal"/>
    <w:qFormat/>
    <w:pPr>
      <w:suppressLineNumbers/>
    </w:pPr>
    <w:rPr>
      <w:rFonts w:cs="Lohit Devanagari"/>
    </w:rPr>
  </w:style>
  <w:style w:type="paragraph" w:styleId="CommentText">
    <w:name w:val="annotation text"/>
    <w:basedOn w:val="Normal"/>
    <w:link w:val="CommentTextChar"/>
    <w:uiPriority w:val="99"/>
    <w:semiHidden/>
    <w:unhideWhenUsed/>
    <w:qFormat/>
    <w:rsid w:val="00FA0BF8"/>
    <w:rPr>
      <w:sz w:val="20"/>
      <w:szCs w:val="20"/>
    </w:rPr>
  </w:style>
  <w:style w:type="paragraph" w:styleId="BalloonText">
    <w:name w:val="Balloon Text"/>
    <w:basedOn w:val="Normal"/>
    <w:link w:val="BalloonTextChar"/>
    <w:uiPriority w:val="99"/>
    <w:semiHidden/>
    <w:unhideWhenUsed/>
    <w:qFormat/>
    <w:rsid w:val="00FA0BF8"/>
    <w:rPr>
      <w:sz w:val="18"/>
      <w:szCs w:val="18"/>
    </w:rPr>
  </w:style>
  <w:style w:type="paragraph" w:styleId="CommentSubject">
    <w:name w:val="annotation subject"/>
    <w:basedOn w:val="CommentText"/>
    <w:link w:val="CommentSubjectChar"/>
    <w:uiPriority w:val="99"/>
    <w:semiHidden/>
    <w:unhideWhenUsed/>
    <w:qFormat/>
    <w:rsid w:val="00FA0BF8"/>
    <w:rPr>
      <w:b/>
      <w:bCs/>
    </w:rPr>
  </w:style>
  <w:style w:type="paragraph" w:styleId="Revision">
    <w:name w:val="Revision"/>
    <w:uiPriority w:val="99"/>
    <w:semiHidden/>
    <w:qFormat/>
    <w:rsid w:val="00536279"/>
    <w:rPr>
      <w:rFonts w:ascii="Times New Roman" w:eastAsia="Times New Roman" w:hAnsi="Times New Roman" w:cs="Times New Roman"/>
      <w:sz w:val="24"/>
    </w:rPr>
  </w:style>
  <w:style w:type="paragraph" w:styleId="Header">
    <w:name w:val="header"/>
    <w:basedOn w:val="Normal"/>
    <w:link w:val="HeaderChar"/>
    <w:uiPriority w:val="99"/>
    <w:unhideWhenUsed/>
    <w:rsid w:val="00967A96"/>
    <w:pPr>
      <w:tabs>
        <w:tab w:val="center" w:pos="4513"/>
        <w:tab w:val="right" w:pos="9026"/>
      </w:tabs>
    </w:pPr>
  </w:style>
  <w:style w:type="paragraph" w:styleId="Footer">
    <w:name w:val="footer"/>
    <w:basedOn w:val="Normal"/>
    <w:link w:val="FooterChar"/>
    <w:uiPriority w:val="99"/>
    <w:unhideWhenUsed/>
    <w:rsid w:val="00967A96"/>
    <w:pPr>
      <w:tabs>
        <w:tab w:val="center" w:pos="4513"/>
        <w:tab w:val="right" w:pos="9026"/>
      </w:tabs>
    </w:pPr>
  </w:style>
  <w:style w:type="paragraph" w:customStyle="1" w:styleId="paragraph">
    <w:name w:val="paragraph"/>
    <w:basedOn w:val="Normal"/>
    <w:qFormat/>
    <w:rsid w:val="00B5199E"/>
    <w:rPr>
      <w:lang w:eastAsia="en-GB"/>
    </w:rPr>
  </w:style>
  <w:style w:type="paragraph" w:styleId="NormalWeb">
    <w:name w:val="Normal (Web)"/>
    <w:basedOn w:val="Normal"/>
    <w:uiPriority w:val="99"/>
    <w:semiHidden/>
    <w:unhideWhenUsed/>
    <w:qFormat/>
    <w:rsid w:val="00F44ECE"/>
    <w:pPr>
      <w:spacing w:beforeAutospacing="1" w:afterAutospacing="1"/>
    </w:pPr>
    <w:rPr>
      <w:rFonts w:eastAsiaTheme="minorEastAsia"/>
      <w:lang w:val="en-US" w:eastAsia="zh-CN"/>
    </w:rPr>
  </w:style>
  <w:style w:type="paragraph" w:styleId="ListParagraph">
    <w:name w:val="List Paragraph"/>
    <w:basedOn w:val="Normal"/>
    <w:uiPriority w:val="34"/>
    <w:qFormat/>
    <w:rsid w:val="00F44ECE"/>
    <w:pPr>
      <w:ind w:left="720"/>
      <w:contextualSpacing/>
    </w:pPr>
  </w:style>
  <w:style w:type="table" w:styleId="TableGrid">
    <w:name w:val="Table Grid"/>
    <w:basedOn w:val="TableNormal"/>
    <w:uiPriority w:val="39"/>
    <w:rsid w:val="00FA0B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uiPriority w:val="39"/>
    <w:rsid w:val="00F713E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46C3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75267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CBBDB6-1ED1-44AB-9323-B251D8BCD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17537</Words>
  <Characters>99966</Characters>
  <Application>Microsoft Office Word</Application>
  <DocSecurity>0</DocSecurity>
  <Lines>833</Lines>
  <Paragraphs>234</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117269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emilyrose8002@gmail.com</dc:creator>
  <cp:lastModifiedBy>Emilio Fernandez-Egea</cp:lastModifiedBy>
  <cp:revision>2</cp:revision>
  <cp:lastPrinted>2020-02-04T09:48:00Z</cp:lastPrinted>
  <dcterms:created xsi:type="dcterms:W3CDTF">2020-05-20T13:28:00Z</dcterms:created>
  <dcterms:modified xsi:type="dcterms:W3CDTF">2020-05-20T13:28:00Z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Cambridge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ndeley Citation Style_1">
    <vt:lpwstr>http://www.zotero.org/styles/european-neuropsychopharmacology</vt:lpwstr>
  </property>
  <property fmtid="{D5CDD505-2E9C-101B-9397-08002B2CF9AE}" pid="8" name="Mendeley Document_1">
    <vt:lpwstr>True</vt:lpwstr>
  </property>
  <property fmtid="{D5CDD505-2E9C-101B-9397-08002B2CF9AE}" pid="9" name="Mendeley Recent Style Id 0_1">
    <vt:lpwstr>http://www.zotero.org/styles/american-political-science-association</vt:lpwstr>
  </property>
  <property fmtid="{D5CDD505-2E9C-101B-9397-08002B2CF9AE}" pid="10" name="Mendeley Recent Style Id 1_1">
    <vt:lpwstr>http://www.zotero.org/styles/american-sociological-association</vt:lpwstr>
  </property>
  <property fmtid="{D5CDD505-2E9C-101B-9397-08002B2CF9AE}" pid="11" name="Mendeley Recent Style Id 2_1">
    <vt:lpwstr>http://www.zotero.org/styles/chicago-author-date</vt:lpwstr>
  </property>
  <property fmtid="{D5CDD505-2E9C-101B-9397-08002B2CF9AE}" pid="12" name="Mendeley Recent Style Id 3_1">
    <vt:lpwstr>http://www.zotero.org/styles/harvard-cite-them-right</vt:lpwstr>
  </property>
  <property fmtid="{D5CDD505-2E9C-101B-9397-08002B2CF9AE}" pid="13" name="Mendeley Recent Style Id 4_1">
    <vt:lpwstr>http://www.zotero.org/styles/european-neuropsychopharmacology</vt:lpwstr>
  </property>
  <property fmtid="{D5CDD505-2E9C-101B-9397-08002B2CF9AE}" pid="14" name="Mendeley Recent Style Id 5_1">
    <vt:lpwstr>http://www.zotero.org/styles/ieee</vt:lpwstr>
  </property>
  <property fmtid="{D5CDD505-2E9C-101B-9397-08002B2CF9AE}" pid="15" name="Mendeley Recent Style Id 6_1">
    <vt:lpwstr>http://www.zotero.org/styles/modern-humanities-research-association</vt:lpwstr>
  </property>
  <property fmtid="{D5CDD505-2E9C-101B-9397-08002B2CF9AE}" pid="16" name="Mendeley Recent Style Id 7_1">
    <vt:lpwstr>http://www.zotero.org/styles/psychological-medicine</vt:lpwstr>
  </property>
  <property fmtid="{D5CDD505-2E9C-101B-9397-08002B2CF9AE}" pid="17" name="Mendeley Recent Style Id 8_1">
    <vt:lpwstr>http://www.zotero.org/styles/schizophrenia-research</vt:lpwstr>
  </property>
  <property fmtid="{D5CDD505-2E9C-101B-9397-08002B2CF9AE}" pid="18" name="Mendeley Recent Style Id 9_1">
    <vt:lpwstr>http://www.zotero.org/styles/the-british-journal-of-psychiatry</vt:lpwstr>
  </property>
  <property fmtid="{D5CDD505-2E9C-101B-9397-08002B2CF9AE}" pid="19" name="Mendeley Recent Style Name 0_1">
    <vt:lpwstr>American Political Science Association</vt:lpwstr>
  </property>
  <property fmtid="{D5CDD505-2E9C-101B-9397-08002B2CF9AE}" pid="20" name="Mendeley Recent Style Name 1_1">
    <vt:lpwstr>American Sociological Association</vt:lpwstr>
  </property>
  <property fmtid="{D5CDD505-2E9C-101B-9397-08002B2CF9AE}" pid="21" name="Mendeley Recent Style Name 2_1">
    <vt:lpwstr>Chicago Manual of Style 17th edition (author-date)</vt:lpwstr>
  </property>
  <property fmtid="{D5CDD505-2E9C-101B-9397-08002B2CF9AE}" pid="22" name="Mendeley Recent Style Name 3_1">
    <vt:lpwstr>Cite Them Right 10th edition - Harvard</vt:lpwstr>
  </property>
  <property fmtid="{D5CDD505-2E9C-101B-9397-08002B2CF9AE}" pid="23" name="Mendeley Recent Style Name 4_1">
    <vt:lpwstr>European Neuropsychopharmacology</vt:lpwstr>
  </property>
  <property fmtid="{D5CDD505-2E9C-101B-9397-08002B2CF9AE}" pid="24" name="Mendeley Recent Style Name 5_1">
    <vt:lpwstr>IEEE</vt:lpwstr>
  </property>
  <property fmtid="{D5CDD505-2E9C-101B-9397-08002B2CF9AE}" pid="25" name="Mendeley Recent Style Name 6_1">
    <vt:lpwstr>Modern Humanities Research Association 3rd edition (note with bibliography)</vt:lpwstr>
  </property>
  <property fmtid="{D5CDD505-2E9C-101B-9397-08002B2CF9AE}" pid="26" name="Mendeley Recent Style Name 7_1">
    <vt:lpwstr>Psychological Medicine</vt:lpwstr>
  </property>
  <property fmtid="{D5CDD505-2E9C-101B-9397-08002B2CF9AE}" pid="27" name="Mendeley Recent Style Name 8_1">
    <vt:lpwstr>Schizophrenia Research</vt:lpwstr>
  </property>
  <property fmtid="{D5CDD505-2E9C-101B-9397-08002B2CF9AE}" pid="28" name="Mendeley Recent Style Name 9_1">
    <vt:lpwstr>The British Journal of Psychiatry</vt:lpwstr>
  </property>
  <property fmtid="{D5CDD505-2E9C-101B-9397-08002B2CF9AE}" pid="29" name="Mendeley Unique User Id_1">
    <vt:lpwstr>9985860a-eff3-3ab5-848f-f4928b0b96da</vt:lpwstr>
  </property>
  <property fmtid="{D5CDD505-2E9C-101B-9397-08002B2CF9AE}" pid="30" name="ScaleCrop">
    <vt:bool>false</vt:bool>
  </property>
  <property fmtid="{D5CDD505-2E9C-101B-9397-08002B2CF9AE}" pid="31" name="ShareDoc">
    <vt:bool>false</vt:bool>
  </property>
</Properties>
</file>