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20411C" w14:textId="249D29D2" w:rsidR="009B3DDE" w:rsidRPr="007A5158" w:rsidRDefault="009B3DDE" w:rsidP="009B3DDE">
      <w:pPr>
        <w:spacing w:line="480" w:lineRule="auto"/>
        <w:rPr>
          <w:sz w:val="28"/>
          <w:szCs w:val="28"/>
        </w:rPr>
      </w:pPr>
      <w:r w:rsidRPr="007A5158">
        <w:rPr>
          <w:rFonts w:ascii="Helvetica" w:hAnsi="Helvetica"/>
          <w:sz w:val="28"/>
          <w:szCs w:val="28"/>
        </w:rPr>
        <w:t>The Imperial Treasury: appraisal methodology and regional economic performance in the UK</w:t>
      </w:r>
    </w:p>
    <w:p w14:paraId="386EBB25" w14:textId="3910769F" w:rsidR="009B3DDE" w:rsidRPr="00D82018" w:rsidRDefault="00D82018" w:rsidP="009B3DDE">
      <w:pPr>
        <w:spacing w:line="480" w:lineRule="auto"/>
        <w:jc w:val="both"/>
        <w:rPr>
          <w:rFonts w:ascii="Helvetica" w:hAnsi="Helvetica"/>
          <w:b/>
          <w:i/>
          <w:szCs w:val="24"/>
        </w:rPr>
      </w:pPr>
      <w:r w:rsidRPr="00D82018">
        <w:rPr>
          <w:rFonts w:ascii="Helvetica" w:hAnsi="Helvetica"/>
          <w:b/>
          <w:szCs w:val="24"/>
        </w:rPr>
        <w:t xml:space="preserve">Draft version accepted for publication &amp; forthcoming in </w:t>
      </w:r>
      <w:r w:rsidRPr="00D82018">
        <w:rPr>
          <w:rFonts w:ascii="Helvetica" w:hAnsi="Helvetica"/>
          <w:b/>
          <w:i/>
          <w:szCs w:val="24"/>
        </w:rPr>
        <w:t xml:space="preserve">Regional Studies </w:t>
      </w:r>
    </w:p>
    <w:p w14:paraId="0B0E4A78" w14:textId="5E8B1780" w:rsidR="009B3DDE" w:rsidRPr="009B3DDE" w:rsidRDefault="009B3DDE" w:rsidP="009B3DDE">
      <w:pPr>
        <w:spacing w:line="480" w:lineRule="auto"/>
        <w:jc w:val="both"/>
        <w:rPr>
          <w:rFonts w:ascii="Helvetica" w:hAnsi="Helvetica"/>
          <w:szCs w:val="24"/>
        </w:rPr>
      </w:pPr>
      <w:r w:rsidRPr="009B3DDE">
        <w:rPr>
          <w:rFonts w:ascii="Helvetica" w:hAnsi="Helvetica"/>
          <w:szCs w:val="24"/>
        </w:rPr>
        <w:t>Diane Coyle &amp; Marianne Sensier</w:t>
      </w:r>
    </w:p>
    <w:p w14:paraId="3E4B90C5" w14:textId="77777777" w:rsidR="009B3DDE" w:rsidRPr="009B3DDE" w:rsidRDefault="009B3DDE" w:rsidP="009B3DDE">
      <w:pPr>
        <w:spacing w:line="480" w:lineRule="auto"/>
        <w:jc w:val="both"/>
        <w:rPr>
          <w:rFonts w:ascii="Helvetica" w:hAnsi="Helvetica"/>
          <w:szCs w:val="24"/>
        </w:rPr>
      </w:pPr>
    </w:p>
    <w:p w14:paraId="28D776F7" w14:textId="3C616665" w:rsidR="009B3DDE" w:rsidRPr="009B3DDE" w:rsidRDefault="00C84415" w:rsidP="009B3DDE">
      <w:pPr>
        <w:spacing w:line="480" w:lineRule="auto"/>
        <w:jc w:val="both"/>
        <w:rPr>
          <w:szCs w:val="24"/>
          <w:lang w:val="en-US"/>
        </w:rPr>
      </w:pPr>
      <w:r>
        <w:rPr>
          <w:szCs w:val="24"/>
          <w:lang w:val="en-US"/>
        </w:rPr>
        <w:t>Diane Coyle</w:t>
      </w:r>
      <w:r>
        <w:rPr>
          <w:szCs w:val="24"/>
          <w:lang w:val="en-US"/>
        </w:rPr>
        <w:tab/>
      </w:r>
      <w:r>
        <w:rPr>
          <w:szCs w:val="24"/>
          <w:lang w:val="en-US"/>
        </w:rPr>
        <w:tab/>
      </w:r>
      <w:r>
        <w:rPr>
          <w:szCs w:val="24"/>
          <w:lang w:val="en-US"/>
        </w:rPr>
        <w:tab/>
      </w:r>
      <w:r>
        <w:rPr>
          <w:szCs w:val="24"/>
          <w:lang w:val="en-US"/>
        </w:rPr>
        <w:tab/>
      </w:r>
      <w:r w:rsidR="009B3DDE" w:rsidRPr="009B3DDE">
        <w:rPr>
          <w:szCs w:val="24"/>
          <w:lang w:val="en-US"/>
        </w:rPr>
        <w:t>&amp;</w:t>
      </w:r>
      <w:r w:rsidR="009B3DDE" w:rsidRPr="009B3DDE">
        <w:rPr>
          <w:szCs w:val="24"/>
          <w:lang w:val="en-US"/>
        </w:rPr>
        <w:tab/>
        <w:t>Marianne Sensier</w:t>
      </w:r>
    </w:p>
    <w:p w14:paraId="011CECE2" w14:textId="07E504C9" w:rsidR="009B3DDE" w:rsidRPr="009B3DDE" w:rsidRDefault="009B3DDE" w:rsidP="009B3DDE">
      <w:pPr>
        <w:spacing w:line="480" w:lineRule="auto"/>
        <w:jc w:val="both"/>
        <w:rPr>
          <w:szCs w:val="24"/>
          <w:lang w:val="en-US"/>
        </w:rPr>
      </w:pPr>
      <w:r w:rsidRPr="009B3DDE">
        <w:rPr>
          <w:szCs w:val="24"/>
          <w:lang w:val="en-US"/>
        </w:rPr>
        <w:t>Bennet</w:t>
      </w:r>
      <w:r w:rsidR="00C84415">
        <w:rPr>
          <w:szCs w:val="24"/>
          <w:lang w:val="en-US"/>
        </w:rPr>
        <w:t>t Professor of Public Policy</w:t>
      </w:r>
      <w:r w:rsidR="00C84415">
        <w:rPr>
          <w:szCs w:val="24"/>
          <w:lang w:val="en-US"/>
        </w:rPr>
        <w:tab/>
      </w:r>
      <w:r w:rsidRPr="009B3DDE">
        <w:rPr>
          <w:szCs w:val="24"/>
          <w:lang w:val="en-US"/>
        </w:rPr>
        <w:t>Department of Economics</w:t>
      </w:r>
    </w:p>
    <w:p w14:paraId="34D98E58" w14:textId="1A3929CF" w:rsidR="009B3DDE" w:rsidRPr="009B3DDE" w:rsidRDefault="00C84415" w:rsidP="009B3DDE">
      <w:pPr>
        <w:spacing w:line="480" w:lineRule="auto"/>
        <w:jc w:val="both"/>
        <w:rPr>
          <w:szCs w:val="24"/>
          <w:lang w:val="en-US"/>
        </w:rPr>
      </w:pPr>
      <w:r>
        <w:rPr>
          <w:szCs w:val="24"/>
          <w:lang w:val="en-US"/>
        </w:rPr>
        <w:t xml:space="preserve">University of Cambridge </w:t>
      </w:r>
      <w:r>
        <w:rPr>
          <w:szCs w:val="24"/>
          <w:lang w:val="en-US"/>
        </w:rPr>
        <w:tab/>
      </w:r>
      <w:r>
        <w:rPr>
          <w:szCs w:val="24"/>
          <w:lang w:val="en-US"/>
        </w:rPr>
        <w:tab/>
      </w:r>
      <w:r>
        <w:rPr>
          <w:szCs w:val="24"/>
          <w:lang w:val="en-US"/>
        </w:rPr>
        <w:tab/>
      </w:r>
      <w:r w:rsidR="009B3DDE" w:rsidRPr="009B3DDE">
        <w:rPr>
          <w:szCs w:val="24"/>
          <w:lang w:val="en-US"/>
        </w:rPr>
        <w:t>University of Manchester</w:t>
      </w:r>
    </w:p>
    <w:p w14:paraId="60DF8B63" w14:textId="58E642DD" w:rsidR="009B3DDE" w:rsidRPr="009B3DDE" w:rsidRDefault="00C84415" w:rsidP="009B3DDE">
      <w:pPr>
        <w:spacing w:line="480" w:lineRule="auto"/>
        <w:jc w:val="both"/>
        <w:rPr>
          <w:szCs w:val="24"/>
          <w:lang w:val="en-US"/>
        </w:rPr>
      </w:pPr>
      <w:r>
        <w:rPr>
          <w:szCs w:val="24"/>
          <w:lang w:val="en-US"/>
        </w:rPr>
        <w:t>POLIS, 7 West Road</w:t>
      </w:r>
      <w:r>
        <w:rPr>
          <w:szCs w:val="24"/>
          <w:lang w:val="en-US"/>
        </w:rPr>
        <w:tab/>
      </w:r>
      <w:r>
        <w:rPr>
          <w:szCs w:val="24"/>
          <w:lang w:val="en-US"/>
        </w:rPr>
        <w:tab/>
      </w:r>
      <w:r>
        <w:rPr>
          <w:szCs w:val="24"/>
          <w:lang w:val="en-US"/>
        </w:rPr>
        <w:tab/>
      </w:r>
      <w:r w:rsidR="009B3DDE" w:rsidRPr="009B3DDE">
        <w:rPr>
          <w:szCs w:val="24"/>
          <w:lang w:val="en-US"/>
        </w:rPr>
        <w:t>Arthur Lewis Building</w:t>
      </w:r>
    </w:p>
    <w:p w14:paraId="2CB9312A" w14:textId="57CABF47" w:rsidR="009B3DDE" w:rsidRPr="009B3DDE" w:rsidRDefault="00C84415" w:rsidP="009B3DDE">
      <w:pPr>
        <w:spacing w:line="480" w:lineRule="auto"/>
        <w:jc w:val="both"/>
        <w:rPr>
          <w:szCs w:val="24"/>
          <w:lang w:val="en-US"/>
        </w:rPr>
      </w:pPr>
      <w:r>
        <w:rPr>
          <w:szCs w:val="24"/>
          <w:lang w:val="en-US"/>
        </w:rPr>
        <w:t>Cambridge CB3 9DT</w:t>
      </w:r>
      <w:r>
        <w:rPr>
          <w:szCs w:val="24"/>
          <w:lang w:val="en-US"/>
        </w:rPr>
        <w:tab/>
      </w:r>
      <w:r>
        <w:rPr>
          <w:szCs w:val="24"/>
          <w:lang w:val="en-US"/>
        </w:rPr>
        <w:tab/>
      </w:r>
      <w:r>
        <w:rPr>
          <w:szCs w:val="24"/>
          <w:lang w:val="en-US"/>
        </w:rPr>
        <w:tab/>
      </w:r>
      <w:r w:rsidR="009B3DDE" w:rsidRPr="009B3DDE">
        <w:rPr>
          <w:szCs w:val="24"/>
          <w:lang w:val="en-US"/>
        </w:rPr>
        <w:t>Oxford Road, Manchester M13 9PL</w:t>
      </w:r>
    </w:p>
    <w:p w14:paraId="7AF32D27" w14:textId="3DD236F3" w:rsidR="009B3DDE" w:rsidRPr="009B3DDE" w:rsidRDefault="00006BD9" w:rsidP="009B3DDE">
      <w:pPr>
        <w:spacing w:line="480" w:lineRule="auto"/>
        <w:jc w:val="both"/>
        <w:rPr>
          <w:szCs w:val="24"/>
          <w:lang w:val="en-US"/>
        </w:rPr>
      </w:pPr>
      <w:hyperlink r:id="rId8" w:history="1">
        <w:r w:rsidR="009B3DDE" w:rsidRPr="009B3DDE">
          <w:rPr>
            <w:rStyle w:val="Hyperlink"/>
            <w:szCs w:val="24"/>
            <w:lang w:val="en-US"/>
          </w:rPr>
          <w:t>dc700@cam.ac.uk</w:t>
        </w:r>
      </w:hyperlink>
      <w:r w:rsidR="009B3DDE" w:rsidRPr="009B3DDE">
        <w:rPr>
          <w:szCs w:val="24"/>
          <w:lang w:val="en-US"/>
        </w:rPr>
        <w:tab/>
      </w:r>
      <w:r w:rsidR="009B3DDE" w:rsidRPr="009B3DDE">
        <w:rPr>
          <w:szCs w:val="24"/>
          <w:lang w:val="en-US"/>
        </w:rPr>
        <w:tab/>
      </w:r>
      <w:r w:rsidR="009B3DDE" w:rsidRPr="009B3DDE">
        <w:rPr>
          <w:szCs w:val="24"/>
          <w:lang w:val="en-US"/>
        </w:rPr>
        <w:tab/>
      </w:r>
      <w:r w:rsidR="009B3DDE" w:rsidRPr="009B3DDE">
        <w:rPr>
          <w:szCs w:val="24"/>
          <w:lang w:val="en-US"/>
        </w:rPr>
        <w:tab/>
      </w:r>
      <w:hyperlink r:id="rId9" w:history="1">
        <w:r w:rsidR="009B3DDE" w:rsidRPr="009B3DDE">
          <w:rPr>
            <w:rStyle w:val="Hyperlink"/>
            <w:szCs w:val="24"/>
            <w:lang w:val="en-US"/>
          </w:rPr>
          <w:t>marianne.sensier@manchester.ac.uk</w:t>
        </w:r>
      </w:hyperlink>
      <w:r w:rsidR="009B3DDE" w:rsidRPr="009B3DDE">
        <w:rPr>
          <w:szCs w:val="24"/>
          <w:lang w:val="en-US"/>
        </w:rPr>
        <w:t xml:space="preserve"> </w:t>
      </w:r>
    </w:p>
    <w:p w14:paraId="69BD18C8" w14:textId="4E8CB204" w:rsidR="009B3DDE" w:rsidRPr="009B3DDE" w:rsidRDefault="00C84415" w:rsidP="009B3DDE">
      <w:pPr>
        <w:spacing w:line="480" w:lineRule="auto"/>
        <w:jc w:val="both"/>
        <w:rPr>
          <w:szCs w:val="24"/>
          <w:lang w:val="en-US"/>
        </w:rPr>
      </w:pPr>
      <w:r>
        <w:rPr>
          <w:szCs w:val="24"/>
          <w:lang w:val="en-US"/>
        </w:rPr>
        <w:t xml:space="preserve">@DianeCoyle1859 </w:t>
      </w:r>
      <w:r>
        <w:rPr>
          <w:szCs w:val="24"/>
          <w:lang w:val="en-US"/>
        </w:rPr>
        <w:tab/>
      </w:r>
      <w:r>
        <w:rPr>
          <w:szCs w:val="24"/>
          <w:lang w:val="en-US"/>
        </w:rPr>
        <w:tab/>
      </w:r>
      <w:r>
        <w:rPr>
          <w:szCs w:val="24"/>
          <w:lang w:val="en-US"/>
        </w:rPr>
        <w:tab/>
      </w:r>
      <w:r>
        <w:rPr>
          <w:szCs w:val="24"/>
          <w:lang w:val="en-US"/>
        </w:rPr>
        <w:tab/>
      </w:r>
      <w:r w:rsidR="009B3DDE" w:rsidRPr="009B3DDE">
        <w:rPr>
          <w:szCs w:val="24"/>
          <w:lang w:val="en-US"/>
        </w:rPr>
        <w:t>@</w:t>
      </w:r>
      <w:proofErr w:type="spellStart"/>
      <w:r w:rsidR="009B3DDE" w:rsidRPr="009B3DDE">
        <w:rPr>
          <w:szCs w:val="24"/>
          <w:lang w:val="en-US"/>
        </w:rPr>
        <w:t>MSensier</w:t>
      </w:r>
      <w:proofErr w:type="spellEnd"/>
    </w:p>
    <w:p w14:paraId="0B811654" w14:textId="77777777" w:rsidR="009B3DDE" w:rsidRPr="009B3DDE" w:rsidRDefault="009B3DDE" w:rsidP="009B3DDE">
      <w:pPr>
        <w:spacing w:line="480" w:lineRule="auto"/>
        <w:rPr>
          <w:szCs w:val="24"/>
          <w:lang w:val="en-US"/>
        </w:rPr>
      </w:pPr>
      <w:r w:rsidRPr="009B3DDE">
        <w:rPr>
          <w:szCs w:val="24"/>
          <w:lang w:val="en-US"/>
        </w:rPr>
        <w:br w:type="page"/>
      </w:r>
    </w:p>
    <w:p w14:paraId="63D3397F" w14:textId="77777777" w:rsidR="009B3DDE" w:rsidRPr="009B3DDE" w:rsidRDefault="009B3DDE" w:rsidP="009B3DDE">
      <w:pPr>
        <w:spacing w:line="480" w:lineRule="auto"/>
        <w:jc w:val="both"/>
        <w:rPr>
          <w:b/>
          <w:szCs w:val="24"/>
        </w:rPr>
      </w:pPr>
    </w:p>
    <w:p w14:paraId="30B4E4B8" w14:textId="3ECC6028" w:rsidR="00B4271D" w:rsidRPr="007A5158" w:rsidRDefault="002D32F1" w:rsidP="009B3DDE">
      <w:pPr>
        <w:spacing w:after="120" w:line="480" w:lineRule="auto"/>
        <w:rPr>
          <w:szCs w:val="24"/>
        </w:rPr>
      </w:pPr>
      <w:r w:rsidRPr="007A5158">
        <w:rPr>
          <w:szCs w:val="24"/>
        </w:rPr>
        <w:t>ABSTRACT</w:t>
      </w:r>
    </w:p>
    <w:p w14:paraId="5B3216C3" w14:textId="1245F81D" w:rsidR="00D40005" w:rsidRPr="00CA3E55" w:rsidRDefault="00AF4252" w:rsidP="009B3DDE">
      <w:pPr>
        <w:spacing w:line="480" w:lineRule="auto"/>
        <w:jc w:val="both"/>
        <w:rPr>
          <w:rFonts w:ascii="Helvetica" w:hAnsi="Helvetica"/>
          <w:szCs w:val="24"/>
        </w:rPr>
      </w:pPr>
      <w:r w:rsidRPr="00CA3E55">
        <w:rPr>
          <w:rFonts w:ascii="Helvetica" w:hAnsi="Helvetica"/>
          <w:szCs w:val="24"/>
        </w:rPr>
        <w:t xml:space="preserve">The disparity between the least and most productive regions in the UK is </w:t>
      </w:r>
      <w:r w:rsidR="00D75AA4" w:rsidRPr="00CA3E55">
        <w:rPr>
          <w:rFonts w:ascii="Helvetica" w:hAnsi="Helvetica"/>
          <w:szCs w:val="24"/>
        </w:rPr>
        <w:t xml:space="preserve">wide </w:t>
      </w:r>
      <w:r w:rsidRPr="00CA3E55">
        <w:rPr>
          <w:rFonts w:ascii="Helvetica" w:hAnsi="Helvetica"/>
          <w:szCs w:val="24"/>
        </w:rPr>
        <w:t xml:space="preserve">by the standards of </w:t>
      </w:r>
      <w:r w:rsidR="00D75AA4" w:rsidRPr="00CA3E55">
        <w:rPr>
          <w:rFonts w:ascii="Helvetica" w:hAnsi="Helvetica"/>
          <w:szCs w:val="24"/>
        </w:rPr>
        <w:t xml:space="preserve">many </w:t>
      </w:r>
      <w:r w:rsidRPr="00CA3E55">
        <w:rPr>
          <w:rFonts w:ascii="Helvetica" w:hAnsi="Helvetica"/>
          <w:szCs w:val="24"/>
        </w:rPr>
        <w:t xml:space="preserve">other OECD economies. </w:t>
      </w:r>
      <w:r w:rsidR="00C73202" w:rsidRPr="00CA3E55">
        <w:rPr>
          <w:rFonts w:ascii="Helvetica" w:hAnsi="Helvetica"/>
          <w:szCs w:val="24"/>
        </w:rPr>
        <w:t>An</w:t>
      </w:r>
      <w:r w:rsidR="009C5C62" w:rsidRPr="00CA3E55">
        <w:rPr>
          <w:rFonts w:ascii="Helvetica" w:hAnsi="Helvetica"/>
          <w:szCs w:val="24"/>
        </w:rPr>
        <w:t xml:space="preserve"> important </w:t>
      </w:r>
      <w:r w:rsidR="00C73202" w:rsidRPr="00CA3E55">
        <w:rPr>
          <w:rFonts w:ascii="Helvetica" w:hAnsi="Helvetica"/>
          <w:szCs w:val="24"/>
        </w:rPr>
        <w:t>factor</w:t>
      </w:r>
      <w:r w:rsidR="009C5C62" w:rsidRPr="00CA3E55">
        <w:rPr>
          <w:rFonts w:ascii="Helvetica" w:hAnsi="Helvetica"/>
          <w:szCs w:val="24"/>
        </w:rPr>
        <w:t xml:space="preserve"> is </w:t>
      </w:r>
      <w:r w:rsidRPr="00CA3E55">
        <w:rPr>
          <w:rFonts w:ascii="Helvetica" w:hAnsi="Helvetica"/>
          <w:szCs w:val="24"/>
        </w:rPr>
        <w:t xml:space="preserve">the concentration of public investment around London. The appraisal process for infrastructure investment projects follows the </w:t>
      </w:r>
      <w:r w:rsidR="00BB423D" w:rsidRPr="00CA3E55">
        <w:rPr>
          <w:rFonts w:ascii="Helvetica" w:hAnsi="Helvetica"/>
          <w:szCs w:val="24"/>
        </w:rPr>
        <w:t>methodolog</w:t>
      </w:r>
      <w:r w:rsidR="009C5C62" w:rsidRPr="00CA3E55">
        <w:rPr>
          <w:rFonts w:ascii="Helvetica" w:hAnsi="Helvetica"/>
          <w:szCs w:val="24"/>
        </w:rPr>
        <w:t>y</w:t>
      </w:r>
      <w:r w:rsidR="00D75AA4" w:rsidRPr="00CA3E55">
        <w:rPr>
          <w:rFonts w:ascii="Helvetica" w:hAnsi="Helvetica"/>
          <w:szCs w:val="24"/>
        </w:rPr>
        <w:t xml:space="preserve"> </w:t>
      </w:r>
      <w:r w:rsidRPr="00CA3E55">
        <w:rPr>
          <w:rFonts w:ascii="Helvetica" w:hAnsi="Helvetica"/>
          <w:szCs w:val="24"/>
        </w:rPr>
        <w:t>set out in the Treasury’s Green Book</w:t>
      </w:r>
      <w:r w:rsidR="00C73202" w:rsidRPr="00CA3E55">
        <w:rPr>
          <w:rFonts w:ascii="Helvetica" w:hAnsi="Helvetica"/>
          <w:szCs w:val="24"/>
        </w:rPr>
        <w:t>. We</w:t>
      </w:r>
      <w:r w:rsidR="00F22157" w:rsidRPr="00CA3E55">
        <w:rPr>
          <w:rFonts w:ascii="Helvetica" w:hAnsi="Helvetica"/>
          <w:szCs w:val="24"/>
        </w:rPr>
        <w:t xml:space="preserve"> argue that </w:t>
      </w:r>
      <w:r w:rsidR="00D75AA4" w:rsidRPr="00CA3E55">
        <w:rPr>
          <w:rFonts w:ascii="Helvetica" w:hAnsi="Helvetica"/>
          <w:szCs w:val="24"/>
        </w:rPr>
        <w:t xml:space="preserve">this </w:t>
      </w:r>
      <w:r w:rsidR="00BB423D" w:rsidRPr="00CA3E55">
        <w:rPr>
          <w:rFonts w:ascii="Helvetica" w:hAnsi="Helvetica"/>
          <w:szCs w:val="24"/>
        </w:rPr>
        <w:t>methodology</w:t>
      </w:r>
      <w:r w:rsidR="00F22157" w:rsidRPr="00CA3E55">
        <w:rPr>
          <w:rFonts w:ascii="Helvetica" w:hAnsi="Helvetica"/>
          <w:szCs w:val="24"/>
        </w:rPr>
        <w:t xml:space="preserve"> has reinforced the regiona</w:t>
      </w:r>
      <w:r w:rsidR="004C118A" w:rsidRPr="00CA3E55">
        <w:rPr>
          <w:rFonts w:ascii="Helvetica" w:hAnsi="Helvetica"/>
          <w:szCs w:val="24"/>
        </w:rPr>
        <w:t xml:space="preserve">l imbalance; </w:t>
      </w:r>
      <w:r w:rsidR="00F22157" w:rsidRPr="00CA3E55">
        <w:rPr>
          <w:rFonts w:ascii="Helvetica" w:hAnsi="Helvetica"/>
          <w:szCs w:val="24"/>
        </w:rPr>
        <w:t>that recent changes are unlikely</w:t>
      </w:r>
      <w:r w:rsidR="00D75AA4" w:rsidRPr="00CA3E55">
        <w:rPr>
          <w:rFonts w:ascii="Helvetica" w:hAnsi="Helvetica"/>
          <w:szCs w:val="24"/>
        </w:rPr>
        <w:t xml:space="preserve"> by themselves</w:t>
      </w:r>
      <w:r w:rsidR="00F22157" w:rsidRPr="00CA3E55">
        <w:rPr>
          <w:rFonts w:ascii="Helvetica" w:hAnsi="Helvetica"/>
          <w:szCs w:val="24"/>
        </w:rPr>
        <w:t xml:space="preserve"> to redress the London bias in infrastructure; and that </w:t>
      </w:r>
      <w:r w:rsidR="003316F0" w:rsidRPr="00CA3E55">
        <w:rPr>
          <w:rFonts w:ascii="Helvetica" w:hAnsi="Helvetica"/>
          <w:szCs w:val="24"/>
        </w:rPr>
        <w:t>infrastructure investments also</w:t>
      </w:r>
      <w:r w:rsidR="004C118A" w:rsidRPr="00CA3E55">
        <w:rPr>
          <w:rFonts w:ascii="Helvetica" w:hAnsi="Helvetica"/>
          <w:szCs w:val="24"/>
        </w:rPr>
        <w:t xml:space="preserve"> need to be based on </w:t>
      </w:r>
      <w:r w:rsidR="00F22157" w:rsidRPr="00CA3E55">
        <w:rPr>
          <w:rFonts w:ascii="Helvetica" w:hAnsi="Helvetica"/>
          <w:szCs w:val="24"/>
        </w:rPr>
        <w:t>a strategic view about economic development for the whole of the UK.</w:t>
      </w:r>
    </w:p>
    <w:p w14:paraId="2C4A266D" w14:textId="77777777" w:rsidR="00F22157" w:rsidRPr="009B3DDE" w:rsidRDefault="00F22157" w:rsidP="009B3DDE">
      <w:pPr>
        <w:spacing w:line="480" w:lineRule="auto"/>
        <w:jc w:val="both"/>
        <w:rPr>
          <w:rFonts w:ascii="Helvetica" w:hAnsi="Helvetica"/>
          <w:szCs w:val="24"/>
        </w:rPr>
      </w:pPr>
    </w:p>
    <w:p w14:paraId="0E8C77FE" w14:textId="0CC8784B" w:rsidR="00CA77D1" w:rsidRPr="009B3DDE" w:rsidRDefault="002D32F1" w:rsidP="009B3DDE">
      <w:pPr>
        <w:spacing w:line="480" w:lineRule="auto"/>
        <w:jc w:val="both"/>
        <w:rPr>
          <w:rFonts w:ascii="Helvetica" w:hAnsi="Helvetica"/>
          <w:szCs w:val="24"/>
        </w:rPr>
      </w:pPr>
      <w:r w:rsidRPr="009B3DDE">
        <w:rPr>
          <w:rFonts w:ascii="Helvetica" w:hAnsi="Helvetica"/>
          <w:szCs w:val="24"/>
        </w:rPr>
        <w:t>KEYWORDS</w:t>
      </w:r>
      <w:r w:rsidR="00CA77D1" w:rsidRPr="009B3DDE">
        <w:rPr>
          <w:rFonts w:ascii="Helvetica" w:hAnsi="Helvetica"/>
          <w:szCs w:val="24"/>
        </w:rPr>
        <w:t>: Inf</w:t>
      </w:r>
      <w:r w:rsidR="006C7B78" w:rsidRPr="009B3DDE">
        <w:rPr>
          <w:rFonts w:ascii="Helvetica" w:hAnsi="Helvetica"/>
          <w:szCs w:val="24"/>
        </w:rPr>
        <w:t>r</w:t>
      </w:r>
      <w:r w:rsidR="00CA77D1" w:rsidRPr="009B3DDE">
        <w:rPr>
          <w:rFonts w:ascii="Helvetica" w:hAnsi="Helvetica"/>
          <w:szCs w:val="24"/>
        </w:rPr>
        <w:t xml:space="preserve">astructure; </w:t>
      </w:r>
      <w:r w:rsidR="005A445F" w:rsidRPr="009B3DDE">
        <w:rPr>
          <w:rFonts w:ascii="Helvetica" w:hAnsi="Helvetica"/>
          <w:szCs w:val="24"/>
        </w:rPr>
        <w:t>cost benefit analysis</w:t>
      </w:r>
      <w:r w:rsidR="007C61F9" w:rsidRPr="009B3DDE">
        <w:rPr>
          <w:rFonts w:ascii="Helvetica" w:hAnsi="Helvetica"/>
          <w:szCs w:val="24"/>
        </w:rPr>
        <w:t>; spatial disparity</w:t>
      </w:r>
    </w:p>
    <w:p w14:paraId="24542D43" w14:textId="12A13112" w:rsidR="00F22157" w:rsidRPr="009B3DDE" w:rsidRDefault="00F22157" w:rsidP="009B3DDE">
      <w:pPr>
        <w:spacing w:line="480" w:lineRule="auto"/>
        <w:jc w:val="both"/>
        <w:rPr>
          <w:rFonts w:ascii="Helvetica" w:hAnsi="Helvetica"/>
          <w:szCs w:val="24"/>
        </w:rPr>
      </w:pPr>
      <w:r w:rsidRPr="009B3DDE">
        <w:rPr>
          <w:rFonts w:ascii="Helvetica" w:hAnsi="Helvetica"/>
          <w:szCs w:val="24"/>
        </w:rPr>
        <w:t xml:space="preserve">JEL </w:t>
      </w:r>
      <w:r w:rsidR="002D32F1" w:rsidRPr="009B3DDE">
        <w:rPr>
          <w:rFonts w:ascii="Helvetica" w:hAnsi="Helvetica"/>
          <w:szCs w:val="24"/>
        </w:rPr>
        <w:t>CODES</w:t>
      </w:r>
      <w:r w:rsidRPr="009B3DDE">
        <w:rPr>
          <w:rFonts w:ascii="Helvetica" w:hAnsi="Helvetica"/>
          <w:szCs w:val="24"/>
        </w:rPr>
        <w:t xml:space="preserve">: </w:t>
      </w:r>
      <w:r w:rsidR="00C3614C" w:rsidRPr="009B3DDE">
        <w:rPr>
          <w:rFonts w:ascii="Helvetica" w:hAnsi="Helvetica"/>
          <w:szCs w:val="24"/>
        </w:rPr>
        <w:t>H54, O18, R11</w:t>
      </w:r>
    </w:p>
    <w:p w14:paraId="0BCECB9B" w14:textId="77777777" w:rsidR="00BB043B" w:rsidRPr="009B3DDE" w:rsidRDefault="00BB043B" w:rsidP="009B3DDE">
      <w:pPr>
        <w:spacing w:line="480" w:lineRule="auto"/>
        <w:rPr>
          <w:rFonts w:ascii="Helvetica" w:hAnsi="Helvetica"/>
          <w:b/>
          <w:szCs w:val="24"/>
        </w:rPr>
      </w:pPr>
      <w:r w:rsidRPr="009B3DDE">
        <w:rPr>
          <w:rFonts w:ascii="Helvetica" w:hAnsi="Helvetica"/>
          <w:b/>
          <w:szCs w:val="24"/>
        </w:rPr>
        <w:br w:type="page"/>
      </w:r>
    </w:p>
    <w:p w14:paraId="735C58AF" w14:textId="34C2C672" w:rsidR="00CB3192" w:rsidRPr="007A5158" w:rsidRDefault="002D32F1" w:rsidP="009B3DDE">
      <w:pPr>
        <w:spacing w:line="480" w:lineRule="auto"/>
        <w:jc w:val="both"/>
        <w:rPr>
          <w:rFonts w:ascii="Helvetica" w:hAnsi="Helvetica"/>
          <w:szCs w:val="24"/>
        </w:rPr>
      </w:pPr>
      <w:r w:rsidRPr="007A5158">
        <w:rPr>
          <w:rFonts w:ascii="Helvetica" w:hAnsi="Helvetica"/>
          <w:szCs w:val="24"/>
        </w:rPr>
        <w:lastRenderedPageBreak/>
        <w:t>INTRODUCTION</w:t>
      </w:r>
    </w:p>
    <w:p w14:paraId="3664BDAD" w14:textId="6F49D54B" w:rsidR="00C84415" w:rsidRPr="009B3DDE" w:rsidRDefault="002830A2" w:rsidP="009B3DDE">
      <w:pPr>
        <w:spacing w:line="480" w:lineRule="auto"/>
        <w:jc w:val="both"/>
        <w:rPr>
          <w:rFonts w:ascii="Helvetica" w:hAnsi="Helvetica"/>
          <w:szCs w:val="24"/>
        </w:rPr>
      </w:pPr>
      <w:r w:rsidRPr="009B3DDE">
        <w:rPr>
          <w:rFonts w:ascii="Helvetica" w:hAnsi="Helvetica"/>
          <w:szCs w:val="24"/>
        </w:rPr>
        <w:t xml:space="preserve">The Mayor of Greater Manchester, Andy Burnham, commented </w:t>
      </w:r>
      <w:r w:rsidR="00125A87" w:rsidRPr="009B3DDE">
        <w:rPr>
          <w:rFonts w:ascii="Helvetica" w:hAnsi="Helvetica"/>
          <w:szCs w:val="24"/>
        </w:rPr>
        <w:t xml:space="preserve">in 2017 </w:t>
      </w:r>
      <w:r w:rsidRPr="009B3DDE">
        <w:rPr>
          <w:rFonts w:ascii="Helvetica" w:hAnsi="Helvetica"/>
          <w:szCs w:val="24"/>
        </w:rPr>
        <w:t xml:space="preserve">on his experience as chief secretary to the Treasury </w:t>
      </w:r>
      <w:r w:rsidR="00125A87" w:rsidRPr="009B3DDE">
        <w:rPr>
          <w:rFonts w:ascii="Helvetica" w:hAnsi="Helvetica"/>
          <w:szCs w:val="24"/>
        </w:rPr>
        <w:t>a decade earlier</w:t>
      </w:r>
      <w:r w:rsidRPr="009B3DDE">
        <w:rPr>
          <w:rFonts w:ascii="Helvetica" w:hAnsi="Helvetica"/>
          <w:szCs w:val="24"/>
        </w:rPr>
        <w:t>:</w:t>
      </w:r>
      <w:r w:rsidR="00197DE4" w:rsidRPr="009B3DDE">
        <w:rPr>
          <w:rFonts w:ascii="Helvetica" w:hAnsi="Helvetica"/>
          <w:szCs w:val="24"/>
        </w:rPr>
        <w:t xml:space="preserve"> </w:t>
      </w:r>
      <w:r w:rsidRPr="009B3DDE">
        <w:rPr>
          <w:rFonts w:ascii="Helvetica" w:hAnsi="Helvetica"/>
          <w:szCs w:val="24"/>
        </w:rPr>
        <w:t>“Officials took me through the cost-benefit analysis used by the Department for Transport and the Treasury to assess the viability of transport projects. This was almost exclusively an economic test and projects were judged by the economic value they created. In short, projects in parts of the country where the economy was strongest were more likely to score highest. What about areas with higher social need that required better transport to grow their economy? No weighting was given to that, I was told.”</w:t>
      </w:r>
      <w:r w:rsidR="00C84415" w:rsidRPr="009B3DDE">
        <w:rPr>
          <w:rStyle w:val="EndnoteReference"/>
          <w:rFonts w:ascii="Helvetica" w:hAnsi="Helvetica"/>
          <w:szCs w:val="24"/>
        </w:rPr>
        <w:endnoteReference w:id="1"/>
      </w:r>
    </w:p>
    <w:p w14:paraId="3A4B91CF" w14:textId="77777777" w:rsidR="007C61F9" w:rsidRPr="009B3DDE" w:rsidRDefault="007C61F9" w:rsidP="009B3DDE">
      <w:pPr>
        <w:autoSpaceDE w:val="0"/>
        <w:autoSpaceDN w:val="0"/>
        <w:adjustRightInd w:val="0"/>
        <w:spacing w:after="240" w:line="480" w:lineRule="auto"/>
        <w:jc w:val="both"/>
        <w:rPr>
          <w:rFonts w:ascii="Helvetica" w:hAnsi="Helvetica"/>
          <w:szCs w:val="24"/>
        </w:rPr>
      </w:pPr>
    </w:p>
    <w:p w14:paraId="6D49CCD3" w14:textId="306BC1C8" w:rsidR="004C118A" w:rsidRPr="009B3DDE" w:rsidRDefault="00F22157" w:rsidP="009B3DDE">
      <w:pPr>
        <w:autoSpaceDE w:val="0"/>
        <w:autoSpaceDN w:val="0"/>
        <w:adjustRightInd w:val="0"/>
        <w:spacing w:after="240" w:line="480" w:lineRule="auto"/>
        <w:jc w:val="both"/>
        <w:rPr>
          <w:rFonts w:ascii="Helvetica" w:hAnsi="Helvetica"/>
          <w:szCs w:val="24"/>
        </w:rPr>
      </w:pPr>
      <w:r w:rsidRPr="009B3DDE">
        <w:rPr>
          <w:rFonts w:ascii="Helvetica" w:hAnsi="Helvetica"/>
          <w:szCs w:val="24"/>
        </w:rPr>
        <w:t>Project appraisals of the kind the then-Minister was shown follow the guidance set out in the Treasury’s Green Book. The Green Book has recently been updated</w:t>
      </w:r>
      <w:r w:rsidR="004C118A" w:rsidRPr="009B3DDE">
        <w:rPr>
          <w:rFonts w:ascii="Helvetica" w:hAnsi="Helvetica"/>
          <w:szCs w:val="24"/>
        </w:rPr>
        <w:t xml:space="preserve"> in important ways</w:t>
      </w:r>
      <w:r w:rsidRPr="009B3DDE">
        <w:rPr>
          <w:rFonts w:ascii="Helvetica" w:hAnsi="Helvetica"/>
          <w:szCs w:val="24"/>
        </w:rPr>
        <w:t>, with the new v</w:t>
      </w:r>
      <w:r w:rsidR="004C310D" w:rsidRPr="009B3DDE">
        <w:rPr>
          <w:rFonts w:ascii="Helvetica" w:hAnsi="Helvetica"/>
          <w:szCs w:val="24"/>
        </w:rPr>
        <w:t xml:space="preserve">ersion published in March 2018. </w:t>
      </w:r>
      <w:r w:rsidR="00125A87" w:rsidRPr="009B3DDE">
        <w:rPr>
          <w:rFonts w:ascii="Helvetica" w:hAnsi="Helvetica"/>
          <w:szCs w:val="24"/>
        </w:rPr>
        <w:t xml:space="preserve">Official appraisal methods have for some time formally allowed </w:t>
      </w:r>
      <w:r w:rsidR="004B548C" w:rsidRPr="009B3DDE">
        <w:rPr>
          <w:rFonts w:ascii="Helvetica" w:hAnsi="Helvetica"/>
          <w:szCs w:val="24"/>
        </w:rPr>
        <w:t>cost-benefit analysis (</w:t>
      </w:r>
      <w:r w:rsidR="00125A87" w:rsidRPr="009B3DDE">
        <w:rPr>
          <w:rFonts w:ascii="Helvetica" w:hAnsi="Helvetica"/>
          <w:szCs w:val="24"/>
        </w:rPr>
        <w:t>CBA</w:t>
      </w:r>
      <w:r w:rsidR="004B548C" w:rsidRPr="009B3DDE">
        <w:rPr>
          <w:rFonts w:ascii="Helvetica" w:hAnsi="Helvetica"/>
          <w:szCs w:val="24"/>
        </w:rPr>
        <w:t>)</w:t>
      </w:r>
      <w:r w:rsidR="00125A87" w:rsidRPr="009B3DDE">
        <w:rPr>
          <w:rFonts w:ascii="Helvetica" w:hAnsi="Helvetica"/>
          <w:szCs w:val="24"/>
        </w:rPr>
        <w:t xml:space="preserve"> assessments to consider wider benefits, where there is good evidence available. </w:t>
      </w:r>
      <w:r w:rsidR="004C118A" w:rsidRPr="009B3DDE">
        <w:rPr>
          <w:rFonts w:ascii="Helvetica" w:hAnsi="Helvetica"/>
          <w:szCs w:val="24"/>
        </w:rPr>
        <w:t>For example, i</w:t>
      </w:r>
      <w:r w:rsidR="002830A2" w:rsidRPr="009B3DDE">
        <w:rPr>
          <w:rFonts w:ascii="Helvetica" w:hAnsi="Helvetica"/>
          <w:szCs w:val="24"/>
        </w:rPr>
        <w:t>n 2011 the Gree</w:t>
      </w:r>
      <w:r w:rsidR="00197DE4" w:rsidRPr="009B3DDE">
        <w:rPr>
          <w:rFonts w:ascii="Helvetica" w:hAnsi="Helvetica"/>
          <w:szCs w:val="24"/>
        </w:rPr>
        <w:t>n Book was amended to include “v</w:t>
      </w:r>
      <w:r w:rsidR="002830A2" w:rsidRPr="009B3DDE">
        <w:rPr>
          <w:rFonts w:ascii="Helvetica" w:hAnsi="Helvetica"/>
          <w:szCs w:val="24"/>
        </w:rPr>
        <w:t>aluing non-market impacts” for value, utility, welfare and well-being (pages 57-58 HM Treasury</w:t>
      </w:r>
      <w:r w:rsidR="00A2080F" w:rsidRPr="009B3DDE">
        <w:rPr>
          <w:rFonts w:ascii="Helvetica" w:hAnsi="Helvetica"/>
          <w:szCs w:val="24"/>
        </w:rPr>
        <w:t>,</w:t>
      </w:r>
      <w:r w:rsidR="002830A2" w:rsidRPr="009B3DDE">
        <w:rPr>
          <w:rFonts w:ascii="Helvetica" w:hAnsi="Helvetica"/>
          <w:szCs w:val="24"/>
        </w:rPr>
        <w:t xml:space="preserve"> </w:t>
      </w:r>
      <w:r w:rsidR="00A2080F" w:rsidRPr="009B3DDE">
        <w:rPr>
          <w:rFonts w:ascii="Helvetica" w:hAnsi="Helvetica"/>
          <w:szCs w:val="24"/>
        </w:rPr>
        <w:t>2013</w:t>
      </w:r>
      <w:r w:rsidR="002830A2" w:rsidRPr="009B3DDE">
        <w:rPr>
          <w:rFonts w:ascii="Helvetica" w:hAnsi="Helvetica"/>
          <w:szCs w:val="24"/>
        </w:rPr>
        <w:t xml:space="preserve">, Green Book). This </w:t>
      </w:r>
      <w:r w:rsidR="00197DE4" w:rsidRPr="009B3DDE">
        <w:rPr>
          <w:rFonts w:ascii="Helvetica" w:hAnsi="Helvetica"/>
          <w:szCs w:val="24"/>
        </w:rPr>
        <w:t xml:space="preserve">methodology </w:t>
      </w:r>
      <w:r w:rsidR="004C118A" w:rsidRPr="009B3DDE">
        <w:rPr>
          <w:rFonts w:ascii="Helvetica" w:hAnsi="Helvetica"/>
          <w:szCs w:val="24"/>
        </w:rPr>
        <w:t>takes into account social costs and benefit</w:t>
      </w:r>
      <w:r w:rsidR="002830A2" w:rsidRPr="009B3DDE">
        <w:rPr>
          <w:rFonts w:ascii="Helvetica" w:hAnsi="Helvetica"/>
          <w:szCs w:val="24"/>
        </w:rPr>
        <w:t>s and attempts to quantify non-market impacts of health, educational success, family and community stability and environmental assets</w:t>
      </w:r>
      <w:r w:rsidR="00197DE4" w:rsidRPr="009B3DDE">
        <w:rPr>
          <w:rFonts w:ascii="Helvetica" w:hAnsi="Helvetica"/>
          <w:szCs w:val="24"/>
        </w:rPr>
        <w:t xml:space="preserve">. </w:t>
      </w:r>
      <w:r w:rsidR="008804DF" w:rsidRPr="009B3DDE">
        <w:rPr>
          <w:rFonts w:ascii="Helvetica" w:hAnsi="Helvetica"/>
          <w:szCs w:val="24"/>
        </w:rPr>
        <w:t>These are welcome extensions.</w:t>
      </w:r>
    </w:p>
    <w:p w14:paraId="547BDADF" w14:textId="20C0949C" w:rsidR="00DD20DE" w:rsidRPr="009B3DDE" w:rsidRDefault="00197DE4" w:rsidP="009B3DDE">
      <w:pPr>
        <w:autoSpaceDE w:val="0"/>
        <w:autoSpaceDN w:val="0"/>
        <w:adjustRightInd w:val="0"/>
        <w:spacing w:after="240" w:line="480" w:lineRule="auto"/>
        <w:jc w:val="both"/>
        <w:rPr>
          <w:rFonts w:ascii="Helvetica" w:hAnsi="Helvetica"/>
          <w:szCs w:val="24"/>
        </w:rPr>
      </w:pPr>
      <w:r w:rsidRPr="009B3DDE">
        <w:rPr>
          <w:rFonts w:ascii="Helvetica" w:hAnsi="Helvetica"/>
          <w:szCs w:val="24"/>
        </w:rPr>
        <w:lastRenderedPageBreak/>
        <w:t xml:space="preserve">However, </w:t>
      </w:r>
      <w:r w:rsidR="008804DF" w:rsidRPr="009B3DDE">
        <w:rPr>
          <w:rFonts w:ascii="Helvetica" w:hAnsi="Helvetica"/>
          <w:szCs w:val="24"/>
        </w:rPr>
        <w:t xml:space="preserve">in transport appraisals, the methodology used favours the capital as it includes the </w:t>
      </w:r>
      <w:r w:rsidR="00C810AB" w:rsidRPr="009B3DDE">
        <w:rPr>
          <w:rFonts w:ascii="Helvetica" w:hAnsi="Helvetica"/>
          <w:szCs w:val="24"/>
        </w:rPr>
        <w:t xml:space="preserve">‘wider’ </w:t>
      </w:r>
      <w:r w:rsidR="008804DF" w:rsidRPr="009B3DDE">
        <w:rPr>
          <w:rFonts w:ascii="Helvetica" w:hAnsi="Helvetica"/>
          <w:szCs w:val="24"/>
        </w:rPr>
        <w:t>benefits of agglomeration impacts, dependent development and increases in more productive jobs</w:t>
      </w:r>
      <w:r w:rsidR="00A2080F" w:rsidRPr="009B3DDE">
        <w:rPr>
          <w:rFonts w:ascii="Helvetica" w:hAnsi="Helvetica"/>
          <w:szCs w:val="24"/>
        </w:rPr>
        <w:t xml:space="preserve">. </w:t>
      </w:r>
      <w:r w:rsidR="007C6DC4" w:rsidRPr="009B3DDE">
        <w:rPr>
          <w:rFonts w:ascii="Helvetica" w:hAnsi="Helvetica"/>
          <w:szCs w:val="24"/>
        </w:rPr>
        <w:t xml:space="preserve">This implies that projects in areas which are already the </w:t>
      </w:r>
      <w:r w:rsidR="008804DF" w:rsidRPr="009B3DDE">
        <w:rPr>
          <w:rFonts w:ascii="Helvetica" w:hAnsi="Helvetica"/>
          <w:szCs w:val="24"/>
        </w:rPr>
        <w:t xml:space="preserve">densest, with the highest land values, and the </w:t>
      </w:r>
      <w:r w:rsidR="007C6DC4" w:rsidRPr="009B3DDE">
        <w:rPr>
          <w:rFonts w:ascii="Helvetica" w:hAnsi="Helvetica"/>
          <w:szCs w:val="24"/>
        </w:rPr>
        <w:t>most productive</w:t>
      </w:r>
      <w:r w:rsidR="008804DF" w:rsidRPr="009B3DDE">
        <w:rPr>
          <w:rFonts w:ascii="Helvetica" w:hAnsi="Helvetica"/>
          <w:szCs w:val="24"/>
        </w:rPr>
        <w:t xml:space="preserve"> jobs</w:t>
      </w:r>
      <w:r w:rsidR="007C6DC4" w:rsidRPr="009B3DDE">
        <w:rPr>
          <w:rFonts w:ascii="Helvetica" w:hAnsi="Helvetica"/>
          <w:szCs w:val="24"/>
        </w:rPr>
        <w:t xml:space="preserve"> will continue to score higher in appraisals of benefits</w:t>
      </w:r>
      <w:r w:rsidR="009B1EFA" w:rsidRPr="009B3DDE">
        <w:rPr>
          <w:rFonts w:ascii="Helvetica" w:hAnsi="Helvetica"/>
          <w:szCs w:val="24"/>
        </w:rPr>
        <w:t xml:space="preserve">. </w:t>
      </w:r>
      <w:r w:rsidR="008804DF" w:rsidRPr="009B3DDE">
        <w:rPr>
          <w:rFonts w:ascii="Helvetica" w:hAnsi="Helvetica"/>
          <w:szCs w:val="24"/>
        </w:rPr>
        <w:t>Investment in the future is determined by past success, giving</w:t>
      </w:r>
      <w:r w:rsidR="004C310D" w:rsidRPr="009B3DDE">
        <w:rPr>
          <w:rFonts w:ascii="Helvetica" w:hAnsi="Helvetica"/>
          <w:szCs w:val="24"/>
        </w:rPr>
        <w:t xml:space="preserve"> rise to a ‘Matthew Effect’ whereby further infrastructure investment occurs in </w:t>
      </w:r>
      <w:r w:rsidR="004C118A" w:rsidRPr="009B3DDE">
        <w:rPr>
          <w:rFonts w:ascii="Helvetica" w:hAnsi="Helvetica"/>
          <w:szCs w:val="24"/>
        </w:rPr>
        <w:t xml:space="preserve">places that are already </w:t>
      </w:r>
      <w:r w:rsidR="008804DF" w:rsidRPr="009B3DDE">
        <w:rPr>
          <w:rFonts w:ascii="Helvetica" w:hAnsi="Helvetica"/>
          <w:szCs w:val="24"/>
        </w:rPr>
        <w:t>successful</w:t>
      </w:r>
      <w:r w:rsidR="004C118A" w:rsidRPr="009B3DDE">
        <w:rPr>
          <w:rFonts w:ascii="Helvetica" w:hAnsi="Helvetica"/>
          <w:szCs w:val="24"/>
        </w:rPr>
        <w:t>.</w:t>
      </w:r>
      <w:r w:rsidR="00C84415" w:rsidRPr="009B3DDE">
        <w:rPr>
          <w:rStyle w:val="EndnoteReference"/>
          <w:rFonts w:ascii="Helvetica" w:hAnsi="Helvetica"/>
          <w:szCs w:val="24"/>
        </w:rPr>
        <w:endnoteReference w:id="2"/>
      </w:r>
      <w:r w:rsidR="00C84415" w:rsidRPr="009B3DDE">
        <w:rPr>
          <w:rFonts w:ascii="Helvetica" w:hAnsi="Helvetica"/>
          <w:szCs w:val="24"/>
        </w:rPr>
        <w:t xml:space="preserve"> </w:t>
      </w:r>
      <w:r w:rsidR="000B0754" w:rsidRPr="009B3DDE">
        <w:rPr>
          <w:rFonts w:ascii="Helvetica" w:hAnsi="Helvetica"/>
          <w:szCs w:val="24"/>
        </w:rPr>
        <w:t xml:space="preserve">As Merton (1968) observed, this feedback effect means there is a self-fulfilling character to many policy interventions. </w:t>
      </w:r>
      <w:r w:rsidR="00F22157" w:rsidRPr="009B3DDE">
        <w:rPr>
          <w:rFonts w:ascii="Helvetica" w:hAnsi="Helvetica"/>
          <w:szCs w:val="24"/>
        </w:rPr>
        <w:t xml:space="preserve">In this paper </w:t>
      </w:r>
      <w:r w:rsidR="006C7B78" w:rsidRPr="009B3DDE">
        <w:rPr>
          <w:rFonts w:ascii="Helvetica" w:hAnsi="Helvetica"/>
          <w:szCs w:val="24"/>
        </w:rPr>
        <w:t>we discuss th</w:t>
      </w:r>
      <w:r w:rsidR="00DD20DE" w:rsidRPr="009B3DDE">
        <w:rPr>
          <w:rFonts w:ascii="Helvetica" w:hAnsi="Helvetica"/>
          <w:szCs w:val="24"/>
        </w:rPr>
        <w:t>e</w:t>
      </w:r>
      <w:r w:rsidR="006C7B78" w:rsidRPr="009B3DDE">
        <w:rPr>
          <w:rFonts w:ascii="Helvetica" w:hAnsi="Helvetica"/>
          <w:szCs w:val="24"/>
        </w:rPr>
        <w:t xml:space="preserve"> </w:t>
      </w:r>
      <w:r w:rsidR="00DD20DE" w:rsidRPr="009B3DDE">
        <w:rPr>
          <w:rFonts w:ascii="Helvetica" w:hAnsi="Helvetica"/>
          <w:szCs w:val="24"/>
        </w:rPr>
        <w:t>skew delivered by</w:t>
      </w:r>
      <w:r w:rsidR="006C7B78" w:rsidRPr="009B3DDE">
        <w:rPr>
          <w:rFonts w:ascii="Helvetica" w:hAnsi="Helvetica"/>
          <w:szCs w:val="24"/>
        </w:rPr>
        <w:t xml:space="preserve"> the </w:t>
      </w:r>
      <w:r w:rsidR="008804DF" w:rsidRPr="009B3DDE">
        <w:rPr>
          <w:rFonts w:ascii="Helvetica" w:hAnsi="Helvetica"/>
          <w:szCs w:val="24"/>
        </w:rPr>
        <w:t xml:space="preserve">transport appraisal </w:t>
      </w:r>
      <w:r w:rsidR="006C7B78" w:rsidRPr="009B3DDE">
        <w:rPr>
          <w:rFonts w:ascii="Helvetica" w:hAnsi="Helvetica"/>
          <w:szCs w:val="24"/>
        </w:rPr>
        <w:t>methodology as set out in the Green Book</w:t>
      </w:r>
      <w:r w:rsidR="008804DF" w:rsidRPr="009B3DDE">
        <w:rPr>
          <w:rFonts w:ascii="Helvetica" w:hAnsi="Helvetica"/>
          <w:szCs w:val="24"/>
        </w:rPr>
        <w:t xml:space="preserve"> and Department for Transport guides</w:t>
      </w:r>
      <w:r w:rsidR="00A75EE3" w:rsidRPr="009B3DDE">
        <w:rPr>
          <w:rFonts w:ascii="Helvetica" w:hAnsi="Helvetica"/>
          <w:szCs w:val="24"/>
        </w:rPr>
        <w:t xml:space="preserve">; </w:t>
      </w:r>
      <w:r w:rsidR="006C7B78" w:rsidRPr="009B3DDE">
        <w:rPr>
          <w:rFonts w:ascii="Helvetica" w:hAnsi="Helvetica"/>
          <w:szCs w:val="24"/>
        </w:rPr>
        <w:t xml:space="preserve">and discuss the flaws in the methodology that mean it is a poor tool for taking a long term view about the economy and in particular the spatial aspect of growth. </w:t>
      </w:r>
      <w:r w:rsidR="008804DF" w:rsidRPr="009B3DDE">
        <w:rPr>
          <w:rFonts w:ascii="Helvetica" w:hAnsi="Helvetica"/>
          <w:szCs w:val="24"/>
        </w:rPr>
        <w:t>We also highlight the role politics inevitably plays in major investment decisions, as even where projects outside the South East that pass cost-benefit hurdles are much less likely to be approved. A strategic view about regional economic balance in the UK requires political commitment as well as a refined methodological approach.</w:t>
      </w:r>
    </w:p>
    <w:p w14:paraId="37E0039B" w14:textId="6ED93E6A" w:rsidR="004C310D" w:rsidRPr="009B3DDE" w:rsidRDefault="006C7B78" w:rsidP="009B3DDE">
      <w:pPr>
        <w:autoSpaceDE w:val="0"/>
        <w:autoSpaceDN w:val="0"/>
        <w:adjustRightInd w:val="0"/>
        <w:spacing w:after="240" w:line="480" w:lineRule="auto"/>
        <w:jc w:val="both"/>
        <w:rPr>
          <w:rFonts w:ascii="Helvetica" w:hAnsi="Helvetica" w:cs="Times"/>
          <w:color w:val="000000"/>
          <w:szCs w:val="24"/>
          <w:lang w:val="en-US"/>
        </w:rPr>
      </w:pPr>
      <w:r w:rsidRPr="009B3DDE">
        <w:rPr>
          <w:rFonts w:ascii="Helvetica" w:hAnsi="Helvetica"/>
          <w:szCs w:val="24"/>
        </w:rPr>
        <w:t xml:space="preserve">The </w:t>
      </w:r>
      <w:r w:rsidR="00040DDB" w:rsidRPr="009B3DDE">
        <w:rPr>
          <w:rFonts w:ascii="Helvetica" w:hAnsi="Helvetica"/>
          <w:szCs w:val="24"/>
        </w:rPr>
        <w:t xml:space="preserve">next section will </w:t>
      </w:r>
      <w:r w:rsidR="00DD20DE" w:rsidRPr="009B3DDE">
        <w:rPr>
          <w:rFonts w:ascii="Helvetica" w:hAnsi="Helvetica"/>
          <w:szCs w:val="24"/>
        </w:rPr>
        <w:t>describe</w:t>
      </w:r>
      <w:r w:rsidR="00040DDB" w:rsidRPr="009B3DDE">
        <w:rPr>
          <w:rFonts w:ascii="Helvetica" w:hAnsi="Helvetica"/>
          <w:szCs w:val="24"/>
        </w:rPr>
        <w:t xml:space="preserve"> the </w:t>
      </w:r>
      <w:r w:rsidR="00DD20DE" w:rsidRPr="009B3DDE">
        <w:rPr>
          <w:rFonts w:ascii="Helvetica" w:hAnsi="Helvetica"/>
          <w:szCs w:val="24"/>
        </w:rPr>
        <w:t xml:space="preserve">data </w:t>
      </w:r>
      <w:r w:rsidR="00040DDB" w:rsidRPr="009B3DDE">
        <w:rPr>
          <w:rFonts w:ascii="Helvetica" w:hAnsi="Helvetica"/>
          <w:szCs w:val="24"/>
        </w:rPr>
        <w:t>on transport infrastructure spending</w:t>
      </w:r>
      <w:r w:rsidR="00D308EE" w:rsidRPr="009B3DDE">
        <w:rPr>
          <w:rFonts w:ascii="Helvetica" w:hAnsi="Helvetica"/>
          <w:szCs w:val="24"/>
        </w:rPr>
        <w:t xml:space="preserve"> in the UK, and its </w:t>
      </w:r>
      <w:r w:rsidR="008804DF" w:rsidRPr="009B3DDE">
        <w:rPr>
          <w:rFonts w:ascii="Helvetica" w:hAnsi="Helvetica"/>
          <w:szCs w:val="24"/>
        </w:rPr>
        <w:t xml:space="preserve">regional </w:t>
      </w:r>
      <w:r w:rsidR="00D273DF" w:rsidRPr="009B3DDE">
        <w:rPr>
          <w:rFonts w:ascii="Helvetica" w:hAnsi="Helvetica"/>
          <w:szCs w:val="24"/>
        </w:rPr>
        <w:t>skew</w:t>
      </w:r>
      <w:r w:rsidR="00040DDB" w:rsidRPr="009B3DDE">
        <w:rPr>
          <w:rFonts w:ascii="Helvetica" w:hAnsi="Helvetica"/>
          <w:szCs w:val="24"/>
        </w:rPr>
        <w:t xml:space="preserve">. </w:t>
      </w:r>
      <w:r w:rsidR="00DD20DE" w:rsidRPr="009B3DDE">
        <w:rPr>
          <w:rFonts w:ascii="Helvetica" w:hAnsi="Helvetica"/>
          <w:szCs w:val="24"/>
        </w:rPr>
        <w:t>We then consider</w:t>
      </w:r>
      <w:r w:rsidR="00040DDB" w:rsidRPr="009B3DDE">
        <w:rPr>
          <w:rFonts w:ascii="Helvetica" w:hAnsi="Helvetica"/>
          <w:szCs w:val="24"/>
        </w:rPr>
        <w:t xml:space="preserve"> the cost-benefit analysis </w:t>
      </w:r>
      <w:r w:rsidR="00D308EE" w:rsidRPr="009B3DDE">
        <w:rPr>
          <w:rFonts w:ascii="Helvetica" w:hAnsi="Helvetica"/>
          <w:szCs w:val="24"/>
        </w:rPr>
        <w:t xml:space="preserve">(CBA) </w:t>
      </w:r>
      <w:r w:rsidR="008804DF" w:rsidRPr="009B3DDE">
        <w:rPr>
          <w:rFonts w:ascii="Helvetica" w:hAnsi="Helvetica"/>
          <w:szCs w:val="24"/>
        </w:rPr>
        <w:t xml:space="preserve">and appraisal </w:t>
      </w:r>
      <w:r w:rsidR="00040DDB" w:rsidRPr="009B3DDE">
        <w:rPr>
          <w:rFonts w:ascii="Helvetica" w:hAnsi="Helvetica"/>
          <w:szCs w:val="24"/>
        </w:rPr>
        <w:t>method</w:t>
      </w:r>
      <w:r w:rsidR="00D273DF" w:rsidRPr="009B3DDE">
        <w:rPr>
          <w:rFonts w:ascii="Helvetica" w:hAnsi="Helvetica"/>
          <w:szCs w:val="24"/>
        </w:rPr>
        <w:t>ology</w:t>
      </w:r>
      <w:r w:rsidR="00040DDB" w:rsidRPr="009B3DDE">
        <w:rPr>
          <w:rFonts w:ascii="Helvetica" w:hAnsi="Helvetica"/>
          <w:szCs w:val="24"/>
        </w:rPr>
        <w:t xml:space="preserve"> used in the UK</w:t>
      </w:r>
      <w:r w:rsidR="00A75EE3" w:rsidRPr="009B3DDE">
        <w:rPr>
          <w:rFonts w:ascii="Helvetica" w:hAnsi="Helvetica"/>
          <w:szCs w:val="24"/>
        </w:rPr>
        <w:t>,</w:t>
      </w:r>
      <w:r w:rsidR="00040DDB" w:rsidRPr="009B3DDE">
        <w:rPr>
          <w:rFonts w:ascii="Helvetica" w:hAnsi="Helvetica"/>
          <w:szCs w:val="24"/>
        </w:rPr>
        <w:t xml:space="preserve"> </w:t>
      </w:r>
      <w:r w:rsidR="00DD20DE" w:rsidRPr="009B3DDE">
        <w:rPr>
          <w:rFonts w:ascii="Helvetica" w:hAnsi="Helvetica"/>
          <w:szCs w:val="24"/>
        </w:rPr>
        <w:t xml:space="preserve">and </w:t>
      </w:r>
      <w:r w:rsidR="00D308EE" w:rsidRPr="009B3DDE">
        <w:rPr>
          <w:rFonts w:ascii="Helvetica" w:hAnsi="Helvetica"/>
          <w:szCs w:val="24"/>
        </w:rPr>
        <w:t xml:space="preserve">why that may result in an increasing </w:t>
      </w:r>
      <w:r w:rsidR="00DD20DE" w:rsidRPr="009B3DDE">
        <w:rPr>
          <w:rFonts w:ascii="Helvetica" w:hAnsi="Helvetica"/>
          <w:szCs w:val="24"/>
        </w:rPr>
        <w:t>regional skew</w:t>
      </w:r>
      <w:r w:rsidR="00040DDB" w:rsidRPr="009B3DDE">
        <w:rPr>
          <w:rFonts w:ascii="Helvetica" w:hAnsi="Helvetica"/>
          <w:szCs w:val="24"/>
        </w:rPr>
        <w:t xml:space="preserve">. </w:t>
      </w:r>
      <w:r w:rsidR="00D273DF" w:rsidRPr="009B3DDE">
        <w:rPr>
          <w:rFonts w:ascii="Helvetica" w:hAnsi="Helvetica"/>
          <w:szCs w:val="24"/>
        </w:rPr>
        <w:t xml:space="preserve">We argue that the recent Green Book revisions will not overcome this feature of the </w:t>
      </w:r>
      <w:r w:rsidR="00E00E53" w:rsidRPr="009B3DDE">
        <w:rPr>
          <w:rFonts w:ascii="Helvetica" w:hAnsi="Helvetica"/>
          <w:szCs w:val="24"/>
        </w:rPr>
        <w:t>appraisal methods</w:t>
      </w:r>
      <w:r w:rsidR="008804DF" w:rsidRPr="009B3DDE">
        <w:rPr>
          <w:rFonts w:ascii="Helvetica" w:hAnsi="Helvetica"/>
          <w:szCs w:val="24"/>
        </w:rPr>
        <w:t xml:space="preserve">, and a new ‘Rebalancing Toolkit’ </w:t>
      </w:r>
      <w:r w:rsidR="00E00E53" w:rsidRPr="009B3DDE">
        <w:rPr>
          <w:rFonts w:ascii="Helvetica" w:hAnsi="Helvetica"/>
          <w:szCs w:val="24"/>
        </w:rPr>
        <w:t>(Department for Transport, 2017</w:t>
      </w:r>
      <w:r w:rsidR="00EA1002" w:rsidRPr="009B3DDE">
        <w:rPr>
          <w:rFonts w:ascii="Helvetica" w:hAnsi="Helvetica"/>
          <w:szCs w:val="24"/>
        </w:rPr>
        <w:t>a</w:t>
      </w:r>
      <w:r w:rsidR="00E00E53" w:rsidRPr="009B3DDE">
        <w:rPr>
          <w:rFonts w:ascii="Helvetica" w:hAnsi="Helvetica"/>
          <w:szCs w:val="24"/>
        </w:rPr>
        <w:t xml:space="preserve">) intended to </w:t>
      </w:r>
      <w:r w:rsidR="00E00E53" w:rsidRPr="009B3DDE">
        <w:rPr>
          <w:rFonts w:ascii="Helvetica" w:hAnsi="Helvetica"/>
          <w:szCs w:val="24"/>
        </w:rPr>
        <w:lastRenderedPageBreak/>
        <w:t xml:space="preserve">supplement the appraisal processes </w:t>
      </w:r>
      <w:r w:rsidR="00BD6E92" w:rsidRPr="009B3DDE">
        <w:rPr>
          <w:rFonts w:ascii="Helvetica" w:hAnsi="Helvetica"/>
          <w:szCs w:val="24"/>
        </w:rPr>
        <w:t xml:space="preserve">remains </w:t>
      </w:r>
      <w:r w:rsidR="00E00E53" w:rsidRPr="009B3DDE">
        <w:rPr>
          <w:rFonts w:ascii="Helvetica" w:hAnsi="Helvetica"/>
          <w:szCs w:val="24"/>
        </w:rPr>
        <w:t>unlikely to change the skew</w:t>
      </w:r>
      <w:r w:rsidR="00D273DF" w:rsidRPr="009B3DDE">
        <w:rPr>
          <w:rFonts w:ascii="Helvetica" w:hAnsi="Helvetica"/>
          <w:szCs w:val="24"/>
        </w:rPr>
        <w:t xml:space="preserve">. </w:t>
      </w:r>
      <w:r w:rsidR="00D308EE" w:rsidRPr="009B3DDE">
        <w:rPr>
          <w:rFonts w:ascii="Helvetica" w:hAnsi="Helvetica"/>
          <w:szCs w:val="24"/>
        </w:rPr>
        <w:t xml:space="preserve">This can </w:t>
      </w:r>
      <w:r w:rsidR="00D273DF" w:rsidRPr="009B3DDE">
        <w:rPr>
          <w:rFonts w:ascii="Helvetica" w:hAnsi="Helvetica"/>
          <w:szCs w:val="24"/>
        </w:rPr>
        <w:t>change, however,</w:t>
      </w:r>
      <w:r w:rsidR="00D308EE" w:rsidRPr="009B3DDE">
        <w:rPr>
          <w:rFonts w:ascii="Helvetica" w:hAnsi="Helvetica"/>
          <w:szCs w:val="24"/>
        </w:rPr>
        <w:t xml:space="preserve"> if</w:t>
      </w:r>
      <w:r w:rsidR="00157DC1" w:rsidRPr="009B3DDE">
        <w:rPr>
          <w:rFonts w:ascii="Helvetica" w:hAnsi="Helvetica"/>
          <w:szCs w:val="24"/>
        </w:rPr>
        <w:t xml:space="preserve"> </w:t>
      </w:r>
      <w:r w:rsidR="00D308EE" w:rsidRPr="009B3DDE">
        <w:rPr>
          <w:rFonts w:ascii="Helvetica" w:hAnsi="Helvetica"/>
          <w:szCs w:val="24"/>
        </w:rPr>
        <w:t xml:space="preserve">decisions about significant investments </w:t>
      </w:r>
      <w:r w:rsidR="00F22157" w:rsidRPr="009B3DDE">
        <w:rPr>
          <w:rFonts w:ascii="Helvetica" w:hAnsi="Helvetica"/>
          <w:szCs w:val="24"/>
        </w:rPr>
        <w:t>explicitly incorporate a strategic view about economic development for the whole of the UK</w:t>
      </w:r>
      <w:r w:rsidR="00D308EE" w:rsidRPr="009B3DDE">
        <w:rPr>
          <w:rFonts w:ascii="Helvetica" w:hAnsi="Helvetica"/>
          <w:szCs w:val="24"/>
        </w:rPr>
        <w:t>, as the economic theory underpinning CBA implies should be the case</w:t>
      </w:r>
      <w:r w:rsidR="004C118A" w:rsidRPr="009B3DDE">
        <w:rPr>
          <w:rFonts w:ascii="Helvetica" w:hAnsi="Helvetica"/>
          <w:szCs w:val="24"/>
        </w:rPr>
        <w:t xml:space="preserve">. Rather than only investing in already highly productive places, this would enable public infrastructure investment to reflect the government’s </w:t>
      </w:r>
      <w:r w:rsidR="00DD20DE" w:rsidRPr="009B3DDE">
        <w:rPr>
          <w:rFonts w:ascii="Helvetica" w:hAnsi="Helvetica"/>
          <w:szCs w:val="24"/>
        </w:rPr>
        <w:t xml:space="preserve">strategic </w:t>
      </w:r>
      <w:r w:rsidR="004C118A" w:rsidRPr="009B3DDE">
        <w:rPr>
          <w:rFonts w:ascii="Helvetica" w:hAnsi="Helvetica"/>
          <w:szCs w:val="24"/>
        </w:rPr>
        <w:t>view about potential productivity gains – potential that government actions could themselves help realise</w:t>
      </w:r>
      <w:r w:rsidR="00D308EE" w:rsidRPr="009B3DDE">
        <w:rPr>
          <w:rFonts w:ascii="Helvetica" w:hAnsi="Helvetica"/>
          <w:szCs w:val="24"/>
        </w:rPr>
        <w:t>, given the self-</w:t>
      </w:r>
      <w:r w:rsidR="00BD6E92" w:rsidRPr="009B3DDE">
        <w:rPr>
          <w:rFonts w:ascii="Helvetica" w:hAnsi="Helvetica"/>
          <w:szCs w:val="24"/>
        </w:rPr>
        <w:t xml:space="preserve">fulfilling </w:t>
      </w:r>
      <w:r w:rsidR="00D308EE" w:rsidRPr="009B3DDE">
        <w:rPr>
          <w:rFonts w:ascii="Helvetica" w:hAnsi="Helvetica"/>
          <w:szCs w:val="24"/>
        </w:rPr>
        <w:t xml:space="preserve">character of some </w:t>
      </w:r>
      <w:r w:rsidR="00BD6E92" w:rsidRPr="009B3DDE">
        <w:rPr>
          <w:rFonts w:ascii="Helvetica" w:hAnsi="Helvetica"/>
          <w:szCs w:val="24"/>
        </w:rPr>
        <w:t>policies</w:t>
      </w:r>
      <w:r w:rsidR="00F22157" w:rsidRPr="009B3DDE">
        <w:rPr>
          <w:rFonts w:ascii="Helvetica" w:hAnsi="Helvetica"/>
          <w:szCs w:val="24"/>
        </w:rPr>
        <w:t>.</w:t>
      </w:r>
      <w:r w:rsidR="004C118A" w:rsidRPr="009B3DDE">
        <w:rPr>
          <w:rFonts w:ascii="Helvetica" w:hAnsi="Helvetica"/>
          <w:szCs w:val="24"/>
        </w:rPr>
        <w:t xml:space="preserve"> </w:t>
      </w:r>
      <w:r w:rsidR="00A75EE3" w:rsidRPr="009B3DDE">
        <w:rPr>
          <w:rFonts w:ascii="Helvetica" w:hAnsi="Helvetica"/>
          <w:szCs w:val="24"/>
        </w:rPr>
        <w:t xml:space="preserve">We </w:t>
      </w:r>
      <w:r w:rsidR="00DD20DE" w:rsidRPr="009B3DDE">
        <w:rPr>
          <w:rFonts w:ascii="Helvetica" w:hAnsi="Helvetica"/>
          <w:szCs w:val="24"/>
        </w:rPr>
        <w:t>conclude by discussing</w:t>
      </w:r>
      <w:r w:rsidR="00083E59" w:rsidRPr="009B3DDE">
        <w:rPr>
          <w:rFonts w:ascii="Helvetica" w:hAnsi="Helvetica"/>
          <w:szCs w:val="24"/>
        </w:rPr>
        <w:t xml:space="preserve"> the need for a revised approach to infrastructure investment in the context of both the case for a</w:t>
      </w:r>
      <w:r w:rsidR="007F2D0B" w:rsidRPr="009B3DDE">
        <w:rPr>
          <w:rFonts w:ascii="Helvetica" w:hAnsi="Helvetica"/>
          <w:szCs w:val="24"/>
        </w:rPr>
        <w:t xml:space="preserve"> sustainable</w:t>
      </w:r>
      <w:r w:rsidR="00083E59" w:rsidRPr="009B3DDE">
        <w:rPr>
          <w:rFonts w:ascii="Helvetica" w:hAnsi="Helvetica"/>
          <w:szCs w:val="24"/>
        </w:rPr>
        <w:t xml:space="preserve"> Industrial Strategy to raise national productivity, and the political dynamics of English city devolution and the ‘left behind’ places. </w:t>
      </w:r>
    </w:p>
    <w:p w14:paraId="7F0148F6" w14:textId="77777777" w:rsidR="00083E59" w:rsidRPr="009B3DDE" w:rsidRDefault="00083E59" w:rsidP="009B3DDE">
      <w:pPr>
        <w:spacing w:line="480" w:lineRule="auto"/>
        <w:jc w:val="both"/>
        <w:rPr>
          <w:rFonts w:ascii="Helvetica" w:hAnsi="Helvetica"/>
          <w:szCs w:val="24"/>
        </w:rPr>
      </w:pPr>
    </w:p>
    <w:p w14:paraId="5447A5D1" w14:textId="75D97D0D" w:rsidR="00125A87" w:rsidRPr="007A5158" w:rsidRDefault="002D32F1" w:rsidP="009B3DDE">
      <w:pPr>
        <w:spacing w:line="480" w:lineRule="auto"/>
        <w:jc w:val="both"/>
        <w:rPr>
          <w:rFonts w:ascii="Helvetica" w:hAnsi="Helvetica"/>
          <w:szCs w:val="24"/>
        </w:rPr>
      </w:pPr>
      <w:r w:rsidRPr="007A5158">
        <w:rPr>
          <w:rFonts w:ascii="Helvetica" w:hAnsi="Helvetica"/>
          <w:szCs w:val="24"/>
        </w:rPr>
        <w:t>REGIONAL DISPARITIES AND TRANSPORT INFRASTRUCTURE SPENDING IN THE UK</w:t>
      </w:r>
    </w:p>
    <w:p w14:paraId="0025841A" w14:textId="77777777" w:rsidR="007C61F9" w:rsidRPr="009B3DDE" w:rsidRDefault="007C61F9" w:rsidP="009B3DDE">
      <w:pPr>
        <w:spacing w:line="480" w:lineRule="auto"/>
        <w:jc w:val="both"/>
        <w:rPr>
          <w:rFonts w:ascii="Helvetica" w:hAnsi="Helvetica"/>
          <w:szCs w:val="24"/>
        </w:rPr>
      </w:pPr>
    </w:p>
    <w:p w14:paraId="32C117D2" w14:textId="12548A41" w:rsidR="00CB3192" w:rsidRPr="009B3DDE" w:rsidRDefault="00306816" w:rsidP="009B3DDE">
      <w:pPr>
        <w:spacing w:line="480" w:lineRule="auto"/>
        <w:jc w:val="both"/>
        <w:rPr>
          <w:rFonts w:ascii="Helvetica" w:hAnsi="Helvetica"/>
          <w:szCs w:val="24"/>
        </w:rPr>
      </w:pPr>
      <w:r w:rsidRPr="009B3DDE">
        <w:rPr>
          <w:rFonts w:ascii="Helvetica" w:hAnsi="Helvetica"/>
          <w:szCs w:val="24"/>
        </w:rPr>
        <w:t xml:space="preserve">There is </w:t>
      </w:r>
      <w:r w:rsidR="00A75EE3" w:rsidRPr="009B3DDE">
        <w:rPr>
          <w:rFonts w:ascii="Helvetica" w:hAnsi="Helvetica"/>
          <w:szCs w:val="24"/>
        </w:rPr>
        <w:t>wide</w:t>
      </w:r>
      <w:r w:rsidRPr="009B3DDE">
        <w:rPr>
          <w:rFonts w:ascii="Helvetica" w:hAnsi="Helvetica"/>
          <w:szCs w:val="24"/>
        </w:rPr>
        <w:t xml:space="preserve"> regional economic disparity in the UK </w:t>
      </w:r>
      <w:r w:rsidR="009B1EFA" w:rsidRPr="009B3DDE">
        <w:rPr>
          <w:rFonts w:ascii="Helvetica" w:hAnsi="Helvetica"/>
          <w:szCs w:val="24"/>
        </w:rPr>
        <w:t xml:space="preserve">between productivity per head in London and other English regions along with Scotland, Wales and Northern Ireland. </w:t>
      </w:r>
      <w:r w:rsidR="007C61F9" w:rsidRPr="00C84415">
        <w:rPr>
          <w:rFonts w:ascii="Helvetica" w:hAnsi="Helvetica"/>
          <w:szCs w:val="24"/>
        </w:rPr>
        <w:t>Real</w:t>
      </w:r>
      <w:r w:rsidR="000C33F6" w:rsidRPr="00C84415">
        <w:rPr>
          <w:rFonts w:ascii="Helvetica" w:hAnsi="Helvetica"/>
          <w:szCs w:val="24"/>
        </w:rPr>
        <w:t xml:space="preserve"> productivity for each region </w:t>
      </w:r>
      <w:r w:rsidR="007C61F9" w:rsidRPr="00C84415">
        <w:rPr>
          <w:rFonts w:ascii="Helvetica" w:hAnsi="Helvetica"/>
          <w:szCs w:val="24"/>
        </w:rPr>
        <w:t>is calculated as the</w:t>
      </w:r>
      <w:r w:rsidR="000C33F6" w:rsidRPr="00C84415">
        <w:rPr>
          <w:rFonts w:ascii="Helvetica" w:hAnsi="Helvetica"/>
          <w:szCs w:val="24"/>
        </w:rPr>
        <w:t xml:space="preserve"> ONS (2018a) estimate of real GVA (in 2016 pounds) </w:t>
      </w:r>
      <w:r w:rsidR="007C61F9" w:rsidRPr="00C84415">
        <w:rPr>
          <w:rFonts w:ascii="Helvetica" w:hAnsi="Helvetica"/>
          <w:szCs w:val="24"/>
        </w:rPr>
        <w:t xml:space="preserve">divided </w:t>
      </w:r>
      <w:r w:rsidR="000C33F6" w:rsidRPr="00C84415">
        <w:rPr>
          <w:rFonts w:ascii="Helvetica" w:hAnsi="Helvetica"/>
          <w:szCs w:val="24"/>
        </w:rPr>
        <w:t xml:space="preserve">by the ONS (2018b) productivity jobs figures. </w:t>
      </w:r>
      <w:r w:rsidRPr="00C84415">
        <w:rPr>
          <w:rFonts w:ascii="Helvetica" w:hAnsi="Helvetica"/>
          <w:szCs w:val="24"/>
        </w:rPr>
        <w:t>Figure</w:t>
      </w:r>
      <w:r w:rsidRPr="009B3DDE">
        <w:rPr>
          <w:rFonts w:ascii="Helvetica" w:hAnsi="Helvetica"/>
          <w:szCs w:val="24"/>
        </w:rPr>
        <w:t xml:space="preserve"> 1 </w:t>
      </w:r>
      <w:r w:rsidR="009B1EFA" w:rsidRPr="009B3DDE">
        <w:rPr>
          <w:rFonts w:ascii="Helvetica" w:hAnsi="Helvetica"/>
          <w:szCs w:val="24"/>
        </w:rPr>
        <w:t xml:space="preserve">compares real productivity per job filled of each </w:t>
      </w:r>
      <w:r w:rsidR="004D0BF1" w:rsidRPr="009B3DDE">
        <w:rPr>
          <w:rFonts w:ascii="Helvetica" w:hAnsi="Helvetica"/>
          <w:szCs w:val="24"/>
        </w:rPr>
        <w:t xml:space="preserve">NUTS 1 </w:t>
      </w:r>
      <w:r w:rsidR="009B1EFA" w:rsidRPr="009B3DDE">
        <w:rPr>
          <w:rFonts w:ascii="Helvetica" w:hAnsi="Helvetica"/>
          <w:szCs w:val="24"/>
        </w:rPr>
        <w:t>region less the London amount to show the difference for three separate years</w:t>
      </w:r>
      <w:r w:rsidR="00D81F01" w:rsidRPr="009B3DDE">
        <w:rPr>
          <w:rFonts w:ascii="Helvetica" w:hAnsi="Helvetica"/>
          <w:szCs w:val="24"/>
        </w:rPr>
        <w:t xml:space="preserve">: </w:t>
      </w:r>
      <w:r w:rsidR="009B1EFA" w:rsidRPr="009B3DDE">
        <w:rPr>
          <w:rFonts w:ascii="Helvetica" w:hAnsi="Helvetica"/>
          <w:szCs w:val="24"/>
        </w:rPr>
        <w:t>1998 is the first available year in the series, 2007 is the year that the pre-recession peak was reach</w:t>
      </w:r>
      <w:r w:rsidR="00D81F01" w:rsidRPr="009B3DDE">
        <w:rPr>
          <w:rFonts w:ascii="Helvetica" w:hAnsi="Helvetica"/>
          <w:szCs w:val="24"/>
        </w:rPr>
        <w:t>ed</w:t>
      </w:r>
      <w:r w:rsidR="009B1EFA" w:rsidRPr="009B3DDE">
        <w:rPr>
          <w:rFonts w:ascii="Helvetica" w:hAnsi="Helvetica"/>
          <w:szCs w:val="24"/>
        </w:rPr>
        <w:t xml:space="preserve"> for most regions </w:t>
      </w:r>
      <w:r w:rsidR="003A4C0D" w:rsidRPr="009B3DDE">
        <w:rPr>
          <w:rFonts w:ascii="Helvetica" w:hAnsi="Helvetica"/>
          <w:szCs w:val="24"/>
        </w:rPr>
        <w:t xml:space="preserve">(see Sensier and </w:t>
      </w:r>
      <w:r w:rsidR="003A4C0D" w:rsidRPr="009B3DDE">
        <w:rPr>
          <w:rFonts w:ascii="Helvetica" w:hAnsi="Helvetica"/>
          <w:szCs w:val="24"/>
        </w:rPr>
        <w:lastRenderedPageBreak/>
        <w:t xml:space="preserve">Devine, 2019) </w:t>
      </w:r>
      <w:r w:rsidR="009B1EFA" w:rsidRPr="00C84415">
        <w:rPr>
          <w:rFonts w:ascii="Helvetica" w:hAnsi="Helvetica"/>
          <w:szCs w:val="24"/>
        </w:rPr>
        <w:t>and 201</w:t>
      </w:r>
      <w:r w:rsidR="00EA1002" w:rsidRPr="00C84415">
        <w:rPr>
          <w:rFonts w:ascii="Helvetica" w:hAnsi="Helvetica"/>
          <w:szCs w:val="24"/>
        </w:rPr>
        <w:t>7</w:t>
      </w:r>
      <w:r w:rsidR="009B1EFA" w:rsidRPr="00C84415">
        <w:rPr>
          <w:rFonts w:ascii="Helvetica" w:hAnsi="Helvetica"/>
          <w:szCs w:val="24"/>
        </w:rPr>
        <w:t xml:space="preserve"> is the la</w:t>
      </w:r>
      <w:r w:rsidR="00D81F01" w:rsidRPr="00C84415">
        <w:rPr>
          <w:rFonts w:ascii="Helvetica" w:hAnsi="Helvetica"/>
          <w:szCs w:val="24"/>
        </w:rPr>
        <w:t>test</w:t>
      </w:r>
      <w:r w:rsidR="009B1EFA" w:rsidRPr="00C84415">
        <w:rPr>
          <w:rFonts w:ascii="Helvetica" w:hAnsi="Helvetica"/>
          <w:szCs w:val="24"/>
        </w:rPr>
        <w:t xml:space="preserve"> available year. This gap has grown over time and even for the South East has doubled in two decades. The share of real GVA earned b</w:t>
      </w:r>
      <w:r w:rsidR="00587418" w:rsidRPr="00C84415">
        <w:rPr>
          <w:rFonts w:ascii="Helvetica" w:hAnsi="Helvetica"/>
          <w:szCs w:val="24"/>
        </w:rPr>
        <w:t>y London has increased from 19.9</w:t>
      </w:r>
      <w:r w:rsidR="009B1EFA" w:rsidRPr="00C84415">
        <w:rPr>
          <w:rFonts w:ascii="Helvetica" w:hAnsi="Helvetica"/>
          <w:szCs w:val="24"/>
        </w:rPr>
        <w:t xml:space="preserve">% of the </w:t>
      </w:r>
      <w:r w:rsidR="00587418" w:rsidRPr="00C84415">
        <w:rPr>
          <w:rFonts w:ascii="Helvetica" w:hAnsi="Helvetica"/>
          <w:szCs w:val="24"/>
        </w:rPr>
        <w:t xml:space="preserve">UK total (excluding Extra-Regio) in 1998 to </w:t>
      </w:r>
      <w:r w:rsidR="007C61F9" w:rsidRPr="00C84415">
        <w:rPr>
          <w:rFonts w:ascii="Helvetica" w:hAnsi="Helvetica"/>
          <w:szCs w:val="24"/>
        </w:rPr>
        <w:t xml:space="preserve">a </w:t>
      </w:r>
      <w:r w:rsidR="00587418" w:rsidRPr="00C84415">
        <w:rPr>
          <w:rFonts w:ascii="Helvetica" w:hAnsi="Helvetica"/>
          <w:szCs w:val="24"/>
        </w:rPr>
        <w:t>24</w:t>
      </w:r>
      <w:r w:rsidR="009B1EFA" w:rsidRPr="00C84415">
        <w:rPr>
          <w:rFonts w:ascii="Helvetica" w:hAnsi="Helvetica"/>
          <w:szCs w:val="24"/>
        </w:rPr>
        <w:t>% share in 201</w:t>
      </w:r>
      <w:r w:rsidR="00587418" w:rsidRPr="00C84415">
        <w:rPr>
          <w:rFonts w:ascii="Helvetica" w:hAnsi="Helvetica"/>
          <w:szCs w:val="24"/>
        </w:rPr>
        <w:t>7</w:t>
      </w:r>
      <w:r w:rsidR="000421F9" w:rsidRPr="00C84415">
        <w:rPr>
          <w:rFonts w:ascii="Helvetica" w:hAnsi="Helvetica"/>
          <w:szCs w:val="24"/>
        </w:rPr>
        <w:t xml:space="preserve">, when </w:t>
      </w:r>
      <w:r w:rsidR="007C61F9" w:rsidRPr="00C84415">
        <w:rPr>
          <w:rFonts w:ascii="Helvetica" w:hAnsi="Helvetica"/>
          <w:szCs w:val="24"/>
        </w:rPr>
        <w:t xml:space="preserve">the share of </w:t>
      </w:r>
      <w:r w:rsidR="000421F9" w:rsidRPr="00C84415">
        <w:rPr>
          <w:rFonts w:ascii="Helvetica" w:hAnsi="Helvetica"/>
          <w:szCs w:val="24"/>
        </w:rPr>
        <w:t>jobs in the capital has increased from 14.8% in 1998 to 16.6%</w:t>
      </w:r>
      <w:r w:rsidR="009B1EFA" w:rsidRPr="00C84415">
        <w:rPr>
          <w:rFonts w:ascii="Helvetica" w:hAnsi="Helvetica"/>
          <w:szCs w:val="24"/>
        </w:rPr>
        <w:t xml:space="preserve"> </w:t>
      </w:r>
      <w:r w:rsidR="00587418" w:rsidRPr="00C84415">
        <w:rPr>
          <w:rFonts w:ascii="Helvetica" w:hAnsi="Helvetica"/>
          <w:szCs w:val="24"/>
        </w:rPr>
        <w:t>in 2017</w:t>
      </w:r>
      <w:r w:rsidR="000421F9" w:rsidRPr="00C84415">
        <w:rPr>
          <w:rFonts w:ascii="Helvetica" w:hAnsi="Helvetica"/>
          <w:szCs w:val="24"/>
        </w:rPr>
        <w:t>.</w:t>
      </w:r>
    </w:p>
    <w:p w14:paraId="116C5254" w14:textId="77777777" w:rsidR="0067162B" w:rsidRPr="009B3DDE" w:rsidRDefault="0067162B" w:rsidP="009B3DDE">
      <w:pPr>
        <w:spacing w:line="480" w:lineRule="auto"/>
        <w:jc w:val="both"/>
        <w:rPr>
          <w:rFonts w:ascii="Helvetica" w:hAnsi="Helvetica"/>
          <w:szCs w:val="24"/>
        </w:rPr>
      </w:pPr>
    </w:p>
    <w:p w14:paraId="25E85711" w14:textId="530CBB58" w:rsidR="006F50BD" w:rsidRPr="009B3DDE" w:rsidRDefault="000952FA" w:rsidP="009B3DDE">
      <w:pPr>
        <w:spacing w:line="480" w:lineRule="auto"/>
        <w:jc w:val="both"/>
        <w:rPr>
          <w:rFonts w:ascii="Helvetica" w:hAnsi="Helvetica"/>
          <w:szCs w:val="24"/>
        </w:rPr>
      </w:pPr>
      <w:r w:rsidRPr="009B3DDE">
        <w:rPr>
          <w:rFonts w:ascii="Helvetica" w:hAnsi="Helvetica"/>
          <w:szCs w:val="24"/>
        </w:rPr>
        <w:t>Living standards and productivity are affected by many variables, and there is a large literature on the possible explanations for the UK’s regional imbalance</w:t>
      </w:r>
      <w:r w:rsidR="00391CDA" w:rsidRPr="009B3DDE">
        <w:rPr>
          <w:rFonts w:ascii="Helvetica" w:hAnsi="Helvetica"/>
          <w:szCs w:val="24"/>
        </w:rPr>
        <w:t>; patterns of infrastructure spending are only one possible contributory factor</w:t>
      </w:r>
      <w:r w:rsidR="00040DDB" w:rsidRPr="009B3DDE">
        <w:rPr>
          <w:rFonts w:ascii="Helvetica" w:hAnsi="Helvetica"/>
          <w:szCs w:val="24"/>
        </w:rPr>
        <w:t xml:space="preserve"> (McCann, 2016)</w:t>
      </w:r>
      <w:r w:rsidRPr="009B3DDE">
        <w:rPr>
          <w:rFonts w:ascii="Helvetica" w:hAnsi="Helvetica"/>
          <w:szCs w:val="24"/>
        </w:rPr>
        <w:t>.</w:t>
      </w:r>
      <w:r w:rsidR="0055134D" w:rsidRPr="009B3DDE">
        <w:rPr>
          <w:rFonts w:ascii="Helvetica" w:hAnsi="Helvetica"/>
          <w:szCs w:val="24"/>
        </w:rPr>
        <w:t xml:space="preserve"> </w:t>
      </w:r>
      <w:r w:rsidR="00434864" w:rsidRPr="009B3DDE">
        <w:rPr>
          <w:rFonts w:ascii="Helvetica" w:hAnsi="Helvetica"/>
          <w:szCs w:val="24"/>
        </w:rPr>
        <w:t xml:space="preserve">International comparisons </w:t>
      </w:r>
      <w:r w:rsidR="00391CDA" w:rsidRPr="009B3DDE">
        <w:rPr>
          <w:rFonts w:ascii="Helvetica" w:hAnsi="Helvetica"/>
          <w:szCs w:val="24"/>
        </w:rPr>
        <w:t xml:space="preserve">of this form of spending </w:t>
      </w:r>
      <w:r w:rsidR="00434864" w:rsidRPr="009B3DDE">
        <w:rPr>
          <w:rFonts w:ascii="Helvetica" w:hAnsi="Helvetica"/>
          <w:szCs w:val="24"/>
        </w:rPr>
        <w:t>are not straightforward. However, n</w:t>
      </w:r>
      <w:r w:rsidRPr="009B3DDE">
        <w:rPr>
          <w:rFonts w:ascii="Helvetica" w:hAnsi="Helvetica"/>
          <w:szCs w:val="24"/>
        </w:rPr>
        <w:t>oting the importance of infrastructure – both new investment and maintenance</w:t>
      </w:r>
      <w:r w:rsidR="00A60722" w:rsidRPr="009B3DDE">
        <w:rPr>
          <w:rFonts w:ascii="Helvetica" w:hAnsi="Helvetica"/>
          <w:szCs w:val="24"/>
        </w:rPr>
        <w:t xml:space="preserve"> –</w:t>
      </w:r>
      <w:r w:rsidRPr="009B3DDE">
        <w:rPr>
          <w:rFonts w:ascii="Helvetica" w:hAnsi="Helvetica"/>
          <w:szCs w:val="24"/>
        </w:rPr>
        <w:t xml:space="preserve"> for productivity and well-being, the OECD </w:t>
      </w:r>
      <w:r w:rsidR="00391CDA" w:rsidRPr="009B3DDE">
        <w:rPr>
          <w:rFonts w:ascii="Helvetica" w:hAnsi="Helvetica"/>
          <w:szCs w:val="24"/>
        </w:rPr>
        <w:t xml:space="preserve">has </w:t>
      </w:r>
      <w:r w:rsidRPr="009B3DDE">
        <w:rPr>
          <w:rFonts w:ascii="Helvetica" w:hAnsi="Helvetica"/>
          <w:szCs w:val="24"/>
        </w:rPr>
        <w:t>observed that the UK has been spending less on infrastructure than other of its member economies for some decades, and also that its perceived quality was lower than in the other G7 countries (</w:t>
      </w:r>
      <w:proofErr w:type="spellStart"/>
      <w:r w:rsidRPr="009B3DDE">
        <w:rPr>
          <w:rFonts w:ascii="Helvetica" w:hAnsi="Helvetica"/>
          <w:szCs w:val="24"/>
        </w:rPr>
        <w:t>Pisu</w:t>
      </w:r>
      <w:proofErr w:type="spellEnd"/>
      <w:r w:rsidRPr="009B3DDE">
        <w:rPr>
          <w:rFonts w:ascii="Helvetica" w:hAnsi="Helvetica"/>
          <w:szCs w:val="24"/>
        </w:rPr>
        <w:t xml:space="preserve"> et al 2015). </w:t>
      </w:r>
      <w:r w:rsidR="00A75EE3" w:rsidRPr="009B3DDE">
        <w:rPr>
          <w:rFonts w:ascii="Helvetica" w:hAnsi="Helvetica"/>
          <w:szCs w:val="24"/>
        </w:rPr>
        <w:t xml:space="preserve">Crescenzi et al (2016) assess the connection between regional quality of government and returns to road infrastructure in EU regions. They find that investment in secondary roads, rather than motorways, improves within-region connectivity, and is correlated with economic growth, particularly where the quality of government is high. They suggest that improvements in the efficiency of public spending, and particularly transport infrastructure investment, will only come about with the development of local institutions (which can identify local needs). </w:t>
      </w:r>
      <w:r w:rsidR="00B52FC9" w:rsidRPr="009B3DDE">
        <w:rPr>
          <w:rFonts w:ascii="Helvetica" w:hAnsi="Helvetica"/>
          <w:szCs w:val="24"/>
        </w:rPr>
        <w:t>T</w:t>
      </w:r>
      <w:r w:rsidRPr="009B3DDE">
        <w:rPr>
          <w:rFonts w:ascii="Helvetica" w:hAnsi="Helvetica"/>
          <w:szCs w:val="24"/>
        </w:rPr>
        <w:t>here is a consensus that</w:t>
      </w:r>
      <w:r w:rsidR="00434864" w:rsidRPr="009B3DDE">
        <w:rPr>
          <w:rFonts w:ascii="Helvetica" w:hAnsi="Helvetica"/>
          <w:szCs w:val="24"/>
        </w:rPr>
        <w:t xml:space="preserve">, particularly when </w:t>
      </w:r>
      <w:r w:rsidR="00E279EA" w:rsidRPr="009B3DDE">
        <w:rPr>
          <w:rFonts w:ascii="Helvetica" w:hAnsi="Helvetica"/>
          <w:szCs w:val="24"/>
        </w:rPr>
        <w:t>i</w:t>
      </w:r>
      <w:r w:rsidR="00434864" w:rsidRPr="009B3DDE">
        <w:rPr>
          <w:rFonts w:ascii="Helvetica" w:hAnsi="Helvetica"/>
          <w:szCs w:val="24"/>
        </w:rPr>
        <w:t>t comes to transport,</w:t>
      </w:r>
      <w:r w:rsidRPr="009B3DDE">
        <w:rPr>
          <w:rFonts w:ascii="Helvetica" w:hAnsi="Helvetica"/>
          <w:szCs w:val="24"/>
        </w:rPr>
        <w:t xml:space="preserve"> there has been too little infrastructure investment</w:t>
      </w:r>
      <w:r w:rsidR="00B52FC9" w:rsidRPr="009B3DDE">
        <w:rPr>
          <w:rFonts w:ascii="Helvetica" w:hAnsi="Helvetica"/>
          <w:szCs w:val="24"/>
        </w:rPr>
        <w:t xml:space="preserve"> in the UK</w:t>
      </w:r>
      <w:r w:rsidR="00A75EE3" w:rsidRPr="009B3DDE">
        <w:rPr>
          <w:rFonts w:ascii="Helvetica" w:hAnsi="Helvetica"/>
          <w:szCs w:val="24"/>
        </w:rPr>
        <w:t>.</w:t>
      </w:r>
      <w:r w:rsidR="00C84415" w:rsidRPr="009B3DDE">
        <w:rPr>
          <w:rStyle w:val="EndnoteReference"/>
          <w:rFonts w:ascii="Helvetica" w:hAnsi="Helvetica"/>
          <w:szCs w:val="24"/>
        </w:rPr>
        <w:endnoteReference w:id="3"/>
      </w:r>
      <w:r w:rsidR="00C84415" w:rsidRPr="009B3DDE">
        <w:rPr>
          <w:rFonts w:ascii="Helvetica" w:hAnsi="Helvetica"/>
          <w:szCs w:val="24"/>
        </w:rPr>
        <w:t xml:space="preserve"> </w:t>
      </w:r>
      <w:r w:rsidR="00F02FB9" w:rsidRPr="009B3DDE">
        <w:rPr>
          <w:rFonts w:ascii="Helvetica" w:hAnsi="Helvetica"/>
          <w:szCs w:val="24"/>
        </w:rPr>
        <w:t xml:space="preserve">Across the </w:t>
      </w:r>
      <w:r w:rsidR="00F02FB9" w:rsidRPr="009B3DDE">
        <w:rPr>
          <w:rFonts w:ascii="Helvetica" w:hAnsi="Helvetica"/>
          <w:szCs w:val="24"/>
        </w:rPr>
        <w:lastRenderedPageBreak/>
        <w:t>OECD, fiscal devolution is correlated with infrastructure investment where institutional quality is high</w:t>
      </w:r>
      <w:r w:rsidR="006F50BD" w:rsidRPr="009B3DDE">
        <w:rPr>
          <w:rFonts w:ascii="Helvetica" w:hAnsi="Helvetica"/>
          <w:szCs w:val="24"/>
        </w:rPr>
        <w:t xml:space="preserve">, </w:t>
      </w:r>
      <w:r w:rsidR="00D81F01" w:rsidRPr="009B3DDE">
        <w:rPr>
          <w:rFonts w:ascii="Helvetica" w:hAnsi="Helvetica"/>
          <w:szCs w:val="24"/>
        </w:rPr>
        <w:t>(</w:t>
      </w:r>
      <w:r w:rsidR="006F50BD" w:rsidRPr="009B3DDE">
        <w:rPr>
          <w:rFonts w:ascii="Helvetica" w:hAnsi="Helvetica"/>
          <w:szCs w:val="24"/>
        </w:rPr>
        <w:t>Bartolini et al</w:t>
      </w:r>
      <w:r w:rsidR="00D81F01" w:rsidRPr="009B3DDE">
        <w:rPr>
          <w:rFonts w:ascii="Helvetica" w:hAnsi="Helvetica"/>
          <w:szCs w:val="24"/>
        </w:rPr>
        <w:t xml:space="preserve">, </w:t>
      </w:r>
      <w:r w:rsidR="006F50BD" w:rsidRPr="009B3DDE">
        <w:rPr>
          <w:rFonts w:ascii="Helvetica" w:hAnsi="Helvetica"/>
          <w:szCs w:val="24"/>
        </w:rPr>
        <w:t>2016)</w:t>
      </w:r>
      <w:r w:rsidR="00F02FB9" w:rsidRPr="009B3DDE">
        <w:rPr>
          <w:rFonts w:ascii="Helvetica" w:hAnsi="Helvetica"/>
          <w:szCs w:val="24"/>
        </w:rPr>
        <w:t>.</w:t>
      </w:r>
      <w:r w:rsidR="00EB62DE" w:rsidRPr="009B3DDE">
        <w:rPr>
          <w:rFonts w:ascii="Helvetica" w:hAnsi="Helvetica"/>
          <w:szCs w:val="24"/>
        </w:rPr>
        <w:t xml:space="preserve"> </w:t>
      </w:r>
      <w:proofErr w:type="spellStart"/>
      <w:r w:rsidR="00FA0425" w:rsidRPr="009B3DDE">
        <w:rPr>
          <w:rFonts w:ascii="Helvetica" w:hAnsi="Helvetica"/>
          <w:szCs w:val="24"/>
        </w:rPr>
        <w:t>Arbabi</w:t>
      </w:r>
      <w:proofErr w:type="spellEnd"/>
      <w:r w:rsidR="00FA0425" w:rsidRPr="009B3DDE">
        <w:rPr>
          <w:rFonts w:ascii="Helvetica" w:hAnsi="Helvetica"/>
          <w:szCs w:val="24"/>
        </w:rPr>
        <w:t xml:space="preserve"> et al (2018) present empirical evidence </w:t>
      </w:r>
      <w:r w:rsidR="008E4C73" w:rsidRPr="009B3DDE">
        <w:rPr>
          <w:rFonts w:ascii="Helvetica" w:hAnsi="Helvetica"/>
          <w:szCs w:val="24"/>
        </w:rPr>
        <w:t>for</w:t>
      </w:r>
      <w:r w:rsidR="00FA0425" w:rsidRPr="009B3DDE">
        <w:rPr>
          <w:rFonts w:ascii="Helvetica" w:hAnsi="Helvetica"/>
          <w:szCs w:val="24"/>
        </w:rPr>
        <w:t xml:space="preserve"> a link between economic underperformance and inadequate mobility for England and Wales at the intra</w:t>
      </w:r>
      <w:r w:rsidR="008E4C73" w:rsidRPr="009B3DDE">
        <w:rPr>
          <w:rFonts w:ascii="Helvetica" w:hAnsi="Helvetica"/>
          <w:szCs w:val="24"/>
        </w:rPr>
        <w:t>-</w:t>
      </w:r>
      <w:r w:rsidR="00FA0425" w:rsidRPr="009B3DDE">
        <w:rPr>
          <w:rFonts w:ascii="Helvetica" w:hAnsi="Helvetica"/>
          <w:szCs w:val="24"/>
        </w:rPr>
        <w:t xml:space="preserve"> and inter-city scale. </w:t>
      </w:r>
      <w:r w:rsidR="00F267D7" w:rsidRPr="009B3DDE">
        <w:rPr>
          <w:rFonts w:ascii="Helvetica" w:hAnsi="Helvetica"/>
          <w:szCs w:val="24"/>
        </w:rPr>
        <w:t>Their study suggest</w:t>
      </w:r>
      <w:r w:rsidR="00D81F01" w:rsidRPr="009B3DDE">
        <w:rPr>
          <w:rFonts w:ascii="Helvetica" w:hAnsi="Helvetica"/>
          <w:szCs w:val="24"/>
        </w:rPr>
        <w:t>s</w:t>
      </w:r>
      <w:r w:rsidR="00F267D7" w:rsidRPr="009B3DDE">
        <w:rPr>
          <w:rFonts w:ascii="Helvetica" w:hAnsi="Helvetica"/>
          <w:szCs w:val="24"/>
        </w:rPr>
        <w:t xml:space="preserve"> that i</w:t>
      </w:r>
      <w:r w:rsidR="008E4C73" w:rsidRPr="009B3DDE">
        <w:rPr>
          <w:rFonts w:ascii="Helvetica" w:hAnsi="Helvetica"/>
          <w:szCs w:val="24"/>
        </w:rPr>
        <w:t xml:space="preserve">mprovements </w:t>
      </w:r>
      <w:r w:rsidR="00D81F01" w:rsidRPr="009B3DDE">
        <w:rPr>
          <w:rFonts w:ascii="Helvetica" w:hAnsi="Helvetica"/>
          <w:szCs w:val="24"/>
        </w:rPr>
        <w:t>in</w:t>
      </w:r>
      <w:r w:rsidR="00587418" w:rsidRPr="009B3DDE">
        <w:rPr>
          <w:rFonts w:ascii="Helvetica" w:hAnsi="Helvetica"/>
          <w:szCs w:val="24"/>
        </w:rPr>
        <w:t xml:space="preserve"> </w:t>
      </w:r>
      <w:r w:rsidR="008E4C73" w:rsidRPr="009B3DDE">
        <w:rPr>
          <w:rFonts w:ascii="Helvetica" w:hAnsi="Helvetica"/>
          <w:szCs w:val="24"/>
        </w:rPr>
        <w:t>mobility at the smaller scale within cities initially would help to facilitate much greater improvements at the inter</w:t>
      </w:r>
      <w:r w:rsidR="00587418" w:rsidRPr="009B3DDE">
        <w:rPr>
          <w:rFonts w:ascii="Helvetica" w:hAnsi="Helvetica"/>
          <w:szCs w:val="24"/>
        </w:rPr>
        <w:t>-</w:t>
      </w:r>
      <w:r w:rsidR="008E4C73" w:rsidRPr="009B3DDE">
        <w:rPr>
          <w:rFonts w:ascii="Helvetica" w:hAnsi="Helvetica"/>
          <w:szCs w:val="24"/>
        </w:rPr>
        <w:t>city scale. So, for example</w:t>
      </w:r>
      <w:r w:rsidR="00EB62DE" w:rsidRPr="009B3DDE">
        <w:rPr>
          <w:rFonts w:ascii="Helvetica" w:hAnsi="Helvetica"/>
          <w:szCs w:val="24"/>
        </w:rPr>
        <w:t>,</w:t>
      </w:r>
      <w:r w:rsidR="008E4C73" w:rsidRPr="009B3DDE">
        <w:rPr>
          <w:rFonts w:ascii="Helvetica" w:hAnsi="Helvetica"/>
          <w:szCs w:val="24"/>
        </w:rPr>
        <w:t xml:space="preserve"> improving the rolling stock and timetable</w:t>
      </w:r>
      <w:r w:rsidR="00EB62DE" w:rsidRPr="009B3DDE">
        <w:rPr>
          <w:rFonts w:ascii="Helvetica" w:hAnsi="Helvetica"/>
          <w:szCs w:val="24"/>
        </w:rPr>
        <w:t xml:space="preserve"> reliability</w:t>
      </w:r>
      <w:r w:rsidR="008E4C73" w:rsidRPr="009B3DDE">
        <w:rPr>
          <w:rFonts w:ascii="Helvetica" w:hAnsi="Helvetica"/>
          <w:szCs w:val="24"/>
        </w:rPr>
        <w:t xml:space="preserve"> associated with Northern service throughout Greater Manchester </w:t>
      </w:r>
      <w:r w:rsidR="00EB62DE" w:rsidRPr="009B3DDE">
        <w:rPr>
          <w:rFonts w:ascii="Helvetica" w:hAnsi="Helvetica"/>
          <w:szCs w:val="24"/>
        </w:rPr>
        <w:t>sh</w:t>
      </w:r>
      <w:r w:rsidR="008E4C73" w:rsidRPr="009B3DDE">
        <w:rPr>
          <w:rFonts w:ascii="Helvetica" w:hAnsi="Helvetica"/>
          <w:szCs w:val="24"/>
        </w:rPr>
        <w:t xml:space="preserve">ould be </w:t>
      </w:r>
      <w:r w:rsidR="00EB62DE" w:rsidRPr="009B3DDE">
        <w:rPr>
          <w:rFonts w:ascii="Helvetica" w:hAnsi="Helvetica"/>
          <w:szCs w:val="24"/>
        </w:rPr>
        <w:t>the</w:t>
      </w:r>
      <w:r w:rsidR="008E4C73" w:rsidRPr="009B3DDE">
        <w:rPr>
          <w:rFonts w:ascii="Helvetica" w:hAnsi="Helvetica"/>
          <w:szCs w:val="24"/>
        </w:rPr>
        <w:t xml:space="preserve"> first step before building a high speed line connecting Liverpool, Manchester, Sheff</w:t>
      </w:r>
      <w:r w:rsidR="00F267D7" w:rsidRPr="009B3DDE">
        <w:rPr>
          <w:rFonts w:ascii="Helvetica" w:hAnsi="Helvetica"/>
          <w:szCs w:val="24"/>
        </w:rPr>
        <w:t>ield and Leeds, as the within city networks need to be able to cope with large amounts of commuters travelling between and within cities</w:t>
      </w:r>
      <w:r w:rsidR="008E4C73" w:rsidRPr="009B3DDE">
        <w:rPr>
          <w:rFonts w:ascii="Helvetica" w:hAnsi="Helvetica"/>
          <w:szCs w:val="24"/>
        </w:rPr>
        <w:t>.</w:t>
      </w:r>
    </w:p>
    <w:p w14:paraId="7211476B" w14:textId="77777777" w:rsidR="004561D5" w:rsidRDefault="004561D5" w:rsidP="009B3DDE">
      <w:pPr>
        <w:spacing w:line="480" w:lineRule="auto"/>
        <w:jc w:val="both"/>
        <w:rPr>
          <w:rFonts w:ascii="Helvetica" w:hAnsi="Helvetica"/>
          <w:szCs w:val="24"/>
        </w:rPr>
      </w:pPr>
    </w:p>
    <w:p w14:paraId="7CE09200" w14:textId="77777777" w:rsidR="00D82018" w:rsidRPr="002541EB" w:rsidRDefault="00D82018" w:rsidP="00D82018">
      <w:pPr>
        <w:spacing w:line="480" w:lineRule="auto"/>
        <w:jc w:val="both"/>
        <w:rPr>
          <w:rFonts w:ascii="Helvetica" w:hAnsi="Helvetica"/>
          <w:szCs w:val="24"/>
        </w:rPr>
      </w:pPr>
      <w:r w:rsidRPr="002541EB">
        <w:rPr>
          <w:rFonts w:ascii="Helvetica" w:hAnsi="Helvetica"/>
          <w:szCs w:val="24"/>
        </w:rPr>
        <w:t>Figure 1: Difference in Real Productivity from London in £ per filled job (2016 £)</w:t>
      </w:r>
    </w:p>
    <w:p w14:paraId="4E4E17B0" w14:textId="77777777" w:rsidR="00D82018" w:rsidRDefault="00D82018" w:rsidP="00D82018">
      <w:r>
        <w:rPr>
          <w:noProof/>
          <w:lang w:val="en-US" w:eastAsia="en-US"/>
        </w:rPr>
        <w:lastRenderedPageBreak/>
        <w:drawing>
          <wp:inline distT="0" distB="0" distL="0" distR="0" wp14:anchorId="24EFA75C" wp14:editId="18F447E5">
            <wp:extent cx="6000351" cy="3840893"/>
            <wp:effectExtent l="0" t="0" r="19685" b="203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9DFDCAA" w14:textId="77777777" w:rsidR="0067162B" w:rsidRPr="009B3DDE" w:rsidRDefault="0067162B" w:rsidP="009B3DDE">
      <w:pPr>
        <w:spacing w:line="480" w:lineRule="auto"/>
        <w:jc w:val="both"/>
        <w:rPr>
          <w:rFonts w:ascii="Helvetica" w:hAnsi="Helvetica"/>
          <w:szCs w:val="24"/>
        </w:rPr>
      </w:pPr>
    </w:p>
    <w:p w14:paraId="4BB96B5A" w14:textId="0584480D" w:rsidR="00F7542B" w:rsidRPr="009B3DDE" w:rsidRDefault="00434864" w:rsidP="009B3DDE">
      <w:pPr>
        <w:spacing w:line="480" w:lineRule="auto"/>
        <w:jc w:val="both"/>
        <w:rPr>
          <w:rFonts w:ascii="Helvetica" w:hAnsi="Helvetica"/>
          <w:b/>
          <w:szCs w:val="24"/>
        </w:rPr>
      </w:pPr>
      <w:r w:rsidRPr="009B3DDE">
        <w:rPr>
          <w:rFonts w:ascii="Helvetica" w:hAnsi="Helvetica"/>
          <w:szCs w:val="24"/>
        </w:rPr>
        <w:t>That</w:t>
      </w:r>
      <w:r w:rsidR="000952FA" w:rsidRPr="009B3DDE">
        <w:rPr>
          <w:rFonts w:ascii="Helvetica" w:hAnsi="Helvetica"/>
          <w:szCs w:val="24"/>
        </w:rPr>
        <w:t xml:space="preserve"> the level of investment </w:t>
      </w:r>
      <w:r w:rsidR="00D81F01" w:rsidRPr="009B3DDE">
        <w:rPr>
          <w:rFonts w:ascii="Helvetica" w:hAnsi="Helvetica"/>
          <w:szCs w:val="24"/>
        </w:rPr>
        <w:t>may be</w:t>
      </w:r>
      <w:r w:rsidR="000952FA" w:rsidRPr="009B3DDE">
        <w:rPr>
          <w:rFonts w:ascii="Helvetica" w:hAnsi="Helvetica"/>
          <w:szCs w:val="24"/>
        </w:rPr>
        <w:t xml:space="preserve"> unsatisfactory, and that a strategic view is important, </w:t>
      </w:r>
      <w:r w:rsidRPr="009B3DDE">
        <w:rPr>
          <w:rFonts w:ascii="Helvetica" w:hAnsi="Helvetica"/>
          <w:szCs w:val="24"/>
        </w:rPr>
        <w:t xml:space="preserve">was </w:t>
      </w:r>
      <w:r w:rsidR="000952FA" w:rsidRPr="009B3DDE">
        <w:rPr>
          <w:rFonts w:ascii="Helvetica" w:hAnsi="Helvetica"/>
          <w:szCs w:val="24"/>
        </w:rPr>
        <w:t xml:space="preserve">tacitly acknowledged by UK governments with the creation of the National Infrastructure Commission in </w:t>
      </w:r>
      <w:r w:rsidR="00D112F1" w:rsidRPr="009B3DDE">
        <w:rPr>
          <w:rFonts w:ascii="Helvetica" w:hAnsi="Helvetica"/>
          <w:szCs w:val="24"/>
        </w:rPr>
        <w:t>2015</w:t>
      </w:r>
      <w:r w:rsidRPr="009B3DDE">
        <w:rPr>
          <w:rFonts w:ascii="Helvetica" w:hAnsi="Helvetica"/>
          <w:szCs w:val="24"/>
        </w:rPr>
        <w:t xml:space="preserve"> and recent modest increases in funding for infrastructure</w:t>
      </w:r>
      <w:r w:rsidR="00D112F1" w:rsidRPr="009B3DDE">
        <w:rPr>
          <w:rFonts w:ascii="Helvetica" w:hAnsi="Helvetica"/>
          <w:szCs w:val="24"/>
        </w:rPr>
        <w:t xml:space="preserve">. </w:t>
      </w:r>
      <w:r w:rsidRPr="009B3DDE">
        <w:rPr>
          <w:rFonts w:ascii="Helvetica" w:hAnsi="Helvetica"/>
          <w:szCs w:val="24"/>
        </w:rPr>
        <w:t xml:space="preserve">In </w:t>
      </w:r>
      <w:r w:rsidR="00D112F1" w:rsidRPr="009B3DDE">
        <w:rPr>
          <w:rFonts w:ascii="Helvetica" w:hAnsi="Helvetica"/>
          <w:szCs w:val="24"/>
        </w:rPr>
        <w:t xml:space="preserve">2018 the National Infrastructure Commission </w:t>
      </w:r>
      <w:r w:rsidRPr="009B3DDE">
        <w:rPr>
          <w:rFonts w:ascii="Helvetica" w:hAnsi="Helvetica"/>
          <w:szCs w:val="24"/>
        </w:rPr>
        <w:t>published its</w:t>
      </w:r>
      <w:r w:rsidR="00D112F1" w:rsidRPr="009B3DDE">
        <w:rPr>
          <w:rFonts w:ascii="Helvetica" w:hAnsi="Helvetica"/>
          <w:szCs w:val="24"/>
        </w:rPr>
        <w:t xml:space="preserve"> </w:t>
      </w:r>
      <w:r w:rsidRPr="009B3DDE">
        <w:rPr>
          <w:rFonts w:ascii="Helvetica" w:hAnsi="Helvetica"/>
          <w:szCs w:val="24"/>
        </w:rPr>
        <w:t>30 year horizon strategic assessment.</w:t>
      </w:r>
      <w:r w:rsidR="00C84415" w:rsidRPr="009B3DDE">
        <w:rPr>
          <w:rStyle w:val="EndnoteReference"/>
          <w:rFonts w:ascii="Helvetica" w:hAnsi="Helvetica"/>
          <w:szCs w:val="24"/>
        </w:rPr>
        <w:endnoteReference w:id="4"/>
      </w:r>
      <w:r w:rsidR="00C84415" w:rsidRPr="009B3DDE">
        <w:rPr>
          <w:rFonts w:ascii="Helvetica" w:hAnsi="Helvetica"/>
          <w:szCs w:val="24"/>
        </w:rPr>
        <w:t xml:space="preserve"> </w:t>
      </w:r>
      <w:r w:rsidR="00D112F1" w:rsidRPr="009B3DDE">
        <w:rPr>
          <w:rFonts w:ascii="Helvetica" w:hAnsi="Helvetica"/>
          <w:szCs w:val="24"/>
        </w:rPr>
        <w:t>The</w:t>
      </w:r>
      <w:r w:rsidR="000952FA" w:rsidRPr="009B3DDE">
        <w:rPr>
          <w:rFonts w:ascii="Helvetica" w:hAnsi="Helvetica"/>
          <w:szCs w:val="24"/>
        </w:rPr>
        <w:t xml:space="preserve"> </w:t>
      </w:r>
      <w:r w:rsidRPr="009B3DDE">
        <w:rPr>
          <w:rFonts w:ascii="Helvetica" w:hAnsi="Helvetica"/>
          <w:szCs w:val="24"/>
        </w:rPr>
        <w:t>November 2017 Budget also announced some</w:t>
      </w:r>
      <w:r w:rsidR="000952FA" w:rsidRPr="009B3DDE">
        <w:rPr>
          <w:rFonts w:ascii="Helvetica" w:hAnsi="Helvetica"/>
          <w:szCs w:val="24"/>
        </w:rPr>
        <w:t xml:space="preserve"> spending increases </w:t>
      </w:r>
      <w:r w:rsidR="00D112F1" w:rsidRPr="009B3DDE">
        <w:rPr>
          <w:rFonts w:ascii="Helvetica" w:hAnsi="Helvetica"/>
          <w:szCs w:val="24"/>
        </w:rPr>
        <w:t>includ</w:t>
      </w:r>
      <w:r w:rsidRPr="009B3DDE">
        <w:rPr>
          <w:rFonts w:ascii="Helvetica" w:hAnsi="Helvetica"/>
          <w:szCs w:val="24"/>
        </w:rPr>
        <w:t>ing</w:t>
      </w:r>
      <w:r w:rsidR="00D112F1" w:rsidRPr="009B3DDE">
        <w:rPr>
          <w:rFonts w:ascii="Helvetica" w:hAnsi="Helvetica"/>
          <w:szCs w:val="24"/>
        </w:rPr>
        <w:t xml:space="preserve">: </w:t>
      </w:r>
      <w:r w:rsidRPr="009B3DDE">
        <w:rPr>
          <w:rFonts w:ascii="Helvetica" w:hAnsi="Helvetica"/>
          <w:szCs w:val="24"/>
        </w:rPr>
        <w:t xml:space="preserve">expansion </w:t>
      </w:r>
      <w:r w:rsidR="00D112F1" w:rsidRPr="009B3DDE">
        <w:rPr>
          <w:rFonts w:ascii="Helvetica" w:hAnsi="Helvetica"/>
          <w:szCs w:val="24"/>
        </w:rPr>
        <w:t>of the National Productivity Investment Fund to more than £31</w:t>
      </w:r>
      <w:r w:rsidRPr="009B3DDE">
        <w:rPr>
          <w:rFonts w:ascii="Helvetica" w:hAnsi="Helvetica"/>
          <w:szCs w:val="24"/>
        </w:rPr>
        <w:t xml:space="preserve"> </w:t>
      </w:r>
      <w:r w:rsidR="00D112F1" w:rsidRPr="009B3DDE">
        <w:rPr>
          <w:rFonts w:ascii="Helvetica" w:hAnsi="Helvetica"/>
          <w:szCs w:val="24"/>
        </w:rPr>
        <w:t>billion; a £1.7</w:t>
      </w:r>
      <w:r w:rsidRPr="009B3DDE">
        <w:rPr>
          <w:rFonts w:ascii="Helvetica" w:hAnsi="Helvetica"/>
          <w:szCs w:val="24"/>
        </w:rPr>
        <w:t xml:space="preserve"> </w:t>
      </w:r>
      <w:r w:rsidR="00D112F1" w:rsidRPr="009B3DDE">
        <w:rPr>
          <w:rFonts w:ascii="Helvetica" w:hAnsi="Helvetica"/>
          <w:szCs w:val="24"/>
        </w:rPr>
        <w:t>billion Transforming Cities Fund for improving transport links within cities; investment of £500 million in a range of technological initiatives ranging from artificial intelligence, to 5G and full fibre broadband; £400</w:t>
      </w:r>
      <w:r w:rsidRPr="009B3DDE">
        <w:rPr>
          <w:rFonts w:ascii="Helvetica" w:hAnsi="Helvetica"/>
          <w:szCs w:val="24"/>
        </w:rPr>
        <w:t xml:space="preserve"> </w:t>
      </w:r>
      <w:r w:rsidR="00D112F1" w:rsidRPr="009B3DDE">
        <w:rPr>
          <w:rFonts w:ascii="Helvetica" w:hAnsi="Helvetica"/>
          <w:szCs w:val="24"/>
        </w:rPr>
        <w:t>million investment in a network of electric car charging points – a combination of public and private investment; £76</w:t>
      </w:r>
      <w:r w:rsidRPr="009B3DDE">
        <w:rPr>
          <w:rFonts w:ascii="Helvetica" w:hAnsi="Helvetica"/>
          <w:szCs w:val="24"/>
        </w:rPr>
        <w:t xml:space="preserve"> </w:t>
      </w:r>
      <w:r w:rsidR="00D112F1" w:rsidRPr="009B3DDE">
        <w:rPr>
          <w:rFonts w:ascii="Helvetica" w:hAnsi="Helvetica"/>
          <w:szCs w:val="24"/>
        </w:rPr>
        <w:t>million additional funding for flood and coastal defence schemes over three years</w:t>
      </w:r>
      <w:r w:rsidR="000952FA" w:rsidRPr="009B3DDE">
        <w:rPr>
          <w:rFonts w:ascii="Helvetica" w:hAnsi="Helvetica"/>
          <w:szCs w:val="24"/>
        </w:rPr>
        <w:t xml:space="preserve">. </w:t>
      </w:r>
      <w:r w:rsidR="00D34BE2" w:rsidRPr="009B3DDE">
        <w:rPr>
          <w:rFonts w:ascii="Helvetica" w:hAnsi="Helvetica"/>
          <w:szCs w:val="24"/>
        </w:rPr>
        <w:t xml:space="preserve">Transport spending has the largest share of </w:t>
      </w:r>
      <w:r w:rsidR="00D34BE2" w:rsidRPr="009B3DDE">
        <w:rPr>
          <w:rFonts w:ascii="Helvetica" w:hAnsi="Helvetica"/>
          <w:szCs w:val="24"/>
        </w:rPr>
        <w:lastRenderedPageBreak/>
        <w:t>funding in</w:t>
      </w:r>
      <w:r w:rsidR="00B241FF" w:rsidRPr="009B3DDE">
        <w:rPr>
          <w:rFonts w:ascii="Helvetica" w:hAnsi="Helvetica"/>
          <w:szCs w:val="24"/>
        </w:rPr>
        <w:t xml:space="preserve"> the National Infrastructure and Construction Pipeline </w:t>
      </w:r>
      <w:r w:rsidR="00DC72C3" w:rsidRPr="009B3DDE">
        <w:rPr>
          <w:rFonts w:ascii="Helvetica" w:hAnsi="Helvetica"/>
          <w:szCs w:val="24"/>
        </w:rPr>
        <w:t xml:space="preserve">(NICP) </w:t>
      </w:r>
      <w:r w:rsidR="00D34BE2" w:rsidRPr="009B3DDE">
        <w:rPr>
          <w:rFonts w:ascii="Helvetica" w:hAnsi="Helvetica"/>
          <w:szCs w:val="24"/>
        </w:rPr>
        <w:t>of the HM Treasury and the Infrastructure and Projects Authority (2017)</w:t>
      </w:r>
      <w:r w:rsidR="00B241FF" w:rsidRPr="009B3DDE">
        <w:rPr>
          <w:rFonts w:ascii="Helvetica" w:hAnsi="Helvetica"/>
          <w:szCs w:val="24"/>
        </w:rPr>
        <w:t>. Between 2017-2021 this is projected to be £78.5bn (32% out of a total of £244.7bn). This includes central government spending on transport (£60bn), local government (£8bn), private sector (£6bn) and mixed funding (£4.5bn)</w:t>
      </w:r>
      <w:r w:rsidR="00B241FF" w:rsidRPr="009B3DDE">
        <w:rPr>
          <w:rFonts w:ascii="Helvetica" w:hAnsi="Helvetica"/>
          <w:b/>
          <w:szCs w:val="24"/>
        </w:rPr>
        <w:t>.</w:t>
      </w:r>
    </w:p>
    <w:p w14:paraId="6C2110EA" w14:textId="77777777" w:rsidR="0067162B" w:rsidRPr="009B3DDE" w:rsidRDefault="0067162B" w:rsidP="009B3DDE">
      <w:pPr>
        <w:spacing w:line="480" w:lineRule="auto"/>
        <w:jc w:val="both"/>
        <w:rPr>
          <w:rFonts w:ascii="Helvetica" w:hAnsi="Helvetica"/>
          <w:szCs w:val="24"/>
        </w:rPr>
      </w:pPr>
    </w:p>
    <w:p w14:paraId="13D8816C" w14:textId="276EC1D7" w:rsidR="00B241FF" w:rsidRPr="009B3DDE" w:rsidRDefault="00B241FF" w:rsidP="009B3DDE">
      <w:pPr>
        <w:spacing w:line="480" w:lineRule="auto"/>
        <w:jc w:val="both"/>
        <w:rPr>
          <w:rFonts w:ascii="Helvetica" w:hAnsi="Helvetica"/>
          <w:szCs w:val="24"/>
        </w:rPr>
      </w:pPr>
      <w:r w:rsidRPr="009B3DDE">
        <w:rPr>
          <w:rFonts w:ascii="Helvetica" w:hAnsi="Helvetica"/>
          <w:szCs w:val="24"/>
        </w:rPr>
        <w:t>The former head of the National Infrastructure Commission and former transport minister Lord Adonis, stated in evidence to a Parliamentary committee that the interpretation of cost-benefit ratios had been problematic in past policy decisions.</w:t>
      </w:r>
      <w:r w:rsidRPr="009B3DDE">
        <w:rPr>
          <w:rStyle w:val="FootnoteReference"/>
          <w:rFonts w:ascii="Helvetica" w:hAnsi="Helvetica"/>
          <w:szCs w:val="24"/>
        </w:rPr>
        <w:t xml:space="preserve"> </w:t>
      </w:r>
      <w:r w:rsidR="00C84415" w:rsidRPr="009B3DDE">
        <w:rPr>
          <w:rStyle w:val="EndnoteReference"/>
          <w:rFonts w:ascii="Helvetica" w:hAnsi="Helvetica"/>
          <w:szCs w:val="24"/>
        </w:rPr>
        <w:endnoteReference w:id="5"/>
      </w:r>
      <w:r w:rsidR="00C84415" w:rsidRPr="009B3DDE">
        <w:rPr>
          <w:rFonts w:ascii="Helvetica" w:hAnsi="Helvetica"/>
          <w:szCs w:val="24"/>
        </w:rPr>
        <w:t xml:space="preserve"> </w:t>
      </w:r>
      <w:r w:rsidRPr="009B3DDE">
        <w:rPr>
          <w:rFonts w:ascii="Helvetica" w:hAnsi="Helvetica"/>
          <w:szCs w:val="24"/>
        </w:rPr>
        <w:t>He said improving rail links east to west in the North of England had been on the agenda since he was Transport Secretary 10 years earlier, arguing that the way cost-benefit ratios are calculated puts too much weight on journey time savings, always favouring London</w:t>
      </w:r>
      <w:r w:rsidR="007F2D0B" w:rsidRPr="009B3DDE">
        <w:rPr>
          <w:rFonts w:ascii="Helvetica" w:hAnsi="Helvetica"/>
          <w:szCs w:val="24"/>
        </w:rPr>
        <w:t xml:space="preserve"> due to its volume of business and commuter travel</w:t>
      </w:r>
      <w:r w:rsidRPr="009B3DDE">
        <w:rPr>
          <w:rFonts w:ascii="Helvetica" w:hAnsi="Helvetica"/>
          <w:szCs w:val="24"/>
        </w:rPr>
        <w:t>:</w:t>
      </w:r>
      <w:r w:rsidR="00C84415" w:rsidRPr="009B3DDE">
        <w:rPr>
          <w:rStyle w:val="EndnoteReference"/>
          <w:rFonts w:ascii="Helvetica" w:hAnsi="Helvetica"/>
          <w:szCs w:val="24"/>
        </w:rPr>
        <w:endnoteReference w:id="6"/>
      </w:r>
      <w:r w:rsidR="00C84415" w:rsidRPr="009B3DDE">
        <w:rPr>
          <w:rFonts w:ascii="Helvetica" w:hAnsi="Helvetica"/>
          <w:szCs w:val="24"/>
        </w:rPr>
        <w:t xml:space="preserve"> </w:t>
      </w:r>
      <w:r w:rsidRPr="009B3DDE">
        <w:rPr>
          <w:rFonts w:ascii="Helvetica" w:hAnsi="Helvetica"/>
          <w:szCs w:val="24"/>
        </w:rPr>
        <w:t>“All the cost-benefit analysis, and the work that has been done in the Department, doesn’t place a high enough premium on significant transformational transport investment in the North. This has been a long running thing. The Government accepts it now which is why it set up Transport for the North.”</w:t>
      </w:r>
    </w:p>
    <w:p w14:paraId="4B92D2D3" w14:textId="77777777" w:rsidR="0067162B" w:rsidRPr="009B3DDE" w:rsidRDefault="0067162B" w:rsidP="009B3DDE">
      <w:pPr>
        <w:spacing w:line="480" w:lineRule="auto"/>
        <w:jc w:val="both"/>
        <w:rPr>
          <w:rFonts w:ascii="Helvetica" w:hAnsi="Helvetica"/>
          <w:szCs w:val="24"/>
        </w:rPr>
      </w:pPr>
    </w:p>
    <w:p w14:paraId="733D10AC" w14:textId="1E477678" w:rsidR="00083E59" w:rsidRPr="009B3DDE" w:rsidRDefault="00F7542B" w:rsidP="009B3DDE">
      <w:pPr>
        <w:spacing w:line="480" w:lineRule="auto"/>
        <w:jc w:val="both"/>
        <w:rPr>
          <w:rFonts w:ascii="Helvetica" w:hAnsi="Helvetica"/>
          <w:szCs w:val="24"/>
        </w:rPr>
      </w:pPr>
      <w:r w:rsidRPr="009B3DDE">
        <w:rPr>
          <w:rFonts w:ascii="Helvetica" w:hAnsi="Helvetica"/>
          <w:szCs w:val="24"/>
        </w:rPr>
        <w:t xml:space="preserve">The </w:t>
      </w:r>
      <w:r w:rsidR="00B241FF" w:rsidRPr="009B3DDE">
        <w:rPr>
          <w:rFonts w:ascii="Helvetica" w:hAnsi="Helvetica"/>
          <w:szCs w:val="24"/>
        </w:rPr>
        <w:t>skew to the capital</w:t>
      </w:r>
      <w:r w:rsidR="00D57E01" w:rsidRPr="009B3DDE">
        <w:rPr>
          <w:rFonts w:ascii="Helvetica" w:hAnsi="Helvetica"/>
          <w:szCs w:val="24"/>
        </w:rPr>
        <w:t xml:space="preserve"> in public funding to date is clear</w:t>
      </w:r>
      <w:r w:rsidR="00E279EA" w:rsidRPr="009B3DDE">
        <w:rPr>
          <w:rFonts w:ascii="Helvetica" w:hAnsi="Helvetica"/>
          <w:szCs w:val="24"/>
        </w:rPr>
        <w:t>, although the extent is contested</w:t>
      </w:r>
      <w:r w:rsidR="00D57E01" w:rsidRPr="009B3DDE">
        <w:rPr>
          <w:rFonts w:ascii="Helvetica" w:hAnsi="Helvetica"/>
          <w:szCs w:val="24"/>
        </w:rPr>
        <w:t>.</w:t>
      </w:r>
      <w:r w:rsidR="009E4BD0" w:rsidRPr="009B3DDE">
        <w:rPr>
          <w:rFonts w:ascii="Helvetica" w:hAnsi="Helvetica"/>
          <w:szCs w:val="24"/>
        </w:rPr>
        <w:t xml:space="preserve"> </w:t>
      </w:r>
      <w:r w:rsidR="00E279EA" w:rsidRPr="009B3DDE">
        <w:rPr>
          <w:rFonts w:ascii="Helvetica" w:hAnsi="Helvetica"/>
          <w:szCs w:val="24"/>
        </w:rPr>
        <w:t xml:space="preserve">The most extreme figures were presented by the think tank IPPR North: </w:t>
      </w:r>
      <w:r w:rsidR="007F7995" w:rsidRPr="009B3DDE">
        <w:rPr>
          <w:rFonts w:ascii="Helvetica" w:hAnsi="Helvetica"/>
          <w:szCs w:val="24"/>
        </w:rPr>
        <w:t>Raikes</w:t>
      </w:r>
      <w:r w:rsidR="00083E59" w:rsidRPr="009B3DDE">
        <w:rPr>
          <w:rFonts w:ascii="Helvetica" w:hAnsi="Helvetica"/>
          <w:szCs w:val="24"/>
        </w:rPr>
        <w:t xml:space="preserve"> (2018) calculate</w:t>
      </w:r>
      <w:r w:rsidR="00D57E01" w:rsidRPr="009B3DDE">
        <w:rPr>
          <w:rFonts w:ascii="Helvetica" w:hAnsi="Helvetica"/>
          <w:szCs w:val="24"/>
        </w:rPr>
        <w:t>d</w:t>
      </w:r>
      <w:r w:rsidR="00083E59" w:rsidRPr="009B3DDE">
        <w:rPr>
          <w:rFonts w:ascii="Helvetica" w:hAnsi="Helvetica"/>
          <w:szCs w:val="24"/>
        </w:rPr>
        <w:t xml:space="preserve"> that the North West </w:t>
      </w:r>
      <w:r w:rsidR="00D57E01" w:rsidRPr="009B3DDE">
        <w:rPr>
          <w:rFonts w:ascii="Helvetica" w:hAnsi="Helvetica"/>
          <w:szCs w:val="24"/>
        </w:rPr>
        <w:t xml:space="preserve">of England </w:t>
      </w:r>
      <w:r w:rsidR="00083E59" w:rsidRPr="009B3DDE">
        <w:rPr>
          <w:rFonts w:ascii="Helvetica" w:hAnsi="Helvetica"/>
          <w:szCs w:val="24"/>
        </w:rPr>
        <w:t xml:space="preserve">is </w:t>
      </w:r>
      <w:r w:rsidR="00D34BE2" w:rsidRPr="009B3DDE">
        <w:rPr>
          <w:rFonts w:ascii="Helvetica" w:hAnsi="Helvetica"/>
          <w:szCs w:val="24"/>
        </w:rPr>
        <w:t xml:space="preserve">to </w:t>
      </w:r>
      <w:r w:rsidR="00083E59" w:rsidRPr="009B3DDE">
        <w:rPr>
          <w:rFonts w:ascii="Helvetica" w:hAnsi="Helvetica"/>
          <w:szCs w:val="24"/>
        </w:rPr>
        <w:t>due receive transport spending of £2,439 per head,</w:t>
      </w:r>
      <w:r w:rsidR="00D57E01" w:rsidRPr="009B3DDE">
        <w:rPr>
          <w:rFonts w:ascii="Helvetica" w:hAnsi="Helvetica"/>
          <w:szCs w:val="24"/>
        </w:rPr>
        <w:t xml:space="preserve"> the </w:t>
      </w:r>
      <w:r w:rsidR="00083E59" w:rsidRPr="009B3DDE">
        <w:rPr>
          <w:rFonts w:ascii="Helvetica" w:hAnsi="Helvetica"/>
          <w:szCs w:val="24"/>
        </w:rPr>
        <w:t xml:space="preserve">North East £855 per head and Yorkshire and Humberside £844 per head, compared to London’s £4,155 </w:t>
      </w:r>
      <w:r w:rsidR="00083E59" w:rsidRPr="009B3DDE">
        <w:rPr>
          <w:rFonts w:ascii="Helvetica" w:hAnsi="Helvetica"/>
          <w:szCs w:val="24"/>
        </w:rPr>
        <w:lastRenderedPageBreak/>
        <w:t>per head</w:t>
      </w:r>
      <w:r w:rsidR="006D35B1" w:rsidRPr="009B3DDE">
        <w:rPr>
          <w:rFonts w:ascii="Helvetica" w:hAnsi="Helvetica"/>
          <w:szCs w:val="24"/>
        </w:rPr>
        <w:t xml:space="preserve"> (for years 2017/18 and onwards)</w:t>
      </w:r>
      <w:r w:rsidR="00083E59" w:rsidRPr="009B3DDE">
        <w:rPr>
          <w:rFonts w:ascii="Helvetica" w:hAnsi="Helvetica"/>
          <w:szCs w:val="24"/>
        </w:rPr>
        <w:t xml:space="preserve">. </w:t>
      </w:r>
      <w:r w:rsidR="00E279EA" w:rsidRPr="009B3DDE">
        <w:rPr>
          <w:rFonts w:ascii="Helvetica" w:hAnsi="Helvetica"/>
          <w:szCs w:val="24"/>
        </w:rPr>
        <w:t>The</w:t>
      </w:r>
      <w:r w:rsidR="00C6746B" w:rsidRPr="009B3DDE">
        <w:rPr>
          <w:rFonts w:ascii="Helvetica" w:hAnsi="Helvetica"/>
          <w:szCs w:val="24"/>
        </w:rPr>
        <w:t xml:space="preserve"> use of these </w:t>
      </w:r>
      <w:r w:rsidR="00E279EA" w:rsidRPr="009B3DDE">
        <w:rPr>
          <w:rFonts w:ascii="Helvetica" w:hAnsi="Helvetica"/>
          <w:szCs w:val="24"/>
        </w:rPr>
        <w:t xml:space="preserve">figures </w:t>
      </w:r>
      <w:r w:rsidR="00C6746B" w:rsidRPr="009B3DDE">
        <w:rPr>
          <w:rFonts w:ascii="Helvetica" w:hAnsi="Helvetica"/>
          <w:szCs w:val="24"/>
        </w:rPr>
        <w:t>to compare the regional investments is</w:t>
      </w:r>
      <w:r w:rsidR="00E279EA" w:rsidRPr="009B3DDE">
        <w:rPr>
          <w:rFonts w:ascii="Helvetica" w:hAnsi="Helvetica"/>
          <w:szCs w:val="24"/>
        </w:rPr>
        <w:t xml:space="preserve"> strongly challenged in government on the basis</w:t>
      </w:r>
      <w:r w:rsidR="00083E59" w:rsidRPr="009B3DDE">
        <w:rPr>
          <w:rFonts w:ascii="Helvetica" w:hAnsi="Helvetica"/>
          <w:szCs w:val="24"/>
        </w:rPr>
        <w:t xml:space="preserve"> that </w:t>
      </w:r>
      <w:r w:rsidR="00E279EA" w:rsidRPr="009B3DDE">
        <w:rPr>
          <w:rFonts w:ascii="Helvetica" w:hAnsi="Helvetica"/>
          <w:szCs w:val="24"/>
        </w:rPr>
        <w:t xml:space="preserve">passenger contribution through fares covers much of the cost; and anyway </w:t>
      </w:r>
      <w:r w:rsidR="00083E59" w:rsidRPr="009B3DDE">
        <w:rPr>
          <w:rFonts w:ascii="Helvetica" w:hAnsi="Helvetica"/>
          <w:szCs w:val="24"/>
        </w:rPr>
        <w:t>London makes a net contribution in tax revenues to the rest of the UK</w:t>
      </w:r>
      <w:r w:rsidR="00D57E01" w:rsidRPr="009B3DDE">
        <w:rPr>
          <w:rFonts w:ascii="Helvetica" w:hAnsi="Helvetica"/>
          <w:szCs w:val="24"/>
        </w:rPr>
        <w:t xml:space="preserve"> and </w:t>
      </w:r>
      <w:r w:rsidR="00F94DE4" w:rsidRPr="009B3DDE">
        <w:rPr>
          <w:rFonts w:ascii="Helvetica" w:hAnsi="Helvetica"/>
          <w:szCs w:val="24"/>
        </w:rPr>
        <w:t xml:space="preserve">therefore </w:t>
      </w:r>
      <w:r w:rsidR="00D57E01" w:rsidRPr="009B3DDE">
        <w:rPr>
          <w:rFonts w:ascii="Helvetica" w:hAnsi="Helvetica"/>
          <w:szCs w:val="24"/>
        </w:rPr>
        <w:t xml:space="preserve">needs higher spend per capita to continue to deliver productivity and growth </w:t>
      </w:r>
      <w:r w:rsidR="00F94DE4" w:rsidRPr="009B3DDE">
        <w:rPr>
          <w:rFonts w:ascii="Helvetica" w:hAnsi="Helvetica"/>
          <w:szCs w:val="24"/>
        </w:rPr>
        <w:t>benefiting</w:t>
      </w:r>
      <w:r w:rsidR="00D57E01" w:rsidRPr="009B3DDE">
        <w:rPr>
          <w:rFonts w:ascii="Helvetica" w:hAnsi="Helvetica"/>
          <w:szCs w:val="24"/>
        </w:rPr>
        <w:t xml:space="preserve"> the whole of the UK. This</w:t>
      </w:r>
      <w:r w:rsidR="00083E59" w:rsidRPr="009B3DDE">
        <w:rPr>
          <w:rFonts w:ascii="Helvetica" w:hAnsi="Helvetica"/>
          <w:szCs w:val="24"/>
        </w:rPr>
        <w:t xml:space="preserve"> </w:t>
      </w:r>
      <w:r w:rsidR="00E279EA" w:rsidRPr="009B3DDE">
        <w:rPr>
          <w:rFonts w:ascii="Helvetica" w:hAnsi="Helvetica"/>
          <w:szCs w:val="24"/>
        </w:rPr>
        <w:t xml:space="preserve">latter </w:t>
      </w:r>
      <w:r w:rsidR="00083E59" w:rsidRPr="009B3DDE">
        <w:rPr>
          <w:rFonts w:ascii="Helvetica" w:hAnsi="Helvetica"/>
          <w:szCs w:val="24"/>
        </w:rPr>
        <w:t>is somewhat circular</w:t>
      </w:r>
      <w:r w:rsidR="00D57E01" w:rsidRPr="009B3DDE">
        <w:rPr>
          <w:rFonts w:ascii="Helvetica" w:hAnsi="Helvetica"/>
          <w:szCs w:val="24"/>
        </w:rPr>
        <w:t>:</w:t>
      </w:r>
      <w:r w:rsidR="00083E59" w:rsidRPr="009B3DDE">
        <w:rPr>
          <w:rFonts w:ascii="Helvetica" w:hAnsi="Helvetica"/>
          <w:szCs w:val="24"/>
        </w:rPr>
        <w:t xml:space="preserve"> </w:t>
      </w:r>
      <w:r w:rsidR="00D57E01" w:rsidRPr="009B3DDE">
        <w:rPr>
          <w:rFonts w:ascii="Helvetica" w:hAnsi="Helvetica"/>
          <w:szCs w:val="24"/>
        </w:rPr>
        <w:t>if</w:t>
      </w:r>
      <w:r w:rsidR="00083E59" w:rsidRPr="009B3DDE">
        <w:rPr>
          <w:rFonts w:ascii="Helvetica" w:hAnsi="Helvetica"/>
          <w:szCs w:val="24"/>
        </w:rPr>
        <w:t xml:space="preserve"> the capital </w:t>
      </w:r>
      <w:r w:rsidR="00F94DE4" w:rsidRPr="009B3DDE">
        <w:rPr>
          <w:rFonts w:ascii="Helvetica" w:hAnsi="Helvetica"/>
          <w:szCs w:val="24"/>
        </w:rPr>
        <w:t>needs</w:t>
      </w:r>
      <w:r w:rsidR="00083E59" w:rsidRPr="009B3DDE">
        <w:rPr>
          <w:rFonts w:ascii="Helvetica" w:hAnsi="Helvetica"/>
          <w:szCs w:val="24"/>
        </w:rPr>
        <w:t xml:space="preserve"> infrastructure </w:t>
      </w:r>
      <w:r w:rsidR="00F94DE4" w:rsidRPr="009B3DDE">
        <w:rPr>
          <w:rFonts w:ascii="Helvetica" w:hAnsi="Helvetica"/>
          <w:szCs w:val="24"/>
        </w:rPr>
        <w:t xml:space="preserve">to </w:t>
      </w:r>
      <w:r w:rsidR="00083E59" w:rsidRPr="009B3DDE">
        <w:rPr>
          <w:rFonts w:ascii="Helvetica" w:hAnsi="Helvetica"/>
          <w:szCs w:val="24"/>
        </w:rPr>
        <w:t xml:space="preserve">enable it to </w:t>
      </w:r>
      <w:r w:rsidR="00E279EA" w:rsidRPr="009B3DDE">
        <w:rPr>
          <w:rFonts w:ascii="Helvetica" w:hAnsi="Helvetica"/>
          <w:szCs w:val="24"/>
        </w:rPr>
        <w:t xml:space="preserve">continue to </w:t>
      </w:r>
      <w:r w:rsidR="00083E59" w:rsidRPr="009B3DDE">
        <w:rPr>
          <w:rFonts w:ascii="Helvetica" w:hAnsi="Helvetica"/>
          <w:szCs w:val="24"/>
        </w:rPr>
        <w:t xml:space="preserve">grow fast and have higher </w:t>
      </w:r>
      <w:r w:rsidR="00F94DE4" w:rsidRPr="009B3DDE">
        <w:rPr>
          <w:rFonts w:ascii="Helvetica" w:hAnsi="Helvetica"/>
          <w:szCs w:val="24"/>
        </w:rPr>
        <w:t>productivity</w:t>
      </w:r>
      <w:r w:rsidR="00D57E01" w:rsidRPr="009B3DDE">
        <w:rPr>
          <w:rFonts w:ascii="Helvetica" w:hAnsi="Helvetica"/>
          <w:szCs w:val="24"/>
        </w:rPr>
        <w:t xml:space="preserve">, </w:t>
      </w:r>
      <w:r w:rsidR="00F94DE4" w:rsidRPr="009B3DDE">
        <w:rPr>
          <w:rFonts w:ascii="Helvetica" w:hAnsi="Helvetica"/>
          <w:szCs w:val="24"/>
        </w:rPr>
        <w:t>surely</w:t>
      </w:r>
      <w:r w:rsidR="00D57E01" w:rsidRPr="009B3DDE">
        <w:rPr>
          <w:rFonts w:ascii="Helvetica" w:hAnsi="Helvetica"/>
          <w:szCs w:val="24"/>
        </w:rPr>
        <w:t xml:space="preserve"> the same reasoning </w:t>
      </w:r>
      <w:r w:rsidR="00F94DE4" w:rsidRPr="009B3DDE">
        <w:rPr>
          <w:rFonts w:ascii="Helvetica" w:hAnsi="Helvetica"/>
          <w:szCs w:val="24"/>
        </w:rPr>
        <w:t>applies</w:t>
      </w:r>
      <w:r w:rsidR="00D57E01" w:rsidRPr="009B3DDE">
        <w:rPr>
          <w:rFonts w:ascii="Helvetica" w:hAnsi="Helvetica"/>
          <w:szCs w:val="24"/>
        </w:rPr>
        <w:t xml:space="preserve"> to other regions?</w:t>
      </w:r>
      <w:r w:rsidR="00083E59" w:rsidRPr="009B3DDE">
        <w:rPr>
          <w:rFonts w:ascii="Helvetica" w:hAnsi="Helvetica"/>
          <w:szCs w:val="24"/>
        </w:rPr>
        <w:t xml:space="preserve"> </w:t>
      </w:r>
    </w:p>
    <w:p w14:paraId="5AAEBF31" w14:textId="77777777" w:rsidR="0067162B" w:rsidRPr="009B3DDE" w:rsidRDefault="0067162B" w:rsidP="009B3DDE">
      <w:pPr>
        <w:pStyle w:val="FootnoteText"/>
        <w:spacing w:line="480" w:lineRule="auto"/>
        <w:jc w:val="both"/>
        <w:rPr>
          <w:rFonts w:ascii="Helvetica" w:hAnsi="Helvetica"/>
          <w:sz w:val="24"/>
          <w:szCs w:val="24"/>
        </w:rPr>
      </w:pPr>
    </w:p>
    <w:p w14:paraId="309D9884" w14:textId="730E3EF4" w:rsidR="007A6ED2" w:rsidRDefault="00D17929" w:rsidP="009B3DDE">
      <w:pPr>
        <w:pStyle w:val="FootnoteText"/>
        <w:spacing w:line="480" w:lineRule="auto"/>
        <w:jc w:val="both"/>
        <w:rPr>
          <w:rFonts w:ascii="Helvetica" w:hAnsi="Helvetica"/>
          <w:sz w:val="24"/>
          <w:szCs w:val="24"/>
        </w:rPr>
      </w:pPr>
      <w:r w:rsidRPr="009B3DDE">
        <w:rPr>
          <w:rFonts w:ascii="Helvetica" w:hAnsi="Helvetica"/>
          <w:sz w:val="24"/>
          <w:szCs w:val="24"/>
        </w:rPr>
        <w:t xml:space="preserve">The </w:t>
      </w:r>
      <w:r w:rsidR="00DC72C3" w:rsidRPr="009B3DDE">
        <w:rPr>
          <w:rFonts w:ascii="Helvetica" w:hAnsi="Helvetica"/>
          <w:sz w:val="24"/>
          <w:szCs w:val="24"/>
        </w:rPr>
        <w:t xml:space="preserve">Treasury </w:t>
      </w:r>
      <w:r w:rsidRPr="009B3DDE">
        <w:rPr>
          <w:rFonts w:ascii="Helvetica" w:hAnsi="Helvetica"/>
          <w:sz w:val="24"/>
          <w:szCs w:val="24"/>
        </w:rPr>
        <w:t>publishes an annual record of the Public Expenditure Statistic</w:t>
      </w:r>
      <w:r w:rsidR="00936E2A" w:rsidRPr="009B3DDE">
        <w:rPr>
          <w:rFonts w:ascii="Helvetica" w:hAnsi="Helvetica"/>
          <w:sz w:val="24"/>
          <w:szCs w:val="24"/>
        </w:rPr>
        <w:t>al</w:t>
      </w:r>
      <w:r w:rsidRPr="009B3DDE">
        <w:rPr>
          <w:rFonts w:ascii="Helvetica" w:hAnsi="Helvetica"/>
          <w:sz w:val="24"/>
          <w:szCs w:val="24"/>
        </w:rPr>
        <w:t xml:space="preserve"> Analysis (PESA) </w:t>
      </w:r>
      <w:r w:rsidR="00B241FF" w:rsidRPr="009B3DDE">
        <w:rPr>
          <w:rFonts w:ascii="Helvetica" w:hAnsi="Helvetica"/>
          <w:sz w:val="24"/>
          <w:szCs w:val="24"/>
        </w:rPr>
        <w:t>including</w:t>
      </w:r>
      <w:r w:rsidRPr="009B3DDE">
        <w:rPr>
          <w:rFonts w:ascii="Helvetica" w:hAnsi="Helvetica"/>
          <w:sz w:val="24"/>
          <w:szCs w:val="24"/>
        </w:rPr>
        <w:t xml:space="preserve"> a regional allocation of public spending (by central government, local government and public corporations). It also </w:t>
      </w:r>
      <w:r w:rsidR="00B241FF" w:rsidRPr="009B3DDE">
        <w:rPr>
          <w:rFonts w:ascii="Helvetica" w:hAnsi="Helvetica"/>
          <w:sz w:val="24"/>
          <w:szCs w:val="24"/>
        </w:rPr>
        <w:t xml:space="preserve">sets out </w:t>
      </w:r>
      <w:r w:rsidRPr="009B3DDE">
        <w:rPr>
          <w:rFonts w:ascii="Helvetica" w:hAnsi="Helvetica"/>
          <w:sz w:val="24"/>
          <w:szCs w:val="24"/>
        </w:rPr>
        <w:t>spending by functions.</w:t>
      </w:r>
      <w:r w:rsidR="00B241FF" w:rsidRPr="009B3DDE">
        <w:rPr>
          <w:rFonts w:ascii="Helvetica" w:hAnsi="Helvetica"/>
          <w:sz w:val="24"/>
          <w:szCs w:val="24"/>
        </w:rPr>
        <w:t xml:space="preserve"> </w:t>
      </w:r>
      <w:r w:rsidR="000A74C1" w:rsidRPr="009B3DDE">
        <w:rPr>
          <w:rFonts w:ascii="Helvetica" w:hAnsi="Helvetica"/>
          <w:sz w:val="24"/>
          <w:szCs w:val="24"/>
        </w:rPr>
        <w:t xml:space="preserve">Figure </w:t>
      </w:r>
      <w:r w:rsidR="00F63296" w:rsidRPr="009B3DDE">
        <w:rPr>
          <w:rFonts w:ascii="Helvetica" w:hAnsi="Helvetica"/>
          <w:sz w:val="24"/>
          <w:szCs w:val="24"/>
        </w:rPr>
        <w:t>2</w:t>
      </w:r>
      <w:r w:rsidR="000F1EFA" w:rsidRPr="009B3DDE">
        <w:rPr>
          <w:rFonts w:ascii="Helvetica" w:hAnsi="Helvetica"/>
          <w:sz w:val="24"/>
          <w:szCs w:val="24"/>
        </w:rPr>
        <w:t xml:space="preserve"> </w:t>
      </w:r>
      <w:r w:rsidR="00B241FF" w:rsidRPr="009B3DDE">
        <w:rPr>
          <w:rFonts w:ascii="Helvetica" w:hAnsi="Helvetica"/>
          <w:sz w:val="24"/>
          <w:szCs w:val="24"/>
        </w:rPr>
        <w:t>compares</w:t>
      </w:r>
      <w:r w:rsidR="000F1EFA" w:rsidRPr="009B3DDE">
        <w:rPr>
          <w:rFonts w:ascii="Helvetica" w:hAnsi="Helvetica"/>
          <w:sz w:val="24"/>
          <w:szCs w:val="24"/>
        </w:rPr>
        <w:t xml:space="preserve"> </w:t>
      </w:r>
      <w:r w:rsidR="00B241FF" w:rsidRPr="009B3DDE">
        <w:rPr>
          <w:rFonts w:ascii="Helvetica" w:hAnsi="Helvetica"/>
          <w:sz w:val="24"/>
          <w:szCs w:val="24"/>
        </w:rPr>
        <w:t>the</w:t>
      </w:r>
      <w:r w:rsidR="00DC72C3" w:rsidRPr="009B3DDE">
        <w:rPr>
          <w:rFonts w:ascii="Helvetica" w:hAnsi="Helvetica"/>
          <w:sz w:val="24"/>
          <w:szCs w:val="24"/>
        </w:rPr>
        <w:t xml:space="preserve"> HM Treasury (2017) </w:t>
      </w:r>
      <w:r w:rsidR="00B241FF" w:rsidRPr="009B3DDE">
        <w:rPr>
          <w:rFonts w:ascii="Helvetica" w:hAnsi="Helvetica"/>
          <w:sz w:val="24"/>
          <w:szCs w:val="24"/>
        </w:rPr>
        <w:t xml:space="preserve">PESA figures for </w:t>
      </w:r>
      <w:r w:rsidR="000F1EFA" w:rsidRPr="009B3DDE">
        <w:rPr>
          <w:rFonts w:ascii="Helvetica" w:hAnsi="Helvetica"/>
          <w:sz w:val="24"/>
          <w:szCs w:val="24"/>
        </w:rPr>
        <w:t xml:space="preserve">actual public expenditure on transport </w:t>
      </w:r>
      <w:r w:rsidR="00B241FF" w:rsidRPr="009B3DDE">
        <w:rPr>
          <w:rFonts w:ascii="Helvetica" w:hAnsi="Helvetica"/>
          <w:sz w:val="24"/>
          <w:szCs w:val="24"/>
        </w:rPr>
        <w:t xml:space="preserve">over the past four financial years </w:t>
      </w:r>
      <w:r w:rsidR="000F1EFA" w:rsidRPr="009B3DDE">
        <w:rPr>
          <w:rFonts w:ascii="Helvetica" w:hAnsi="Helvetica"/>
          <w:sz w:val="24"/>
          <w:szCs w:val="24"/>
        </w:rPr>
        <w:t>with the projected spending figures published by the Infrastructure Projects Authority (</w:t>
      </w:r>
      <w:r w:rsidR="000A74C1" w:rsidRPr="009B3DDE">
        <w:rPr>
          <w:rFonts w:ascii="Helvetica" w:hAnsi="Helvetica"/>
          <w:sz w:val="24"/>
          <w:szCs w:val="24"/>
        </w:rPr>
        <w:t>the NICP</w:t>
      </w:r>
      <w:r w:rsidR="000F1EFA" w:rsidRPr="009B3DDE">
        <w:rPr>
          <w:rFonts w:ascii="Helvetica" w:hAnsi="Helvetica"/>
          <w:sz w:val="24"/>
          <w:szCs w:val="24"/>
        </w:rPr>
        <w:t>) and those calculated by IPPR</w:t>
      </w:r>
      <w:r w:rsidR="00B241FF" w:rsidRPr="009B3DDE">
        <w:rPr>
          <w:rFonts w:ascii="Helvetica" w:hAnsi="Helvetica"/>
          <w:sz w:val="24"/>
          <w:szCs w:val="24"/>
        </w:rPr>
        <w:t xml:space="preserve"> North</w:t>
      </w:r>
      <w:r w:rsidR="007F7995" w:rsidRPr="009B3DDE">
        <w:rPr>
          <w:rFonts w:ascii="Helvetica" w:hAnsi="Helvetica"/>
          <w:sz w:val="24"/>
          <w:szCs w:val="24"/>
        </w:rPr>
        <w:t>, Raikes (2018)</w:t>
      </w:r>
      <w:r w:rsidR="000F1EFA" w:rsidRPr="009B3DDE">
        <w:rPr>
          <w:rFonts w:ascii="Helvetica" w:hAnsi="Helvetica"/>
          <w:sz w:val="24"/>
          <w:szCs w:val="24"/>
        </w:rPr>
        <w:t xml:space="preserve">. </w:t>
      </w:r>
      <w:r w:rsidR="000A74C1" w:rsidRPr="009B3DDE">
        <w:rPr>
          <w:rFonts w:ascii="Helvetica" w:hAnsi="Helvetica"/>
          <w:sz w:val="24"/>
          <w:szCs w:val="24"/>
        </w:rPr>
        <w:t>It is important to note the reasons for the differences, including the time periods they cover</w:t>
      </w:r>
      <w:r w:rsidR="00DC72C3" w:rsidRPr="009B3DDE">
        <w:rPr>
          <w:rFonts w:ascii="Helvetica" w:hAnsi="Helvetica"/>
          <w:sz w:val="24"/>
          <w:szCs w:val="24"/>
        </w:rPr>
        <w:t>, PESA and NICP are both for four years whereas the IPPR North figures take</w:t>
      </w:r>
      <w:r w:rsidR="00622D09" w:rsidRPr="009B3DDE">
        <w:rPr>
          <w:rFonts w:ascii="Helvetica" w:hAnsi="Helvetica"/>
          <w:sz w:val="24"/>
          <w:szCs w:val="24"/>
        </w:rPr>
        <w:t>s</w:t>
      </w:r>
      <w:r w:rsidR="00DC72C3" w:rsidRPr="009B3DDE">
        <w:rPr>
          <w:rFonts w:ascii="Helvetica" w:hAnsi="Helvetica"/>
          <w:sz w:val="24"/>
          <w:szCs w:val="24"/>
        </w:rPr>
        <w:t xml:space="preserve"> in </w:t>
      </w:r>
      <w:r w:rsidR="00622D09" w:rsidRPr="009B3DDE">
        <w:rPr>
          <w:rFonts w:ascii="Helvetica" w:hAnsi="Helvetica"/>
          <w:sz w:val="24"/>
          <w:szCs w:val="24"/>
        </w:rPr>
        <w:t xml:space="preserve">spending </w:t>
      </w:r>
      <w:r w:rsidR="00936E2A" w:rsidRPr="009B3DDE">
        <w:rPr>
          <w:rFonts w:ascii="Helvetica" w:hAnsi="Helvetica"/>
          <w:sz w:val="24"/>
          <w:szCs w:val="24"/>
        </w:rPr>
        <w:t xml:space="preserve">from 2017/18 to </w:t>
      </w:r>
      <w:r w:rsidR="00622D09" w:rsidRPr="009B3DDE">
        <w:rPr>
          <w:rFonts w:ascii="Helvetica" w:hAnsi="Helvetica"/>
          <w:sz w:val="24"/>
          <w:szCs w:val="24"/>
        </w:rPr>
        <w:t>beyond 2021/22</w:t>
      </w:r>
      <w:r w:rsidR="000A74C1" w:rsidRPr="009B3DDE">
        <w:rPr>
          <w:rFonts w:ascii="Helvetica" w:hAnsi="Helvetica"/>
          <w:sz w:val="24"/>
          <w:szCs w:val="24"/>
        </w:rPr>
        <w:t xml:space="preserve">. </w:t>
      </w:r>
      <w:r w:rsidR="000F1EFA" w:rsidRPr="009B3DDE">
        <w:rPr>
          <w:rFonts w:ascii="Helvetica" w:hAnsi="Helvetica"/>
          <w:sz w:val="24"/>
          <w:szCs w:val="24"/>
        </w:rPr>
        <w:t xml:space="preserve">The </w:t>
      </w:r>
      <w:r w:rsidR="000A74C1" w:rsidRPr="009B3DDE">
        <w:rPr>
          <w:rFonts w:ascii="Helvetica" w:hAnsi="Helvetica"/>
          <w:sz w:val="24"/>
          <w:szCs w:val="24"/>
        </w:rPr>
        <w:t xml:space="preserve">NICP </w:t>
      </w:r>
      <w:r w:rsidR="00B241FF" w:rsidRPr="009B3DDE">
        <w:rPr>
          <w:rFonts w:ascii="Helvetica" w:hAnsi="Helvetica"/>
          <w:sz w:val="24"/>
          <w:szCs w:val="24"/>
        </w:rPr>
        <w:t xml:space="preserve">figures are lower than the </w:t>
      </w:r>
      <w:r w:rsidR="000A74C1" w:rsidRPr="009B3DDE">
        <w:rPr>
          <w:rFonts w:ascii="Helvetica" w:hAnsi="Helvetica"/>
          <w:sz w:val="24"/>
          <w:szCs w:val="24"/>
        </w:rPr>
        <w:t xml:space="preserve">IPPR North figures </w:t>
      </w:r>
      <w:r w:rsidR="00B241FF" w:rsidRPr="009B3DDE">
        <w:rPr>
          <w:rFonts w:ascii="Helvetica" w:hAnsi="Helvetica"/>
          <w:sz w:val="24"/>
          <w:szCs w:val="24"/>
        </w:rPr>
        <w:t xml:space="preserve">because </w:t>
      </w:r>
      <w:r w:rsidR="000A74C1" w:rsidRPr="009B3DDE">
        <w:rPr>
          <w:rFonts w:ascii="Helvetica" w:hAnsi="Helvetica"/>
          <w:sz w:val="24"/>
          <w:szCs w:val="24"/>
        </w:rPr>
        <w:t xml:space="preserve">the former’s </w:t>
      </w:r>
      <w:r w:rsidR="000F1EFA" w:rsidRPr="009B3DDE">
        <w:rPr>
          <w:rFonts w:ascii="Helvetica" w:hAnsi="Helvetica"/>
          <w:sz w:val="24"/>
          <w:szCs w:val="24"/>
        </w:rPr>
        <w:t>regional analysis counts only central government expenditure and does not include local government spending when provided jointly with central government, (for example Crossrail £2.3bn and Thameslink £</w:t>
      </w:r>
      <w:r w:rsidR="00B241FF" w:rsidRPr="009B3DDE">
        <w:rPr>
          <w:rFonts w:ascii="Helvetica" w:hAnsi="Helvetica"/>
          <w:sz w:val="24"/>
          <w:szCs w:val="24"/>
        </w:rPr>
        <w:t>0.8bn</w:t>
      </w:r>
      <w:r w:rsidR="000F1EFA" w:rsidRPr="009B3DDE">
        <w:rPr>
          <w:rFonts w:ascii="Helvetica" w:hAnsi="Helvetica"/>
          <w:sz w:val="24"/>
          <w:szCs w:val="24"/>
        </w:rPr>
        <w:t xml:space="preserve">); local government spending, (for example London Underground renewal £1.1bn and </w:t>
      </w:r>
      <w:r w:rsidR="000F1EFA" w:rsidRPr="009B3DDE">
        <w:rPr>
          <w:rFonts w:ascii="Helvetica" w:hAnsi="Helvetica"/>
          <w:sz w:val="24"/>
          <w:szCs w:val="24"/>
        </w:rPr>
        <w:lastRenderedPageBreak/>
        <w:t>line upgrades £1.1bn); private sector spending when central or local government is the co-funder (for example: Barking Riverside extension £61mn) and any spending beyond 2021/22 (for example HS2 and Crossrail 2 £31 billion</w:t>
      </w:r>
      <w:r w:rsidR="006D35B1" w:rsidRPr="009B3DDE">
        <w:rPr>
          <w:rFonts w:ascii="Helvetica" w:hAnsi="Helvetica"/>
          <w:sz w:val="24"/>
          <w:szCs w:val="24"/>
        </w:rPr>
        <w:t>)</w:t>
      </w:r>
      <w:r w:rsidR="00B06AB4" w:rsidRPr="009B3DDE">
        <w:rPr>
          <w:rFonts w:ascii="Helvetica" w:hAnsi="Helvetica"/>
          <w:sz w:val="24"/>
          <w:szCs w:val="24"/>
        </w:rPr>
        <w:t xml:space="preserve">. In addition, some formerly directly government-funded spend in London is now funded from the capital’s retained business rates, so is no longer classified as capital expenditure. This switched funding, which therefore no longer is included in the investment figures, amounts to £240m in the current year. </w:t>
      </w:r>
      <w:r w:rsidR="000A74C1" w:rsidRPr="009B3DDE">
        <w:rPr>
          <w:rFonts w:ascii="Helvetica" w:hAnsi="Helvetica"/>
          <w:sz w:val="24"/>
          <w:szCs w:val="24"/>
        </w:rPr>
        <w:t>By contrast, the IPPR North figures include all of these in their analysis, and hence their figures show a more pronounced skew toward London. However, the PESA figures on actual spend for the past four years also show a strong skew</w:t>
      </w:r>
      <w:r w:rsidR="00E00E53" w:rsidRPr="009B3DDE">
        <w:rPr>
          <w:rFonts w:ascii="Helvetica" w:hAnsi="Helvetica"/>
          <w:sz w:val="24"/>
          <w:szCs w:val="24"/>
        </w:rPr>
        <w:t>, as do other calculations based on historical spending data (Gibbons, 2017)</w:t>
      </w:r>
      <w:r w:rsidR="000A74C1" w:rsidRPr="009B3DDE">
        <w:rPr>
          <w:rFonts w:ascii="Helvetica" w:hAnsi="Helvetica"/>
          <w:sz w:val="24"/>
          <w:szCs w:val="24"/>
        </w:rPr>
        <w:t xml:space="preserve">. So </w:t>
      </w:r>
      <w:r w:rsidR="00E00E53" w:rsidRPr="009B3DDE">
        <w:rPr>
          <w:rFonts w:ascii="Helvetica" w:hAnsi="Helvetica"/>
          <w:sz w:val="24"/>
          <w:szCs w:val="24"/>
        </w:rPr>
        <w:t>indeed</w:t>
      </w:r>
      <w:r w:rsidR="000A74C1" w:rsidRPr="009B3DDE">
        <w:rPr>
          <w:rFonts w:ascii="Helvetica" w:hAnsi="Helvetica"/>
          <w:sz w:val="24"/>
          <w:szCs w:val="24"/>
        </w:rPr>
        <w:t xml:space="preserve"> does the lived experience of </w:t>
      </w:r>
      <w:r w:rsidR="00E00E53" w:rsidRPr="009B3DDE">
        <w:rPr>
          <w:rFonts w:ascii="Helvetica" w:hAnsi="Helvetica"/>
          <w:sz w:val="24"/>
          <w:szCs w:val="24"/>
        </w:rPr>
        <w:t xml:space="preserve">people </w:t>
      </w:r>
      <w:r w:rsidR="000A74C1" w:rsidRPr="009B3DDE">
        <w:rPr>
          <w:rFonts w:ascii="Helvetica" w:hAnsi="Helvetica"/>
          <w:sz w:val="24"/>
          <w:szCs w:val="24"/>
        </w:rPr>
        <w:t>travelling in and between cities other than the capital. No other UK city has remotely anything like its dense, interconnected public transport network</w:t>
      </w:r>
      <w:r w:rsidR="00E00E53" w:rsidRPr="009B3DDE">
        <w:rPr>
          <w:rFonts w:ascii="Helvetica" w:hAnsi="Helvetica"/>
          <w:sz w:val="24"/>
          <w:szCs w:val="24"/>
        </w:rPr>
        <w:t xml:space="preserve"> serving London</w:t>
      </w:r>
      <w:r w:rsidR="000A74C1" w:rsidRPr="009B3DDE">
        <w:rPr>
          <w:rFonts w:ascii="Helvetica" w:hAnsi="Helvetica"/>
          <w:sz w:val="24"/>
          <w:szCs w:val="24"/>
        </w:rPr>
        <w:t>.</w:t>
      </w:r>
    </w:p>
    <w:p w14:paraId="3605515A" w14:textId="77777777" w:rsidR="007A5158" w:rsidRDefault="007A5158" w:rsidP="009B3DDE">
      <w:pPr>
        <w:pStyle w:val="FootnoteText"/>
        <w:spacing w:line="480" w:lineRule="auto"/>
        <w:jc w:val="both"/>
        <w:rPr>
          <w:rFonts w:ascii="Helvetica" w:hAnsi="Helvetica"/>
          <w:sz w:val="24"/>
          <w:szCs w:val="24"/>
        </w:rPr>
      </w:pPr>
    </w:p>
    <w:p w14:paraId="0F23A144" w14:textId="77777777" w:rsidR="00D82018" w:rsidRPr="007A5158" w:rsidRDefault="00D82018" w:rsidP="00D82018">
      <w:pPr>
        <w:spacing w:line="480" w:lineRule="auto"/>
        <w:jc w:val="both"/>
        <w:rPr>
          <w:rFonts w:ascii="Helvetica" w:hAnsi="Helvetica"/>
          <w:szCs w:val="24"/>
        </w:rPr>
      </w:pPr>
      <w:r w:rsidRPr="007A5158">
        <w:rPr>
          <w:rFonts w:ascii="Helvetica" w:hAnsi="Helvetica"/>
          <w:szCs w:val="24"/>
        </w:rPr>
        <w:t>Figure 2: Transport capital spending per head, actual 13/14-16/17 (PESA), projections 17/18 on (NICP and IPPR)</w:t>
      </w:r>
    </w:p>
    <w:p w14:paraId="64EE7542" w14:textId="77777777" w:rsidR="00D82018" w:rsidRDefault="00D82018" w:rsidP="00D82018">
      <w:r w:rsidRPr="009B3DDE">
        <w:rPr>
          <w:noProof/>
          <w:szCs w:val="24"/>
          <w:lang w:val="en-US" w:eastAsia="en-US"/>
        </w:rPr>
        <w:lastRenderedPageBreak/>
        <w:drawing>
          <wp:inline distT="0" distB="0" distL="0" distR="0" wp14:anchorId="2B1550BA" wp14:editId="6BC6AAB0">
            <wp:extent cx="4964026" cy="3202940"/>
            <wp:effectExtent l="0" t="0" r="14605" b="228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CE9B322" w14:textId="77777777" w:rsidR="0067162B" w:rsidRPr="009B3DDE" w:rsidRDefault="0067162B" w:rsidP="009B3DDE">
      <w:pPr>
        <w:spacing w:line="480" w:lineRule="auto"/>
        <w:jc w:val="both"/>
        <w:rPr>
          <w:rFonts w:ascii="Helvetica" w:hAnsi="Helvetica"/>
          <w:szCs w:val="24"/>
        </w:rPr>
      </w:pPr>
    </w:p>
    <w:p w14:paraId="4C2EEBB0" w14:textId="3199ECC3" w:rsidR="008349AD" w:rsidRPr="009B3DDE" w:rsidRDefault="00E9050D" w:rsidP="009B3DDE">
      <w:pPr>
        <w:spacing w:line="480" w:lineRule="auto"/>
        <w:jc w:val="both"/>
        <w:rPr>
          <w:rFonts w:ascii="Helvetica" w:hAnsi="Helvetica"/>
          <w:szCs w:val="24"/>
        </w:rPr>
      </w:pPr>
      <w:r w:rsidRPr="009B3DDE">
        <w:rPr>
          <w:rFonts w:ascii="Helvetica" w:hAnsi="Helvetica"/>
          <w:szCs w:val="24"/>
        </w:rPr>
        <w:t xml:space="preserve">In terms of the regional distribution of investment, an inspection of benefit-cost ratios </w:t>
      </w:r>
      <w:r w:rsidR="002E553A" w:rsidRPr="009B3DDE">
        <w:rPr>
          <w:rFonts w:ascii="Helvetica" w:hAnsi="Helvetica"/>
          <w:szCs w:val="24"/>
        </w:rPr>
        <w:t xml:space="preserve">(BCR) </w:t>
      </w:r>
      <w:r w:rsidRPr="009B3DDE">
        <w:rPr>
          <w:rFonts w:ascii="Helvetica" w:hAnsi="Helvetica"/>
          <w:szCs w:val="24"/>
        </w:rPr>
        <w:t xml:space="preserve">of public transport schemes assembled for the Eddington </w:t>
      </w:r>
      <w:r w:rsidR="00622D09" w:rsidRPr="009B3DDE">
        <w:rPr>
          <w:rFonts w:ascii="Helvetica" w:hAnsi="Helvetica"/>
          <w:szCs w:val="24"/>
        </w:rPr>
        <w:t xml:space="preserve">(2006) </w:t>
      </w:r>
      <w:r w:rsidRPr="009B3DDE">
        <w:rPr>
          <w:rFonts w:ascii="Helvetica" w:hAnsi="Helvetica"/>
          <w:szCs w:val="24"/>
        </w:rPr>
        <w:t xml:space="preserve">Review </w:t>
      </w:r>
      <w:r w:rsidR="009D52AA" w:rsidRPr="009B3DDE">
        <w:rPr>
          <w:rFonts w:ascii="Helvetica" w:hAnsi="Helvetica"/>
          <w:szCs w:val="24"/>
        </w:rPr>
        <w:t xml:space="preserve">and a number of subsequent schemes </w:t>
      </w:r>
      <w:r w:rsidRPr="009B3DDE">
        <w:rPr>
          <w:rFonts w:ascii="Helvetica" w:hAnsi="Helvetica"/>
          <w:szCs w:val="24"/>
        </w:rPr>
        <w:t>indicates that London projects or those serving London with relatively low BC</w:t>
      </w:r>
      <w:r w:rsidR="00D1630E" w:rsidRPr="009B3DDE">
        <w:rPr>
          <w:rFonts w:ascii="Helvetica" w:hAnsi="Helvetica"/>
          <w:szCs w:val="24"/>
        </w:rPr>
        <w:t>R</w:t>
      </w:r>
      <w:r w:rsidRPr="009B3DDE">
        <w:rPr>
          <w:rFonts w:ascii="Helvetica" w:hAnsi="Helvetica"/>
          <w:szCs w:val="24"/>
        </w:rPr>
        <w:t>s (less than 2) have routinely been approved, whereas outside London there is a more mixed picture</w:t>
      </w:r>
      <w:r w:rsidR="001973FD" w:rsidRPr="009B3DDE">
        <w:rPr>
          <w:rFonts w:ascii="Helvetica" w:hAnsi="Helvetica"/>
          <w:szCs w:val="24"/>
        </w:rPr>
        <w:t xml:space="preserve"> (see Table 1</w:t>
      </w:r>
      <w:r w:rsidR="00EB4B13" w:rsidRPr="009B3DDE">
        <w:rPr>
          <w:rFonts w:ascii="Helvetica" w:hAnsi="Helvetica"/>
          <w:szCs w:val="24"/>
        </w:rPr>
        <w:t xml:space="preserve"> and Figure </w:t>
      </w:r>
      <w:r w:rsidR="00936E2A" w:rsidRPr="009B3DDE">
        <w:rPr>
          <w:rFonts w:ascii="Helvetica" w:hAnsi="Helvetica"/>
          <w:szCs w:val="24"/>
        </w:rPr>
        <w:t>3</w:t>
      </w:r>
      <w:r w:rsidR="00EB4B13" w:rsidRPr="009B3DDE">
        <w:rPr>
          <w:rFonts w:ascii="Helvetica" w:hAnsi="Helvetica"/>
          <w:szCs w:val="24"/>
        </w:rPr>
        <w:t>)</w:t>
      </w:r>
      <w:r w:rsidRPr="009B3DDE">
        <w:rPr>
          <w:rFonts w:ascii="Helvetica" w:hAnsi="Helvetica"/>
          <w:szCs w:val="24"/>
        </w:rPr>
        <w:t>.</w:t>
      </w:r>
      <w:r w:rsidR="00C6746B" w:rsidRPr="009B3DDE">
        <w:rPr>
          <w:rFonts w:ascii="Helvetica" w:hAnsi="Helvetica"/>
          <w:szCs w:val="24"/>
        </w:rPr>
        <w:t xml:space="preserve"> (While in theory there is a case for investment in any project with a BCR greater than 1 (so that benefits exceed costs), in practice the uncertainties in estimation and the need to prioritise spending mean the de facto threshold is 2.)</w:t>
      </w:r>
      <w:r w:rsidRPr="009B3DDE">
        <w:rPr>
          <w:rFonts w:ascii="Helvetica" w:hAnsi="Helvetica"/>
          <w:szCs w:val="24"/>
        </w:rPr>
        <w:t xml:space="preserve"> Some projects with far higher BCRs </w:t>
      </w:r>
      <w:r w:rsidR="009D52AA" w:rsidRPr="009B3DDE">
        <w:rPr>
          <w:rFonts w:ascii="Helvetica" w:hAnsi="Helvetica"/>
          <w:szCs w:val="24"/>
        </w:rPr>
        <w:t xml:space="preserve">in the English regions </w:t>
      </w:r>
      <w:r w:rsidRPr="009B3DDE">
        <w:rPr>
          <w:rFonts w:ascii="Helvetica" w:hAnsi="Helvetica"/>
          <w:szCs w:val="24"/>
        </w:rPr>
        <w:t xml:space="preserve">have not gone ahead. This is highly suggestive of </w:t>
      </w:r>
      <w:r w:rsidR="000A74C1" w:rsidRPr="009B3DDE">
        <w:rPr>
          <w:rFonts w:ascii="Helvetica" w:hAnsi="Helvetica"/>
          <w:szCs w:val="24"/>
        </w:rPr>
        <w:t>political input to</w:t>
      </w:r>
      <w:r w:rsidRPr="009B3DDE">
        <w:rPr>
          <w:rFonts w:ascii="Helvetica" w:hAnsi="Helvetica"/>
          <w:szCs w:val="24"/>
        </w:rPr>
        <w:t xml:space="preserve"> the allocation of funds, at least at some aggregated level</w:t>
      </w:r>
      <w:r w:rsidR="00192277" w:rsidRPr="009B3DDE">
        <w:rPr>
          <w:rFonts w:ascii="Helvetica" w:hAnsi="Helvetica"/>
          <w:szCs w:val="24"/>
        </w:rPr>
        <w:t xml:space="preserve"> (Forth 2017</w:t>
      </w:r>
      <w:r w:rsidR="00391CDA" w:rsidRPr="009B3DDE">
        <w:rPr>
          <w:rFonts w:ascii="Helvetica" w:hAnsi="Helvetica"/>
          <w:szCs w:val="24"/>
        </w:rPr>
        <w:t>)</w:t>
      </w:r>
      <w:r w:rsidRPr="009B3DDE">
        <w:rPr>
          <w:rFonts w:ascii="Helvetica" w:hAnsi="Helvetica"/>
          <w:szCs w:val="24"/>
        </w:rPr>
        <w:t xml:space="preserve">. </w:t>
      </w:r>
      <w:r w:rsidR="000A74C1" w:rsidRPr="009B3DDE">
        <w:rPr>
          <w:rFonts w:ascii="Helvetica" w:hAnsi="Helvetica"/>
          <w:szCs w:val="24"/>
        </w:rPr>
        <w:t xml:space="preserve">For instance, many economists have challenged the notion that the HS2 project is justified by economic evidence; while the then chair of the Treasury Select Committee said: “HS2 has the weakest economic case of all the projects </w:t>
      </w:r>
      <w:r w:rsidR="000A74C1" w:rsidRPr="009B3DDE">
        <w:rPr>
          <w:rFonts w:ascii="Helvetica" w:hAnsi="Helvetica"/>
          <w:szCs w:val="24"/>
        </w:rPr>
        <w:lastRenderedPageBreak/>
        <w:t>within the infrastructure programme, yet it is being pushed through with the most enthusiasm.”</w:t>
      </w:r>
      <w:r w:rsidR="00C84415" w:rsidRPr="009B3DDE">
        <w:rPr>
          <w:rStyle w:val="EndnoteReference"/>
          <w:rFonts w:ascii="Helvetica" w:hAnsi="Helvetica"/>
          <w:szCs w:val="24"/>
        </w:rPr>
        <w:endnoteReference w:id="7"/>
      </w:r>
      <w:r w:rsidR="00C84415" w:rsidRPr="009B3DDE">
        <w:rPr>
          <w:rFonts w:ascii="Helvetica" w:hAnsi="Helvetica"/>
          <w:szCs w:val="24"/>
        </w:rPr>
        <w:t xml:space="preserve"> </w:t>
      </w:r>
      <w:r w:rsidR="000A74C1" w:rsidRPr="009B3DDE">
        <w:rPr>
          <w:rFonts w:ascii="Helvetica" w:hAnsi="Helvetica"/>
          <w:szCs w:val="24"/>
        </w:rPr>
        <w:t xml:space="preserve"> </w:t>
      </w:r>
      <w:r w:rsidR="008349AD" w:rsidRPr="009B3DDE">
        <w:rPr>
          <w:rFonts w:ascii="Helvetica" w:hAnsi="Helvetica"/>
          <w:szCs w:val="24"/>
        </w:rPr>
        <w:t>The scope in Department for Transport appraisal guidance to take into account benefits that cannot easily be expressed in monetary terms can help nudge low BCR but desired projects as nevertheless value for money. The way projects are split, and the timing of revisions to BCR estimates, can also be deployed to justify desired decisions. For instance, the HS2 project has far better BCRs for its northern than its southern phases, and the latter – the first – is more easily justified using a combined BCR for the whole project.</w:t>
      </w:r>
      <w:r w:rsidR="00C84415" w:rsidRPr="009B3DDE">
        <w:rPr>
          <w:rStyle w:val="EndnoteReference"/>
          <w:rFonts w:ascii="Helvetica" w:hAnsi="Helvetica"/>
          <w:szCs w:val="24"/>
        </w:rPr>
        <w:endnoteReference w:id="8"/>
      </w:r>
      <w:r w:rsidR="00C84415" w:rsidRPr="009B3DDE">
        <w:rPr>
          <w:rFonts w:ascii="Helvetica" w:hAnsi="Helvetica"/>
          <w:szCs w:val="24"/>
        </w:rPr>
        <w:t xml:space="preserve"> </w:t>
      </w:r>
      <w:r w:rsidR="008349AD" w:rsidRPr="009B3DDE">
        <w:rPr>
          <w:rFonts w:ascii="Helvetica" w:hAnsi="Helvetica"/>
          <w:szCs w:val="24"/>
        </w:rPr>
        <w:t>The BCR for the cancelled Midlands rail electrification scheme (on grounds of rising costs) would have been higher if considered as part of an u</w:t>
      </w:r>
      <w:r w:rsidR="005571BF" w:rsidRPr="009B3DDE">
        <w:rPr>
          <w:rFonts w:ascii="Helvetica" w:hAnsi="Helvetica"/>
          <w:szCs w:val="24"/>
        </w:rPr>
        <w:t>p</w:t>
      </w:r>
      <w:r w:rsidR="008349AD" w:rsidRPr="009B3DDE">
        <w:rPr>
          <w:rFonts w:ascii="Helvetica" w:hAnsi="Helvetica"/>
          <w:szCs w:val="24"/>
        </w:rPr>
        <w:t xml:space="preserve">grade of the whole route from Bristol to the North of England. On the other hand, the Thameslink upgrade in London did see its BCR revised down </w:t>
      </w:r>
      <w:r w:rsidR="005571BF" w:rsidRPr="009B3DDE">
        <w:rPr>
          <w:rFonts w:ascii="Helvetica" w:hAnsi="Helvetica"/>
          <w:szCs w:val="24"/>
        </w:rPr>
        <w:t xml:space="preserve">(from over 2 initially to 1.24) </w:t>
      </w:r>
      <w:r w:rsidR="008349AD" w:rsidRPr="009B3DDE">
        <w:rPr>
          <w:rFonts w:ascii="Helvetica" w:hAnsi="Helvetica"/>
          <w:szCs w:val="24"/>
        </w:rPr>
        <w:t>due to cost escalation, but not until after the work had begun</w:t>
      </w:r>
      <w:r w:rsidR="005571BF" w:rsidRPr="009B3DDE">
        <w:rPr>
          <w:rFonts w:ascii="Helvetica" w:hAnsi="Helvetica"/>
          <w:szCs w:val="24"/>
        </w:rPr>
        <w:t xml:space="preserve"> (NAO 2017)</w:t>
      </w:r>
      <w:r w:rsidR="008349AD" w:rsidRPr="009B3DDE">
        <w:rPr>
          <w:rFonts w:ascii="Helvetica" w:hAnsi="Helvetica"/>
          <w:szCs w:val="24"/>
        </w:rPr>
        <w:t>.</w:t>
      </w:r>
    </w:p>
    <w:p w14:paraId="2C8A149E" w14:textId="77777777" w:rsidR="0067162B" w:rsidRPr="009B3DDE" w:rsidRDefault="0067162B" w:rsidP="009B3DDE">
      <w:pPr>
        <w:spacing w:line="480" w:lineRule="auto"/>
        <w:jc w:val="both"/>
        <w:rPr>
          <w:rFonts w:ascii="Helvetica" w:hAnsi="Helvetica"/>
          <w:szCs w:val="24"/>
        </w:rPr>
      </w:pPr>
    </w:p>
    <w:p w14:paraId="59225E85" w14:textId="2DF78CAC" w:rsidR="00E9050D" w:rsidRPr="009B3DDE" w:rsidRDefault="000A74C1" w:rsidP="009B3DDE">
      <w:pPr>
        <w:spacing w:line="480" w:lineRule="auto"/>
        <w:jc w:val="both"/>
        <w:rPr>
          <w:rFonts w:ascii="Helvetica" w:hAnsi="Helvetica"/>
          <w:szCs w:val="24"/>
        </w:rPr>
      </w:pPr>
      <w:r w:rsidRPr="009B3DDE">
        <w:rPr>
          <w:rFonts w:ascii="Helvetica" w:hAnsi="Helvetica"/>
          <w:szCs w:val="24"/>
        </w:rPr>
        <w:t xml:space="preserve">Moreover, as described above, the flexibility to go beyond a ‘core’ CBA in </w:t>
      </w:r>
      <w:proofErr w:type="spellStart"/>
      <w:r w:rsidRPr="009B3DDE">
        <w:rPr>
          <w:rFonts w:ascii="Helvetica" w:hAnsi="Helvetica"/>
          <w:szCs w:val="24"/>
        </w:rPr>
        <w:t>DfT</w:t>
      </w:r>
      <w:proofErr w:type="spellEnd"/>
      <w:r w:rsidRPr="009B3DDE">
        <w:rPr>
          <w:rFonts w:ascii="Helvetica" w:hAnsi="Helvetica"/>
          <w:szCs w:val="24"/>
        </w:rPr>
        <w:t xml:space="preserve"> guidance favours the capital because of its existing density and land and skill premiums. An appraisal</w:t>
      </w:r>
      <w:r w:rsidR="00E9050D" w:rsidRPr="009B3DDE">
        <w:rPr>
          <w:rFonts w:ascii="Helvetica" w:hAnsi="Helvetica"/>
          <w:szCs w:val="24"/>
        </w:rPr>
        <w:t xml:space="preserve"> process, justified with reference to the need for economic efficiency and delivering productivity growth, </w:t>
      </w:r>
      <w:r w:rsidR="00C3614C" w:rsidRPr="009B3DDE">
        <w:rPr>
          <w:rFonts w:ascii="Helvetica" w:hAnsi="Helvetica"/>
          <w:szCs w:val="24"/>
        </w:rPr>
        <w:t xml:space="preserve">may </w:t>
      </w:r>
      <w:r w:rsidR="007713A4" w:rsidRPr="009B3DDE">
        <w:rPr>
          <w:rFonts w:ascii="Helvetica" w:hAnsi="Helvetica"/>
          <w:szCs w:val="24"/>
        </w:rPr>
        <w:t>help</w:t>
      </w:r>
      <w:r w:rsidR="009D52AA" w:rsidRPr="009B3DDE">
        <w:rPr>
          <w:rFonts w:ascii="Helvetica" w:hAnsi="Helvetica"/>
          <w:szCs w:val="24"/>
        </w:rPr>
        <w:t xml:space="preserve"> deliver schemes that are desired for other</w:t>
      </w:r>
      <w:r w:rsidR="007713A4" w:rsidRPr="009B3DDE">
        <w:rPr>
          <w:rFonts w:ascii="Helvetica" w:hAnsi="Helvetica"/>
          <w:szCs w:val="24"/>
        </w:rPr>
        <w:t xml:space="preserve">, non-economic </w:t>
      </w:r>
      <w:r w:rsidR="009D52AA" w:rsidRPr="009B3DDE">
        <w:rPr>
          <w:rFonts w:ascii="Helvetica" w:hAnsi="Helvetica"/>
          <w:szCs w:val="24"/>
        </w:rPr>
        <w:t>reasons</w:t>
      </w:r>
      <w:r w:rsidR="00E9050D" w:rsidRPr="009B3DDE">
        <w:rPr>
          <w:rFonts w:ascii="Helvetica" w:hAnsi="Helvetica"/>
          <w:szCs w:val="24"/>
        </w:rPr>
        <w:t>.</w:t>
      </w:r>
      <w:r w:rsidR="00F02FB9" w:rsidRPr="009B3DDE">
        <w:rPr>
          <w:rFonts w:ascii="Helvetica" w:hAnsi="Helvetica"/>
          <w:szCs w:val="24"/>
        </w:rPr>
        <w:t xml:space="preserve"> </w:t>
      </w:r>
    </w:p>
    <w:p w14:paraId="1690EC96" w14:textId="77777777" w:rsidR="00E9050D" w:rsidRPr="009B3DDE" w:rsidRDefault="00E9050D" w:rsidP="009B3DDE">
      <w:pPr>
        <w:spacing w:line="480" w:lineRule="auto"/>
        <w:jc w:val="both"/>
        <w:rPr>
          <w:rFonts w:ascii="Helvetica" w:hAnsi="Helvetica"/>
          <w:szCs w:val="24"/>
        </w:rPr>
      </w:pPr>
    </w:p>
    <w:p w14:paraId="796AB393" w14:textId="48D19B10" w:rsidR="0042047A" w:rsidRDefault="0067162B" w:rsidP="009B3DDE">
      <w:pPr>
        <w:spacing w:line="480" w:lineRule="auto"/>
        <w:jc w:val="both"/>
        <w:rPr>
          <w:rFonts w:ascii="Helvetica" w:hAnsi="Helvetica"/>
          <w:szCs w:val="24"/>
        </w:rPr>
      </w:pPr>
      <w:r w:rsidRPr="00C84415">
        <w:rPr>
          <w:rFonts w:ascii="Helvetica" w:hAnsi="Helvetica"/>
          <w:szCs w:val="24"/>
        </w:rPr>
        <w:t xml:space="preserve">Table 1 around here </w:t>
      </w:r>
    </w:p>
    <w:p w14:paraId="240509F5" w14:textId="705BC761" w:rsidR="00C84415" w:rsidRPr="00C84415" w:rsidRDefault="00C84415" w:rsidP="009B3DDE">
      <w:pPr>
        <w:spacing w:line="480" w:lineRule="auto"/>
        <w:jc w:val="both"/>
        <w:rPr>
          <w:rFonts w:ascii="Helvetica" w:hAnsi="Helvetica"/>
          <w:szCs w:val="24"/>
        </w:rPr>
      </w:pPr>
      <w:r>
        <w:rPr>
          <w:rFonts w:ascii="Helvetica" w:hAnsi="Helvetica"/>
          <w:szCs w:val="24"/>
        </w:rPr>
        <w:t>Benefit Cost Ratios (BCRs) of public transport investment proposals</w:t>
      </w:r>
    </w:p>
    <w:p w14:paraId="6802A71B" w14:textId="77777777" w:rsidR="0067162B" w:rsidRPr="00C84415" w:rsidRDefault="0067162B" w:rsidP="009B3DDE">
      <w:pPr>
        <w:spacing w:line="480" w:lineRule="auto"/>
        <w:jc w:val="both"/>
        <w:rPr>
          <w:rFonts w:ascii="Helvetica" w:hAnsi="Helvetica"/>
          <w:szCs w:val="24"/>
        </w:rPr>
      </w:pPr>
    </w:p>
    <w:p w14:paraId="581B9C6E" w14:textId="50AD0F6C" w:rsidR="00D82018" w:rsidRPr="00C84415" w:rsidRDefault="00D82018" w:rsidP="00D82018">
      <w:pPr>
        <w:spacing w:line="480" w:lineRule="auto"/>
        <w:jc w:val="both"/>
        <w:rPr>
          <w:rFonts w:ascii="Helvetica" w:hAnsi="Helvetica" w:cs="Times New Roman"/>
          <w:szCs w:val="24"/>
          <w:lang w:val="en-US"/>
        </w:rPr>
      </w:pPr>
      <w:r>
        <w:rPr>
          <w:rFonts w:ascii="Helvetica" w:hAnsi="Helvetica"/>
          <w:szCs w:val="24"/>
        </w:rPr>
        <w:lastRenderedPageBreak/>
        <w:t>Fig</w:t>
      </w:r>
      <w:r w:rsidRPr="00C84415">
        <w:rPr>
          <w:rFonts w:ascii="Helvetica" w:hAnsi="Helvetica"/>
          <w:szCs w:val="24"/>
        </w:rPr>
        <w:t>ure 3: P</w:t>
      </w:r>
      <w:proofErr w:type="spellStart"/>
      <w:r w:rsidRPr="00C84415">
        <w:rPr>
          <w:rFonts w:ascii="Helvetica" w:hAnsi="Helvetica" w:cs="Times New Roman"/>
          <w:szCs w:val="24"/>
          <w:lang w:val="en-US"/>
        </w:rPr>
        <w:t>ublic</w:t>
      </w:r>
      <w:proofErr w:type="spellEnd"/>
      <w:r w:rsidRPr="00C84415">
        <w:rPr>
          <w:rFonts w:ascii="Helvetica" w:hAnsi="Helvetica" w:cs="Times New Roman"/>
          <w:szCs w:val="24"/>
          <w:lang w:val="en-US"/>
        </w:rPr>
        <w:t xml:space="preserve"> transport schemes ranked by initial BCR, approved (dark) and not approved (light). Upper panel – out of London. Lower panel – into London. HS2 connects London with the Midlands/North.</w:t>
      </w:r>
    </w:p>
    <w:p w14:paraId="364CFCEE" w14:textId="77777777" w:rsidR="00D82018" w:rsidRDefault="00D82018" w:rsidP="00D82018">
      <w:r w:rsidRPr="009B3DDE">
        <w:rPr>
          <w:noProof/>
          <w:szCs w:val="24"/>
          <w:lang w:val="en-US" w:eastAsia="en-US"/>
        </w:rPr>
        <w:drawing>
          <wp:inline distT="0" distB="0" distL="0" distR="0" wp14:anchorId="42900F8D" wp14:editId="2BB16CF0">
            <wp:extent cx="5274945" cy="6251947"/>
            <wp:effectExtent l="0" t="0" r="33655" b="222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8DEF033" w14:textId="3270796A" w:rsidR="00711714" w:rsidRPr="009B3DDE" w:rsidRDefault="00711714" w:rsidP="009B3DDE">
      <w:pPr>
        <w:spacing w:line="480" w:lineRule="auto"/>
        <w:rPr>
          <w:noProof/>
          <w:szCs w:val="24"/>
          <w:lang w:val="en-US" w:eastAsia="en-US"/>
        </w:rPr>
      </w:pPr>
    </w:p>
    <w:p w14:paraId="39DB30A1" w14:textId="52670861" w:rsidR="002830A2" w:rsidRPr="00CA3E55" w:rsidRDefault="002D32F1" w:rsidP="009B3DDE">
      <w:pPr>
        <w:spacing w:line="480" w:lineRule="auto"/>
        <w:rPr>
          <w:rFonts w:ascii="Helvetica" w:hAnsi="Helvetica"/>
          <w:szCs w:val="24"/>
        </w:rPr>
      </w:pPr>
      <w:r w:rsidRPr="002D32F1">
        <w:rPr>
          <w:rFonts w:ascii="Helvetica" w:hAnsi="Helvetica"/>
          <w:szCs w:val="24"/>
        </w:rPr>
        <w:t>APPRAISAL METHODOLOGY IN THE UK</w:t>
      </w:r>
    </w:p>
    <w:p w14:paraId="2C369000" w14:textId="77777777" w:rsidR="0067162B" w:rsidRPr="009B3DDE" w:rsidRDefault="0067162B" w:rsidP="009B3DDE">
      <w:pPr>
        <w:autoSpaceDE w:val="0"/>
        <w:autoSpaceDN w:val="0"/>
        <w:adjustRightInd w:val="0"/>
        <w:spacing w:after="240" w:line="480" w:lineRule="auto"/>
        <w:jc w:val="both"/>
        <w:rPr>
          <w:rFonts w:ascii="Helvetica" w:hAnsi="Helvetica"/>
          <w:szCs w:val="24"/>
        </w:rPr>
      </w:pPr>
    </w:p>
    <w:p w14:paraId="37E9E33B" w14:textId="2111ED43" w:rsidR="00157DC1" w:rsidRPr="009B3DDE" w:rsidRDefault="00157DC1" w:rsidP="009B3DDE">
      <w:pPr>
        <w:autoSpaceDE w:val="0"/>
        <w:autoSpaceDN w:val="0"/>
        <w:adjustRightInd w:val="0"/>
        <w:spacing w:after="240" w:line="480" w:lineRule="auto"/>
        <w:jc w:val="both"/>
        <w:rPr>
          <w:rFonts w:ascii="Helvetica" w:hAnsi="Helvetica" w:cs="Times"/>
          <w:color w:val="000000"/>
          <w:szCs w:val="24"/>
          <w:lang w:val="en-US"/>
        </w:rPr>
      </w:pPr>
      <w:r w:rsidRPr="009B3DDE">
        <w:rPr>
          <w:rFonts w:ascii="Helvetica" w:hAnsi="Helvetica"/>
          <w:szCs w:val="24"/>
        </w:rPr>
        <w:lastRenderedPageBreak/>
        <w:t>The use of CBA</w:t>
      </w:r>
      <w:r w:rsidR="007713A4" w:rsidRPr="009B3DDE">
        <w:rPr>
          <w:rFonts w:ascii="Helvetica" w:hAnsi="Helvetica"/>
          <w:szCs w:val="24"/>
        </w:rPr>
        <w:t xml:space="preserve"> and supplementary methodologies for transport investment</w:t>
      </w:r>
      <w:r w:rsidRPr="009B3DDE">
        <w:rPr>
          <w:rFonts w:ascii="Helvetica" w:hAnsi="Helvetica"/>
          <w:szCs w:val="24"/>
        </w:rPr>
        <w:t xml:space="preserve"> in the UK has long focused on efficiency and the allocation of scarce resources. The Treasury insists on a “</w:t>
      </w:r>
      <w:r w:rsidRPr="009B3DDE">
        <w:rPr>
          <w:rFonts w:ascii="Helvetica" w:hAnsi="Helvetica" w:cs="Gill Sans"/>
          <w:color w:val="000000"/>
          <w:szCs w:val="24"/>
          <w:lang w:val="en-US"/>
        </w:rPr>
        <w:t>thorough, long-term and analytically robust approach,” (2011 Green Book, Preface).</w:t>
      </w:r>
      <w:r w:rsidR="00CB13B4" w:rsidRPr="009B3DDE">
        <w:rPr>
          <w:rFonts w:ascii="Helvetica" w:hAnsi="Helvetica" w:cs="Gill Sans"/>
          <w:color w:val="000000"/>
          <w:szCs w:val="24"/>
          <w:lang w:val="en-US"/>
        </w:rPr>
        <w:t xml:space="preserve"> In other words, although the challenges posed by the presence of externalities and ‘wider’ costs and benefits has been acknowledged for some time, </w:t>
      </w:r>
      <w:r w:rsidR="00CB13B4" w:rsidRPr="009B3DDE">
        <w:rPr>
          <w:rFonts w:ascii="Helvetica" w:hAnsi="Helvetica"/>
          <w:szCs w:val="24"/>
        </w:rPr>
        <w:t xml:space="preserve">government spending and investment decisions have been – at least in principle – dependent on </w:t>
      </w:r>
      <w:r w:rsidR="00F94DE4" w:rsidRPr="009B3DDE">
        <w:rPr>
          <w:rFonts w:ascii="Helvetica" w:hAnsi="Helvetica"/>
          <w:szCs w:val="24"/>
        </w:rPr>
        <w:t>a quantitative</w:t>
      </w:r>
      <w:r w:rsidR="00CB13B4" w:rsidRPr="009B3DDE">
        <w:rPr>
          <w:rFonts w:ascii="Helvetica" w:hAnsi="Helvetica"/>
          <w:szCs w:val="24"/>
        </w:rPr>
        <w:t xml:space="preserve"> assessment motivated by economic efficiency considerations</w:t>
      </w:r>
      <w:r w:rsidR="00C6746B" w:rsidRPr="009B3DDE">
        <w:rPr>
          <w:rFonts w:ascii="Helvetica" w:hAnsi="Helvetica"/>
          <w:szCs w:val="24"/>
        </w:rPr>
        <w:t xml:space="preserve"> abstracted from the incorporation of effects not already included in market prices</w:t>
      </w:r>
      <w:r w:rsidR="00CB13B4" w:rsidRPr="009B3DDE">
        <w:rPr>
          <w:rFonts w:ascii="Helvetica" w:hAnsi="Helvetica"/>
          <w:szCs w:val="24"/>
        </w:rPr>
        <w:t>. One specific consequence has been the use, where possible, of prevailing market prices to assign values to future costs and benefits</w:t>
      </w:r>
      <w:r w:rsidR="00531692" w:rsidRPr="009B3DDE">
        <w:rPr>
          <w:rFonts w:ascii="Helvetica" w:hAnsi="Helvetica"/>
          <w:szCs w:val="24"/>
        </w:rPr>
        <w:t xml:space="preserve">, and </w:t>
      </w:r>
      <w:r w:rsidR="00C810AB" w:rsidRPr="009B3DDE">
        <w:rPr>
          <w:rFonts w:ascii="Helvetica" w:hAnsi="Helvetica"/>
          <w:szCs w:val="24"/>
        </w:rPr>
        <w:t xml:space="preserve">also </w:t>
      </w:r>
      <w:r w:rsidR="00531692" w:rsidRPr="009B3DDE">
        <w:rPr>
          <w:rFonts w:ascii="Helvetica" w:hAnsi="Helvetica"/>
          <w:szCs w:val="24"/>
        </w:rPr>
        <w:t>the incorporation of benefits justified by agglomeration economies</w:t>
      </w:r>
      <w:r w:rsidR="00C810AB" w:rsidRPr="009B3DDE">
        <w:rPr>
          <w:rFonts w:ascii="Helvetica" w:hAnsi="Helvetica"/>
          <w:szCs w:val="24"/>
        </w:rPr>
        <w:t xml:space="preserve"> (Department for Transport, 2017b)</w:t>
      </w:r>
      <w:r w:rsidR="00CB13B4" w:rsidRPr="009B3DDE">
        <w:rPr>
          <w:rFonts w:ascii="Helvetica" w:hAnsi="Helvetica"/>
          <w:szCs w:val="24"/>
        </w:rPr>
        <w:t xml:space="preserve">. </w:t>
      </w:r>
      <w:r w:rsidR="002D5B8B" w:rsidRPr="009B3DDE">
        <w:rPr>
          <w:rFonts w:ascii="Helvetica" w:hAnsi="Helvetica"/>
          <w:szCs w:val="24"/>
        </w:rPr>
        <w:t xml:space="preserve">Graham and Van </w:t>
      </w:r>
      <w:proofErr w:type="spellStart"/>
      <w:r w:rsidR="002D5B8B" w:rsidRPr="009B3DDE">
        <w:rPr>
          <w:rFonts w:ascii="Helvetica" w:hAnsi="Helvetica"/>
          <w:szCs w:val="24"/>
        </w:rPr>
        <w:t>Dender</w:t>
      </w:r>
      <w:proofErr w:type="spellEnd"/>
      <w:r w:rsidR="002D5B8B" w:rsidRPr="009B3DDE">
        <w:rPr>
          <w:rFonts w:ascii="Helvetica" w:hAnsi="Helvetica"/>
          <w:szCs w:val="24"/>
        </w:rPr>
        <w:t xml:space="preserve"> (2011) have shown that </w:t>
      </w:r>
      <w:r w:rsidR="00BF5FEA" w:rsidRPr="009B3DDE">
        <w:rPr>
          <w:rFonts w:ascii="Helvetica" w:hAnsi="Helvetica"/>
          <w:szCs w:val="24"/>
        </w:rPr>
        <w:t xml:space="preserve">there is a high degree of sensitivity in panel data point estimates for agglomeration due to the highly persistent nature of accessibility measures. Their semiparametric estimates find nonlinear effects with only </w:t>
      </w:r>
      <w:r w:rsidR="0063018A" w:rsidRPr="009B3DDE">
        <w:rPr>
          <w:rFonts w:ascii="Helvetica" w:hAnsi="Helvetica"/>
          <w:szCs w:val="24"/>
        </w:rPr>
        <w:t>firms located in</w:t>
      </w:r>
      <w:r w:rsidR="00BF5FEA" w:rsidRPr="009B3DDE">
        <w:rPr>
          <w:rFonts w:ascii="Helvetica" w:hAnsi="Helvetica"/>
          <w:szCs w:val="24"/>
        </w:rPr>
        <w:t xml:space="preserve"> London </w:t>
      </w:r>
      <w:r w:rsidR="0063018A" w:rsidRPr="009B3DDE">
        <w:rPr>
          <w:rFonts w:ascii="Helvetica" w:hAnsi="Helvetica"/>
          <w:szCs w:val="24"/>
        </w:rPr>
        <w:t>having</w:t>
      </w:r>
      <w:r w:rsidR="00BF5FEA" w:rsidRPr="009B3DDE">
        <w:rPr>
          <w:rFonts w:ascii="Helvetica" w:hAnsi="Helvetica"/>
          <w:szCs w:val="24"/>
        </w:rPr>
        <w:t xml:space="preserve"> positive total factor productivity</w:t>
      </w:r>
      <w:r w:rsidR="00B968D2" w:rsidRPr="009B3DDE">
        <w:rPr>
          <w:rFonts w:ascii="Helvetica" w:hAnsi="Helvetica"/>
          <w:szCs w:val="24"/>
        </w:rPr>
        <w:t xml:space="preserve"> (TFP)</w:t>
      </w:r>
      <w:r w:rsidR="0063018A" w:rsidRPr="009B3DDE">
        <w:rPr>
          <w:rFonts w:ascii="Helvetica" w:hAnsi="Helvetica"/>
          <w:szCs w:val="24"/>
        </w:rPr>
        <w:t>.</w:t>
      </w:r>
      <w:r w:rsidR="00BF5FEA" w:rsidRPr="009B3DDE">
        <w:rPr>
          <w:rFonts w:ascii="Helvetica" w:hAnsi="Helvetica"/>
          <w:szCs w:val="24"/>
        </w:rPr>
        <w:t xml:space="preserve"> </w:t>
      </w:r>
      <w:r w:rsidR="0063018A" w:rsidRPr="009B3DDE">
        <w:rPr>
          <w:rFonts w:ascii="Helvetica" w:hAnsi="Helvetica"/>
          <w:szCs w:val="24"/>
        </w:rPr>
        <w:t xml:space="preserve">Average sized British conurbations </w:t>
      </w:r>
      <w:r w:rsidR="00B968D2" w:rsidRPr="009B3DDE">
        <w:rPr>
          <w:rFonts w:ascii="Helvetica" w:hAnsi="Helvetica"/>
          <w:szCs w:val="24"/>
        </w:rPr>
        <w:t>are estimated to have</w:t>
      </w:r>
      <w:r w:rsidR="0063018A" w:rsidRPr="009B3DDE">
        <w:rPr>
          <w:rFonts w:ascii="Helvetica" w:hAnsi="Helvetica"/>
          <w:szCs w:val="24"/>
        </w:rPr>
        <w:t xml:space="preserve"> no positive </w:t>
      </w:r>
      <w:r w:rsidR="00B968D2" w:rsidRPr="009B3DDE">
        <w:rPr>
          <w:rFonts w:ascii="Helvetica" w:hAnsi="Helvetica"/>
          <w:szCs w:val="24"/>
        </w:rPr>
        <w:t xml:space="preserve">relationship </w:t>
      </w:r>
      <w:r w:rsidR="00BF5FEA" w:rsidRPr="009B3DDE">
        <w:rPr>
          <w:rFonts w:ascii="Helvetica" w:hAnsi="Helvetica"/>
          <w:szCs w:val="24"/>
        </w:rPr>
        <w:t xml:space="preserve">between </w:t>
      </w:r>
      <w:r w:rsidR="00B968D2" w:rsidRPr="009B3DDE">
        <w:rPr>
          <w:rFonts w:ascii="Helvetica" w:hAnsi="Helvetica"/>
          <w:szCs w:val="24"/>
        </w:rPr>
        <w:t>market access and</w:t>
      </w:r>
      <w:r w:rsidR="00BF5FEA" w:rsidRPr="009B3DDE">
        <w:rPr>
          <w:rFonts w:ascii="Helvetica" w:hAnsi="Helvetica"/>
          <w:szCs w:val="24"/>
        </w:rPr>
        <w:t xml:space="preserve"> </w:t>
      </w:r>
      <w:r w:rsidR="00B968D2" w:rsidRPr="009B3DDE">
        <w:rPr>
          <w:rFonts w:ascii="Helvetica" w:hAnsi="Helvetica"/>
          <w:szCs w:val="24"/>
        </w:rPr>
        <w:t>TFP.</w:t>
      </w:r>
      <w:r w:rsidR="00BF5FEA" w:rsidRPr="009B3DDE">
        <w:rPr>
          <w:rFonts w:ascii="Helvetica" w:hAnsi="Helvetica"/>
          <w:szCs w:val="24"/>
        </w:rPr>
        <w:t xml:space="preserve"> </w:t>
      </w:r>
      <w:r w:rsidR="00B968D2" w:rsidRPr="009B3DDE">
        <w:rPr>
          <w:rFonts w:ascii="Helvetica" w:hAnsi="Helvetica"/>
          <w:szCs w:val="24"/>
        </w:rPr>
        <w:t>They say the methodology is unable to distinguish</w:t>
      </w:r>
      <w:r w:rsidR="00770285" w:rsidRPr="009B3DDE">
        <w:rPr>
          <w:rFonts w:ascii="Helvetica" w:hAnsi="Helvetica"/>
          <w:szCs w:val="24"/>
        </w:rPr>
        <w:t xml:space="preserve"> </w:t>
      </w:r>
      <w:r w:rsidR="00B968D2" w:rsidRPr="009B3DDE">
        <w:rPr>
          <w:rFonts w:ascii="Helvetica" w:hAnsi="Helvetica"/>
          <w:szCs w:val="24"/>
        </w:rPr>
        <w:t>the role of accessibility from other potential explanations for productivity increases. Empirical evidence is needed on the role of different sources of agglomeration and their relative productivity effects to understand the mechanisms that actually drive agglomerations. They suggest, for example,</w:t>
      </w:r>
      <w:r w:rsidR="00D81F01" w:rsidRPr="009B3DDE">
        <w:rPr>
          <w:rFonts w:ascii="Helvetica" w:hAnsi="Helvetica"/>
          <w:szCs w:val="24"/>
        </w:rPr>
        <w:t xml:space="preserve"> that</w:t>
      </w:r>
      <w:r w:rsidR="00B968D2" w:rsidRPr="009B3DDE">
        <w:rPr>
          <w:rFonts w:ascii="Helvetica" w:hAnsi="Helvetica"/>
          <w:szCs w:val="24"/>
        </w:rPr>
        <w:t xml:space="preserve"> “</w:t>
      </w:r>
      <w:r w:rsidR="00D81F01" w:rsidRPr="009B3DDE">
        <w:rPr>
          <w:rFonts w:ascii="Helvetica" w:hAnsi="Helvetica"/>
          <w:szCs w:val="24"/>
        </w:rPr>
        <w:t>E</w:t>
      </w:r>
      <w:r w:rsidR="00B968D2" w:rsidRPr="009B3DDE">
        <w:rPr>
          <w:rFonts w:ascii="Helvetica" w:hAnsi="Helvetica"/>
          <w:szCs w:val="24"/>
        </w:rPr>
        <w:t xml:space="preserve">conomies associated with labour markets will be affected by the efficiency of commuting </w:t>
      </w:r>
      <w:r w:rsidR="00B968D2" w:rsidRPr="009B3DDE">
        <w:rPr>
          <w:rFonts w:ascii="Helvetica" w:hAnsi="Helvetica"/>
          <w:szCs w:val="24"/>
        </w:rPr>
        <w:lastRenderedPageBreak/>
        <w:t>trips, knowledge spillovers</w:t>
      </w:r>
      <w:r w:rsidR="00D81F01" w:rsidRPr="009B3DDE">
        <w:rPr>
          <w:rFonts w:ascii="Helvetica" w:hAnsi="Helvetica"/>
          <w:szCs w:val="24"/>
        </w:rPr>
        <w:t>,</w:t>
      </w:r>
      <w:r w:rsidR="00B968D2" w:rsidRPr="009B3DDE">
        <w:rPr>
          <w:rFonts w:ascii="Helvetica" w:hAnsi="Helvetica"/>
          <w:szCs w:val="24"/>
        </w:rPr>
        <w:t xml:space="preserve"> the ease of business travel, and externalities of input-output association by provision for freight movement</w:t>
      </w:r>
      <w:r w:rsidR="00D81F01" w:rsidRPr="009B3DDE">
        <w:rPr>
          <w:rFonts w:ascii="Helvetica" w:hAnsi="Helvetica"/>
          <w:szCs w:val="24"/>
        </w:rPr>
        <w:t>,</w:t>
      </w:r>
      <w:r w:rsidR="00B968D2" w:rsidRPr="009B3DDE">
        <w:rPr>
          <w:rFonts w:ascii="Helvetica" w:hAnsi="Helvetica"/>
          <w:szCs w:val="24"/>
        </w:rPr>
        <w:t>” (p.424).</w:t>
      </w:r>
    </w:p>
    <w:p w14:paraId="08D043FD" w14:textId="2D8FDE62" w:rsidR="00157DC1" w:rsidRPr="009B3DDE" w:rsidRDefault="00157DC1" w:rsidP="009B3DDE">
      <w:pPr>
        <w:spacing w:line="480" w:lineRule="auto"/>
        <w:jc w:val="both"/>
        <w:rPr>
          <w:rFonts w:ascii="Helvetica" w:hAnsi="Helvetica"/>
          <w:szCs w:val="24"/>
        </w:rPr>
      </w:pPr>
      <w:r w:rsidRPr="009B3DDE">
        <w:rPr>
          <w:rFonts w:ascii="Helvetica" w:hAnsi="Helvetica"/>
          <w:szCs w:val="24"/>
        </w:rPr>
        <w:t xml:space="preserve">This economic philosophy was particularly clearly set out in the 2006 Eddington review of transport infrastructure. Although he also noted the importance of trying to incorporate external environmental effects, Eddington forcefully recommended concentrating scarce investment funds on, “Places where transport constraints have significant potential to hold back economic growth,” (p6). The report cites the importance of agglomeration effects in driving economic growth, adding: “Transport’s contribution to such effects is most significant within large, high productivity urban areas of the UK. London is the most significant example.” (p15).  This approach means benefit-cost ratios for London projects are </w:t>
      </w:r>
      <w:r w:rsidR="00531692" w:rsidRPr="009B3DDE">
        <w:rPr>
          <w:rFonts w:ascii="Helvetica" w:hAnsi="Helvetica"/>
          <w:szCs w:val="24"/>
        </w:rPr>
        <w:t xml:space="preserve">often </w:t>
      </w:r>
      <w:r w:rsidR="00F94DE4" w:rsidRPr="009B3DDE">
        <w:rPr>
          <w:rFonts w:ascii="Helvetica" w:hAnsi="Helvetica"/>
          <w:szCs w:val="24"/>
        </w:rPr>
        <w:t xml:space="preserve">higher </w:t>
      </w:r>
      <w:r w:rsidRPr="009B3DDE">
        <w:rPr>
          <w:rFonts w:ascii="Helvetica" w:hAnsi="Helvetica"/>
          <w:szCs w:val="24"/>
        </w:rPr>
        <w:t xml:space="preserve">because London is a dense city </w:t>
      </w:r>
      <w:r w:rsidR="00531692" w:rsidRPr="009B3DDE">
        <w:rPr>
          <w:rFonts w:ascii="Helvetica" w:hAnsi="Helvetica"/>
          <w:szCs w:val="24"/>
        </w:rPr>
        <w:t>with high land values and high human capital</w:t>
      </w:r>
      <w:r w:rsidRPr="009B3DDE">
        <w:rPr>
          <w:rFonts w:ascii="Helvetica" w:hAnsi="Helvetica"/>
          <w:szCs w:val="24"/>
        </w:rPr>
        <w:t xml:space="preserve">. </w:t>
      </w:r>
      <w:r w:rsidR="00CB13B4" w:rsidRPr="009B3DDE">
        <w:rPr>
          <w:rFonts w:ascii="Helvetica" w:hAnsi="Helvetica"/>
          <w:szCs w:val="24"/>
        </w:rPr>
        <w:t>The review adds: “In areas without such clear signs [</w:t>
      </w:r>
      <w:proofErr w:type="spellStart"/>
      <w:r w:rsidR="00CB13B4" w:rsidRPr="009B3DDE">
        <w:rPr>
          <w:rFonts w:ascii="Helvetica" w:hAnsi="Helvetica"/>
          <w:szCs w:val="24"/>
        </w:rPr>
        <w:t>ie</w:t>
      </w:r>
      <w:proofErr w:type="spellEnd"/>
      <w:r w:rsidR="00CB13B4" w:rsidRPr="009B3DDE">
        <w:rPr>
          <w:rFonts w:ascii="Helvetica" w:hAnsi="Helvetica"/>
          <w:szCs w:val="24"/>
        </w:rPr>
        <w:t xml:space="preserve"> rising wages or house prices], it is unlikely that transport is holding back productivity growth.” </w:t>
      </w:r>
      <w:r w:rsidR="00531692" w:rsidRPr="009B3DDE">
        <w:rPr>
          <w:rFonts w:ascii="Helvetica" w:hAnsi="Helvetica"/>
          <w:szCs w:val="24"/>
        </w:rPr>
        <w:t>Eddington recommended focusing on transport capacity in and around existing large urban centres and particularly London because it was where existing success thanks to agglomeration effects was leading to signs of congestion.</w:t>
      </w:r>
    </w:p>
    <w:p w14:paraId="443F2C03" w14:textId="77777777" w:rsidR="0067162B" w:rsidRPr="009B3DDE" w:rsidRDefault="0067162B" w:rsidP="009B3DDE">
      <w:pPr>
        <w:spacing w:line="480" w:lineRule="auto"/>
        <w:jc w:val="both"/>
        <w:rPr>
          <w:rFonts w:ascii="Helvetica" w:hAnsi="Helvetica"/>
          <w:szCs w:val="24"/>
        </w:rPr>
      </w:pPr>
    </w:p>
    <w:p w14:paraId="788EBB6A" w14:textId="4989BD93" w:rsidR="00F94DE4" w:rsidRDefault="00157DC1" w:rsidP="009B3DDE">
      <w:pPr>
        <w:spacing w:line="480" w:lineRule="auto"/>
        <w:jc w:val="both"/>
        <w:rPr>
          <w:rFonts w:ascii="Helvetica" w:hAnsi="Helvetica"/>
          <w:szCs w:val="24"/>
        </w:rPr>
      </w:pPr>
      <w:r w:rsidRPr="009B3DDE">
        <w:rPr>
          <w:rFonts w:ascii="Helvetica" w:hAnsi="Helvetica"/>
          <w:szCs w:val="24"/>
        </w:rPr>
        <w:t>Although externalities such as getting people off the roads and reducing emissions in train schemes</w:t>
      </w:r>
      <w:r w:rsidR="00F94DE4" w:rsidRPr="009B3DDE">
        <w:rPr>
          <w:rFonts w:ascii="Helvetica" w:hAnsi="Helvetica"/>
          <w:szCs w:val="24"/>
        </w:rPr>
        <w:t xml:space="preserve"> are taken into account in official CBAs</w:t>
      </w:r>
      <w:r w:rsidRPr="009B3DDE">
        <w:rPr>
          <w:rFonts w:ascii="Helvetica" w:hAnsi="Helvetica"/>
          <w:szCs w:val="24"/>
        </w:rPr>
        <w:t xml:space="preserve">, there is no scope for analysis of </w:t>
      </w:r>
      <w:r w:rsidR="00F94DE4" w:rsidRPr="009B3DDE">
        <w:rPr>
          <w:rFonts w:ascii="Helvetica" w:hAnsi="Helvetica"/>
          <w:szCs w:val="24"/>
        </w:rPr>
        <w:t>the</w:t>
      </w:r>
      <w:r w:rsidRPr="009B3DDE">
        <w:rPr>
          <w:rFonts w:ascii="Helvetica" w:hAnsi="Helvetica"/>
          <w:szCs w:val="24"/>
        </w:rPr>
        <w:t xml:space="preserve"> limits to </w:t>
      </w:r>
      <w:r w:rsidR="00CB13B4" w:rsidRPr="009B3DDE">
        <w:rPr>
          <w:rFonts w:ascii="Helvetica" w:hAnsi="Helvetica"/>
          <w:szCs w:val="24"/>
        </w:rPr>
        <w:t>agglomeration</w:t>
      </w:r>
      <w:r w:rsidRPr="009B3DDE">
        <w:rPr>
          <w:rFonts w:ascii="Helvetica" w:hAnsi="Helvetica"/>
          <w:szCs w:val="24"/>
        </w:rPr>
        <w:t xml:space="preserve">. For example, the TfL 2015 report on Crossrail 2 predicts the London population will rise to 10 million by 2030 from 8.6 million in 2018. </w:t>
      </w:r>
      <w:r w:rsidR="00CB13B4" w:rsidRPr="009B3DDE">
        <w:rPr>
          <w:rFonts w:ascii="Helvetica" w:hAnsi="Helvetica"/>
          <w:szCs w:val="24"/>
        </w:rPr>
        <w:t xml:space="preserve">The logic is that as London is already more </w:t>
      </w:r>
      <w:r w:rsidR="00CB13B4" w:rsidRPr="009B3DDE">
        <w:rPr>
          <w:rFonts w:ascii="Helvetica" w:hAnsi="Helvetica"/>
          <w:szCs w:val="24"/>
        </w:rPr>
        <w:lastRenderedPageBreak/>
        <w:t>productive than the rest of the UK, anything removing constraints on further agglomeration must be desirable. Yet i</w:t>
      </w:r>
      <w:r w:rsidRPr="009B3DDE">
        <w:rPr>
          <w:rFonts w:ascii="Helvetica" w:hAnsi="Helvetica"/>
          <w:szCs w:val="24"/>
        </w:rPr>
        <w:t>t is reasonable to question a methodological approach that gives more weight to mitigating the effects of congestion in the already-crowded capital rather than enhancing the potential productivity and economic development gains elsewhere in the country even though those places are not manifesting the</w:t>
      </w:r>
      <w:r w:rsidR="00F94DE4" w:rsidRPr="009B3DDE">
        <w:rPr>
          <w:rFonts w:ascii="Helvetica" w:hAnsi="Helvetica"/>
          <w:szCs w:val="24"/>
        </w:rPr>
        <w:t xml:space="preserve"> same</w:t>
      </w:r>
      <w:r w:rsidRPr="009B3DDE">
        <w:rPr>
          <w:rFonts w:ascii="Helvetica" w:hAnsi="Helvetica"/>
          <w:szCs w:val="24"/>
        </w:rPr>
        <w:t xml:space="preserve"> market signals of congestion and over-crowding. Hence the cost-benefit case for Crossrail 2, an addition to an already excellent public transport network, look</w:t>
      </w:r>
      <w:r w:rsidR="00F94DE4" w:rsidRPr="009B3DDE">
        <w:rPr>
          <w:rFonts w:ascii="Helvetica" w:hAnsi="Helvetica"/>
          <w:szCs w:val="24"/>
        </w:rPr>
        <w:t>ed</w:t>
      </w:r>
      <w:r w:rsidRPr="009B3DDE">
        <w:rPr>
          <w:rFonts w:ascii="Helvetica" w:hAnsi="Helvetica"/>
          <w:szCs w:val="24"/>
        </w:rPr>
        <w:t xml:space="preserve"> as attractive on Green Book procedures as projects upgrading northern England’s rail network, despite the potential for the latter to facilitate the development of a single, dense labour market across the northern English cities.</w:t>
      </w:r>
      <w:r w:rsidR="00952CDB" w:rsidRPr="009B3DDE">
        <w:rPr>
          <w:rFonts w:ascii="Helvetica" w:hAnsi="Helvetica"/>
          <w:szCs w:val="24"/>
        </w:rPr>
        <w:t xml:space="preserve"> </w:t>
      </w:r>
      <w:r w:rsidR="00F94DE4" w:rsidRPr="009B3DDE">
        <w:rPr>
          <w:rFonts w:ascii="Helvetica" w:hAnsi="Helvetica"/>
          <w:szCs w:val="24"/>
        </w:rPr>
        <w:t>The northern</w:t>
      </w:r>
      <w:r w:rsidR="00952CDB" w:rsidRPr="009B3DDE">
        <w:rPr>
          <w:rFonts w:ascii="Helvetica" w:hAnsi="Helvetica"/>
          <w:szCs w:val="24"/>
        </w:rPr>
        <w:t xml:space="preserve"> rail </w:t>
      </w:r>
      <w:r w:rsidR="00F94DE4" w:rsidRPr="009B3DDE">
        <w:rPr>
          <w:rFonts w:ascii="Helvetica" w:hAnsi="Helvetica"/>
          <w:szCs w:val="24"/>
        </w:rPr>
        <w:t>upgrade was in fact cancelled</w:t>
      </w:r>
      <w:r w:rsidR="00952CDB" w:rsidRPr="009B3DDE">
        <w:rPr>
          <w:rFonts w:ascii="Helvetica" w:hAnsi="Helvetica"/>
          <w:szCs w:val="24"/>
        </w:rPr>
        <w:t xml:space="preserve"> </w:t>
      </w:r>
      <w:r w:rsidR="00D17929" w:rsidRPr="009B3DDE">
        <w:rPr>
          <w:rFonts w:ascii="Helvetica" w:hAnsi="Helvetica"/>
          <w:szCs w:val="24"/>
        </w:rPr>
        <w:t>in 201</w:t>
      </w:r>
      <w:r w:rsidR="00F94DE4" w:rsidRPr="009B3DDE">
        <w:rPr>
          <w:rFonts w:ascii="Helvetica" w:hAnsi="Helvetica"/>
          <w:szCs w:val="24"/>
        </w:rPr>
        <w:t>7 because</w:t>
      </w:r>
      <w:r w:rsidR="00952CDB" w:rsidRPr="009B3DDE">
        <w:rPr>
          <w:rFonts w:ascii="Helvetica" w:hAnsi="Helvetica"/>
          <w:szCs w:val="24"/>
        </w:rPr>
        <w:t xml:space="preserve"> the Department of Transport </w:t>
      </w:r>
      <w:r w:rsidR="00F94DE4" w:rsidRPr="009B3DDE">
        <w:rPr>
          <w:rFonts w:ascii="Helvetica" w:hAnsi="Helvetica"/>
          <w:szCs w:val="24"/>
        </w:rPr>
        <w:t>had to implement budget cuts. According to the National Audit Office</w:t>
      </w:r>
      <w:r w:rsidR="007B3876" w:rsidRPr="009B3DDE">
        <w:rPr>
          <w:rFonts w:ascii="Helvetica" w:hAnsi="Helvetica"/>
          <w:szCs w:val="24"/>
        </w:rPr>
        <w:t xml:space="preserve"> (2018)</w:t>
      </w:r>
      <w:r w:rsidR="00F94DE4" w:rsidRPr="009B3DDE">
        <w:rPr>
          <w:rFonts w:ascii="Helvetica" w:hAnsi="Helvetica"/>
          <w:szCs w:val="24"/>
        </w:rPr>
        <w:t>, the CBA analyses of the cancelled projects were all revised to produce lower benefit-cost ratios</w:t>
      </w:r>
      <w:r w:rsidR="001973FD" w:rsidRPr="009B3DDE">
        <w:rPr>
          <w:rFonts w:ascii="Helvetica" w:hAnsi="Helvetica"/>
          <w:szCs w:val="24"/>
        </w:rPr>
        <w:t xml:space="preserve"> as shown in Table 2</w:t>
      </w:r>
      <w:r w:rsidR="00DD6C3A" w:rsidRPr="009B3DDE">
        <w:rPr>
          <w:rFonts w:ascii="Helvetica" w:hAnsi="Helvetica"/>
          <w:szCs w:val="24"/>
        </w:rPr>
        <w:t xml:space="preserve">. The </w:t>
      </w:r>
      <w:r w:rsidR="00F94DE4" w:rsidRPr="009B3DDE">
        <w:rPr>
          <w:rFonts w:ascii="Helvetica" w:hAnsi="Helvetica"/>
          <w:szCs w:val="24"/>
        </w:rPr>
        <w:t>costs were revised up</w:t>
      </w:r>
      <w:r w:rsidR="00DD6C3A" w:rsidRPr="009B3DDE">
        <w:rPr>
          <w:rFonts w:ascii="Helvetica" w:hAnsi="Helvetica"/>
          <w:szCs w:val="24"/>
        </w:rPr>
        <w:t xml:space="preserve"> to a significant degree</w:t>
      </w:r>
      <w:r w:rsidR="002B7922" w:rsidRPr="009B3DDE">
        <w:rPr>
          <w:rFonts w:ascii="Helvetica" w:hAnsi="Helvetica"/>
          <w:szCs w:val="24"/>
        </w:rPr>
        <w:t xml:space="preserve">, as they often are </w:t>
      </w:r>
      <w:r w:rsidR="00DD6C3A" w:rsidRPr="009B3DDE">
        <w:rPr>
          <w:rFonts w:ascii="Helvetica" w:hAnsi="Helvetica"/>
          <w:szCs w:val="24"/>
        </w:rPr>
        <w:t xml:space="preserve">when decisions drag on, </w:t>
      </w:r>
      <w:r w:rsidR="002B7922" w:rsidRPr="009B3DDE">
        <w:rPr>
          <w:rFonts w:ascii="Helvetica" w:hAnsi="Helvetica"/>
          <w:szCs w:val="24"/>
        </w:rPr>
        <w:t xml:space="preserve">due to factors </w:t>
      </w:r>
      <w:r w:rsidR="00DD6C3A" w:rsidRPr="009B3DDE">
        <w:rPr>
          <w:rFonts w:ascii="Helvetica" w:hAnsi="Helvetica"/>
          <w:szCs w:val="24"/>
        </w:rPr>
        <w:t>including</w:t>
      </w:r>
      <w:r w:rsidR="002B7922" w:rsidRPr="009B3DDE">
        <w:rPr>
          <w:rFonts w:ascii="Helvetica" w:hAnsi="Helvetica"/>
          <w:szCs w:val="24"/>
        </w:rPr>
        <w:t xml:space="preserve"> central government delays and procurement failures</w:t>
      </w:r>
      <w:r w:rsidR="00DD6C3A" w:rsidRPr="009B3DDE">
        <w:rPr>
          <w:rFonts w:ascii="Helvetica" w:hAnsi="Helvetica"/>
          <w:szCs w:val="24"/>
        </w:rPr>
        <w:t xml:space="preserve">. </w:t>
      </w:r>
      <w:r w:rsidR="00F94DE4" w:rsidRPr="009B3DDE">
        <w:rPr>
          <w:rFonts w:ascii="Helvetica" w:hAnsi="Helvetica"/>
          <w:szCs w:val="24"/>
        </w:rPr>
        <w:t xml:space="preserve"> </w:t>
      </w:r>
      <w:r w:rsidR="00DD6C3A" w:rsidRPr="009B3DDE">
        <w:rPr>
          <w:rFonts w:ascii="Helvetica" w:hAnsi="Helvetica"/>
          <w:szCs w:val="24"/>
        </w:rPr>
        <w:t>The rationale for cancellation also stated that</w:t>
      </w:r>
      <w:r w:rsidR="00F94DE4" w:rsidRPr="009B3DDE">
        <w:rPr>
          <w:rFonts w:ascii="Helvetica" w:hAnsi="Helvetica"/>
          <w:szCs w:val="24"/>
        </w:rPr>
        <w:t xml:space="preserve"> passenger benefits such as enhanced reliability could be delivered in other ways</w:t>
      </w:r>
      <w:r w:rsidR="00DD6C3A" w:rsidRPr="009B3DDE">
        <w:rPr>
          <w:rFonts w:ascii="Helvetica" w:hAnsi="Helvetica"/>
          <w:szCs w:val="24"/>
        </w:rPr>
        <w:t xml:space="preserve"> </w:t>
      </w:r>
      <w:r w:rsidR="00F94DE4" w:rsidRPr="009B3DDE">
        <w:rPr>
          <w:rFonts w:ascii="Helvetica" w:hAnsi="Helvetica"/>
          <w:szCs w:val="24"/>
        </w:rPr>
        <w:t>(NAO 2018).</w:t>
      </w:r>
      <w:r w:rsidR="00C95CC4" w:rsidRPr="009B3DDE">
        <w:rPr>
          <w:rFonts w:ascii="Helvetica" w:hAnsi="Helvetica"/>
          <w:szCs w:val="24"/>
        </w:rPr>
        <w:t xml:space="preserve"> The House of Commons Transport Select Committee (2018) </w:t>
      </w:r>
      <w:r w:rsidR="006A41AF" w:rsidRPr="009B3DDE">
        <w:rPr>
          <w:rFonts w:ascii="Helvetica" w:hAnsi="Helvetica"/>
          <w:szCs w:val="24"/>
        </w:rPr>
        <w:t xml:space="preserve">strongly </w:t>
      </w:r>
      <w:r w:rsidR="00C95CC4" w:rsidRPr="009B3DDE">
        <w:rPr>
          <w:rFonts w:ascii="Helvetica" w:hAnsi="Helvetica"/>
          <w:szCs w:val="24"/>
        </w:rPr>
        <w:t xml:space="preserve">criticised </w:t>
      </w:r>
      <w:r w:rsidR="006A41AF" w:rsidRPr="009B3DDE">
        <w:rPr>
          <w:rFonts w:ascii="Helvetica" w:hAnsi="Helvetica"/>
          <w:szCs w:val="24"/>
        </w:rPr>
        <w:t>the delays and lack of transparency, and recommended reversing the cancellation decision.</w:t>
      </w:r>
    </w:p>
    <w:p w14:paraId="6EBCC491" w14:textId="77777777" w:rsidR="00D82018" w:rsidRDefault="00D82018" w:rsidP="009B3DDE">
      <w:pPr>
        <w:spacing w:line="480" w:lineRule="auto"/>
        <w:jc w:val="both"/>
        <w:rPr>
          <w:rFonts w:ascii="Helvetica" w:hAnsi="Helvetica"/>
          <w:szCs w:val="24"/>
        </w:rPr>
      </w:pPr>
    </w:p>
    <w:p w14:paraId="5ACDEA9B" w14:textId="77777777" w:rsidR="00D82018" w:rsidRPr="009B3DDE" w:rsidRDefault="00D82018" w:rsidP="009B3DDE">
      <w:pPr>
        <w:spacing w:line="480" w:lineRule="auto"/>
        <w:jc w:val="both"/>
        <w:rPr>
          <w:rFonts w:ascii="Helvetica" w:hAnsi="Helvetica"/>
          <w:szCs w:val="24"/>
        </w:rPr>
      </w:pPr>
      <w:bookmarkStart w:id="0" w:name="_GoBack"/>
      <w:bookmarkEnd w:id="0"/>
    </w:p>
    <w:p w14:paraId="35B1327E" w14:textId="77777777" w:rsidR="00D82018" w:rsidRDefault="00D82018" w:rsidP="00D82018">
      <w:r>
        <w:lastRenderedPageBreak/>
        <w:t>Table 2</w:t>
      </w:r>
    </w:p>
    <w:p w14:paraId="69EAE0AA" w14:textId="77777777" w:rsidR="00D82018" w:rsidRDefault="00D82018" w:rsidP="00D82018"/>
    <w:p w14:paraId="72B9D23D" w14:textId="77777777" w:rsidR="00D82018" w:rsidRDefault="00D82018" w:rsidP="00D82018">
      <w:pPr>
        <w:rPr>
          <w:rFonts w:ascii="Helvetica" w:hAnsi="Helvetica" w:cs="Times New Roman"/>
          <w:szCs w:val="24"/>
          <w:lang w:val="en-US"/>
        </w:rPr>
      </w:pPr>
      <w:r w:rsidRPr="00D60C7D">
        <w:rPr>
          <w:rFonts w:ascii="Helvetica" w:hAnsi="Helvetica" w:cs="Times New Roman"/>
          <w:szCs w:val="24"/>
          <w:lang w:val="en-US"/>
        </w:rPr>
        <w:t>Cancelled public transport schemes, revision of Benefit-Cost Ratios</w:t>
      </w:r>
    </w:p>
    <w:p w14:paraId="5DC3715C" w14:textId="77777777" w:rsidR="00D82018" w:rsidRDefault="00D82018" w:rsidP="00D82018">
      <w:pPr>
        <w:rPr>
          <w:rFonts w:ascii="Helvetica" w:hAnsi="Helvetica" w:cs="Times New Roman"/>
          <w:szCs w:val="24"/>
          <w:lang w:val="en-US"/>
        </w:rPr>
      </w:pPr>
    </w:p>
    <w:tbl>
      <w:tblPr>
        <w:tblStyle w:val="TableGrid"/>
        <w:tblW w:w="0" w:type="auto"/>
        <w:tblLayout w:type="fixed"/>
        <w:tblLook w:val="04A0" w:firstRow="1" w:lastRow="0" w:firstColumn="1" w:lastColumn="0" w:noHBand="0" w:noVBand="1"/>
      </w:tblPr>
      <w:tblGrid>
        <w:gridCol w:w="3369"/>
        <w:gridCol w:w="892"/>
        <w:gridCol w:w="950"/>
        <w:gridCol w:w="1418"/>
      </w:tblGrid>
      <w:tr w:rsidR="00D82018" w14:paraId="2726B8BB" w14:textId="77777777" w:rsidTr="004C110A">
        <w:tc>
          <w:tcPr>
            <w:tcW w:w="3369" w:type="dxa"/>
          </w:tcPr>
          <w:p w14:paraId="2DE0B25C" w14:textId="77777777" w:rsidR="00D82018" w:rsidRPr="00D60C7D" w:rsidRDefault="00D82018" w:rsidP="004C110A">
            <w:r w:rsidRPr="00D60C7D">
              <w:rPr>
                <w:rFonts w:ascii="Helvetica" w:hAnsi="Helvetica" w:cs="Times New Roman"/>
                <w:szCs w:val="24"/>
                <w:lang w:val="en-US"/>
              </w:rPr>
              <w:t>SCHEME</w:t>
            </w:r>
            <w:r w:rsidRPr="00D60C7D">
              <w:rPr>
                <w:rFonts w:ascii="Helvetica" w:hAnsi="Helvetica" w:cs="Times New Roman"/>
                <w:szCs w:val="24"/>
                <w:lang w:val="en-US"/>
              </w:rPr>
              <w:tab/>
            </w:r>
          </w:p>
        </w:tc>
        <w:tc>
          <w:tcPr>
            <w:tcW w:w="892" w:type="dxa"/>
          </w:tcPr>
          <w:p w14:paraId="20274865" w14:textId="77777777" w:rsidR="00D82018" w:rsidRDefault="00D82018" w:rsidP="004C110A">
            <w:r>
              <w:t>1</w:t>
            </w:r>
            <w:r w:rsidRPr="00D60C7D">
              <w:rPr>
                <w:vertAlign w:val="superscript"/>
              </w:rPr>
              <w:t>st</w:t>
            </w:r>
            <w:r>
              <w:t xml:space="preserve"> BCR</w:t>
            </w:r>
          </w:p>
        </w:tc>
        <w:tc>
          <w:tcPr>
            <w:tcW w:w="950" w:type="dxa"/>
          </w:tcPr>
          <w:p w14:paraId="1E10FD6C" w14:textId="77777777" w:rsidR="00D82018" w:rsidRDefault="00D82018" w:rsidP="004C110A">
            <w:r>
              <w:t>Final BCR</w:t>
            </w:r>
          </w:p>
        </w:tc>
        <w:tc>
          <w:tcPr>
            <w:tcW w:w="1418" w:type="dxa"/>
          </w:tcPr>
          <w:p w14:paraId="0CD6CA97" w14:textId="77777777" w:rsidR="00D82018" w:rsidRDefault="00D82018" w:rsidP="004C110A">
            <w:r>
              <w:t>Approved?</w:t>
            </w:r>
          </w:p>
        </w:tc>
      </w:tr>
      <w:tr w:rsidR="00D82018" w14:paraId="19A78AB4" w14:textId="77777777" w:rsidTr="004C110A">
        <w:tc>
          <w:tcPr>
            <w:tcW w:w="3369" w:type="dxa"/>
          </w:tcPr>
          <w:p w14:paraId="1389A86A" w14:textId="77777777" w:rsidR="00D82018" w:rsidRDefault="00D82018" w:rsidP="004C110A">
            <w:r w:rsidRPr="009B3DDE">
              <w:rPr>
                <w:rFonts w:ascii="Helvetica" w:hAnsi="Helvetica" w:cs="Times New Roman"/>
                <w:szCs w:val="24"/>
                <w:lang w:val="en-US"/>
              </w:rPr>
              <w:t>Electrification of the Midland mainline</w:t>
            </w:r>
          </w:p>
        </w:tc>
        <w:tc>
          <w:tcPr>
            <w:tcW w:w="892" w:type="dxa"/>
          </w:tcPr>
          <w:p w14:paraId="230EB31E" w14:textId="77777777" w:rsidR="00D82018" w:rsidRDefault="00D82018" w:rsidP="004C110A">
            <w:r>
              <w:t>4.1 to 13.1</w:t>
            </w:r>
          </w:p>
        </w:tc>
        <w:tc>
          <w:tcPr>
            <w:tcW w:w="950" w:type="dxa"/>
          </w:tcPr>
          <w:p w14:paraId="05FA39C1" w14:textId="77777777" w:rsidR="00D82018" w:rsidRDefault="00D82018" w:rsidP="004C110A">
            <w:r>
              <w:t>0.8</w:t>
            </w:r>
          </w:p>
        </w:tc>
        <w:tc>
          <w:tcPr>
            <w:tcW w:w="1418" w:type="dxa"/>
          </w:tcPr>
          <w:p w14:paraId="6B8648E6" w14:textId="77777777" w:rsidR="00D82018" w:rsidRDefault="00D82018" w:rsidP="004C110A">
            <w:r>
              <w:t>No</w:t>
            </w:r>
          </w:p>
        </w:tc>
      </w:tr>
      <w:tr w:rsidR="00D82018" w14:paraId="23BB91A3" w14:textId="77777777" w:rsidTr="004C110A">
        <w:tc>
          <w:tcPr>
            <w:tcW w:w="3369" w:type="dxa"/>
          </w:tcPr>
          <w:p w14:paraId="4B80EBA3" w14:textId="77777777" w:rsidR="00D82018" w:rsidRDefault="00D82018" w:rsidP="004C110A">
            <w:r w:rsidRPr="009B3DDE">
              <w:rPr>
                <w:rFonts w:ascii="Helvetica" w:hAnsi="Helvetica" w:cs="Times New Roman"/>
                <w:szCs w:val="24"/>
                <w:lang w:val="en-US"/>
              </w:rPr>
              <w:t>Electrification from Cardiff to Swansea</w:t>
            </w:r>
            <w:r w:rsidRPr="009B3DDE">
              <w:rPr>
                <w:rFonts w:ascii="Helvetica" w:hAnsi="Helvetica" w:cs="Times New Roman"/>
                <w:szCs w:val="24"/>
                <w:lang w:val="en-US"/>
              </w:rPr>
              <w:tab/>
            </w:r>
          </w:p>
        </w:tc>
        <w:tc>
          <w:tcPr>
            <w:tcW w:w="892" w:type="dxa"/>
          </w:tcPr>
          <w:p w14:paraId="2BDCBAA9" w14:textId="77777777" w:rsidR="00D82018" w:rsidRDefault="00D82018" w:rsidP="004C110A">
            <w:r>
              <w:t>0.6</w:t>
            </w:r>
          </w:p>
        </w:tc>
        <w:tc>
          <w:tcPr>
            <w:tcW w:w="950" w:type="dxa"/>
          </w:tcPr>
          <w:p w14:paraId="4DF1B531" w14:textId="77777777" w:rsidR="00D82018" w:rsidRDefault="00D82018" w:rsidP="004C110A">
            <w:r>
              <w:t>0.3</w:t>
            </w:r>
          </w:p>
        </w:tc>
        <w:tc>
          <w:tcPr>
            <w:tcW w:w="1418" w:type="dxa"/>
          </w:tcPr>
          <w:p w14:paraId="4CC103CC" w14:textId="77777777" w:rsidR="00D82018" w:rsidRDefault="00D82018" w:rsidP="004C110A">
            <w:r>
              <w:t>No</w:t>
            </w:r>
          </w:p>
        </w:tc>
      </w:tr>
      <w:tr w:rsidR="00D82018" w14:paraId="36DA4786" w14:textId="77777777" w:rsidTr="004C110A">
        <w:tc>
          <w:tcPr>
            <w:tcW w:w="3369" w:type="dxa"/>
          </w:tcPr>
          <w:p w14:paraId="6DCEDC99" w14:textId="77777777" w:rsidR="00D82018" w:rsidRDefault="00D82018" w:rsidP="004C110A">
            <w:proofErr w:type="spellStart"/>
            <w:r w:rsidRPr="009B3DDE">
              <w:rPr>
                <w:rFonts w:ascii="Helvetica" w:hAnsi="Helvetica" w:cs="Times New Roman"/>
                <w:szCs w:val="24"/>
                <w:lang w:val="en-US"/>
              </w:rPr>
              <w:t>Electrifcation</w:t>
            </w:r>
            <w:proofErr w:type="spellEnd"/>
            <w:r w:rsidRPr="009B3DDE">
              <w:rPr>
                <w:rFonts w:ascii="Helvetica" w:hAnsi="Helvetica" w:cs="Times New Roman"/>
                <w:szCs w:val="24"/>
                <w:lang w:val="en-US"/>
              </w:rPr>
              <w:t xml:space="preserve"> from Oxenholme to Windermere</w:t>
            </w:r>
          </w:p>
        </w:tc>
        <w:tc>
          <w:tcPr>
            <w:tcW w:w="892" w:type="dxa"/>
          </w:tcPr>
          <w:p w14:paraId="33F1D73D" w14:textId="77777777" w:rsidR="00D82018" w:rsidRDefault="00D82018" w:rsidP="004C110A">
            <w:r>
              <w:t>2.3</w:t>
            </w:r>
          </w:p>
        </w:tc>
        <w:tc>
          <w:tcPr>
            <w:tcW w:w="950" w:type="dxa"/>
          </w:tcPr>
          <w:p w14:paraId="5FDB0A29" w14:textId="77777777" w:rsidR="00D82018" w:rsidRDefault="00D82018" w:rsidP="004C110A">
            <w:r>
              <w:t>0.6</w:t>
            </w:r>
          </w:p>
        </w:tc>
        <w:tc>
          <w:tcPr>
            <w:tcW w:w="1418" w:type="dxa"/>
          </w:tcPr>
          <w:p w14:paraId="7121C047" w14:textId="77777777" w:rsidR="00D82018" w:rsidRDefault="00D82018" w:rsidP="004C110A">
            <w:r>
              <w:t>No</w:t>
            </w:r>
          </w:p>
        </w:tc>
      </w:tr>
      <w:tr w:rsidR="00D82018" w14:paraId="08DF0483" w14:textId="77777777" w:rsidTr="004C110A">
        <w:tc>
          <w:tcPr>
            <w:tcW w:w="6629" w:type="dxa"/>
            <w:gridSpan w:val="4"/>
          </w:tcPr>
          <w:p w14:paraId="6EF6B086" w14:textId="77777777" w:rsidR="00D82018" w:rsidRDefault="00D82018" w:rsidP="004C110A">
            <w:r>
              <w:t>Source: NAO</w:t>
            </w:r>
          </w:p>
        </w:tc>
      </w:tr>
    </w:tbl>
    <w:p w14:paraId="3F6D20A9" w14:textId="77777777" w:rsidR="00F94DE4" w:rsidRPr="009B3DDE" w:rsidRDefault="00F94DE4" w:rsidP="009B3DDE">
      <w:pPr>
        <w:spacing w:line="480" w:lineRule="auto"/>
        <w:jc w:val="both"/>
        <w:rPr>
          <w:rFonts w:ascii="Helvetica" w:hAnsi="Helvetica"/>
          <w:b/>
          <w:szCs w:val="24"/>
        </w:rPr>
      </w:pPr>
    </w:p>
    <w:p w14:paraId="5C29E8BB" w14:textId="4AEE44CA" w:rsidR="004A75D2" w:rsidRPr="009B3DDE" w:rsidRDefault="00957568" w:rsidP="009B3DDE">
      <w:pPr>
        <w:spacing w:line="480" w:lineRule="auto"/>
        <w:jc w:val="both"/>
        <w:rPr>
          <w:rFonts w:ascii="Helvetica" w:hAnsi="Helvetica"/>
          <w:szCs w:val="24"/>
        </w:rPr>
      </w:pPr>
      <w:r w:rsidRPr="009B3DDE">
        <w:rPr>
          <w:rFonts w:ascii="Helvetica" w:hAnsi="Helvetica"/>
          <w:szCs w:val="24"/>
        </w:rPr>
        <w:t xml:space="preserve">The </w:t>
      </w:r>
      <w:r w:rsidR="00CB13B4" w:rsidRPr="009B3DDE">
        <w:rPr>
          <w:rFonts w:ascii="Helvetica" w:hAnsi="Helvetica"/>
          <w:szCs w:val="24"/>
        </w:rPr>
        <w:t xml:space="preserve">general </w:t>
      </w:r>
      <w:r w:rsidR="008F2D0B" w:rsidRPr="009B3DDE">
        <w:rPr>
          <w:rFonts w:ascii="Helvetica" w:hAnsi="Helvetica"/>
          <w:szCs w:val="24"/>
        </w:rPr>
        <w:t xml:space="preserve">limitations of cost benefit analysis have been widely </w:t>
      </w:r>
      <w:r w:rsidR="00DB77A7" w:rsidRPr="009B3DDE">
        <w:rPr>
          <w:rFonts w:ascii="Helvetica" w:hAnsi="Helvetica"/>
          <w:szCs w:val="24"/>
        </w:rPr>
        <w:t>aired</w:t>
      </w:r>
      <w:r w:rsidR="008F2D0B" w:rsidRPr="009B3DDE">
        <w:rPr>
          <w:rFonts w:ascii="Helvetica" w:hAnsi="Helvetica"/>
          <w:szCs w:val="24"/>
        </w:rPr>
        <w:t xml:space="preserve">. </w:t>
      </w:r>
      <w:r w:rsidRPr="009B3DDE">
        <w:rPr>
          <w:rFonts w:ascii="Helvetica" w:hAnsi="Helvetica"/>
          <w:szCs w:val="24"/>
        </w:rPr>
        <w:t xml:space="preserve">Some are inherent in any </w:t>
      </w:r>
      <w:r w:rsidR="00DB77A7" w:rsidRPr="009B3DDE">
        <w:rPr>
          <w:rFonts w:ascii="Helvetica" w:hAnsi="Helvetica"/>
          <w:szCs w:val="24"/>
        </w:rPr>
        <w:t xml:space="preserve">evidence-based approach to appraisal. </w:t>
      </w:r>
      <w:r w:rsidR="008F2D0B" w:rsidRPr="009B3DDE">
        <w:rPr>
          <w:rFonts w:ascii="Helvetica" w:hAnsi="Helvetica"/>
          <w:szCs w:val="24"/>
        </w:rPr>
        <w:t>The projection of future benefits and costs is uncertain</w:t>
      </w:r>
      <w:r w:rsidR="00610D21" w:rsidRPr="009B3DDE">
        <w:rPr>
          <w:rFonts w:ascii="Helvetica" w:hAnsi="Helvetica"/>
          <w:szCs w:val="24"/>
        </w:rPr>
        <w:t xml:space="preserve"> (and as the above example shows liable to big revisions);</w:t>
      </w:r>
      <w:r w:rsidR="008F2D0B" w:rsidRPr="009B3DDE">
        <w:rPr>
          <w:rFonts w:ascii="Helvetica" w:hAnsi="Helvetica"/>
          <w:szCs w:val="24"/>
        </w:rPr>
        <w:t xml:space="preserve"> it is difficult and yet surely essential to include externalities such as environmental impacts</w:t>
      </w:r>
      <w:r w:rsidR="00610D21" w:rsidRPr="009B3DDE">
        <w:rPr>
          <w:rFonts w:ascii="Helvetica" w:hAnsi="Helvetica"/>
          <w:szCs w:val="24"/>
        </w:rPr>
        <w:t>;</w:t>
      </w:r>
      <w:r w:rsidR="008F2D0B" w:rsidRPr="009B3DDE">
        <w:rPr>
          <w:rFonts w:ascii="Helvetica" w:hAnsi="Helvetica"/>
          <w:szCs w:val="24"/>
        </w:rPr>
        <w:t xml:space="preserve"> the results are highly sensitive to the choice of discount rate</w:t>
      </w:r>
      <w:r w:rsidR="00610D21" w:rsidRPr="009B3DDE">
        <w:rPr>
          <w:rFonts w:ascii="Helvetica" w:hAnsi="Helvetica"/>
          <w:szCs w:val="24"/>
        </w:rPr>
        <w:t>;</w:t>
      </w:r>
      <w:r w:rsidR="008F2D0B" w:rsidRPr="009B3DDE">
        <w:rPr>
          <w:rFonts w:ascii="Helvetica" w:hAnsi="Helvetica"/>
          <w:szCs w:val="24"/>
        </w:rPr>
        <w:t xml:space="preserve"> </w:t>
      </w:r>
      <w:r w:rsidR="00610D21" w:rsidRPr="009B3DDE">
        <w:rPr>
          <w:rFonts w:ascii="Helvetica" w:hAnsi="Helvetica"/>
          <w:szCs w:val="24"/>
        </w:rPr>
        <w:t xml:space="preserve">and </w:t>
      </w:r>
      <w:r w:rsidR="0044521A" w:rsidRPr="009B3DDE">
        <w:rPr>
          <w:rFonts w:ascii="Helvetica" w:hAnsi="Helvetica"/>
          <w:szCs w:val="24"/>
        </w:rPr>
        <w:t>general equilibrium effects are not included</w:t>
      </w:r>
      <w:r w:rsidR="008F2D0B" w:rsidRPr="009B3DDE">
        <w:rPr>
          <w:rFonts w:ascii="Helvetica" w:hAnsi="Helvetica"/>
          <w:szCs w:val="24"/>
        </w:rPr>
        <w:t xml:space="preserve">. There are also considerable implementation issues. For example, </w:t>
      </w:r>
      <w:r w:rsidR="00B429F9" w:rsidRPr="009B3DDE">
        <w:rPr>
          <w:rFonts w:ascii="Helvetica" w:hAnsi="Helvetica"/>
          <w:szCs w:val="24"/>
        </w:rPr>
        <w:t>Atkins</w:t>
      </w:r>
      <w:r w:rsidR="00B645D1" w:rsidRPr="009B3DDE">
        <w:rPr>
          <w:rFonts w:ascii="Helvetica" w:hAnsi="Helvetica"/>
          <w:szCs w:val="24"/>
        </w:rPr>
        <w:t>,</w:t>
      </w:r>
      <w:r w:rsidR="008F2D0B" w:rsidRPr="009B3DDE">
        <w:rPr>
          <w:rFonts w:ascii="Helvetica" w:hAnsi="Helvetica"/>
          <w:szCs w:val="24"/>
        </w:rPr>
        <w:t xml:space="preserve"> et al (2017) list four</w:t>
      </w:r>
      <w:r w:rsidR="0097615E" w:rsidRPr="009B3DDE">
        <w:rPr>
          <w:rFonts w:ascii="Helvetica" w:hAnsi="Helvetica"/>
          <w:szCs w:val="24"/>
        </w:rPr>
        <w:t>:</w:t>
      </w:r>
    </w:p>
    <w:p w14:paraId="43931ADF" w14:textId="77777777" w:rsidR="00957568" w:rsidRPr="009B3DDE" w:rsidRDefault="00957568" w:rsidP="009B3DDE">
      <w:pPr>
        <w:spacing w:line="480" w:lineRule="auto"/>
        <w:jc w:val="both"/>
        <w:rPr>
          <w:rFonts w:ascii="Helvetica" w:hAnsi="Helvetica"/>
          <w:szCs w:val="24"/>
        </w:rPr>
      </w:pPr>
    </w:p>
    <w:p w14:paraId="39A9BBBE" w14:textId="2E45AF7E" w:rsidR="0097615E" w:rsidRPr="009B3DDE" w:rsidRDefault="008F2D0B" w:rsidP="009B3DDE">
      <w:pPr>
        <w:pStyle w:val="ListParagraph"/>
        <w:numPr>
          <w:ilvl w:val="0"/>
          <w:numId w:val="1"/>
        </w:numPr>
        <w:spacing w:line="480" w:lineRule="auto"/>
        <w:jc w:val="both"/>
        <w:rPr>
          <w:rFonts w:ascii="Helvetica" w:hAnsi="Helvetica"/>
          <w:szCs w:val="24"/>
        </w:rPr>
      </w:pPr>
      <w:r w:rsidRPr="009B3DDE">
        <w:rPr>
          <w:rFonts w:ascii="Helvetica" w:hAnsi="Helvetica"/>
          <w:szCs w:val="24"/>
        </w:rPr>
        <w:t>The difficulty of</w:t>
      </w:r>
      <w:r w:rsidR="0097615E" w:rsidRPr="009B3DDE">
        <w:rPr>
          <w:rFonts w:ascii="Helvetica" w:hAnsi="Helvetica"/>
          <w:szCs w:val="24"/>
        </w:rPr>
        <w:t xml:space="preserve"> capturing impact, particularly dynamic change</w:t>
      </w:r>
      <w:r w:rsidR="00E5356F" w:rsidRPr="009B3DDE">
        <w:rPr>
          <w:rFonts w:ascii="Helvetica" w:hAnsi="Helvetica"/>
          <w:szCs w:val="24"/>
        </w:rPr>
        <w:t xml:space="preserve"> in</w:t>
      </w:r>
      <w:r w:rsidRPr="009B3DDE">
        <w:rPr>
          <w:rFonts w:ascii="Helvetica" w:hAnsi="Helvetica"/>
          <w:szCs w:val="24"/>
        </w:rPr>
        <w:t xml:space="preserve"> the economy;</w:t>
      </w:r>
    </w:p>
    <w:p w14:paraId="03762D22" w14:textId="31D1E3B5" w:rsidR="0097615E" w:rsidRPr="009B3DDE" w:rsidRDefault="0097615E" w:rsidP="009B3DDE">
      <w:pPr>
        <w:pStyle w:val="ListParagraph"/>
        <w:numPr>
          <w:ilvl w:val="0"/>
          <w:numId w:val="1"/>
        </w:numPr>
        <w:spacing w:line="480" w:lineRule="auto"/>
        <w:jc w:val="both"/>
        <w:rPr>
          <w:rFonts w:ascii="Helvetica" w:hAnsi="Helvetica"/>
          <w:szCs w:val="24"/>
        </w:rPr>
      </w:pPr>
      <w:r w:rsidRPr="009B3DDE">
        <w:rPr>
          <w:rFonts w:ascii="Helvetica" w:hAnsi="Helvetica"/>
          <w:szCs w:val="24"/>
        </w:rPr>
        <w:t xml:space="preserve">Unrealistic cost estimates, </w:t>
      </w:r>
      <w:r w:rsidR="008F2D0B" w:rsidRPr="009B3DDE">
        <w:rPr>
          <w:rFonts w:ascii="Helvetica" w:hAnsi="Helvetica"/>
          <w:szCs w:val="24"/>
        </w:rPr>
        <w:t>prone to optimism bias;</w:t>
      </w:r>
    </w:p>
    <w:p w14:paraId="22AC56CA" w14:textId="4F66F2D1" w:rsidR="00E5356F" w:rsidRPr="009B3DDE" w:rsidRDefault="00E5356F" w:rsidP="009B3DDE">
      <w:pPr>
        <w:pStyle w:val="ListParagraph"/>
        <w:numPr>
          <w:ilvl w:val="0"/>
          <w:numId w:val="1"/>
        </w:numPr>
        <w:spacing w:line="480" w:lineRule="auto"/>
        <w:jc w:val="both"/>
        <w:rPr>
          <w:rFonts w:ascii="Helvetica" w:hAnsi="Helvetica"/>
          <w:szCs w:val="24"/>
        </w:rPr>
      </w:pPr>
      <w:r w:rsidRPr="009B3DDE">
        <w:rPr>
          <w:rFonts w:ascii="Helvetica" w:hAnsi="Helvetica"/>
          <w:szCs w:val="24"/>
        </w:rPr>
        <w:t>Lack of consistenc</w:t>
      </w:r>
      <w:r w:rsidR="008F2D0B" w:rsidRPr="009B3DDE">
        <w:rPr>
          <w:rFonts w:ascii="Helvetica" w:hAnsi="Helvetica"/>
          <w:szCs w:val="24"/>
        </w:rPr>
        <w:t>y between project assessments. For example, i</w:t>
      </w:r>
      <w:r w:rsidRPr="009B3DDE">
        <w:rPr>
          <w:rFonts w:ascii="Helvetica" w:hAnsi="Helvetica"/>
          <w:szCs w:val="24"/>
        </w:rPr>
        <w:t>mpacts on health, safety and the environment are difficult to monetise and not always included consistently across projects</w:t>
      </w:r>
      <w:r w:rsidR="002B7922" w:rsidRPr="009B3DDE">
        <w:rPr>
          <w:rFonts w:ascii="Helvetica" w:hAnsi="Helvetica"/>
          <w:szCs w:val="24"/>
        </w:rPr>
        <w:t>, although this is improving</w:t>
      </w:r>
      <w:r w:rsidRPr="009B3DDE">
        <w:rPr>
          <w:rFonts w:ascii="Helvetica" w:hAnsi="Helvetica"/>
          <w:szCs w:val="24"/>
        </w:rPr>
        <w:t>.</w:t>
      </w:r>
    </w:p>
    <w:p w14:paraId="7258249D" w14:textId="5C1966ED" w:rsidR="00E5356F" w:rsidRPr="009B3DDE" w:rsidRDefault="00E5356F" w:rsidP="009B3DDE">
      <w:pPr>
        <w:pStyle w:val="ListParagraph"/>
        <w:numPr>
          <w:ilvl w:val="0"/>
          <w:numId w:val="1"/>
        </w:numPr>
        <w:spacing w:line="480" w:lineRule="auto"/>
        <w:jc w:val="both"/>
        <w:rPr>
          <w:rFonts w:ascii="Helvetica" w:hAnsi="Helvetica"/>
          <w:szCs w:val="24"/>
        </w:rPr>
      </w:pPr>
      <w:r w:rsidRPr="009B3DDE">
        <w:rPr>
          <w:rFonts w:ascii="Helvetica" w:hAnsi="Helvetica"/>
          <w:szCs w:val="24"/>
        </w:rPr>
        <w:lastRenderedPageBreak/>
        <w:t>Poor communication within and outside of Whitehall. Cost-benefit analysis results are not always well understood.</w:t>
      </w:r>
    </w:p>
    <w:p w14:paraId="46884B07" w14:textId="77777777" w:rsidR="0067162B" w:rsidRPr="009B3DDE" w:rsidRDefault="0067162B" w:rsidP="009B3DDE">
      <w:pPr>
        <w:spacing w:line="480" w:lineRule="auto"/>
        <w:jc w:val="both"/>
        <w:rPr>
          <w:rFonts w:ascii="Helvetica" w:hAnsi="Helvetica"/>
          <w:szCs w:val="24"/>
        </w:rPr>
      </w:pPr>
    </w:p>
    <w:p w14:paraId="63EFFFEC" w14:textId="67106BF9" w:rsidR="004A75D2" w:rsidRPr="009B3DDE" w:rsidRDefault="00957568" w:rsidP="009B3DDE">
      <w:pPr>
        <w:spacing w:line="480" w:lineRule="auto"/>
        <w:jc w:val="both"/>
        <w:rPr>
          <w:rFonts w:ascii="Helvetica" w:hAnsi="Helvetica"/>
          <w:szCs w:val="24"/>
        </w:rPr>
      </w:pPr>
      <w:r w:rsidRPr="009B3DDE">
        <w:rPr>
          <w:rFonts w:ascii="Helvetica" w:hAnsi="Helvetica"/>
          <w:szCs w:val="24"/>
        </w:rPr>
        <w:t xml:space="preserve">Of these, the </w:t>
      </w:r>
      <w:r w:rsidR="00610D21" w:rsidRPr="009B3DDE">
        <w:rPr>
          <w:rFonts w:ascii="Helvetica" w:hAnsi="Helvetica"/>
          <w:szCs w:val="24"/>
        </w:rPr>
        <w:t>failure</w:t>
      </w:r>
      <w:r w:rsidRPr="009B3DDE">
        <w:rPr>
          <w:rFonts w:ascii="Helvetica" w:hAnsi="Helvetica"/>
          <w:szCs w:val="24"/>
        </w:rPr>
        <w:t xml:space="preserve"> to incorporate dynamic change in the economy is </w:t>
      </w:r>
      <w:r w:rsidR="00610D21" w:rsidRPr="009B3DDE">
        <w:rPr>
          <w:rFonts w:ascii="Helvetica" w:hAnsi="Helvetica"/>
          <w:szCs w:val="24"/>
        </w:rPr>
        <w:t>key to the issue of regional skew</w:t>
      </w:r>
      <w:r w:rsidRPr="009B3DDE">
        <w:rPr>
          <w:rFonts w:ascii="Helvetica" w:hAnsi="Helvetica"/>
          <w:szCs w:val="24"/>
        </w:rPr>
        <w:t xml:space="preserve">, as this omission is what traps investment decisions in the past geographic distribution of growth. As the </w:t>
      </w:r>
      <w:r w:rsidR="004A75D2" w:rsidRPr="009B3DDE">
        <w:rPr>
          <w:rFonts w:ascii="Helvetica" w:hAnsi="Helvetica"/>
          <w:szCs w:val="24"/>
        </w:rPr>
        <w:t xml:space="preserve">CURDS </w:t>
      </w:r>
      <w:proofErr w:type="spellStart"/>
      <w:r w:rsidR="004A75D2" w:rsidRPr="009B3DDE">
        <w:rPr>
          <w:rFonts w:ascii="Helvetica" w:hAnsi="Helvetica"/>
          <w:szCs w:val="24"/>
        </w:rPr>
        <w:t>iBUILD</w:t>
      </w:r>
      <w:proofErr w:type="spellEnd"/>
      <w:r w:rsidR="004A75D2" w:rsidRPr="009B3DDE">
        <w:rPr>
          <w:rFonts w:ascii="Helvetica" w:hAnsi="Helvetica"/>
          <w:szCs w:val="24"/>
        </w:rPr>
        <w:t xml:space="preserve"> </w:t>
      </w:r>
      <w:r w:rsidR="001973FD" w:rsidRPr="009B3DDE">
        <w:rPr>
          <w:rFonts w:ascii="Helvetica" w:hAnsi="Helvetica"/>
          <w:szCs w:val="24"/>
        </w:rPr>
        <w:t xml:space="preserve">(2018) </w:t>
      </w:r>
      <w:r w:rsidR="004A75D2" w:rsidRPr="009B3DDE">
        <w:rPr>
          <w:rFonts w:ascii="Helvetica" w:hAnsi="Helvetica"/>
          <w:szCs w:val="24"/>
        </w:rPr>
        <w:t>project final report</w:t>
      </w:r>
      <w:r w:rsidRPr="009B3DDE">
        <w:rPr>
          <w:rFonts w:ascii="Helvetica" w:hAnsi="Helvetica"/>
          <w:szCs w:val="24"/>
        </w:rPr>
        <w:t xml:space="preserve"> noted</w:t>
      </w:r>
      <w:r w:rsidR="004A75D2" w:rsidRPr="009B3DDE">
        <w:rPr>
          <w:rFonts w:ascii="Helvetica" w:hAnsi="Helvetica"/>
          <w:szCs w:val="24"/>
        </w:rPr>
        <w:t>:</w:t>
      </w:r>
      <w:r w:rsidRPr="009B3DDE">
        <w:rPr>
          <w:rFonts w:ascii="Helvetica" w:hAnsi="Helvetica"/>
          <w:szCs w:val="24"/>
        </w:rPr>
        <w:t xml:space="preserve"> </w:t>
      </w:r>
      <w:r w:rsidR="004A75D2" w:rsidRPr="009B3DDE">
        <w:rPr>
          <w:rFonts w:ascii="Helvetica" w:hAnsi="Helvetica"/>
          <w:szCs w:val="24"/>
        </w:rPr>
        <w:t>“The UK government accepts that approaches based solely on static analysis can favour investment and re-investment in places where development has already happened, and relatively higher current market values for wages, housing and land in prosperous places generate higher Benefit-Cost Ratios that often overlooks some of the long-term benefits that infrastructure can bring to different places.”</w:t>
      </w:r>
      <w:r w:rsidRPr="009B3DDE">
        <w:rPr>
          <w:rFonts w:ascii="Helvetica" w:hAnsi="Helvetica"/>
          <w:szCs w:val="24"/>
        </w:rPr>
        <w:t xml:space="preserve"> (p20). The 2013 Green Book placed strong emphasis on the use of market prices, </w:t>
      </w:r>
      <w:r w:rsidR="00610D21" w:rsidRPr="009B3DDE">
        <w:rPr>
          <w:rFonts w:ascii="Helvetica" w:hAnsi="Helvetica"/>
          <w:szCs w:val="24"/>
        </w:rPr>
        <w:t xml:space="preserve">as does </w:t>
      </w:r>
      <w:r w:rsidRPr="009B3DDE">
        <w:rPr>
          <w:rFonts w:ascii="Helvetica" w:hAnsi="Helvetica"/>
          <w:szCs w:val="24"/>
        </w:rPr>
        <w:t xml:space="preserve">the new </w:t>
      </w:r>
      <w:r w:rsidR="00610D21" w:rsidRPr="009B3DDE">
        <w:rPr>
          <w:rFonts w:ascii="Helvetica" w:hAnsi="Helvetica"/>
          <w:szCs w:val="24"/>
        </w:rPr>
        <w:t xml:space="preserve">2018 </w:t>
      </w:r>
      <w:r w:rsidRPr="009B3DDE">
        <w:rPr>
          <w:rFonts w:ascii="Helvetica" w:hAnsi="Helvetica"/>
          <w:szCs w:val="24"/>
        </w:rPr>
        <w:t xml:space="preserve">Green Book, both as the starting point for estimating opportunity costs and in order to value project benefits. We will return below to the new update. </w:t>
      </w:r>
    </w:p>
    <w:p w14:paraId="75B32082" w14:textId="77777777" w:rsidR="0067162B" w:rsidRPr="009B3DDE" w:rsidRDefault="0067162B" w:rsidP="009B3DDE">
      <w:pPr>
        <w:spacing w:line="480" w:lineRule="auto"/>
        <w:jc w:val="both"/>
        <w:rPr>
          <w:rFonts w:ascii="Helvetica" w:hAnsi="Helvetica"/>
          <w:szCs w:val="24"/>
        </w:rPr>
      </w:pPr>
    </w:p>
    <w:p w14:paraId="283BFBFC" w14:textId="03530E67" w:rsidR="00C574BE" w:rsidRPr="009B3DDE" w:rsidRDefault="00C574BE" w:rsidP="009B3DDE">
      <w:pPr>
        <w:spacing w:line="480" w:lineRule="auto"/>
        <w:jc w:val="both"/>
        <w:rPr>
          <w:rFonts w:ascii="Helvetica" w:hAnsi="Helvetica"/>
          <w:szCs w:val="24"/>
        </w:rPr>
      </w:pPr>
      <w:r w:rsidRPr="009B3DDE">
        <w:rPr>
          <w:rFonts w:ascii="Helvetica" w:hAnsi="Helvetica"/>
          <w:szCs w:val="24"/>
        </w:rPr>
        <w:t>The obverse of the phenomenon has been demonstrated in the case of the ‘</w:t>
      </w:r>
      <w:proofErr w:type="spellStart"/>
      <w:r w:rsidRPr="009B3DDE">
        <w:rPr>
          <w:rFonts w:ascii="Helvetica" w:hAnsi="Helvetica"/>
          <w:szCs w:val="24"/>
        </w:rPr>
        <w:t>Beeching</w:t>
      </w:r>
      <w:proofErr w:type="spellEnd"/>
      <w:r w:rsidRPr="009B3DDE">
        <w:rPr>
          <w:rFonts w:ascii="Helvetica" w:hAnsi="Helvetica"/>
          <w:szCs w:val="24"/>
        </w:rPr>
        <w:t xml:space="preserve"> Axe’ cuts to the UK’s rail network in the 1960s. The closures affected little used and unprofitable lines. However, Gibbons et al (</w:t>
      </w:r>
      <w:r w:rsidR="00531692" w:rsidRPr="009B3DDE">
        <w:rPr>
          <w:rFonts w:ascii="Helvetica" w:hAnsi="Helvetica"/>
          <w:szCs w:val="24"/>
        </w:rPr>
        <w:t>2018</w:t>
      </w:r>
      <w:r w:rsidRPr="009B3DDE">
        <w:rPr>
          <w:rFonts w:ascii="Helvetica" w:hAnsi="Helvetica"/>
          <w:szCs w:val="24"/>
        </w:rPr>
        <w:t xml:space="preserve">) show that, even conditioned on the decline of affected areas before the </w:t>
      </w:r>
      <w:proofErr w:type="spellStart"/>
      <w:r w:rsidRPr="009B3DDE">
        <w:rPr>
          <w:rFonts w:ascii="Helvetica" w:hAnsi="Helvetica"/>
          <w:szCs w:val="24"/>
        </w:rPr>
        <w:t>Beeching</w:t>
      </w:r>
      <w:proofErr w:type="spellEnd"/>
      <w:r w:rsidRPr="009B3DDE">
        <w:rPr>
          <w:rFonts w:ascii="Helvetica" w:hAnsi="Helvetica"/>
          <w:szCs w:val="24"/>
        </w:rPr>
        <w:t xml:space="preserve"> report, the closures accelerated the population decline, and the proportion of skilled and young workers in the population. They conclude: “An implication of </w:t>
      </w:r>
      <w:r w:rsidRPr="009B3DDE">
        <w:rPr>
          <w:rFonts w:ascii="Helvetica" w:hAnsi="Helvetica"/>
          <w:szCs w:val="24"/>
        </w:rPr>
        <w:lastRenderedPageBreak/>
        <w:t>these findings is that rail transport infrastructure plays an important role in shaping the spatial structure of the economy.”</w:t>
      </w:r>
    </w:p>
    <w:p w14:paraId="0FD9F460" w14:textId="77777777" w:rsidR="00CB3192" w:rsidRPr="009B3DDE" w:rsidRDefault="00CB3192" w:rsidP="009B3DDE">
      <w:pPr>
        <w:spacing w:line="480" w:lineRule="auto"/>
        <w:jc w:val="both"/>
        <w:rPr>
          <w:rFonts w:ascii="Helvetica" w:hAnsi="Helvetica"/>
          <w:szCs w:val="24"/>
        </w:rPr>
      </w:pPr>
    </w:p>
    <w:p w14:paraId="197D1215" w14:textId="0BDE5543" w:rsidR="00CB13B4" w:rsidRPr="00CA3E55" w:rsidRDefault="002D32F1" w:rsidP="009B3DDE">
      <w:pPr>
        <w:spacing w:line="480" w:lineRule="auto"/>
        <w:jc w:val="both"/>
        <w:rPr>
          <w:rFonts w:ascii="Helvetica" w:hAnsi="Helvetica"/>
          <w:szCs w:val="24"/>
        </w:rPr>
      </w:pPr>
      <w:r w:rsidRPr="002D32F1">
        <w:rPr>
          <w:rFonts w:ascii="Helvetica" w:hAnsi="Helvetica"/>
          <w:szCs w:val="24"/>
        </w:rPr>
        <w:t>WHY APPRAISAL METHODOLOGY IS WIDENING REGIONAL GAPS</w:t>
      </w:r>
    </w:p>
    <w:p w14:paraId="294A0948" w14:textId="77777777" w:rsidR="00F25052" w:rsidRPr="009B3DDE" w:rsidRDefault="00F25052" w:rsidP="009B3DDE">
      <w:pPr>
        <w:spacing w:line="480" w:lineRule="auto"/>
        <w:jc w:val="both"/>
        <w:rPr>
          <w:rFonts w:ascii="Helvetica" w:hAnsi="Helvetica"/>
          <w:szCs w:val="24"/>
        </w:rPr>
      </w:pPr>
    </w:p>
    <w:p w14:paraId="652154E7" w14:textId="25AC5AD1" w:rsidR="00E9050D" w:rsidRPr="009B3DDE" w:rsidRDefault="00904BD1" w:rsidP="009B3DDE">
      <w:pPr>
        <w:spacing w:line="480" w:lineRule="auto"/>
        <w:jc w:val="both"/>
        <w:rPr>
          <w:rFonts w:ascii="Helvetica" w:hAnsi="Helvetica"/>
          <w:szCs w:val="24"/>
        </w:rPr>
      </w:pPr>
      <w:r w:rsidRPr="009B3DDE">
        <w:rPr>
          <w:rFonts w:ascii="Helvetica" w:hAnsi="Helvetica"/>
          <w:szCs w:val="24"/>
        </w:rPr>
        <w:t xml:space="preserve">CBA is rooted in welfare economics, intended </w:t>
      </w:r>
      <w:r w:rsidR="00F0061B" w:rsidRPr="009B3DDE">
        <w:rPr>
          <w:rFonts w:ascii="Helvetica" w:hAnsi="Helvetica"/>
          <w:szCs w:val="24"/>
        </w:rPr>
        <w:t>as</w:t>
      </w:r>
      <w:r w:rsidRPr="009B3DDE">
        <w:rPr>
          <w:rFonts w:ascii="Helvetica" w:hAnsi="Helvetica"/>
          <w:szCs w:val="24"/>
        </w:rPr>
        <w:t xml:space="preserve"> a quantified, monetary assessment of the </w:t>
      </w:r>
      <w:r w:rsidR="003A50DB" w:rsidRPr="009B3DDE">
        <w:rPr>
          <w:rFonts w:ascii="Helvetica" w:hAnsi="Helvetica"/>
          <w:szCs w:val="24"/>
        </w:rPr>
        <w:t>total</w:t>
      </w:r>
      <w:r w:rsidRPr="009B3DDE">
        <w:rPr>
          <w:rFonts w:ascii="Helvetica" w:hAnsi="Helvetica"/>
          <w:szCs w:val="24"/>
        </w:rPr>
        <w:t xml:space="preserve"> impacts of a project on the lives of those affected over the future lifetime of the investment</w:t>
      </w:r>
      <w:r w:rsidR="003A50DB" w:rsidRPr="009B3DDE">
        <w:rPr>
          <w:rFonts w:ascii="Helvetica" w:hAnsi="Helvetica"/>
          <w:szCs w:val="24"/>
        </w:rPr>
        <w:t xml:space="preserve"> (Laird et al 2014)</w:t>
      </w:r>
      <w:r w:rsidRPr="009B3DDE">
        <w:rPr>
          <w:rFonts w:ascii="Helvetica" w:hAnsi="Helvetica"/>
          <w:szCs w:val="24"/>
        </w:rPr>
        <w:t xml:space="preserve">. </w:t>
      </w:r>
      <w:r w:rsidR="003A50DB" w:rsidRPr="009B3DDE">
        <w:rPr>
          <w:rFonts w:ascii="Helvetica" w:hAnsi="Helvetica"/>
          <w:szCs w:val="24"/>
        </w:rPr>
        <w:t xml:space="preserve">However, in policy usage, it is almost always a means of using scarce public funds as </w:t>
      </w:r>
      <w:r w:rsidR="00C75C3F" w:rsidRPr="009B3DDE">
        <w:rPr>
          <w:rFonts w:ascii="Helvetica" w:hAnsi="Helvetica"/>
          <w:szCs w:val="24"/>
        </w:rPr>
        <w:t xml:space="preserve">effectively </w:t>
      </w:r>
      <w:r w:rsidR="003A50DB" w:rsidRPr="009B3DDE">
        <w:rPr>
          <w:rFonts w:ascii="Helvetica" w:hAnsi="Helvetica"/>
          <w:szCs w:val="24"/>
        </w:rPr>
        <w:t>as possible to deliver higher productivity and economic growth</w:t>
      </w:r>
      <w:r w:rsidR="00035129" w:rsidRPr="009B3DDE">
        <w:rPr>
          <w:rFonts w:ascii="Helvetica" w:hAnsi="Helvetica"/>
          <w:szCs w:val="24"/>
        </w:rPr>
        <w:t xml:space="preserve">, </w:t>
      </w:r>
      <w:r w:rsidR="00A23D92" w:rsidRPr="009B3DDE">
        <w:rPr>
          <w:rFonts w:ascii="Helvetica" w:hAnsi="Helvetica"/>
          <w:szCs w:val="24"/>
        </w:rPr>
        <w:t xml:space="preserve">in effect </w:t>
      </w:r>
      <w:r w:rsidR="00035129" w:rsidRPr="009B3DDE">
        <w:rPr>
          <w:rFonts w:ascii="Helvetica" w:hAnsi="Helvetica"/>
          <w:szCs w:val="24"/>
        </w:rPr>
        <w:t>as a value for money exercise</w:t>
      </w:r>
      <w:r w:rsidR="003A50DB" w:rsidRPr="009B3DDE">
        <w:rPr>
          <w:rFonts w:ascii="Helvetica" w:hAnsi="Helvetica"/>
          <w:szCs w:val="24"/>
        </w:rPr>
        <w:t xml:space="preserve">. ‘Wider’ effects are accepted as important, but maximising social welfare is not the </w:t>
      </w:r>
      <w:r w:rsidR="00C75C3F" w:rsidRPr="009B3DDE">
        <w:rPr>
          <w:rFonts w:ascii="Helvetica" w:hAnsi="Helvetica"/>
          <w:szCs w:val="24"/>
        </w:rPr>
        <w:t xml:space="preserve">true </w:t>
      </w:r>
      <w:r w:rsidR="003A50DB" w:rsidRPr="009B3DDE">
        <w:rPr>
          <w:rFonts w:ascii="Helvetica" w:hAnsi="Helvetica"/>
          <w:szCs w:val="24"/>
        </w:rPr>
        <w:t>aim of the exercise. Rather, it is a matter of comparing options to boost productivity</w:t>
      </w:r>
      <w:r w:rsidR="00A23D92" w:rsidRPr="009B3DDE">
        <w:rPr>
          <w:rFonts w:ascii="Helvetica" w:hAnsi="Helvetica"/>
          <w:szCs w:val="24"/>
        </w:rPr>
        <w:t xml:space="preserve"> </w:t>
      </w:r>
      <w:r w:rsidR="00C75C3F" w:rsidRPr="009B3DDE">
        <w:rPr>
          <w:rFonts w:ascii="Helvetica" w:hAnsi="Helvetica"/>
          <w:szCs w:val="24"/>
        </w:rPr>
        <w:t>given scarce funding</w:t>
      </w:r>
      <w:r w:rsidR="003A50DB" w:rsidRPr="009B3DDE">
        <w:rPr>
          <w:rFonts w:ascii="Helvetica" w:hAnsi="Helvetica"/>
          <w:szCs w:val="24"/>
        </w:rPr>
        <w:t xml:space="preserve">, while taking </w:t>
      </w:r>
      <w:r w:rsidR="005A092F" w:rsidRPr="009B3DDE">
        <w:rPr>
          <w:rFonts w:ascii="Helvetica" w:hAnsi="Helvetica"/>
          <w:szCs w:val="24"/>
        </w:rPr>
        <w:t xml:space="preserve">into </w:t>
      </w:r>
      <w:r w:rsidR="003A50DB" w:rsidRPr="009B3DDE">
        <w:rPr>
          <w:rFonts w:ascii="Helvetica" w:hAnsi="Helvetica"/>
          <w:szCs w:val="24"/>
        </w:rPr>
        <w:t xml:space="preserve">account </w:t>
      </w:r>
      <w:r w:rsidR="00035129" w:rsidRPr="009B3DDE">
        <w:rPr>
          <w:rFonts w:ascii="Helvetica" w:hAnsi="Helvetica"/>
          <w:szCs w:val="24"/>
        </w:rPr>
        <w:t xml:space="preserve">as far as possible </w:t>
      </w:r>
      <w:r w:rsidR="003A50DB" w:rsidRPr="009B3DDE">
        <w:rPr>
          <w:rFonts w:ascii="Helvetica" w:hAnsi="Helvetica"/>
          <w:szCs w:val="24"/>
        </w:rPr>
        <w:t xml:space="preserve">the externalities involved in those options. </w:t>
      </w:r>
      <w:r w:rsidR="00C75C3F" w:rsidRPr="009B3DDE">
        <w:rPr>
          <w:rFonts w:ascii="Helvetica" w:hAnsi="Helvetica"/>
          <w:szCs w:val="24"/>
        </w:rPr>
        <w:t>The extended scope of the consideration of externalities set out in the latest Green Book revision in fact serves to highlight the limitations of the CBA methodology, as it acknowledges some social welfare considerations such as environmental externalities without acknowledging the bigger limitation of applying CBA to significant investments.</w:t>
      </w:r>
    </w:p>
    <w:p w14:paraId="1852DC7C" w14:textId="77777777" w:rsidR="00F25052" w:rsidRPr="009B3DDE" w:rsidRDefault="00F25052" w:rsidP="009B3DDE">
      <w:pPr>
        <w:spacing w:line="480" w:lineRule="auto"/>
        <w:jc w:val="both"/>
        <w:rPr>
          <w:rFonts w:ascii="Helvetica" w:hAnsi="Helvetica"/>
          <w:szCs w:val="24"/>
        </w:rPr>
      </w:pPr>
    </w:p>
    <w:p w14:paraId="497413FF" w14:textId="5F477049" w:rsidR="007F2D0B" w:rsidRPr="009B3DDE" w:rsidRDefault="0044521A" w:rsidP="009B3DDE">
      <w:pPr>
        <w:spacing w:line="480" w:lineRule="auto"/>
        <w:jc w:val="both"/>
        <w:rPr>
          <w:rFonts w:ascii="Helvetica" w:hAnsi="Helvetica"/>
          <w:szCs w:val="24"/>
        </w:rPr>
      </w:pPr>
      <w:r w:rsidRPr="009B3DDE">
        <w:rPr>
          <w:rFonts w:ascii="Helvetica" w:hAnsi="Helvetica"/>
          <w:szCs w:val="24"/>
        </w:rPr>
        <w:t xml:space="preserve">The problem lies in the character of the CBA technique, which is a calculation of the discounted net social benefit under the often-reasonable assumption that the project is marginal. In other words, it assumes that the project being appraised does not change either relevant relative prices or the growth rate of </w:t>
      </w:r>
      <w:r w:rsidRPr="009B3DDE">
        <w:rPr>
          <w:rFonts w:ascii="Helvetica" w:hAnsi="Helvetica"/>
          <w:szCs w:val="24"/>
        </w:rPr>
        <w:lastRenderedPageBreak/>
        <w:t>consumption</w:t>
      </w:r>
      <w:r w:rsidR="005C3706" w:rsidRPr="009B3DDE">
        <w:rPr>
          <w:rFonts w:ascii="Helvetica" w:hAnsi="Helvetica"/>
          <w:szCs w:val="24"/>
        </w:rPr>
        <w:t>.</w:t>
      </w:r>
      <w:r w:rsidRPr="009B3DDE">
        <w:rPr>
          <w:rFonts w:ascii="Helvetica" w:hAnsi="Helvetica"/>
          <w:szCs w:val="24"/>
        </w:rPr>
        <w:t xml:space="preserve"> Dietz and Hepburn (2013) have shown that where the range of net benefits could be a significant share of aggregate consumption, “It is possible for marginal C</w:t>
      </w:r>
      <w:r w:rsidR="003C658F" w:rsidRPr="009B3DDE">
        <w:rPr>
          <w:rFonts w:ascii="Helvetica" w:hAnsi="Helvetica"/>
          <w:szCs w:val="24"/>
        </w:rPr>
        <w:t>B</w:t>
      </w:r>
      <w:r w:rsidRPr="009B3DDE">
        <w:rPr>
          <w:rFonts w:ascii="Helvetica" w:hAnsi="Helvetica"/>
          <w:szCs w:val="24"/>
        </w:rPr>
        <w:t xml:space="preserve">A to provide both qualitatively and quantitatively incorrect guidance, by ignoring the impacts of projects on the underlying economic growth path.” (p62). </w:t>
      </w:r>
      <w:r w:rsidR="002B7922" w:rsidRPr="009B3DDE">
        <w:rPr>
          <w:rFonts w:ascii="Helvetica" w:hAnsi="Helvetica"/>
          <w:szCs w:val="24"/>
        </w:rPr>
        <w:t xml:space="preserve">In other words, CBA is least likely to be valid for projects big enough to affect future economic outcomes, and could be positively misleading. </w:t>
      </w:r>
      <w:r w:rsidR="007F2D0B" w:rsidRPr="009B3DDE">
        <w:rPr>
          <w:rFonts w:ascii="Helvetica" w:hAnsi="Helvetica"/>
          <w:szCs w:val="24"/>
        </w:rPr>
        <w:t>Note that ‘big enough’ is not simply a matter of scale, as some costly investments (such as improvements to London’s already dense public transport network) may be incremental in their specific context, and vice versa. The issue is whether the economic impacts are genuinely marginal.</w:t>
      </w:r>
    </w:p>
    <w:p w14:paraId="1F5D90A7" w14:textId="77777777" w:rsidR="007F2D0B" w:rsidRPr="009B3DDE" w:rsidRDefault="007F2D0B" w:rsidP="009B3DDE">
      <w:pPr>
        <w:spacing w:line="480" w:lineRule="auto"/>
        <w:jc w:val="both"/>
        <w:rPr>
          <w:rFonts w:ascii="Helvetica" w:hAnsi="Helvetica"/>
          <w:szCs w:val="24"/>
        </w:rPr>
      </w:pPr>
    </w:p>
    <w:p w14:paraId="56F9D5B5" w14:textId="77777777" w:rsidR="00C75C3F" w:rsidRPr="009B3DDE" w:rsidRDefault="00CB512A" w:rsidP="009B3DDE">
      <w:pPr>
        <w:spacing w:line="480" w:lineRule="auto"/>
        <w:jc w:val="both"/>
        <w:rPr>
          <w:rFonts w:ascii="Helvetica" w:hAnsi="Helvetica"/>
          <w:szCs w:val="24"/>
        </w:rPr>
      </w:pPr>
      <w:r w:rsidRPr="009B3DDE">
        <w:rPr>
          <w:rFonts w:ascii="Helvetica" w:hAnsi="Helvetica"/>
          <w:szCs w:val="24"/>
        </w:rPr>
        <w:t>There</w:t>
      </w:r>
      <w:r w:rsidR="0044521A" w:rsidRPr="009B3DDE">
        <w:rPr>
          <w:rFonts w:ascii="Helvetica" w:hAnsi="Helvetica"/>
          <w:szCs w:val="24"/>
        </w:rPr>
        <w:t xml:space="preserve"> has been some recognition of this in the literature. Little and </w:t>
      </w:r>
      <w:proofErr w:type="spellStart"/>
      <w:r w:rsidR="0044521A" w:rsidRPr="009B3DDE">
        <w:rPr>
          <w:rFonts w:ascii="Helvetica" w:hAnsi="Helvetica"/>
          <w:szCs w:val="24"/>
        </w:rPr>
        <w:t>Mirrlees</w:t>
      </w:r>
      <w:proofErr w:type="spellEnd"/>
      <w:r w:rsidR="0044521A" w:rsidRPr="009B3DDE">
        <w:rPr>
          <w:rFonts w:ascii="Helvetica" w:hAnsi="Helvetica"/>
          <w:szCs w:val="24"/>
        </w:rPr>
        <w:t xml:space="preserve"> (1974) wrote, “We must know where the economy ought to be going … before we can decide how it ought to start,” but even though their textbook acknowledged that the inter</w:t>
      </w:r>
      <w:r w:rsidR="002B7922" w:rsidRPr="009B3DDE">
        <w:rPr>
          <w:rFonts w:ascii="Helvetica" w:hAnsi="Helvetica"/>
          <w:szCs w:val="24"/>
        </w:rPr>
        <w:t>-</w:t>
      </w:r>
      <w:r w:rsidR="0044521A" w:rsidRPr="009B3DDE">
        <w:rPr>
          <w:rFonts w:ascii="Helvetica" w:hAnsi="Helvetica"/>
          <w:szCs w:val="24"/>
        </w:rPr>
        <w:t>temporal profile of economic growth would affect project valuations, they did not consider how investment projects might themselves alter that inter</w:t>
      </w:r>
      <w:r w:rsidR="00D17929" w:rsidRPr="009B3DDE">
        <w:rPr>
          <w:rFonts w:ascii="Helvetica" w:hAnsi="Helvetica"/>
          <w:szCs w:val="24"/>
        </w:rPr>
        <w:t>-</w:t>
      </w:r>
      <w:r w:rsidR="0044521A" w:rsidRPr="009B3DDE">
        <w:rPr>
          <w:rFonts w:ascii="Helvetica" w:hAnsi="Helvetica"/>
          <w:szCs w:val="24"/>
        </w:rPr>
        <w:t xml:space="preserve">temporal output profile. </w:t>
      </w:r>
      <w:r w:rsidR="00035129" w:rsidRPr="009B3DDE">
        <w:rPr>
          <w:rFonts w:ascii="Helvetica" w:hAnsi="Helvetica"/>
          <w:szCs w:val="24"/>
        </w:rPr>
        <w:t>As well as the time profile</w:t>
      </w:r>
      <w:r w:rsidR="0044521A" w:rsidRPr="009B3DDE">
        <w:rPr>
          <w:rFonts w:ascii="Helvetica" w:hAnsi="Helvetica"/>
          <w:szCs w:val="24"/>
        </w:rPr>
        <w:t xml:space="preserve">, </w:t>
      </w:r>
      <w:r w:rsidRPr="009B3DDE">
        <w:rPr>
          <w:rFonts w:ascii="Helvetica" w:hAnsi="Helvetica"/>
          <w:szCs w:val="24"/>
        </w:rPr>
        <w:t>the spatial profile can also be altered</w:t>
      </w:r>
      <w:r w:rsidR="00035129" w:rsidRPr="009B3DDE">
        <w:rPr>
          <w:rFonts w:ascii="Helvetica" w:hAnsi="Helvetica"/>
          <w:szCs w:val="24"/>
        </w:rPr>
        <w:t>, with the same reasoning applying</w:t>
      </w:r>
      <w:r w:rsidRPr="009B3DDE">
        <w:rPr>
          <w:rFonts w:ascii="Helvetica" w:hAnsi="Helvetica"/>
          <w:szCs w:val="24"/>
        </w:rPr>
        <w:t xml:space="preserve">. </w:t>
      </w:r>
    </w:p>
    <w:p w14:paraId="1163EFBC" w14:textId="77777777" w:rsidR="00C75C3F" w:rsidRPr="009B3DDE" w:rsidRDefault="00C75C3F" w:rsidP="009B3DDE">
      <w:pPr>
        <w:spacing w:line="480" w:lineRule="auto"/>
        <w:jc w:val="both"/>
        <w:rPr>
          <w:rFonts w:ascii="Helvetica" w:hAnsi="Helvetica"/>
          <w:szCs w:val="24"/>
        </w:rPr>
      </w:pPr>
    </w:p>
    <w:p w14:paraId="1D4DF2A1" w14:textId="1B87A730" w:rsidR="00A23D92" w:rsidRPr="009B3DDE" w:rsidRDefault="00CB512A" w:rsidP="009B3DDE">
      <w:pPr>
        <w:spacing w:line="480" w:lineRule="auto"/>
        <w:jc w:val="both"/>
        <w:rPr>
          <w:rFonts w:ascii="Helvetica" w:hAnsi="Helvetica"/>
          <w:szCs w:val="24"/>
        </w:rPr>
      </w:pPr>
      <w:r w:rsidRPr="009B3DDE">
        <w:rPr>
          <w:rFonts w:ascii="Helvetica" w:hAnsi="Helvetica"/>
          <w:szCs w:val="24"/>
        </w:rPr>
        <w:t>The error involved in the linear approximation estimating net social benefit is likely to be large when the curvature of the utility function is sufficiently high.</w:t>
      </w:r>
      <w:r w:rsidR="004561D5" w:rsidRPr="009B3DDE">
        <w:rPr>
          <w:rStyle w:val="EndnoteReference"/>
          <w:rFonts w:ascii="Helvetica" w:hAnsi="Helvetica"/>
          <w:szCs w:val="24"/>
        </w:rPr>
        <w:endnoteReference w:id="9"/>
      </w:r>
      <w:r w:rsidR="004561D5" w:rsidRPr="009B3DDE">
        <w:rPr>
          <w:rFonts w:ascii="Helvetica" w:hAnsi="Helvetica"/>
          <w:szCs w:val="24"/>
        </w:rPr>
        <w:t xml:space="preserve"> </w:t>
      </w:r>
      <w:r w:rsidRPr="009B3DDE">
        <w:rPr>
          <w:rFonts w:ascii="Helvetica" w:hAnsi="Helvetica"/>
          <w:szCs w:val="24"/>
        </w:rPr>
        <w:t>This could be the case when in addition to inter-temporal considerations, there is an aversion to regional inequality (Atkinson 2009).</w:t>
      </w:r>
      <w:r w:rsidR="00A23D92" w:rsidRPr="009B3DDE">
        <w:rPr>
          <w:rFonts w:ascii="Helvetica" w:hAnsi="Helvetica"/>
          <w:szCs w:val="24"/>
        </w:rPr>
        <w:t xml:space="preserve"> In addition to the inappropriate use of CBA in contexts where non-marginal changes might be </w:t>
      </w:r>
      <w:r w:rsidR="00A23D92" w:rsidRPr="009B3DDE">
        <w:rPr>
          <w:rFonts w:ascii="Helvetica" w:hAnsi="Helvetica"/>
          <w:szCs w:val="24"/>
        </w:rPr>
        <w:lastRenderedPageBreak/>
        <w:t>expected, such as major infrastructure projects, the UK methodology for transport as already noted reinforces the dynamics of agglomeration, for example through scoring the economic benefits of related developments, which are more valuable where land values are highest.</w:t>
      </w:r>
      <w:r w:rsidR="007B53D4" w:rsidRPr="009B3DDE">
        <w:rPr>
          <w:rFonts w:ascii="Helvetica" w:hAnsi="Helvetica"/>
          <w:szCs w:val="24"/>
        </w:rPr>
        <w:t xml:space="preserve"> Sen, Stiglitz and </w:t>
      </w:r>
      <w:proofErr w:type="spellStart"/>
      <w:r w:rsidR="007B53D4" w:rsidRPr="009B3DDE">
        <w:rPr>
          <w:rFonts w:ascii="Helvetica" w:hAnsi="Helvetica"/>
          <w:szCs w:val="24"/>
        </w:rPr>
        <w:t>Fitoussi</w:t>
      </w:r>
      <w:proofErr w:type="spellEnd"/>
      <w:r w:rsidR="007B53D4" w:rsidRPr="009B3DDE">
        <w:rPr>
          <w:rFonts w:ascii="Helvetica" w:hAnsi="Helvetica"/>
          <w:szCs w:val="24"/>
        </w:rPr>
        <w:t xml:space="preserve"> (2009, p154) also note the bias in CBA toward the rich, and the need for equity criteria to feature in political decisions before the technocratic cost-benefit techniques are deployed.</w:t>
      </w:r>
    </w:p>
    <w:p w14:paraId="3DE145E8" w14:textId="77777777" w:rsidR="00F25052" w:rsidRPr="009B3DDE" w:rsidRDefault="00F25052" w:rsidP="009B3DDE">
      <w:pPr>
        <w:spacing w:line="480" w:lineRule="auto"/>
        <w:jc w:val="both"/>
        <w:rPr>
          <w:rFonts w:ascii="Helvetica" w:hAnsi="Helvetica"/>
          <w:szCs w:val="24"/>
        </w:rPr>
      </w:pPr>
    </w:p>
    <w:p w14:paraId="40001872" w14:textId="7E51570D" w:rsidR="003A50DB" w:rsidRPr="009B3DDE" w:rsidRDefault="003A50DB" w:rsidP="009B3DDE">
      <w:pPr>
        <w:spacing w:line="480" w:lineRule="auto"/>
        <w:jc w:val="both"/>
        <w:rPr>
          <w:rFonts w:ascii="Helvetica" w:hAnsi="Helvetica"/>
          <w:szCs w:val="24"/>
        </w:rPr>
      </w:pPr>
      <w:r w:rsidRPr="009B3DDE">
        <w:rPr>
          <w:rFonts w:ascii="Helvetica" w:hAnsi="Helvetica"/>
          <w:szCs w:val="24"/>
        </w:rPr>
        <w:t xml:space="preserve">Although the new Green Book </w:t>
      </w:r>
      <w:r w:rsidR="00A23D92" w:rsidRPr="009B3DDE">
        <w:rPr>
          <w:rFonts w:ascii="Helvetica" w:hAnsi="Helvetica"/>
          <w:szCs w:val="24"/>
        </w:rPr>
        <w:t xml:space="preserve">and Rebalancing Toolkit </w:t>
      </w:r>
      <w:r w:rsidRPr="009B3DDE">
        <w:rPr>
          <w:rFonts w:ascii="Helvetica" w:hAnsi="Helvetica"/>
          <w:szCs w:val="24"/>
        </w:rPr>
        <w:t xml:space="preserve">will lead to </w:t>
      </w:r>
      <w:r w:rsidR="008D7EE2" w:rsidRPr="009B3DDE">
        <w:rPr>
          <w:rFonts w:ascii="Helvetica" w:hAnsi="Helvetica"/>
          <w:szCs w:val="24"/>
        </w:rPr>
        <w:t>some scope for</w:t>
      </w:r>
      <w:r w:rsidRPr="009B3DDE">
        <w:rPr>
          <w:rFonts w:ascii="Helvetica" w:hAnsi="Helvetica"/>
          <w:szCs w:val="24"/>
        </w:rPr>
        <w:t xml:space="preserve"> appraisals </w:t>
      </w:r>
      <w:r w:rsidR="008D7EE2" w:rsidRPr="009B3DDE">
        <w:rPr>
          <w:rFonts w:ascii="Helvetica" w:hAnsi="Helvetica"/>
          <w:szCs w:val="24"/>
        </w:rPr>
        <w:t xml:space="preserve">to </w:t>
      </w:r>
      <w:r w:rsidR="00A23D92" w:rsidRPr="009B3DDE">
        <w:rPr>
          <w:rFonts w:ascii="Helvetica" w:hAnsi="Helvetica"/>
          <w:szCs w:val="24"/>
        </w:rPr>
        <w:t xml:space="preserve">give more weight to </w:t>
      </w:r>
      <w:r w:rsidR="008D7EE2" w:rsidRPr="009B3DDE">
        <w:rPr>
          <w:rFonts w:ascii="Helvetica" w:hAnsi="Helvetica"/>
          <w:szCs w:val="24"/>
        </w:rPr>
        <w:t xml:space="preserve">currently lower productivity places </w:t>
      </w:r>
      <w:r w:rsidRPr="009B3DDE">
        <w:rPr>
          <w:rFonts w:ascii="Helvetica" w:hAnsi="Helvetica"/>
          <w:szCs w:val="24"/>
        </w:rPr>
        <w:t xml:space="preserve">within the current </w:t>
      </w:r>
      <w:r w:rsidR="00CB512A" w:rsidRPr="009B3DDE">
        <w:rPr>
          <w:rFonts w:ascii="Helvetica" w:hAnsi="Helvetica"/>
          <w:szCs w:val="24"/>
        </w:rPr>
        <w:t xml:space="preserve">appraisal </w:t>
      </w:r>
      <w:r w:rsidRPr="009B3DDE">
        <w:rPr>
          <w:rFonts w:ascii="Helvetica" w:hAnsi="Helvetica"/>
          <w:szCs w:val="24"/>
        </w:rPr>
        <w:t>framework, the</w:t>
      </w:r>
      <w:r w:rsidR="00A23D92" w:rsidRPr="009B3DDE">
        <w:rPr>
          <w:rFonts w:ascii="Helvetica" w:hAnsi="Helvetica"/>
          <w:szCs w:val="24"/>
        </w:rPr>
        <w:t xml:space="preserve"> emphasis on agglomeration efficiencies means the</w:t>
      </w:r>
      <w:r w:rsidRPr="009B3DDE">
        <w:rPr>
          <w:rFonts w:ascii="Helvetica" w:hAnsi="Helvetica"/>
          <w:szCs w:val="24"/>
        </w:rPr>
        <w:t xml:space="preserve"> Matthew Effect will continue to operate, exacerbating the UK’s regional imbalance, until </w:t>
      </w:r>
      <w:r w:rsidR="00CB512A" w:rsidRPr="009B3DDE">
        <w:rPr>
          <w:rFonts w:ascii="Helvetica" w:hAnsi="Helvetica"/>
          <w:szCs w:val="24"/>
        </w:rPr>
        <w:t>investment decisions</w:t>
      </w:r>
      <w:r w:rsidRPr="009B3DDE">
        <w:rPr>
          <w:rFonts w:ascii="Helvetica" w:hAnsi="Helvetica"/>
          <w:szCs w:val="24"/>
        </w:rPr>
        <w:t xml:space="preserve"> are set in the framework of a strategic view of </w:t>
      </w:r>
      <w:r w:rsidR="00CB512A" w:rsidRPr="009B3DDE">
        <w:rPr>
          <w:rFonts w:ascii="Helvetica" w:hAnsi="Helvetica"/>
          <w:szCs w:val="24"/>
        </w:rPr>
        <w:t>economic development</w:t>
      </w:r>
      <w:r w:rsidR="00A23D92" w:rsidRPr="009B3DDE">
        <w:rPr>
          <w:rFonts w:ascii="Helvetica" w:hAnsi="Helvetica"/>
          <w:szCs w:val="24"/>
        </w:rPr>
        <w:t>, including spatial development</w:t>
      </w:r>
      <w:r w:rsidR="00CB512A" w:rsidRPr="009B3DDE">
        <w:rPr>
          <w:rFonts w:ascii="Helvetica" w:hAnsi="Helvetica"/>
          <w:szCs w:val="24"/>
        </w:rPr>
        <w:t xml:space="preserve">. A true social welfare assessment of non-marginal infrastructure investments is not possible without knowing where the economy </w:t>
      </w:r>
      <w:r w:rsidR="00035129" w:rsidRPr="009B3DDE">
        <w:rPr>
          <w:rFonts w:ascii="Helvetica" w:hAnsi="Helvetica"/>
          <w:szCs w:val="24"/>
        </w:rPr>
        <w:t>‘</w:t>
      </w:r>
      <w:r w:rsidR="00CB512A" w:rsidRPr="009B3DDE">
        <w:rPr>
          <w:rFonts w:ascii="Helvetica" w:hAnsi="Helvetica"/>
          <w:szCs w:val="24"/>
        </w:rPr>
        <w:t>ought to be going</w:t>
      </w:r>
      <w:r w:rsidR="00035129" w:rsidRPr="009B3DDE">
        <w:rPr>
          <w:rFonts w:ascii="Helvetica" w:hAnsi="Helvetica"/>
          <w:szCs w:val="24"/>
        </w:rPr>
        <w:t>’</w:t>
      </w:r>
      <w:r w:rsidR="00CB512A" w:rsidRPr="009B3DDE">
        <w:rPr>
          <w:rFonts w:ascii="Helvetica" w:hAnsi="Helvetica"/>
          <w:szCs w:val="24"/>
        </w:rPr>
        <w:t>; the social welfare function is not a given, but is something on which decision makers can take a view and can affect with major investments.</w:t>
      </w:r>
    </w:p>
    <w:p w14:paraId="0643AC5A" w14:textId="77777777" w:rsidR="00F25052" w:rsidRPr="009B3DDE" w:rsidRDefault="00F25052" w:rsidP="009B3DDE">
      <w:pPr>
        <w:spacing w:line="480" w:lineRule="auto"/>
        <w:jc w:val="both"/>
        <w:rPr>
          <w:rFonts w:ascii="Helvetica" w:hAnsi="Helvetica"/>
          <w:szCs w:val="24"/>
        </w:rPr>
      </w:pPr>
    </w:p>
    <w:p w14:paraId="0E273D40" w14:textId="51AAE44C" w:rsidR="00C84415" w:rsidRPr="009B3DDE" w:rsidRDefault="00C574BE" w:rsidP="009B3DDE">
      <w:pPr>
        <w:spacing w:line="480" w:lineRule="auto"/>
        <w:jc w:val="both"/>
        <w:rPr>
          <w:rFonts w:ascii="Helvetica" w:hAnsi="Helvetica"/>
          <w:szCs w:val="24"/>
        </w:rPr>
      </w:pPr>
      <w:r w:rsidRPr="009B3DDE">
        <w:rPr>
          <w:rFonts w:ascii="Helvetica" w:hAnsi="Helvetica"/>
          <w:szCs w:val="24"/>
        </w:rPr>
        <w:t>Th</w:t>
      </w:r>
      <w:r w:rsidR="00035129" w:rsidRPr="009B3DDE">
        <w:rPr>
          <w:rFonts w:ascii="Helvetica" w:hAnsi="Helvetica"/>
          <w:szCs w:val="24"/>
        </w:rPr>
        <w:t>e Green Book</w:t>
      </w:r>
      <w:r w:rsidR="00E9050D" w:rsidRPr="009B3DDE">
        <w:rPr>
          <w:rFonts w:ascii="Helvetica" w:hAnsi="Helvetica"/>
          <w:szCs w:val="24"/>
        </w:rPr>
        <w:t xml:space="preserve"> approach to valuing benefits </w:t>
      </w:r>
      <w:r w:rsidRPr="009B3DDE">
        <w:rPr>
          <w:rFonts w:ascii="Helvetica" w:hAnsi="Helvetica"/>
          <w:szCs w:val="24"/>
        </w:rPr>
        <w:t>based on current productivity</w:t>
      </w:r>
      <w:r w:rsidR="00E9050D" w:rsidRPr="009B3DDE">
        <w:rPr>
          <w:rFonts w:ascii="Helvetica" w:hAnsi="Helvetica"/>
          <w:szCs w:val="24"/>
        </w:rPr>
        <w:t xml:space="preserve"> has been strongly criticized by Metz (2016). Pointing to evidence from the National Travel Survey, he notes that daily travel time has stayed roughly constant at about an hour since 1970, which </w:t>
      </w:r>
      <w:r w:rsidR="00035129" w:rsidRPr="009B3DDE">
        <w:rPr>
          <w:rFonts w:ascii="Helvetica" w:hAnsi="Helvetica"/>
          <w:szCs w:val="24"/>
        </w:rPr>
        <w:t xml:space="preserve">suggests </w:t>
      </w:r>
      <w:r w:rsidR="00E9050D" w:rsidRPr="009B3DDE">
        <w:rPr>
          <w:rFonts w:ascii="Helvetica" w:hAnsi="Helvetica"/>
          <w:szCs w:val="24"/>
        </w:rPr>
        <w:t xml:space="preserve">that transport investment does not save time, but rather </w:t>
      </w:r>
      <w:r w:rsidR="0028394D" w:rsidRPr="009B3DDE">
        <w:rPr>
          <w:rFonts w:ascii="Helvetica" w:hAnsi="Helvetica"/>
          <w:szCs w:val="24"/>
        </w:rPr>
        <w:t xml:space="preserve">should be considered in terms of </w:t>
      </w:r>
      <w:r w:rsidR="0028394D" w:rsidRPr="009B3DDE">
        <w:rPr>
          <w:rFonts w:ascii="Helvetica" w:hAnsi="Helvetica"/>
          <w:szCs w:val="24"/>
        </w:rPr>
        <w:lastRenderedPageBreak/>
        <w:t xml:space="preserve">the scope for </w:t>
      </w:r>
      <w:r w:rsidR="00E9050D" w:rsidRPr="009B3DDE">
        <w:rPr>
          <w:rFonts w:ascii="Helvetica" w:hAnsi="Helvetica"/>
          <w:szCs w:val="24"/>
        </w:rPr>
        <w:t xml:space="preserve">increases </w:t>
      </w:r>
      <w:r w:rsidR="0028394D" w:rsidRPr="009B3DDE">
        <w:rPr>
          <w:rFonts w:ascii="Helvetica" w:hAnsi="Helvetica"/>
          <w:szCs w:val="24"/>
        </w:rPr>
        <w:t xml:space="preserve">in economic </w:t>
      </w:r>
      <w:r w:rsidR="00E9050D" w:rsidRPr="009B3DDE">
        <w:rPr>
          <w:rFonts w:ascii="Helvetica" w:hAnsi="Helvetica"/>
          <w:szCs w:val="24"/>
        </w:rPr>
        <w:t>opportunities.</w:t>
      </w:r>
      <w:r w:rsidRPr="009B3DDE">
        <w:rPr>
          <w:rFonts w:ascii="Helvetica" w:hAnsi="Helvetica"/>
          <w:szCs w:val="24"/>
        </w:rPr>
        <w:t xml:space="preserve"> In other words, in practice there is </w:t>
      </w:r>
      <w:r w:rsidR="00035129" w:rsidRPr="009B3DDE">
        <w:rPr>
          <w:rFonts w:ascii="Helvetica" w:hAnsi="Helvetica"/>
          <w:szCs w:val="24"/>
        </w:rPr>
        <w:t>little</w:t>
      </w:r>
      <w:r w:rsidRPr="009B3DDE">
        <w:rPr>
          <w:rFonts w:ascii="Helvetica" w:hAnsi="Helvetica"/>
          <w:szCs w:val="24"/>
        </w:rPr>
        <w:t xml:space="preserve"> travel time saved from transport projects</w:t>
      </w:r>
      <w:r w:rsidR="009358AF" w:rsidRPr="009B3DDE">
        <w:rPr>
          <w:rFonts w:ascii="Helvetica" w:hAnsi="Helvetica"/>
          <w:szCs w:val="24"/>
        </w:rPr>
        <w:t>, undermining the rationale for using time savings as part of the project appraisal method</w:t>
      </w:r>
      <w:r w:rsidRPr="009B3DDE">
        <w:rPr>
          <w:rFonts w:ascii="Helvetica" w:hAnsi="Helvetica"/>
          <w:szCs w:val="24"/>
        </w:rPr>
        <w:t xml:space="preserve">. He </w:t>
      </w:r>
      <w:r w:rsidR="00035129" w:rsidRPr="009B3DDE">
        <w:rPr>
          <w:rFonts w:ascii="Helvetica" w:hAnsi="Helvetica"/>
          <w:szCs w:val="24"/>
        </w:rPr>
        <w:t>concludes</w:t>
      </w:r>
      <w:r w:rsidRPr="009B3DDE">
        <w:rPr>
          <w:rFonts w:ascii="Helvetica" w:hAnsi="Helvetica"/>
          <w:szCs w:val="24"/>
        </w:rPr>
        <w:t>: “You cannot build your way out of congestion.” The Eddington rationale of aiming to ease congestion in high productivity, over-heating places (London) as a means of removing bottleneck</w:t>
      </w:r>
      <w:r w:rsidR="009358AF" w:rsidRPr="009B3DDE">
        <w:rPr>
          <w:rFonts w:ascii="Helvetica" w:hAnsi="Helvetica"/>
          <w:szCs w:val="24"/>
        </w:rPr>
        <w:t>s</w:t>
      </w:r>
      <w:r w:rsidRPr="009B3DDE">
        <w:rPr>
          <w:rFonts w:ascii="Helvetica" w:hAnsi="Helvetica"/>
          <w:szCs w:val="24"/>
        </w:rPr>
        <w:t xml:space="preserve"> on still more productivity growth </w:t>
      </w:r>
      <w:r w:rsidR="009358AF" w:rsidRPr="009B3DDE">
        <w:rPr>
          <w:rFonts w:ascii="Helvetica" w:hAnsi="Helvetica"/>
          <w:szCs w:val="24"/>
        </w:rPr>
        <w:t xml:space="preserve">there </w:t>
      </w:r>
      <w:r w:rsidRPr="009B3DDE">
        <w:rPr>
          <w:rFonts w:ascii="Helvetica" w:hAnsi="Helvetica"/>
          <w:szCs w:val="24"/>
        </w:rPr>
        <w:t xml:space="preserve">is therefore </w:t>
      </w:r>
      <w:r w:rsidR="00035129" w:rsidRPr="009B3DDE">
        <w:rPr>
          <w:rFonts w:ascii="Helvetica" w:hAnsi="Helvetica"/>
          <w:szCs w:val="24"/>
        </w:rPr>
        <w:t>bound to fail</w:t>
      </w:r>
      <w:r w:rsidRPr="009B3DDE">
        <w:rPr>
          <w:rFonts w:ascii="Helvetica" w:hAnsi="Helvetica"/>
          <w:szCs w:val="24"/>
        </w:rPr>
        <w:t xml:space="preserve">. Metz </w:t>
      </w:r>
      <w:r w:rsidR="00E9050D" w:rsidRPr="009B3DDE">
        <w:rPr>
          <w:rFonts w:ascii="Helvetica" w:hAnsi="Helvetica"/>
          <w:szCs w:val="24"/>
        </w:rPr>
        <w:t xml:space="preserve">advocates </w:t>
      </w:r>
      <w:r w:rsidRPr="009B3DDE">
        <w:rPr>
          <w:rFonts w:ascii="Helvetica" w:hAnsi="Helvetica"/>
          <w:szCs w:val="24"/>
        </w:rPr>
        <w:t>considering instead</w:t>
      </w:r>
      <w:r w:rsidR="00E9050D" w:rsidRPr="009B3DDE">
        <w:rPr>
          <w:rFonts w:ascii="Helvetica" w:hAnsi="Helvetica"/>
          <w:szCs w:val="24"/>
        </w:rPr>
        <w:t xml:space="preserve"> </w:t>
      </w:r>
      <w:r w:rsidR="00035129" w:rsidRPr="009B3DDE">
        <w:rPr>
          <w:rFonts w:ascii="Helvetica" w:hAnsi="Helvetica"/>
          <w:szCs w:val="24"/>
        </w:rPr>
        <w:t xml:space="preserve">that </w:t>
      </w:r>
      <w:r w:rsidR="00E9050D" w:rsidRPr="009B3DDE">
        <w:rPr>
          <w:rFonts w:ascii="Helvetica" w:hAnsi="Helvetica"/>
          <w:szCs w:val="24"/>
        </w:rPr>
        <w:t xml:space="preserve">land and property values are often increased by transport projects, and would be a more direct sign of successful economic development in a specific location than the </w:t>
      </w:r>
      <w:r w:rsidR="00035129" w:rsidRPr="009B3DDE">
        <w:rPr>
          <w:rFonts w:ascii="Helvetica" w:hAnsi="Helvetica"/>
          <w:szCs w:val="24"/>
        </w:rPr>
        <w:t xml:space="preserve">projected </w:t>
      </w:r>
      <w:r w:rsidR="00E9050D" w:rsidRPr="009B3DDE">
        <w:rPr>
          <w:rFonts w:ascii="Helvetica" w:hAnsi="Helvetica"/>
          <w:szCs w:val="24"/>
        </w:rPr>
        <w:t>value of time saved by travellers.</w:t>
      </w:r>
      <w:r w:rsidR="00C84415" w:rsidRPr="009B3DDE">
        <w:rPr>
          <w:rStyle w:val="EndnoteReference"/>
          <w:rFonts w:ascii="Helvetica" w:hAnsi="Helvetica"/>
          <w:szCs w:val="24"/>
        </w:rPr>
        <w:endnoteReference w:id="10"/>
      </w:r>
    </w:p>
    <w:p w14:paraId="1265723B" w14:textId="77777777" w:rsidR="00E9050D" w:rsidRPr="009B3DDE" w:rsidRDefault="00E9050D" w:rsidP="009B3DDE">
      <w:pPr>
        <w:spacing w:line="480" w:lineRule="auto"/>
        <w:jc w:val="both"/>
        <w:rPr>
          <w:rFonts w:ascii="Helvetica" w:hAnsi="Helvetica"/>
          <w:szCs w:val="24"/>
        </w:rPr>
      </w:pPr>
    </w:p>
    <w:p w14:paraId="58DBFAD4" w14:textId="4C383291" w:rsidR="00E9050D" w:rsidRPr="009B3DDE" w:rsidRDefault="00E9050D" w:rsidP="009B3DDE">
      <w:pPr>
        <w:spacing w:line="480" w:lineRule="auto"/>
        <w:ind w:left="720"/>
        <w:jc w:val="both"/>
        <w:rPr>
          <w:rFonts w:ascii="Helvetica" w:hAnsi="Helvetica"/>
          <w:szCs w:val="24"/>
        </w:rPr>
      </w:pPr>
      <w:r w:rsidRPr="009B3DDE">
        <w:rPr>
          <w:rFonts w:ascii="Helvetica" w:hAnsi="Helvetica"/>
          <w:szCs w:val="24"/>
        </w:rPr>
        <w:t>“An evidence-based approach to transport investment ought not to be contentious. However, the conventional transport economist approach is theory based, not evidence based. Their theory is that the value of transport investments can be estimated by calculating the total time supposedly saved by faster travel. But these time savings are not real. What is real and readily observed are the changes in how the land is used and valued when transport investment makes such land more accessible – which the economists disregard.” (P128)</w:t>
      </w:r>
    </w:p>
    <w:p w14:paraId="6D37AEB7" w14:textId="77777777" w:rsidR="00F25052" w:rsidRPr="009B3DDE" w:rsidRDefault="00F25052" w:rsidP="009B3DDE">
      <w:pPr>
        <w:spacing w:line="480" w:lineRule="auto"/>
        <w:jc w:val="both"/>
        <w:rPr>
          <w:rFonts w:ascii="Helvetica" w:hAnsi="Helvetica"/>
          <w:szCs w:val="24"/>
        </w:rPr>
      </w:pPr>
    </w:p>
    <w:p w14:paraId="631186AD" w14:textId="7DD022BD" w:rsidR="00623185" w:rsidRPr="009B3DDE" w:rsidRDefault="009358AF" w:rsidP="009B3DDE">
      <w:pPr>
        <w:spacing w:line="480" w:lineRule="auto"/>
        <w:jc w:val="both"/>
        <w:rPr>
          <w:rFonts w:ascii="Helvetica" w:hAnsi="Helvetica"/>
          <w:szCs w:val="24"/>
        </w:rPr>
      </w:pPr>
      <w:r w:rsidRPr="009B3DDE">
        <w:rPr>
          <w:rFonts w:ascii="Helvetica" w:hAnsi="Helvetica"/>
          <w:szCs w:val="24"/>
        </w:rPr>
        <w:t xml:space="preserve">His argument is therefore that there are better indicators of potential </w:t>
      </w:r>
      <w:r w:rsidR="0028394D" w:rsidRPr="009B3DDE">
        <w:rPr>
          <w:rFonts w:ascii="Helvetica" w:hAnsi="Helvetica"/>
          <w:szCs w:val="24"/>
        </w:rPr>
        <w:t xml:space="preserve">future productivity. </w:t>
      </w:r>
      <w:r w:rsidR="00035129" w:rsidRPr="009B3DDE">
        <w:rPr>
          <w:rFonts w:ascii="Helvetica" w:hAnsi="Helvetica"/>
          <w:szCs w:val="24"/>
        </w:rPr>
        <w:t>Appraisals should</w:t>
      </w:r>
      <w:r w:rsidR="00623185" w:rsidRPr="009B3DDE">
        <w:rPr>
          <w:rFonts w:ascii="Helvetica" w:hAnsi="Helvetica"/>
          <w:szCs w:val="24"/>
        </w:rPr>
        <w:t xml:space="preserve"> start with a view about where economic development could and should feasibly occur, based on local knowledge of property and land prices, skills needs and industry strengths, and wider </w:t>
      </w:r>
      <w:r w:rsidR="00623185" w:rsidRPr="009B3DDE">
        <w:rPr>
          <w:rFonts w:ascii="Helvetica" w:hAnsi="Helvetica"/>
          <w:szCs w:val="24"/>
        </w:rPr>
        <w:lastRenderedPageBreak/>
        <w:t xml:space="preserve">societal aims. In other words, the prioritisation </w:t>
      </w:r>
      <w:r w:rsidR="00A23D92" w:rsidRPr="009B3DDE">
        <w:rPr>
          <w:rFonts w:ascii="Helvetica" w:hAnsi="Helvetica"/>
          <w:szCs w:val="24"/>
        </w:rPr>
        <w:t xml:space="preserve">the </w:t>
      </w:r>
      <w:r w:rsidR="00623185" w:rsidRPr="009B3DDE">
        <w:rPr>
          <w:rFonts w:ascii="Helvetica" w:hAnsi="Helvetica"/>
          <w:szCs w:val="24"/>
        </w:rPr>
        <w:t xml:space="preserve">methodology </w:t>
      </w:r>
      <w:r w:rsidR="00035129" w:rsidRPr="009B3DDE">
        <w:rPr>
          <w:rFonts w:ascii="Helvetica" w:hAnsi="Helvetica"/>
          <w:szCs w:val="24"/>
        </w:rPr>
        <w:t xml:space="preserve">claims </w:t>
      </w:r>
      <w:r w:rsidR="00623185" w:rsidRPr="009B3DDE">
        <w:rPr>
          <w:rFonts w:ascii="Helvetica" w:hAnsi="Helvetica"/>
          <w:szCs w:val="24"/>
        </w:rPr>
        <w:t xml:space="preserve">to deliver, but does not, should be the starting point. Given that framework, which inherently involves a view about the spatial distribution of activity, then </w:t>
      </w:r>
      <w:r w:rsidR="00A23D92" w:rsidRPr="009B3DDE">
        <w:rPr>
          <w:rFonts w:ascii="Helvetica" w:hAnsi="Helvetica"/>
          <w:szCs w:val="24"/>
        </w:rPr>
        <w:t xml:space="preserve">appraisal </w:t>
      </w:r>
      <w:r w:rsidR="00623185" w:rsidRPr="009B3DDE">
        <w:rPr>
          <w:rFonts w:ascii="Helvetica" w:hAnsi="Helvetica"/>
          <w:szCs w:val="24"/>
        </w:rPr>
        <w:t xml:space="preserve">methods can be applied to compare relevant options and sense check assumptions. For instance, </w:t>
      </w:r>
      <w:r w:rsidR="00A23D92" w:rsidRPr="009B3DDE">
        <w:rPr>
          <w:rFonts w:ascii="Helvetica" w:hAnsi="Helvetica"/>
          <w:szCs w:val="24"/>
        </w:rPr>
        <w:t>an</w:t>
      </w:r>
      <w:r w:rsidR="00623185" w:rsidRPr="009B3DDE">
        <w:rPr>
          <w:rFonts w:ascii="Helvetica" w:hAnsi="Helvetica"/>
          <w:szCs w:val="24"/>
        </w:rPr>
        <w:t xml:space="preserve"> assessment could be run with several </w:t>
      </w:r>
      <w:r w:rsidRPr="009B3DDE">
        <w:rPr>
          <w:rFonts w:ascii="Helvetica" w:hAnsi="Helvetica"/>
          <w:szCs w:val="24"/>
        </w:rPr>
        <w:t xml:space="preserve">possible </w:t>
      </w:r>
      <w:r w:rsidR="00623185" w:rsidRPr="009B3DDE">
        <w:rPr>
          <w:rFonts w:ascii="Helvetica" w:hAnsi="Helvetica"/>
          <w:szCs w:val="24"/>
        </w:rPr>
        <w:t>assumptions about productivity uplift, as a sensitivity test.</w:t>
      </w:r>
      <w:r w:rsidR="002B7922" w:rsidRPr="009B3DDE">
        <w:rPr>
          <w:rFonts w:ascii="Helvetica" w:hAnsi="Helvetica"/>
          <w:szCs w:val="24"/>
        </w:rPr>
        <w:t xml:space="preserve"> The need for integration and detailed local knowledge makes it unlikely this kind of appraisal can all be done centrally, although how to cascade the prioritisation of investment from central through regional to local decisions is not clear</w:t>
      </w:r>
      <w:r w:rsidR="001337B7" w:rsidRPr="009B3DDE">
        <w:rPr>
          <w:rFonts w:ascii="Helvetica" w:hAnsi="Helvetica"/>
          <w:szCs w:val="24"/>
        </w:rPr>
        <w:t xml:space="preserve"> (Preston 2012)</w:t>
      </w:r>
      <w:r w:rsidR="002B7922" w:rsidRPr="009B3DDE">
        <w:rPr>
          <w:rFonts w:ascii="Helvetica" w:hAnsi="Helvetica"/>
          <w:szCs w:val="24"/>
        </w:rPr>
        <w:t xml:space="preserve">. </w:t>
      </w:r>
    </w:p>
    <w:p w14:paraId="0C36A143" w14:textId="77777777" w:rsidR="00F25052" w:rsidRPr="009B3DDE" w:rsidRDefault="00F25052" w:rsidP="009B3DDE">
      <w:pPr>
        <w:spacing w:line="480" w:lineRule="auto"/>
        <w:jc w:val="both"/>
        <w:rPr>
          <w:rFonts w:ascii="Helvetica" w:hAnsi="Helvetica"/>
          <w:szCs w:val="24"/>
        </w:rPr>
      </w:pPr>
    </w:p>
    <w:p w14:paraId="5664553F" w14:textId="7D6561F1" w:rsidR="00157DC1" w:rsidRPr="009B3DDE" w:rsidRDefault="00623185" w:rsidP="009B3DDE">
      <w:pPr>
        <w:spacing w:line="480" w:lineRule="auto"/>
        <w:jc w:val="both"/>
        <w:rPr>
          <w:rFonts w:ascii="Helvetica" w:hAnsi="Helvetica"/>
          <w:szCs w:val="24"/>
        </w:rPr>
      </w:pPr>
      <w:r w:rsidRPr="009B3DDE">
        <w:rPr>
          <w:rFonts w:ascii="Helvetica" w:hAnsi="Helvetica"/>
          <w:szCs w:val="24"/>
        </w:rPr>
        <w:t>There are hints of this approach bein</w:t>
      </w:r>
      <w:r w:rsidR="00D602EA" w:rsidRPr="009B3DDE">
        <w:rPr>
          <w:rFonts w:ascii="Helvetica" w:hAnsi="Helvetica"/>
          <w:szCs w:val="24"/>
        </w:rPr>
        <w:t xml:space="preserve">g taken at sub-national level. </w:t>
      </w:r>
      <w:r w:rsidR="00157DC1" w:rsidRPr="009B3DDE">
        <w:rPr>
          <w:rFonts w:ascii="Helvetica" w:hAnsi="Helvetica"/>
          <w:szCs w:val="24"/>
        </w:rPr>
        <w:t>Transport for Greater Manchester (TfGM), for example, uses productivity measures alongside CBA. It uses CBA as a ‘sifting test’ to decide whether an investment should be considered, but benefit–cost ratios are not used to prioritise. Instead, TfGM prioritises investments based on impact on gross value added (GVA) for every pound of investment – a metric developed following direction from Greater Manchester politicians to use the capital budget alloca</w:t>
      </w:r>
      <w:r w:rsidRPr="009B3DDE">
        <w:rPr>
          <w:rFonts w:ascii="Helvetica" w:hAnsi="Helvetica"/>
          <w:szCs w:val="24"/>
        </w:rPr>
        <w:t>ted to support economic growth.  “</w:t>
      </w:r>
      <w:r w:rsidR="00157DC1" w:rsidRPr="009B3DDE">
        <w:rPr>
          <w:rFonts w:ascii="Helvetica" w:hAnsi="Helvetica"/>
          <w:szCs w:val="24"/>
        </w:rPr>
        <w:t>Its 2014 transport strategy and investment plan (GMCA, 2014) provides a clear overview of scheme objectives, monetised benefits, a narrative outlining the case for wider benefits, and a judgement of appraisal robustness.” (</w:t>
      </w:r>
      <w:r w:rsidRPr="009B3DDE">
        <w:rPr>
          <w:rFonts w:ascii="Helvetica" w:hAnsi="Helvetica"/>
          <w:szCs w:val="24"/>
        </w:rPr>
        <w:t xml:space="preserve">Stewart, 2013, </w:t>
      </w:r>
      <w:r w:rsidR="00157DC1" w:rsidRPr="009B3DDE">
        <w:rPr>
          <w:rFonts w:ascii="Helvetica" w:hAnsi="Helvetica"/>
          <w:szCs w:val="24"/>
        </w:rPr>
        <w:t>p. 13)</w:t>
      </w:r>
      <w:r w:rsidRPr="009B3DDE">
        <w:rPr>
          <w:rFonts w:ascii="Helvetica" w:hAnsi="Helvetica"/>
          <w:szCs w:val="24"/>
        </w:rPr>
        <w:t xml:space="preserve"> The CBA exercise in this case is a hurdle a project needs to clear, after priorities – in this case, achieving productivity growth</w:t>
      </w:r>
      <w:r w:rsidR="00523A58" w:rsidRPr="009B3DDE">
        <w:rPr>
          <w:rFonts w:ascii="Helvetica" w:hAnsi="Helvetica"/>
          <w:szCs w:val="24"/>
        </w:rPr>
        <w:t xml:space="preserve"> </w:t>
      </w:r>
      <w:r w:rsidRPr="009B3DDE">
        <w:rPr>
          <w:rFonts w:ascii="Helvetica" w:hAnsi="Helvetica"/>
          <w:szCs w:val="24"/>
        </w:rPr>
        <w:t>– have been established.</w:t>
      </w:r>
    </w:p>
    <w:p w14:paraId="7B1E1EFE" w14:textId="77777777" w:rsidR="00D273DF" w:rsidRPr="009B3DDE" w:rsidRDefault="00D273DF" w:rsidP="009B3DDE">
      <w:pPr>
        <w:spacing w:line="480" w:lineRule="auto"/>
        <w:jc w:val="both"/>
        <w:rPr>
          <w:rFonts w:ascii="Helvetica" w:hAnsi="Helvetica"/>
          <w:szCs w:val="24"/>
        </w:rPr>
      </w:pPr>
    </w:p>
    <w:p w14:paraId="24E451AF" w14:textId="31E5DF96" w:rsidR="00D273DF" w:rsidRPr="00CA3E55" w:rsidRDefault="002D32F1" w:rsidP="009B3DDE">
      <w:pPr>
        <w:spacing w:line="480" w:lineRule="auto"/>
        <w:jc w:val="both"/>
        <w:rPr>
          <w:rFonts w:ascii="Helvetica" w:hAnsi="Helvetica"/>
          <w:szCs w:val="24"/>
        </w:rPr>
      </w:pPr>
      <w:r w:rsidRPr="002D32F1">
        <w:rPr>
          <w:rFonts w:ascii="Helvetica" w:hAnsi="Helvetica"/>
          <w:szCs w:val="24"/>
        </w:rPr>
        <w:t>WHAT IS CHANGING AND WHY IT IS NOT ENOUGH</w:t>
      </w:r>
    </w:p>
    <w:p w14:paraId="26D547B5" w14:textId="77777777" w:rsidR="00F25052" w:rsidRPr="009B3DDE" w:rsidRDefault="00F25052" w:rsidP="009B3DDE">
      <w:pPr>
        <w:spacing w:line="480" w:lineRule="auto"/>
        <w:jc w:val="both"/>
        <w:rPr>
          <w:rFonts w:ascii="Helvetica" w:hAnsi="Helvetica"/>
          <w:szCs w:val="24"/>
        </w:rPr>
      </w:pPr>
    </w:p>
    <w:p w14:paraId="3970C85B" w14:textId="23AED8A2" w:rsidR="00D273DF" w:rsidRPr="009B3DDE" w:rsidRDefault="005A445F" w:rsidP="009B3DDE">
      <w:pPr>
        <w:spacing w:line="480" w:lineRule="auto"/>
        <w:jc w:val="both"/>
        <w:rPr>
          <w:rFonts w:ascii="Helvetica" w:hAnsi="Helvetica"/>
          <w:szCs w:val="24"/>
        </w:rPr>
      </w:pPr>
      <w:r w:rsidRPr="009B3DDE">
        <w:rPr>
          <w:rFonts w:ascii="Helvetica" w:hAnsi="Helvetica"/>
          <w:szCs w:val="24"/>
        </w:rPr>
        <w:t>At national level, t</w:t>
      </w:r>
      <w:r w:rsidR="00D273DF" w:rsidRPr="009B3DDE">
        <w:rPr>
          <w:rFonts w:ascii="Helvetica" w:hAnsi="Helvetica"/>
          <w:szCs w:val="24"/>
        </w:rPr>
        <w:t xml:space="preserve">he new 2018 </w:t>
      </w:r>
      <w:r w:rsidRPr="009B3DDE">
        <w:rPr>
          <w:rFonts w:ascii="Helvetica" w:hAnsi="Helvetica"/>
          <w:szCs w:val="24"/>
        </w:rPr>
        <w:t xml:space="preserve">Treasury </w:t>
      </w:r>
      <w:r w:rsidR="00D273DF" w:rsidRPr="009B3DDE">
        <w:rPr>
          <w:rFonts w:ascii="Helvetica" w:hAnsi="Helvetica"/>
          <w:szCs w:val="24"/>
        </w:rPr>
        <w:t>Green Book takes some welcome steps along this road taking account in CBA assessments of the productivity impacts of investments, “</w:t>
      </w:r>
      <w:r w:rsidR="00D273DF" w:rsidRPr="009B3DDE">
        <w:rPr>
          <w:rFonts w:ascii="Helvetica" w:hAnsi="Helvetica" w:cs="Times"/>
          <w:color w:val="000000"/>
          <w:szCs w:val="24"/>
          <w:lang w:val="en-US"/>
        </w:rPr>
        <w:t xml:space="preserve">Where they can be objectively demonstrated,” (p39), in addition to an extended scope for including non-market environmental, social and wellbeing effects. </w:t>
      </w:r>
      <w:r w:rsidR="00D273DF" w:rsidRPr="009B3DDE">
        <w:rPr>
          <w:rFonts w:ascii="Helvetica" w:hAnsi="Helvetica"/>
          <w:szCs w:val="24"/>
        </w:rPr>
        <w:t xml:space="preserve">But it does not go far enough toward a framework that would tilt infrastructure investment toward regions of the UK where it could enable faster productivity growth. In addition, the 2018 revision of the Green Book, along with other recent policy announcements, has acknowledged some of the criticisms of the official appraisal methodology. In addition, following the Industrial Strategy White Paper in November 2017, the Department for Transport </w:t>
      </w:r>
      <w:r w:rsidR="002322EA" w:rsidRPr="009B3DDE">
        <w:rPr>
          <w:rFonts w:ascii="Helvetica" w:hAnsi="Helvetica"/>
          <w:szCs w:val="24"/>
        </w:rPr>
        <w:t xml:space="preserve">(2017a) </w:t>
      </w:r>
      <w:r w:rsidR="00D273DF" w:rsidRPr="009B3DDE">
        <w:rPr>
          <w:rFonts w:ascii="Helvetica" w:hAnsi="Helvetica"/>
          <w:szCs w:val="24"/>
        </w:rPr>
        <w:t xml:space="preserve">announced </w:t>
      </w:r>
      <w:r w:rsidR="00E00E53" w:rsidRPr="009B3DDE">
        <w:rPr>
          <w:rFonts w:ascii="Helvetica" w:hAnsi="Helvetica"/>
          <w:szCs w:val="24"/>
        </w:rPr>
        <w:t>the</w:t>
      </w:r>
      <w:r w:rsidR="00D273DF" w:rsidRPr="009B3DDE">
        <w:rPr>
          <w:rFonts w:ascii="Helvetica" w:hAnsi="Helvetica"/>
          <w:szCs w:val="24"/>
        </w:rPr>
        <w:t xml:space="preserve"> Rebalancing Toolkit. This offers some (non-binding) guidelines for appraisals of investment projects where geographic ‘rebalancing’ is part of the policy objective. Although it refers to the need for a strategic ‘narrative’ underpinned by evidence, the evidence suggested includes </w:t>
      </w:r>
      <w:r w:rsidR="009358AF" w:rsidRPr="009B3DDE">
        <w:rPr>
          <w:rFonts w:ascii="Helvetica" w:hAnsi="Helvetica"/>
          <w:szCs w:val="24"/>
        </w:rPr>
        <w:t xml:space="preserve">outcome </w:t>
      </w:r>
      <w:r w:rsidR="00D273DF" w:rsidRPr="009B3DDE">
        <w:rPr>
          <w:rFonts w:ascii="Helvetica" w:hAnsi="Helvetica"/>
          <w:szCs w:val="24"/>
        </w:rPr>
        <w:t xml:space="preserve">metrics such as deprivation indices and ‘living cost challenges’ rather than any meaningful account of </w:t>
      </w:r>
      <w:r w:rsidR="009358AF" w:rsidRPr="009B3DDE">
        <w:rPr>
          <w:rFonts w:ascii="Helvetica" w:hAnsi="Helvetica"/>
          <w:szCs w:val="24"/>
        </w:rPr>
        <w:t xml:space="preserve">the drivers of </w:t>
      </w:r>
      <w:r w:rsidR="00D273DF" w:rsidRPr="009B3DDE">
        <w:rPr>
          <w:rFonts w:ascii="Helvetica" w:hAnsi="Helvetica"/>
          <w:szCs w:val="24"/>
        </w:rPr>
        <w:t xml:space="preserve">economic development and productivity growth. </w:t>
      </w:r>
      <w:r w:rsidR="006A41AF" w:rsidRPr="009B3DDE">
        <w:rPr>
          <w:rFonts w:ascii="Helvetica" w:hAnsi="Helvetica"/>
          <w:szCs w:val="24"/>
        </w:rPr>
        <w:t>A Parliamentary report concluded: “</w:t>
      </w:r>
      <w:r w:rsidR="006A41AF" w:rsidRPr="009B3DDE">
        <w:rPr>
          <w:rFonts w:ascii="Helvetica" w:eastAsia="Times New Roman" w:hAnsi="Helvetica" w:cs="Times New Roman"/>
          <w:szCs w:val="24"/>
        </w:rPr>
        <w:t>It was not immediately clear to us what practical difference the rebalancing toolkit would make in its current form.” (Transport Select Committee 2018, §63).</w:t>
      </w:r>
    </w:p>
    <w:p w14:paraId="5F2C9F5A" w14:textId="77777777" w:rsidR="00F25052" w:rsidRPr="009B3DDE" w:rsidRDefault="00F25052" w:rsidP="009B3DDE">
      <w:pPr>
        <w:spacing w:line="480" w:lineRule="auto"/>
        <w:jc w:val="both"/>
        <w:rPr>
          <w:rFonts w:ascii="Helvetica" w:hAnsi="Helvetica"/>
          <w:szCs w:val="24"/>
        </w:rPr>
      </w:pPr>
    </w:p>
    <w:p w14:paraId="75F5AE09" w14:textId="77777777" w:rsidR="00D273DF" w:rsidRPr="009B3DDE" w:rsidRDefault="00D273DF" w:rsidP="009B3DDE">
      <w:pPr>
        <w:spacing w:line="480" w:lineRule="auto"/>
        <w:jc w:val="both"/>
        <w:rPr>
          <w:rFonts w:ascii="Helvetica" w:hAnsi="Helvetica"/>
          <w:szCs w:val="24"/>
        </w:rPr>
      </w:pPr>
      <w:r w:rsidRPr="009B3DDE">
        <w:rPr>
          <w:rFonts w:ascii="Helvetica" w:hAnsi="Helvetica"/>
          <w:szCs w:val="24"/>
        </w:rPr>
        <w:lastRenderedPageBreak/>
        <w:t xml:space="preserve">The 2018 Green Book does mark a significant departure from past advice, in highlighting the scope to incorporate dynamic productivity and employment effects. It states (p39): </w:t>
      </w:r>
    </w:p>
    <w:p w14:paraId="6D228DAC" w14:textId="77777777" w:rsidR="00D273DF" w:rsidRPr="009B3DDE" w:rsidRDefault="00D273DF" w:rsidP="009B3DDE">
      <w:pPr>
        <w:autoSpaceDE w:val="0"/>
        <w:autoSpaceDN w:val="0"/>
        <w:adjustRightInd w:val="0"/>
        <w:spacing w:after="240" w:line="480" w:lineRule="auto"/>
        <w:ind w:left="720"/>
        <w:jc w:val="both"/>
        <w:rPr>
          <w:rFonts w:ascii="Helvetica" w:hAnsi="Helvetica" w:cs="Times"/>
          <w:color w:val="000000"/>
          <w:szCs w:val="24"/>
          <w:lang w:val="en-US"/>
        </w:rPr>
      </w:pPr>
      <w:r w:rsidRPr="009B3DDE">
        <w:rPr>
          <w:rFonts w:ascii="Helvetica" w:hAnsi="Helvetica" w:cs="Times"/>
          <w:color w:val="000000"/>
          <w:szCs w:val="24"/>
          <w:lang w:val="en-US"/>
        </w:rPr>
        <w:t xml:space="preserve">Productivity effects should be included in the calculation of UK costs and benefits where they can be objectively demonstrated. Productivity effects may arise from movement to more or less productive jobs, changes in the structure of the economy, benefits from dynamic clustering or agglomeration (benefits that arise through close location of businesses and/or people), private investment, product market competition or the generation and flow of ideas. </w:t>
      </w:r>
    </w:p>
    <w:p w14:paraId="61A1E9CE" w14:textId="77777777" w:rsidR="00D273DF" w:rsidRPr="009B3DDE" w:rsidRDefault="00D273DF" w:rsidP="009B3DDE">
      <w:pPr>
        <w:spacing w:line="480" w:lineRule="auto"/>
        <w:jc w:val="both"/>
        <w:rPr>
          <w:rFonts w:ascii="Helvetica" w:hAnsi="Helvetica"/>
          <w:szCs w:val="24"/>
        </w:rPr>
      </w:pPr>
      <w:r w:rsidRPr="009B3DDE">
        <w:rPr>
          <w:rFonts w:ascii="Helvetica" w:hAnsi="Helvetica"/>
          <w:szCs w:val="24"/>
        </w:rPr>
        <w:t>And</w:t>
      </w:r>
    </w:p>
    <w:p w14:paraId="1B937A73" w14:textId="77777777" w:rsidR="00D273DF" w:rsidRPr="009B3DDE" w:rsidRDefault="00D273DF" w:rsidP="009B3DDE">
      <w:pPr>
        <w:spacing w:line="480" w:lineRule="auto"/>
        <w:ind w:left="720"/>
        <w:jc w:val="both"/>
        <w:rPr>
          <w:rFonts w:ascii="Helvetica" w:hAnsi="Helvetica" w:cs="Times"/>
          <w:color w:val="000000"/>
          <w:szCs w:val="24"/>
          <w:lang w:val="en-US"/>
        </w:rPr>
      </w:pPr>
      <w:r w:rsidRPr="009B3DDE">
        <w:rPr>
          <w:rFonts w:ascii="Helvetica" w:hAnsi="Helvetica" w:cs="Times"/>
          <w:color w:val="000000"/>
          <w:szCs w:val="24"/>
          <w:lang w:val="en-US"/>
        </w:rPr>
        <w:t xml:space="preserve">Interventions which increase human capital, job-search activity or provide better access to jobs can have positive </w:t>
      </w:r>
      <w:proofErr w:type="spellStart"/>
      <w:r w:rsidRPr="009B3DDE">
        <w:rPr>
          <w:rFonts w:ascii="Helvetica" w:hAnsi="Helvetica" w:cs="Times"/>
          <w:color w:val="000000"/>
          <w:szCs w:val="24"/>
          <w:lang w:val="en-US"/>
        </w:rPr>
        <w:t>labour</w:t>
      </w:r>
      <w:proofErr w:type="spellEnd"/>
      <w:r w:rsidRPr="009B3DDE">
        <w:rPr>
          <w:rFonts w:ascii="Helvetica" w:hAnsi="Helvetica" w:cs="Times"/>
          <w:color w:val="000000"/>
          <w:szCs w:val="24"/>
          <w:lang w:val="en-US"/>
        </w:rPr>
        <w:t xml:space="preserve"> supply and macroeconomic effects. Provided they can be supported by clear, objective evidence </w:t>
      </w:r>
      <w:proofErr w:type="spellStart"/>
      <w:r w:rsidRPr="009B3DDE">
        <w:rPr>
          <w:rFonts w:ascii="Helvetica" w:hAnsi="Helvetica" w:cs="Times"/>
          <w:color w:val="000000"/>
          <w:szCs w:val="24"/>
          <w:lang w:val="en-US"/>
        </w:rPr>
        <w:t>labour</w:t>
      </w:r>
      <w:proofErr w:type="spellEnd"/>
      <w:r w:rsidRPr="009B3DDE">
        <w:rPr>
          <w:rFonts w:ascii="Helvetica" w:hAnsi="Helvetica" w:cs="Times"/>
          <w:color w:val="000000"/>
          <w:szCs w:val="24"/>
          <w:lang w:val="en-US"/>
        </w:rPr>
        <w:t xml:space="preserve"> supply effects can be included in appraisal. </w:t>
      </w:r>
    </w:p>
    <w:p w14:paraId="4DEA2D2A" w14:textId="77777777" w:rsidR="00F25052" w:rsidRPr="009B3DDE" w:rsidRDefault="00F25052" w:rsidP="009B3DDE">
      <w:pPr>
        <w:spacing w:line="480" w:lineRule="auto"/>
        <w:jc w:val="both"/>
        <w:rPr>
          <w:rFonts w:ascii="Helvetica" w:hAnsi="Helvetica"/>
          <w:szCs w:val="24"/>
        </w:rPr>
      </w:pPr>
    </w:p>
    <w:p w14:paraId="7763A8B8" w14:textId="77777777" w:rsidR="00D273DF" w:rsidRPr="009B3DDE" w:rsidRDefault="00D273DF" w:rsidP="009B3DDE">
      <w:pPr>
        <w:spacing w:line="480" w:lineRule="auto"/>
        <w:jc w:val="both"/>
        <w:rPr>
          <w:rFonts w:ascii="Helvetica" w:hAnsi="Helvetica"/>
          <w:szCs w:val="24"/>
        </w:rPr>
      </w:pPr>
      <w:r w:rsidRPr="009B3DDE">
        <w:rPr>
          <w:rFonts w:ascii="Helvetica" w:hAnsi="Helvetica"/>
          <w:szCs w:val="24"/>
        </w:rPr>
        <w:t xml:space="preserve">Setting aside the vexed question of what constitutes ‘objective’ evidence of future productivity effects, this is a significant recognition of the importance of the previously omitted dynamic effects and the scope for significant investments to make the future in some respects unlike the past. The new Green Book also includes a far broader scope for the inclusion of ‘wider’ effects such as environmental and social impacts. </w:t>
      </w:r>
    </w:p>
    <w:p w14:paraId="2BD38C8F" w14:textId="77777777" w:rsidR="00F25052" w:rsidRPr="009B3DDE" w:rsidRDefault="00F25052" w:rsidP="009B3DDE">
      <w:pPr>
        <w:spacing w:line="480" w:lineRule="auto"/>
        <w:jc w:val="both"/>
        <w:rPr>
          <w:rFonts w:ascii="Helvetica" w:hAnsi="Helvetica"/>
          <w:szCs w:val="24"/>
        </w:rPr>
      </w:pPr>
    </w:p>
    <w:p w14:paraId="3F54F974" w14:textId="3D8B70BD" w:rsidR="00D273DF" w:rsidRPr="009B3DDE" w:rsidRDefault="00D273DF" w:rsidP="009B3DDE">
      <w:pPr>
        <w:spacing w:line="480" w:lineRule="auto"/>
        <w:jc w:val="both"/>
        <w:rPr>
          <w:rFonts w:ascii="Helvetica" w:hAnsi="Helvetica"/>
          <w:szCs w:val="24"/>
        </w:rPr>
      </w:pPr>
      <w:r w:rsidRPr="009B3DDE">
        <w:rPr>
          <w:rFonts w:ascii="Helvetica" w:hAnsi="Helvetica"/>
          <w:szCs w:val="24"/>
        </w:rPr>
        <w:lastRenderedPageBreak/>
        <w:t xml:space="preserve">However, it is unlikely to transform the landscape for infrastructure project appraisal. It will be difficult to provide ‘clear, objective evidence’ of productivity impacts. For instance, it seems reasonably likely that </w:t>
      </w:r>
      <w:r w:rsidR="00BC3B6B" w:rsidRPr="009B3DDE">
        <w:rPr>
          <w:rFonts w:ascii="Helvetica" w:hAnsi="Helvetica"/>
          <w:szCs w:val="24"/>
        </w:rPr>
        <w:t>a denser</w:t>
      </w:r>
      <w:r w:rsidRPr="009B3DDE">
        <w:rPr>
          <w:rFonts w:ascii="Helvetica" w:hAnsi="Helvetica"/>
          <w:szCs w:val="24"/>
        </w:rPr>
        <w:t xml:space="preserve"> transport network in the north of England could deepen the labour market in the region and enable the kinds of increasing returns spillovers observed in many large urban areas; but it is not obvious what objective evidence of this effect might be in terms of a forward looking appraisal. There is nothing in the past able to furnish such evidence precisely because the absence of connectivity has made it impossible. </w:t>
      </w:r>
      <w:r w:rsidR="00BC3B6B" w:rsidRPr="009B3DDE">
        <w:rPr>
          <w:rFonts w:ascii="Helvetica" w:hAnsi="Helvetica"/>
          <w:szCs w:val="24"/>
        </w:rPr>
        <w:t>Existing appraisal</w:t>
      </w:r>
      <w:r w:rsidRPr="009B3DDE">
        <w:rPr>
          <w:rFonts w:ascii="Helvetica" w:hAnsi="Helvetica"/>
          <w:szCs w:val="24"/>
        </w:rPr>
        <w:t xml:space="preserve"> methodology </w:t>
      </w:r>
      <w:r w:rsidR="00BC3B6B" w:rsidRPr="009B3DDE">
        <w:rPr>
          <w:rFonts w:ascii="Helvetica" w:hAnsi="Helvetica"/>
          <w:szCs w:val="24"/>
        </w:rPr>
        <w:t>cannot in itself</w:t>
      </w:r>
      <w:r w:rsidRPr="009B3DDE">
        <w:rPr>
          <w:rFonts w:ascii="Helvetica" w:hAnsi="Helvetica"/>
          <w:szCs w:val="24"/>
        </w:rPr>
        <w:t xml:space="preserve"> ‘rebalance’ the economy</w:t>
      </w:r>
      <w:r w:rsidR="00C810AB" w:rsidRPr="009B3DDE">
        <w:rPr>
          <w:rFonts w:ascii="Helvetica" w:hAnsi="Helvetica"/>
          <w:szCs w:val="24"/>
        </w:rPr>
        <w:t>, especially given the philosophy of more agglomeration economies in one place necessarily implying fewer in another</w:t>
      </w:r>
      <w:r w:rsidRPr="009B3DDE">
        <w:rPr>
          <w:rFonts w:ascii="Helvetica" w:hAnsi="Helvetica"/>
          <w:szCs w:val="24"/>
        </w:rPr>
        <w:t xml:space="preserve">. </w:t>
      </w:r>
    </w:p>
    <w:p w14:paraId="55CFEDD8" w14:textId="77777777" w:rsidR="00D273DF" w:rsidRPr="009B3DDE" w:rsidRDefault="00D273DF" w:rsidP="009B3DDE">
      <w:pPr>
        <w:spacing w:line="480" w:lineRule="auto"/>
        <w:jc w:val="both"/>
        <w:rPr>
          <w:rFonts w:ascii="Helvetica" w:hAnsi="Helvetica"/>
          <w:szCs w:val="24"/>
        </w:rPr>
      </w:pPr>
    </w:p>
    <w:p w14:paraId="2C5B2FF8" w14:textId="75365B35" w:rsidR="00CB3192" w:rsidRPr="00CA3E55" w:rsidRDefault="002D32F1" w:rsidP="009B3DDE">
      <w:pPr>
        <w:spacing w:line="480" w:lineRule="auto"/>
        <w:jc w:val="both"/>
        <w:rPr>
          <w:rFonts w:ascii="Helvetica" w:hAnsi="Helvetica"/>
          <w:szCs w:val="24"/>
        </w:rPr>
      </w:pPr>
      <w:r w:rsidRPr="002D32F1">
        <w:rPr>
          <w:rFonts w:ascii="Helvetica" w:hAnsi="Helvetica"/>
          <w:szCs w:val="24"/>
        </w:rPr>
        <w:t>DISCUSSION</w:t>
      </w:r>
    </w:p>
    <w:p w14:paraId="6DC41DCB" w14:textId="77777777" w:rsidR="00F25052" w:rsidRPr="009B3DDE" w:rsidRDefault="00F25052" w:rsidP="009B3DDE">
      <w:pPr>
        <w:spacing w:line="480" w:lineRule="auto"/>
        <w:jc w:val="both"/>
        <w:rPr>
          <w:rFonts w:ascii="Helvetica" w:hAnsi="Helvetica" w:cs="Times New Roman"/>
          <w:szCs w:val="24"/>
          <w:lang w:val="en-US"/>
        </w:rPr>
      </w:pPr>
    </w:p>
    <w:p w14:paraId="1D65D327" w14:textId="0305E703" w:rsidR="003C501B" w:rsidRPr="009B3DDE" w:rsidRDefault="00A702AD" w:rsidP="009B3DDE">
      <w:pPr>
        <w:spacing w:line="480" w:lineRule="auto"/>
        <w:jc w:val="both"/>
        <w:rPr>
          <w:rFonts w:ascii="Helvetica" w:hAnsi="Helvetica" w:cs="Times New Roman"/>
          <w:szCs w:val="24"/>
          <w:lang w:val="en-US"/>
        </w:rPr>
      </w:pPr>
      <w:r w:rsidRPr="009B3DDE">
        <w:rPr>
          <w:rFonts w:ascii="Helvetica" w:hAnsi="Helvetica" w:cs="Times New Roman"/>
          <w:szCs w:val="24"/>
          <w:lang w:val="en-US"/>
        </w:rPr>
        <w:t xml:space="preserve">The argument we make here, for a genuinely strategic approach to </w:t>
      </w:r>
      <w:r w:rsidR="0055279A" w:rsidRPr="009B3DDE">
        <w:rPr>
          <w:rFonts w:ascii="Helvetica" w:hAnsi="Helvetica" w:cs="Times New Roman"/>
          <w:szCs w:val="24"/>
          <w:lang w:val="en-US"/>
        </w:rPr>
        <w:t xml:space="preserve">major </w:t>
      </w:r>
      <w:r w:rsidRPr="009B3DDE">
        <w:rPr>
          <w:rFonts w:ascii="Helvetica" w:hAnsi="Helvetica" w:cs="Times New Roman"/>
          <w:szCs w:val="24"/>
          <w:lang w:val="en-US"/>
        </w:rPr>
        <w:t>infrastructure investment</w:t>
      </w:r>
      <w:r w:rsidR="0055279A" w:rsidRPr="009B3DDE">
        <w:rPr>
          <w:rFonts w:ascii="Helvetica" w:hAnsi="Helvetica" w:cs="Times New Roman"/>
          <w:szCs w:val="24"/>
          <w:lang w:val="en-US"/>
        </w:rPr>
        <w:t>s, goes against the grain of more than a generation of practice in Whitehall</w:t>
      </w:r>
      <w:r w:rsidR="003C501B" w:rsidRPr="009B3DDE">
        <w:rPr>
          <w:rFonts w:ascii="Helvetica" w:hAnsi="Helvetica" w:cs="Times New Roman"/>
          <w:szCs w:val="24"/>
          <w:lang w:val="en-US"/>
        </w:rPr>
        <w:t>. Among officials there is strong cultural resistance to any approach involving actively seeking to shape the spatial development of the UK economy</w:t>
      </w:r>
      <w:r w:rsidR="0055279A" w:rsidRPr="009B3DDE">
        <w:rPr>
          <w:rFonts w:ascii="Helvetica" w:hAnsi="Helvetica" w:cs="Times New Roman"/>
          <w:szCs w:val="24"/>
          <w:lang w:val="en-US"/>
        </w:rPr>
        <w:t xml:space="preserve">. </w:t>
      </w:r>
      <w:r w:rsidR="003C501B" w:rsidRPr="009B3DDE">
        <w:rPr>
          <w:rFonts w:ascii="Helvetica" w:hAnsi="Helvetica" w:cs="Times New Roman"/>
          <w:szCs w:val="24"/>
          <w:lang w:val="en-US"/>
        </w:rPr>
        <w:t>For example, the UK’s contribution to a recent OECD publication (OECD 2018) acknowledges: “The pattern of regional inequality is long-standing but not fixed,” and yet proceeds to argue that the productivity and growth performance of lagging regions can only be improved at the expense of the capital. This zero-sum thinking fails to recognize the potentially self-fulfilling dynamics of growth described earlier.</w:t>
      </w:r>
    </w:p>
    <w:p w14:paraId="17B7D867" w14:textId="77777777" w:rsidR="00F25052" w:rsidRPr="009B3DDE" w:rsidRDefault="00F25052" w:rsidP="009B3DDE">
      <w:pPr>
        <w:spacing w:line="480" w:lineRule="auto"/>
        <w:jc w:val="both"/>
        <w:rPr>
          <w:rFonts w:ascii="Helvetica" w:hAnsi="Helvetica" w:cs="Times New Roman"/>
          <w:szCs w:val="24"/>
          <w:lang w:val="en-US"/>
        </w:rPr>
      </w:pPr>
    </w:p>
    <w:p w14:paraId="4534FF64" w14:textId="5EB7E213" w:rsidR="00D15E0E" w:rsidRPr="009B3DDE" w:rsidRDefault="003C501B" w:rsidP="009B3DDE">
      <w:pPr>
        <w:spacing w:line="480" w:lineRule="auto"/>
        <w:jc w:val="both"/>
        <w:rPr>
          <w:rFonts w:ascii="Helvetica" w:hAnsi="Helvetica" w:cs="Times New Roman"/>
          <w:szCs w:val="24"/>
          <w:lang w:val="en-US"/>
        </w:rPr>
      </w:pPr>
      <w:r w:rsidRPr="009B3DDE">
        <w:rPr>
          <w:rFonts w:ascii="Helvetica" w:hAnsi="Helvetica" w:cs="Times New Roman"/>
          <w:szCs w:val="24"/>
          <w:lang w:val="en-US"/>
        </w:rPr>
        <w:t>The</w:t>
      </w:r>
      <w:r w:rsidR="00256F07" w:rsidRPr="009B3DDE">
        <w:rPr>
          <w:rFonts w:ascii="Helvetica" w:hAnsi="Helvetica" w:cs="Times New Roman"/>
          <w:szCs w:val="24"/>
          <w:lang w:val="en-US"/>
        </w:rPr>
        <w:t xml:space="preserve"> 2018 revisions to the Green Book and the </w:t>
      </w:r>
      <w:r w:rsidR="00EA4AB9" w:rsidRPr="009B3DDE">
        <w:rPr>
          <w:rFonts w:ascii="Helvetica" w:hAnsi="Helvetica" w:cs="Times New Roman"/>
          <w:szCs w:val="24"/>
          <w:lang w:val="en-US"/>
        </w:rPr>
        <w:t>BEIS</w:t>
      </w:r>
      <w:r w:rsidR="00256F07" w:rsidRPr="009B3DDE">
        <w:rPr>
          <w:rFonts w:ascii="Helvetica" w:hAnsi="Helvetica" w:cs="Times New Roman"/>
          <w:szCs w:val="24"/>
          <w:lang w:val="en-US"/>
        </w:rPr>
        <w:t xml:space="preserve"> </w:t>
      </w:r>
      <w:r w:rsidR="00EA4AB9" w:rsidRPr="009B3DDE">
        <w:rPr>
          <w:rFonts w:ascii="Helvetica" w:hAnsi="Helvetica" w:cs="Times New Roman"/>
          <w:szCs w:val="24"/>
          <w:lang w:val="en-US"/>
        </w:rPr>
        <w:t>(</w:t>
      </w:r>
      <w:r w:rsidR="00256F07" w:rsidRPr="009B3DDE">
        <w:rPr>
          <w:rFonts w:ascii="Helvetica" w:hAnsi="Helvetica" w:cs="Times New Roman"/>
          <w:szCs w:val="24"/>
          <w:lang w:val="en-US"/>
        </w:rPr>
        <w:t>2017</w:t>
      </w:r>
      <w:r w:rsidR="00EA4AB9" w:rsidRPr="009B3DDE">
        <w:rPr>
          <w:rFonts w:ascii="Helvetica" w:hAnsi="Helvetica" w:cs="Times New Roman"/>
          <w:szCs w:val="24"/>
          <w:lang w:val="en-US"/>
        </w:rPr>
        <w:t>)</w:t>
      </w:r>
      <w:r w:rsidR="00256F07" w:rsidRPr="009B3DDE">
        <w:rPr>
          <w:rFonts w:ascii="Helvetica" w:hAnsi="Helvetica" w:cs="Times New Roman"/>
          <w:szCs w:val="24"/>
          <w:lang w:val="en-US"/>
        </w:rPr>
        <w:t xml:space="preserve"> Industrial Strategy White Paper and its subsequent implementation through local industrial strategies</w:t>
      </w:r>
      <w:r w:rsidRPr="009B3DDE">
        <w:rPr>
          <w:rFonts w:ascii="Helvetica" w:hAnsi="Helvetica" w:cs="Times New Roman"/>
          <w:szCs w:val="24"/>
          <w:lang w:val="en-US"/>
        </w:rPr>
        <w:t xml:space="preserve"> perhaps</w:t>
      </w:r>
      <w:r w:rsidR="00256F07" w:rsidRPr="009B3DDE">
        <w:rPr>
          <w:rFonts w:ascii="Helvetica" w:hAnsi="Helvetica" w:cs="Times New Roman"/>
          <w:szCs w:val="24"/>
          <w:lang w:val="en-US"/>
        </w:rPr>
        <w:t xml:space="preserve"> indicate dawning recognition at the </w:t>
      </w:r>
      <w:proofErr w:type="spellStart"/>
      <w:r w:rsidR="00256F07" w:rsidRPr="009B3DDE">
        <w:rPr>
          <w:rFonts w:ascii="Helvetica" w:hAnsi="Helvetica" w:cs="Times New Roman"/>
          <w:szCs w:val="24"/>
          <w:lang w:val="en-US"/>
        </w:rPr>
        <w:t>centre</w:t>
      </w:r>
      <w:proofErr w:type="spellEnd"/>
      <w:r w:rsidR="00256F07" w:rsidRPr="009B3DDE">
        <w:rPr>
          <w:rFonts w:ascii="Helvetica" w:hAnsi="Helvetica" w:cs="Times New Roman"/>
          <w:szCs w:val="24"/>
          <w:lang w:val="en-US"/>
        </w:rPr>
        <w:t xml:space="preserve"> of government that a different spatial distribution of economic activity around the UK is desirable</w:t>
      </w:r>
      <w:r w:rsidR="00D273DF" w:rsidRPr="009B3DDE">
        <w:rPr>
          <w:rFonts w:ascii="Helvetica" w:hAnsi="Helvetica" w:cs="Times New Roman"/>
          <w:szCs w:val="24"/>
          <w:lang w:val="en-US"/>
        </w:rPr>
        <w:t xml:space="preserve"> and may be possible</w:t>
      </w:r>
      <w:r w:rsidR="00256F07" w:rsidRPr="009B3DDE">
        <w:rPr>
          <w:rFonts w:ascii="Helvetica" w:hAnsi="Helvetica" w:cs="Times New Roman"/>
          <w:szCs w:val="24"/>
          <w:lang w:val="en-US"/>
        </w:rPr>
        <w:t xml:space="preserve">. </w:t>
      </w:r>
      <w:r w:rsidR="00D273DF" w:rsidRPr="009B3DDE">
        <w:rPr>
          <w:rFonts w:ascii="Helvetica" w:hAnsi="Helvetica" w:cs="Times New Roman"/>
          <w:szCs w:val="24"/>
          <w:lang w:val="en-US"/>
        </w:rPr>
        <w:t>Indeed, it may be politically essential in the context of the politics of devolution in the UK and trends in voting patterns</w:t>
      </w:r>
      <w:r w:rsidR="00D15E0E" w:rsidRPr="009B3DDE">
        <w:rPr>
          <w:rFonts w:ascii="Helvetica" w:hAnsi="Helvetica" w:cs="Times New Roman"/>
          <w:szCs w:val="24"/>
          <w:lang w:val="en-US"/>
        </w:rPr>
        <w:t xml:space="preserve"> (Rodriguez-Pose, 2018)</w:t>
      </w:r>
      <w:r w:rsidR="00D273DF" w:rsidRPr="009B3DDE">
        <w:rPr>
          <w:rFonts w:ascii="Helvetica" w:hAnsi="Helvetica" w:cs="Times New Roman"/>
          <w:szCs w:val="24"/>
          <w:lang w:val="en-US"/>
        </w:rPr>
        <w:t xml:space="preserve">. </w:t>
      </w:r>
      <w:r w:rsidR="00D15E0E" w:rsidRPr="009B3DDE">
        <w:rPr>
          <w:rFonts w:ascii="Helvetica" w:hAnsi="Helvetica" w:cs="Times New Roman"/>
          <w:szCs w:val="24"/>
          <w:lang w:val="en-US"/>
        </w:rPr>
        <w:t>The Industrial Strategy Commission (2017) said “further and faster devolution” to cities and regions would be essential to raise national productivity levels. The government’s Industrial Strategy White Paper accepted this, introducing local industrial strategies and a £1.7bn fund for improving transport connections within city regions, among other funding streams</w:t>
      </w:r>
      <w:r w:rsidRPr="009B3DDE">
        <w:rPr>
          <w:rFonts w:ascii="Helvetica" w:hAnsi="Helvetica" w:cs="Times New Roman"/>
          <w:szCs w:val="24"/>
          <w:lang w:val="en-US"/>
        </w:rPr>
        <w:t>; and ‘place’ is part of the remit of the new Industrial Strategy Council</w:t>
      </w:r>
      <w:r w:rsidR="00D15E0E" w:rsidRPr="009B3DDE">
        <w:rPr>
          <w:rFonts w:ascii="Helvetica" w:hAnsi="Helvetica" w:cs="Times New Roman"/>
          <w:szCs w:val="24"/>
          <w:lang w:val="en-US"/>
        </w:rPr>
        <w:t>.</w:t>
      </w:r>
    </w:p>
    <w:p w14:paraId="02F5B160" w14:textId="77777777" w:rsidR="00F25052" w:rsidRPr="009B3DDE" w:rsidRDefault="00F25052" w:rsidP="009B3DDE">
      <w:pPr>
        <w:spacing w:line="480" w:lineRule="auto"/>
        <w:jc w:val="both"/>
        <w:rPr>
          <w:rFonts w:ascii="Helvetica" w:hAnsi="Helvetica" w:cs="Times New Roman"/>
          <w:szCs w:val="24"/>
          <w:lang w:val="en-US"/>
        </w:rPr>
      </w:pPr>
    </w:p>
    <w:p w14:paraId="5CDD6C4B" w14:textId="42AD3E27" w:rsidR="009855EC" w:rsidRPr="009B3DDE" w:rsidRDefault="00256F07" w:rsidP="009B3DDE">
      <w:pPr>
        <w:spacing w:line="480" w:lineRule="auto"/>
        <w:jc w:val="both"/>
        <w:rPr>
          <w:rFonts w:ascii="Helvetica" w:eastAsia="Times New Roman" w:hAnsi="Helvetica" w:cs="Times New Roman"/>
          <w:szCs w:val="24"/>
          <w:lang w:eastAsia="en-US"/>
        </w:rPr>
      </w:pPr>
      <w:r w:rsidRPr="009B3DDE">
        <w:rPr>
          <w:rFonts w:ascii="Helvetica" w:hAnsi="Helvetica" w:cs="Times New Roman"/>
          <w:szCs w:val="24"/>
          <w:lang w:val="en-US"/>
        </w:rPr>
        <w:t xml:space="preserve">Although the use of evidence-based methods in project appraisals is essential to try to use public funds as effectively as possible, the limitations of marginal methods for major projects have long been recognized in theory – </w:t>
      </w:r>
      <w:r w:rsidR="003C501B" w:rsidRPr="009B3DDE">
        <w:rPr>
          <w:rFonts w:ascii="Helvetica" w:hAnsi="Helvetica" w:cs="Times New Roman"/>
          <w:szCs w:val="24"/>
          <w:lang w:val="en-US"/>
        </w:rPr>
        <w:t xml:space="preserve">but </w:t>
      </w:r>
      <w:r w:rsidRPr="009B3DDE">
        <w:rPr>
          <w:rFonts w:ascii="Helvetica" w:hAnsi="Helvetica" w:cs="Times New Roman"/>
          <w:szCs w:val="24"/>
          <w:lang w:val="en-US"/>
        </w:rPr>
        <w:t xml:space="preserve">not in practice. One obvious response to </w:t>
      </w:r>
      <w:r w:rsidR="00BB423D" w:rsidRPr="009B3DDE">
        <w:rPr>
          <w:rFonts w:ascii="Helvetica" w:hAnsi="Helvetica" w:cs="Times New Roman"/>
          <w:szCs w:val="24"/>
          <w:lang w:val="en-US"/>
        </w:rPr>
        <w:t xml:space="preserve">this </w:t>
      </w:r>
      <w:r w:rsidRPr="009B3DDE">
        <w:rPr>
          <w:rFonts w:ascii="Helvetica" w:hAnsi="Helvetica" w:cs="Times New Roman"/>
          <w:szCs w:val="24"/>
          <w:lang w:val="en-US"/>
        </w:rPr>
        <w:t xml:space="preserve">argument is </w:t>
      </w:r>
      <w:r w:rsidR="00BB423D" w:rsidRPr="009B3DDE">
        <w:rPr>
          <w:rFonts w:ascii="Helvetica" w:hAnsi="Helvetica" w:cs="Times New Roman"/>
          <w:szCs w:val="24"/>
          <w:lang w:val="en-US"/>
        </w:rPr>
        <w:t xml:space="preserve">to ask </w:t>
      </w:r>
      <w:r w:rsidRPr="009B3DDE">
        <w:rPr>
          <w:rFonts w:ascii="Helvetica" w:hAnsi="Helvetica" w:cs="Times New Roman"/>
          <w:szCs w:val="24"/>
          <w:lang w:val="en-US"/>
        </w:rPr>
        <w:t>what discipline might be applied instead to enable strategic prioritization of infrastructure projects while guarding against all the well-known problems of major investments (</w:t>
      </w:r>
      <w:proofErr w:type="spellStart"/>
      <w:r w:rsidRPr="009B3DDE">
        <w:rPr>
          <w:rFonts w:ascii="Helvetica" w:hAnsi="Helvetica" w:cs="Times New Roman"/>
          <w:szCs w:val="24"/>
          <w:lang w:val="en-US"/>
        </w:rPr>
        <w:t>Fly</w:t>
      </w:r>
      <w:r w:rsidR="00EA4AB9" w:rsidRPr="009B3DDE">
        <w:rPr>
          <w:rFonts w:ascii="Helvetica" w:hAnsi="Helvetica" w:cs="Times New Roman"/>
          <w:szCs w:val="24"/>
          <w:lang w:val="en-US"/>
        </w:rPr>
        <w:t>v</w:t>
      </w:r>
      <w:r w:rsidRPr="009B3DDE">
        <w:rPr>
          <w:rFonts w:ascii="Helvetica" w:hAnsi="Helvetica" w:cs="Times New Roman"/>
          <w:szCs w:val="24"/>
          <w:lang w:val="en-US"/>
        </w:rPr>
        <w:t>b</w:t>
      </w:r>
      <w:r w:rsidR="00EA4AB9" w:rsidRPr="009B3DDE">
        <w:rPr>
          <w:rFonts w:ascii="Helvetica" w:hAnsi="Helvetica" w:cs="Times New Roman"/>
          <w:szCs w:val="24"/>
          <w:lang w:val="en-US"/>
        </w:rPr>
        <w:t>j</w:t>
      </w:r>
      <w:r w:rsidRPr="009B3DDE">
        <w:rPr>
          <w:rFonts w:ascii="Helvetica" w:hAnsi="Helvetica" w:cs="Times New Roman"/>
          <w:szCs w:val="24"/>
          <w:lang w:val="en-US"/>
        </w:rPr>
        <w:t>erg</w:t>
      </w:r>
      <w:proofErr w:type="spellEnd"/>
      <w:r w:rsidRPr="009B3DDE">
        <w:rPr>
          <w:rFonts w:ascii="Helvetica" w:hAnsi="Helvetica" w:cs="Times New Roman"/>
          <w:szCs w:val="24"/>
          <w:lang w:val="en-US"/>
        </w:rPr>
        <w:t xml:space="preserve"> </w:t>
      </w:r>
      <w:r w:rsidR="00EB4B13" w:rsidRPr="009B3DDE">
        <w:rPr>
          <w:rFonts w:ascii="Helvetica" w:hAnsi="Helvetica" w:cs="Times New Roman"/>
          <w:szCs w:val="24"/>
          <w:lang w:val="en-US"/>
        </w:rPr>
        <w:t>2014</w:t>
      </w:r>
      <w:r w:rsidRPr="009B3DDE">
        <w:rPr>
          <w:rFonts w:ascii="Helvetica" w:hAnsi="Helvetica" w:cs="Times New Roman"/>
          <w:szCs w:val="24"/>
          <w:lang w:val="en-US"/>
        </w:rPr>
        <w:t xml:space="preserve">). There is an evidence challenge in that it is difficult to identify empirically the contribution of infrastructure investment to </w:t>
      </w:r>
      <w:r w:rsidR="00881087" w:rsidRPr="009B3DDE">
        <w:rPr>
          <w:rFonts w:ascii="Helvetica" w:hAnsi="Helvetica" w:cs="Times New Roman"/>
          <w:szCs w:val="24"/>
          <w:lang w:val="en-US"/>
        </w:rPr>
        <w:t>productivity</w:t>
      </w:r>
      <w:r w:rsidRPr="009B3DDE">
        <w:rPr>
          <w:rFonts w:ascii="Helvetica" w:hAnsi="Helvetica" w:cs="Times New Roman"/>
          <w:szCs w:val="24"/>
          <w:lang w:val="en-US"/>
        </w:rPr>
        <w:t xml:space="preserve"> growth in different geographies</w:t>
      </w:r>
      <w:r w:rsidR="00881087" w:rsidRPr="009B3DDE">
        <w:rPr>
          <w:rFonts w:ascii="Helvetica" w:hAnsi="Helvetica" w:cs="Times New Roman"/>
          <w:szCs w:val="24"/>
          <w:lang w:val="en-US"/>
        </w:rPr>
        <w:t xml:space="preserve"> over the long time frames relevant to economic development. In a meta-regression analysis of studies for OECD </w:t>
      </w:r>
      <w:r w:rsidR="00881087" w:rsidRPr="009B3DDE">
        <w:rPr>
          <w:rFonts w:ascii="Helvetica" w:hAnsi="Helvetica" w:cs="Times New Roman"/>
          <w:szCs w:val="24"/>
          <w:lang w:val="en-US"/>
        </w:rPr>
        <w:lastRenderedPageBreak/>
        <w:t xml:space="preserve">countries, </w:t>
      </w:r>
      <w:proofErr w:type="spellStart"/>
      <w:r w:rsidR="00881087" w:rsidRPr="009B3DDE">
        <w:rPr>
          <w:rFonts w:ascii="Helvetica" w:hAnsi="Helvetica" w:cs="Times New Roman"/>
          <w:szCs w:val="24"/>
          <w:lang w:val="en-US"/>
        </w:rPr>
        <w:t>Bom</w:t>
      </w:r>
      <w:proofErr w:type="spellEnd"/>
      <w:r w:rsidR="00881087" w:rsidRPr="009B3DDE">
        <w:rPr>
          <w:rFonts w:ascii="Helvetica" w:hAnsi="Helvetica" w:cs="Times New Roman"/>
          <w:szCs w:val="24"/>
          <w:lang w:val="en-US"/>
        </w:rPr>
        <w:t xml:space="preserve"> and </w:t>
      </w:r>
      <w:proofErr w:type="spellStart"/>
      <w:r w:rsidR="00881087" w:rsidRPr="009B3DDE">
        <w:rPr>
          <w:rFonts w:ascii="Helvetica" w:hAnsi="Helvetica" w:cs="Times New Roman"/>
          <w:szCs w:val="24"/>
          <w:lang w:val="en-US"/>
        </w:rPr>
        <w:t>Ligthart</w:t>
      </w:r>
      <w:proofErr w:type="spellEnd"/>
      <w:r w:rsidR="00881087" w:rsidRPr="009B3DDE">
        <w:rPr>
          <w:rFonts w:ascii="Helvetica" w:hAnsi="Helvetica" w:cs="Times New Roman"/>
          <w:szCs w:val="24"/>
          <w:lang w:val="en-US"/>
        </w:rPr>
        <w:t xml:space="preserve"> (2014) find the output elasticity of public infrastructure investment is three times higher in the long run than the short run, and higher for regional and local than for national schemes, but that there is great heterogeneity of outcomes. Donaldson (2018) uses historical data on the build out of the rail network in 19</w:t>
      </w:r>
      <w:r w:rsidR="00881087" w:rsidRPr="009B3DDE">
        <w:rPr>
          <w:rFonts w:ascii="Helvetica" w:hAnsi="Helvetica" w:cs="Times New Roman"/>
          <w:szCs w:val="24"/>
          <w:vertAlign w:val="superscript"/>
          <w:lang w:val="en-US"/>
        </w:rPr>
        <w:t>th</w:t>
      </w:r>
      <w:r w:rsidR="00881087" w:rsidRPr="009B3DDE">
        <w:rPr>
          <w:rFonts w:ascii="Helvetica" w:hAnsi="Helvetica" w:cs="Times New Roman"/>
          <w:szCs w:val="24"/>
          <w:lang w:val="en-US"/>
        </w:rPr>
        <w:t xml:space="preserve"> century British India, finding large welfare gains from access to rail transport, increased regional and inter-regional trade, and decreased trade costs and inter-regional price differences. </w:t>
      </w:r>
      <w:r w:rsidR="009855EC" w:rsidRPr="009B3DDE">
        <w:rPr>
          <w:rFonts w:ascii="Helvetica" w:hAnsi="Helvetica"/>
          <w:szCs w:val="24"/>
        </w:rPr>
        <w:t xml:space="preserve">Crescenzi et al (2016) conclude that the American Recovery and Reinvestment Act of 2009, </w:t>
      </w:r>
      <w:r w:rsidR="009358AF" w:rsidRPr="009B3DDE">
        <w:rPr>
          <w:rFonts w:ascii="Helvetica" w:hAnsi="Helvetica"/>
          <w:szCs w:val="24"/>
        </w:rPr>
        <w:t>providing</w:t>
      </w:r>
      <w:r w:rsidR="009855EC" w:rsidRPr="009B3DDE">
        <w:rPr>
          <w:rFonts w:ascii="Helvetica" w:hAnsi="Helvetica"/>
          <w:szCs w:val="24"/>
        </w:rPr>
        <w:t xml:space="preserve"> $48.1bn largely </w:t>
      </w:r>
      <w:r w:rsidR="009358AF" w:rsidRPr="009B3DDE">
        <w:rPr>
          <w:rFonts w:ascii="Helvetica" w:hAnsi="Helvetica"/>
          <w:szCs w:val="24"/>
        </w:rPr>
        <w:t xml:space="preserve">for </w:t>
      </w:r>
      <w:r w:rsidR="009855EC" w:rsidRPr="009B3DDE">
        <w:rPr>
          <w:rFonts w:ascii="Helvetica" w:hAnsi="Helvetica"/>
          <w:szCs w:val="24"/>
        </w:rPr>
        <w:t xml:space="preserve">grants to state and local government for capital expenditure on </w:t>
      </w:r>
      <w:r w:rsidR="009358AF" w:rsidRPr="009B3DDE">
        <w:rPr>
          <w:rFonts w:ascii="Helvetica" w:hAnsi="Helvetica"/>
          <w:szCs w:val="24"/>
        </w:rPr>
        <w:t>transport projects,</w:t>
      </w:r>
      <w:r w:rsidR="009855EC" w:rsidRPr="009B3DDE">
        <w:rPr>
          <w:rFonts w:ascii="Helvetica" w:hAnsi="Helvetica"/>
          <w:szCs w:val="24"/>
        </w:rPr>
        <w:t xml:space="preserve"> </w:t>
      </w:r>
      <w:r w:rsidR="00F108D8" w:rsidRPr="009B3DDE">
        <w:rPr>
          <w:rFonts w:ascii="Helvetica" w:hAnsi="Helvetica"/>
          <w:szCs w:val="24"/>
        </w:rPr>
        <w:t>stimulated</w:t>
      </w:r>
      <w:r w:rsidR="009855EC" w:rsidRPr="009B3DDE">
        <w:rPr>
          <w:rFonts w:ascii="Helvetica" w:hAnsi="Helvetica"/>
          <w:szCs w:val="24"/>
        </w:rPr>
        <w:t xml:space="preserve"> a large short term increase in GDP and employment, </w:t>
      </w:r>
      <w:r w:rsidR="009358AF" w:rsidRPr="009B3DDE">
        <w:rPr>
          <w:rFonts w:ascii="Helvetica" w:hAnsi="Helvetica"/>
          <w:szCs w:val="24"/>
        </w:rPr>
        <w:t xml:space="preserve">which was </w:t>
      </w:r>
      <w:r w:rsidR="009855EC" w:rsidRPr="009B3DDE">
        <w:rPr>
          <w:rFonts w:ascii="Helvetica" w:hAnsi="Helvetica"/>
          <w:szCs w:val="24"/>
        </w:rPr>
        <w:t>perhaps not surprising in the business cycle context. In a survey of the impact of transport on regional development, the OECD</w:t>
      </w:r>
      <w:r w:rsidR="00E00E53" w:rsidRPr="009B3DDE">
        <w:rPr>
          <w:rFonts w:ascii="Helvetica" w:hAnsi="Helvetica"/>
          <w:szCs w:val="24"/>
        </w:rPr>
        <w:t xml:space="preserve"> (2002)</w:t>
      </w:r>
      <w:r w:rsidR="009855EC" w:rsidRPr="009B3DDE">
        <w:rPr>
          <w:rFonts w:ascii="Helvetica" w:hAnsi="Helvetica"/>
          <w:szCs w:val="24"/>
        </w:rPr>
        <w:t xml:space="preserve"> concluded,</w:t>
      </w:r>
      <w:r w:rsidR="00EA4AB9" w:rsidRPr="009B3DDE">
        <w:rPr>
          <w:rFonts w:ascii="Helvetica" w:hAnsi="Helvetica"/>
          <w:szCs w:val="24"/>
        </w:rPr>
        <w:t xml:space="preserve"> “There is a lack of information derived from ex-post studies which could provide a firm, quantitative basis for claims about the impact of infrastructure investment on regional economies and regeneration.” A survey of the UK evidence (Gibbons 2017) was still more downbeat:</w:t>
      </w:r>
      <w:r w:rsidR="009855EC" w:rsidRPr="009B3DDE">
        <w:rPr>
          <w:rFonts w:ascii="Helvetica" w:hAnsi="Helvetica"/>
          <w:szCs w:val="24"/>
        </w:rPr>
        <w:t xml:space="preserve"> </w:t>
      </w:r>
      <w:r w:rsidR="00E00E53" w:rsidRPr="009B3DDE">
        <w:rPr>
          <w:rFonts w:ascii="Helvetica" w:eastAsia="Times New Roman" w:hAnsi="Helvetica" w:cs="Times New Roman"/>
          <w:szCs w:val="24"/>
        </w:rPr>
        <w:t>“</w:t>
      </w:r>
      <w:r w:rsidR="00E00E53" w:rsidRPr="009B3DDE">
        <w:rPr>
          <w:rFonts w:ascii="Helvetica" w:eastAsia="Times New Roman" w:hAnsi="Helvetica" w:cs="Times New Roman"/>
          <w:szCs w:val="24"/>
          <w:lang w:eastAsia="en-US"/>
        </w:rPr>
        <w:t xml:space="preserve">Arguments for spending more in areas that are less economically successful hinge on the hope that new transport is a cost-effective way to stimulate new economic activity. … [T]he theoretical arguments and empirical evidence on this are ambiguous. Better transport </w:t>
      </w:r>
      <w:r w:rsidR="00584B8D" w:rsidRPr="009B3DDE">
        <w:rPr>
          <w:rFonts w:ascii="Helvetica" w:eastAsia="Times New Roman" w:hAnsi="Helvetica" w:cs="Times New Roman"/>
          <w:szCs w:val="24"/>
          <w:lang w:eastAsia="en-US"/>
        </w:rPr>
        <w:t>may encourage</w:t>
      </w:r>
      <w:r w:rsidR="00E00E53" w:rsidRPr="009B3DDE">
        <w:rPr>
          <w:rFonts w:ascii="Helvetica" w:eastAsia="Times New Roman" w:hAnsi="Helvetica" w:cs="Times New Roman"/>
          <w:szCs w:val="24"/>
          <w:lang w:eastAsia="en-US"/>
        </w:rPr>
        <w:t xml:space="preserve"> local investment, but this investment is as likely to be displaced from other places within a region as it is from other regions, with no impact on large scale regional imbalances.”</w:t>
      </w:r>
    </w:p>
    <w:p w14:paraId="26A26E11" w14:textId="77777777" w:rsidR="00F25052" w:rsidRPr="009B3DDE" w:rsidRDefault="00F25052" w:rsidP="009B3DDE">
      <w:pPr>
        <w:spacing w:line="480" w:lineRule="auto"/>
        <w:jc w:val="both"/>
        <w:rPr>
          <w:rFonts w:ascii="Helvetica" w:hAnsi="Helvetica"/>
          <w:szCs w:val="24"/>
        </w:rPr>
      </w:pPr>
    </w:p>
    <w:p w14:paraId="24E9DC06" w14:textId="03EBB286" w:rsidR="009855EC" w:rsidRPr="009B3DDE" w:rsidRDefault="00205B12" w:rsidP="009B3DDE">
      <w:pPr>
        <w:spacing w:line="480" w:lineRule="auto"/>
        <w:jc w:val="both"/>
        <w:rPr>
          <w:rFonts w:eastAsia="Times New Roman" w:cs="Times New Roman"/>
          <w:szCs w:val="24"/>
        </w:rPr>
      </w:pPr>
      <w:r w:rsidRPr="009B3DDE">
        <w:rPr>
          <w:rFonts w:ascii="Helvetica" w:hAnsi="Helvetica"/>
          <w:szCs w:val="24"/>
        </w:rPr>
        <w:lastRenderedPageBreak/>
        <w:t xml:space="preserve">Caution is certainly necessary given the lack of both empirical ex post evidence and a firm theoretical account of the mechanisms through which transport infrastructure stimulates productivity growth. However, there are clear indications as described here that transport infrastructure investment in the UK has been skewed toward the capital; that the formal appraisal methodology has not been applied consistently to London vis a vis other regions; and above all that the methodology reinforces existing economic success. Combined with the theoretical limitations of CBA methodology in circumstances where there is an expectation that the path of growth might change non-marginally, we conclude there is strong justification for tilting future public investment to other parts of the UK, as part of a strategic view about the geography of economic development. </w:t>
      </w:r>
      <w:r w:rsidR="00BE2749" w:rsidRPr="009B3DDE">
        <w:rPr>
          <w:rFonts w:ascii="Helvetica" w:hAnsi="Helvetica"/>
          <w:szCs w:val="24"/>
        </w:rPr>
        <w:t>The publication of an Industrial Strategy intended to raise national productivity, in the context of the political dynamics of English city devolution and concern about the ‘left behind’ places mean it is now impossible to ignore the spatial consequences of infrastructure investments, as has been the case for decades now in the UK.</w:t>
      </w:r>
    </w:p>
    <w:p w14:paraId="076726F6" w14:textId="350AC165" w:rsidR="00CB512A" w:rsidRPr="009B3DDE" w:rsidRDefault="00CB512A" w:rsidP="009B3DDE">
      <w:pPr>
        <w:spacing w:line="480" w:lineRule="auto"/>
        <w:jc w:val="both"/>
        <w:rPr>
          <w:rFonts w:ascii="Helvetica" w:hAnsi="Helvetica" w:cs="Times New Roman"/>
          <w:b/>
          <w:szCs w:val="24"/>
          <w:lang w:val="en-US"/>
        </w:rPr>
      </w:pPr>
    </w:p>
    <w:p w14:paraId="78AA1615" w14:textId="77777777" w:rsidR="00584B8D" w:rsidRPr="009B3DDE" w:rsidRDefault="00584B8D" w:rsidP="009B3DDE">
      <w:pPr>
        <w:spacing w:line="480" w:lineRule="auto"/>
        <w:jc w:val="both"/>
        <w:rPr>
          <w:rFonts w:ascii="Helvetica" w:hAnsi="Helvetica" w:cs="Times New Roman"/>
          <w:b/>
          <w:szCs w:val="24"/>
          <w:lang w:val="en-US"/>
        </w:rPr>
      </w:pPr>
    </w:p>
    <w:p w14:paraId="7549715A" w14:textId="1CBB0A7A" w:rsidR="00B06AB4" w:rsidRPr="007A5158" w:rsidRDefault="002D32F1" w:rsidP="009B3DDE">
      <w:pPr>
        <w:spacing w:line="480" w:lineRule="auto"/>
        <w:jc w:val="both"/>
        <w:rPr>
          <w:rFonts w:ascii="Helvetica" w:hAnsi="Helvetica"/>
          <w:szCs w:val="24"/>
        </w:rPr>
      </w:pPr>
      <w:r w:rsidRPr="007A5158">
        <w:rPr>
          <w:rFonts w:ascii="Helvetica" w:hAnsi="Helvetica"/>
          <w:szCs w:val="24"/>
        </w:rPr>
        <w:t>ACKNOWLEDGEMENTS</w:t>
      </w:r>
    </w:p>
    <w:p w14:paraId="1D8E70A6" w14:textId="7B69EB5F" w:rsidR="00B06AB4" w:rsidRPr="009B3DDE" w:rsidRDefault="00B06AB4" w:rsidP="009B3DDE">
      <w:pPr>
        <w:spacing w:line="480" w:lineRule="auto"/>
        <w:jc w:val="both"/>
        <w:rPr>
          <w:szCs w:val="24"/>
          <w:lang w:val="en-US"/>
        </w:rPr>
      </w:pPr>
      <w:r w:rsidRPr="009B3DDE">
        <w:rPr>
          <w:rFonts w:ascii="Helvetica" w:hAnsi="Helvetica"/>
          <w:szCs w:val="24"/>
        </w:rPr>
        <w:t>Our thanks to Tom Forth, Michael Kenny, Luke Raikes, Ron Martin a</w:t>
      </w:r>
      <w:r w:rsidR="00584B8D" w:rsidRPr="009B3DDE">
        <w:rPr>
          <w:rFonts w:ascii="Helvetica" w:hAnsi="Helvetica"/>
          <w:szCs w:val="24"/>
        </w:rPr>
        <w:t xml:space="preserve">nd also to participants at the </w:t>
      </w:r>
      <w:r w:rsidRPr="009B3DDE">
        <w:rPr>
          <w:rFonts w:ascii="Helvetica" w:hAnsi="Helvetica"/>
          <w:szCs w:val="24"/>
        </w:rPr>
        <w:t xml:space="preserve">CGR-IPR Industrial Policy workshop at the University of Bath, the Industrial Policy Revisited conference of the Cambridge Political Economy Society and the Regional Studies Association conference for their comments. We are also very grateful to a number of UK officials for their </w:t>
      </w:r>
      <w:r w:rsidRPr="009B3DDE">
        <w:rPr>
          <w:rFonts w:ascii="Helvetica" w:hAnsi="Helvetica"/>
          <w:szCs w:val="24"/>
        </w:rPr>
        <w:lastRenderedPageBreak/>
        <w:t>constructive challenge of an earlier draft</w:t>
      </w:r>
      <w:r w:rsidR="00F25052" w:rsidRPr="009B3DDE">
        <w:rPr>
          <w:rFonts w:ascii="Helvetica" w:hAnsi="Helvetica"/>
          <w:szCs w:val="24"/>
        </w:rPr>
        <w:t>, and to the anonymous reviewers for their helpful comments</w:t>
      </w:r>
      <w:r w:rsidRPr="009B3DDE">
        <w:rPr>
          <w:rFonts w:ascii="Helvetica" w:hAnsi="Helvetica"/>
          <w:szCs w:val="24"/>
        </w:rPr>
        <w:t xml:space="preserve">. The authors are of course responsible for any errors or omissions. </w:t>
      </w:r>
    </w:p>
    <w:p w14:paraId="7C8459CE" w14:textId="77777777" w:rsidR="00B06AB4" w:rsidRPr="009B3DDE" w:rsidRDefault="00B06AB4" w:rsidP="009B3DDE">
      <w:pPr>
        <w:spacing w:line="480" w:lineRule="auto"/>
        <w:jc w:val="both"/>
        <w:rPr>
          <w:rFonts w:ascii="Helvetica" w:hAnsi="Helvetica"/>
          <w:b/>
          <w:szCs w:val="24"/>
        </w:rPr>
      </w:pPr>
    </w:p>
    <w:p w14:paraId="68D391ED" w14:textId="77777777" w:rsidR="00584B8D" w:rsidRPr="009B3DDE" w:rsidRDefault="00584B8D" w:rsidP="009B3DDE">
      <w:pPr>
        <w:spacing w:line="480" w:lineRule="auto"/>
        <w:jc w:val="both"/>
        <w:rPr>
          <w:rFonts w:ascii="Helvetica" w:hAnsi="Helvetica"/>
          <w:b/>
          <w:szCs w:val="24"/>
        </w:rPr>
      </w:pPr>
    </w:p>
    <w:p w14:paraId="5E0CA2EE" w14:textId="0E330747" w:rsidR="00CB3192" w:rsidRPr="007A5158" w:rsidRDefault="002D32F1" w:rsidP="009B3DDE">
      <w:pPr>
        <w:spacing w:line="480" w:lineRule="auto"/>
        <w:jc w:val="both"/>
        <w:rPr>
          <w:rFonts w:ascii="Helvetica" w:hAnsi="Helvetica"/>
          <w:szCs w:val="24"/>
        </w:rPr>
      </w:pPr>
      <w:r w:rsidRPr="007A5158">
        <w:rPr>
          <w:rFonts w:ascii="Helvetica" w:hAnsi="Helvetica"/>
          <w:szCs w:val="24"/>
        </w:rPr>
        <w:t>REFERENCES</w:t>
      </w:r>
    </w:p>
    <w:p w14:paraId="6C235720" w14:textId="67FE27F2" w:rsidR="006F50BD" w:rsidRPr="009B3DDE" w:rsidRDefault="006F50BD" w:rsidP="009B3DDE">
      <w:pPr>
        <w:spacing w:before="120" w:line="480" w:lineRule="auto"/>
        <w:jc w:val="both"/>
        <w:rPr>
          <w:rFonts w:ascii="Helvetica" w:hAnsi="Helvetica"/>
          <w:szCs w:val="24"/>
        </w:rPr>
      </w:pPr>
      <w:proofErr w:type="spellStart"/>
      <w:r w:rsidRPr="009B3DDE">
        <w:rPr>
          <w:rFonts w:ascii="Helvetica" w:hAnsi="Helvetica"/>
          <w:szCs w:val="24"/>
        </w:rPr>
        <w:t>Arbabi</w:t>
      </w:r>
      <w:proofErr w:type="spellEnd"/>
      <w:r w:rsidRPr="009B3DDE">
        <w:rPr>
          <w:rFonts w:ascii="Helvetica" w:hAnsi="Helvetica"/>
          <w:szCs w:val="24"/>
        </w:rPr>
        <w:t xml:space="preserve">, </w:t>
      </w:r>
      <w:proofErr w:type="spellStart"/>
      <w:r w:rsidRPr="009B3DDE">
        <w:rPr>
          <w:rFonts w:ascii="Helvetica" w:hAnsi="Helvetica"/>
          <w:szCs w:val="24"/>
        </w:rPr>
        <w:t>Hadi</w:t>
      </w:r>
      <w:proofErr w:type="spellEnd"/>
      <w:r w:rsidRPr="009B3DDE">
        <w:rPr>
          <w:rFonts w:ascii="Helvetica" w:hAnsi="Helvetica"/>
          <w:szCs w:val="24"/>
        </w:rPr>
        <w:t xml:space="preserve">, Martin Mayfield &amp; Gordon </w:t>
      </w:r>
      <w:proofErr w:type="spellStart"/>
      <w:r w:rsidRPr="009B3DDE">
        <w:rPr>
          <w:rFonts w:ascii="Helvetica" w:hAnsi="Helvetica"/>
          <w:szCs w:val="24"/>
        </w:rPr>
        <w:t>Dabinett</w:t>
      </w:r>
      <w:proofErr w:type="spellEnd"/>
      <w:r w:rsidRPr="009B3DDE">
        <w:rPr>
          <w:rFonts w:ascii="Helvetica" w:hAnsi="Helvetica"/>
          <w:szCs w:val="24"/>
        </w:rPr>
        <w:t xml:space="preserve"> (2018): Urban performance at different boundaries in England and Wales through the settlement scaling theory, Regional Studies,</w:t>
      </w:r>
      <w:r w:rsidR="00770285" w:rsidRPr="009B3DDE">
        <w:rPr>
          <w:rFonts w:ascii="Helvetica" w:hAnsi="Helvetica"/>
          <w:szCs w:val="24"/>
        </w:rPr>
        <w:t xml:space="preserve"> </w:t>
      </w:r>
      <w:r w:rsidRPr="009B3DDE">
        <w:rPr>
          <w:rFonts w:ascii="Helvetica" w:hAnsi="Helvetica"/>
          <w:szCs w:val="24"/>
        </w:rPr>
        <w:t>DOI: 10.1080/00343404.2018.1490501</w:t>
      </w:r>
    </w:p>
    <w:p w14:paraId="25D36C2A" w14:textId="1297DFF5" w:rsidR="00CB3192" w:rsidRPr="009B3DDE" w:rsidRDefault="00322C64" w:rsidP="009B3DDE">
      <w:pPr>
        <w:spacing w:before="120" w:line="480" w:lineRule="auto"/>
        <w:jc w:val="both"/>
        <w:rPr>
          <w:rFonts w:ascii="Helvetica" w:hAnsi="Helvetica"/>
          <w:szCs w:val="24"/>
        </w:rPr>
      </w:pPr>
      <w:r w:rsidRPr="009B3DDE">
        <w:rPr>
          <w:rFonts w:ascii="Helvetica" w:hAnsi="Helvetica"/>
          <w:szCs w:val="24"/>
        </w:rPr>
        <w:t xml:space="preserve">Atkins, G., Davies, N. </w:t>
      </w:r>
      <w:r w:rsidR="009C72F1">
        <w:rPr>
          <w:rFonts w:ascii="Helvetica" w:hAnsi="Helvetica"/>
          <w:szCs w:val="24"/>
        </w:rPr>
        <w:t>&amp;</w:t>
      </w:r>
      <w:r w:rsidR="009C72F1" w:rsidRPr="009B3DDE">
        <w:rPr>
          <w:rFonts w:ascii="Helvetica" w:hAnsi="Helvetica"/>
          <w:szCs w:val="24"/>
        </w:rPr>
        <w:t xml:space="preserve"> </w:t>
      </w:r>
      <w:r w:rsidRPr="009B3DDE">
        <w:rPr>
          <w:rFonts w:ascii="Helvetica" w:hAnsi="Helvetica"/>
          <w:szCs w:val="24"/>
        </w:rPr>
        <w:t>Kidney Bishop, T. (2017). “How to value infrastructure: Improving cost benefit analysis”, Institute for Government.</w:t>
      </w:r>
      <w:r w:rsidR="00F234EC" w:rsidRPr="009B3DDE">
        <w:rPr>
          <w:rFonts w:ascii="Helvetica" w:hAnsi="Helvetica"/>
          <w:szCs w:val="24"/>
        </w:rPr>
        <w:t xml:space="preserve"> Accessed on 2/3/18 from: </w:t>
      </w:r>
      <w:hyperlink r:id="rId13" w:history="1">
        <w:r w:rsidR="00FD0599" w:rsidRPr="009B3DDE">
          <w:rPr>
            <w:rStyle w:val="Hyperlink"/>
            <w:rFonts w:ascii="Helvetica" w:hAnsi="Helvetica"/>
            <w:szCs w:val="24"/>
          </w:rPr>
          <w:t>https://www.instituteforgovernment.org.uk/publications/value-infrastructure-september-2017</w:t>
        </w:r>
      </w:hyperlink>
      <w:r w:rsidR="00FD0599" w:rsidRPr="009B3DDE">
        <w:rPr>
          <w:rFonts w:ascii="Helvetica" w:hAnsi="Helvetica"/>
          <w:szCs w:val="24"/>
        </w:rPr>
        <w:t xml:space="preserve"> </w:t>
      </w:r>
    </w:p>
    <w:p w14:paraId="393B614B" w14:textId="10AAD83C" w:rsidR="00FB1E72" w:rsidRPr="009B3DDE" w:rsidRDefault="00FB1E72" w:rsidP="009B3DDE">
      <w:pPr>
        <w:spacing w:before="120" w:line="480" w:lineRule="auto"/>
        <w:jc w:val="both"/>
        <w:rPr>
          <w:rFonts w:ascii="Helvetica" w:hAnsi="Helvetica"/>
          <w:szCs w:val="24"/>
        </w:rPr>
      </w:pPr>
      <w:r w:rsidRPr="009B3DDE">
        <w:rPr>
          <w:rFonts w:ascii="Helvetica" w:eastAsia="Times New Roman" w:hAnsi="Helvetica" w:cs="Times New Roman"/>
          <w:szCs w:val="24"/>
          <w:lang w:eastAsia="en-US"/>
        </w:rPr>
        <w:t xml:space="preserve">Atkinson, </w:t>
      </w:r>
      <w:r w:rsidR="006F50BD" w:rsidRPr="009B3DDE">
        <w:rPr>
          <w:rFonts w:ascii="Helvetica" w:eastAsia="Times New Roman" w:hAnsi="Helvetica" w:cs="Times New Roman"/>
          <w:szCs w:val="24"/>
          <w:lang w:eastAsia="en-US"/>
        </w:rPr>
        <w:t xml:space="preserve">Giles, </w:t>
      </w:r>
      <w:r w:rsidRPr="009B3DDE">
        <w:rPr>
          <w:rFonts w:ascii="Helvetica" w:eastAsia="Times New Roman" w:hAnsi="Helvetica" w:cs="Times New Roman"/>
          <w:szCs w:val="24"/>
          <w:lang w:eastAsia="en-US"/>
        </w:rPr>
        <w:t xml:space="preserve">Simon Dietz, Jennifer Helgeson, Cameron Hepburn, and </w:t>
      </w:r>
      <w:proofErr w:type="spellStart"/>
      <w:r w:rsidRPr="009B3DDE">
        <w:rPr>
          <w:rFonts w:ascii="Helvetica" w:eastAsia="Times New Roman" w:hAnsi="Helvetica" w:cs="Times New Roman"/>
          <w:szCs w:val="24"/>
          <w:lang w:eastAsia="en-US"/>
        </w:rPr>
        <w:t>Håkon</w:t>
      </w:r>
      <w:proofErr w:type="spellEnd"/>
      <w:r w:rsidRPr="009B3DDE">
        <w:rPr>
          <w:rFonts w:ascii="Helvetica" w:eastAsia="Times New Roman" w:hAnsi="Helvetica" w:cs="Times New Roman"/>
          <w:szCs w:val="24"/>
          <w:lang w:eastAsia="en-US"/>
        </w:rPr>
        <w:t xml:space="preserve"> </w:t>
      </w:r>
      <w:proofErr w:type="spellStart"/>
      <w:r w:rsidRPr="009B3DDE">
        <w:rPr>
          <w:rFonts w:ascii="Helvetica" w:eastAsia="Times New Roman" w:hAnsi="Helvetica" w:cs="Times New Roman"/>
          <w:szCs w:val="24"/>
          <w:lang w:eastAsia="en-US"/>
        </w:rPr>
        <w:t>Sælen</w:t>
      </w:r>
      <w:proofErr w:type="spellEnd"/>
      <w:r w:rsidRPr="009B3DDE">
        <w:rPr>
          <w:rFonts w:ascii="Helvetica" w:hAnsi="Helvetica"/>
          <w:szCs w:val="24"/>
        </w:rPr>
        <w:t xml:space="preserve">, </w:t>
      </w:r>
      <w:r w:rsidR="000C35E3" w:rsidRPr="009B3DDE">
        <w:rPr>
          <w:rFonts w:ascii="Helvetica" w:hAnsi="Helvetica"/>
          <w:szCs w:val="24"/>
        </w:rPr>
        <w:t xml:space="preserve">(2009). </w:t>
      </w:r>
      <w:r w:rsidRPr="009B3DDE">
        <w:rPr>
          <w:rFonts w:ascii="Helvetica" w:hAnsi="Helvetica"/>
          <w:szCs w:val="24"/>
        </w:rPr>
        <w:t xml:space="preserve">‘Social Preferences for Risk, Inequality and Time in Discounting Climate Change.’ Economics Discussion Papers, No 2009-14, Kiel Institute for the World Economy. </w:t>
      </w:r>
      <w:hyperlink r:id="rId14" w:history="1">
        <w:r w:rsidRPr="009B3DDE">
          <w:rPr>
            <w:rStyle w:val="Hyperlink"/>
            <w:rFonts w:ascii="Helvetica" w:hAnsi="Helvetica"/>
            <w:szCs w:val="24"/>
          </w:rPr>
          <w:t>http://www.economics-ejournal.org/economics/discussionpapers/2009-14</w:t>
        </w:r>
      </w:hyperlink>
      <w:r w:rsidRPr="009B3DDE">
        <w:rPr>
          <w:rFonts w:ascii="Helvetica" w:hAnsi="Helvetica"/>
          <w:szCs w:val="24"/>
        </w:rPr>
        <w:t xml:space="preserve"> </w:t>
      </w:r>
    </w:p>
    <w:p w14:paraId="04227106" w14:textId="5293A0CC" w:rsidR="006F50BD" w:rsidRPr="009B3DDE" w:rsidRDefault="006F50BD" w:rsidP="009B3DDE">
      <w:pPr>
        <w:spacing w:before="120" w:line="480" w:lineRule="auto"/>
        <w:jc w:val="both"/>
        <w:rPr>
          <w:rFonts w:ascii="Helvetica" w:hAnsi="Helvetica"/>
          <w:szCs w:val="24"/>
        </w:rPr>
      </w:pPr>
      <w:r w:rsidRPr="009B3DDE">
        <w:rPr>
          <w:rFonts w:ascii="Helvetica" w:hAnsi="Helvetica"/>
          <w:szCs w:val="24"/>
        </w:rPr>
        <w:t xml:space="preserve">Bartolini, David, </w:t>
      </w:r>
      <w:proofErr w:type="spellStart"/>
      <w:r w:rsidRPr="009B3DDE">
        <w:rPr>
          <w:rFonts w:ascii="Helvetica" w:hAnsi="Helvetica"/>
          <w:szCs w:val="24"/>
        </w:rPr>
        <w:t>Sibylle</w:t>
      </w:r>
      <w:proofErr w:type="spellEnd"/>
      <w:r w:rsidRPr="009B3DDE">
        <w:rPr>
          <w:rFonts w:ascii="Helvetica" w:hAnsi="Helvetica"/>
          <w:szCs w:val="24"/>
        </w:rPr>
        <w:t xml:space="preserve"> </w:t>
      </w:r>
      <w:proofErr w:type="spellStart"/>
      <w:r w:rsidRPr="009B3DDE">
        <w:rPr>
          <w:rFonts w:ascii="Helvetica" w:hAnsi="Helvetica"/>
          <w:szCs w:val="24"/>
        </w:rPr>
        <w:t>Stossberg</w:t>
      </w:r>
      <w:proofErr w:type="spellEnd"/>
      <w:r w:rsidRPr="009B3DDE">
        <w:rPr>
          <w:rFonts w:ascii="Helvetica" w:hAnsi="Helvetica"/>
          <w:szCs w:val="24"/>
        </w:rPr>
        <w:t xml:space="preserve"> and </w:t>
      </w:r>
      <w:proofErr w:type="spellStart"/>
      <w:r w:rsidRPr="009B3DDE">
        <w:rPr>
          <w:rFonts w:ascii="Helvetica" w:hAnsi="Helvetica"/>
          <w:szCs w:val="24"/>
        </w:rPr>
        <w:t>Hansjörg</w:t>
      </w:r>
      <w:proofErr w:type="spellEnd"/>
      <w:r w:rsidRPr="009B3DDE">
        <w:rPr>
          <w:rFonts w:ascii="Helvetica" w:hAnsi="Helvetica"/>
          <w:szCs w:val="24"/>
        </w:rPr>
        <w:t xml:space="preserve"> </w:t>
      </w:r>
      <w:proofErr w:type="spellStart"/>
      <w:r w:rsidRPr="009B3DDE">
        <w:rPr>
          <w:rFonts w:ascii="Helvetica" w:hAnsi="Helvetica"/>
          <w:szCs w:val="24"/>
        </w:rPr>
        <w:t>Blöchliger</w:t>
      </w:r>
      <w:proofErr w:type="spellEnd"/>
      <w:r w:rsidRPr="009B3DDE">
        <w:rPr>
          <w:rFonts w:ascii="Helvetica" w:hAnsi="Helvetica"/>
          <w:szCs w:val="24"/>
        </w:rPr>
        <w:t xml:space="preserve"> (2016). Fiscal Decentralisation and Regional Disparities, OECD Economics Department Working Papers No. 1330, from: </w:t>
      </w:r>
      <w:hyperlink r:id="rId15" w:history="1">
        <w:r w:rsidR="00C16BE4" w:rsidRPr="009B3DDE">
          <w:rPr>
            <w:rStyle w:val="Hyperlink"/>
            <w:rFonts w:ascii="Helvetica" w:hAnsi="Helvetica"/>
            <w:szCs w:val="24"/>
          </w:rPr>
          <w:t>http://www.oecd.org/officialdocuments/publicdisplaydocumentpdf/?cote=ECO/WKP(2016)54&amp;docLanguage=En</w:t>
        </w:r>
      </w:hyperlink>
      <w:r w:rsidR="00C16BE4" w:rsidRPr="009B3DDE">
        <w:rPr>
          <w:rFonts w:ascii="Helvetica" w:hAnsi="Helvetica"/>
          <w:szCs w:val="24"/>
        </w:rPr>
        <w:t xml:space="preserve"> </w:t>
      </w:r>
    </w:p>
    <w:p w14:paraId="63AD516D" w14:textId="0B1FD8E6" w:rsidR="00F82D98" w:rsidRPr="009B3DDE" w:rsidRDefault="00F82D98" w:rsidP="009B3DDE">
      <w:pPr>
        <w:spacing w:before="120" w:line="480" w:lineRule="auto"/>
        <w:jc w:val="both"/>
        <w:rPr>
          <w:rFonts w:ascii="Helvetica" w:hAnsi="Helvetica"/>
          <w:szCs w:val="24"/>
        </w:rPr>
      </w:pPr>
      <w:r w:rsidRPr="009B3DDE">
        <w:rPr>
          <w:rFonts w:ascii="Helvetica" w:hAnsi="Helvetica"/>
          <w:szCs w:val="24"/>
        </w:rPr>
        <w:t xml:space="preserve">BEIS (2017). “Industrial Strategy: building a Britain fit for the Future”, HM Government White Paper. Accessed on 27/11/17 from: </w:t>
      </w:r>
      <w:hyperlink r:id="rId16" w:history="1">
        <w:r w:rsidR="00C16BE4" w:rsidRPr="009B3DDE">
          <w:rPr>
            <w:rStyle w:val="Hyperlink"/>
            <w:rFonts w:ascii="Helvetica" w:hAnsi="Helvetica"/>
            <w:szCs w:val="24"/>
          </w:rPr>
          <w:t>https://www.gov.uk/government/publications/industrial-strategy-building-a-britain-fit-for-the-future</w:t>
        </w:r>
      </w:hyperlink>
      <w:r w:rsidR="00C16BE4" w:rsidRPr="009B3DDE">
        <w:rPr>
          <w:rFonts w:ascii="Helvetica" w:hAnsi="Helvetica"/>
          <w:szCs w:val="24"/>
        </w:rPr>
        <w:t xml:space="preserve"> </w:t>
      </w:r>
    </w:p>
    <w:p w14:paraId="5D2B2F09" w14:textId="782F9E0B" w:rsidR="00881087" w:rsidRPr="009B3DDE" w:rsidRDefault="00881087" w:rsidP="009B3DDE">
      <w:pPr>
        <w:spacing w:before="120" w:line="480" w:lineRule="auto"/>
        <w:jc w:val="both"/>
        <w:rPr>
          <w:rStyle w:val="st"/>
          <w:rFonts w:ascii="Helvetica" w:eastAsia="Times New Roman" w:hAnsi="Helvetica" w:cs="Times New Roman"/>
          <w:szCs w:val="24"/>
        </w:rPr>
      </w:pPr>
      <w:proofErr w:type="spellStart"/>
      <w:r w:rsidRPr="009B3DDE">
        <w:rPr>
          <w:rFonts w:ascii="Helvetica" w:eastAsia="Times New Roman" w:hAnsi="Helvetica" w:cs="Times New Roman"/>
          <w:szCs w:val="24"/>
          <w:lang w:eastAsia="en-US"/>
        </w:rPr>
        <w:t>Bom</w:t>
      </w:r>
      <w:proofErr w:type="spellEnd"/>
      <w:r w:rsidR="006F50BD"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 xml:space="preserve"> </w:t>
      </w:r>
      <w:r w:rsidR="006F50BD" w:rsidRPr="009B3DDE">
        <w:rPr>
          <w:rFonts w:ascii="Helvetica" w:eastAsia="Times New Roman" w:hAnsi="Helvetica" w:cs="Times New Roman"/>
          <w:szCs w:val="24"/>
          <w:lang w:eastAsia="en-US"/>
        </w:rPr>
        <w:t xml:space="preserve">Pedro </w:t>
      </w:r>
      <w:r w:rsidRPr="009B3DDE">
        <w:rPr>
          <w:rFonts w:ascii="Helvetica" w:eastAsia="Times New Roman" w:hAnsi="Helvetica" w:cs="Times New Roman"/>
          <w:szCs w:val="24"/>
          <w:lang w:eastAsia="en-US"/>
        </w:rPr>
        <w:t xml:space="preserve">and Jenny </w:t>
      </w:r>
      <w:proofErr w:type="spellStart"/>
      <w:r w:rsidRPr="009B3DDE">
        <w:rPr>
          <w:rFonts w:ascii="Helvetica" w:eastAsia="Times New Roman" w:hAnsi="Helvetica" w:cs="Times New Roman"/>
          <w:szCs w:val="24"/>
          <w:lang w:eastAsia="en-US"/>
        </w:rPr>
        <w:t>Ligthart</w:t>
      </w:r>
      <w:proofErr w:type="spellEnd"/>
      <w:r w:rsidRPr="009B3DDE">
        <w:rPr>
          <w:rFonts w:ascii="Helvetica" w:eastAsia="Times New Roman" w:hAnsi="Helvetica" w:cs="Times New Roman"/>
          <w:szCs w:val="24"/>
          <w:lang w:eastAsia="en-US"/>
        </w:rPr>
        <w:t xml:space="preserve"> (2014)</w:t>
      </w:r>
      <w:r w:rsidR="000C35E3"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 xml:space="preserve"> ‘What Have We Learned From Three Decades of Research on the Productivity of Public </w:t>
      </w:r>
      <w:proofErr w:type="gramStart"/>
      <w:r w:rsidRPr="009B3DDE">
        <w:rPr>
          <w:rFonts w:ascii="Helvetica" w:eastAsia="Times New Roman" w:hAnsi="Helvetica" w:cs="Times New Roman"/>
          <w:szCs w:val="24"/>
          <w:lang w:eastAsia="en-US"/>
        </w:rPr>
        <w:t>Capital?,</w:t>
      </w:r>
      <w:proofErr w:type="gramEnd"/>
      <w:r w:rsidRPr="009B3DDE">
        <w:rPr>
          <w:rFonts w:ascii="Helvetica" w:eastAsia="Times New Roman" w:hAnsi="Helvetica" w:cs="Times New Roman"/>
          <w:szCs w:val="24"/>
          <w:lang w:eastAsia="en-US"/>
        </w:rPr>
        <w:t xml:space="preserve"> </w:t>
      </w:r>
      <w:r w:rsidRPr="009B3DDE">
        <w:rPr>
          <w:rFonts w:ascii="Helvetica" w:eastAsia="Times New Roman" w:hAnsi="Helvetica" w:cs="Times New Roman"/>
          <w:i/>
          <w:szCs w:val="24"/>
          <w:lang w:eastAsia="en-US"/>
        </w:rPr>
        <w:t>Journal of Economic Surveys</w:t>
      </w:r>
      <w:r w:rsidRPr="009B3DDE">
        <w:rPr>
          <w:rFonts w:ascii="Helvetica" w:eastAsia="Times New Roman" w:hAnsi="Helvetica" w:cs="Times New Roman"/>
          <w:szCs w:val="24"/>
          <w:lang w:eastAsia="en-US"/>
        </w:rPr>
        <w:t xml:space="preserve">, </w:t>
      </w:r>
      <w:r w:rsidRPr="009B3DDE">
        <w:rPr>
          <w:rStyle w:val="st"/>
          <w:rFonts w:ascii="Helvetica" w:eastAsia="Times New Roman" w:hAnsi="Helvetica" w:cs="Times New Roman"/>
          <w:szCs w:val="24"/>
        </w:rPr>
        <w:t>Vol. 28, No. 5, pp. 889–916</w:t>
      </w:r>
      <w:r w:rsidR="000C35E3" w:rsidRPr="009B3DDE">
        <w:rPr>
          <w:rStyle w:val="st"/>
          <w:rFonts w:ascii="Helvetica" w:eastAsia="Times New Roman" w:hAnsi="Helvetica" w:cs="Times New Roman"/>
          <w:szCs w:val="24"/>
        </w:rPr>
        <w:t>.</w:t>
      </w:r>
    </w:p>
    <w:p w14:paraId="26E40F93" w14:textId="3DC69E74" w:rsidR="00663EAA" w:rsidRPr="009B3DDE" w:rsidRDefault="00663EAA" w:rsidP="009B3DDE">
      <w:pPr>
        <w:spacing w:before="120" w:line="480" w:lineRule="auto"/>
        <w:jc w:val="both"/>
        <w:rPr>
          <w:rFonts w:ascii="Helvetica" w:eastAsia="Times New Roman" w:hAnsi="Helvetica" w:cs="Times New Roman"/>
          <w:szCs w:val="24"/>
          <w:lang w:eastAsia="en-US"/>
        </w:rPr>
      </w:pPr>
      <w:r w:rsidRPr="009B3DDE">
        <w:rPr>
          <w:rStyle w:val="st"/>
          <w:rFonts w:ascii="Helvetica" w:eastAsia="Times New Roman" w:hAnsi="Helvetica" w:cs="Times New Roman"/>
          <w:szCs w:val="24"/>
        </w:rPr>
        <w:t xml:space="preserve">Blond, P., Rosewell, B. and Sim, D. (2016). “Ticket to ride: how high speed rail for Liverpool can realise the Northern Powerhouse”, </w:t>
      </w:r>
      <w:proofErr w:type="spellStart"/>
      <w:r w:rsidRPr="009B3DDE">
        <w:rPr>
          <w:rStyle w:val="st"/>
          <w:rFonts w:ascii="Helvetica" w:eastAsia="Times New Roman" w:hAnsi="Helvetica" w:cs="Times New Roman"/>
          <w:szCs w:val="24"/>
        </w:rPr>
        <w:t>ResPublica</w:t>
      </w:r>
      <w:proofErr w:type="spellEnd"/>
      <w:r w:rsidRPr="009B3DDE">
        <w:rPr>
          <w:rStyle w:val="st"/>
          <w:rFonts w:ascii="Helvetica" w:eastAsia="Times New Roman" w:hAnsi="Helvetica" w:cs="Times New Roman"/>
          <w:szCs w:val="24"/>
        </w:rPr>
        <w:t xml:space="preserve"> report, from: https://www.respublica.org.uk/wp-content/uploads/2016/02/HS2-Liverpool.pdf</w:t>
      </w:r>
    </w:p>
    <w:p w14:paraId="2F2A2F4E" w14:textId="6777744C" w:rsidR="001B3FBE" w:rsidRPr="009B3DDE" w:rsidRDefault="001B3FBE" w:rsidP="009B3DDE">
      <w:pPr>
        <w:spacing w:before="120" w:line="480" w:lineRule="auto"/>
        <w:jc w:val="both"/>
        <w:rPr>
          <w:rFonts w:ascii="Helvetica" w:hAnsi="Helvetica"/>
          <w:szCs w:val="24"/>
        </w:rPr>
      </w:pPr>
      <w:r w:rsidRPr="009B3DDE">
        <w:rPr>
          <w:rFonts w:ascii="Helvetica" w:hAnsi="Helvetica"/>
          <w:szCs w:val="24"/>
        </w:rPr>
        <w:t>Crescenzi. R</w:t>
      </w:r>
      <w:r w:rsidR="00144ABA" w:rsidRPr="009B3DDE">
        <w:rPr>
          <w:rFonts w:ascii="Helvetica" w:hAnsi="Helvetica"/>
          <w:szCs w:val="24"/>
        </w:rPr>
        <w:t>.,</w:t>
      </w:r>
      <w:r w:rsidRPr="009B3DDE">
        <w:rPr>
          <w:szCs w:val="24"/>
        </w:rPr>
        <w:t xml:space="preserve"> </w:t>
      </w:r>
      <w:r w:rsidRPr="009B3DDE">
        <w:rPr>
          <w:rFonts w:ascii="Helvetica" w:hAnsi="Helvetica"/>
          <w:szCs w:val="24"/>
        </w:rPr>
        <w:t xml:space="preserve">Di </w:t>
      </w:r>
      <w:proofErr w:type="spellStart"/>
      <w:r w:rsidRPr="009B3DDE">
        <w:rPr>
          <w:rFonts w:ascii="Helvetica" w:hAnsi="Helvetica"/>
          <w:szCs w:val="24"/>
        </w:rPr>
        <w:t>Cataldo</w:t>
      </w:r>
      <w:proofErr w:type="spellEnd"/>
      <w:r w:rsidRPr="009B3DDE">
        <w:rPr>
          <w:rFonts w:ascii="Helvetica" w:hAnsi="Helvetica"/>
          <w:szCs w:val="24"/>
        </w:rPr>
        <w:t xml:space="preserve">, M. </w:t>
      </w:r>
      <w:r w:rsidR="009C72F1">
        <w:rPr>
          <w:rFonts w:ascii="Helvetica" w:hAnsi="Helvetica"/>
          <w:szCs w:val="24"/>
        </w:rPr>
        <w:t>&amp;</w:t>
      </w:r>
      <w:r w:rsidR="009C72F1" w:rsidRPr="009B3DDE">
        <w:rPr>
          <w:rFonts w:ascii="Helvetica" w:hAnsi="Helvetica"/>
          <w:szCs w:val="24"/>
        </w:rPr>
        <w:t xml:space="preserve"> </w:t>
      </w:r>
      <w:proofErr w:type="spellStart"/>
      <w:r w:rsidRPr="009B3DDE">
        <w:rPr>
          <w:rFonts w:ascii="Helvetica" w:hAnsi="Helvetica" w:hint="eastAsia"/>
          <w:szCs w:val="24"/>
        </w:rPr>
        <w:t>Rodrıguez</w:t>
      </w:r>
      <w:proofErr w:type="spellEnd"/>
      <w:r w:rsidRPr="009B3DDE">
        <w:rPr>
          <w:rFonts w:ascii="Helvetica" w:hAnsi="Helvetica" w:hint="eastAsia"/>
          <w:szCs w:val="24"/>
        </w:rPr>
        <w:t>-Pose</w:t>
      </w:r>
      <w:r w:rsidRPr="009B3DDE">
        <w:rPr>
          <w:rFonts w:ascii="Helvetica" w:hAnsi="Helvetica"/>
          <w:szCs w:val="24"/>
        </w:rPr>
        <w:t>, A. (2016). ‘Government Quality and the Economic Returns of Transport Infrastructure Investment In European Regions’, Journal of Regional Science, Vol. 56, No. 4, pp. 555–582.</w:t>
      </w:r>
    </w:p>
    <w:p w14:paraId="05A326AD" w14:textId="7E0CDE4F" w:rsidR="00D967FF" w:rsidRPr="009B3DDE" w:rsidRDefault="00D967FF" w:rsidP="009B3DDE">
      <w:pPr>
        <w:spacing w:before="120" w:line="480" w:lineRule="auto"/>
        <w:jc w:val="both"/>
        <w:rPr>
          <w:rFonts w:ascii="Helvetica" w:hAnsi="Helvetica" w:cs="Times New Roman"/>
          <w:szCs w:val="24"/>
          <w:lang w:val="en-US"/>
        </w:rPr>
      </w:pPr>
      <w:r w:rsidRPr="009B3DDE">
        <w:rPr>
          <w:rFonts w:ascii="Helvetica" w:hAnsi="Helvetica" w:cs="Times New Roman"/>
          <w:szCs w:val="24"/>
          <w:lang w:val="en-US"/>
        </w:rPr>
        <w:t>Department for Transport, Data</w:t>
      </w:r>
      <w:r w:rsidR="00C810AB" w:rsidRPr="009B3DDE">
        <w:rPr>
          <w:rFonts w:ascii="Helvetica" w:hAnsi="Helvetica" w:cs="Times New Roman"/>
          <w:szCs w:val="24"/>
          <w:lang w:val="en-US"/>
        </w:rPr>
        <w:t>base</w:t>
      </w:r>
      <w:r w:rsidRPr="009B3DDE">
        <w:rPr>
          <w:rFonts w:ascii="Helvetica" w:hAnsi="Helvetica" w:cs="Times New Roman"/>
          <w:szCs w:val="24"/>
          <w:lang w:val="en-US"/>
        </w:rPr>
        <w:t xml:space="preserve"> on investment returns from transport schemes considered by the Eddington Study, 2006. </w:t>
      </w:r>
      <w:hyperlink r:id="rId17" w:history="1">
        <w:r w:rsidRPr="009B3DDE">
          <w:rPr>
            <w:rStyle w:val="Hyperlink"/>
            <w:rFonts w:ascii="Helvetica" w:hAnsi="Helvetica" w:cs="Times New Roman"/>
            <w:szCs w:val="24"/>
            <w:lang w:val="en-US"/>
          </w:rPr>
          <w:t>http://webarchive.nationalarchives.gov.uk/20080807161546/http://www.dft.gov.uk/about/strategy/transportstrategy/eddingtonstudy/pubeddingbase</w:t>
        </w:r>
      </w:hyperlink>
    </w:p>
    <w:p w14:paraId="648527B7" w14:textId="2BE394AD" w:rsidR="00C810AB" w:rsidRPr="009B3DDE" w:rsidRDefault="000447D6" w:rsidP="009B3DDE">
      <w:pPr>
        <w:spacing w:before="120" w:line="480" w:lineRule="auto"/>
        <w:jc w:val="both"/>
        <w:rPr>
          <w:rFonts w:ascii="Helvetica" w:hAnsi="Helvetica"/>
          <w:szCs w:val="24"/>
        </w:rPr>
      </w:pPr>
      <w:r w:rsidRPr="009B3DDE">
        <w:rPr>
          <w:rFonts w:ascii="Helvetica" w:hAnsi="Helvetica"/>
          <w:szCs w:val="24"/>
        </w:rPr>
        <w:t>Department for Transport (2017</w:t>
      </w:r>
      <w:r w:rsidR="00DF6CF4" w:rsidRPr="009B3DDE">
        <w:rPr>
          <w:rFonts w:ascii="Helvetica" w:hAnsi="Helvetica"/>
          <w:szCs w:val="24"/>
        </w:rPr>
        <w:t>a</w:t>
      </w:r>
      <w:r w:rsidRPr="009B3DDE">
        <w:rPr>
          <w:rFonts w:ascii="Helvetica" w:hAnsi="Helvetica"/>
          <w:szCs w:val="24"/>
        </w:rPr>
        <w:t>). Strategic Case Supplementary Guidance: Rebalancing Toolkit. Accessed</w:t>
      </w:r>
      <w:r w:rsidR="002322EA" w:rsidRPr="009B3DDE">
        <w:rPr>
          <w:rFonts w:ascii="Helvetica" w:hAnsi="Helvetica"/>
          <w:szCs w:val="24"/>
        </w:rPr>
        <w:t xml:space="preserve"> on 28/2/18</w:t>
      </w:r>
      <w:r w:rsidRPr="009B3DDE">
        <w:rPr>
          <w:rFonts w:ascii="Helvetica" w:hAnsi="Helvetica"/>
          <w:szCs w:val="24"/>
        </w:rPr>
        <w:t xml:space="preserve"> from</w:t>
      </w:r>
      <w:r w:rsidR="002322EA" w:rsidRPr="009B3DDE">
        <w:rPr>
          <w:rFonts w:ascii="Helvetica" w:hAnsi="Helvetica"/>
          <w:szCs w:val="24"/>
        </w:rPr>
        <w:t xml:space="preserve">: </w:t>
      </w:r>
      <w:hyperlink r:id="rId18" w:history="1">
        <w:r w:rsidR="002322EA" w:rsidRPr="009B3DDE">
          <w:rPr>
            <w:rStyle w:val="Hyperlink"/>
            <w:rFonts w:ascii="Helvetica" w:hAnsi="Helvetica"/>
            <w:szCs w:val="24"/>
          </w:rPr>
          <w:t>https://assets.publishing.service.gov.uk/government/uploads/system/uploads/attachment_data/file/669043/supplementary-guidance-rebalancing-toolkit.pdf</w:t>
        </w:r>
      </w:hyperlink>
    </w:p>
    <w:p w14:paraId="205B7D73" w14:textId="2B78860A" w:rsidR="006F50BD" w:rsidRPr="009B3DDE" w:rsidRDefault="00C810AB" w:rsidP="009B3DDE">
      <w:pPr>
        <w:spacing w:before="120" w:line="480" w:lineRule="auto"/>
        <w:jc w:val="both"/>
        <w:rPr>
          <w:rFonts w:ascii="Helvetica" w:hAnsi="Helvetica"/>
          <w:szCs w:val="24"/>
        </w:rPr>
      </w:pPr>
      <w:r w:rsidRPr="009B3DDE">
        <w:rPr>
          <w:rFonts w:ascii="Helvetica" w:hAnsi="Helvetica"/>
          <w:szCs w:val="24"/>
        </w:rPr>
        <w:t xml:space="preserve">Department for Transport, </w:t>
      </w:r>
      <w:r w:rsidR="00DF6CF4" w:rsidRPr="009B3DDE">
        <w:rPr>
          <w:rFonts w:ascii="Helvetica" w:hAnsi="Helvetica"/>
          <w:szCs w:val="24"/>
        </w:rPr>
        <w:t>(</w:t>
      </w:r>
      <w:r w:rsidRPr="009B3DDE">
        <w:rPr>
          <w:rFonts w:ascii="Helvetica" w:hAnsi="Helvetica"/>
          <w:szCs w:val="24"/>
        </w:rPr>
        <w:t>2017b</w:t>
      </w:r>
      <w:r w:rsidR="00DF6CF4" w:rsidRPr="009B3DDE">
        <w:rPr>
          <w:rFonts w:ascii="Helvetica" w:hAnsi="Helvetica"/>
          <w:szCs w:val="24"/>
        </w:rPr>
        <w:t>)</w:t>
      </w:r>
      <w:r w:rsidRPr="009B3DDE">
        <w:rPr>
          <w:rFonts w:ascii="Helvetica" w:hAnsi="Helvetica"/>
          <w:szCs w:val="24"/>
        </w:rPr>
        <w:t xml:space="preserve">.  ‘Wider Economic Impacts Appraisal’, </w:t>
      </w:r>
      <w:hyperlink r:id="rId19" w:history="1">
        <w:r w:rsidR="006F50BD" w:rsidRPr="009B3DDE">
          <w:rPr>
            <w:rStyle w:val="Hyperlink"/>
            <w:rFonts w:ascii="Helvetica" w:hAnsi="Helvetica"/>
            <w:szCs w:val="24"/>
          </w:rPr>
          <w:t>https://assets.publishing.service.gov.uk/government/uploads/system/uploads/attachment_data/file/667192/tag-unit-a2-1-wider-economic-impacts-appraisal.pdf</w:t>
        </w:r>
      </w:hyperlink>
    </w:p>
    <w:p w14:paraId="28D5B36D" w14:textId="2F721E7C" w:rsidR="00CB512A" w:rsidRPr="009B3DDE" w:rsidRDefault="00CB512A" w:rsidP="009B3DDE">
      <w:pPr>
        <w:spacing w:before="120" w:line="480" w:lineRule="auto"/>
        <w:jc w:val="both"/>
        <w:rPr>
          <w:rFonts w:ascii="Helvetica" w:hAnsi="Helvetica"/>
          <w:szCs w:val="24"/>
        </w:rPr>
      </w:pPr>
      <w:r w:rsidRPr="009B3DDE">
        <w:rPr>
          <w:rFonts w:ascii="Helvetica" w:hAnsi="Helvetica"/>
          <w:szCs w:val="24"/>
        </w:rPr>
        <w:t xml:space="preserve">Dietz, Simon and Cameron Hepburn, </w:t>
      </w:r>
      <w:r w:rsidR="000C35E3" w:rsidRPr="009B3DDE">
        <w:rPr>
          <w:rFonts w:ascii="Helvetica" w:hAnsi="Helvetica"/>
          <w:szCs w:val="24"/>
        </w:rPr>
        <w:t xml:space="preserve">(2013). </w:t>
      </w:r>
      <w:r w:rsidRPr="009B3DDE">
        <w:rPr>
          <w:rFonts w:ascii="Helvetica" w:hAnsi="Helvetica"/>
          <w:szCs w:val="24"/>
        </w:rPr>
        <w:t xml:space="preserve">‘Benefit Cost Analysis of non-marginal climate and energy projects’, </w:t>
      </w:r>
      <w:r w:rsidRPr="009B3DDE">
        <w:rPr>
          <w:rFonts w:ascii="Helvetica" w:hAnsi="Helvetica"/>
          <w:i/>
          <w:szCs w:val="24"/>
        </w:rPr>
        <w:t>Energy Economics</w:t>
      </w:r>
      <w:r w:rsidRPr="009B3DDE">
        <w:rPr>
          <w:rFonts w:ascii="Helvetica" w:hAnsi="Helvetica"/>
          <w:szCs w:val="24"/>
        </w:rPr>
        <w:t>, 40</w:t>
      </w:r>
      <w:r w:rsidR="000C35E3" w:rsidRPr="009B3DDE">
        <w:rPr>
          <w:rFonts w:ascii="Helvetica" w:hAnsi="Helvetica"/>
          <w:szCs w:val="24"/>
        </w:rPr>
        <w:t>:</w:t>
      </w:r>
      <w:r w:rsidRPr="009B3DDE">
        <w:rPr>
          <w:rFonts w:ascii="Helvetica" w:hAnsi="Helvetica"/>
          <w:szCs w:val="24"/>
        </w:rPr>
        <w:t xml:space="preserve"> 61-71.</w:t>
      </w:r>
    </w:p>
    <w:p w14:paraId="4A510DBD" w14:textId="5308DF6D" w:rsidR="00BE2749" w:rsidRPr="009B3DDE" w:rsidRDefault="00BE2749" w:rsidP="009B3DDE">
      <w:pPr>
        <w:spacing w:before="120" w:line="480" w:lineRule="auto"/>
        <w:jc w:val="both"/>
        <w:rPr>
          <w:rFonts w:ascii="Helvetica" w:hAnsi="Helvetica"/>
          <w:szCs w:val="24"/>
        </w:rPr>
      </w:pPr>
      <w:r w:rsidRPr="009B3DDE">
        <w:rPr>
          <w:rFonts w:ascii="Helvetica" w:hAnsi="Helvetica"/>
          <w:szCs w:val="24"/>
        </w:rPr>
        <w:t xml:space="preserve">Donaldson, Dave, (2018), ‘Railroads of the Raj: Estimating the Impact of Transportation Infrastructure’, </w:t>
      </w:r>
      <w:r w:rsidRPr="009B3DDE">
        <w:rPr>
          <w:rFonts w:ascii="Helvetica" w:hAnsi="Helvetica"/>
          <w:i/>
          <w:szCs w:val="24"/>
        </w:rPr>
        <w:t>American Economic Revie</w:t>
      </w:r>
      <w:r w:rsidR="000C35E3" w:rsidRPr="009B3DDE">
        <w:rPr>
          <w:szCs w:val="24"/>
        </w:rPr>
        <w:t xml:space="preserve"> </w:t>
      </w:r>
      <w:r w:rsidR="000C35E3" w:rsidRPr="009B3DDE">
        <w:rPr>
          <w:rFonts w:ascii="Helvetica" w:hAnsi="Helvetica"/>
          <w:i/>
          <w:szCs w:val="24"/>
        </w:rPr>
        <w:t xml:space="preserve">w, 108(4-5): 899–934. </w:t>
      </w:r>
    </w:p>
    <w:p w14:paraId="355E0915" w14:textId="4970F438" w:rsidR="00EC5C08" w:rsidRPr="009B3DDE" w:rsidRDefault="00EC5C08" w:rsidP="009B3DDE">
      <w:pPr>
        <w:spacing w:before="120" w:line="480" w:lineRule="auto"/>
        <w:jc w:val="both"/>
        <w:rPr>
          <w:rFonts w:ascii="Helvetica" w:hAnsi="Helvetica"/>
          <w:szCs w:val="24"/>
        </w:rPr>
      </w:pPr>
      <w:r w:rsidRPr="009B3DDE">
        <w:rPr>
          <w:rFonts w:ascii="Helvetica" w:hAnsi="Helvetica"/>
          <w:szCs w:val="24"/>
        </w:rPr>
        <w:t xml:space="preserve">Eddington, Sir Rod, </w:t>
      </w:r>
      <w:r w:rsidR="000C35E3" w:rsidRPr="009B3DDE">
        <w:rPr>
          <w:rFonts w:ascii="Helvetica" w:hAnsi="Helvetica"/>
          <w:szCs w:val="24"/>
        </w:rPr>
        <w:t xml:space="preserve">(2006). </w:t>
      </w:r>
      <w:r w:rsidRPr="009B3DDE">
        <w:rPr>
          <w:rFonts w:ascii="Helvetica" w:hAnsi="Helvetica"/>
          <w:szCs w:val="24"/>
        </w:rPr>
        <w:t xml:space="preserve">The Eddington Transport Study, December 2006, </w:t>
      </w:r>
      <w:hyperlink r:id="rId20" w:history="1">
        <w:r w:rsidRPr="009B3DDE">
          <w:rPr>
            <w:rStyle w:val="Hyperlink"/>
            <w:rFonts w:ascii="Helvetica" w:hAnsi="Helvetica"/>
            <w:szCs w:val="24"/>
          </w:rPr>
          <w:t>http://webarchive.nationalarchives.gov.uk/20080804142919/http://www.dft.gov.uk/about/strategy/transportstrategy/eddingtonstudy/</w:t>
        </w:r>
      </w:hyperlink>
    </w:p>
    <w:p w14:paraId="67458371" w14:textId="6CB56D96" w:rsidR="00192277" w:rsidRPr="009B3DDE" w:rsidRDefault="00192277" w:rsidP="009B3DDE">
      <w:pPr>
        <w:spacing w:before="120" w:line="480" w:lineRule="auto"/>
        <w:jc w:val="both"/>
        <w:rPr>
          <w:rFonts w:ascii="Helvetica" w:hAnsi="Helvetica"/>
          <w:szCs w:val="24"/>
        </w:rPr>
      </w:pPr>
      <w:r w:rsidRPr="009B3DDE">
        <w:rPr>
          <w:rFonts w:ascii="Helvetica" w:eastAsia="Times New Roman" w:hAnsi="Helvetica" w:cs="Times New Roman"/>
          <w:szCs w:val="24"/>
          <w:lang w:eastAsia="en-US"/>
        </w:rPr>
        <w:t xml:space="preserve">Forth, Tom, </w:t>
      </w:r>
      <w:r w:rsidRPr="009B3DDE">
        <w:rPr>
          <w:rFonts w:ascii="Helvetica" w:hAnsi="Helvetica"/>
          <w:szCs w:val="24"/>
        </w:rPr>
        <w:t xml:space="preserve">(2017), ‘Investment is Political’, </w:t>
      </w:r>
      <w:hyperlink r:id="rId21" w:history="1">
        <w:r w:rsidRPr="009B3DDE">
          <w:rPr>
            <w:rStyle w:val="Hyperlink"/>
            <w:rFonts w:ascii="Helvetica" w:hAnsi="Helvetica"/>
            <w:szCs w:val="24"/>
          </w:rPr>
          <w:t>https://www.tomforth.co.uk/investmentispolitical/</w:t>
        </w:r>
      </w:hyperlink>
    </w:p>
    <w:p w14:paraId="53C6DC91" w14:textId="028FE5E0" w:rsidR="00EB4B13" w:rsidRPr="009B3DDE" w:rsidRDefault="00EB4B13" w:rsidP="009B3DDE">
      <w:pPr>
        <w:spacing w:before="120" w:line="480" w:lineRule="auto"/>
        <w:rPr>
          <w:rFonts w:ascii="Helvetica" w:eastAsia="Times New Roman" w:hAnsi="Helvetica" w:cs="Times New Roman"/>
          <w:szCs w:val="24"/>
          <w:lang w:eastAsia="en-US"/>
        </w:rPr>
      </w:pPr>
      <w:proofErr w:type="spellStart"/>
      <w:r w:rsidRPr="009B3DDE">
        <w:rPr>
          <w:rFonts w:ascii="Helvetica" w:eastAsia="Times New Roman" w:hAnsi="Helvetica" w:cs="Times New Roman"/>
          <w:szCs w:val="24"/>
          <w:lang w:eastAsia="en-US"/>
        </w:rPr>
        <w:t>Flyvbjerg</w:t>
      </w:r>
      <w:proofErr w:type="spellEnd"/>
      <w:r w:rsidRPr="009B3DDE">
        <w:rPr>
          <w:rFonts w:ascii="Helvetica" w:eastAsia="Times New Roman" w:hAnsi="Helvetica" w:cs="Times New Roman"/>
          <w:szCs w:val="24"/>
          <w:lang w:eastAsia="en-US"/>
        </w:rPr>
        <w:t xml:space="preserve">, Bent, </w:t>
      </w:r>
      <w:r w:rsidR="000C35E3"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2014</w:t>
      </w:r>
      <w:r w:rsidR="000C35E3"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 xml:space="preserve"> ‘What You Should Know about Megaprojects and Why: An Overview,’ </w:t>
      </w:r>
      <w:r w:rsidRPr="009B3DDE">
        <w:rPr>
          <w:rFonts w:ascii="Helvetica" w:eastAsia="Times New Roman" w:hAnsi="Helvetica" w:cs="Times New Roman"/>
          <w:i/>
          <w:szCs w:val="24"/>
          <w:lang w:eastAsia="en-US"/>
        </w:rPr>
        <w:t>Project Management Journal</w:t>
      </w:r>
      <w:r w:rsidRPr="009B3DDE">
        <w:rPr>
          <w:rFonts w:ascii="Helvetica" w:eastAsia="Times New Roman" w:hAnsi="Helvetica" w:cs="Times New Roman"/>
          <w:szCs w:val="24"/>
          <w:lang w:eastAsia="en-US"/>
        </w:rPr>
        <w:t>, vol. 45, no. 2, pp. 6-19</w:t>
      </w:r>
      <w:r w:rsidR="00DF6CF4" w:rsidRPr="009B3DDE">
        <w:rPr>
          <w:rFonts w:ascii="Helvetica" w:eastAsia="Times New Roman" w:hAnsi="Helvetica" w:cs="Times New Roman"/>
          <w:szCs w:val="24"/>
          <w:lang w:eastAsia="en-US"/>
        </w:rPr>
        <w:t>.</w:t>
      </w:r>
    </w:p>
    <w:p w14:paraId="14A6B235" w14:textId="7006A190" w:rsidR="00E00E53" w:rsidRPr="009B3DDE" w:rsidRDefault="00E00E53" w:rsidP="009B3DDE">
      <w:pPr>
        <w:spacing w:before="120" w:line="480" w:lineRule="auto"/>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Gibbons, S, </w:t>
      </w:r>
      <w:r w:rsidR="000C35E3"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2017</w:t>
      </w:r>
      <w:r w:rsidR="000C35E3" w:rsidRPr="009B3DDE">
        <w:rPr>
          <w:rFonts w:ascii="Helvetica" w:eastAsia="Times New Roman" w:hAnsi="Helvetica" w:cs="Times New Roman"/>
          <w:szCs w:val="24"/>
          <w:lang w:eastAsia="en-US"/>
        </w:rPr>
        <w:t>)</w:t>
      </w:r>
      <w:r w:rsidRPr="009B3DDE">
        <w:rPr>
          <w:rFonts w:ascii="Helvetica" w:eastAsia="Times New Roman" w:hAnsi="Helvetica" w:cs="Times New Roman"/>
          <w:szCs w:val="24"/>
          <w:lang w:eastAsia="en-US"/>
        </w:rPr>
        <w:t xml:space="preserve">. “Planes, Trains and Automobiles: The Economic Impact of Transport Infrastructure,”  SERC Policy Paper 13, </w:t>
      </w:r>
      <w:hyperlink r:id="rId22" w:history="1">
        <w:r w:rsidRPr="009B3DDE">
          <w:rPr>
            <w:rStyle w:val="Hyperlink"/>
            <w:rFonts w:ascii="Helvetica" w:eastAsia="Times New Roman" w:hAnsi="Helvetica" w:cs="Times New Roman"/>
            <w:szCs w:val="24"/>
            <w:lang w:eastAsia="en-US"/>
          </w:rPr>
          <w:t>http://www.spatialeconomics.ac.uk/textonly/serc/publications/download/sercpp013.pdf</w:t>
        </w:r>
      </w:hyperlink>
      <w:r w:rsidRPr="009B3DDE">
        <w:rPr>
          <w:rFonts w:ascii="Helvetica" w:eastAsia="Times New Roman" w:hAnsi="Helvetica" w:cs="Times New Roman"/>
          <w:szCs w:val="24"/>
          <w:lang w:eastAsia="en-US"/>
        </w:rPr>
        <w:t xml:space="preserve">  </w:t>
      </w:r>
    </w:p>
    <w:p w14:paraId="4C22B32F" w14:textId="782C3D38" w:rsidR="00846D7B" w:rsidRPr="009B3DDE" w:rsidRDefault="009D41D0" w:rsidP="009B3DDE">
      <w:pPr>
        <w:spacing w:before="120" w:line="480" w:lineRule="auto"/>
        <w:jc w:val="both"/>
        <w:rPr>
          <w:rStyle w:val="Hyperlink"/>
          <w:rFonts w:ascii="Helvetica" w:hAnsi="Helvetica"/>
          <w:szCs w:val="24"/>
        </w:rPr>
      </w:pPr>
      <w:r w:rsidRPr="009B3DDE">
        <w:rPr>
          <w:rFonts w:ascii="Helvetica" w:hAnsi="Helvetica"/>
          <w:szCs w:val="24"/>
        </w:rPr>
        <w:lastRenderedPageBreak/>
        <w:t xml:space="preserve">Gibbons, S., </w:t>
      </w:r>
      <w:proofErr w:type="spellStart"/>
      <w:r w:rsidRPr="009B3DDE">
        <w:rPr>
          <w:rFonts w:ascii="Helvetica" w:hAnsi="Helvetica"/>
          <w:szCs w:val="24"/>
        </w:rPr>
        <w:t>Heb</w:t>
      </w:r>
      <w:r w:rsidR="00485425" w:rsidRPr="009B3DDE">
        <w:rPr>
          <w:rFonts w:ascii="Helvetica" w:hAnsi="Helvetica"/>
          <w:szCs w:val="24"/>
        </w:rPr>
        <w:t>li</w:t>
      </w:r>
      <w:r w:rsidRPr="009B3DDE">
        <w:rPr>
          <w:rFonts w:ascii="Helvetica" w:hAnsi="Helvetica"/>
          <w:szCs w:val="24"/>
        </w:rPr>
        <w:t>ch</w:t>
      </w:r>
      <w:proofErr w:type="spellEnd"/>
      <w:r w:rsidRPr="009B3DDE">
        <w:rPr>
          <w:rFonts w:ascii="Helvetica" w:hAnsi="Helvetica"/>
          <w:szCs w:val="24"/>
        </w:rPr>
        <w:t>,</w:t>
      </w:r>
      <w:r w:rsidR="00485425" w:rsidRPr="009B3DDE">
        <w:rPr>
          <w:rFonts w:ascii="Helvetica" w:hAnsi="Helvetica"/>
          <w:szCs w:val="24"/>
        </w:rPr>
        <w:t xml:space="preserve"> S.</w:t>
      </w:r>
      <w:r w:rsidRPr="009B3DDE">
        <w:rPr>
          <w:rFonts w:ascii="Helvetica" w:hAnsi="Helvetica"/>
          <w:szCs w:val="24"/>
        </w:rPr>
        <w:t xml:space="preserve"> and Pinchbeck,</w:t>
      </w:r>
      <w:r w:rsidR="00485425" w:rsidRPr="009B3DDE">
        <w:rPr>
          <w:rFonts w:ascii="Helvetica" w:hAnsi="Helvetica"/>
          <w:szCs w:val="24"/>
        </w:rPr>
        <w:t xml:space="preserve"> E.</w:t>
      </w:r>
      <w:r w:rsidRPr="009B3DDE">
        <w:rPr>
          <w:rFonts w:ascii="Helvetica" w:hAnsi="Helvetica"/>
          <w:szCs w:val="24"/>
        </w:rPr>
        <w:t xml:space="preserve"> (201</w:t>
      </w:r>
      <w:r w:rsidR="00846D7B" w:rsidRPr="009B3DDE">
        <w:rPr>
          <w:rFonts w:ascii="Helvetica" w:hAnsi="Helvetica"/>
          <w:szCs w:val="24"/>
        </w:rPr>
        <w:t>8</w:t>
      </w:r>
      <w:r w:rsidRPr="009B3DDE">
        <w:rPr>
          <w:rFonts w:ascii="Helvetica" w:hAnsi="Helvetica"/>
          <w:szCs w:val="24"/>
        </w:rPr>
        <w:t xml:space="preserve">). “The Spatial Impacts of a Massive Rail Disinvestment Program: The </w:t>
      </w:r>
      <w:proofErr w:type="spellStart"/>
      <w:r w:rsidRPr="009B3DDE">
        <w:rPr>
          <w:rFonts w:ascii="Helvetica" w:hAnsi="Helvetica"/>
          <w:szCs w:val="24"/>
        </w:rPr>
        <w:t>Beeching</w:t>
      </w:r>
      <w:proofErr w:type="spellEnd"/>
      <w:r w:rsidRPr="009B3DDE">
        <w:rPr>
          <w:rFonts w:ascii="Helvetica" w:hAnsi="Helvetica"/>
          <w:szCs w:val="24"/>
        </w:rPr>
        <w:t xml:space="preserve"> Axe”, LSE </w:t>
      </w:r>
      <w:r w:rsidR="00846D7B" w:rsidRPr="009B3DDE">
        <w:rPr>
          <w:rFonts w:ascii="Helvetica" w:hAnsi="Helvetica"/>
          <w:szCs w:val="24"/>
        </w:rPr>
        <w:t>CEP Discussion Paper 1563</w:t>
      </w:r>
      <w:r w:rsidR="00E87B73" w:rsidRPr="009B3DDE">
        <w:rPr>
          <w:rFonts w:ascii="Helvetica" w:hAnsi="Helvetica"/>
          <w:szCs w:val="24"/>
        </w:rPr>
        <w:t xml:space="preserve">, </w:t>
      </w:r>
      <w:hyperlink r:id="rId23" w:history="1">
        <w:r w:rsidR="00846D7B" w:rsidRPr="009B3DDE">
          <w:rPr>
            <w:rStyle w:val="Hyperlink"/>
            <w:rFonts w:ascii="Helvetica" w:hAnsi="Helvetica"/>
            <w:szCs w:val="24"/>
          </w:rPr>
          <w:t>http://cep.lse.ac.uk/pubs/download/dp1563.pdf</w:t>
        </w:r>
      </w:hyperlink>
    </w:p>
    <w:p w14:paraId="10025C99" w14:textId="73967742" w:rsidR="001D2844" w:rsidRPr="009B3DDE" w:rsidRDefault="001D2844" w:rsidP="009B3DDE">
      <w:pPr>
        <w:spacing w:before="120" w:line="480" w:lineRule="auto"/>
        <w:jc w:val="both"/>
        <w:rPr>
          <w:rFonts w:ascii="Helvetica" w:hAnsi="Helvetica"/>
          <w:szCs w:val="24"/>
        </w:rPr>
      </w:pPr>
      <w:r w:rsidRPr="009B3DDE">
        <w:rPr>
          <w:rFonts w:ascii="Helvetica" w:hAnsi="Helvetica"/>
          <w:szCs w:val="24"/>
        </w:rPr>
        <w:t xml:space="preserve">Graham, D. and Van </w:t>
      </w:r>
      <w:proofErr w:type="spellStart"/>
      <w:r w:rsidRPr="009B3DDE">
        <w:rPr>
          <w:rFonts w:ascii="Helvetica" w:hAnsi="Helvetica"/>
          <w:szCs w:val="24"/>
        </w:rPr>
        <w:t>Dender</w:t>
      </w:r>
      <w:proofErr w:type="spellEnd"/>
      <w:r w:rsidRPr="009B3DDE">
        <w:rPr>
          <w:rFonts w:ascii="Helvetica" w:hAnsi="Helvetica"/>
          <w:szCs w:val="24"/>
        </w:rPr>
        <w:t>, K. (2011). “Estimating the agglomeration benefits of transport investments: some tests for stability”, Transportation, 38: 409-26.</w:t>
      </w:r>
    </w:p>
    <w:p w14:paraId="27AA9BE4" w14:textId="7E1320AF" w:rsidR="00FC2743" w:rsidRPr="009B3DDE" w:rsidRDefault="00FC2743" w:rsidP="009B3DDE">
      <w:pPr>
        <w:spacing w:before="120" w:line="480" w:lineRule="auto"/>
        <w:jc w:val="both"/>
        <w:rPr>
          <w:rFonts w:ascii="Helvetica" w:hAnsi="Helvetica"/>
          <w:szCs w:val="24"/>
        </w:rPr>
      </w:pPr>
      <w:r w:rsidRPr="009B3DDE">
        <w:rPr>
          <w:rFonts w:ascii="Helvetica" w:hAnsi="Helvetica"/>
          <w:szCs w:val="24"/>
        </w:rPr>
        <w:t xml:space="preserve">Greater Manchester Combined Authority, </w:t>
      </w:r>
      <w:r w:rsidR="00DF6CF4" w:rsidRPr="009B3DDE">
        <w:rPr>
          <w:rFonts w:ascii="Helvetica" w:hAnsi="Helvetica"/>
          <w:szCs w:val="24"/>
        </w:rPr>
        <w:t xml:space="preserve">(2014). </w:t>
      </w:r>
      <w:r w:rsidRPr="009B3DDE">
        <w:rPr>
          <w:rFonts w:ascii="Helvetica" w:hAnsi="Helvetica"/>
          <w:szCs w:val="24"/>
        </w:rPr>
        <w:t xml:space="preserve">Association of Greater Manchester Authorities, Greater Manchester Local Enterprise Partnership and Transport for Greater Manchester Greater Manchester Growth and Reform Plan: Transport Strategy and Investment Plan, </w:t>
      </w:r>
      <w:hyperlink r:id="rId24" w:history="1">
        <w:r w:rsidRPr="009B3DDE">
          <w:rPr>
            <w:rStyle w:val="Hyperlink"/>
            <w:rFonts w:ascii="Helvetica" w:hAnsi="Helvetica"/>
            <w:szCs w:val="24"/>
          </w:rPr>
          <w:t>http://www.tfgm.com/ltp3/Documents/GMGRP-Transport-Strategy.pdf</w:t>
        </w:r>
      </w:hyperlink>
      <w:r w:rsidRPr="009B3DDE">
        <w:rPr>
          <w:rFonts w:ascii="Helvetica" w:hAnsi="Helvetica"/>
          <w:szCs w:val="24"/>
        </w:rPr>
        <w:t xml:space="preserve"> </w:t>
      </w:r>
    </w:p>
    <w:p w14:paraId="1C511611" w14:textId="1F3554F3" w:rsidR="0042447A" w:rsidRPr="009B3DDE" w:rsidRDefault="00FD0599" w:rsidP="009B3DDE">
      <w:pPr>
        <w:spacing w:before="120" w:line="480" w:lineRule="auto"/>
        <w:jc w:val="both"/>
        <w:rPr>
          <w:rStyle w:val="Hyperlink"/>
          <w:rFonts w:ascii="Helvetica" w:hAnsi="Helvetica"/>
          <w:szCs w:val="24"/>
        </w:rPr>
      </w:pPr>
      <w:r w:rsidRPr="009B3DDE">
        <w:rPr>
          <w:rFonts w:ascii="Helvetica" w:hAnsi="Helvetica"/>
          <w:szCs w:val="24"/>
        </w:rPr>
        <w:t xml:space="preserve">HM Government (2017) Transport analysis guidance: </w:t>
      </w:r>
      <w:proofErr w:type="spellStart"/>
      <w:r w:rsidRPr="009B3DDE">
        <w:rPr>
          <w:rFonts w:ascii="Helvetica" w:hAnsi="Helvetica"/>
          <w:szCs w:val="24"/>
        </w:rPr>
        <w:t>WebTAG</w:t>
      </w:r>
      <w:proofErr w:type="spellEnd"/>
      <w:r w:rsidRPr="009B3DDE">
        <w:rPr>
          <w:rFonts w:ascii="Helvetica" w:hAnsi="Helvetica"/>
          <w:szCs w:val="24"/>
        </w:rPr>
        <w:t xml:space="preserve"> </w:t>
      </w:r>
      <w:hyperlink r:id="rId25" w:history="1">
        <w:r w:rsidRPr="009B3DDE">
          <w:rPr>
            <w:rStyle w:val="Hyperlink"/>
            <w:rFonts w:ascii="Helvetica" w:hAnsi="Helvetica"/>
            <w:szCs w:val="24"/>
          </w:rPr>
          <w:t>https://www.gov.uk/guidance/transport-analysis-guidance-webtag</w:t>
        </w:r>
      </w:hyperlink>
    </w:p>
    <w:p w14:paraId="5450D852" w14:textId="24B7317E" w:rsidR="002830A2" w:rsidRPr="009B3DDE" w:rsidRDefault="002830A2" w:rsidP="009B3DDE">
      <w:pPr>
        <w:spacing w:before="120" w:line="480" w:lineRule="auto"/>
        <w:jc w:val="both"/>
        <w:rPr>
          <w:rStyle w:val="Hyperlink"/>
          <w:rFonts w:ascii="Helvetica" w:hAnsi="Helvetica"/>
          <w:szCs w:val="24"/>
        </w:rPr>
      </w:pPr>
      <w:r w:rsidRPr="009B3DDE">
        <w:rPr>
          <w:rFonts w:ascii="Helvetica" w:hAnsi="Helvetica"/>
          <w:szCs w:val="24"/>
        </w:rPr>
        <w:t>HM Tr</w:t>
      </w:r>
      <w:r w:rsidR="005A445F" w:rsidRPr="009B3DDE">
        <w:rPr>
          <w:rFonts w:ascii="Helvetica" w:hAnsi="Helvetica"/>
          <w:szCs w:val="24"/>
        </w:rPr>
        <w:t>easury (2013), The Green Book, a</w:t>
      </w:r>
      <w:r w:rsidRPr="009B3DDE">
        <w:rPr>
          <w:rFonts w:ascii="Helvetica" w:hAnsi="Helvetica"/>
          <w:szCs w:val="24"/>
        </w:rPr>
        <w:t xml:space="preserve">ccessed on 12/12/17 from: </w:t>
      </w:r>
      <w:hyperlink r:id="rId26" w:history="1">
        <w:r w:rsidRPr="009B3DDE">
          <w:rPr>
            <w:rStyle w:val="Hyperlink"/>
            <w:rFonts w:ascii="Helvetica" w:hAnsi="Helvetica"/>
            <w:szCs w:val="24"/>
          </w:rPr>
          <w:t>https://www.gov.uk/government/publications/the-green-book-appraisal-and-evaluation-in-central-governent</w:t>
        </w:r>
      </w:hyperlink>
    </w:p>
    <w:p w14:paraId="11F27913" w14:textId="6B9255AC" w:rsidR="00DC72C3" w:rsidRPr="009B3DDE" w:rsidRDefault="00DC72C3" w:rsidP="009B3DDE">
      <w:pPr>
        <w:spacing w:before="120" w:line="480" w:lineRule="auto"/>
        <w:jc w:val="both"/>
        <w:rPr>
          <w:rFonts w:ascii="Helvetica" w:hAnsi="Helvetica"/>
          <w:szCs w:val="24"/>
        </w:rPr>
      </w:pPr>
      <w:r w:rsidRPr="009B3DDE">
        <w:rPr>
          <w:rFonts w:ascii="Helvetica" w:hAnsi="Helvetica"/>
          <w:szCs w:val="24"/>
        </w:rPr>
        <w:t xml:space="preserve">HM Treasury (2017), Public Expenditure Statistics Analysis 2017, accessed 23/11/17 from: </w:t>
      </w:r>
      <w:hyperlink r:id="rId27" w:history="1">
        <w:r w:rsidRPr="009B3DDE">
          <w:rPr>
            <w:rStyle w:val="Hyperlink"/>
            <w:rFonts w:ascii="Helvetica" w:hAnsi="Helvetica"/>
            <w:szCs w:val="24"/>
          </w:rPr>
          <w:t>https://www.gov.uk/government/statistics/public-expenditure-statistical-analyses-2017</w:t>
        </w:r>
      </w:hyperlink>
      <w:r w:rsidRPr="009B3DDE">
        <w:rPr>
          <w:rFonts w:ascii="Helvetica" w:hAnsi="Helvetica"/>
          <w:szCs w:val="24"/>
        </w:rPr>
        <w:t xml:space="preserve"> </w:t>
      </w:r>
    </w:p>
    <w:p w14:paraId="66507D5D" w14:textId="02EC702B" w:rsidR="005A445F" w:rsidRPr="009B3DDE" w:rsidRDefault="005A445F" w:rsidP="009B3DDE">
      <w:pPr>
        <w:spacing w:before="120" w:line="480" w:lineRule="auto"/>
        <w:jc w:val="both"/>
        <w:rPr>
          <w:rFonts w:ascii="Helvetica" w:hAnsi="Helvetica"/>
          <w:szCs w:val="24"/>
        </w:rPr>
      </w:pPr>
      <w:r w:rsidRPr="009B3DDE">
        <w:rPr>
          <w:rFonts w:ascii="Helvetica" w:hAnsi="Helvetica"/>
          <w:szCs w:val="24"/>
        </w:rPr>
        <w:t xml:space="preserve">HM Treasury (2018), The Green Book, last accessed 28/6/18: </w:t>
      </w:r>
      <w:hyperlink r:id="rId28" w:history="1">
        <w:r w:rsidR="000C35E3" w:rsidRPr="009B3DDE">
          <w:rPr>
            <w:rStyle w:val="Hyperlink"/>
            <w:rFonts w:ascii="Helvetica" w:hAnsi="Helvetica"/>
            <w:szCs w:val="24"/>
          </w:rPr>
          <w:t>https://assets.publishing.service.gov.uk/government/uploads/system/uploads/attachment_data/file/685903/The_Green_Book.pdf</w:t>
        </w:r>
      </w:hyperlink>
      <w:r w:rsidR="000C35E3" w:rsidRPr="009B3DDE">
        <w:rPr>
          <w:rFonts w:ascii="Helvetica" w:hAnsi="Helvetica"/>
          <w:szCs w:val="24"/>
        </w:rPr>
        <w:t xml:space="preserve"> </w:t>
      </w:r>
    </w:p>
    <w:p w14:paraId="2215936B" w14:textId="461415B7" w:rsidR="004F78AA" w:rsidRPr="009B3DDE" w:rsidRDefault="008153BE" w:rsidP="009B3DDE">
      <w:pPr>
        <w:spacing w:before="120" w:line="480" w:lineRule="auto"/>
        <w:jc w:val="both"/>
        <w:rPr>
          <w:rFonts w:ascii="Helvetica" w:hAnsi="Helvetica"/>
          <w:szCs w:val="24"/>
        </w:rPr>
      </w:pPr>
      <w:r w:rsidRPr="009B3DDE">
        <w:rPr>
          <w:rFonts w:ascii="Helvetica" w:hAnsi="Helvetica"/>
          <w:szCs w:val="24"/>
        </w:rPr>
        <w:lastRenderedPageBreak/>
        <w:t xml:space="preserve">HM Treasury and the Infrastructure and Projects Authority (2017), National Infrastructure and Construction Pipeline Spreadsheet, Autumn 2017 </w:t>
      </w:r>
      <w:hyperlink r:id="rId29" w:history="1">
        <w:r w:rsidR="004F78AA" w:rsidRPr="009B3DDE">
          <w:rPr>
            <w:rStyle w:val="Hyperlink"/>
            <w:rFonts w:ascii="Helvetica" w:hAnsi="Helvetica"/>
            <w:szCs w:val="24"/>
          </w:rPr>
          <w:t>https://www.gov.uk/government/publications/national-infrastructure-and-construction-pipeline-2017</w:t>
        </w:r>
      </w:hyperlink>
      <w:r w:rsidR="004F78AA" w:rsidRPr="009B3DDE">
        <w:rPr>
          <w:rFonts w:ascii="Helvetica" w:hAnsi="Helvetica"/>
          <w:szCs w:val="24"/>
        </w:rPr>
        <w:t xml:space="preserve"> </w:t>
      </w:r>
    </w:p>
    <w:p w14:paraId="333B2277" w14:textId="77777777" w:rsidR="00FC2743" w:rsidRPr="009B3DDE" w:rsidRDefault="00FC2743" w:rsidP="009B3DDE">
      <w:pPr>
        <w:spacing w:before="120" w:line="480" w:lineRule="auto"/>
        <w:jc w:val="both"/>
        <w:rPr>
          <w:rFonts w:ascii="Helvetica" w:hAnsi="Helvetica"/>
          <w:szCs w:val="24"/>
        </w:rPr>
      </w:pPr>
      <w:proofErr w:type="spellStart"/>
      <w:r w:rsidRPr="009B3DDE">
        <w:rPr>
          <w:rFonts w:ascii="Helvetica" w:hAnsi="Helvetica"/>
          <w:szCs w:val="24"/>
        </w:rPr>
        <w:t>iBUILD</w:t>
      </w:r>
      <w:proofErr w:type="spellEnd"/>
      <w:r w:rsidRPr="009B3DDE">
        <w:rPr>
          <w:rFonts w:ascii="Helvetica" w:hAnsi="Helvetica"/>
          <w:szCs w:val="24"/>
        </w:rPr>
        <w:t xml:space="preserve"> (2018). “Closing the Gap: local infrastructure business models to support inclusive growth”, </w:t>
      </w:r>
      <w:proofErr w:type="spellStart"/>
      <w:r w:rsidRPr="009B3DDE">
        <w:rPr>
          <w:rFonts w:ascii="Helvetica" w:hAnsi="Helvetica"/>
          <w:szCs w:val="24"/>
        </w:rPr>
        <w:t>iBUILD</w:t>
      </w:r>
      <w:proofErr w:type="spellEnd"/>
      <w:r w:rsidRPr="009B3DDE">
        <w:rPr>
          <w:rFonts w:ascii="Helvetica" w:hAnsi="Helvetica"/>
          <w:szCs w:val="24"/>
        </w:rPr>
        <w:t xml:space="preserve"> Research Centre Final Report, Newcastle University. ISBN 978-1-9996347-0-4. Accessed on 2/3/18 from: </w:t>
      </w:r>
      <w:hyperlink r:id="rId30" w:history="1">
        <w:r w:rsidRPr="009B3DDE">
          <w:rPr>
            <w:rStyle w:val="Hyperlink"/>
            <w:rFonts w:ascii="Helvetica" w:hAnsi="Helvetica"/>
            <w:szCs w:val="24"/>
          </w:rPr>
          <w:t>http://research.ncl.ac.uk/ibuild/2018finalreport/</w:t>
        </w:r>
      </w:hyperlink>
      <w:r w:rsidRPr="009B3DDE">
        <w:rPr>
          <w:rFonts w:ascii="Helvetica" w:hAnsi="Helvetica"/>
          <w:szCs w:val="24"/>
        </w:rPr>
        <w:t xml:space="preserve"> </w:t>
      </w:r>
    </w:p>
    <w:p w14:paraId="6D867017" w14:textId="0926EBD8" w:rsidR="00D15E0E" w:rsidRPr="009B3DDE" w:rsidRDefault="00D15E0E" w:rsidP="009B3DDE">
      <w:pPr>
        <w:spacing w:before="120" w:line="480" w:lineRule="auto"/>
        <w:jc w:val="both"/>
        <w:rPr>
          <w:rFonts w:ascii="Helvetica" w:hAnsi="Helvetica"/>
          <w:szCs w:val="24"/>
        </w:rPr>
      </w:pPr>
      <w:r w:rsidRPr="009B3DDE">
        <w:rPr>
          <w:rFonts w:ascii="Helvetica" w:hAnsi="Helvetica"/>
          <w:szCs w:val="24"/>
        </w:rPr>
        <w:t>Indust</w:t>
      </w:r>
      <w:r w:rsidR="000C35E3" w:rsidRPr="009B3DDE">
        <w:rPr>
          <w:rFonts w:ascii="Helvetica" w:hAnsi="Helvetica"/>
          <w:szCs w:val="24"/>
        </w:rPr>
        <w:t>rial Strategy Commission (2017).</w:t>
      </w:r>
      <w:r w:rsidRPr="009B3DDE">
        <w:rPr>
          <w:rFonts w:ascii="Helvetica" w:hAnsi="Helvetica"/>
          <w:szCs w:val="24"/>
        </w:rPr>
        <w:t xml:space="preserve"> </w:t>
      </w:r>
      <w:r w:rsidR="000C35E3" w:rsidRPr="009B3DDE">
        <w:rPr>
          <w:rFonts w:ascii="Helvetica" w:hAnsi="Helvetica"/>
          <w:szCs w:val="24"/>
        </w:rPr>
        <w:t xml:space="preserve">The </w:t>
      </w:r>
      <w:r w:rsidRPr="009B3DDE">
        <w:rPr>
          <w:rFonts w:ascii="Helvetica" w:hAnsi="Helvetica"/>
          <w:szCs w:val="24"/>
        </w:rPr>
        <w:t>Final Report</w:t>
      </w:r>
      <w:r w:rsidR="000C35E3" w:rsidRPr="009B3DDE">
        <w:rPr>
          <w:rFonts w:ascii="Helvetica" w:hAnsi="Helvetica"/>
          <w:szCs w:val="24"/>
        </w:rPr>
        <w:t xml:space="preserve"> of the Industrial Strategy Commission</w:t>
      </w:r>
      <w:r w:rsidRPr="009B3DDE">
        <w:rPr>
          <w:rFonts w:ascii="Helvetica" w:hAnsi="Helvetica"/>
          <w:szCs w:val="24"/>
        </w:rPr>
        <w:t xml:space="preserve">, </w:t>
      </w:r>
      <w:hyperlink r:id="rId31" w:history="1">
        <w:r w:rsidR="000C35E3" w:rsidRPr="009B3DDE">
          <w:rPr>
            <w:rStyle w:val="Hyperlink"/>
            <w:rFonts w:ascii="Helvetica" w:hAnsi="Helvetica"/>
            <w:szCs w:val="24"/>
          </w:rPr>
          <w:t>http://industrialstrategycommission.org.uk/2017/11/01/the-final-report-of-the-industrial-strategy-commission/</w:t>
        </w:r>
      </w:hyperlink>
      <w:r w:rsidR="000C35E3" w:rsidRPr="009B3DDE">
        <w:rPr>
          <w:rFonts w:ascii="Helvetica" w:hAnsi="Helvetica"/>
          <w:szCs w:val="24"/>
        </w:rPr>
        <w:t xml:space="preserve"> </w:t>
      </w:r>
    </w:p>
    <w:p w14:paraId="6BA89CA6" w14:textId="6D0C6F99" w:rsidR="00FC2743" w:rsidRPr="009B3DDE" w:rsidRDefault="00FC2743" w:rsidP="009B3DDE">
      <w:pPr>
        <w:spacing w:before="120" w:line="480" w:lineRule="auto"/>
        <w:jc w:val="both"/>
        <w:rPr>
          <w:rFonts w:ascii="Helvetica" w:hAnsi="Helvetica"/>
          <w:szCs w:val="24"/>
        </w:rPr>
      </w:pPr>
      <w:r w:rsidRPr="009B3DDE">
        <w:rPr>
          <w:rFonts w:ascii="Helvetica" w:hAnsi="Helvetica"/>
          <w:szCs w:val="24"/>
        </w:rPr>
        <w:t>Laird JJ, Nash C and Mackie PJ (2014)</w:t>
      </w:r>
      <w:r w:rsidR="000C35E3" w:rsidRPr="009B3DDE">
        <w:rPr>
          <w:rFonts w:ascii="Helvetica" w:hAnsi="Helvetica"/>
          <w:szCs w:val="24"/>
        </w:rPr>
        <w:t>.</w:t>
      </w:r>
      <w:r w:rsidRPr="009B3DDE">
        <w:rPr>
          <w:rFonts w:ascii="Helvetica" w:hAnsi="Helvetica"/>
          <w:szCs w:val="24"/>
        </w:rPr>
        <w:t xml:space="preserve"> ‘Transformational transport infrastructure: cost benefit analysis challenges’, Town Planning Review, vol. 85, no. 6, pp. 709–30, </w:t>
      </w:r>
      <w:hyperlink r:id="rId32" w:history="1">
        <w:r w:rsidRPr="009B3DDE">
          <w:rPr>
            <w:rStyle w:val="Hyperlink"/>
            <w:rFonts w:ascii="Helvetica" w:hAnsi="Helvetica"/>
            <w:szCs w:val="24"/>
          </w:rPr>
          <w:t>http://eprints.whiterose.ac.uk/87446/</w:t>
        </w:r>
      </w:hyperlink>
      <w:r w:rsidRPr="009B3DDE">
        <w:rPr>
          <w:rFonts w:ascii="Helvetica" w:hAnsi="Helvetica"/>
          <w:szCs w:val="24"/>
        </w:rPr>
        <w:t xml:space="preserve"> </w:t>
      </w:r>
    </w:p>
    <w:p w14:paraId="2B5DB971" w14:textId="5068609A" w:rsidR="00CB512A" w:rsidRPr="009B3DDE" w:rsidRDefault="00CB512A"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Little, I.M.D. and </w:t>
      </w:r>
      <w:proofErr w:type="spellStart"/>
      <w:r w:rsidRPr="009B3DDE">
        <w:rPr>
          <w:rFonts w:ascii="Helvetica" w:eastAsia="Times New Roman" w:hAnsi="Helvetica" w:cs="Times New Roman"/>
          <w:szCs w:val="24"/>
          <w:lang w:eastAsia="en-US"/>
        </w:rPr>
        <w:t>J.</w:t>
      </w:r>
      <w:proofErr w:type="gramStart"/>
      <w:r w:rsidRPr="009B3DDE">
        <w:rPr>
          <w:rFonts w:ascii="Helvetica" w:eastAsia="Times New Roman" w:hAnsi="Helvetica" w:cs="Times New Roman"/>
          <w:szCs w:val="24"/>
          <w:lang w:eastAsia="en-US"/>
        </w:rPr>
        <w:t>A.Mirrlees</w:t>
      </w:r>
      <w:proofErr w:type="spellEnd"/>
      <w:proofErr w:type="gramEnd"/>
      <w:r w:rsidRPr="009B3DDE">
        <w:rPr>
          <w:rFonts w:ascii="Helvetica" w:eastAsia="Times New Roman" w:hAnsi="Helvetica" w:cs="Times New Roman"/>
          <w:szCs w:val="24"/>
          <w:lang w:eastAsia="en-US"/>
        </w:rPr>
        <w:t xml:space="preserve">, </w:t>
      </w:r>
      <w:r w:rsidR="000C35E3" w:rsidRPr="009B3DDE">
        <w:rPr>
          <w:rFonts w:ascii="Helvetica" w:eastAsia="Times New Roman" w:hAnsi="Helvetica" w:cs="Times New Roman"/>
          <w:szCs w:val="24"/>
          <w:lang w:eastAsia="en-US"/>
        </w:rPr>
        <w:t xml:space="preserve">(1974). </w:t>
      </w:r>
      <w:r w:rsidRPr="009B3DDE">
        <w:rPr>
          <w:rFonts w:ascii="Helvetica" w:eastAsia="Times New Roman" w:hAnsi="Helvetica" w:cs="Times New Roman"/>
          <w:i/>
          <w:szCs w:val="24"/>
          <w:lang w:eastAsia="en-US"/>
        </w:rPr>
        <w:t>Project Appraisal and Planning for Developing Countries</w:t>
      </w:r>
      <w:r w:rsidRPr="009B3DDE">
        <w:rPr>
          <w:rFonts w:ascii="Helvetica" w:eastAsia="Times New Roman" w:hAnsi="Helvetica" w:cs="Times New Roman"/>
          <w:szCs w:val="24"/>
          <w:lang w:eastAsia="en-US"/>
        </w:rPr>
        <w:t>, Heinemann.</w:t>
      </w:r>
    </w:p>
    <w:p w14:paraId="76883F63" w14:textId="77777777" w:rsidR="00884891" w:rsidRPr="009B3DDE" w:rsidRDefault="00884891"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McCann, P. (2016). The UK regional–national economic problem: Geography, globalisation and governance. London: Routledge.</w:t>
      </w:r>
    </w:p>
    <w:p w14:paraId="063034B9" w14:textId="39FD6A9A" w:rsidR="00C574BE" w:rsidRPr="009B3DDE" w:rsidRDefault="00C574BE"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Merton, </w:t>
      </w:r>
      <w:r w:rsidR="00A17487" w:rsidRPr="009B3DDE">
        <w:rPr>
          <w:rFonts w:ascii="Helvetica" w:eastAsia="Times New Roman" w:hAnsi="Helvetica" w:cs="Times New Roman"/>
          <w:szCs w:val="24"/>
          <w:lang w:eastAsia="en-US"/>
        </w:rPr>
        <w:t>R. K.</w:t>
      </w:r>
      <w:r w:rsidRPr="009B3DDE">
        <w:rPr>
          <w:rFonts w:ascii="Helvetica" w:eastAsia="Times New Roman" w:hAnsi="Helvetica" w:cs="Times New Roman"/>
          <w:szCs w:val="24"/>
          <w:lang w:eastAsia="en-US"/>
        </w:rPr>
        <w:t xml:space="preserve"> </w:t>
      </w:r>
      <w:r w:rsidR="00A17487" w:rsidRPr="009B3DDE">
        <w:rPr>
          <w:rFonts w:ascii="Helvetica" w:eastAsia="Times New Roman" w:hAnsi="Helvetica" w:cs="Times New Roman"/>
          <w:szCs w:val="24"/>
          <w:lang w:eastAsia="en-US"/>
        </w:rPr>
        <w:t xml:space="preserve">(1968). </w:t>
      </w:r>
      <w:r w:rsidRPr="009B3DDE">
        <w:rPr>
          <w:rFonts w:ascii="Helvetica" w:eastAsia="Times New Roman" w:hAnsi="Helvetica" w:cs="Times New Roman"/>
          <w:szCs w:val="24"/>
          <w:lang w:eastAsia="en-US"/>
        </w:rPr>
        <w:t>“The</w:t>
      </w:r>
      <w:r w:rsidR="000C35E3" w:rsidRPr="009B3DDE">
        <w:rPr>
          <w:rFonts w:ascii="Helvetica" w:eastAsia="Times New Roman" w:hAnsi="Helvetica" w:cs="Times New Roman"/>
          <w:szCs w:val="24"/>
          <w:lang w:eastAsia="en-US"/>
        </w:rPr>
        <w:t xml:space="preserve"> Matthew Effect in Science,”</w:t>
      </w:r>
      <w:r w:rsidRPr="009B3DDE">
        <w:rPr>
          <w:rFonts w:ascii="Helvetica" w:eastAsia="Times New Roman" w:hAnsi="Helvetica" w:cs="Times New Roman"/>
          <w:szCs w:val="24"/>
          <w:lang w:eastAsia="en-US"/>
        </w:rPr>
        <w:t xml:space="preserve"> </w:t>
      </w:r>
      <w:r w:rsidRPr="009B3DDE">
        <w:rPr>
          <w:rFonts w:ascii="Helvetica" w:eastAsia="Times New Roman" w:hAnsi="Helvetica" w:cs="Times New Roman"/>
          <w:i/>
          <w:szCs w:val="24"/>
          <w:lang w:eastAsia="en-US"/>
        </w:rPr>
        <w:t>Science</w:t>
      </w:r>
      <w:r w:rsidR="000C35E3" w:rsidRPr="009B3DDE">
        <w:rPr>
          <w:rFonts w:ascii="Helvetica" w:eastAsia="Times New Roman" w:hAnsi="Helvetica" w:cs="Times New Roman"/>
          <w:szCs w:val="24"/>
          <w:lang w:eastAsia="en-US"/>
        </w:rPr>
        <w:t xml:space="preserve">, 5 January 1968, </w:t>
      </w:r>
      <w:r w:rsidRPr="009B3DDE">
        <w:rPr>
          <w:rFonts w:ascii="Helvetica" w:eastAsia="Times New Roman" w:hAnsi="Helvetica" w:cs="Times New Roman"/>
          <w:szCs w:val="24"/>
          <w:lang w:eastAsia="en-US"/>
        </w:rPr>
        <w:t>159(3810):</w:t>
      </w:r>
      <w:r w:rsidR="000C35E3" w:rsidRPr="009B3DDE">
        <w:rPr>
          <w:rFonts w:ascii="Helvetica" w:eastAsia="Times New Roman" w:hAnsi="Helvetica" w:cs="Times New Roman"/>
          <w:szCs w:val="24"/>
          <w:lang w:eastAsia="en-US"/>
        </w:rPr>
        <w:t xml:space="preserve"> </w:t>
      </w:r>
      <w:r w:rsidRPr="009B3DDE">
        <w:rPr>
          <w:rFonts w:ascii="Helvetica" w:eastAsia="Times New Roman" w:hAnsi="Helvetica" w:cs="Times New Roman"/>
          <w:szCs w:val="24"/>
          <w:lang w:eastAsia="en-US"/>
        </w:rPr>
        <w:t>56-63.</w:t>
      </w:r>
    </w:p>
    <w:p w14:paraId="442533C1" w14:textId="104479B9" w:rsidR="00FC2743" w:rsidRPr="009B3DDE" w:rsidRDefault="00FC2743" w:rsidP="009B3DDE">
      <w:pPr>
        <w:spacing w:before="120" w:line="480" w:lineRule="auto"/>
        <w:jc w:val="both"/>
        <w:rPr>
          <w:rFonts w:ascii="Helvetica" w:hAnsi="Helvetica"/>
          <w:szCs w:val="24"/>
        </w:rPr>
      </w:pPr>
      <w:r w:rsidRPr="009B3DDE">
        <w:rPr>
          <w:rFonts w:ascii="Helvetica" w:hAnsi="Helvetica"/>
          <w:szCs w:val="24"/>
        </w:rPr>
        <w:t>Metz, D. (2016). Travel Fast</w:t>
      </w:r>
      <w:r w:rsidR="00445682" w:rsidRPr="009B3DDE">
        <w:rPr>
          <w:rFonts w:ascii="Helvetica" w:hAnsi="Helvetica"/>
          <w:szCs w:val="24"/>
        </w:rPr>
        <w:t xml:space="preserve"> or Smart? A Manifesto for an Intelligent Transport Policy</w:t>
      </w:r>
      <w:r w:rsidRPr="009B3DDE">
        <w:rPr>
          <w:rFonts w:ascii="Helvetica" w:hAnsi="Helvetica"/>
          <w:szCs w:val="24"/>
        </w:rPr>
        <w:t>.</w:t>
      </w:r>
      <w:r w:rsidR="00445682" w:rsidRPr="009B3DDE">
        <w:rPr>
          <w:rFonts w:ascii="Helvetica" w:hAnsi="Helvetica"/>
          <w:szCs w:val="24"/>
        </w:rPr>
        <w:t xml:space="preserve"> London Publishing Partnership: London.</w:t>
      </w:r>
    </w:p>
    <w:p w14:paraId="2E084072" w14:textId="5D1C4E9B" w:rsidR="005571BF" w:rsidRPr="009B3DDE" w:rsidRDefault="005571BF" w:rsidP="009B3DDE">
      <w:pPr>
        <w:spacing w:before="120" w:line="480" w:lineRule="auto"/>
        <w:jc w:val="both"/>
        <w:rPr>
          <w:rFonts w:ascii="Helvetica" w:hAnsi="Helvetica"/>
          <w:szCs w:val="24"/>
        </w:rPr>
      </w:pPr>
      <w:r w:rsidRPr="009B3DDE">
        <w:rPr>
          <w:rFonts w:ascii="Helvetica" w:eastAsia="Times New Roman" w:hAnsi="Helvetica" w:cs="Times New Roman"/>
          <w:szCs w:val="24"/>
          <w:lang w:eastAsia="en-US"/>
        </w:rPr>
        <w:lastRenderedPageBreak/>
        <w:t xml:space="preserve">National Audit Office (2017).   Update on the Thameslink Programme. </w:t>
      </w:r>
      <w:hyperlink r:id="rId33" w:history="1">
        <w:r w:rsidR="000C35E3" w:rsidRPr="009B3DDE">
          <w:rPr>
            <w:rStyle w:val="Hyperlink"/>
            <w:rFonts w:ascii="Helvetica" w:eastAsia="Times New Roman" w:hAnsi="Helvetica" w:cs="Times New Roman"/>
            <w:szCs w:val="24"/>
            <w:lang w:eastAsia="en-US"/>
          </w:rPr>
          <w:t>https://www.nao.org.uk/wp-content/uploads/2017/11/Update-on-the-Thameslink-programme.pdf</w:t>
        </w:r>
      </w:hyperlink>
      <w:r w:rsidR="000C35E3" w:rsidRPr="009B3DDE">
        <w:rPr>
          <w:rFonts w:ascii="Helvetica" w:eastAsia="Times New Roman" w:hAnsi="Helvetica" w:cs="Times New Roman"/>
          <w:szCs w:val="24"/>
          <w:lang w:eastAsia="en-US"/>
        </w:rPr>
        <w:t xml:space="preserve"> </w:t>
      </w:r>
    </w:p>
    <w:p w14:paraId="68D12F84" w14:textId="5C9EDC76" w:rsidR="00884891" w:rsidRPr="009B3DDE" w:rsidRDefault="00884891"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National Audit Office (2018). </w:t>
      </w:r>
      <w:r w:rsidR="00144ABA" w:rsidRPr="009B3DDE">
        <w:rPr>
          <w:rFonts w:ascii="Helvetica" w:eastAsia="Times New Roman" w:hAnsi="Helvetica" w:cs="Times New Roman"/>
          <w:szCs w:val="24"/>
          <w:lang w:eastAsia="en-US"/>
        </w:rPr>
        <w:t>Investigation into the Department for Transport’s decision to cancel three rail electrification projects</w:t>
      </w:r>
      <w:r w:rsidR="000C35E3" w:rsidRPr="009B3DDE">
        <w:rPr>
          <w:rFonts w:ascii="Helvetica" w:eastAsia="Times New Roman" w:hAnsi="Helvetica" w:cs="Times New Roman"/>
          <w:szCs w:val="24"/>
          <w:lang w:eastAsia="en-US"/>
        </w:rPr>
        <w:t>, from</w:t>
      </w:r>
      <w:r w:rsidR="00144ABA" w:rsidRPr="009B3DDE">
        <w:rPr>
          <w:rFonts w:ascii="Helvetica" w:hAnsi="Helvetica" w:cs="Times New Roman"/>
          <w:szCs w:val="24"/>
          <w:lang w:val="en-US"/>
        </w:rPr>
        <w:t xml:space="preserve">: </w:t>
      </w:r>
      <w:hyperlink r:id="rId34" w:history="1">
        <w:r w:rsidR="000C35E3" w:rsidRPr="009B3DDE">
          <w:rPr>
            <w:rStyle w:val="Hyperlink"/>
            <w:rFonts w:ascii="Helvetica" w:hAnsi="Helvetica" w:cs="Times New Roman"/>
            <w:szCs w:val="24"/>
            <w:lang w:val="en-US"/>
          </w:rPr>
          <w:t>https://www.nao.org.uk/report/investigation-into-the-department-for-transports-decision-to-cancel-three-rail-electrification-projects/</w:t>
        </w:r>
      </w:hyperlink>
      <w:r w:rsidR="000C35E3" w:rsidRPr="009B3DDE">
        <w:rPr>
          <w:rFonts w:ascii="Helvetica" w:hAnsi="Helvetica" w:cs="Times New Roman"/>
          <w:szCs w:val="24"/>
          <w:lang w:val="en-US"/>
        </w:rPr>
        <w:t xml:space="preserve"> </w:t>
      </w:r>
    </w:p>
    <w:p w14:paraId="367B0731" w14:textId="697E7459" w:rsidR="00BE2749" w:rsidRPr="009B3DDE" w:rsidRDefault="00BE2749"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OECD (2002), </w:t>
      </w:r>
      <w:r w:rsidRPr="009B3DDE">
        <w:rPr>
          <w:rFonts w:ascii="Helvetica" w:eastAsia="Times New Roman" w:hAnsi="Helvetica" w:cs="Times New Roman"/>
          <w:i/>
          <w:szCs w:val="24"/>
          <w:lang w:eastAsia="en-US"/>
        </w:rPr>
        <w:t>The Impact of Transport Infrastructure Investment on regional Development</w:t>
      </w:r>
      <w:r w:rsidRPr="009B3DDE">
        <w:rPr>
          <w:rFonts w:ascii="Helvetica" w:eastAsia="Times New Roman" w:hAnsi="Helvetica" w:cs="Times New Roman"/>
          <w:szCs w:val="24"/>
          <w:lang w:eastAsia="en-US"/>
        </w:rPr>
        <w:t xml:space="preserve">, </w:t>
      </w:r>
      <w:hyperlink r:id="rId35" w:history="1">
        <w:r w:rsidR="00670599" w:rsidRPr="009B3DDE">
          <w:rPr>
            <w:rStyle w:val="Hyperlink"/>
            <w:rFonts w:ascii="Helvetica" w:eastAsia="Times New Roman" w:hAnsi="Helvetica" w:cs="Times New Roman"/>
            <w:szCs w:val="24"/>
            <w:lang w:eastAsia="en-US"/>
          </w:rPr>
          <w:t>https://www.itf-oecd.org/sites/default/files/docs/02rtrinveste.pdf</w:t>
        </w:r>
      </w:hyperlink>
    </w:p>
    <w:p w14:paraId="5E0E4685" w14:textId="0EE25993" w:rsidR="00670599" w:rsidRPr="009B3DDE" w:rsidRDefault="00670599" w:rsidP="009B3DDE">
      <w:pPr>
        <w:spacing w:before="120" w:line="480" w:lineRule="auto"/>
        <w:jc w:val="both"/>
        <w:rPr>
          <w:rFonts w:ascii="Helvetica" w:eastAsia="Times New Roman" w:hAnsi="Helvetica" w:cs="Times New Roman"/>
          <w:szCs w:val="24"/>
          <w:lang w:eastAsia="en-US"/>
        </w:rPr>
      </w:pPr>
      <w:r w:rsidRPr="009B3DDE">
        <w:rPr>
          <w:rFonts w:ascii="Helvetica" w:eastAsia="Times New Roman" w:hAnsi="Helvetica" w:cs="Times New Roman"/>
          <w:szCs w:val="24"/>
          <w:lang w:eastAsia="en-US"/>
        </w:rPr>
        <w:t xml:space="preserve">OECD (2018), </w:t>
      </w:r>
      <w:r w:rsidRPr="009B3DDE">
        <w:rPr>
          <w:rFonts w:ascii="Helvetica" w:eastAsia="Times New Roman" w:hAnsi="Helvetica" w:cs="Times New Roman"/>
          <w:i/>
          <w:szCs w:val="24"/>
          <w:lang w:eastAsia="en-US"/>
        </w:rPr>
        <w:t>Strategic Investment Packages</w:t>
      </w:r>
      <w:r w:rsidRPr="009B3DDE">
        <w:rPr>
          <w:rFonts w:ascii="Helvetica" w:eastAsia="Times New Roman" w:hAnsi="Helvetica" w:cs="Times New Roman"/>
          <w:szCs w:val="24"/>
          <w:lang w:eastAsia="en-US"/>
        </w:rPr>
        <w:t xml:space="preserve">, </w:t>
      </w:r>
      <w:hyperlink r:id="rId36" w:history="1">
        <w:r w:rsidRPr="009B3DDE">
          <w:rPr>
            <w:rStyle w:val="Hyperlink"/>
            <w:rFonts w:ascii="Helvetica" w:eastAsia="Times New Roman" w:hAnsi="Helvetica" w:cs="Times New Roman"/>
            <w:szCs w:val="24"/>
            <w:lang w:eastAsia="en-US"/>
          </w:rPr>
          <w:t>https://www.itf-oecd.org/sites/default/files/docs/strategic_investment_packages.pdf</w:t>
        </w:r>
      </w:hyperlink>
      <w:r w:rsidRPr="009B3DDE">
        <w:rPr>
          <w:rFonts w:ascii="Helvetica" w:eastAsia="Times New Roman" w:hAnsi="Helvetica" w:cs="Times New Roman"/>
          <w:szCs w:val="24"/>
          <w:lang w:eastAsia="en-US"/>
        </w:rPr>
        <w:t xml:space="preserve"> </w:t>
      </w:r>
    </w:p>
    <w:p w14:paraId="207B6756" w14:textId="21C1AF49" w:rsidR="00FC2743" w:rsidRPr="009B3DDE" w:rsidRDefault="00FC2743" w:rsidP="009B3DDE">
      <w:pPr>
        <w:spacing w:before="120" w:line="480" w:lineRule="auto"/>
        <w:jc w:val="both"/>
        <w:rPr>
          <w:rFonts w:ascii="Helvetica" w:hAnsi="Helvetica"/>
          <w:szCs w:val="24"/>
        </w:rPr>
      </w:pPr>
      <w:r w:rsidRPr="009B3DDE">
        <w:rPr>
          <w:rFonts w:ascii="Helvetica" w:hAnsi="Helvetica"/>
          <w:szCs w:val="24"/>
        </w:rPr>
        <w:t>ONS (2016)</w:t>
      </w:r>
      <w:r w:rsidR="00D34BE2" w:rsidRPr="009B3DDE">
        <w:rPr>
          <w:rFonts w:ascii="Helvetica" w:hAnsi="Helvetica"/>
          <w:szCs w:val="24"/>
        </w:rPr>
        <w:t>.</w:t>
      </w:r>
      <w:r w:rsidRPr="009B3DDE">
        <w:rPr>
          <w:rFonts w:ascii="Helvetica" w:hAnsi="Helvetica"/>
          <w:szCs w:val="24"/>
        </w:rPr>
        <w:t xml:space="preserve"> Subnational Population Projections for Local Authorities in England.</w:t>
      </w:r>
    </w:p>
    <w:p w14:paraId="4DBFC5B0" w14:textId="0FB03090" w:rsidR="00D34BE2" w:rsidRPr="00C84415" w:rsidRDefault="00D34BE2" w:rsidP="009B3DDE">
      <w:pPr>
        <w:spacing w:before="120" w:line="480" w:lineRule="auto"/>
        <w:jc w:val="both"/>
        <w:rPr>
          <w:rFonts w:ascii="Helvetica" w:hAnsi="Helvetica"/>
          <w:szCs w:val="24"/>
        </w:rPr>
      </w:pPr>
      <w:r w:rsidRPr="00C84415">
        <w:rPr>
          <w:rFonts w:ascii="Helvetica" w:hAnsi="Helvetica"/>
          <w:szCs w:val="24"/>
        </w:rPr>
        <w:t xml:space="preserve">ONS (2018a). </w:t>
      </w:r>
      <w:r w:rsidR="00C16BE4" w:rsidRPr="00C84415">
        <w:rPr>
          <w:rFonts w:ascii="Helvetica" w:hAnsi="Helvetica"/>
          <w:szCs w:val="24"/>
        </w:rPr>
        <w:t xml:space="preserve">Nominal and real regional gross value added (balanced) by industry, Dataset accessed 9/1/19 from: </w:t>
      </w:r>
      <w:hyperlink r:id="rId37" w:history="1">
        <w:r w:rsidR="00C16BE4" w:rsidRPr="00C84415">
          <w:rPr>
            <w:rStyle w:val="Hyperlink"/>
            <w:rFonts w:ascii="Helvetica" w:hAnsi="Helvetica"/>
            <w:szCs w:val="24"/>
          </w:rPr>
          <w:t>https://www.ons.gov.uk/economy/grossvalueaddedgva/datasets/nominalandrealregionalgrossvalueaddedbalancedbyindustry</w:t>
        </w:r>
      </w:hyperlink>
      <w:r w:rsidR="00C16BE4" w:rsidRPr="00C84415">
        <w:rPr>
          <w:rFonts w:ascii="Helvetica" w:hAnsi="Helvetica"/>
          <w:szCs w:val="24"/>
        </w:rPr>
        <w:t xml:space="preserve"> </w:t>
      </w:r>
    </w:p>
    <w:p w14:paraId="510FBFE9" w14:textId="31E6B65F" w:rsidR="00D34BE2" w:rsidRPr="009B3DDE" w:rsidRDefault="00D34BE2" w:rsidP="009B3DDE">
      <w:pPr>
        <w:spacing w:before="120" w:line="480" w:lineRule="auto"/>
        <w:jc w:val="both"/>
        <w:rPr>
          <w:rFonts w:ascii="Helvetica" w:hAnsi="Helvetica"/>
          <w:szCs w:val="24"/>
        </w:rPr>
      </w:pPr>
      <w:r w:rsidRPr="00C84415">
        <w:rPr>
          <w:rFonts w:ascii="Helvetica" w:hAnsi="Helvetica"/>
          <w:szCs w:val="24"/>
        </w:rPr>
        <w:t xml:space="preserve">ONS (2018b). Labour productivity: region by industry, Dataset accessed 9/1/19 from: </w:t>
      </w:r>
      <w:hyperlink r:id="rId38" w:history="1">
        <w:r w:rsidRPr="00C84415">
          <w:rPr>
            <w:rStyle w:val="Hyperlink"/>
            <w:rFonts w:ascii="Helvetica" w:hAnsi="Helvetica"/>
            <w:szCs w:val="24"/>
          </w:rPr>
          <w:t>https://www.ons.gov.uk/economy/economicoutputandproductivity/productivitymeasures/datasets/industrybyregionlabourproductivity</w:t>
        </w:r>
      </w:hyperlink>
      <w:r w:rsidRPr="009B3DDE">
        <w:rPr>
          <w:rFonts w:ascii="Helvetica" w:hAnsi="Helvetica"/>
          <w:szCs w:val="24"/>
        </w:rPr>
        <w:t xml:space="preserve"> </w:t>
      </w:r>
    </w:p>
    <w:p w14:paraId="34CBAD80" w14:textId="6BBE58E4" w:rsidR="007E7E9D" w:rsidRPr="009B3DDE" w:rsidRDefault="007E7E9D" w:rsidP="009B3DDE">
      <w:pPr>
        <w:spacing w:before="120" w:line="480" w:lineRule="auto"/>
        <w:jc w:val="both"/>
        <w:rPr>
          <w:rFonts w:ascii="Helvetica" w:hAnsi="Helvetica"/>
          <w:szCs w:val="24"/>
        </w:rPr>
      </w:pPr>
      <w:proofErr w:type="spellStart"/>
      <w:r w:rsidRPr="009B3DDE">
        <w:rPr>
          <w:rFonts w:ascii="Helvetica" w:hAnsi="Helvetica"/>
          <w:szCs w:val="24"/>
        </w:rPr>
        <w:t>Pisu</w:t>
      </w:r>
      <w:proofErr w:type="spellEnd"/>
      <w:r w:rsidRPr="009B3DDE">
        <w:rPr>
          <w:rFonts w:ascii="Helvetica" w:hAnsi="Helvetica"/>
          <w:szCs w:val="24"/>
        </w:rPr>
        <w:t xml:space="preserve">, M, B </w:t>
      </w:r>
      <w:proofErr w:type="spellStart"/>
      <w:r w:rsidRPr="009B3DDE">
        <w:rPr>
          <w:rFonts w:ascii="Helvetica" w:hAnsi="Helvetica"/>
          <w:szCs w:val="24"/>
        </w:rPr>
        <w:t>Pels</w:t>
      </w:r>
      <w:proofErr w:type="spellEnd"/>
      <w:r w:rsidRPr="009B3DDE">
        <w:rPr>
          <w:rFonts w:ascii="Helvetica" w:hAnsi="Helvetica"/>
          <w:szCs w:val="24"/>
        </w:rPr>
        <w:t xml:space="preserve">, N Bottini, </w:t>
      </w:r>
      <w:r w:rsidR="000C35E3" w:rsidRPr="009B3DDE">
        <w:rPr>
          <w:rFonts w:ascii="Helvetica" w:hAnsi="Helvetica"/>
          <w:szCs w:val="24"/>
        </w:rPr>
        <w:t xml:space="preserve">(2015). </w:t>
      </w:r>
      <w:r w:rsidRPr="009B3DDE">
        <w:rPr>
          <w:rFonts w:ascii="Helvetica" w:hAnsi="Helvetica"/>
          <w:szCs w:val="24"/>
        </w:rPr>
        <w:t>Improving Infrastructure in the United Kingdom, OECD Economic Working Papers no. 1244</w:t>
      </w:r>
      <w:r w:rsidR="000C35E3" w:rsidRPr="009B3DDE">
        <w:rPr>
          <w:rFonts w:ascii="Helvetica" w:hAnsi="Helvetica"/>
          <w:szCs w:val="24"/>
        </w:rPr>
        <w:t>.</w:t>
      </w:r>
      <w:r w:rsidRPr="009B3DDE">
        <w:rPr>
          <w:rFonts w:ascii="Helvetica" w:hAnsi="Helvetica"/>
          <w:szCs w:val="24"/>
        </w:rPr>
        <w:t xml:space="preserve"> </w:t>
      </w:r>
      <w:r w:rsidR="000C35E3" w:rsidRPr="009B3DDE">
        <w:rPr>
          <w:rFonts w:ascii="Helvetica" w:hAnsi="Helvetica"/>
          <w:szCs w:val="24"/>
        </w:rPr>
        <w:t xml:space="preserve">accessed 29/5/18 from: </w:t>
      </w:r>
      <w:hyperlink r:id="rId39" w:history="1">
        <w:r w:rsidRPr="009B3DDE">
          <w:rPr>
            <w:rStyle w:val="Hyperlink"/>
            <w:rFonts w:ascii="Helvetica" w:hAnsi="Helvetica"/>
            <w:szCs w:val="24"/>
          </w:rPr>
          <w:t>http://www.oecd.org/officialdocuments/publicdisplaydocumentpdf/?cote=ECO/WKP(2015)62&amp;docLanguage=En</w:t>
        </w:r>
      </w:hyperlink>
    </w:p>
    <w:p w14:paraId="3B0CEA63" w14:textId="77777777" w:rsidR="001337B7" w:rsidRPr="009B3DDE" w:rsidRDefault="001337B7" w:rsidP="009B3DDE">
      <w:pPr>
        <w:pStyle w:val="CommentText"/>
        <w:spacing w:before="120" w:line="480" w:lineRule="auto"/>
        <w:rPr>
          <w:rFonts w:ascii="Helvetica" w:hAnsi="Helvetica"/>
        </w:rPr>
      </w:pPr>
      <w:r w:rsidRPr="009B3DDE">
        <w:rPr>
          <w:rFonts w:ascii="Helvetica" w:hAnsi="Helvetica"/>
        </w:rPr>
        <w:t xml:space="preserve">Preston J (2012) ‘Integration for seamless transport’, ITF discussion paper 1, OECD. </w:t>
      </w:r>
      <w:hyperlink r:id="rId40" w:history="1">
        <w:r w:rsidRPr="009B3DDE">
          <w:rPr>
            <w:rStyle w:val="Hyperlink"/>
            <w:rFonts w:ascii="Helvetica" w:hAnsi="Helvetica"/>
          </w:rPr>
          <w:t>http://www.internationaltransportforum.org/jtrc/DiscussionPapers/DP201201.pdf</w:t>
        </w:r>
      </w:hyperlink>
    </w:p>
    <w:p w14:paraId="02E543E3" w14:textId="6A4908AF" w:rsidR="007F7995" w:rsidRPr="009B3DDE" w:rsidRDefault="007F7995" w:rsidP="009B3DDE">
      <w:pPr>
        <w:spacing w:before="120" w:line="480" w:lineRule="auto"/>
        <w:jc w:val="both"/>
        <w:rPr>
          <w:rFonts w:ascii="Helvetica" w:hAnsi="Helvetica"/>
          <w:szCs w:val="24"/>
        </w:rPr>
      </w:pPr>
      <w:r w:rsidRPr="009B3DDE">
        <w:rPr>
          <w:rFonts w:ascii="Helvetica" w:hAnsi="Helvetica"/>
          <w:szCs w:val="24"/>
        </w:rPr>
        <w:t xml:space="preserve">Raikes, L. (2018). Future Transport Investment in the North: A briefing on the government’s new regional analysis of the National Infrastructure and Construction Pipeline, IPPR North report accessed from </w:t>
      </w:r>
      <w:hyperlink r:id="rId41" w:history="1">
        <w:r w:rsidR="00D34BE2" w:rsidRPr="009B3DDE">
          <w:rPr>
            <w:rStyle w:val="Hyperlink"/>
            <w:rFonts w:ascii="Helvetica" w:hAnsi="Helvetica"/>
            <w:szCs w:val="24"/>
          </w:rPr>
          <w:t>https://www.ippr.org/publications/future-transport-investment-in-the-north-briefing</w:t>
        </w:r>
      </w:hyperlink>
      <w:r w:rsidR="00D34BE2" w:rsidRPr="009B3DDE">
        <w:rPr>
          <w:rFonts w:ascii="Helvetica" w:hAnsi="Helvetica"/>
          <w:szCs w:val="24"/>
        </w:rPr>
        <w:t xml:space="preserve"> </w:t>
      </w:r>
    </w:p>
    <w:p w14:paraId="19D4AD8B" w14:textId="006522E3" w:rsidR="00B06AB4" w:rsidRPr="009B3DDE" w:rsidRDefault="00D34BE2" w:rsidP="009B3DDE">
      <w:pPr>
        <w:spacing w:before="120" w:line="480" w:lineRule="auto"/>
        <w:jc w:val="both"/>
        <w:rPr>
          <w:rFonts w:ascii="Helvetica" w:hAnsi="Helvetica"/>
          <w:szCs w:val="24"/>
        </w:rPr>
      </w:pPr>
      <w:r w:rsidRPr="009B3DDE">
        <w:rPr>
          <w:rFonts w:ascii="Helvetica" w:hAnsi="Helvetica"/>
          <w:szCs w:val="24"/>
        </w:rPr>
        <w:t>Rodríguez-Pose, A. (2018).</w:t>
      </w:r>
      <w:r w:rsidR="00B06AB4" w:rsidRPr="009B3DDE">
        <w:rPr>
          <w:rFonts w:ascii="Helvetica" w:hAnsi="Helvetica"/>
          <w:szCs w:val="24"/>
        </w:rPr>
        <w:t xml:space="preserve"> The revenge of the places that don’t matter (and what to do about it), Cambridge Journal of Regions, Economy and Society, Volume 11, Issue 1, 189–209.</w:t>
      </w:r>
    </w:p>
    <w:p w14:paraId="1DED8E9E" w14:textId="40CB6A93" w:rsidR="004726A4" w:rsidRPr="009B3DDE" w:rsidRDefault="004726A4" w:rsidP="009B3DDE">
      <w:pPr>
        <w:spacing w:before="120" w:line="480" w:lineRule="auto"/>
        <w:jc w:val="both"/>
        <w:rPr>
          <w:rFonts w:ascii="Helvetica" w:hAnsi="Helvetica"/>
          <w:szCs w:val="24"/>
        </w:rPr>
      </w:pPr>
      <w:r w:rsidRPr="009B3DDE">
        <w:rPr>
          <w:rFonts w:ascii="Helvetica" w:hAnsi="Helvetica"/>
          <w:szCs w:val="24"/>
        </w:rPr>
        <w:t xml:space="preserve">Sen, A, J. Stiglitz, J-P </w:t>
      </w:r>
      <w:proofErr w:type="spellStart"/>
      <w:r w:rsidRPr="009B3DDE">
        <w:rPr>
          <w:rFonts w:ascii="Helvetica" w:hAnsi="Helvetica"/>
          <w:szCs w:val="24"/>
        </w:rPr>
        <w:t>Fitoussi</w:t>
      </w:r>
      <w:proofErr w:type="spellEnd"/>
      <w:r w:rsidRPr="009B3DDE">
        <w:rPr>
          <w:rFonts w:ascii="Helvetica" w:hAnsi="Helvetica"/>
          <w:szCs w:val="24"/>
        </w:rPr>
        <w:t xml:space="preserve">, ‘Report By the Commission on the Measurement of Economic Performance and Social  Progress’, accessed 1/3/19 from </w:t>
      </w:r>
      <w:hyperlink r:id="rId42" w:history="1">
        <w:r w:rsidRPr="009B3DDE">
          <w:rPr>
            <w:rStyle w:val="Hyperlink"/>
            <w:rFonts w:ascii="Helvetica" w:hAnsi="Helvetica"/>
            <w:szCs w:val="24"/>
          </w:rPr>
          <w:t>https://ec.europa.eu/eurostat/documents/118025/118123/Fitoussi+Commission+report</w:t>
        </w:r>
      </w:hyperlink>
      <w:r w:rsidRPr="009B3DDE">
        <w:rPr>
          <w:rFonts w:ascii="Helvetica" w:hAnsi="Helvetica"/>
          <w:szCs w:val="24"/>
        </w:rPr>
        <w:t xml:space="preserve"> </w:t>
      </w:r>
    </w:p>
    <w:p w14:paraId="61490E5E" w14:textId="0739F581" w:rsidR="003C4EAA" w:rsidRPr="009B3DDE" w:rsidRDefault="003C4EAA" w:rsidP="009B3DDE">
      <w:pPr>
        <w:spacing w:before="120" w:line="480" w:lineRule="auto"/>
        <w:jc w:val="both"/>
        <w:rPr>
          <w:rFonts w:ascii="Helvetica" w:hAnsi="Helvetica"/>
          <w:szCs w:val="24"/>
        </w:rPr>
      </w:pPr>
      <w:r w:rsidRPr="00C84415">
        <w:rPr>
          <w:rFonts w:ascii="Helvetica" w:hAnsi="Helvetica"/>
          <w:szCs w:val="24"/>
        </w:rPr>
        <w:t>Sensier, M</w:t>
      </w:r>
      <w:r w:rsidR="009C72F1">
        <w:rPr>
          <w:rFonts w:ascii="Helvetica" w:hAnsi="Helvetica"/>
          <w:szCs w:val="24"/>
        </w:rPr>
        <w:t>.</w:t>
      </w:r>
      <w:r w:rsidRPr="00C84415">
        <w:rPr>
          <w:rFonts w:ascii="Helvetica" w:hAnsi="Helvetica"/>
          <w:szCs w:val="24"/>
        </w:rPr>
        <w:t xml:space="preserve"> </w:t>
      </w:r>
      <w:r w:rsidR="009C72F1">
        <w:rPr>
          <w:rFonts w:ascii="Helvetica" w:hAnsi="Helvetica"/>
          <w:szCs w:val="24"/>
        </w:rPr>
        <w:t>&amp;</w:t>
      </w:r>
      <w:r w:rsidR="009C72F1" w:rsidRPr="00C84415">
        <w:rPr>
          <w:rFonts w:ascii="Helvetica" w:hAnsi="Helvetica"/>
          <w:szCs w:val="24"/>
        </w:rPr>
        <w:t xml:space="preserve"> </w:t>
      </w:r>
      <w:r w:rsidRPr="00C84415">
        <w:rPr>
          <w:rFonts w:ascii="Helvetica" w:hAnsi="Helvetica"/>
          <w:szCs w:val="24"/>
        </w:rPr>
        <w:t>Devine, F</w:t>
      </w:r>
      <w:r w:rsidR="009C72F1">
        <w:rPr>
          <w:rFonts w:ascii="Helvetica" w:hAnsi="Helvetica"/>
          <w:szCs w:val="24"/>
        </w:rPr>
        <w:t>.</w:t>
      </w:r>
      <w:r w:rsidRPr="00C84415">
        <w:rPr>
          <w:rFonts w:ascii="Helvetica" w:hAnsi="Helvetica"/>
          <w:szCs w:val="24"/>
        </w:rPr>
        <w:t xml:space="preserve"> (2019). Assessing regional economic resilience for the implementation of local industrial strategies, University of Manchester, working paper.</w:t>
      </w:r>
    </w:p>
    <w:p w14:paraId="2D95EBA6" w14:textId="42F7FBE9" w:rsidR="00FC2743" w:rsidRPr="009B3DDE" w:rsidRDefault="00FC2743" w:rsidP="009B3DDE">
      <w:pPr>
        <w:spacing w:before="120" w:line="480" w:lineRule="auto"/>
        <w:jc w:val="both"/>
        <w:rPr>
          <w:rFonts w:ascii="Helvetica" w:hAnsi="Helvetica"/>
          <w:szCs w:val="24"/>
        </w:rPr>
      </w:pPr>
      <w:r w:rsidRPr="009B3DDE">
        <w:rPr>
          <w:rFonts w:ascii="Helvetica" w:hAnsi="Helvetica"/>
          <w:szCs w:val="24"/>
        </w:rPr>
        <w:lastRenderedPageBreak/>
        <w:t>Stewart J (2013)</w:t>
      </w:r>
      <w:r w:rsidR="000C35E3" w:rsidRPr="009B3DDE">
        <w:rPr>
          <w:rFonts w:ascii="Helvetica" w:hAnsi="Helvetica"/>
          <w:szCs w:val="24"/>
        </w:rPr>
        <w:t>.</w:t>
      </w:r>
      <w:r w:rsidRPr="009B3DDE">
        <w:rPr>
          <w:rFonts w:ascii="Helvetica" w:hAnsi="Helvetica"/>
          <w:szCs w:val="24"/>
        </w:rPr>
        <w:t xml:space="preserve"> ‘Give the economic benefits of infrastructure a chance to breathe’, The Guardian, 11 February, </w:t>
      </w:r>
      <w:hyperlink r:id="rId43" w:history="1">
        <w:r w:rsidRPr="009B3DDE">
          <w:rPr>
            <w:rStyle w:val="Hyperlink"/>
            <w:rFonts w:ascii="Helvetica" w:hAnsi="Helvetica"/>
            <w:szCs w:val="24"/>
          </w:rPr>
          <w:t>www.theguardian.com/publicleaders-network/2013/feb/11/economic-benefits-infrastructure-greater-manchester</w:t>
        </w:r>
      </w:hyperlink>
      <w:r w:rsidRPr="009B3DDE">
        <w:rPr>
          <w:rFonts w:ascii="Helvetica" w:hAnsi="Helvetica"/>
          <w:szCs w:val="24"/>
        </w:rPr>
        <w:t xml:space="preserve"> </w:t>
      </w:r>
    </w:p>
    <w:p w14:paraId="29BECA82" w14:textId="39271CBB" w:rsidR="006A41AF" w:rsidRPr="009B3DDE" w:rsidRDefault="006A41AF" w:rsidP="009B3DDE">
      <w:pPr>
        <w:spacing w:before="120" w:line="480" w:lineRule="auto"/>
        <w:jc w:val="both"/>
        <w:rPr>
          <w:rFonts w:ascii="Helvetica" w:hAnsi="Helvetica"/>
          <w:szCs w:val="24"/>
        </w:rPr>
      </w:pPr>
      <w:r w:rsidRPr="009B3DDE">
        <w:rPr>
          <w:rFonts w:ascii="Helvetica" w:hAnsi="Helvetica"/>
          <w:szCs w:val="24"/>
        </w:rPr>
        <w:t>Transport Select Committee (2018). Rail Infrastructure Investment. House of Commons. https://publications.parliament.uk/pa/cm201719/cmselect/cmtrans/582/58202.htm</w:t>
      </w:r>
    </w:p>
    <w:p w14:paraId="7E068929" w14:textId="77777777" w:rsidR="00E361D6" w:rsidRPr="009B3DDE" w:rsidRDefault="00E361D6" w:rsidP="009B3DDE">
      <w:pPr>
        <w:spacing w:line="480" w:lineRule="auto"/>
        <w:jc w:val="both"/>
        <w:rPr>
          <w:rFonts w:ascii="Helvetica" w:hAnsi="Helvetica"/>
          <w:szCs w:val="24"/>
        </w:rPr>
      </w:pPr>
    </w:p>
    <w:p w14:paraId="454278D5" w14:textId="5E05A9DD" w:rsidR="00D82018" w:rsidRDefault="00D82018">
      <w:pPr>
        <w:rPr>
          <w:rFonts w:ascii="Helvetica" w:hAnsi="Helvetica"/>
          <w:szCs w:val="24"/>
        </w:rPr>
      </w:pPr>
      <w:r>
        <w:rPr>
          <w:rFonts w:ascii="Helvetica" w:hAnsi="Helvetica"/>
          <w:szCs w:val="24"/>
        </w:rPr>
        <w:br w:type="page"/>
      </w:r>
    </w:p>
    <w:p w14:paraId="155A2E80" w14:textId="77777777" w:rsidR="00D82018" w:rsidRPr="00764CF5" w:rsidRDefault="00D82018" w:rsidP="00D82018">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lastRenderedPageBreak/>
        <w:t xml:space="preserve">Table 1: Public transport schemes, </w:t>
      </w:r>
      <w:r>
        <w:rPr>
          <w:rFonts w:ascii="Helvetica" w:hAnsi="Helvetica" w:cs="Times New Roman"/>
          <w:sz w:val="20"/>
          <w:lang w:val="en-US"/>
        </w:rPr>
        <w:t xml:space="preserve">initial </w:t>
      </w:r>
      <w:r w:rsidRPr="00764CF5">
        <w:rPr>
          <w:rFonts w:ascii="Helvetica" w:hAnsi="Helvetica" w:cs="Times New Roman"/>
          <w:sz w:val="20"/>
          <w:lang w:val="en-US"/>
        </w:rPr>
        <w:t>B</w:t>
      </w:r>
      <w:r>
        <w:rPr>
          <w:rFonts w:ascii="Helvetica" w:hAnsi="Helvetica" w:cs="Times New Roman"/>
          <w:sz w:val="20"/>
          <w:lang w:val="en-US"/>
        </w:rPr>
        <w:t>enefit-Cost Ratios (BCRs)</w:t>
      </w:r>
    </w:p>
    <w:p w14:paraId="3FB6A47D" w14:textId="77777777" w:rsidR="00D82018" w:rsidRPr="00764CF5" w:rsidRDefault="00D82018" w:rsidP="00D82018">
      <w:pPr>
        <w:autoSpaceDE w:val="0"/>
        <w:autoSpaceDN w:val="0"/>
        <w:adjustRightInd w:val="0"/>
        <w:jc w:val="both"/>
        <w:rPr>
          <w:rFonts w:ascii="Helvetica" w:hAnsi="Helvetica" w:cs="Times New Roman"/>
          <w:sz w:val="20"/>
          <w:lang w:val="en-US"/>
        </w:rPr>
      </w:pPr>
    </w:p>
    <w:tbl>
      <w:tblPr>
        <w:tblStyle w:val="TableGrid"/>
        <w:tblW w:w="0" w:type="auto"/>
        <w:tblLook w:val="04A0" w:firstRow="1" w:lastRow="0" w:firstColumn="1" w:lastColumn="0" w:noHBand="0" w:noVBand="1"/>
      </w:tblPr>
      <w:tblGrid>
        <w:gridCol w:w="5887"/>
        <w:gridCol w:w="1442"/>
        <w:gridCol w:w="1194"/>
      </w:tblGrid>
      <w:tr w:rsidR="00D82018" w:rsidRPr="00764CF5" w14:paraId="5AB8766C" w14:textId="77777777" w:rsidTr="004C110A">
        <w:tc>
          <w:tcPr>
            <w:tcW w:w="6487" w:type="dxa"/>
            <w:tcBorders>
              <w:bottom w:val="single" w:sz="4" w:space="0" w:color="auto"/>
            </w:tcBorders>
          </w:tcPr>
          <w:p w14:paraId="5CD12DE5" w14:textId="77777777" w:rsidR="00D82018" w:rsidRPr="00764CF5" w:rsidRDefault="00D82018" w:rsidP="004C110A">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SCHEME</w:t>
            </w:r>
          </w:p>
        </w:tc>
        <w:tc>
          <w:tcPr>
            <w:tcW w:w="1559" w:type="dxa"/>
            <w:tcBorders>
              <w:bottom w:val="single" w:sz="4" w:space="0" w:color="auto"/>
            </w:tcBorders>
          </w:tcPr>
          <w:p w14:paraId="5FDA85E7" w14:textId="77777777" w:rsidR="00D82018" w:rsidRPr="00764CF5" w:rsidRDefault="00D82018" w:rsidP="004C110A">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BCR</w:t>
            </w:r>
          </w:p>
        </w:tc>
        <w:tc>
          <w:tcPr>
            <w:tcW w:w="1196" w:type="dxa"/>
            <w:tcBorders>
              <w:bottom w:val="single" w:sz="4" w:space="0" w:color="auto"/>
            </w:tcBorders>
          </w:tcPr>
          <w:p w14:paraId="5D4FD558" w14:textId="77777777" w:rsidR="00D82018" w:rsidRPr="00764CF5" w:rsidRDefault="00D82018" w:rsidP="004C110A">
            <w:pPr>
              <w:autoSpaceDE w:val="0"/>
              <w:autoSpaceDN w:val="0"/>
              <w:adjustRightInd w:val="0"/>
              <w:jc w:val="both"/>
              <w:rPr>
                <w:rFonts w:ascii="Helvetica" w:hAnsi="Helvetica" w:cs="Times New Roman"/>
                <w:sz w:val="20"/>
                <w:lang w:val="en-US"/>
              </w:rPr>
            </w:pPr>
            <w:r>
              <w:rPr>
                <w:rFonts w:ascii="Helvetica" w:hAnsi="Helvetica" w:cs="Times New Roman"/>
                <w:sz w:val="20"/>
                <w:lang w:val="en-US"/>
              </w:rPr>
              <w:t>Approved</w:t>
            </w:r>
            <w:r w:rsidRPr="00764CF5">
              <w:rPr>
                <w:rFonts w:ascii="Helvetica" w:hAnsi="Helvetica" w:cs="Times New Roman"/>
                <w:sz w:val="20"/>
                <w:lang w:val="en-US"/>
              </w:rPr>
              <w:t>?</w:t>
            </w:r>
          </w:p>
        </w:tc>
      </w:tr>
      <w:tr w:rsidR="00D82018" w:rsidRPr="00764CF5" w14:paraId="378E5974" w14:textId="77777777" w:rsidTr="004C110A">
        <w:tc>
          <w:tcPr>
            <w:tcW w:w="9242" w:type="dxa"/>
            <w:gridSpan w:val="3"/>
            <w:shd w:val="pct10" w:color="auto" w:fill="auto"/>
          </w:tcPr>
          <w:p w14:paraId="71A3E4D3" w14:textId="77777777" w:rsidR="00D82018" w:rsidRPr="00764CF5" w:rsidRDefault="00D82018" w:rsidP="004C110A">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Local public transport schemes</w:t>
            </w:r>
          </w:p>
        </w:tc>
      </w:tr>
      <w:tr w:rsidR="00D82018" w:rsidRPr="0053651D" w14:paraId="55BEBE24" w14:textId="77777777" w:rsidTr="004C110A">
        <w:tc>
          <w:tcPr>
            <w:tcW w:w="6487" w:type="dxa"/>
          </w:tcPr>
          <w:p w14:paraId="6B0A9912" w14:textId="77777777" w:rsidR="00D82018" w:rsidRPr="0053651D" w:rsidRDefault="00D82018" w:rsidP="004C110A">
            <w:pPr>
              <w:autoSpaceDE w:val="0"/>
              <w:autoSpaceDN w:val="0"/>
              <w:adjustRightInd w:val="0"/>
              <w:jc w:val="both"/>
              <w:rPr>
                <w:rFonts w:ascii="Helvetica" w:hAnsi="Helvetica" w:cs="Times New Roman"/>
                <w:sz w:val="20"/>
                <w:lang w:val="en-US"/>
              </w:rPr>
            </w:pPr>
            <w:proofErr w:type="spellStart"/>
            <w:r w:rsidRPr="0053651D">
              <w:rPr>
                <w:rFonts w:ascii="Helvetica" w:hAnsi="Helvetica" w:cs="Times New Roman"/>
                <w:sz w:val="20"/>
                <w:lang w:val="en-US"/>
              </w:rPr>
              <w:t>Altrincham</w:t>
            </w:r>
            <w:proofErr w:type="spellEnd"/>
            <w:r w:rsidRPr="0053651D">
              <w:rPr>
                <w:rFonts w:ascii="Helvetica" w:hAnsi="Helvetica" w:cs="Times New Roman"/>
                <w:sz w:val="20"/>
                <w:lang w:val="en-US"/>
              </w:rPr>
              <w:t xml:space="preserve"> Interchange, Greater Manchester </w:t>
            </w:r>
          </w:p>
        </w:tc>
        <w:tc>
          <w:tcPr>
            <w:tcW w:w="1559" w:type="dxa"/>
          </w:tcPr>
          <w:p w14:paraId="109F30E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1.0</w:t>
            </w:r>
          </w:p>
        </w:tc>
        <w:tc>
          <w:tcPr>
            <w:tcW w:w="1196" w:type="dxa"/>
          </w:tcPr>
          <w:p w14:paraId="46235D4A"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50750081" w14:textId="77777777" w:rsidTr="004C110A">
        <w:tc>
          <w:tcPr>
            <w:tcW w:w="6487" w:type="dxa"/>
          </w:tcPr>
          <w:p w14:paraId="1191584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Bletchley Link 2 Public Transport Scheme </w:t>
            </w:r>
          </w:p>
        </w:tc>
        <w:tc>
          <w:tcPr>
            <w:tcW w:w="1559" w:type="dxa"/>
          </w:tcPr>
          <w:p w14:paraId="0FF35BAE"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3.1</w:t>
            </w:r>
          </w:p>
        </w:tc>
        <w:tc>
          <w:tcPr>
            <w:tcW w:w="1196" w:type="dxa"/>
          </w:tcPr>
          <w:p w14:paraId="0610E02E"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5D6B9FD8" w14:textId="77777777" w:rsidTr="004C110A">
        <w:tc>
          <w:tcPr>
            <w:tcW w:w="6487" w:type="dxa"/>
          </w:tcPr>
          <w:p w14:paraId="33A12CC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Bradford Interchange</w:t>
            </w:r>
          </w:p>
        </w:tc>
        <w:tc>
          <w:tcPr>
            <w:tcW w:w="1559" w:type="dxa"/>
          </w:tcPr>
          <w:p w14:paraId="493EC46D"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1.0</w:t>
            </w:r>
          </w:p>
        </w:tc>
        <w:tc>
          <w:tcPr>
            <w:tcW w:w="1196" w:type="dxa"/>
          </w:tcPr>
          <w:p w14:paraId="08025B0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61FAFE2B" w14:textId="77777777" w:rsidTr="004C110A">
        <w:tc>
          <w:tcPr>
            <w:tcW w:w="6487" w:type="dxa"/>
          </w:tcPr>
          <w:p w14:paraId="04DFFC1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Cambridge Guided Bus</w:t>
            </w:r>
          </w:p>
        </w:tc>
        <w:tc>
          <w:tcPr>
            <w:tcW w:w="1559" w:type="dxa"/>
          </w:tcPr>
          <w:p w14:paraId="1FD5961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2.0</w:t>
            </w:r>
          </w:p>
        </w:tc>
        <w:tc>
          <w:tcPr>
            <w:tcW w:w="1196" w:type="dxa"/>
          </w:tcPr>
          <w:p w14:paraId="5FEB53CE"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1BF9ED1F" w14:textId="77777777" w:rsidTr="004C110A">
        <w:tc>
          <w:tcPr>
            <w:tcW w:w="6487" w:type="dxa"/>
          </w:tcPr>
          <w:p w14:paraId="74F5ACE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Coleshill Multi Model Interchange</w:t>
            </w:r>
          </w:p>
        </w:tc>
        <w:tc>
          <w:tcPr>
            <w:tcW w:w="1559" w:type="dxa"/>
          </w:tcPr>
          <w:p w14:paraId="0FF63E36"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4.8</w:t>
            </w:r>
          </w:p>
        </w:tc>
        <w:tc>
          <w:tcPr>
            <w:tcW w:w="1196" w:type="dxa"/>
          </w:tcPr>
          <w:p w14:paraId="74BD448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31FA6059" w14:textId="77777777" w:rsidTr="004C110A">
        <w:tc>
          <w:tcPr>
            <w:tcW w:w="6487" w:type="dxa"/>
          </w:tcPr>
          <w:p w14:paraId="5E0A733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Coventry Rapid - Preferred scheme</w:t>
            </w:r>
          </w:p>
        </w:tc>
        <w:tc>
          <w:tcPr>
            <w:tcW w:w="1559" w:type="dxa"/>
          </w:tcPr>
          <w:p w14:paraId="51F3AEB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1.9 </w:t>
            </w:r>
          </w:p>
        </w:tc>
        <w:tc>
          <w:tcPr>
            <w:tcW w:w="1196" w:type="dxa"/>
          </w:tcPr>
          <w:p w14:paraId="0C83A916"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4AA4171D" w14:textId="77777777" w:rsidTr="004C110A">
        <w:tc>
          <w:tcPr>
            <w:tcW w:w="6487" w:type="dxa"/>
          </w:tcPr>
          <w:p w14:paraId="6D4F0860" w14:textId="77777777" w:rsidR="00D82018" w:rsidRPr="0053651D" w:rsidRDefault="00D82018" w:rsidP="004C110A">
            <w:pPr>
              <w:autoSpaceDE w:val="0"/>
              <w:autoSpaceDN w:val="0"/>
              <w:adjustRightInd w:val="0"/>
              <w:jc w:val="both"/>
              <w:rPr>
                <w:rFonts w:ascii="Helvetica" w:hAnsi="Helvetica" w:cs="Times New Roman"/>
                <w:sz w:val="20"/>
                <w:lang w:val="en-US"/>
              </w:rPr>
            </w:pPr>
            <w:proofErr w:type="spellStart"/>
            <w:r w:rsidRPr="0053651D">
              <w:rPr>
                <w:rFonts w:ascii="Helvetica" w:hAnsi="Helvetica" w:cs="Times New Roman"/>
                <w:sz w:val="20"/>
                <w:lang w:val="en-US"/>
              </w:rPr>
              <w:t>Doncaster</w:t>
            </w:r>
            <w:proofErr w:type="spellEnd"/>
            <w:r w:rsidRPr="0053651D">
              <w:rPr>
                <w:rFonts w:ascii="Helvetica" w:hAnsi="Helvetica" w:cs="Times New Roman"/>
                <w:sz w:val="20"/>
                <w:lang w:val="en-US"/>
              </w:rPr>
              <w:t xml:space="preserve"> QBC</w:t>
            </w:r>
          </w:p>
        </w:tc>
        <w:tc>
          <w:tcPr>
            <w:tcW w:w="1559" w:type="dxa"/>
          </w:tcPr>
          <w:p w14:paraId="0C01471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1.7</w:t>
            </w:r>
          </w:p>
        </w:tc>
        <w:tc>
          <w:tcPr>
            <w:tcW w:w="1196" w:type="dxa"/>
          </w:tcPr>
          <w:p w14:paraId="2811B6F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6BD85AD3" w14:textId="77777777" w:rsidTr="004C110A">
        <w:tc>
          <w:tcPr>
            <w:tcW w:w="6487" w:type="dxa"/>
          </w:tcPr>
          <w:p w14:paraId="14178C0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Greater Bristol Bus Network </w:t>
            </w:r>
          </w:p>
        </w:tc>
        <w:tc>
          <w:tcPr>
            <w:tcW w:w="1559" w:type="dxa"/>
          </w:tcPr>
          <w:p w14:paraId="6663AFD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3.2</w:t>
            </w:r>
          </w:p>
        </w:tc>
        <w:tc>
          <w:tcPr>
            <w:tcW w:w="1196" w:type="dxa"/>
          </w:tcPr>
          <w:p w14:paraId="195EFB38"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7BABA78D" w14:textId="77777777" w:rsidTr="004C110A">
        <w:tc>
          <w:tcPr>
            <w:tcW w:w="6487" w:type="dxa"/>
          </w:tcPr>
          <w:p w14:paraId="6621356E" w14:textId="77777777" w:rsidR="00D82018" w:rsidRPr="0053651D" w:rsidRDefault="00D82018" w:rsidP="004C110A">
            <w:pPr>
              <w:autoSpaceDE w:val="0"/>
              <w:autoSpaceDN w:val="0"/>
              <w:adjustRightInd w:val="0"/>
              <w:jc w:val="both"/>
              <w:rPr>
                <w:rFonts w:ascii="Helvetica" w:hAnsi="Helvetica" w:cs="Times New Roman"/>
                <w:sz w:val="20"/>
                <w:lang w:val="en-US"/>
              </w:rPr>
            </w:pPr>
            <w:proofErr w:type="spellStart"/>
            <w:r w:rsidRPr="0053651D">
              <w:rPr>
                <w:rFonts w:ascii="Helvetica" w:hAnsi="Helvetica" w:cs="Times New Roman"/>
                <w:sz w:val="20"/>
                <w:lang w:val="en-US"/>
              </w:rPr>
              <w:t>Haxby</w:t>
            </w:r>
            <w:proofErr w:type="spellEnd"/>
            <w:r w:rsidRPr="0053651D">
              <w:rPr>
                <w:rFonts w:ascii="Helvetica" w:hAnsi="Helvetica" w:cs="Times New Roman"/>
                <w:sz w:val="20"/>
                <w:lang w:val="en-US"/>
              </w:rPr>
              <w:t xml:space="preserve"> Station </w:t>
            </w:r>
          </w:p>
        </w:tc>
        <w:tc>
          <w:tcPr>
            <w:tcW w:w="1559" w:type="dxa"/>
          </w:tcPr>
          <w:p w14:paraId="230BA2A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3.0</w:t>
            </w:r>
          </w:p>
        </w:tc>
        <w:tc>
          <w:tcPr>
            <w:tcW w:w="1196" w:type="dxa"/>
          </w:tcPr>
          <w:p w14:paraId="106B33B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0A57D588" w14:textId="77777777" w:rsidTr="004C110A">
        <w:tc>
          <w:tcPr>
            <w:tcW w:w="6487" w:type="dxa"/>
          </w:tcPr>
          <w:p w14:paraId="0347D5A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Leeds </w:t>
            </w:r>
            <w:proofErr w:type="spellStart"/>
            <w:r w:rsidRPr="0053651D">
              <w:rPr>
                <w:rFonts w:ascii="Helvetica" w:hAnsi="Helvetica" w:cs="Times New Roman"/>
                <w:sz w:val="20"/>
                <w:lang w:val="en-US"/>
              </w:rPr>
              <w:t>Supertram</w:t>
            </w:r>
            <w:proofErr w:type="spellEnd"/>
          </w:p>
        </w:tc>
        <w:tc>
          <w:tcPr>
            <w:tcW w:w="1559" w:type="dxa"/>
          </w:tcPr>
          <w:p w14:paraId="75DBD38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2.3</w:t>
            </w:r>
          </w:p>
        </w:tc>
        <w:tc>
          <w:tcPr>
            <w:tcW w:w="1196" w:type="dxa"/>
          </w:tcPr>
          <w:p w14:paraId="0D4E27C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729E48D9" w14:textId="77777777" w:rsidTr="004C110A">
        <w:tc>
          <w:tcPr>
            <w:tcW w:w="6487" w:type="dxa"/>
          </w:tcPr>
          <w:p w14:paraId="66A781A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Mansfield Interchange</w:t>
            </w:r>
          </w:p>
        </w:tc>
        <w:tc>
          <w:tcPr>
            <w:tcW w:w="1559" w:type="dxa"/>
          </w:tcPr>
          <w:p w14:paraId="43257C78"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4.4</w:t>
            </w:r>
          </w:p>
        </w:tc>
        <w:tc>
          <w:tcPr>
            <w:tcW w:w="1196" w:type="dxa"/>
          </w:tcPr>
          <w:p w14:paraId="1024E628"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1EAAA3E0" w14:textId="77777777" w:rsidTr="004C110A">
        <w:tc>
          <w:tcPr>
            <w:tcW w:w="6487" w:type="dxa"/>
          </w:tcPr>
          <w:p w14:paraId="3D5D8F23"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Newcastle - Eldon Square Concourse</w:t>
            </w:r>
          </w:p>
        </w:tc>
        <w:tc>
          <w:tcPr>
            <w:tcW w:w="1559" w:type="dxa"/>
          </w:tcPr>
          <w:p w14:paraId="4949178B"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1.2</w:t>
            </w:r>
          </w:p>
        </w:tc>
        <w:tc>
          <w:tcPr>
            <w:tcW w:w="1196" w:type="dxa"/>
          </w:tcPr>
          <w:p w14:paraId="1419039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4316A1D3" w14:textId="77777777" w:rsidTr="004C110A">
        <w:tc>
          <w:tcPr>
            <w:tcW w:w="6487" w:type="dxa"/>
          </w:tcPr>
          <w:p w14:paraId="135D85D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North West Taunton Package</w:t>
            </w:r>
          </w:p>
        </w:tc>
        <w:tc>
          <w:tcPr>
            <w:tcW w:w="1559" w:type="dxa"/>
          </w:tcPr>
          <w:p w14:paraId="05E37AA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1.8</w:t>
            </w:r>
          </w:p>
        </w:tc>
        <w:tc>
          <w:tcPr>
            <w:tcW w:w="1196" w:type="dxa"/>
          </w:tcPr>
          <w:p w14:paraId="02E5C08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5E696F7E" w14:textId="77777777" w:rsidTr="004C110A">
        <w:tc>
          <w:tcPr>
            <w:tcW w:w="6487" w:type="dxa"/>
          </w:tcPr>
          <w:p w14:paraId="564B05C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Nottingham Express Transit Extension</w:t>
            </w:r>
          </w:p>
        </w:tc>
        <w:tc>
          <w:tcPr>
            <w:tcW w:w="1559" w:type="dxa"/>
          </w:tcPr>
          <w:p w14:paraId="17288F63"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2.0</w:t>
            </w:r>
          </w:p>
        </w:tc>
        <w:tc>
          <w:tcPr>
            <w:tcW w:w="1196" w:type="dxa"/>
          </w:tcPr>
          <w:p w14:paraId="0A118D6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3704368D" w14:textId="77777777" w:rsidTr="004C110A">
        <w:tc>
          <w:tcPr>
            <w:tcW w:w="6487" w:type="dxa"/>
          </w:tcPr>
          <w:p w14:paraId="0DE729E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South Hampshire Rapid Transit</w:t>
            </w:r>
          </w:p>
        </w:tc>
        <w:tc>
          <w:tcPr>
            <w:tcW w:w="1559" w:type="dxa"/>
          </w:tcPr>
          <w:p w14:paraId="783EBFA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3.6</w:t>
            </w:r>
          </w:p>
        </w:tc>
        <w:tc>
          <w:tcPr>
            <w:tcW w:w="1196" w:type="dxa"/>
          </w:tcPr>
          <w:p w14:paraId="1A4A7F59"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7FD18AA9" w14:textId="77777777" w:rsidTr="004C110A">
        <w:tc>
          <w:tcPr>
            <w:tcW w:w="6487" w:type="dxa"/>
          </w:tcPr>
          <w:p w14:paraId="37AD820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SPARK </w:t>
            </w:r>
            <w:proofErr w:type="spellStart"/>
            <w:r w:rsidRPr="0053651D">
              <w:rPr>
                <w:rFonts w:ascii="Helvetica" w:hAnsi="Helvetica" w:cs="Times New Roman"/>
                <w:sz w:val="20"/>
                <w:lang w:val="en-US"/>
              </w:rPr>
              <w:t>Leamington</w:t>
            </w:r>
            <w:proofErr w:type="spellEnd"/>
            <w:r w:rsidRPr="0053651D">
              <w:rPr>
                <w:rFonts w:ascii="Helvetica" w:hAnsi="Helvetica" w:cs="Times New Roman"/>
                <w:sz w:val="20"/>
                <w:lang w:val="en-US"/>
              </w:rPr>
              <w:t xml:space="preserve"> Spa and Warwick</w:t>
            </w:r>
          </w:p>
        </w:tc>
        <w:tc>
          <w:tcPr>
            <w:tcW w:w="1559" w:type="dxa"/>
          </w:tcPr>
          <w:p w14:paraId="1663543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2.8</w:t>
            </w:r>
          </w:p>
        </w:tc>
        <w:tc>
          <w:tcPr>
            <w:tcW w:w="1196" w:type="dxa"/>
          </w:tcPr>
          <w:p w14:paraId="7BA18E0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0330066C" w14:textId="77777777" w:rsidTr="004C110A">
        <w:tc>
          <w:tcPr>
            <w:tcW w:w="6487" w:type="dxa"/>
          </w:tcPr>
          <w:p w14:paraId="24C16E8E"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Surrey Pegasus, Guildford Area</w:t>
            </w:r>
          </w:p>
        </w:tc>
        <w:tc>
          <w:tcPr>
            <w:tcW w:w="1559" w:type="dxa"/>
          </w:tcPr>
          <w:p w14:paraId="2BBB0C7D"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1.4</w:t>
            </w:r>
          </w:p>
        </w:tc>
        <w:tc>
          <w:tcPr>
            <w:tcW w:w="1196" w:type="dxa"/>
          </w:tcPr>
          <w:p w14:paraId="41DAD52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t>
            </w:r>
          </w:p>
        </w:tc>
      </w:tr>
      <w:tr w:rsidR="00D82018" w:rsidRPr="0053651D" w14:paraId="4D5EC3A3" w14:textId="77777777" w:rsidTr="004C110A">
        <w:tc>
          <w:tcPr>
            <w:tcW w:w="6487" w:type="dxa"/>
          </w:tcPr>
          <w:p w14:paraId="64731B2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Warrington Interchange</w:t>
            </w:r>
          </w:p>
        </w:tc>
        <w:tc>
          <w:tcPr>
            <w:tcW w:w="1559" w:type="dxa"/>
          </w:tcPr>
          <w:p w14:paraId="2EE475D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2.0</w:t>
            </w:r>
          </w:p>
        </w:tc>
        <w:tc>
          <w:tcPr>
            <w:tcW w:w="1196" w:type="dxa"/>
          </w:tcPr>
          <w:p w14:paraId="0D889F9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2EADD6ED" w14:textId="77777777" w:rsidTr="004C110A">
        <w:tc>
          <w:tcPr>
            <w:tcW w:w="6487" w:type="dxa"/>
          </w:tcPr>
          <w:p w14:paraId="47841A0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Wolverhampton Town Access and Interchange</w:t>
            </w:r>
          </w:p>
        </w:tc>
        <w:tc>
          <w:tcPr>
            <w:tcW w:w="1559" w:type="dxa"/>
          </w:tcPr>
          <w:p w14:paraId="31E697BE"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2.2</w:t>
            </w:r>
          </w:p>
        </w:tc>
        <w:tc>
          <w:tcPr>
            <w:tcW w:w="1196" w:type="dxa"/>
          </w:tcPr>
          <w:p w14:paraId="765825C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73571D1C" w14:textId="77777777" w:rsidTr="004C110A">
        <w:tc>
          <w:tcPr>
            <w:tcW w:w="6487" w:type="dxa"/>
            <w:tcBorders>
              <w:bottom w:val="single" w:sz="4" w:space="0" w:color="auto"/>
            </w:tcBorders>
          </w:tcPr>
          <w:p w14:paraId="5E1B0C5A" w14:textId="77777777" w:rsidR="00D82018" w:rsidRPr="0053651D" w:rsidRDefault="00D82018" w:rsidP="004C110A">
            <w:pPr>
              <w:jc w:val="both"/>
              <w:rPr>
                <w:rFonts w:ascii="Helvetica" w:hAnsi="Helvetica" w:cs="Times New Roman"/>
                <w:sz w:val="20"/>
                <w:lang w:val="en-US"/>
              </w:rPr>
            </w:pPr>
            <w:proofErr w:type="spellStart"/>
            <w:r w:rsidRPr="0053651D">
              <w:rPr>
                <w:rFonts w:ascii="Helvetica" w:hAnsi="Helvetica" w:cs="Times New Roman"/>
                <w:sz w:val="20"/>
                <w:lang w:val="en-US"/>
              </w:rPr>
              <w:t>MyBus</w:t>
            </w:r>
            <w:proofErr w:type="spellEnd"/>
            <w:r w:rsidRPr="0053651D">
              <w:rPr>
                <w:rFonts w:ascii="Helvetica" w:hAnsi="Helvetica" w:cs="Times New Roman"/>
                <w:sz w:val="20"/>
                <w:lang w:val="en-US"/>
              </w:rPr>
              <w:t xml:space="preserve">, West Yorkshire </w:t>
            </w:r>
          </w:p>
        </w:tc>
        <w:tc>
          <w:tcPr>
            <w:tcW w:w="1559" w:type="dxa"/>
            <w:tcBorders>
              <w:bottom w:val="single" w:sz="4" w:space="0" w:color="auto"/>
            </w:tcBorders>
          </w:tcPr>
          <w:p w14:paraId="4EB5B2C2"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4.0</w:t>
            </w:r>
          </w:p>
        </w:tc>
        <w:tc>
          <w:tcPr>
            <w:tcW w:w="1196" w:type="dxa"/>
            <w:tcBorders>
              <w:bottom w:val="single" w:sz="4" w:space="0" w:color="auto"/>
            </w:tcBorders>
          </w:tcPr>
          <w:p w14:paraId="2B97A30E"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7F02B5B9" w14:textId="77777777" w:rsidTr="004C110A">
        <w:tc>
          <w:tcPr>
            <w:tcW w:w="9242" w:type="dxa"/>
            <w:gridSpan w:val="3"/>
            <w:shd w:val="pct10" w:color="auto" w:fill="auto"/>
          </w:tcPr>
          <w:p w14:paraId="7004B0E2" w14:textId="77777777" w:rsidR="00D82018" w:rsidRPr="00764CF5" w:rsidRDefault="00D82018" w:rsidP="004C110A">
            <w:pPr>
              <w:jc w:val="both"/>
              <w:rPr>
                <w:rFonts w:ascii="Helvetica" w:hAnsi="Helvetica" w:cs="Times New Roman"/>
                <w:sz w:val="20"/>
                <w:lang w:val="en-US"/>
              </w:rPr>
            </w:pPr>
            <w:r w:rsidRPr="00764CF5">
              <w:rPr>
                <w:rFonts w:ascii="Helvetica" w:hAnsi="Helvetica" w:cs="Times New Roman"/>
                <w:sz w:val="20"/>
                <w:lang w:val="en-US"/>
              </w:rPr>
              <w:t>Rail schemes</w:t>
            </w:r>
          </w:p>
        </w:tc>
      </w:tr>
      <w:tr w:rsidR="00D82018" w:rsidRPr="0053651D" w14:paraId="26DEE771" w14:textId="77777777" w:rsidTr="004C110A">
        <w:tc>
          <w:tcPr>
            <w:tcW w:w="6487" w:type="dxa"/>
          </w:tcPr>
          <w:p w14:paraId="26028281" w14:textId="77777777" w:rsidR="00D82018" w:rsidRPr="0053651D" w:rsidRDefault="00D82018" w:rsidP="004C110A">
            <w:pPr>
              <w:autoSpaceDE w:val="0"/>
              <w:autoSpaceDN w:val="0"/>
              <w:adjustRightInd w:val="0"/>
              <w:jc w:val="both"/>
              <w:rPr>
                <w:rFonts w:ascii="Helvetica" w:hAnsi="Helvetica" w:cs="Times New Roman"/>
                <w:sz w:val="20"/>
                <w:lang w:val="en-US"/>
              </w:rPr>
            </w:pPr>
            <w:proofErr w:type="spellStart"/>
            <w:r w:rsidRPr="0053651D">
              <w:rPr>
                <w:rFonts w:ascii="Helvetica" w:hAnsi="Helvetica" w:cs="Times New Roman"/>
                <w:sz w:val="20"/>
                <w:lang w:val="en-US"/>
              </w:rPr>
              <w:t>Crossrail</w:t>
            </w:r>
            <w:proofErr w:type="spellEnd"/>
            <w:r w:rsidRPr="0053651D">
              <w:rPr>
                <w:rFonts w:ascii="Helvetica" w:hAnsi="Helvetica" w:cs="Times New Roman"/>
                <w:sz w:val="20"/>
                <w:lang w:val="en-US"/>
              </w:rPr>
              <w:t xml:space="preserve"> Hybrid Scheme</w:t>
            </w:r>
          </w:p>
        </w:tc>
        <w:tc>
          <w:tcPr>
            <w:tcW w:w="1559" w:type="dxa"/>
          </w:tcPr>
          <w:p w14:paraId="495551ED"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1.6 to 2.6</w:t>
            </w:r>
          </w:p>
        </w:tc>
        <w:tc>
          <w:tcPr>
            <w:tcW w:w="1196" w:type="dxa"/>
          </w:tcPr>
          <w:p w14:paraId="6934BA6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671C52DE" w14:textId="77777777" w:rsidTr="004C110A">
        <w:tc>
          <w:tcPr>
            <w:tcW w:w="6487" w:type="dxa"/>
          </w:tcPr>
          <w:p w14:paraId="5061A979"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Thameslink Upgrade</w:t>
            </w:r>
          </w:p>
        </w:tc>
        <w:tc>
          <w:tcPr>
            <w:tcW w:w="1559" w:type="dxa"/>
          </w:tcPr>
          <w:p w14:paraId="4DAF757A"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2.1 to 3.0</w:t>
            </w:r>
          </w:p>
        </w:tc>
        <w:tc>
          <w:tcPr>
            <w:tcW w:w="1196" w:type="dxa"/>
          </w:tcPr>
          <w:p w14:paraId="5F3AA016"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4CF466CC" w14:textId="77777777" w:rsidTr="004C110A">
        <w:tc>
          <w:tcPr>
            <w:tcW w:w="6487" w:type="dxa"/>
          </w:tcPr>
          <w:p w14:paraId="44A3F78C"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Electrification from London to Cardiff</w:t>
            </w:r>
          </w:p>
        </w:tc>
        <w:tc>
          <w:tcPr>
            <w:tcW w:w="1559" w:type="dxa"/>
          </w:tcPr>
          <w:p w14:paraId="615C9B16"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2.3</w:t>
            </w:r>
          </w:p>
        </w:tc>
        <w:tc>
          <w:tcPr>
            <w:tcW w:w="1196" w:type="dxa"/>
          </w:tcPr>
          <w:p w14:paraId="38B6840B"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42EF9834" w14:textId="77777777" w:rsidTr="004C110A">
        <w:tc>
          <w:tcPr>
            <w:tcW w:w="6487" w:type="dxa"/>
          </w:tcPr>
          <w:p w14:paraId="571880EA"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Electrification of the Midland mainline</w:t>
            </w:r>
            <w:r>
              <w:rPr>
                <w:rFonts w:ascii="Helvetica" w:hAnsi="Helvetica" w:cs="Times New Roman"/>
                <w:sz w:val="20"/>
                <w:lang w:val="en-US"/>
              </w:rPr>
              <w:t>*</w:t>
            </w:r>
          </w:p>
        </w:tc>
        <w:tc>
          <w:tcPr>
            <w:tcW w:w="1559" w:type="dxa"/>
          </w:tcPr>
          <w:p w14:paraId="621684EC"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4.1 to 13.1</w:t>
            </w:r>
          </w:p>
        </w:tc>
        <w:tc>
          <w:tcPr>
            <w:tcW w:w="1196" w:type="dxa"/>
          </w:tcPr>
          <w:p w14:paraId="14F62B80"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35C8DD0F" w14:textId="77777777" w:rsidTr="004C110A">
        <w:tc>
          <w:tcPr>
            <w:tcW w:w="6487" w:type="dxa"/>
          </w:tcPr>
          <w:p w14:paraId="7CAEE066"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Electrification from Cardiff to Swansea</w:t>
            </w:r>
            <w:r>
              <w:rPr>
                <w:rFonts w:ascii="Helvetica" w:hAnsi="Helvetica" w:cs="Times New Roman"/>
                <w:sz w:val="20"/>
                <w:lang w:val="en-US"/>
              </w:rPr>
              <w:t>*</w:t>
            </w:r>
          </w:p>
        </w:tc>
        <w:tc>
          <w:tcPr>
            <w:tcW w:w="1559" w:type="dxa"/>
          </w:tcPr>
          <w:p w14:paraId="5BE39D44"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1.4</w:t>
            </w:r>
          </w:p>
        </w:tc>
        <w:tc>
          <w:tcPr>
            <w:tcW w:w="1196" w:type="dxa"/>
          </w:tcPr>
          <w:p w14:paraId="46152F6A"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014C59E3" w14:textId="77777777" w:rsidTr="004C110A">
        <w:tc>
          <w:tcPr>
            <w:tcW w:w="6487" w:type="dxa"/>
          </w:tcPr>
          <w:p w14:paraId="75D56356"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Electrification from Oxenholme to Windermere</w:t>
            </w:r>
            <w:r>
              <w:rPr>
                <w:rFonts w:ascii="Helvetica" w:hAnsi="Helvetica" w:cs="Times New Roman"/>
                <w:sz w:val="20"/>
                <w:lang w:val="en-US"/>
              </w:rPr>
              <w:t>*</w:t>
            </w:r>
          </w:p>
        </w:tc>
        <w:tc>
          <w:tcPr>
            <w:tcW w:w="1559" w:type="dxa"/>
          </w:tcPr>
          <w:p w14:paraId="1650C0BF"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2.3</w:t>
            </w:r>
          </w:p>
        </w:tc>
        <w:tc>
          <w:tcPr>
            <w:tcW w:w="1196" w:type="dxa"/>
          </w:tcPr>
          <w:p w14:paraId="32FF2572"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7959549C" w14:textId="77777777" w:rsidTr="004C110A">
        <w:tc>
          <w:tcPr>
            <w:tcW w:w="6487" w:type="dxa"/>
          </w:tcPr>
          <w:p w14:paraId="69211A47" w14:textId="77777777" w:rsidR="00D82018" w:rsidRPr="0053651D" w:rsidRDefault="00D82018" w:rsidP="004C110A">
            <w:pPr>
              <w:jc w:val="both"/>
              <w:rPr>
                <w:rFonts w:ascii="Helvetica" w:hAnsi="Helvetica" w:cs="Times New Roman"/>
                <w:sz w:val="20"/>
                <w:lang w:val="en-US"/>
              </w:rPr>
            </w:pPr>
            <w:proofErr w:type="spellStart"/>
            <w:r w:rsidRPr="0053651D">
              <w:rPr>
                <w:rFonts w:ascii="Helvetica" w:hAnsi="Helvetica" w:cs="Times New Roman"/>
                <w:sz w:val="20"/>
                <w:lang w:val="en-US"/>
              </w:rPr>
              <w:t>Castlefield</w:t>
            </w:r>
            <w:proofErr w:type="spellEnd"/>
            <w:r w:rsidRPr="0053651D">
              <w:rPr>
                <w:rFonts w:ascii="Helvetica" w:hAnsi="Helvetica" w:cs="Times New Roman"/>
                <w:sz w:val="20"/>
                <w:lang w:val="en-US"/>
              </w:rPr>
              <w:t xml:space="preserve"> Corridor (</w:t>
            </w:r>
            <w:proofErr w:type="spellStart"/>
            <w:r w:rsidRPr="0053651D">
              <w:rPr>
                <w:rFonts w:ascii="Helvetica" w:hAnsi="Helvetica" w:cs="Times New Roman"/>
                <w:sz w:val="20"/>
                <w:lang w:val="en-US"/>
              </w:rPr>
              <w:t>Ordsall</w:t>
            </w:r>
            <w:proofErr w:type="spellEnd"/>
            <w:r w:rsidRPr="0053651D">
              <w:rPr>
                <w:rFonts w:ascii="Helvetica" w:hAnsi="Helvetica" w:cs="Times New Roman"/>
                <w:sz w:val="20"/>
                <w:lang w:val="en-US"/>
              </w:rPr>
              <w:t xml:space="preserve"> Chord), Manchester</w:t>
            </w:r>
          </w:p>
        </w:tc>
        <w:tc>
          <w:tcPr>
            <w:tcW w:w="1559" w:type="dxa"/>
          </w:tcPr>
          <w:p w14:paraId="35F9F434"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2.14 to 2.55</w:t>
            </w:r>
          </w:p>
        </w:tc>
        <w:tc>
          <w:tcPr>
            <w:tcW w:w="1196" w:type="dxa"/>
          </w:tcPr>
          <w:p w14:paraId="511A4F19"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10B888D4" w14:textId="77777777" w:rsidTr="004C110A">
        <w:tc>
          <w:tcPr>
            <w:tcW w:w="6487" w:type="dxa"/>
            <w:tcBorders>
              <w:bottom w:val="single" w:sz="4" w:space="0" w:color="auto"/>
            </w:tcBorders>
          </w:tcPr>
          <w:p w14:paraId="730FDF67"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Electrification Leeds-Harrogate-York line</w:t>
            </w:r>
          </w:p>
        </w:tc>
        <w:tc>
          <w:tcPr>
            <w:tcW w:w="1559" w:type="dxa"/>
            <w:tcBorders>
              <w:bottom w:val="single" w:sz="4" w:space="0" w:color="auto"/>
            </w:tcBorders>
          </w:tcPr>
          <w:p w14:paraId="42FA60A3"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3.61 to 4.27</w:t>
            </w:r>
          </w:p>
        </w:tc>
        <w:tc>
          <w:tcPr>
            <w:tcW w:w="1196" w:type="dxa"/>
            <w:tcBorders>
              <w:bottom w:val="single" w:sz="4" w:space="0" w:color="auto"/>
            </w:tcBorders>
          </w:tcPr>
          <w:p w14:paraId="1A5A2E8D"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6ACC4326" w14:textId="77777777" w:rsidTr="004C110A">
        <w:tc>
          <w:tcPr>
            <w:tcW w:w="9242" w:type="dxa"/>
            <w:gridSpan w:val="3"/>
            <w:shd w:val="pct10" w:color="auto" w:fill="auto"/>
          </w:tcPr>
          <w:p w14:paraId="1265E9EF" w14:textId="77777777" w:rsidR="00D82018" w:rsidRPr="00764CF5" w:rsidRDefault="00D82018" w:rsidP="004C110A">
            <w:pPr>
              <w:jc w:val="both"/>
              <w:rPr>
                <w:rFonts w:ascii="Helvetica" w:hAnsi="Helvetica" w:cs="Times New Roman"/>
                <w:sz w:val="20"/>
                <w:lang w:val="en-US"/>
              </w:rPr>
            </w:pPr>
            <w:r w:rsidRPr="00764CF5">
              <w:rPr>
                <w:rFonts w:ascii="Helvetica" w:hAnsi="Helvetica" w:cs="Times New Roman"/>
                <w:sz w:val="20"/>
                <w:lang w:val="en-US"/>
              </w:rPr>
              <w:t>Schemes from external sources</w:t>
            </w:r>
          </w:p>
        </w:tc>
      </w:tr>
      <w:tr w:rsidR="00D82018" w:rsidRPr="0053651D" w14:paraId="5AC8A9C1" w14:textId="77777777" w:rsidTr="004C110A">
        <w:tc>
          <w:tcPr>
            <w:tcW w:w="6487" w:type="dxa"/>
          </w:tcPr>
          <w:p w14:paraId="3938F40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A228 Main Road to Ropers Lane (Local Road)</w:t>
            </w:r>
          </w:p>
        </w:tc>
        <w:tc>
          <w:tcPr>
            <w:tcW w:w="1559" w:type="dxa"/>
          </w:tcPr>
          <w:p w14:paraId="58F687A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2.4</w:t>
            </w:r>
          </w:p>
        </w:tc>
        <w:tc>
          <w:tcPr>
            <w:tcW w:w="1196" w:type="dxa"/>
          </w:tcPr>
          <w:p w14:paraId="04C027E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t>
            </w:r>
          </w:p>
        </w:tc>
      </w:tr>
      <w:tr w:rsidR="00D82018" w:rsidRPr="0053651D" w14:paraId="5A552641" w14:textId="77777777" w:rsidTr="004C110A">
        <w:tc>
          <w:tcPr>
            <w:tcW w:w="6487" w:type="dxa"/>
          </w:tcPr>
          <w:p w14:paraId="5F25383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A66 Tees Valley Gateway Study (Local Road)</w:t>
            </w:r>
          </w:p>
        </w:tc>
        <w:tc>
          <w:tcPr>
            <w:tcW w:w="1559" w:type="dxa"/>
          </w:tcPr>
          <w:p w14:paraId="31EA6D6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3.2</w:t>
            </w:r>
          </w:p>
        </w:tc>
        <w:tc>
          <w:tcPr>
            <w:tcW w:w="1196" w:type="dxa"/>
          </w:tcPr>
          <w:p w14:paraId="0974A11A"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t>
            </w:r>
          </w:p>
        </w:tc>
      </w:tr>
      <w:tr w:rsidR="00D82018" w:rsidRPr="0053651D" w14:paraId="14148EF7" w14:textId="77777777" w:rsidTr="004C110A">
        <w:tc>
          <w:tcPr>
            <w:tcW w:w="6487" w:type="dxa"/>
          </w:tcPr>
          <w:p w14:paraId="0FA9743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Canal Towpath (Walking/Cycling)</w:t>
            </w:r>
          </w:p>
        </w:tc>
        <w:tc>
          <w:tcPr>
            <w:tcW w:w="1559" w:type="dxa"/>
          </w:tcPr>
          <w:p w14:paraId="72DC2B5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24.5</w:t>
            </w:r>
          </w:p>
        </w:tc>
        <w:tc>
          <w:tcPr>
            <w:tcW w:w="1196" w:type="dxa"/>
          </w:tcPr>
          <w:p w14:paraId="0377556B"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w:t>
            </w:r>
          </w:p>
        </w:tc>
      </w:tr>
      <w:tr w:rsidR="00D82018" w:rsidRPr="0053651D" w14:paraId="0778EC63" w14:textId="77777777" w:rsidTr="004C110A">
        <w:tc>
          <w:tcPr>
            <w:tcW w:w="6487" w:type="dxa"/>
          </w:tcPr>
          <w:p w14:paraId="73BD49D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DLR London City Airport Light Rail</w:t>
            </w:r>
          </w:p>
        </w:tc>
        <w:tc>
          <w:tcPr>
            <w:tcW w:w="1559" w:type="dxa"/>
          </w:tcPr>
          <w:p w14:paraId="3FC661B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1.7</w:t>
            </w:r>
          </w:p>
        </w:tc>
        <w:tc>
          <w:tcPr>
            <w:tcW w:w="1196" w:type="dxa"/>
          </w:tcPr>
          <w:p w14:paraId="38A0AF7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716FBB1E" w14:textId="77777777" w:rsidTr="004C110A">
        <w:tc>
          <w:tcPr>
            <w:tcW w:w="6487" w:type="dxa"/>
          </w:tcPr>
          <w:p w14:paraId="45113841"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DLR Woolwich Extension Light Rail</w:t>
            </w:r>
          </w:p>
        </w:tc>
        <w:tc>
          <w:tcPr>
            <w:tcW w:w="1559" w:type="dxa"/>
          </w:tcPr>
          <w:p w14:paraId="40A7E87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1.1</w:t>
            </w:r>
          </w:p>
        </w:tc>
        <w:tc>
          <w:tcPr>
            <w:tcW w:w="1196" w:type="dxa"/>
          </w:tcPr>
          <w:p w14:paraId="048EB2D8"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7DC84619" w14:textId="77777777" w:rsidTr="004C110A">
        <w:tc>
          <w:tcPr>
            <w:tcW w:w="6487" w:type="dxa"/>
          </w:tcPr>
          <w:p w14:paraId="666A660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Glasgow Airport Rail System Rail</w:t>
            </w:r>
          </w:p>
        </w:tc>
        <w:tc>
          <w:tcPr>
            <w:tcW w:w="1559" w:type="dxa"/>
          </w:tcPr>
          <w:p w14:paraId="1AD83B29"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1.1</w:t>
            </w:r>
          </w:p>
        </w:tc>
        <w:tc>
          <w:tcPr>
            <w:tcW w:w="1196" w:type="dxa"/>
          </w:tcPr>
          <w:p w14:paraId="746264F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No</w:t>
            </w:r>
          </w:p>
        </w:tc>
      </w:tr>
      <w:tr w:rsidR="00D82018" w:rsidRPr="0053651D" w14:paraId="11AFC218" w14:textId="77777777" w:rsidTr="004C110A">
        <w:tc>
          <w:tcPr>
            <w:tcW w:w="6487" w:type="dxa"/>
          </w:tcPr>
          <w:p w14:paraId="07361C5B"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Heysham to M6 Link Local Road</w:t>
            </w:r>
          </w:p>
        </w:tc>
        <w:tc>
          <w:tcPr>
            <w:tcW w:w="1559" w:type="dxa"/>
          </w:tcPr>
          <w:p w14:paraId="41EA787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7.4</w:t>
            </w:r>
          </w:p>
        </w:tc>
        <w:tc>
          <w:tcPr>
            <w:tcW w:w="1196" w:type="dxa"/>
          </w:tcPr>
          <w:p w14:paraId="5B1D64C5"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361982EE" w14:textId="77777777" w:rsidTr="004C110A">
        <w:tc>
          <w:tcPr>
            <w:tcW w:w="6487" w:type="dxa"/>
          </w:tcPr>
          <w:p w14:paraId="1EB5D51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High Speed Line London-Glasgow Rail</w:t>
            </w:r>
            <w:r w:rsidRPr="0053651D">
              <w:rPr>
                <w:rFonts w:ascii="MS Gothic" w:eastAsia="MS Gothic" w:hAnsi="MS Gothic" w:cs="Times New Roman" w:hint="eastAsia"/>
                <w:sz w:val="20"/>
                <w:vertAlign w:val="superscript"/>
                <w:lang w:val="en-US"/>
              </w:rPr>
              <w:t>♯</w:t>
            </w:r>
          </w:p>
        </w:tc>
        <w:tc>
          <w:tcPr>
            <w:tcW w:w="1559" w:type="dxa"/>
          </w:tcPr>
          <w:p w14:paraId="40BD441A"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 1.9</w:t>
            </w:r>
          </w:p>
        </w:tc>
        <w:tc>
          <w:tcPr>
            <w:tcW w:w="1196" w:type="dxa"/>
          </w:tcPr>
          <w:p w14:paraId="37EA646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6B324934" w14:textId="77777777" w:rsidTr="004C110A">
        <w:tc>
          <w:tcPr>
            <w:tcW w:w="6487" w:type="dxa"/>
          </w:tcPr>
          <w:p w14:paraId="0BC0A5F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High Speed Line London-Manchester Rail</w:t>
            </w:r>
          </w:p>
        </w:tc>
        <w:tc>
          <w:tcPr>
            <w:tcW w:w="1559" w:type="dxa"/>
          </w:tcPr>
          <w:p w14:paraId="78AB2BAC"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1.9</w:t>
            </w:r>
          </w:p>
        </w:tc>
        <w:tc>
          <w:tcPr>
            <w:tcW w:w="1196" w:type="dxa"/>
          </w:tcPr>
          <w:p w14:paraId="59B761DD"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589FEF7F" w14:textId="77777777" w:rsidTr="004C110A">
        <w:tc>
          <w:tcPr>
            <w:tcW w:w="6487" w:type="dxa"/>
          </w:tcPr>
          <w:p w14:paraId="032F3BA4"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High Speed Line London-West Midlands Rail</w:t>
            </w:r>
          </w:p>
        </w:tc>
        <w:tc>
          <w:tcPr>
            <w:tcW w:w="1559" w:type="dxa"/>
          </w:tcPr>
          <w:p w14:paraId="460FBDD9"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 xml:space="preserve">1.9 </w:t>
            </w:r>
          </w:p>
        </w:tc>
        <w:tc>
          <w:tcPr>
            <w:tcW w:w="1196" w:type="dxa"/>
          </w:tcPr>
          <w:p w14:paraId="64F2FB4F"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77DD85F4" w14:textId="77777777" w:rsidTr="004C110A">
        <w:tc>
          <w:tcPr>
            <w:tcW w:w="6487" w:type="dxa"/>
          </w:tcPr>
          <w:p w14:paraId="0AB3C743"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Jubilee Line Extension</w:t>
            </w:r>
          </w:p>
        </w:tc>
        <w:tc>
          <w:tcPr>
            <w:tcW w:w="1559" w:type="dxa"/>
          </w:tcPr>
          <w:p w14:paraId="2DF00CF0"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1.7</w:t>
            </w:r>
          </w:p>
        </w:tc>
        <w:tc>
          <w:tcPr>
            <w:tcW w:w="1196" w:type="dxa"/>
          </w:tcPr>
          <w:p w14:paraId="6D2D247B"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2FBE670B" w14:textId="77777777" w:rsidTr="004C110A">
        <w:tc>
          <w:tcPr>
            <w:tcW w:w="6487" w:type="dxa"/>
          </w:tcPr>
          <w:p w14:paraId="0868EAD7"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Stansted Surface Access HA</w:t>
            </w:r>
          </w:p>
        </w:tc>
        <w:tc>
          <w:tcPr>
            <w:tcW w:w="1559" w:type="dxa"/>
          </w:tcPr>
          <w:p w14:paraId="3C05DDB2"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11.7</w:t>
            </w:r>
          </w:p>
        </w:tc>
        <w:tc>
          <w:tcPr>
            <w:tcW w:w="1196" w:type="dxa"/>
          </w:tcPr>
          <w:p w14:paraId="4816DA38" w14:textId="77777777" w:rsidR="00D82018" w:rsidRPr="0053651D" w:rsidRDefault="00D82018" w:rsidP="004C110A">
            <w:pPr>
              <w:autoSpaceDE w:val="0"/>
              <w:autoSpaceDN w:val="0"/>
              <w:adjustRightInd w:val="0"/>
              <w:jc w:val="both"/>
              <w:rPr>
                <w:rFonts w:ascii="Helvetica" w:hAnsi="Helvetica" w:cs="Times New Roman"/>
                <w:sz w:val="20"/>
                <w:lang w:val="en-US"/>
              </w:rPr>
            </w:pPr>
            <w:r w:rsidRPr="0053651D">
              <w:rPr>
                <w:rFonts w:ascii="Helvetica" w:hAnsi="Helvetica" w:cs="Times New Roman"/>
                <w:sz w:val="20"/>
                <w:lang w:val="en-US"/>
              </w:rPr>
              <w:t>Yes</w:t>
            </w:r>
          </w:p>
        </w:tc>
      </w:tr>
      <w:tr w:rsidR="00D82018" w:rsidRPr="0053651D" w14:paraId="16AA2B34" w14:textId="77777777" w:rsidTr="004C110A">
        <w:tc>
          <w:tcPr>
            <w:tcW w:w="6487" w:type="dxa"/>
          </w:tcPr>
          <w:p w14:paraId="3683DC86"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TFL Rail Vision</w:t>
            </w:r>
          </w:p>
        </w:tc>
        <w:tc>
          <w:tcPr>
            <w:tcW w:w="1559" w:type="dxa"/>
          </w:tcPr>
          <w:p w14:paraId="7BAFDE1D"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2.5</w:t>
            </w:r>
          </w:p>
        </w:tc>
        <w:tc>
          <w:tcPr>
            <w:tcW w:w="1196" w:type="dxa"/>
          </w:tcPr>
          <w:p w14:paraId="24E8EBC8" w14:textId="77777777" w:rsidR="00D82018" w:rsidRPr="0053651D" w:rsidRDefault="00D82018" w:rsidP="004C110A">
            <w:pPr>
              <w:jc w:val="both"/>
              <w:rPr>
                <w:rFonts w:ascii="Helvetica" w:hAnsi="Helvetica" w:cs="Times New Roman"/>
                <w:sz w:val="20"/>
                <w:lang w:val="en-US"/>
              </w:rPr>
            </w:pPr>
            <w:r w:rsidRPr="0053651D">
              <w:rPr>
                <w:rFonts w:ascii="Helvetica" w:hAnsi="Helvetica" w:cs="Times New Roman"/>
                <w:sz w:val="20"/>
                <w:lang w:val="en-US"/>
              </w:rPr>
              <w:t>?</w:t>
            </w:r>
          </w:p>
        </w:tc>
      </w:tr>
    </w:tbl>
    <w:p w14:paraId="194831AD" w14:textId="77777777" w:rsidR="00D82018" w:rsidRDefault="00D82018" w:rsidP="00D82018">
      <w:pPr>
        <w:jc w:val="both"/>
        <w:rPr>
          <w:rFonts w:ascii="Helvetica" w:hAnsi="Helvetica"/>
          <w:sz w:val="20"/>
        </w:rPr>
      </w:pPr>
      <w:r>
        <w:rPr>
          <w:rFonts w:ascii="Helvetica" w:hAnsi="Helvetica"/>
          <w:sz w:val="20"/>
        </w:rPr>
        <w:t>Notes:</w:t>
      </w:r>
      <w:r w:rsidRPr="00205B12">
        <w:rPr>
          <w:rFonts w:ascii="Helvetica" w:hAnsi="Helvetica"/>
          <w:sz w:val="20"/>
          <w:vertAlign w:val="superscript"/>
        </w:rPr>
        <w:t xml:space="preserve"> </w:t>
      </w:r>
      <w:r>
        <w:rPr>
          <w:rFonts w:ascii="Helvetica" w:hAnsi="Helvetica"/>
          <w:sz w:val="20"/>
          <w:vertAlign w:val="superscript"/>
        </w:rPr>
        <w:t>*</w:t>
      </w:r>
      <w:r>
        <w:rPr>
          <w:rFonts w:ascii="Helvetica" w:hAnsi="Helvetica"/>
          <w:sz w:val="20"/>
        </w:rPr>
        <w:t xml:space="preserve"> BCRs subsequently revised down; </w:t>
      </w:r>
      <w:r>
        <w:rPr>
          <w:rFonts w:ascii="MS Gothic" w:eastAsia="MS Gothic" w:hAnsi="MS Gothic" w:hint="eastAsia"/>
          <w:sz w:val="20"/>
          <w:vertAlign w:val="superscript"/>
        </w:rPr>
        <w:t>♯</w:t>
      </w:r>
      <w:r>
        <w:rPr>
          <w:rFonts w:ascii="Helvetica" w:hAnsi="Helvetica"/>
          <w:sz w:val="20"/>
        </w:rPr>
        <w:t xml:space="preserve"> Including use of part of existing network from Manchester to Glasgow. The BCR for phase 1 of HS2 was 1.7, compared to the 3.1 for the second phase. BCR cited in each case includes ‘wider’ effects </w:t>
      </w:r>
      <w:proofErr w:type="spellStart"/>
      <w:r>
        <w:rPr>
          <w:rFonts w:ascii="Helvetica" w:hAnsi="Helvetica"/>
          <w:sz w:val="20"/>
        </w:rPr>
        <w:t>eg</w:t>
      </w:r>
      <w:proofErr w:type="spellEnd"/>
      <w:r>
        <w:rPr>
          <w:rFonts w:ascii="Helvetica" w:hAnsi="Helvetica"/>
          <w:sz w:val="20"/>
        </w:rPr>
        <w:t xml:space="preserve"> the NATA BCR from Eddington, </w:t>
      </w:r>
      <w:proofErr w:type="spellStart"/>
      <w:r>
        <w:rPr>
          <w:rFonts w:ascii="Helvetica" w:hAnsi="Helvetica"/>
          <w:sz w:val="20"/>
        </w:rPr>
        <w:t>WebTAG</w:t>
      </w:r>
      <w:proofErr w:type="spellEnd"/>
      <w:r>
        <w:rPr>
          <w:rFonts w:ascii="Helvetica" w:hAnsi="Helvetica"/>
          <w:sz w:val="20"/>
        </w:rPr>
        <w:t xml:space="preserve"> for HS2. For Table sources see Appendix.</w:t>
      </w:r>
    </w:p>
    <w:p w14:paraId="01A66DC7" w14:textId="77777777" w:rsidR="00D82018" w:rsidRDefault="00D82018" w:rsidP="00D82018">
      <w:pPr>
        <w:jc w:val="both"/>
        <w:rPr>
          <w:rFonts w:ascii="Helvetica" w:hAnsi="Helvetica" w:cs="Times New Roman"/>
          <w:b/>
          <w:sz w:val="20"/>
          <w:lang w:val="en-US"/>
        </w:rPr>
      </w:pPr>
    </w:p>
    <w:p w14:paraId="68CE1A0C" w14:textId="77777777" w:rsidR="00D82018" w:rsidRDefault="00D82018" w:rsidP="00D82018">
      <w:pPr>
        <w:jc w:val="both"/>
        <w:rPr>
          <w:rFonts w:ascii="Helvetica" w:hAnsi="Helvetica" w:cs="Times New Roman"/>
          <w:b/>
          <w:sz w:val="20"/>
          <w:lang w:val="en-US"/>
        </w:rPr>
      </w:pPr>
    </w:p>
    <w:p w14:paraId="45CA2563" w14:textId="77777777" w:rsidR="00D82018" w:rsidRDefault="00D82018" w:rsidP="00D82018">
      <w:pPr>
        <w:jc w:val="both"/>
        <w:rPr>
          <w:rFonts w:ascii="Helvetica" w:hAnsi="Helvetica" w:cs="Times New Roman"/>
          <w:b/>
          <w:sz w:val="20"/>
          <w:lang w:val="en-US"/>
        </w:rPr>
      </w:pPr>
    </w:p>
    <w:p w14:paraId="770922E6" w14:textId="77777777" w:rsidR="00D82018" w:rsidRDefault="00D82018" w:rsidP="00D82018">
      <w:pPr>
        <w:jc w:val="both"/>
        <w:rPr>
          <w:rFonts w:ascii="Helvetica" w:hAnsi="Helvetica" w:cs="Times New Roman"/>
          <w:b/>
          <w:sz w:val="20"/>
          <w:lang w:val="en-US"/>
        </w:rPr>
      </w:pPr>
    </w:p>
    <w:p w14:paraId="348CCCE3" w14:textId="77777777" w:rsidR="00D82018" w:rsidRDefault="00D82018" w:rsidP="00D82018">
      <w:pPr>
        <w:jc w:val="both"/>
        <w:rPr>
          <w:rFonts w:ascii="Helvetica" w:hAnsi="Helvetica" w:cs="Times New Roman"/>
          <w:b/>
          <w:sz w:val="20"/>
          <w:lang w:val="en-US"/>
        </w:rPr>
      </w:pPr>
    </w:p>
    <w:p w14:paraId="189CF9B5" w14:textId="77777777" w:rsidR="00D82018" w:rsidRDefault="00D82018" w:rsidP="00D82018">
      <w:pPr>
        <w:jc w:val="both"/>
        <w:rPr>
          <w:rFonts w:ascii="Helvetica" w:hAnsi="Helvetica" w:cs="Times New Roman"/>
          <w:b/>
          <w:sz w:val="20"/>
          <w:lang w:val="en-US"/>
        </w:rPr>
      </w:pPr>
    </w:p>
    <w:p w14:paraId="5924550B" w14:textId="77777777" w:rsidR="00D82018" w:rsidRDefault="00D82018" w:rsidP="00D82018">
      <w:pPr>
        <w:jc w:val="both"/>
        <w:rPr>
          <w:rFonts w:ascii="Helvetica" w:hAnsi="Helvetica" w:cs="Times New Roman"/>
          <w:b/>
          <w:sz w:val="20"/>
          <w:lang w:val="en-US"/>
        </w:rPr>
      </w:pPr>
    </w:p>
    <w:p w14:paraId="61DF5AFD" w14:textId="77777777" w:rsidR="00D82018" w:rsidRPr="00764CF5" w:rsidRDefault="00D82018" w:rsidP="00D82018">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Table 1: Public transport schemes, BCRs, continued</w:t>
      </w:r>
    </w:p>
    <w:p w14:paraId="50B28D80" w14:textId="77777777" w:rsidR="00D82018" w:rsidRPr="00764CF5" w:rsidRDefault="00D82018" w:rsidP="00D82018">
      <w:pPr>
        <w:jc w:val="both"/>
        <w:rPr>
          <w:rFonts w:ascii="Helvetica" w:hAnsi="Helvetica" w:cs="Times New Roman"/>
          <w:sz w:val="20"/>
          <w:lang w:val="en-US"/>
        </w:rPr>
      </w:pPr>
    </w:p>
    <w:tbl>
      <w:tblPr>
        <w:tblStyle w:val="TableGrid"/>
        <w:tblW w:w="0" w:type="auto"/>
        <w:tblLook w:val="04A0" w:firstRow="1" w:lastRow="0" w:firstColumn="1" w:lastColumn="0" w:noHBand="0" w:noVBand="1"/>
      </w:tblPr>
      <w:tblGrid>
        <w:gridCol w:w="5901"/>
        <w:gridCol w:w="1428"/>
        <w:gridCol w:w="1194"/>
      </w:tblGrid>
      <w:tr w:rsidR="00D82018" w:rsidRPr="00764CF5" w14:paraId="1C97202A" w14:textId="77777777" w:rsidTr="004C110A">
        <w:tc>
          <w:tcPr>
            <w:tcW w:w="6487" w:type="dxa"/>
            <w:tcBorders>
              <w:bottom w:val="single" w:sz="4" w:space="0" w:color="auto"/>
            </w:tcBorders>
          </w:tcPr>
          <w:p w14:paraId="6CEB4F6C" w14:textId="77777777" w:rsidR="00D82018" w:rsidRPr="00764CF5" w:rsidRDefault="00D82018" w:rsidP="004C110A">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SCHEME</w:t>
            </w:r>
          </w:p>
        </w:tc>
        <w:tc>
          <w:tcPr>
            <w:tcW w:w="1559" w:type="dxa"/>
            <w:tcBorders>
              <w:bottom w:val="single" w:sz="4" w:space="0" w:color="auto"/>
            </w:tcBorders>
          </w:tcPr>
          <w:p w14:paraId="1A52DFF7" w14:textId="77777777" w:rsidR="00D82018" w:rsidRPr="00764CF5" w:rsidRDefault="00D82018" w:rsidP="004C110A">
            <w:pPr>
              <w:autoSpaceDE w:val="0"/>
              <w:autoSpaceDN w:val="0"/>
              <w:adjustRightInd w:val="0"/>
              <w:jc w:val="both"/>
              <w:rPr>
                <w:rFonts w:ascii="Helvetica" w:hAnsi="Helvetica" w:cs="Times New Roman"/>
                <w:sz w:val="20"/>
                <w:lang w:val="en-US"/>
              </w:rPr>
            </w:pPr>
            <w:r w:rsidRPr="00764CF5">
              <w:rPr>
                <w:rFonts w:ascii="Helvetica" w:hAnsi="Helvetica" w:cs="Times New Roman"/>
                <w:sz w:val="20"/>
                <w:lang w:val="en-US"/>
              </w:rPr>
              <w:t>BCR</w:t>
            </w:r>
          </w:p>
        </w:tc>
        <w:tc>
          <w:tcPr>
            <w:tcW w:w="1196" w:type="dxa"/>
            <w:tcBorders>
              <w:bottom w:val="single" w:sz="4" w:space="0" w:color="auto"/>
            </w:tcBorders>
          </w:tcPr>
          <w:p w14:paraId="7866D8C6" w14:textId="77777777" w:rsidR="00D82018" w:rsidRPr="00764CF5" w:rsidRDefault="00D82018" w:rsidP="004C110A">
            <w:pPr>
              <w:autoSpaceDE w:val="0"/>
              <w:autoSpaceDN w:val="0"/>
              <w:adjustRightInd w:val="0"/>
              <w:jc w:val="both"/>
              <w:rPr>
                <w:rFonts w:ascii="Helvetica" w:hAnsi="Helvetica" w:cs="Times New Roman"/>
                <w:sz w:val="20"/>
                <w:lang w:val="en-US"/>
              </w:rPr>
            </w:pPr>
            <w:r>
              <w:rPr>
                <w:rFonts w:ascii="Helvetica" w:hAnsi="Helvetica" w:cs="Times New Roman"/>
                <w:sz w:val="20"/>
                <w:lang w:val="en-US"/>
              </w:rPr>
              <w:t>Approved</w:t>
            </w:r>
            <w:r w:rsidRPr="00764CF5">
              <w:rPr>
                <w:rFonts w:ascii="Helvetica" w:hAnsi="Helvetica" w:cs="Times New Roman"/>
                <w:sz w:val="20"/>
                <w:lang w:val="en-US"/>
              </w:rPr>
              <w:t>?</w:t>
            </w:r>
          </w:p>
        </w:tc>
      </w:tr>
      <w:tr w:rsidR="00D82018" w:rsidRPr="00764CF5" w14:paraId="28FCD91B" w14:textId="77777777" w:rsidTr="004C110A">
        <w:tc>
          <w:tcPr>
            <w:tcW w:w="9242" w:type="dxa"/>
            <w:gridSpan w:val="3"/>
            <w:shd w:val="pct10" w:color="auto" w:fill="auto"/>
          </w:tcPr>
          <w:p w14:paraId="6CB9A506" w14:textId="77777777" w:rsidR="00D82018" w:rsidRPr="00764CF5" w:rsidRDefault="00D82018" w:rsidP="004C110A">
            <w:pPr>
              <w:jc w:val="both"/>
              <w:rPr>
                <w:rFonts w:ascii="Helvetica" w:hAnsi="Helvetica" w:cs="Times New Roman"/>
                <w:sz w:val="20"/>
                <w:lang w:val="en-US"/>
              </w:rPr>
            </w:pPr>
            <w:r w:rsidRPr="00764CF5">
              <w:rPr>
                <w:rFonts w:ascii="Helvetica" w:hAnsi="Helvetica" w:cs="Times New Roman"/>
                <w:sz w:val="20"/>
                <w:lang w:val="en-US"/>
              </w:rPr>
              <w:t>Additional modelling commissioned by Eddington</w:t>
            </w:r>
          </w:p>
        </w:tc>
      </w:tr>
      <w:tr w:rsidR="00D82018" w:rsidRPr="0078169F" w14:paraId="3DB48D99" w14:textId="77777777" w:rsidTr="004C110A">
        <w:tc>
          <w:tcPr>
            <w:tcW w:w="6487" w:type="dxa"/>
          </w:tcPr>
          <w:p w14:paraId="0721B974"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ECML Additional inter-peak services Leeds -London</w:t>
            </w:r>
          </w:p>
        </w:tc>
        <w:tc>
          <w:tcPr>
            <w:tcW w:w="1559" w:type="dxa"/>
          </w:tcPr>
          <w:p w14:paraId="33D4460C"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1.3</w:t>
            </w:r>
          </w:p>
        </w:tc>
        <w:tc>
          <w:tcPr>
            <w:tcW w:w="1196" w:type="dxa"/>
          </w:tcPr>
          <w:p w14:paraId="719008F5"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w:t>
            </w:r>
          </w:p>
        </w:tc>
      </w:tr>
      <w:tr w:rsidR="00D82018" w:rsidRPr="0078169F" w14:paraId="1052E842" w14:textId="77777777" w:rsidTr="004C110A">
        <w:tc>
          <w:tcPr>
            <w:tcW w:w="6487" w:type="dxa"/>
          </w:tcPr>
          <w:p w14:paraId="52A90451"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ECML Additional WAGN Peak commuter capacity</w:t>
            </w:r>
          </w:p>
        </w:tc>
        <w:tc>
          <w:tcPr>
            <w:tcW w:w="1559" w:type="dxa"/>
          </w:tcPr>
          <w:p w14:paraId="39177A2F"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2.2</w:t>
            </w:r>
          </w:p>
        </w:tc>
        <w:tc>
          <w:tcPr>
            <w:tcW w:w="1196" w:type="dxa"/>
          </w:tcPr>
          <w:p w14:paraId="54B71FFC"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w:t>
            </w:r>
          </w:p>
        </w:tc>
      </w:tr>
      <w:tr w:rsidR="00D82018" w:rsidRPr="0078169F" w14:paraId="0A1DAA45" w14:textId="77777777" w:rsidTr="004C110A">
        <w:tc>
          <w:tcPr>
            <w:tcW w:w="6487" w:type="dxa"/>
          </w:tcPr>
          <w:p w14:paraId="57A4DA0E"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HP-Leeds to Sheffield Highway Improvements</w:t>
            </w:r>
          </w:p>
        </w:tc>
        <w:tc>
          <w:tcPr>
            <w:tcW w:w="1559" w:type="dxa"/>
          </w:tcPr>
          <w:p w14:paraId="6A4E401F"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1.3</w:t>
            </w:r>
          </w:p>
        </w:tc>
        <w:tc>
          <w:tcPr>
            <w:tcW w:w="1196" w:type="dxa"/>
          </w:tcPr>
          <w:p w14:paraId="56FEDAD3"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w:t>
            </w:r>
          </w:p>
        </w:tc>
      </w:tr>
      <w:tr w:rsidR="00D82018" w:rsidRPr="0078169F" w14:paraId="1D02AB76" w14:textId="77777777" w:rsidTr="004C110A">
        <w:tc>
          <w:tcPr>
            <w:tcW w:w="6487" w:type="dxa"/>
          </w:tcPr>
          <w:p w14:paraId="2F19D5D6"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HQ-Leeds Urban Area Highway Improvements</w:t>
            </w:r>
          </w:p>
        </w:tc>
        <w:tc>
          <w:tcPr>
            <w:tcW w:w="1559" w:type="dxa"/>
          </w:tcPr>
          <w:p w14:paraId="0D2D3223"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3.6</w:t>
            </w:r>
          </w:p>
        </w:tc>
        <w:tc>
          <w:tcPr>
            <w:tcW w:w="1196" w:type="dxa"/>
          </w:tcPr>
          <w:p w14:paraId="19E90F75"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Yes</w:t>
            </w:r>
          </w:p>
        </w:tc>
      </w:tr>
      <w:tr w:rsidR="00D82018" w:rsidRPr="0078169F" w14:paraId="11449C47" w14:textId="77777777" w:rsidTr="004C110A">
        <w:tc>
          <w:tcPr>
            <w:tcW w:w="6487" w:type="dxa"/>
          </w:tcPr>
          <w:p w14:paraId="0A788AF0"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HR-Leeds Urban Area Major Public Transport Investment</w:t>
            </w:r>
          </w:p>
        </w:tc>
        <w:tc>
          <w:tcPr>
            <w:tcW w:w="1559" w:type="dxa"/>
          </w:tcPr>
          <w:p w14:paraId="4D76CE16"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2.7</w:t>
            </w:r>
          </w:p>
        </w:tc>
        <w:tc>
          <w:tcPr>
            <w:tcW w:w="1196" w:type="dxa"/>
          </w:tcPr>
          <w:p w14:paraId="61CD04F9"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w:t>
            </w:r>
          </w:p>
        </w:tc>
      </w:tr>
      <w:tr w:rsidR="00D82018" w:rsidRPr="0078169F" w14:paraId="319367C9" w14:textId="77777777" w:rsidTr="004C110A">
        <w:tc>
          <w:tcPr>
            <w:tcW w:w="6487" w:type="dxa"/>
          </w:tcPr>
          <w:p w14:paraId="102BFEC7"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HU-Intra Leeds Bus Fare Reduction and Frequency Increase</w:t>
            </w:r>
          </w:p>
        </w:tc>
        <w:tc>
          <w:tcPr>
            <w:tcW w:w="1559" w:type="dxa"/>
          </w:tcPr>
          <w:p w14:paraId="02D9C780"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2.6</w:t>
            </w:r>
          </w:p>
        </w:tc>
        <w:tc>
          <w:tcPr>
            <w:tcW w:w="1196" w:type="dxa"/>
          </w:tcPr>
          <w:p w14:paraId="77C73D9B"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523873F3" w14:textId="77777777" w:rsidTr="004C110A">
        <w:tc>
          <w:tcPr>
            <w:tcW w:w="6487" w:type="dxa"/>
          </w:tcPr>
          <w:p w14:paraId="7F0159F7"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HV-Leeds to Bradford Improved Highway Connections</w:t>
            </w:r>
          </w:p>
        </w:tc>
        <w:tc>
          <w:tcPr>
            <w:tcW w:w="1559" w:type="dxa"/>
          </w:tcPr>
          <w:p w14:paraId="71E551A9"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2.8</w:t>
            </w:r>
          </w:p>
        </w:tc>
        <w:tc>
          <w:tcPr>
            <w:tcW w:w="1196" w:type="dxa"/>
          </w:tcPr>
          <w:p w14:paraId="057AC732"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w:t>
            </w:r>
          </w:p>
        </w:tc>
      </w:tr>
      <w:tr w:rsidR="00D82018" w:rsidRPr="0078169F" w14:paraId="403675C9" w14:textId="77777777" w:rsidTr="004C110A">
        <w:tc>
          <w:tcPr>
            <w:tcW w:w="6487" w:type="dxa"/>
          </w:tcPr>
          <w:p w14:paraId="5AC50040"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HW-Leeds to Bradford Public Transport Improvements</w:t>
            </w:r>
          </w:p>
        </w:tc>
        <w:tc>
          <w:tcPr>
            <w:tcW w:w="1559" w:type="dxa"/>
          </w:tcPr>
          <w:p w14:paraId="52A78252"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4.0</w:t>
            </w:r>
          </w:p>
        </w:tc>
        <w:tc>
          <w:tcPr>
            <w:tcW w:w="1196" w:type="dxa"/>
          </w:tcPr>
          <w:p w14:paraId="7F3F7347"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76F3B737" w14:textId="77777777" w:rsidTr="004C110A">
        <w:tc>
          <w:tcPr>
            <w:tcW w:w="6487" w:type="dxa"/>
          </w:tcPr>
          <w:p w14:paraId="045177C4"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IF-West Yorkshire Bus Fares Reduction Frequency Increase</w:t>
            </w:r>
          </w:p>
        </w:tc>
        <w:tc>
          <w:tcPr>
            <w:tcW w:w="1559" w:type="dxa"/>
          </w:tcPr>
          <w:p w14:paraId="446C4237"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3.0</w:t>
            </w:r>
          </w:p>
        </w:tc>
        <w:tc>
          <w:tcPr>
            <w:tcW w:w="1196" w:type="dxa"/>
          </w:tcPr>
          <w:p w14:paraId="083511AC"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3BCC7071" w14:textId="77777777" w:rsidTr="004C110A">
        <w:tc>
          <w:tcPr>
            <w:tcW w:w="6487" w:type="dxa"/>
          </w:tcPr>
          <w:p w14:paraId="7EC8C0F9"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IJ-S/W Yorkshire Bus Fares Reduction Frequency Increase</w:t>
            </w:r>
          </w:p>
        </w:tc>
        <w:tc>
          <w:tcPr>
            <w:tcW w:w="1559" w:type="dxa"/>
          </w:tcPr>
          <w:p w14:paraId="76A0045E"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2.7</w:t>
            </w:r>
          </w:p>
        </w:tc>
        <w:tc>
          <w:tcPr>
            <w:tcW w:w="1196" w:type="dxa"/>
          </w:tcPr>
          <w:p w14:paraId="73D48A59"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1BD349E6" w14:textId="77777777" w:rsidTr="004C110A">
        <w:tc>
          <w:tcPr>
            <w:tcW w:w="6487" w:type="dxa"/>
          </w:tcPr>
          <w:p w14:paraId="2D027F7C"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IH-S Yorkshire Bus Fares Reduction, Frequency Increase</w:t>
            </w:r>
          </w:p>
        </w:tc>
        <w:tc>
          <w:tcPr>
            <w:tcW w:w="1559" w:type="dxa"/>
          </w:tcPr>
          <w:p w14:paraId="53E1891E"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3.2</w:t>
            </w:r>
          </w:p>
        </w:tc>
        <w:tc>
          <w:tcPr>
            <w:tcW w:w="1196" w:type="dxa"/>
          </w:tcPr>
          <w:p w14:paraId="0E563245"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11D5E558" w14:textId="77777777" w:rsidTr="004C110A">
        <w:tc>
          <w:tcPr>
            <w:tcW w:w="6487" w:type="dxa"/>
          </w:tcPr>
          <w:p w14:paraId="13C6C550"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M6 Active Traffic Management</w:t>
            </w:r>
          </w:p>
        </w:tc>
        <w:tc>
          <w:tcPr>
            <w:tcW w:w="1559" w:type="dxa"/>
          </w:tcPr>
          <w:p w14:paraId="4B8C4FD9"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1.8</w:t>
            </w:r>
          </w:p>
        </w:tc>
        <w:tc>
          <w:tcPr>
            <w:tcW w:w="1196" w:type="dxa"/>
          </w:tcPr>
          <w:p w14:paraId="60E0241A"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Yes</w:t>
            </w:r>
          </w:p>
        </w:tc>
      </w:tr>
      <w:tr w:rsidR="00D82018" w:rsidRPr="0078169F" w14:paraId="5AF2EC39" w14:textId="77777777" w:rsidTr="004C110A">
        <w:tc>
          <w:tcPr>
            <w:tcW w:w="6487" w:type="dxa"/>
            <w:tcBorders>
              <w:bottom w:val="single" w:sz="4" w:space="0" w:color="auto"/>
            </w:tcBorders>
          </w:tcPr>
          <w:p w14:paraId="55CC2A06"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MML Time savings along MML between Mill Hill &amp; Sheffield</w:t>
            </w:r>
          </w:p>
        </w:tc>
        <w:tc>
          <w:tcPr>
            <w:tcW w:w="1559" w:type="dxa"/>
            <w:tcBorders>
              <w:bottom w:val="single" w:sz="4" w:space="0" w:color="auto"/>
            </w:tcBorders>
          </w:tcPr>
          <w:p w14:paraId="147505D8"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11.0</w:t>
            </w:r>
          </w:p>
        </w:tc>
        <w:tc>
          <w:tcPr>
            <w:tcW w:w="1196" w:type="dxa"/>
            <w:tcBorders>
              <w:bottom w:val="single" w:sz="4" w:space="0" w:color="auto"/>
            </w:tcBorders>
          </w:tcPr>
          <w:p w14:paraId="686DE4E4" w14:textId="77777777" w:rsidR="00D82018" w:rsidRPr="0078169F" w:rsidRDefault="00D82018" w:rsidP="004C110A">
            <w:pPr>
              <w:autoSpaceDE w:val="0"/>
              <w:autoSpaceDN w:val="0"/>
              <w:adjustRightInd w:val="0"/>
              <w:jc w:val="both"/>
              <w:rPr>
                <w:rFonts w:ascii="Helvetica" w:hAnsi="Helvetica" w:cs="Times New Roman"/>
                <w:sz w:val="20"/>
                <w:lang w:val="en-US"/>
              </w:rPr>
            </w:pPr>
            <w:r w:rsidRPr="0078169F">
              <w:rPr>
                <w:rFonts w:ascii="Helvetica" w:hAnsi="Helvetica" w:cs="Times New Roman"/>
                <w:sz w:val="20"/>
                <w:lang w:val="en-US"/>
              </w:rPr>
              <w:t>No</w:t>
            </w:r>
          </w:p>
        </w:tc>
      </w:tr>
      <w:tr w:rsidR="00D82018" w:rsidRPr="0078169F" w14:paraId="74D5DF99" w14:textId="77777777" w:rsidTr="004C110A">
        <w:tc>
          <w:tcPr>
            <w:tcW w:w="9242" w:type="dxa"/>
            <w:gridSpan w:val="3"/>
            <w:shd w:val="pct10" w:color="auto" w:fill="auto"/>
          </w:tcPr>
          <w:p w14:paraId="345D280A" w14:textId="77777777" w:rsidR="00D82018" w:rsidRPr="00764CF5" w:rsidRDefault="00D82018" w:rsidP="004C110A">
            <w:pPr>
              <w:jc w:val="both"/>
              <w:rPr>
                <w:rFonts w:ascii="Helvetica" w:hAnsi="Helvetica"/>
                <w:sz w:val="20"/>
              </w:rPr>
            </w:pPr>
            <w:r w:rsidRPr="00764CF5">
              <w:rPr>
                <w:rFonts w:ascii="Helvetica" w:hAnsi="Helvetica"/>
                <w:sz w:val="20"/>
              </w:rPr>
              <w:t>Others</w:t>
            </w:r>
          </w:p>
        </w:tc>
      </w:tr>
      <w:tr w:rsidR="00D82018" w:rsidRPr="0078169F" w14:paraId="1CDA7327" w14:textId="77777777" w:rsidTr="004C110A">
        <w:tc>
          <w:tcPr>
            <w:tcW w:w="6487" w:type="dxa"/>
          </w:tcPr>
          <w:p w14:paraId="4BEFD3DD" w14:textId="77777777" w:rsidR="00D82018" w:rsidRPr="0078169F" w:rsidRDefault="00D82018" w:rsidP="004C110A">
            <w:pPr>
              <w:jc w:val="both"/>
              <w:rPr>
                <w:rFonts w:ascii="Helvetica" w:hAnsi="Helvetica"/>
                <w:sz w:val="20"/>
              </w:rPr>
            </w:pPr>
            <w:r w:rsidRPr="0078169F">
              <w:rPr>
                <w:rFonts w:ascii="Helvetica" w:hAnsi="Helvetica"/>
                <w:sz w:val="20"/>
              </w:rPr>
              <w:t>Mersey Gateway Bridg</w:t>
            </w:r>
            <w:r>
              <w:rPr>
                <w:rFonts w:ascii="Helvetica" w:hAnsi="Helvetica"/>
                <w:sz w:val="20"/>
              </w:rPr>
              <w:t>e</w:t>
            </w:r>
          </w:p>
        </w:tc>
        <w:tc>
          <w:tcPr>
            <w:tcW w:w="1559" w:type="dxa"/>
          </w:tcPr>
          <w:p w14:paraId="4A9F92B0" w14:textId="77777777" w:rsidR="00D82018" w:rsidRPr="0078169F" w:rsidRDefault="00D82018" w:rsidP="004C110A">
            <w:pPr>
              <w:jc w:val="both"/>
              <w:rPr>
                <w:rFonts w:ascii="Helvetica" w:hAnsi="Helvetica"/>
                <w:sz w:val="20"/>
              </w:rPr>
            </w:pPr>
            <w:r w:rsidRPr="0078169F">
              <w:rPr>
                <w:rFonts w:ascii="Helvetica" w:hAnsi="Helvetica"/>
                <w:sz w:val="20"/>
              </w:rPr>
              <w:t>1.55</w:t>
            </w:r>
          </w:p>
        </w:tc>
        <w:tc>
          <w:tcPr>
            <w:tcW w:w="1196" w:type="dxa"/>
          </w:tcPr>
          <w:p w14:paraId="66CB35C3"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8169F" w14:paraId="02DEF8BC" w14:textId="77777777" w:rsidTr="004C110A">
        <w:tc>
          <w:tcPr>
            <w:tcW w:w="6487" w:type="dxa"/>
          </w:tcPr>
          <w:p w14:paraId="03805592" w14:textId="77777777" w:rsidR="00D82018" w:rsidRPr="0078169F" w:rsidRDefault="00D82018" w:rsidP="004C110A">
            <w:pPr>
              <w:jc w:val="both"/>
              <w:rPr>
                <w:rFonts w:ascii="Helvetica" w:hAnsi="Helvetica"/>
                <w:sz w:val="20"/>
              </w:rPr>
            </w:pPr>
            <w:r w:rsidRPr="0078169F">
              <w:rPr>
                <w:rFonts w:ascii="Helvetica" w:hAnsi="Helvetica"/>
                <w:sz w:val="20"/>
              </w:rPr>
              <w:t>Kirkstall Forge, Leeds</w:t>
            </w:r>
          </w:p>
        </w:tc>
        <w:tc>
          <w:tcPr>
            <w:tcW w:w="1559" w:type="dxa"/>
          </w:tcPr>
          <w:p w14:paraId="6D5F7091" w14:textId="77777777" w:rsidR="00D82018" w:rsidRPr="0078169F" w:rsidRDefault="00D82018" w:rsidP="004C110A">
            <w:pPr>
              <w:jc w:val="both"/>
              <w:rPr>
                <w:rFonts w:ascii="Helvetica" w:hAnsi="Helvetica"/>
                <w:sz w:val="20"/>
              </w:rPr>
            </w:pPr>
            <w:r w:rsidRPr="0078169F">
              <w:rPr>
                <w:rFonts w:ascii="Helvetica" w:hAnsi="Helvetica"/>
                <w:sz w:val="20"/>
              </w:rPr>
              <w:t>3.6 to 4.5</w:t>
            </w:r>
          </w:p>
        </w:tc>
        <w:tc>
          <w:tcPr>
            <w:tcW w:w="1196" w:type="dxa"/>
          </w:tcPr>
          <w:p w14:paraId="016E632A"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8169F" w14:paraId="07A2ADE0" w14:textId="77777777" w:rsidTr="004C110A">
        <w:tc>
          <w:tcPr>
            <w:tcW w:w="6487" w:type="dxa"/>
          </w:tcPr>
          <w:p w14:paraId="3EF8F9CC" w14:textId="77777777" w:rsidR="00D82018" w:rsidRPr="0078169F" w:rsidRDefault="00D82018" w:rsidP="004C110A">
            <w:pPr>
              <w:jc w:val="both"/>
              <w:rPr>
                <w:rFonts w:ascii="Helvetica" w:hAnsi="Helvetica"/>
                <w:sz w:val="20"/>
              </w:rPr>
            </w:pPr>
            <w:r w:rsidRPr="0078169F">
              <w:rPr>
                <w:rFonts w:ascii="Helvetica" w:hAnsi="Helvetica"/>
                <w:sz w:val="20"/>
              </w:rPr>
              <w:t>Northern Hub Option 1 (£860m)</w:t>
            </w:r>
          </w:p>
        </w:tc>
        <w:tc>
          <w:tcPr>
            <w:tcW w:w="1559" w:type="dxa"/>
          </w:tcPr>
          <w:p w14:paraId="7093E09B" w14:textId="77777777" w:rsidR="00D82018" w:rsidRPr="0078169F" w:rsidRDefault="00D82018" w:rsidP="004C110A">
            <w:pPr>
              <w:jc w:val="both"/>
              <w:rPr>
                <w:rFonts w:ascii="Helvetica" w:hAnsi="Helvetica"/>
                <w:sz w:val="20"/>
              </w:rPr>
            </w:pPr>
            <w:r w:rsidRPr="0078169F">
              <w:rPr>
                <w:rFonts w:ascii="Helvetica" w:hAnsi="Helvetica"/>
                <w:sz w:val="20"/>
              </w:rPr>
              <w:t>3.1 to 5.6</w:t>
            </w:r>
          </w:p>
        </w:tc>
        <w:tc>
          <w:tcPr>
            <w:tcW w:w="1196" w:type="dxa"/>
          </w:tcPr>
          <w:p w14:paraId="741C9590" w14:textId="77777777" w:rsidR="00D82018" w:rsidRPr="0078169F" w:rsidRDefault="00D82018" w:rsidP="004C110A">
            <w:pPr>
              <w:jc w:val="both"/>
              <w:rPr>
                <w:rFonts w:ascii="Helvetica" w:hAnsi="Helvetica"/>
                <w:sz w:val="20"/>
              </w:rPr>
            </w:pPr>
            <w:r w:rsidRPr="0078169F">
              <w:rPr>
                <w:rFonts w:ascii="Helvetica" w:hAnsi="Helvetica"/>
                <w:sz w:val="20"/>
              </w:rPr>
              <w:t>No</w:t>
            </w:r>
          </w:p>
        </w:tc>
      </w:tr>
      <w:tr w:rsidR="00D82018" w:rsidRPr="0078169F" w14:paraId="04E91C08" w14:textId="77777777" w:rsidTr="004C110A">
        <w:tc>
          <w:tcPr>
            <w:tcW w:w="6487" w:type="dxa"/>
          </w:tcPr>
          <w:p w14:paraId="06F527E5" w14:textId="77777777" w:rsidR="00D82018" w:rsidRPr="0078169F" w:rsidRDefault="00D82018" w:rsidP="004C110A">
            <w:pPr>
              <w:jc w:val="both"/>
              <w:rPr>
                <w:rFonts w:ascii="Helvetica" w:hAnsi="Helvetica"/>
                <w:sz w:val="20"/>
              </w:rPr>
            </w:pPr>
            <w:r w:rsidRPr="0078169F">
              <w:rPr>
                <w:rFonts w:ascii="Helvetica" w:hAnsi="Helvetica"/>
                <w:sz w:val="20"/>
              </w:rPr>
              <w:t>Northern Hub Option 2 (£560m)</w:t>
            </w:r>
          </w:p>
        </w:tc>
        <w:tc>
          <w:tcPr>
            <w:tcW w:w="1559" w:type="dxa"/>
          </w:tcPr>
          <w:p w14:paraId="0608348B" w14:textId="77777777" w:rsidR="00D82018" w:rsidRPr="0078169F" w:rsidRDefault="00D82018" w:rsidP="004C110A">
            <w:pPr>
              <w:jc w:val="both"/>
              <w:rPr>
                <w:rFonts w:ascii="Helvetica" w:hAnsi="Helvetica"/>
                <w:sz w:val="20"/>
              </w:rPr>
            </w:pPr>
            <w:r w:rsidRPr="0078169F">
              <w:rPr>
                <w:rFonts w:ascii="Helvetica" w:hAnsi="Helvetica"/>
                <w:sz w:val="20"/>
              </w:rPr>
              <w:t>4.0</w:t>
            </w:r>
          </w:p>
        </w:tc>
        <w:tc>
          <w:tcPr>
            <w:tcW w:w="1196" w:type="dxa"/>
          </w:tcPr>
          <w:p w14:paraId="03D45C64"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8169F" w14:paraId="317669FC" w14:textId="77777777" w:rsidTr="004C110A">
        <w:tc>
          <w:tcPr>
            <w:tcW w:w="6487" w:type="dxa"/>
          </w:tcPr>
          <w:p w14:paraId="7DE51F1E" w14:textId="77777777" w:rsidR="00D82018" w:rsidRPr="0078169F" w:rsidRDefault="00D82018" w:rsidP="004C110A">
            <w:pPr>
              <w:jc w:val="both"/>
              <w:rPr>
                <w:rFonts w:ascii="Helvetica" w:hAnsi="Helvetica"/>
                <w:sz w:val="20"/>
              </w:rPr>
            </w:pPr>
            <w:r w:rsidRPr="0078169F">
              <w:rPr>
                <w:rFonts w:ascii="Helvetica" w:hAnsi="Helvetica"/>
                <w:sz w:val="20"/>
              </w:rPr>
              <w:t>HS2 (full network)</w:t>
            </w:r>
          </w:p>
        </w:tc>
        <w:tc>
          <w:tcPr>
            <w:tcW w:w="1559" w:type="dxa"/>
          </w:tcPr>
          <w:p w14:paraId="59E7B549" w14:textId="77777777" w:rsidR="00D82018" w:rsidRPr="0078169F" w:rsidRDefault="00D82018" w:rsidP="004C110A">
            <w:pPr>
              <w:jc w:val="both"/>
              <w:rPr>
                <w:rFonts w:ascii="Helvetica" w:hAnsi="Helvetica"/>
                <w:sz w:val="20"/>
              </w:rPr>
            </w:pPr>
            <w:r w:rsidRPr="0078169F">
              <w:rPr>
                <w:rFonts w:ascii="Helvetica" w:hAnsi="Helvetica"/>
                <w:sz w:val="20"/>
              </w:rPr>
              <w:t>2.1 to 2.7</w:t>
            </w:r>
          </w:p>
        </w:tc>
        <w:tc>
          <w:tcPr>
            <w:tcW w:w="1196" w:type="dxa"/>
          </w:tcPr>
          <w:p w14:paraId="2922A73C"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8169F" w14:paraId="19CFC260" w14:textId="77777777" w:rsidTr="004C110A">
        <w:tc>
          <w:tcPr>
            <w:tcW w:w="6487" w:type="dxa"/>
          </w:tcPr>
          <w:p w14:paraId="26CCC370" w14:textId="77777777" w:rsidR="00D82018" w:rsidRPr="0078169F" w:rsidRDefault="00D82018" w:rsidP="004C110A">
            <w:pPr>
              <w:jc w:val="both"/>
              <w:rPr>
                <w:rFonts w:ascii="Helvetica" w:hAnsi="Helvetica"/>
                <w:sz w:val="20"/>
              </w:rPr>
            </w:pPr>
            <w:r w:rsidRPr="0078169F">
              <w:rPr>
                <w:rFonts w:ascii="Helvetica" w:hAnsi="Helvetica"/>
                <w:sz w:val="20"/>
              </w:rPr>
              <w:t>HS2 (phase 2b)</w:t>
            </w:r>
          </w:p>
        </w:tc>
        <w:tc>
          <w:tcPr>
            <w:tcW w:w="1559" w:type="dxa"/>
          </w:tcPr>
          <w:p w14:paraId="18725FD4" w14:textId="77777777" w:rsidR="00D82018" w:rsidRPr="0078169F" w:rsidRDefault="00D82018" w:rsidP="004C110A">
            <w:pPr>
              <w:jc w:val="both"/>
              <w:rPr>
                <w:rFonts w:ascii="Helvetica" w:hAnsi="Helvetica"/>
                <w:sz w:val="20"/>
              </w:rPr>
            </w:pPr>
            <w:r w:rsidRPr="0078169F">
              <w:rPr>
                <w:rFonts w:ascii="Helvetica" w:hAnsi="Helvetica"/>
                <w:sz w:val="20"/>
              </w:rPr>
              <w:t>2.5 to 3.1</w:t>
            </w:r>
          </w:p>
        </w:tc>
        <w:tc>
          <w:tcPr>
            <w:tcW w:w="1196" w:type="dxa"/>
          </w:tcPr>
          <w:p w14:paraId="76D30E12"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8169F" w14:paraId="66ACC1DB" w14:textId="77777777" w:rsidTr="004C110A">
        <w:tc>
          <w:tcPr>
            <w:tcW w:w="6487" w:type="dxa"/>
          </w:tcPr>
          <w:p w14:paraId="52609DD6" w14:textId="77777777" w:rsidR="00D82018" w:rsidRPr="0078169F" w:rsidRDefault="00D82018" w:rsidP="004C110A">
            <w:pPr>
              <w:jc w:val="both"/>
              <w:rPr>
                <w:rFonts w:ascii="Helvetica" w:hAnsi="Helvetica"/>
                <w:sz w:val="20"/>
              </w:rPr>
            </w:pPr>
            <w:r w:rsidRPr="0078169F">
              <w:rPr>
                <w:rFonts w:ascii="Helvetica" w:hAnsi="Helvetica"/>
                <w:sz w:val="20"/>
              </w:rPr>
              <w:t>Crossrail 2</w:t>
            </w:r>
          </w:p>
        </w:tc>
        <w:tc>
          <w:tcPr>
            <w:tcW w:w="1559" w:type="dxa"/>
          </w:tcPr>
          <w:p w14:paraId="5F940716" w14:textId="77777777" w:rsidR="00D82018" w:rsidRPr="0078169F" w:rsidRDefault="00D82018" w:rsidP="004C110A">
            <w:pPr>
              <w:jc w:val="both"/>
              <w:rPr>
                <w:rFonts w:ascii="Helvetica" w:hAnsi="Helvetica"/>
                <w:sz w:val="20"/>
              </w:rPr>
            </w:pPr>
            <w:r w:rsidRPr="0078169F">
              <w:rPr>
                <w:rFonts w:ascii="Helvetica" w:hAnsi="Helvetica"/>
                <w:sz w:val="20"/>
              </w:rPr>
              <w:t>2.1 to 2.7</w:t>
            </w:r>
          </w:p>
        </w:tc>
        <w:tc>
          <w:tcPr>
            <w:tcW w:w="1196" w:type="dxa"/>
          </w:tcPr>
          <w:p w14:paraId="4CE0C9DB" w14:textId="77777777" w:rsidR="00D82018" w:rsidRPr="0078169F" w:rsidRDefault="00D82018" w:rsidP="004C110A">
            <w:pPr>
              <w:jc w:val="both"/>
              <w:rPr>
                <w:rFonts w:ascii="Helvetica" w:hAnsi="Helvetica"/>
                <w:sz w:val="20"/>
              </w:rPr>
            </w:pPr>
            <w:r w:rsidRPr="0078169F">
              <w:rPr>
                <w:rFonts w:ascii="Helvetica" w:hAnsi="Helvetica"/>
                <w:sz w:val="20"/>
              </w:rPr>
              <w:t>Yes</w:t>
            </w:r>
          </w:p>
        </w:tc>
      </w:tr>
      <w:tr w:rsidR="00D82018" w:rsidRPr="00764CF5" w14:paraId="69D6BB7B" w14:textId="77777777" w:rsidTr="004C110A">
        <w:tc>
          <w:tcPr>
            <w:tcW w:w="9242" w:type="dxa"/>
            <w:gridSpan w:val="3"/>
          </w:tcPr>
          <w:p w14:paraId="0C95CC99" w14:textId="77777777" w:rsidR="00D82018" w:rsidRPr="00764CF5" w:rsidRDefault="00D82018" w:rsidP="004C110A">
            <w:pPr>
              <w:jc w:val="both"/>
              <w:rPr>
                <w:rFonts w:ascii="Helvetica" w:hAnsi="Helvetica"/>
                <w:sz w:val="20"/>
              </w:rPr>
            </w:pPr>
            <w:r w:rsidRPr="00764CF5">
              <w:rPr>
                <w:rFonts w:ascii="Helvetica" w:hAnsi="Helvetica"/>
                <w:sz w:val="20"/>
              </w:rPr>
              <w:t>In the National Infrastructure Pipeline for 16/17 and 17/18</w:t>
            </w:r>
          </w:p>
        </w:tc>
      </w:tr>
      <w:tr w:rsidR="00D82018" w:rsidRPr="00764CF5" w14:paraId="74E40631" w14:textId="77777777" w:rsidTr="004C110A">
        <w:tc>
          <w:tcPr>
            <w:tcW w:w="6487" w:type="dxa"/>
          </w:tcPr>
          <w:p w14:paraId="6DE35CD6" w14:textId="77777777" w:rsidR="00D82018" w:rsidRPr="00764CF5" w:rsidRDefault="00D82018" w:rsidP="004C110A">
            <w:pPr>
              <w:jc w:val="both"/>
              <w:rPr>
                <w:rFonts w:ascii="Helvetica" w:hAnsi="Helvetica"/>
                <w:sz w:val="20"/>
              </w:rPr>
            </w:pPr>
            <w:r w:rsidRPr="00764CF5">
              <w:rPr>
                <w:rFonts w:ascii="Helvetica" w:hAnsi="Helvetica"/>
                <w:sz w:val="20"/>
              </w:rPr>
              <w:t>Out of London:</w:t>
            </w:r>
          </w:p>
        </w:tc>
        <w:tc>
          <w:tcPr>
            <w:tcW w:w="1559" w:type="dxa"/>
          </w:tcPr>
          <w:p w14:paraId="466D60F2" w14:textId="77777777" w:rsidR="00D82018" w:rsidRPr="00764CF5" w:rsidRDefault="00D82018" w:rsidP="004C110A">
            <w:pPr>
              <w:jc w:val="both"/>
              <w:rPr>
                <w:rFonts w:ascii="Helvetica" w:hAnsi="Helvetica"/>
                <w:sz w:val="20"/>
              </w:rPr>
            </w:pPr>
          </w:p>
        </w:tc>
        <w:tc>
          <w:tcPr>
            <w:tcW w:w="1196" w:type="dxa"/>
          </w:tcPr>
          <w:p w14:paraId="6D2D10A2" w14:textId="77777777" w:rsidR="00D82018" w:rsidRPr="00764CF5" w:rsidRDefault="00D82018" w:rsidP="004C110A">
            <w:pPr>
              <w:jc w:val="both"/>
              <w:rPr>
                <w:rFonts w:ascii="Helvetica" w:hAnsi="Helvetica"/>
                <w:sz w:val="20"/>
              </w:rPr>
            </w:pPr>
          </w:p>
        </w:tc>
      </w:tr>
      <w:tr w:rsidR="00D82018" w:rsidRPr="00764CF5" w14:paraId="2E166346" w14:textId="77777777" w:rsidTr="004C110A">
        <w:tc>
          <w:tcPr>
            <w:tcW w:w="6487" w:type="dxa"/>
          </w:tcPr>
          <w:p w14:paraId="6ACE8301" w14:textId="77777777" w:rsidR="00D82018" w:rsidRPr="00764CF5" w:rsidRDefault="00D82018" w:rsidP="004C110A">
            <w:pPr>
              <w:jc w:val="both"/>
              <w:rPr>
                <w:rFonts w:ascii="Helvetica" w:hAnsi="Helvetica"/>
                <w:sz w:val="20"/>
              </w:rPr>
            </w:pPr>
            <w:r>
              <w:rPr>
                <w:rFonts w:ascii="Helvetica" w:hAnsi="Helvetica"/>
                <w:sz w:val="20"/>
              </w:rPr>
              <w:t xml:space="preserve">     </w:t>
            </w:r>
            <w:r w:rsidRPr="00764CF5">
              <w:rPr>
                <w:rFonts w:ascii="Helvetica" w:hAnsi="Helvetica"/>
                <w:sz w:val="20"/>
              </w:rPr>
              <w:t>Great Western capacity and electrification</w:t>
            </w:r>
          </w:p>
        </w:tc>
        <w:tc>
          <w:tcPr>
            <w:tcW w:w="1559" w:type="dxa"/>
          </w:tcPr>
          <w:p w14:paraId="0F84AB49" w14:textId="77777777" w:rsidR="00D82018" w:rsidRPr="00764CF5" w:rsidRDefault="00D82018" w:rsidP="004C110A">
            <w:pPr>
              <w:jc w:val="both"/>
              <w:rPr>
                <w:rFonts w:ascii="Helvetica" w:hAnsi="Helvetica"/>
                <w:sz w:val="20"/>
              </w:rPr>
            </w:pPr>
          </w:p>
        </w:tc>
        <w:tc>
          <w:tcPr>
            <w:tcW w:w="1196" w:type="dxa"/>
          </w:tcPr>
          <w:p w14:paraId="6FABD4FA" w14:textId="77777777" w:rsidR="00D82018" w:rsidRPr="00764CF5" w:rsidRDefault="00D82018" w:rsidP="004C110A">
            <w:pPr>
              <w:jc w:val="both"/>
              <w:rPr>
                <w:rFonts w:ascii="Helvetica" w:hAnsi="Helvetica"/>
                <w:sz w:val="20"/>
              </w:rPr>
            </w:pPr>
          </w:p>
        </w:tc>
      </w:tr>
      <w:tr w:rsidR="00D82018" w:rsidRPr="00764CF5" w14:paraId="115C191C" w14:textId="77777777" w:rsidTr="004C110A">
        <w:tc>
          <w:tcPr>
            <w:tcW w:w="6487" w:type="dxa"/>
          </w:tcPr>
          <w:p w14:paraId="2BEB3000" w14:textId="77777777" w:rsidR="00D82018" w:rsidRPr="00764CF5" w:rsidRDefault="00D82018" w:rsidP="004C110A">
            <w:pPr>
              <w:jc w:val="both"/>
              <w:rPr>
                <w:rFonts w:ascii="Helvetica" w:hAnsi="Helvetica"/>
                <w:sz w:val="20"/>
              </w:rPr>
            </w:pPr>
            <w:r>
              <w:rPr>
                <w:rFonts w:ascii="Helvetica" w:hAnsi="Helvetica"/>
                <w:sz w:val="20"/>
              </w:rPr>
              <w:t xml:space="preserve">     </w:t>
            </w:r>
            <w:r w:rsidRPr="00764CF5">
              <w:rPr>
                <w:rFonts w:ascii="Helvetica" w:hAnsi="Helvetica"/>
                <w:sz w:val="20"/>
              </w:rPr>
              <w:t>Bromsgrove electrification</w:t>
            </w:r>
          </w:p>
        </w:tc>
        <w:tc>
          <w:tcPr>
            <w:tcW w:w="1559" w:type="dxa"/>
          </w:tcPr>
          <w:p w14:paraId="789D32FC" w14:textId="77777777" w:rsidR="00D82018" w:rsidRPr="00764CF5" w:rsidRDefault="00D82018" w:rsidP="004C110A">
            <w:pPr>
              <w:jc w:val="both"/>
              <w:rPr>
                <w:rFonts w:ascii="Helvetica" w:hAnsi="Helvetica"/>
                <w:sz w:val="20"/>
              </w:rPr>
            </w:pPr>
          </w:p>
        </w:tc>
        <w:tc>
          <w:tcPr>
            <w:tcW w:w="1196" w:type="dxa"/>
          </w:tcPr>
          <w:p w14:paraId="41B9D639" w14:textId="77777777" w:rsidR="00D82018" w:rsidRPr="00764CF5" w:rsidRDefault="00D82018" w:rsidP="004C110A">
            <w:pPr>
              <w:jc w:val="both"/>
              <w:rPr>
                <w:rFonts w:ascii="Helvetica" w:hAnsi="Helvetica"/>
                <w:sz w:val="20"/>
              </w:rPr>
            </w:pPr>
          </w:p>
        </w:tc>
      </w:tr>
      <w:tr w:rsidR="00D82018" w:rsidRPr="00764CF5" w14:paraId="52C8D680" w14:textId="77777777" w:rsidTr="004C110A">
        <w:tc>
          <w:tcPr>
            <w:tcW w:w="6487" w:type="dxa"/>
          </w:tcPr>
          <w:p w14:paraId="153BF6D4" w14:textId="77777777" w:rsidR="00D82018" w:rsidRPr="00764CF5" w:rsidRDefault="00D82018" w:rsidP="004C110A">
            <w:pPr>
              <w:jc w:val="both"/>
              <w:rPr>
                <w:rFonts w:ascii="Helvetica" w:hAnsi="Helvetica"/>
                <w:sz w:val="20"/>
              </w:rPr>
            </w:pPr>
            <w:r>
              <w:rPr>
                <w:rFonts w:ascii="Helvetica" w:hAnsi="Helvetica"/>
                <w:sz w:val="20"/>
              </w:rPr>
              <w:t xml:space="preserve">     </w:t>
            </w:r>
            <w:r w:rsidRPr="00764CF5">
              <w:rPr>
                <w:rFonts w:ascii="Helvetica" w:hAnsi="Helvetica"/>
                <w:sz w:val="20"/>
              </w:rPr>
              <w:t>Hull – East Coast Main Line electrification</w:t>
            </w:r>
          </w:p>
        </w:tc>
        <w:tc>
          <w:tcPr>
            <w:tcW w:w="1559" w:type="dxa"/>
          </w:tcPr>
          <w:p w14:paraId="3878EA93" w14:textId="77777777" w:rsidR="00D82018" w:rsidRPr="00764CF5" w:rsidRDefault="00D82018" w:rsidP="004C110A">
            <w:pPr>
              <w:jc w:val="both"/>
              <w:rPr>
                <w:rFonts w:ascii="Helvetica" w:hAnsi="Helvetica"/>
                <w:sz w:val="20"/>
              </w:rPr>
            </w:pPr>
          </w:p>
        </w:tc>
        <w:tc>
          <w:tcPr>
            <w:tcW w:w="1196" w:type="dxa"/>
          </w:tcPr>
          <w:p w14:paraId="11CBCECA" w14:textId="77777777" w:rsidR="00D82018" w:rsidRPr="00764CF5" w:rsidRDefault="00D82018" w:rsidP="004C110A">
            <w:pPr>
              <w:jc w:val="both"/>
              <w:rPr>
                <w:rFonts w:ascii="Helvetica" w:hAnsi="Helvetica"/>
                <w:sz w:val="20"/>
              </w:rPr>
            </w:pPr>
          </w:p>
        </w:tc>
      </w:tr>
      <w:tr w:rsidR="00D82018" w:rsidRPr="00764CF5" w14:paraId="0F1863D2" w14:textId="77777777" w:rsidTr="004C110A">
        <w:tc>
          <w:tcPr>
            <w:tcW w:w="6487" w:type="dxa"/>
          </w:tcPr>
          <w:p w14:paraId="7DD9D266" w14:textId="77777777" w:rsidR="00D82018" w:rsidRPr="00764CF5" w:rsidRDefault="00D82018" w:rsidP="004C110A">
            <w:pPr>
              <w:jc w:val="both"/>
              <w:rPr>
                <w:rFonts w:ascii="Helvetica" w:hAnsi="Helvetica"/>
                <w:sz w:val="20"/>
              </w:rPr>
            </w:pPr>
            <w:r w:rsidRPr="00764CF5">
              <w:rPr>
                <w:rFonts w:ascii="Helvetica" w:hAnsi="Helvetica"/>
                <w:sz w:val="20"/>
              </w:rPr>
              <w:t>In London:</w:t>
            </w:r>
          </w:p>
        </w:tc>
        <w:tc>
          <w:tcPr>
            <w:tcW w:w="1559" w:type="dxa"/>
          </w:tcPr>
          <w:p w14:paraId="28699475" w14:textId="77777777" w:rsidR="00D82018" w:rsidRPr="00764CF5" w:rsidRDefault="00D82018" w:rsidP="004C110A">
            <w:pPr>
              <w:jc w:val="both"/>
              <w:rPr>
                <w:rFonts w:ascii="Helvetica" w:hAnsi="Helvetica"/>
                <w:sz w:val="20"/>
              </w:rPr>
            </w:pPr>
          </w:p>
        </w:tc>
        <w:tc>
          <w:tcPr>
            <w:tcW w:w="1196" w:type="dxa"/>
          </w:tcPr>
          <w:p w14:paraId="75711AA7" w14:textId="77777777" w:rsidR="00D82018" w:rsidRPr="00764CF5" w:rsidRDefault="00D82018" w:rsidP="004C110A">
            <w:pPr>
              <w:jc w:val="both"/>
              <w:rPr>
                <w:rFonts w:ascii="Helvetica" w:hAnsi="Helvetica"/>
                <w:sz w:val="20"/>
              </w:rPr>
            </w:pPr>
          </w:p>
        </w:tc>
      </w:tr>
      <w:tr w:rsidR="00D82018" w:rsidRPr="00764CF5" w14:paraId="7F5CEF78" w14:textId="77777777" w:rsidTr="004C110A">
        <w:tc>
          <w:tcPr>
            <w:tcW w:w="6487" w:type="dxa"/>
          </w:tcPr>
          <w:p w14:paraId="35BA192D" w14:textId="77777777" w:rsidR="00D82018" w:rsidRPr="00764CF5" w:rsidRDefault="00D82018" w:rsidP="004C110A">
            <w:pPr>
              <w:jc w:val="both"/>
              <w:rPr>
                <w:rFonts w:ascii="Helvetica" w:hAnsi="Helvetica"/>
                <w:sz w:val="20"/>
              </w:rPr>
            </w:pPr>
            <w:r>
              <w:rPr>
                <w:rFonts w:ascii="Helvetica" w:hAnsi="Helvetica"/>
                <w:sz w:val="20"/>
              </w:rPr>
              <w:t xml:space="preserve">     </w:t>
            </w:r>
            <w:r w:rsidRPr="00764CF5">
              <w:rPr>
                <w:rFonts w:ascii="Helvetica" w:hAnsi="Helvetica"/>
                <w:sz w:val="20"/>
              </w:rPr>
              <w:t>Gospel Oak to Barking</w:t>
            </w:r>
          </w:p>
        </w:tc>
        <w:tc>
          <w:tcPr>
            <w:tcW w:w="1559" w:type="dxa"/>
          </w:tcPr>
          <w:p w14:paraId="3F649B6E" w14:textId="77777777" w:rsidR="00D82018" w:rsidRPr="00764CF5" w:rsidRDefault="00D82018" w:rsidP="004C110A">
            <w:pPr>
              <w:jc w:val="both"/>
              <w:rPr>
                <w:rFonts w:ascii="Helvetica" w:hAnsi="Helvetica"/>
                <w:sz w:val="20"/>
              </w:rPr>
            </w:pPr>
          </w:p>
        </w:tc>
        <w:tc>
          <w:tcPr>
            <w:tcW w:w="1196" w:type="dxa"/>
          </w:tcPr>
          <w:p w14:paraId="11AB9AC3" w14:textId="77777777" w:rsidR="00D82018" w:rsidRPr="00764CF5" w:rsidRDefault="00D82018" w:rsidP="004C110A">
            <w:pPr>
              <w:jc w:val="both"/>
              <w:rPr>
                <w:rFonts w:ascii="Helvetica" w:hAnsi="Helvetica"/>
                <w:sz w:val="20"/>
              </w:rPr>
            </w:pPr>
          </w:p>
        </w:tc>
      </w:tr>
      <w:tr w:rsidR="00D82018" w:rsidRPr="00764CF5" w14:paraId="5F5F775E" w14:textId="77777777" w:rsidTr="004C110A">
        <w:tc>
          <w:tcPr>
            <w:tcW w:w="6487" w:type="dxa"/>
          </w:tcPr>
          <w:p w14:paraId="2B5BDD7C" w14:textId="77777777" w:rsidR="00D82018" w:rsidRPr="00764CF5" w:rsidRDefault="00D82018" w:rsidP="004C110A">
            <w:pPr>
              <w:jc w:val="both"/>
              <w:rPr>
                <w:rFonts w:ascii="Helvetica" w:hAnsi="Helvetica"/>
                <w:sz w:val="20"/>
              </w:rPr>
            </w:pPr>
            <w:r>
              <w:rPr>
                <w:rFonts w:ascii="Helvetica" w:hAnsi="Helvetica"/>
                <w:sz w:val="20"/>
              </w:rPr>
              <w:t xml:space="preserve">     </w:t>
            </w:r>
            <w:r w:rsidRPr="00764CF5">
              <w:rPr>
                <w:rFonts w:ascii="Helvetica" w:hAnsi="Helvetica"/>
                <w:sz w:val="20"/>
              </w:rPr>
              <w:t>London Overground asset renewals/enhancements</w:t>
            </w:r>
          </w:p>
        </w:tc>
        <w:tc>
          <w:tcPr>
            <w:tcW w:w="1559" w:type="dxa"/>
          </w:tcPr>
          <w:p w14:paraId="7E4CA081" w14:textId="77777777" w:rsidR="00D82018" w:rsidRPr="00764CF5" w:rsidRDefault="00D82018" w:rsidP="004C110A">
            <w:pPr>
              <w:jc w:val="both"/>
              <w:rPr>
                <w:rFonts w:ascii="Helvetica" w:hAnsi="Helvetica"/>
                <w:sz w:val="20"/>
              </w:rPr>
            </w:pPr>
          </w:p>
        </w:tc>
        <w:tc>
          <w:tcPr>
            <w:tcW w:w="1196" w:type="dxa"/>
          </w:tcPr>
          <w:p w14:paraId="5CB6797C" w14:textId="77777777" w:rsidR="00D82018" w:rsidRPr="00764CF5" w:rsidRDefault="00D82018" w:rsidP="004C110A">
            <w:pPr>
              <w:jc w:val="both"/>
              <w:rPr>
                <w:rFonts w:ascii="Helvetica" w:hAnsi="Helvetica"/>
                <w:sz w:val="20"/>
              </w:rPr>
            </w:pPr>
          </w:p>
        </w:tc>
      </w:tr>
    </w:tbl>
    <w:p w14:paraId="6C732B82" w14:textId="77777777" w:rsidR="00D82018" w:rsidRDefault="00D82018" w:rsidP="00D82018">
      <w:pPr>
        <w:jc w:val="both"/>
        <w:rPr>
          <w:rFonts w:ascii="Helvetica" w:hAnsi="Helvetica"/>
          <w:sz w:val="20"/>
        </w:rPr>
      </w:pPr>
    </w:p>
    <w:p w14:paraId="19591CAE" w14:textId="77777777" w:rsidR="00D82018" w:rsidRDefault="00D82018" w:rsidP="00D82018"/>
    <w:p w14:paraId="1A526F56" w14:textId="6785E6DE" w:rsidR="00D82018" w:rsidRDefault="00D82018">
      <w:pPr>
        <w:rPr>
          <w:rFonts w:ascii="Helvetica" w:hAnsi="Helvetica"/>
          <w:szCs w:val="24"/>
        </w:rPr>
      </w:pPr>
      <w:r>
        <w:rPr>
          <w:rFonts w:ascii="Helvetica" w:hAnsi="Helvetica"/>
          <w:szCs w:val="24"/>
        </w:rPr>
        <w:br w:type="page"/>
      </w:r>
    </w:p>
    <w:p w14:paraId="16F6CE6F" w14:textId="77777777" w:rsidR="000E4E02" w:rsidRPr="009B3DDE" w:rsidRDefault="000E4E02" w:rsidP="009B3DDE">
      <w:pPr>
        <w:spacing w:line="480" w:lineRule="auto"/>
        <w:rPr>
          <w:rFonts w:ascii="Helvetica" w:hAnsi="Helvetica"/>
          <w:szCs w:val="24"/>
        </w:rPr>
      </w:pPr>
    </w:p>
    <w:p w14:paraId="45090A1C" w14:textId="77777777" w:rsidR="00DF6CF4" w:rsidRPr="009B3DDE" w:rsidRDefault="00DF6CF4" w:rsidP="009B3DDE">
      <w:pPr>
        <w:spacing w:line="480" w:lineRule="auto"/>
        <w:rPr>
          <w:rFonts w:ascii="Helvetica" w:hAnsi="Helvetica"/>
          <w:szCs w:val="24"/>
        </w:rPr>
      </w:pPr>
    </w:p>
    <w:p w14:paraId="6BA65859" w14:textId="56AAF97F" w:rsidR="000E4E02" w:rsidRPr="009B3DDE" w:rsidRDefault="002D32F1" w:rsidP="009B3DDE">
      <w:pPr>
        <w:spacing w:line="480" w:lineRule="auto"/>
        <w:jc w:val="both"/>
        <w:rPr>
          <w:rFonts w:ascii="Helvetica" w:hAnsi="Helvetica"/>
          <w:szCs w:val="24"/>
        </w:rPr>
      </w:pPr>
      <w:r>
        <w:rPr>
          <w:rFonts w:ascii="Helvetica" w:hAnsi="Helvetica"/>
          <w:szCs w:val="24"/>
        </w:rPr>
        <w:t>NOTES</w:t>
      </w:r>
    </w:p>
    <w:sectPr w:rsidR="000E4E02" w:rsidRPr="009B3DDE" w:rsidSect="00C65A7E">
      <w:footerReference w:type="default" r:id="rId44"/>
      <w:pgSz w:w="11901" w:h="16840"/>
      <w:pgMar w:top="1440" w:right="1797" w:bottom="1440" w:left="1797"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27CCEC" w14:textId="77777777" w:rsidR="00006BD9" w:rsidRDefault="00006BD9" w:rsidP="004F7768">
      <w:r>
        <w:separator/>
      </w:r>
    </w:p>
  </w:endnote>
  <w:endnote w:type="continuationSeparator" w:id="0">
    <w:p w14:paraId="6FEE489B" w14:textId="77777777" w:rsidR="00006BD9" w:rsidRDefault="00006BD9" w:rsidP="004F7768">
      <w:r>
        <w:continuationSeparator/>
      </w:r>
    </w:p>
  </w:endnote>
  <w:endnote w:id="1">
    <w:p w14:paraId="3189457F" w14:textId="328EF02D" w:rsidR="007A5158" w:rsidRPr="00C84415" w:rsidRDefault="007A5158" w:rsidP="00C84415">
      <w:pPr>
        <w:pStyle w:val="EndnoteText"/>
        <w:spacing w:line="480" w:lineRule="auto"/>
      </w:pPr>
      <w:r w:rsidRPr="002965F9">
        <w:rPr>
          <w:rStyle w:val="EndnoteReference"/>
          <w:sz w:val="18"/>
          <w:szCs w:val="18"/>
        </w:rPr>
        <w:endnoteRef/>
      </w:r>
      <w:r w:rsidRPr="002965F9">
        <w:rPr>
          <w:sz w:val="18"/>
          <w:szCs w:val="18"/>
        </w:rPr>
        <w:t xml:space="preserve"> </w:t>
      </w:r>
      <w:r w:rsidRPr="00C84415">
        <w:t xml:space="preserve">Quote from the Guardian (22/8/17), accessed from: </w:t>
      </w:r>
      <w:hyperlink r:id="rId1" w:history="1">
        <w:r w:rsidRPr="00C84415">
          <w:rPr>
            <w:rStyle w:val="Hyperlink"/>
          </w:rPr>
          <w:t>https://www.theguardian.com/commentisfree/2017/aug/22/north-powerhouse-infrastructure-andy-burnham</w:t>
        </w:r>
      </w:hyperlink>
      <w:r w:rsidRPr="00C84415">
        <w:t xml:space="preserve"> </w:t>
      </w:r>
    </w:p>
  </w:endnote>
  <w:endnote w:id="2">
    <w:p w14:paraId="3F3AFD82" w14:textId="28A56CC0" w:rsidR="007A5158" w:rsidRPr="00C84415" w:rsidRDefault="007A5158" w:rsidP="00C84415">
      <w:pPr>
        <w:pStyle w:val="EndnoteText"/>
        <w:spacing w:line="480" w:lineRule="auto"/>
        <w:rPr>
          <w:lang w:val="en-US"/>
        </w:rPr>
      </w:pPr>
      <w:r w:rsidRPr="00C84415">
        <w:rPr>
          <w:rStyle w:val="EndnoteReference"/>
        </w:rPr>
        <w:endnoteRef/>
      </w:r>
      <w:r w:rsidRPr="00C84415">
        <w:t xml:space="preserve"> </w:t>
      </w:r>
      <w:r w:rsidRPr="00C84415">
        <w:rPr>
          <w:lang w:val="en-US"/>
        </w:rPr>
        <w:t>“Matthew 13, 11-12: “</w:t>
      </w:r>
      <w:r w:rsidRPr="00C84415">
        <w:rPr>
          <w:rStyle w:val="st"/>
          <w:rFonts w:eastAsia="Times New Roman" w:cs="Times New Roman"/>
        </w:rPr>
        <w:t>For whosoever hath, to him shall be given, and he shall have more abundance.”</w:t>
      </w:r>
    </w:p>
  </w:endnote>
  <w:endnote w:id="3">
    <w:p w14:paraId="35EC5B1F" w14:textId="3F3B97F7" w:rsidR="007A5158" w:rsidRPr="00C84415" w:rsidRDefault="007A5158" w:rsidP="00C84415">
      <w:pPr>
        <w:pStyle w:val="EndnoteText"/>
        <w:spacing w:line="480" w:lineRule="auto"/>
      </w:pPr>
      <w:r w:rsidRPr="00C84415">
        <w:rPr>
          <w:rStyle w:val="EndnoteReference"/>
        </w:rPr>
        <w:endnoteRef/>
      </w:r>
      <w:r w:rsidRPr="00C84415">
        <w:t xml:space="preserve"> For example, </w:t>
      </w:r>
      <w:hyperlink r:id="rId2" w:history="1">
        <w:r w:rsidRPr="00C84415">
          <w:rPr>
            <w:rStyle w:val="Hyperlink"/>
          </w:rPr>
          <w:t>https://www.weforum.org/reports/the-global-competitiveness-report-2016-2017-1</w:t>
        </w:r>
      </w:hyperlink>
      <w:r w:rsidRPr="00C84415">
        <w:t xml:space="preserve"> and </w:t>
      </w:r>
      <w:hyperlink r:id="rId3" w:history="1">
        <w:r w:rsidRPr="00C84415">
          <w:rPr>
            <w:rStyle w:val="Hyperlink"/>
            <w:rFonts w:ascii="Helvetica" w:hAnsi="Helvetica"/>
          </w:rPr>
          <w:t>https://www.tuc.org.uk/news/uk-languishing-near-bottom-oecd-rankings-investment-vital-infrastructure</w:t>
        </w:r>
      </w:hyperlink>
    </w:p>
  </w:endnote>
  <w:endnote w:id="4">
    <w:p w14:paraId="271A9847" w14:textId="6108F164" w:rsidR="007A5158" w:rsidRPr="00C84415" w:rsidRDefault="007A5158" w:rsidP="00C84415">
      <w:pPr>
        <w:pStyle w:val="EndnoteText"/>
        <w:spacing w:line="480" w:lineRule="auto"/>
      </w:pPr>
      <w:r w:rsidRPr="00C84415">
        <w:rPr>
          <w:rStyle w:val="EndnoteReference"/>
        </w:rPr>
        <w:endnoteRef/>
      </w:r>
      <w:r w:rsidRPr="00C84415">
        <w:t xml:space="preserve"> See </w:t>
      </w:r>
      <w:hyperlink r:id="rId4" w:history="1">
        <w:r w:rsidRPr="00C84415">
          <w:rPr>
            <w:rStyle w:val="Hyperlink"/>
          </w:rPr>
          <w:t>https://www.nic.org.uk/our-work/national-infrastructure-assessment/</w:t>
        </w:r>
      </w:hyperlink>
      <w:r w:rsidRPr="00C84415">
        <w:t xml:space="preserve"> </w:t>
      </w:r>
    </w:p>
  </w:endnote>
  <w:endnote w:id="5">
    <w:p w14:paraId="0F562514" w14:textId="33095F86" w:rsidR="007A5158" w:rsidRPr="00C84415" w:rsidRDefault="007A5158" w:rsidP="00C84415">
      <w:pPr>
        <w:pStyle w:val="EndnoteText"/>
        <w:spacing w:line="480" w:lineRule="auto"/>
      </w:pPr>
      <w:r w:rsidRPr="00C84415">
        <w:rPr>
          <w:rStyle w:val="EndnoteReference"/>
        </w:rPr>
        <w:endnoteRef/>
      </w:r>
      <w:r w:rsidRPr="00C84415">
        <w:t xml:space="preserve"> See BEIS select Committee on Industrial Policy: Sector Deals and Productivity on 28/2/18 at: </w:t>
      </w:r>
      <w:hyperlink r:id="rId5" w:history="1">
        <w:r w:rsidRPr="00C84415">
          <w:rPr>
            <w:rStyle w:val="Hyperlink"/>
          </w:rPr>
          <w:t>https://www.parliamentlive.tv/Event/Index/380f32b4-5f92-4d9e-8215-ec06a56c4450</w:t>
        </w:r>
      </w:hyperlink>
      <w:r w:rsidRPr="00C84415">
        <w:t xml:space="preserve"> </w:t>
      </w:r>
    </w:p>
  </w:endnote>
  <w:endnote w:id="6">
    <w:p w14:paraId="4B00D6D8" w14:textId="0B3642FC" w:rsidR="007A5158" w:rsidRPr="00C84415" w:rsidRDefault="007A5158" w:rsidP="00C84415">
      <w:pPr>
        <w:pStyle w:val="EndnoteText"/>
        <w:spacing w:line="480" w:lineRule="auto"/>
        <w:rPr>
          <w:lang w:val="en-US"/>
        </w:rPr>
      </w:pPr>
      <w:r w:rsidRPr="00C84415">
        <w:rPr>
          <w:rStyle w:val="EndnoteReference"/>
        </w:rPr>
        <w:endnoteRef/>
      </w:r>
      <w:r w:rsidRPr="00C84415">
        <w:t xml:space="preserve"> </w:t>
      </w:r>
      <w:r w:rsidRPr="00C84415">
        <w:rPr>
          <w:lang w:val="en-US"/>
        </w:rPr>
        <w:t xml:space="preserve">The guidance documents distinguish work and commuting travel from leisure travel and also apply different valuations depending on the distance traveled and the mode of transport. Non-work travel is assigned the lowest value, long business trips by rail the highest. </w:t>
      </w:r>
    </w:p>
  </w:endnote>
  <w:endnote w:id="7">
    <w:p w14:paraId="7505A2BD" w14:textId="77777777" w:rsidR="007A5158" w:rsidRPr="00C84415" w:rsidRDefault="007A5158" w:rsidP="004561D5">
      <w:pPr>
        <w:pStyle w:val="EndnoteText"/>
        <w:spacing w:line="480" w:lineRule="auto"/>
      </w:pPr>
      <w:r w:rsidRPr="00C84415">
        <w:rPr>
          <w:rStyle w:val="EndnoteReference"/>
        </w:rPr>
        <w:endnoteRef/>
      </w:r>
      <w:r w:rsidRPr="00C84415">
        <w:t xml:space="preserve"> See open letter from Andrew Tyrie to Chris Grayling, Transport Minister, here: https://www.parliament.uk/documents/commons-committees/treasury/Correspondence/Chairman-to-Transport-Secretary-Airport-Expansion-and-HS2-15092016.pdf</w:t>
      </w:r>
    </w:p>
  </w:endnote>
  <w:endnote w:id="8">
    <w:p w14:paraId="3271C780" w14:textId="295F99E7" w:rsidR="007A5158" w:rsidRPr="00C84415" w:rsidRDefault="007A5158" w:rsidP="004561D5">
      <w:pPr>
        <w:pStyle w:val="EndnoteText"/>
        <w:spacing w:line="480" w:lineRule="auto"/>
      </w:pPr>
      <w:r w:rsidRPr="00C84415">
        <w:rPr>
          <w:rStyle w:val="EndnoteReference"/>
        </w:rPr>
        <w:endnoteRef/>
      </w:r>
      <w:r w:rsidRPr="00C84415">
        <w:t xml:space="preserve"> </w:t>
      </w:r>
      <w:r w:rsidRPr="00C84415">
        <w:rPr>
          <w:rFonts w:ascii="Helvetica" w:hAnsi="Helvetica"/>
        </w:rPr>
        <w:t>See the economic impact of Liverpool HS2 connection line in Figure 6 of Blond et al, (2016).</w:t>
      </w:r>
    </w:p>
  </w:endnote>
  <w:endnote w:id="9">
    <w:p w14:paraId="22525614" w14:textId="597F80A1" w:rsidR="007A5158" w:rsidRPr="004561D5" w:rsidRDefault="007A5158" w:rsidP="004561D5">
      <w:pPr>
        <w:pStyle w:val="EndnoteText"/>
        <w:spacing w:line="480" w:lineRule="auto"/>
        <w:rPr>
          <w:lang w:val="en-US"/>
        </w:rPr>
      </w:pPr>
      <w:r w:rsidRPr="004561D5">
        <w:rPr>
          <w:rStyle w:val="EndnoteReference"/>
        </w:rPr>
        <w:endnoteRef/>
      </w:r>
      <w:r w:rsidRPr="004561D5">
        <w:t xml:space="preserve"> </w:t>
      </w:r>
      <w:r w:rsidRPr="004561D5">
        <w:rPr>
          <w:lang w:val="en-US"/>
        </w:rPr>
        <w:t xml:space="preserve">This point refers to the size of the change in utility due to one additional unit of economic output. </w:t>
      </w:r>
    </w:p>
  </w:endnote>
  <w:endnote w:id="10">
    <w:p w14:paraId="20B37613" w14:textId="20467F22" w:rsidR="007A5158" w:rsidRPr="002965F9" w:rsidRDefault="007A5158" w:rsidP="004561D5">
      <w:pPr>
        <w:pStyle w:val="EndnoteText"/>
        <w:spacing w:line="480" w:lineRule="auto"/>
        <w:rPr>
          <w:sz w:val="18"/>
          <w:szCs w:val="18"/>
        </w:rPr>
      </w:pPr>
      <w:r w:rsidRPr="00C84415">
        <w:rPr>
          <w:rStyle w:val="EndnoteReference"/>
        </w:rPr>
        <w:endnoteRef/>
      </w:r>
      <w:r w:rsidRPr="00C84415">
        <w:t xml:space="preserve"> In theory, when there are perfect markets with no transactions costs, the value of time saved and the increase in property values </w:t>
      </w:r>
      <w:r w:rsidRPr="00C84415">
        <w:rPr>
          <w:rFonts w:ascii="Helvetica" w:eastAsia="Times New Roman" w:hAnsi="Helvetica" w:cs="Times New Roman"/>
          <w:color w:val="000000"/>
          <w:lang w:eastAsia="en-US"/>
        </w:rPr>
        <w:t xml:space="preserve">attributable to time saved </w:t>
      </w:r>
      <w:r w:rsidRPr="00C84415">
        <w:t>would be equal.</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Helvetica Neue">
    <w:altName w:val="Malgun Gothic"/>
    <w:panose1 w:val="02000503000000020004"/>
    <w:charset w:val="00"/>
    <w:family w:val="auto"/>
    <w:pitch w:val="variable"/>
    <w:sig w:usb0="E50002FF" w:usb1="500079DB" w:usb2="00000010" w:usb3="00000000" w:csb0="00000001" w:csb1="00000000"/>
  </w:font>
  <w:font w:name="Sabon">
    <w:altName w:val="Times New Roman"/>
    <w:panose1 w:val="020B0604020202020204"/>
    <w:charset w:val="00"/>
    <w:family w:val="roman"/>
    <w:pitch w:val="variable"/>
    <w:sig w:usb0="03000003"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00000003" w:usb1="00000000" w:usb2="00000000" w:usb3="00000000" w:csb0="00000001" w:csb1="00000000"/>
  </w:font>
  <w:font w:name="Gill Sans">
    <w:panose1 w:val="020B0502020104020203"/>
    <w:charset w:val="B1"/>
    <w:family w:val="swiss"/>
    <w:pitch w:val="variable"/>
    <w:sig w:usb0="80000A67" w:usb1="00000000" w:usb2="00000000" w:usb3="00000000" w:csb0="000001F7"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49FB98" w14:textId="68C17890" w:rsidR="007A5158" w:rsidRPr="005A445F" w:rsidRDefault="007A5158">
    <w:pPr>
      <w:pStyle w:val="Footer"/>
      <w:jc w:val="center"/>
      <w:rPr>
        <w:sz w:val="18"/>
        <w:szCs w:val="18"/>
      </w:rPr>
    </w:pPr>
  </w:p>
  <w:p w14:paraId="6FDB2253" w14:textId="55C97836" w:rsidR="007A5158" w:rsidRPr="005A445F" w:rsidRDefault="007A5158">
    <w:pPr>
      <w:pStyle w:val="Footer"/>
      <w:rPr>
        <w:sz w:val="18"/>
        <w:szCs w:val="18"/>
      </w:rPr>
    </w:pPr>
    <w:r w:rsidRPr="005A445F">
      <w:rPr>
        <w:sz w:val="18"/>
        <w:szCs w:val="18"/>
        <w:lang w:val="en-US"/>
      </w:rPr>
      <w:tab/>
      <w:t xml:space="preserve">Page </w:t>
    </w:r>
    <w:r w:rsidRPr="005A445F">
      <w:rPr>
        <w:sz w:val="18"/>
        <w:szCs w:val="18"/>
        <w:lang w:val="en-US"/>
      </w:rPr>
      <w:fldChar w:fldCharType="begin"/>
    </w:r>
    <w:r w:rsidRPr="005A445F">
      <w:rPr>
        <w:sz w:val="18"/>
        <w:szCs w:val="18"/>
        <w:lang w:val="en-US"/>
      </w:rPr>
      <w:instrText xml:space="preserve"> PAGE </w:instrText>
    </w:r>
    <w:r w:rsidRPr="005A445F">
      <w:rPr>
        <w:sz w:val="18"/>
        <w:szCs w:val="18"/>
        <w:lang w:val="en-US"/>
      </w:rPr>
      <w:fldChar w:fldCharType="separate"/>
    </w:r>
    <w:r w:rsidR="009C72F1">
      <w:rPr>
        <w:noProof/>
        <w:sz w:val="18"/>
        <w:szCs w:val="18"/>
        <w:lang w:val="en-US"/>
      </w:rPr>
      <w:t>1</w:t>
    </w:r>
    <w:r w:rsidRPr="005A445F">
      <w:rPr>
        <w:sz w:val="18"/>
        <w:szCs w:val="18"/>
        <w:lang w:val="en-US"/>
      </w:rPr>
      <w:fldChar w:fldCharType="end"/>
    </w:r>
    <w:r w:rsidRPr="005A445F">
      <w:rPr>
        <w:sz w:val="18"/>
        <w:szCs w:val="18"/>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D27748" w14:textId="77777777" w:rsidR="00006BD9" w:rsidRDefault="00006BD9" w:rsidP="004F7768">
      <w:r>
        <w:separator/>
      </w:r>
    </w:p>
  </w:footnote>
  <w:footnote w:type="continuationSeparator" w:id="0">
    <w:p w14:paraId="283883C7" w14:textId="77777777" w:rsidR="00006BD9" w:rsidRDefault="00006BD9" w:rsidP="004F77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D81AE3"/>
    <w:multiLevelType w:val="hybridMultilevel"/>
    <w:tmpl w:val="1590B6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AB67EE5"/>
    <w:multiLevelType w:val="hybridMultilevel"/>
    <w:tmpl w:val="506EF0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252"/>
    <w:rsid w:val="0000178F"/>
    <w:rsid w:val="000021D9"/>
    <w:rsid w:val="00006BD9"/>
    <w:rsid w:val="000203E4"/>
    <w:rsid w:val="00020E6E"/>
    <w:rsid w:val="000237E0"/>
    <w:rsid w:val="00035129"/>
    <w:rsid w:val="00040DDB"/>
    <w:rsid w:val="000421F9"/>
    <w:rsid w:val="00044183"/>
    <w:rsid w:val="000447D6"/>
    <w:rsid w:val="000535D2"/>
    <w:rsid w:val="000675E9"/>
    <w:rsid w:val="00080BE2"/>
    <w:rsid w:val="00083E59"/>
    <w:rsid w:val="000952FA"/>
    <w:rsid w:val="000A74C1"/>
    <w:rsid w:val="000B0754"/>
    <w:rsid w:val="000C33F6"/>
    <w:rsid w:val="000C35E3"/>
    <w:rsid w:val="000C4112"/>
    <w:rsid w:val="000D204F"/>
    <w:rsid w:val="000D7004"/>
    <w:rsid w:val="000E4E02"/>
    <w:rsid w:val="000F1EFA"/>
    <w:rsid w:val="00100AA4"/>
    <w:rsid w:val="0011501E"/>
    <w:rsid w:val="00125A87"/>
    <w:rsid w:val="001337B7"/>
    <w:rsid w:val="00144ABA"/>
    <w:rsid w:val="00157DC1"/>
    <w:rsid w:val="001604AA"/>
    <w:rsid w:val="00162AB3"/>
    <w:rsid w:val="0017263C"/>
    <w:rsid w:val="001767B8"/>
    <w:rsid w:val="0019213F"/>
    <w:rsid w:val="00192277"/>
    <w:rsid w:val="001973FD"/>
    <w:rsid w:val="00197DE4"/>
    <w:rsid w:val="001A20EE"/>
    <w:rsid w:val="001B276B"/>
    <w:rsid w:val="001B2DF0"/>
    <w:rsid w:val="001B3FBE"/>
    <w:rsid w:val="001C1807"/>
    <w:rsid w:val="001D2844"/>
    <w:rsid w:val="001E6F98"/>
    <w:rsid w:val="001F28EC"/>
    <w:rsid w:val="00204585"/>
    <w:rsid w:val="00205B12"/>
    <w:rsid w:val="00210D2D"/>
    <w:rsid w:val="0022539F"/>
    <w:rsid w:val="002322EA"/>
    <w:rsid w:val="00241E65"/>
    <w:rsid w:val="00244EC7"/>
    <w:rsid w:val="00256F07"/>
    <w:rsid w:val="002775EA"/>
    <w:rsid w:val="002830A2"/>
    <w:rsid w:val="0028394D"/>
    <w:rsid w:val="002965F9"/>
    <w:rsid w:val="002B3328"/>
    <w:rsid w:val="002B60FD"/>
    <w:rsid w:val="002B7922"/>
    <w:rsid w:val="002C61E0"/>
    <w:rsid w:val="002D0D50"/>
    <w:rsid w:val="002D32F1"/>
    <w:rsid w:val="002D3A8E"/>
    <w:rsid w:val="002D5B8B"/>
    <w:rsid w:val="002E4E4C"/>
    <w:rsid w:val="002E553A"/>
    <w:rsid w:val="00306816"/>
    <w:rsid w:val="00317A3C"/>
    <w:rsid w:val="0032205D"/>
    <w:rsid w:val="00322C64"/>
    <w:rsid w:val="00323510"/>
    <w:rsid w:val="00330C79"/>
    <w:rsid w:val="003316F0"/>
    <w:rsid w:val="00345FF5"/>
    <w:rsid w:val="003504F4"/>
    <w:rsid w:val="00354532"/>
    <w:rsid w:val="00355AA8"/>
    <w:rsid w:val="00356EFF"/>
    <w:rsid w:val="00387354"/>
    <w:rsid w:val="00391CDA"/>
    <w:rsid w:val="003A4C0D"/>
    <w:rsid w:val="003A50DB"/>
    <w:rsid w:val="003C0E02"/>
    <w:rsid w:val="003C4EAA"/>
    <w:rsid w:val="003C501B"/>
    <w:rsid w:val="003C658F"/>
    <w:rsid w:val="003D1316"/>
    <w:rsid w:val="003E03C3"/>
    <w:rsid w:val="003F0391"/>
    <w:rsid w:val="003F6744"/>
    <w:rsid w:val="00400CFA"/>
    <w:rsid w:val="004124BE"/>
    <w:rsid w:val="004151FD"/>
    <w:rsid w:val="00416C3E"/>
    <w:rsid w:val="00417328"/>
    <w:rsid w:val="0042047A"/>
    <w:rsid w:val="0042447A"/>
    <w:rsid w:val="0042778D"/>
    <w:rsid w:val="004342B9"/>
    <w:rsid w:val="00434864"/>
    <w:rsid w:val="0044521A"/>
    <w:rsid w:val="00445682"/>
    <w:rsid w:val="00446353"/>
    <w:rsid w:val="004561D5"/>
    <w:rsid w:val="004726A4"/>
    <w:rsid w:val="00485425"/>
    <w:rsid w:val="004A1CB1"/>
    <w:rsid w:val="004A6151"/>
    <w:rsid w:val="004A7113"/>
    <w:rsid w:val="004A71D7"/>
    <w:rsid w:val="004A75D2"/>
    <w:rsid w:val="004A7F67"/>
    <w:rsid w:val="004B548C"/>
    <w:rsid w:val="004C118A"/>
    <w:rsid w:val="004C310D"/>
    <w:rsid w:val="004D0BF1"/>
    <w:rsid w:val="004F1AF0"/>
    <w:rsid w:val="004F7768"/>
    <w:rsid w:val="004F78AA"/>
    <w:rsid w:val="0050019E"/>
    <w:rsid w:val="00502BA2"/>
    <w:rsid w:val="00523A58"/>
    <w:rsid w:val="00531692"/>
    <w:rsid w:val="0055134D"/>
    <w:rsid w:val="0055279A"/>
    <w:rsid w:val="00552E8D"/>
    <w:rsid w:val="005571BF"/>
    <w:rsid w:val="005702BD"/>
    <w:rsid w:val="00584B8D"/>
    <w:rsid w:val="00584C59"/>
    <w:rsid w:val="00587418"/>
    <w:rsid w:val="00597E0A"/>
    <w:rsid w:val="005A092F"/>
    <w:rsid w:val="005A445F"/>
    <w:rsid w:val="005B05DC"/>
    <w:rsid w:val="005C2C6C"/>
    <w:rsid w:val="005C3706"/>
    <w:rsid w:val="005C7A8B"/>
    <w:rsid w:val="005F1DF4"/>
    <w:rsid w:val="00601A0B"/>
    <w:rsid w:val="00604418"/>
    <w:rsid w:val="00610D21"/>
    <w:rsid w:val="00617BA0"/>
    <w:rsid w:val="0062109B"/>
    <w:rsid w:val="00622D09"/>
    <w:rsid w:val="00623185"/>
    <w:rsid w:val="0063018A"/>
    <w:rsid w:val="00640AAD"/>
    <w:rsid w:val="00641DC8"/>
    <w:rsid w:val="006534B8"/>
    <w:rsid w:val="0066241E"/>
    <w:rsid w:val="00663EAA"/>
    <w:rsid w:val="00664B8E"/>
    <w:rsid w:val="00670599"/>
    <w:rsid w:val="0067162B"/>
    <w:rsid w:val="00675E15"/>
    <w:rsid w:val="006800CD"/>
    <w:rsid w:val="006A41AF"/>
    <w:rsid w:val="006C7B78"/>
    <w:rsid w:val="006D09D3"/>
    <w:rsid w:val="006D35B1"/>
    <w:rsid w:val="006E3567"/>
    <w:rsid w:val="006F088B"/>
    <w:rsid w:val="006F50BD"/>
    <w:rsid w:val="006F63A1"/>
    <w:rsid w:val="007008B3"/>
    <w:rsid w:val="00700DF1"/>
    <w:rsid w:val="00701451"/>
    <w:rsid w:val="0070287B"/>
    <w:rsid w:val="00711714"/>
    <w:rsid w:val="0072244F"/>
    <w:rsid w:val="00725F12"/>
    <w:rsid w:val="007278BA"/>
    <w:rsid w:val="007335C9"/>
    <w:rsid w:val="0073799F"/>
    <w:rsid w:val="0074284B"/>
    <w:rsid w:val="00751572"/>
    <w:rsid w:val="00762A6A"/>
    <w:rsid w:val="00767A5A"/>
    <w:rsid w:val="00770285"/>
    <w:rsid w:val="007713A4"/>
    <w:rsid w:val="00790932"/>
    <w:rsid w:val="007A5158"/>
    <w:rsid w:val="007A6ED2"/>
    <w:rsid w:val="007B3876"/>
    <w:rsid w:val="007B53D4"/>
    <w:rsid w:val="007C61F9"/>
    <w:rsid w:val="007C6DC4"/>
    <w:rsid w:val="007E7E9D"/>
    <w:rsid w:val="007F2D0B"/>
    <w:rsid w:val="007F7995"/>
    <w:rsid w:val="0080329D"/>
    <w:rsid w:val="00805E0B"/>
    <w:rsid w:val="008153BE"/>
    <w:rsid w:val="00820512"/>
    <w:rsid w:val="00823043"/>
    <w:rsid w:val="008349AD"/>
    <w:rsid w:val="00836A22"/>
    <w:rsid w:val="008455F1"/>
    <w:rsid w:val="00846D7B"/>
    <w:rsid w:val="00857221"/>
    <w:rsid w:val="00861600"/>
    <w:rsid w:val="00865182"/>
    <w:rsid w:val="00873053"/>
    <w:rsid w:val="008804DF"/>
    <w:rsid w:val="00881087"/>
    <w:rsid w:val="00884891"/>
    <w:rsid w:val="00896FEF"/>
    <w:rsid w:val="008B39E9"/>
    <w:rsid w:val="008B734D"/>
    <w:rsid w:val="008C0677"/>
    <w:rsid w:val="008C1923"/>
    <w:rsid w:val="008D7EE2"/>
    <w:rsid w:val="008E0EE7"/>
    <w:rsid w:val="008E4C73"/>
    <w:rsid w:val="008F2D0B"/>
    <w:rsid w:val="00904BD1"/>
    <w:rsid w:val="009107DE"/>
    <w:rsid w:val="009221E7"/>
    <w:rsid w:val="00933C49"/>
    <w:rsid w:val="009358AF"/>
    <w:rsid w:val="00936E2A"/>
    <w:rsid w:val="00952CDB"/>
    <w:rsid w:val="00957568"/>
    <w:rsid w:val="009750E3"/>
    <w:rsid w:val="0097615E"/>
    <w:rsid w:val="009829AC"/>
    <w:rsid w:val="009855EC"/>
    <w:rsid w:val="009974CA"/>
    <w:rsid w:val="009A1A52"/>
    <w:rsid w:val="009B1EFA"/>
    <w:rsid w:val="009B3DDE"/>
    <w:rsid w:val="009B49B2"/>
    <w:rsid w:val="009C0829"/>
    <w:rsid w:val="009C2753"/>
    <w:rsid w:val="009C5C62"/>
    <w:rsid w:val="009C72F1"/>
    <w:rsid w:val="009D41D0"/>
    <w:rsid w:val="009D52AA"/>
    <w:rsid w:val="009D538D"/>
    <w:rsid w:val="009E4BD0"/>
    <w:rsid w:val="009F1465"/>
    <w:rsid w:val="009F17D5"/>
    <w:rsid w:val="009F1957"/>
    <w:rsid w:val="00A00C95"/>
    <w:rsid w:val="00A130AE"/>
    <w:rsid w:val="00A17487"/>
    <w:rsid w:val="00A2080F"/>
    <w:rsid w:val="00A226ED"/>
    <w:rsid w:val="00A23D92"/>
    <w:rsid w:val="00A27C90"/>
    <w:rsid w:val="00A3795E"/>
    <w:rsid w:val="00A555F8"/>
    <w:rsid w:val="00A60722"/>
    <w:rsid w:val="00A702AD"/>
    <w:rsid w:val="00A754BA"/>
    <w:rsid w:val="00A75EE3"/>
    <w:rsid w:val="00A77FAF"/>
    <w:rsid w:val="00A80460"/>
    <w:rsid w:val="00A818C3"/>
    <w:rsid w:val="00A847B8"/>
    <w:rsid w:val="00A95101"/>
    <w:rsid w:val="00AB5939"/>
    <w:rsid w:val="00AB6351"/>
    <w:rsid w:val="00AD62A2"/>
    <w:rsid w:val="00AE6B14"/>
    <w:rsid w:val="00AF022B"/>
    <w:rsid w:val="00AF4252"/>
    <w:rsid w:val="00AF5E08"/>
    <w:rsid w:val="00B0448E"/>
    <w:rsid w:val="00B06AB4"/>
    <w:rsid w:val="00B133E3"/>
    <w:rsid w:val="00B241FF"/>
    <w:rsid w:val="00B3057E"/>
    <w:rsid w:val="00B4271D"/>
    <w:rsid w:val="00B429F9"/>
    <w:rsid w:val="00B52FC9"/>
    <w:rsid w:val="00B60B64"/>
    <w:rsid w:val="00B64268"/>
    <w:rsid w:val="00B645D1"/>
    <w:rsid w:val="00B75222"/>
    <w:rsid w:val="00B968D2"/>
    <w:rsid w:val="00BB043B"/>
    <w:rsid w:val="00BB0C98"/>
    <w:rsid w:val="00BB423D"/>
    <w:rsid w:val="00BC077F"/>
    <w:rsid w:val="00BC3B6B"/>
    <w:rsid w:val="00BC4F80"/>
    <w:rsid w:val="00BD6E92"/>
    <w:rsid w:val="00BE2749"/>
    <w:rsid w:val="00BE3443"/>
    <w:rsid w:val="00BF2A81"/>
    <w:rsid w:val="00BF5FEA"/>
    <w:rsid w:val="00C10217"/>
    <w:rsid w:val="00C14027"/>
    <w:rsid w:val="00C149B6"/>
    <w:rsid w:val="00C15F73"/>
    <w:rsid w:val="00C16BE4"/>
    <w:rsid w:val="00C176AE"/>
    <w:rsid w:val="00C31132"/>
    <w:rsid w:val="00C3614C"/>
    <w:rsid w:val="00C42461"/>
    <w:rsid w:val="00C574BE"/>
    <w:rsid w:val="00C62696"/>
    <w:rsid w:val="00C65A7E"/>
    <w:rsid w:val="00C661A9"/>
    <w:rsid w:val="00C6746B"/>
    <w:rsid w:val="00C67EE8"/>
    <w:rsid w:val="00C705EE"/>
    <w:rsid w:val="00C73202"/>
    <w:rsid w:val="00C75C3F"/>
    <w:rsid w:val="00C810AB"/>
    <w:rsid w:val="00C84415"/>
    <w:rsid w:val="00C95CC4"/>
    <w:rsid w:val="00CA3E55"/>
    <w:rsid w:val="00CA77D1"/>
    <w:rsid w:val="00CB0C30"/>
    <w:rsid w:val="00CB13B4"/>
    <w:rsid w:val="00CB3192"/>
    <w:rsid w:val="00CB512A"/>
    <w:rsid w:val="00CC59D1"/>
    <w:rsid w:val="00CC7B9D"/>
    <w:rsid w:val="00CD3176"/>
    <w:rsid w:val="00CD7488"/>
    <w:rsid w:val="00CE7A3D"/>
    <w:rsid w:val="00CF1551"/>
    <w:rsid w:val="00CF163C"/>
    <w:rsid w:val="00CF7CEA"/>
    <w:rsid w:val="00D041F6"/>
    <w:rsid w:val="00D05612"/>
    <w:rsid w:val="00D112F1"/>
    <w:rsid w:val="00D15E0E"/>
    <w:rsid w:val="00D1630E"/>
    <w:rsid w:val="00D17929"/>
    <w:rsid w:val="00D24C8B"/>
    <w:rsid w:val="00D273DF"/>
    <w:rsid w:val="00D308EE"/>
    <w:rsid w:val="00D337D0"/>
    <w:rsid w:val="00D34BE2"/>
    <w:rsid w:val="00D40005"/>
    <w:rsid w:val="00D45BA2"/>
    <w:rsid w:val="00D57E01"/>
    <w:rsid w:val="00D602EA"/>
    <w:rsid w:val="00D615C0"/>
    <w:rsid w:val="00D62CD0"/>
    <w:rsid w:val="00D75AA4"/>
    <w:rsid w:val="00D81F01"/>
    <w:rsid w:val="00D82018"/>
    <w:rsid w:val="00D9467B"/>
    <w:rsid w:val="00D967FF"/>
    <w:rsid w:val="00DA5263"/>
    <w:rsid w:val="00DA7E53"/>
    <w:rsid w:val="00DB77A7"/>
    <w:rsid w:val="00DC39AB"/>
    <w:rsid w:val="00DC72C3"/>
    <w:rsid w:val="00DD1B60"/>
    <w:rsid w:val="00DD20DE"/>
    <w:rsid w:val="00DD34A6"/>
    <w:rsid w:val="00DD6C3A"/>
    <w:rsid w:val="00DE4FAB"/>
    <w:rsid w:val="00DE6AAA"/>
    <w:rsid w:val="00DF6CF4"/>
    <w:rsid w:val="00E00E53"/>
    <w:rsid w:val="00E0159A"/>
    <w:rsid w:val="00E02806"/>
    <w:rsid w:val="00E279EA"/>
    <w:rsid w:val="00E359E7"/>
    <w:rsid w:val="00E36105"/>
    <w:rsid w:val="00E361D6"/>
    <w:rsid w:val="00E50725"/>
    <w:rsid w:val="00E5356F"/>
    <w:rsid w:val="00E66705"/>
    <w:rsid w:val="00E6725C"/>
    <w:rsid w:val="00E87B73"/>
    <w:rsid w:val="00E9050D"/>
    <w:rsid w:val="00EA1002"/>
    <w:rsid w:val="00EA4AB9"/>
    <w:rsid w:val="00EB4B13"/>
    <w:rsid w:val="00EB62DE"/>
    <w:rsid w:val="00EC5597"/>
    <w:rsid w:val="00EC5C08"/>
    <w:rsid w:val="00F0061B"/>
    <w:rsid w:val="00F02FB9"/>
    <w:rsid w:val="00F04D60"/>
    <w:rsid w:val="00F060D9"/>
    <w:rsid w:val="00F108D8"/>
    <w:rsid w:val="00F1634A"/>
    <w:rsid w:val="00F17A6E"/>
    <w:rsid w:val="00F22157"/>
    <w:rsid w:val="00F2242C"/>
    <w:rsid w:val="00F229D6"/>
    <w:rsid w:val="00F234EC"/>
    <w:rsid w:val="00F24815"/>
    <w:rsid w:val="00F25052"/>
    <w:rsid w:val="00F267D7"/>
    <w:rsid w:val="00F42370"/>
    <w:rsid w:val="00F501B1"/>
    <w:rsid w:val="00F555A1"/>
    <w:rsid w:val="00F55778"/>
    <w:rsid w:val="00F63296"/>
    <w:rsid w:val="00F7542B"/>
    <w:rsid w:val="00F82D98"/>
    <w:rsid w:val="00F91324"/>
    <w:rsid w:val="00F93A01"/>
    <w:rsid w:val="00F94DE4"/>
    <w:rsid w:val="00FA0425"/>
    <w:rsid w:val="00FA1629"/>
    <w:rsid w:val="00FB1E72"/>
    <w:rsid w:val="00FC2743"/>
    <w:rsid w:val="00FC3893"/>
    <w:rsid w:val="00FD0599"/>
    <w:rsid w:val="00FD636A"/>
    <w:rsid w:val="00FD6AAD"/>
    <w:rsid w:val="00FE2612"/>
    <w:rsid w:val="00FF50F1"/>
    <w:rsid w:val="00FF526C"/>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345D1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GB"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65A7E"/>
    <w:rPr>
      <w:rFonts w:ascii="Helvetica Neue" w:hAnsi="Helvetica Neue"/>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TDisplayEquation">
    <w:name w:val="MTDisplayEquation"/>
    <w:basedOn w:val="Normal"/>
    <w:next w:val="Normal"/>
    <w:rsid w:val="00C65A7E"/>
    <w:pPr>
      <w:tabs>
        <w:tab w:val="center" w:pos="6980"/>
        <w:tab w:val="right" w:pos="13960"/>
      </w:tabs>
    </w:pPr>
    <w:rPr>
      <w:rFonts w:ascii="Sabon" w:eastAsia="Times New Roman" w:hAnsi="Sabon"/>
      <w:sz w:val="22"/>
    </w:rPr>
  </w:style>
  <w:style w:type="character" w:customStyle="1" w:styleId="MTEquationSection">
    <w:name w:val="MTEquationSection"/>
    <w:basedOn w:val="DefaultParagraphFont"/>
    <w:rsid w:val="00C65A7E"/>
    <w:rPr>
      <w:vanish/>
      <w:color w:val="FF0000"/>
    </w:rPr>
  </w:style>
  <w:style w:type="paragraph" w:styleId="FootnoteText">
    <w:name w:val="footnote text"/>
    <w:basedOn w:val="Normal"/>
    <w:link w:val="FootnoteTextChar"/>
    <w:rsid w:val="00C65A7E"/>
    <w:rPr>
      <w:sz w:val="20"/>
    </w:rPr>
  </w:style>
  <w:style w:type="character" w:styleId="CommentReference">
    <w:name w:val="annotation reference"/>
    <w:basedOn w:val="DefaultParagraphFont"/>
    <w:uiPriority w:val="99"/>
    <w:semiHidden/>
    <w:unhideWhenUsed/>
    <w:rsid w:val="00D40005"/>
    <w:rPr>
      <w:sz w:val="18"/>
      <w:szCs w:val="18"/>
    </w:rPr>
  </w:style>
  <w:style w:type="paragraph" w:styleId="CommentText">
    <w:name w:val="annotation text"/>
    <w:basedOn w:val="Normal"/>
    <w:link w:val="CommentTextChar"/>
    <w:uiPriority w:val="99"/>
    <w:semiHidden/>
    <w:unhideWhenUsed/>
    <w:rsid w:val="00D40005"/>
    <w:rPr>
      <w:szCs w:val="24"/>
    </w:rPr>
  </w:style>
  <w:style w:type="character" w:customStyle="1" w:styleId="CommentTextChar">
    <w:name w:val="Comment Text Char"/>
    <w:basedOn w:val="DefaultParagraphFont"/>
    <w:link w:val="CommentText"/>
    <w:uiPriority w:val="99"/>
    <w:semiHidden/>
    <w:rsid w:val="00D40005"/>
    <w:rPr>
      <w:rFonts w:ascii="Helvetica Neue" w:hAnsi="Helvetica Neue"/>
      <w:sz w:val="24"/>
      <w:szCs w:val="24"/>
    </w:rPr>
  </w:style>
  <w:style w:type="paragraph" w:styleId="CommentSubject">
    <w:name w:val="annotation subject"/>
    <w:basedOn w:val="CommentText"/>
    <w:next w:val="CommentText"/>
    <w:link w:val="CommentSubjectChar"/>
    <w:uiPriority w:val="99"/>
    <w:semiHidden/>
    <w:unhideWhenUsed/>
    <w:rsid w:val="00D40005"/>
    <w:rPr>
      <w:b/>
      <w:bCs/>
      <w:sz w:val="20"/>
      <w:szCs w:val="20"/>
    </w:rPr>
  </w:style>
  <w:style w:type="character" w:customStyle="1" w:styleId="CommentSubjectChar">
    <w:name w:val="Comment Subject Char"/>
    <w:basedOn w:val="CommentTextChar"/>
    <w:link w:val="CommentSubject"/>
    <w:uiPriority w:val="99"/>
    <w:semiHidden/>
    <w:rsid w:val="00D40005"/>
    <w:rPr>
      <w:rFonts w:ascii="Helvetica Neue" w:hAnsi="Helvetica Neue"/>
      <w:b/>
      <w:bCs/>
      <w:sz w:val="24"/>
      <w:szCs w:val="24"/>
    </w:rPr>
  </w:style>
  <w:style w:type="paragraph" w:styleId="BalloonText">
    <w:name w:val="Balloon Text"/>
    <w:basedOn w:val="Normal"/>
    <w:link w:val="BalloonTextChar"/>
    <w:uiPriority w:val="99"/>
    <w:semiHidden/>
    <w:unhideWhenUsed/>
    <w:rsid w:val="00D4000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40005"/>
    <w:rPr>
      <w:rFonts w:ascii="Lucida Grande" w:hAnsi="Lucida Grande" w:cs="Lucida Grande"/>
      <w:sz w:val="18"/>
      <w:szCs w:val="18"/>
    </w:rPr>
  </w:style>
  <w:style w:type="character" w:styleId="Hyperlink">
    <w:name w:val="Hyperlink"/>
    <w:basedOn w:val="DefaultParagraphFont"/>
    <w:uiPriority w:val="99"/>
    <w:unhideWhenUsed/>
    <w:rsid w:val="004F1AF0"/>
    <w:rPr>
      <w:color w:val="0000FF" w:themeColor="hyperlink"/>
      <w:u w:val="single"/>
    </w:rPr>
  </w:style>
  <w:style w:type="paragraph" w:styleId="ListParagraph">
    <w:name w:val="List Paragraph"/>
    <w:basedOn w:val="Normal"/>
    <w:uiPriority w:val="34"/>
    <w:qFormat/>
    <w:rsid w:val="0097615E"/>
    <w:pPr>
      <w:ind w:left="720"/>
      <w:contextualSpacing/>
    </w:pPr>
  </w:style>
  <w:style w:type="paragraph" w:styleId="Header">
    <w:name w:val="header"/>
    <w:basedOn w:val="Normal"/>
    <w:link w:val="HeaderChar"/>
    <w:uiPriority w:val="99"/>
    <w:unhideWhenUsed/>
    <w:rsid w:val="004F7768"/>
    <w:pPr>
      <w:tabs>
        <w:tab w:val="center" w:pos="4513"/>
        <w:tab w:val="right" w:pos="9026"/>
      </w:tabs>
    </w:pPr>
  </w:style>
  <w:style w:type="character" w:customStyle="1" w:styleId="HeaderChar">
    <w:name w:val="Header Char"/>
    <w:basedOn w:val="DefaultParagraphFont"/>
    <w:link w:val="Header"/>
    <w:uiPriority w:val="99"/>
    <w:rsid w:val="004F7768"/>
    <w:rPr>
      <w:rFonts w:ascii="Helvetica Neue" w:hAnsi="Helvetica Neue"/>
      <w:sz w:val="24"/>
    </w:rPr>
  </w:style>
  <w:style w:type="paragraph" w:styleId="Footer">
    <w:name w:val="footer"/>
    <w:basedOn w:val="Normal"/>
    <w:link w:val="FooterChar"/>
    <w:uiPriority w:val="99"/>
    <w:unhideWhenUsed/>
    <w:rsid w:val="004F7768"/>
    <w:pPr>
      <w:tabs>
        <w:tab w:val="center" w:pos="4513"/>
        <w:tab w:val="right" w:pos="9026"/>
      </w:tabs>
    </w:pPr>
  </w:style>
  <w:style w:type="character" w:customStyle="1" w:styleId="FooterChar">
    <w:name w:val="Footer Char"/>
    <w:basedOn w:val="DefaultParagraphFont"/>
    <w:link w:val="Footer"/>
    <w:uiPriority w:val="99"/>
    <w:rsid w:val="004F7768"/>
    <w:rPr>
      <w:rFonts w:ascii="Helvetica Neue" w:hAnsi="Helvetica Neue"/>
      <w:sz w:val="24"/>
    </w:rPr>
  </w:style>
  <w:style w:type="character" w:styleId="FootnoteReference">
    <w:name w:val="footnote reference"/>
    <w:basedOn w:val="DefaultParagraphFont"/>
    <w:uiPriority w:val="99"/>
    <w:unhideWhenUsed/>
    <w:rsid w:val="002830A2"/>
    <w:rPr>
      <w:vertAlign w:val="superscript"/>
    </w:rPr>
  </w:style>
  <w:style w:type="character" w:styleId="FollowedHyperlink">
    <w:name w:val="FollowedHyperlink"/>
    <w:basedOn w:val="DefaultParagraphFont"/>
    <w:uiPriority w:val="99"/>
    <w:semiHidden/>
    <w:unhideWhenUsed/>
    <w:rsid w:val="002830A2"/>
    <w:rPr>
      <w:color w:val="800080" w:themeColor="followedHyperlink"/>
      <w:u w:val="single"/>
    </w:rPr>
  </w:style>
  <w:style w:type="table" w:styleId="TableGrid">
    <w:name w:val="Table Grid"/>
    <w:basedOn w:val="TableNormal"/>
    <w:uiPriority w:val="59"/>
    <w:rsid w:val="009D41D0"/>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D967FF"/>
    <w:rPr>
      <w:color w:val="808080"/>
      <w:shd w:val="clear" w:color="auto" w:fill="E6E6E6"/>
    </w:rPr>
  </w:style>
  <w:style w:type="character" w:customStyle="1" w:styleId="st">
    <w:name w:val="st"/>
    <w:basedOn w:val="DefaultParagraphFont"/>
    <w:rsid w:val="004C118A"/>
  </w:style>
  <w:style w:type="character" w:customStyle="1" w:styleId="UnresolvedMention2">
    <w:name w:val="Unresolved Mention2"/>
    <w:basedOn w:val="DefaultParagraphFont"/>
    <w:uiPriority w:val="99"/>
    <w:semiHidden/>
    <w:unhideWhenUsed/>
    <w:rsid w:val="00434864"/>
    <w:rPr>
      <w:color w:val="605E5C"/>
      <w:shd w:val="clear" w:color="auto" w:fill="E1DFDD"/>
    </w:rPr>
  </w:style>
  <w:style w:type="paragraph" w:styleId="Revision">
    <w:name w:val="Revision"/>
    <w:hidden/>
    <w:uiPriority w:val="99"/>
    <w:semiHidden/>
    <w:rsid w:val="00C3614C"/>
    <w:rPr>
      <w:rFonts w:ascii="Helvetica Neue" w:hAnsi="Helvetica Neue"/>
      <w:sz w:val="24"/>
    </w:rPr>
  </w:style>
  <w:style w:type="character" w:styleId="Emphasis">
    <w:name w:val="Emphasis"/>
    <w:basedOn w:val="DefaultParagraphFont"/>
    <w:uiPriority w:val="20"/>
    <w:qFormat/>
    <w:rsid w:val="00D15E0E"/>
    <w:rPr>
      <w:i/>
      <w:iCs/>
    </w:rPr>
  </w:style>
  <w:style w:type="character" w:customStyle="1" w:styleId="FootnoteTextChar">
    <w:name w:val="Footnote Text Char"/>
    <w:basedOn w:val="DefaultParagraphFont"/>
    <w:link w:val="FootnoteText"/>
    <w:rsid w:val="009B3DDE"/>
    <w:rPr>
      <w:rFonts w:ascii="Helvetica Neue" w:hAnsi="Helvetica Neue"/>
    </w:rPr>
  </w:style>
  <w:style w:type="paragraph" w:styleId="EndnoteText">
    <w:name w:val="endnote text"/>
    <w:basedOn w:val="Normal"/>
    <w:link w:val="EndnoteTextChar"/>
    <w:uiPriority w:val="99"/>
    <w:semiHidden/>
    <w:unhideWhenUsed/>
    <w:rsid w:val="00C84415"/>
    <w:rPr>
      <w:szCs w:val="24"/>
    </w:rPr>
  </w:style>
  <w:style w:type="character" w:customStyle="1" w:styleId="EndnoteTextChar">
    <w:name w:val="Endnote Text Char"/>
    <w:basedOn w:val="DefaultParagraphFont"/>
    <w:link w:val="EndnoteText"/>
    <w:uiPriority w:val="99"/>
    <w:semiHidden/>
    <w:rsid w:val="00C84415"/>
    <w:rPr>
      <w:rFonts w:ascii="Helvetica Neue" w:hAnsi="Helvetica Neue"/>
      <w:sz w:val="24"/>
      <w:szCs w:val="24"/>
    </w:rPr>
  </w:style>
  <w:style w:type="character" w:styleId="EndnoteReference">
    <w:name w:val="endnote reference"/>
    <w:basedOn w:val="DefaultParagraphFont"/>
    <w:uiPriority w:val="99"/>
    <w:semiHidden/>
    <w:unhideWhenUsed/>
    <w:rsid w:val="00C844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1051323">
      <w:bodyDiv w:val="1"/>
      <w:marLeft w:val="0"/>
      <w:marRight w:val="0"/>
      <w:marTop w:val="0"/>
      <w:marBottom w:val="0"/>
      <w:divBdr>
        <w:top w:val="none" w:sz="0" w:space="0" w:color="auto"/>
        <w:left w:val="none" w:sz="0" w:space="0" w:color="auto"/>
        <w:bottom w:val="none" w:sz="0" w:space="0" w:color="auto"/>
        <w:right w:val="none" w:sz="0" w:space="0" w:color="auto"/>
      </w:divBdr>
    </w:div>
    <w:div w:id="466825808">
      <w:bodyDiv w:val="1"/>
      <w:marLeft w:val="0"/>
      <w:marRight w:val="0"/>
      <w:marTop w:val="0"/>
      <w:marBottom w:val="0"/>
      <w:divBdr>
        <w:top w:val="none" w:sz="0" w:space="0" w:color="auto"/>
        <w:left w:val="none" w:sz="0" w:space="0" w:color="auto"/>
        <w:bottom w:val="none" w:sz="0" w:space="0" w:color="auto"/>
        <w:right w:val="none" w:sz="0" w:space="0" w:color="auto"/>
      </w:divBdr>
      <w:divsChild>
        <w:div w:id="1957445337">
          <w:marLeft w:val="0"/>
          <w:marRight w:val="0"/>
          <w:marTop w:val="0"/>
          <w:marBottom w:val="0"/>
          <w:divBdr>
            <w:top w:val="none" w:sz="0" w:space="0" w:color="auto"/>
            <w:left w:val="none" w:sz="0" w:space="0" w:color="auto"/>
            <w:bottom w:val="none" w:sz="0" w:space="0" w:color="auto"/>
            <w:right w:val="none" w:sz="0" w:space="0" w:color="auto"/>
          </w:divBdr>
        </w:div>
        <w:div w:id="913854226">
          <w:marLeft w:val="0"/>
          <w:marRight w:val="0"/>
          <w:marTop w:val="0"/>
          <w:marBottom w:val="0"/>
          <w:divBdr>
            <w:top w:val="none" w:sz="0" w:space="0" w:color="auto"/>
            <w:left w:val="none" w:sz="0" w:space="0" w:color="auto"/>
            <w:bottom w:val="none" w:sz="0" w:space="0" w:color="auto"/>
            <w:right w:val="none" w:sz="0" w:space="0" w:color="auto"/>
          </w:divBdr>
        </w:div>
        <w:div w:id="233708649">
          <w:marLeft w:val="0"/>
          <w:marRight w:val="0"/>
          <w:marTop w:val="0"/>
          <w:marBottom w:val="0"/>
          <w:divBdr>
            <w:top w:val="none" w:sz="0" w:space="0" w:color="auto"/>
            <w:left w:val="none" w:sz="0" w:space="0" w:color="auto"/>
            <w:bottom w:val="none" w:sz="0" w:space="0" w:color="auto"/>
            <w:right w:val="none" w:sz="0" w:space="0" w:color="auto"/>
          </w:divBdr>
        </w:div>
        <w:div w:id="1714379633">
          <w:marLeft w:val="0"/>
          <w:marRight w:val="0"/>
          <w:marTop w:val="0"/>
          <w:marBottom w:val="0"/>
          <w:divBdr>
            <w:top w:val="none" w:sz="0" w:space="0" w:color="auto"/>
            <w:left w:val="none" w:sz="0" w:space="0" w:color="auto"/>
            <w:bottom w:val="none" w:sz="0" w:space="0" w:color="auto"/>
            <w:right w:val="none" w:sz="0" w:space="0" w:color="auto"/>
          </w:divBdr>
        </w:div>
        <w:div w:id="299651102">
          <w:marLeft w:val="0"/>
          <w:marRight w:val="0"/>
          <w:marTop w:val="0"/>
          <w:marBottom w:val="0"/>
          <w:divBdr>
            <w:top w:val="none" w:sz="0" w:space="0" w:color="auto"/>
            <w:left w:val="none" w:sz="0" w:space="0" w:color="auto"/>
            <w:bottom w:val="none" w:sz="0" w:space="0" w:color="auto"/>
            <w:right w:val="none" w:sz="0" w:space="0" w:color="auto"/>
          </w:divBdr>
        </w:div>
      </w:divsChild>
    </w:div>
    <w:div w:id="820461122">
      <w:bodyDiv w:val="1"/>
      <w:marLeft w:val="0"/>
      <w:marRight w:val="0"/>
      <w:marTop w:val="0"/>
      <w:marBottom w:val="0"/>
      <w:divBdr>
        <w:top w:val="none" w:sz="0" w:space="0" w:color="auto"/>
        <w:left w:val="none" w:sz="0" w:space="0" w:color="auto"/>
        <w:bottom w:val="none" w:sz="0" w:space="0" w:color="auto"/>
        <w:right w:val="none" w:sz="0" w:space="0" w:color="auto"/>
      </w:divBdr>
      <w:divsChild>
        <w:div w:id="940407410">
          <w:marLeft w:val="0"/>
          <w:marRight w:val="0"/>
          <w:marTop w:val="0"/>
          <w:marBottom w:val="0"/>
          <w:divBdr>
            <w:top w:val="none" w:sz="0" w:space="0" w:color="auto"/>
            <w:left w:val="none" w:sz="0" w:space="0" w:color="auto"/>
            <w:bottom w:val="none" w:sz="0" w:space="0" w:color="auto"/>
            <w:right w:val="none" w:sz="0" w:space="0" w:color="auto"/>
          </w:divBdr>
        </w:div>
        <w:div w:id="556090789">
          <w:marLeft w:val="0"/>
          <w:marRight w:val="0"/>
          <w:marTop w:val="0"/>
          <w:marBottom w:val="0"/>
          <w:divBdr>
            <w:top w:val="none" w:sz="0" w:space="0" w:color="auto"/>
            <w:left w:val="none" w:sz="0" w:space="0" w:color="auto"/>
            <w:bottom w:val="none" w:sz="0" w:space="0" w:color="auto"/>
            <w:right w:val="none" w:sz="0" w:space="0" w:color="auto"/>
          </w:divBdr>
        </w:div>
        <w:div w:id="1620575380">
          <w:marLeft w:val="0"/>
          <w:marRight w:val="0"/>
          <w:marTop w:val="0"/>
          <w:marBottom w:val="0"/>
          <w:divBdr>
            <w:top w:val="none" w:sz="0" w:space="0" w:color="auto"/>
            <w:left w:val="none" w:sz="0" w:space="0" w:color="auto"/>
            <w:bottom w:val="none" w:sz="0" w:space="0" w:color="auto"/>
            <w:right w:val="none" w:sz="0" w:space="0" w:color="auto"/>
          </w:divBdr>
        </w:div>
        <w:div w:id="910968889">
          <w:marLeft w:val="0"/>
          <w:marRight w:val="0"/>
          <w:marTop w:val="0"/>
          <w:marBottom w:val="0"/>
          <w:divBdr>
            <w:top w:val="none" w:sz="0" w:space="0" w:color="auto"/>
            <w:left w:val="none" w:sz="0" w:space="0" w:color="auto"/>
            <w:bottom w:val="none" w:sz="0" w:space="0" w:color="auto"/>
            <w:right w:val="none" w:sz="0" w:space="0" w:color="auto"/>
          </w:divBdr>
        </w:div>
        <w:div w:id="1281452914">
          <w:marLeft w:val="0"/>
          <w:marRight w:val="0"/>
          <w:marTop w:val="0"/>
          <w:marBottom w:val="0"/>
          <w:divBdr>
            <w:top w:val="none" w:sz="0" w:space="0" w:color="auto"/>
            <w:left w:val="none" w:sz="0" w:space="0" w:color="auto"/>
            <w:bottom w:val="none" w:sz="0" w:space="0" w:color="auto"/>
            <w:right w:val="none" w:sz="0" w:space="0" w:color="auto"/>
          </w:divBdr>
        </w:div>
        <w:div w:id="467015923">
          <w:marLeft w:val="0"/>
          <w:marRight w:val="0"/>
          <w:marTop w:val="0"/>
          <w:marBottom w:val="0"/>
          <w:divBdr>
            <w:top w:val="none" w:sz="0" w:space="0" w:color="auto"/>
            <w:left w:val="none" w:sz="0" w:space="0" w:color="auto"/>
            <w:bottom w:val="none" w:sz="0" w:space="0" w:color="auto"/>
            <w:right w:val="none" w:sz="0" w:space="0" w:color="auto"/>
          </w:divBdr>
        </w:div>
        <w:div w:id="513737092">
          <w:marLeft w:val="0"/>
          <w:marRight w:val="0"/>
          <w:marTop w:val="0"/>
          <w:marBottom w:val="0"/>
          <w:divBdr>
            <w:top w:val="none" w:sz="0" w:space="0" w:color="auto"/>
            <w:left w:val="none" w:sz="0" w:space="0" w:color="auto"/>
            <w:bottom w:val="none" w:sz="0" w:space="0" w:color="auto"/>
            <w:right w:val="none" w:sz="0" w:space="0" w:color="auto"/>
          </w:divBdr>
        </w:div>
        <w:div w:id="607808635">
          <w:marLeft w:val="0"/>
          <w:marRight w:val="0"/>
          <w:marTop w:val="0"/>
          <w:marBottom w:val="0"/>
          <w:divBdr>
            <w:top w:val="none" w:sz="0" w:space="0" w:color="auto"/>
            <w:left w:val="none" w:sz="0" w:space="0" w:color="auto"/>
            <w:bottom w:val="none" w:sz="0" w:space="0" w:color="auto"/>
            <w:right w:val="none" w:sz="0" w:space="0" w:color="auto"/>
          </w:divBdr>
        </w:div>
        <w:div w:id="1159927378">
          <w:marLeft w:val="0"/>
          <w:marRight w:val="0"/>
          <w:marTop w:val="0"/>
          <w:marBottom w:val="0"/>
          <w:divBdr>
            <w:top w:val="none" w:sz="0" w:space="0" w:color="auto"/>
            <w:left w:val="none" w:sz="0" w:space="0" w:color="auto"/>
            <w:bottom w:val="none" w:sz="0" w:space="0" w:color="auto"/>
            <w:right w:val="none" w:sz="0" w:space="0" w:color="auto"/>
          </w:divBdr>
        </w:div>
        <w:div w:id="1766458860">
          <w:marLeft w:val="0"/>
          <w:marRight w:val="0"/>
          <w:marTop w:val="0"/>
          <w:marBottom w:val="0"/>
          <w:divBdr>
            <w:top w:val="none" w:sz="0" w:space="0" w:color="auto"/>
            <w:left w:val="none" w:sz="0" w:space="0" w:color="auto"/>
            <w:bottom w:val="none" w:sz="0" w:space="0" w:color="auto"/>
            <w:right w:val="none" w:sz="0" w:space="0" w:color="auto"/>
          </w:divBdr>
        </w:div>
        <w:div w:id="758864595">
          <w:marLeft w:val="0"/>
          <w:marRight w:val="0"/>
          <w:marTop w:val="0"/>
          <w:marBottom w:val="0"/>
          <w:divBdr>
            <w:top w:val="none" w:sz="0" w:space="0" w:color="auto"/>
            <w:left w:val="none" w:sz="0" w:space="0" w:color="auto"/>
            <w:bottom w:val="none" w:sz="0" w:space="0" w:color="auto"/>
            <w:right w:val="none" w:sz="0" w:space="0" w:color="auto"/>
          </w:divBdr>
        </w:div>
        <w:div w:id="1854151740">
          <w:marLeft w:val="0"/>
          <w:marRight w:val="0"/>
          <w:marTop w:val="0"/>
          <w:marBottom w:val="0"/>
          <w:divBdr>
            <w:top w:val="none" w:sz="0" w:space="0" w:color="auto"/>
            <w:left w:val="none" w:sz="0" w:space="0" w:color="auto"/>
            <w:bottom w:val="none" w:sz="0" w:space="0" w:color="auto"/>
            <w:right w:val="none" w:sz="0" w:space="0" w:color="auto"/>
          </w:divBdr>
        </w:div>
        <w:div w:id="991908755">
          <w:marLeft w:val="0"/>
          <w:marRight w:val="0"/>
          <w:marTop w:val="0"/>
          <w:marBottom w:val="0"/>
          <w:divBdr>
            <w:top w:val="none" w:sz="0" w:space="0" w:color="auto"/>
            <w:left w:val="none" w:sz="0" w:space="0" w:color="auto"/>
            <w:bottom w:val="none" w:sz="0" w:space="0" w:color="auto"/>
            <w:right w:val="none" w:sz="0" w:space="0" w:color="auto"/>
          </w:divBdr>
        </w:div>
        <w:div w:id="1367291153">
          <w:marLeft w:val="0"/>
          <w:marRight w:val="0"/>
          <w:marTop w:val="0"/>
          <w:marBottom w:val="0"/>
          <w:divBdr>
            <w:top w:val="none" w:sz="0" w:space="0" w:color="auto"/>
            <w:left w:val="none" w:sz="0" w:space="0" w:color="auto"/>
            <w:bottom w:val="none" w:sz="0" w:space="0" w:color="auto"/>
            <w:right w:val="none" w:sz="0" w:space="0" w:color="auto"/>
          </w:divBdr>
        </w:div>
        <w:div w:id="1992638535">
          <w:marLeft w:val="0"/>
          <w:marRight w:val="0"/>
          <w:marTop w:val="0"/>
          <w:marBottom w:val="0"/>
          <w:divBdr>
            <w:top w:val="none" w:sz="0" w:space="0" w:color="auto"/>
            <w:left w:val="none" w:sz="0" w:space="0" w:color="auto"/>
            <w:bottom w:val="none" w:sz="0" w:space="0" w:color="auto"/>
            <w:right w:val="none" w:sz="0" w:space="0" w:color="auto"/>
          </w:divBdr>
        </w:div>
        <w:div w:id="1985309268">
          <w:marLeft w:val="0"/>
          <w:marRight w:val="0"/>
          <w:marTop w:val="0"/>
          <w:marBottom w:val="0"/>
          <w:divBdr>
            <w:top w:val="none" w:sz="0" w:space="0" w:color="auto"/>
            <w:left w:val="none" w:sz="0" w:space="0" w:color="auto"/>
            <w:bottom w:val="none" w:sz="0" w:space="0" w:color="auto"/>
            <w:right w:val="none" w:sz="0" w:space="0" w:color="auto"/>
          </w:divBdr>
        </w:div>
        <w:div w:id="1315063857">
          <w:marLeft w:val="0"/>
          <w:marRight w:val="0"/>
          <w:marTop w:val="0"/>
          <w:marBottom w:val="0"/>
          <w:divBdr>
            <w:top w:val="none" w:sz="0" w:space="0" w:color="auto"/>
            <w:left w:val="none" w:sz="0" w:space="0" w:color="auto"/>
            <w:bottom w:val="none" w:sz="0" w:space="0" w:color="auto"/>
            <w:right w:val="none" w:sz="0" w:space="0" w:color="auto"/>
          </w:divBdr>
        </w:div>
        <w:div w:id="370768818">
          <w:marLeft w:val="0"/>
          <w:marRight w:val="0"/>
          <w:marTop w:val="0"/>
          <w:marBottom w:val="0"/>
          <w:divBdr>
            <w:top w:val="none" w:sz="0" w:space="0" w:color="auto"/>
            <w:left w:val="none" w:sz="0" w:space="0" w:color="auto"/>
            <w:bottom w:val="none" w:sz="0" w:space="0" w:color="auto"/>
            <w:right w:val="none" w:sz="0" w:space="0" w:color="auto"/>
          </w:divBdr>
        </w:div>
        <w:div w:id="36711742">
          <w:marLeft w:val="0"/>
          <w:marRight w:val="0"/>
          <w:marTop w:val="0"/>
          <w:marBottom w:val="0"/>
          <w:divBdr>
            <w:top w:val="none" w:sz="0" w:space="0" w:color="auto"/>
            <w:left w:val="none" w:sz="0" w:space="0" w:color="auto"/>
            <w:bottom w:val="none" w:sz="0" w:space="0" w:color="auto"/>
            <w:right w:val="none" w:sz="0" w:space="0" w:color="auto"/>
          </w:divBdr>
        </w:div>
        <w:div w:id="1127891446">
          <w:marLeft w:val="0"/>
          <w:marRight w:val="0"/>
          <w:marTop w:val="0"/>
          <w:marBottom w:val="0"/>
          <w:divBdr>
            <w:top w:val="none" w:sz="0" w:space="0" w:color="auto"/>
            <w:left w:val="none" w:sz="0" w:space="0" w:color="auto"/>
            <w:bottom w:val="none" w:sz="0" w:space="0" w:color="auto"/>
            <w:right w:val="none" w:sz="0" w:space="0" w:color="auto"/>
          </w:divBdr>
        </w:div>
        <w:div w:id="539363961">
          <w:marLeft w:val="0"/>
          <w:marRight w:val="0"/>
          <w:marTop w:val="0"/>
          <w:marBottom w:val="0"/>
          <w:divBdr>
            <w:top w:val="none" w:sz="0" w:space="0" w:color="auto"/>
            <w:left w:val="none" w:sz="0" w:space="0" w:color="auto"/>
            <w:bottom w:val="none" w:sz="0" w:space="0" w:color="auto"/>
            <w:right w:val="none" w:sz="0" w:space="0" w:color="auto"/>
          </w:divBdr>
        </w:div>
        <w:div w:id="1253663366">
          <w:marLeft w:val="0"/>
          <w:marRight w:val="0"/>
          <w:marTop w:val="0"/>
          <w:marBottom w:val="0"/>
          <w:divBdr>
            <w:top w:val="none" w:sz="0" w:space="0" w:color="auto"/>
            <w:left w:val="none" w:sz="0" w:space="0" w:color="auto"/>
            <w:bottom w:val="none" w:sz="0" w:space="0" w:color="auto"/>
            <w:right w:val="none" w:sz="0" w:space="0" w:color="auto"/>
          </w:divBdr>
        </w:div>
        <w:div w:id="1214459612">
          <w:marLeft w:val="0"/>
          <w:marRight w:val="0"/>
          <w:marTop w:val="0"/>
          <w:marBottom w:val="0"/>
          <w:divBdr>
            <w:top w:val="none" w:sz="0" w:space="0" w:color="auto"/>
            <w:left w:val="none" w:sz="0" w:space="0" w:color="auto"/>
            <w:bottom w:val="none" w:sz="0" w:space="0" w:color="auto"/>
            <w:right w:val="none" w:sz="0" w:space="0" w:color="auto"/>
          </w:divBdr>
        </w:div>
      </w:divsChild>
    </w:div>
    <w:div w:id="869952366">
      <w:bodyDiv w:val="1"/>
      <w:marLeft w:val="0"/>
      <w:marRight w:val="0"/>
      <w:marTop w:val="0"/>
      <w:marBottom w:val="0"/>
      <w:divBdr>
        <w:top w:val="none" w:sz="0" w:space="0" w:color="auto"/>
        <w:left w:val="none" w:sz="0" w:space="0" w:color="auto"/>
        <w:bottom w:val="none" w:sz="0" w:space="0" w:color="auto"/>
        <w:right w:val="none" w:sz="0" w:space="0" w:color="auto"/>
      </w:divBdr>
      <w:divsChild>
        <w:div w:id="964192911">
          <w:marLeft w:val="0"/>
          <w:marRight w:val="0"/>
          <w:marTop w:val="0"/>
          <w:marBottom w:val="0"/>
          <w:divBdr>
            <w:top w:val="none" w:sz="0" w:space="0" w:color="auto"/>
            <w:left w:val="none" w:sz="0" w:space="0" w:color="auto"/>
            <w:bottom w:val="none" w:sz="0" w:space="0" w:color="auto"/>
            <w:right w:val="none" w:sz="0" w:space="0" w:color="auto"/>
          </w:divBdr>
        </w:div>
        <w:div w:id="253782280">
          <w:marLeft w:val="0"/>
          <w:marRight w:val="0"/>
          <w:marTop w:val="0"/>
          <w:marBottom w:val="0"/>
          <w:divBdr>
            <w:top w:val="none" w:sz="0" w:space="0" w:color="auto"/>
            <w:left w:val="none" w:sz="0" w:space="0" w:color="auto"/>
            <w:bottom w:val="none" w:sz="0" w:space="0" w:color="auto"/>
            <w:right w:val="none" w:sz="0" w:space="0" w:color="auto"/>
          </w:divBdr>
        </w:div>
        <w:div w:id="36006833">
          <w:marLeft w:val="0"/>
          <w:marRight w:val="0"/>
          <w:marTop w:val="0"/>
          <w:marBottom w:val="0"/>
          <w:divBdr>
            <w:top w:val="none" w:sz="0" w:space="0" w:color="auto"/>
            <w:left w:val="none" w:sz="0" w:space="0" w:color="auto"/>
            <w:bottom w:val="none" w:sz="0" w:space="0" w:color="auto"/>
            <w:right w:val="none" w:sz="0" w:space="0" w:color="auto"/>
          </w:divBdr>
        </w:div>
        <w:div w:id="208109337">
          <w:marLeft w:val="0"/>
          <w:marRight w:val="0"/>
          <w:marTop w:val="0"/>
          <w:marBottom w:val="0"/>
          <w:divBdr>
            <w:top w:val="none" w:sz="0" w:space="0" w:color="auto"/>
            <w:left w:val="none" w:sz="0" w:space="0" w:color="auto"/>
            <w:bottom w:val="none" w:sz="0" w:space="0" w:color="auto"/>
            <w:right w:val="none" w:sz="0" w:space="0" w:color="auto"/>
          </w:divBdr>
        </w:div>
        <w:div w:id="289361490">
          <w:marLeft w:val="0"/>
          <w:marRight w:val="0"/>
          <w:marTop w:val="0"/>
          <w:marBottom w:val="0"/>
          <w:divBdr>
            <w:top w:val="none" w:sz="0" w:space="0" w:color="auto"/>
            <w:left w:val="none" w:sz="0" w:space="0" w:color="auto"/>
            <w:bottom w:val="none" w:sz="0" w:space="0" w:color="auto"/>
            <w:right w:val="none" w:sz="0" w:space="0" w:color="auto"/>
          </w:divBdr>
        </w:div>
        <w:div w:id="1229071677">
          <w:marLeft w:val="0"/>
          <w:marRight w:val="0"/>
          <w:marTop w:val="0"/>
          <w:marBottom w:val="0"/>
          <w:divBdr>
            <w:top w:val="none" w:sz="0" w:space="0" w:color="auto"/>
            <w:left w:val="none" w:sz="0" w:space="0" w:color="auto"/>
            <w:bottom w:val="none" w:sz="0" w:space="0" w:color="auto"/>
            <w:right w:val="none" w:sz="0" w:space="0" w:color="auto"/>
          </w:divBdr>
        </w:div>
      </w:divsChild>
    </w:div>
    <w:div w:id="1740178176">
      <w:bodyDiv w:val="1"/>
      <w:marLeft w:val="0"/>
      <w:marRight w:val="0"/>
      <w:marTop w:val="0"/>
      <w:marBottom w:val="0"/>
      <w:divBdr>
        <w:top w:val="none" w:sz="0" w:space="0" w:color="auto"/>
        <w:left w:val="none" w:sz="0" w:space="0" w:color="auto"/>
        <w:bottom w:val="none" w:sz="0" w:space="0" w:color="auto"/>
        <w:right w:val="none" w:sz="0" w:space="0" w:color="auto"/>
      </w:divBdr>
      <w:divsChild>
        <w:div w:id="847401914">
          <w:marLeft w:val="0"/>
          <w:marRight w:val="0"/>
          <w:marTop w:val="0"/>
          <w:marBottom w:val="0"/>
          <w:divBdr>
            <w:top w:val="none" w:sz="0" w:space="0" w:color="auto"/>
            <w:left w:val="none" w:sz="0" w:space="0" w:color="auto"/>
            <w:bottom w:val="none" w:sz="0" w:space="0" w:color="auto"/>
            <w:right w:val="none" w:sz="0" w:space="0" w:color="auto"/>
          </w:divBdr>
        </w:div>
        <w:div w:id="757214606">
          <w:marLeft w:val="0"/>
          <w:marRight w:val="0"/>
          <w:marTop w:val="0"/>
          <w:marBottom w:val="0"/>
          <w:divBdr>
            <w:top w:val="none" w:sz="0" w:space="0" w:color="auto"/>
            <w:left w:val="none" w:sz="0" w:space="0" w:color="auto"/>
            <w:bottom w:val="none" w:sz="0" w:space="0" w:color="auto"/>
            <w:right w:val="none" w:sz="0" w:space="0" w:color="auto"/>
          </w:divBdr>
        </w:div>
        <w:div w:id="831989584">
          <w:marLeft w:val="0"/>
          <w:marRight w:val="0"/>
          <w:marTop w:val="0"/>
          <w:marBottom w:val="0"/>
          <w:divBdr>
            <w:top w:val="none" w:sz="0" w:space="0" w:color="auto"/>
            <w:left w:val="none" w:sz="0" w:space="0" w:color="auto"/>
            <w:bottom w:val="none" w:sz="0" w:space="0" w:color="auto"/>
            <w:right w:val="none" w:sz="0" w:space="0" w:color="auto"/>
          </w:divBdr>
        </w:div>
        <w:div w:id="726875840">
          <w:marLeft w:val="0"/>
          <w:marRight w:val="0"/>
          <w:marTop w:val="0"/>
          <w:marBottom w:val="0"/>
          <w:divBdr>
            <w:top w:val="none" w:sz="0" w:space="0" w:color="auto"/>
            <w:left w:val="none" w:sz="0" w:space="0" w:color="auto"/>
            <w:bottom w:val="none" w:sz="0" w:space="0" w:color="auto"/>
            <w:right w:val="none" w:sz="0" w:space="0" w:color="auto"/>
          </w:divBdr>
        </w:div>
        <w:div w:id="1483276314">
          <w:marLeft w:val="0"/>
          <w:marRight w:val="0"/>
          <w:marTop w:val="0"/>
          <w:marBottom w:val="0"/>
          <w:divBdr>
            <w:top w:val="none" w:sz="0" w:space="0" w:color="auto"/>
            <w:left w:val="none" w:sz="0" w:space="0" w:color="auto"/>
            <w:bottom w:val="none" w:sz="0" w:space="0" w:color="auto"/>
            <w:right w:val="none" w:sz="0" w:space="0" w:color="auto"/>
          </w:divBdr>
        </w:div>
      </w:divsChild>
    </w:div>
    <w:div w:id="1890989715">
      <w:bodyDiv w:val="1"/>
      <w:marLeft w:val="0"/>
      <w:marRight w:val="0"/>
      <w:marTop w:val="0"/>
      <w:marBottom w:val="0"/>
      <w:divBdr>
        <w:top w:val="none" w:sz="0" w:space="0" w:color="auto"/>
        <w:left w:val="none" w:sz="0" w:space="0" w:color="auto"/>
        <w:bottom w:val="none" w:sz="0" w:space="0" w:color="auto"/>
        <w:right w:val="none" w:sz="0" w:space="0" w:color="auto"/>
      </w:divBdr>
      <w:divsChild>
        <w:div w:id="573509042">
          <w:marLeft w:val="0"/>
          <w:marRight w:val="0"/>
          <w:marTop w:val="0"/>
          <w:marBottom w:val="0"/>
          <w:divBdr>
            <w:top w:val="none" w:sz="0" w:space="0" w:color="auto"/>
            <w:left w:val="none" w:sz="0" w:space="0" w:color="auto"/>
            <w:bottom w:val="none" w:sz="0" w:space="0" w:color="auto"/>
            <w:right w:val="none" w:sz="0" w:space="0" w:color="auto"/>
          </w:divBdr>
          <w:divsChild>
            <w:div w:id="59906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466414">
      <w:bodyDiv w:val="1"/>
      <w:marLeft w:val="0"/>
      <w:marRight w:val="0"/>
      <w:marTop w:val="0"/>
      <w:marBottom w:val="0"/>
      <w:divBdr>
        <w:top w:val="none" w:sz="0" w:space="0" w:color="auto"/>
        <w:left w:val="none" w:sz="0" w:space="0" w:color="auto"/>
        <w:bottom w:val="none" w:sz="0" w:space="0" w:color="auto"/>
        <w:right w:val="none" w:sz="0" w:space="0" w:color="auto"/>
      </w:divBdr>
      <w:divsChild>
        <w:div w:id="1828475749">
          <w:marLeft w:val="0"/>
          <w:marRight w:val="0"/>
          <w:marTop w:val="0"/>
          <w:marBottom w:val="0"/>
          <w:divBdr>
            <w:top w:val="none" w:sz="0" w:space="0" w:color="auto"/>
            <w:left w:val="none" w:sz="0" w:space="0" w:color="auto"/>
            <w:bottom w:val="none" w:sz="0" w:space="0" w:color="auto"/>
            <w:right w:val="none" w:sz="0" w:space="0" w:color="auto"/>
          </w:divBdr>
        </w:div>
        <w:div w:id="2081320664">
          <w:marLeft w:val="0"/>
          <w:marRight w:val="0"/>
          <w:marTop w:val="0"/>
          <w:marBottom w:val="0"/>
          <w:divBdr>
            <w:top w:val="none" w:sz="0" w:space="0" w:color="auto"/>
            <w:left w:val="none" w:sz="0" w:space="0" w:color="auto"/>
            <w:bottom w:val="none" w:sz="0" w:space="0" w:color="auto"/>
            <w:right w:val="none" w:sz="0" w:space="0" w:color="auto"/>
          </w:divBdr>
        </w:div>
        <w:div w:id="2045595490">
          <w:marLeft w:val="0"/>
          <w:marRight w:val="0"/>
          <w:marTop w:val="0"/>
          <w:marBottom w:val="0"/>
          <w:divBdr>
            <w:top w:val="none" w:sz="0" w:space="0" w:color="auto"/>
            <w:left w:val="none" w:sz="0" w:space="0" w:color="auto"/>
            <w:bottom w:val="none" w:sz="0" w:space="0" w:color="auto"/>
            <w:right w:val="none" w:sz="0" w:space="0" w:color="auto"/>
          </w:divBdr>
        </w:div>
        <w:div w:id="2041543537">
          <w:marLeft w:val="0"/>
          <w:marRight w:val="0"/>
          <w:marTop w:val="0"/>
          <w:marBottom w:val="0"/>
          <w:divBdr>
            <w:top w:val="none" w:sz="0" w:space="0" w:color="auto"/>
            <w:left w:val="none" w:sz="0" w:space="0" w:color="auto"/>
            <w:bottom w:val="none" w:sz="0" w:space="0" w:color="auto"/>
            <w:right w:val="none" w:sz="0" w:space="0" w:color="auto"/>
          </w:divBdr>
        </w:div>
        <w:div w:id="946961159">
          <w:marLeft w:val="0"/>
          <w:marRight w:val="0"/>
          <w:marTop w:val="0"/>
          <w:marBottom w:val="0"/>
          <w:divBdr>
            <w:top w:val="none" w:sz="0" w:space="0" w:color="auto"/>
            <w:left w:val="none" w:sz="0" w:space="0" w:color="auto"/>
            <w:bottom w:val="none" w:sz="0" w:space="0" w:color="auto"/>
            <w:right w:val="none" w:sz="0" w:space="0" w:color="auto"/>
          </w:divBdr>
        </w:div>
        <w:div w:id="1893468705">
          <w:marLeft w:val="0"/>
          <w:marRight w:val="0"/>
          <w:marTop w:val="0"/>
          <w:marBottom w:val="0"/>
          <w:divBdr>
            <w:top w:val="none" w:sz="0" w:space="0" w:color="auto"/>
            <w:left w:val="none" w:sz="0" w:space="0" w:color="auto"/>
            <w:bottom w:val="none" w:sz="0" w:space="0" w:color="auto"/>
            <w:right w:val="none" w:sz="0" w:space="0" w:color="auto"/>
          </w:divBdr>
        </w:div>
        <w:div w:id="431778157">
          <w:marLeft w:val="0"/>
          <w:marRight w:val="0"/>
          <w:marTop w:val="0"/>
          <w:marBottom w:val="0"/>
          <w:divBdr>
            <w:top w:val="none" w:sz="0" w:space="0" w:color="auto"/>
            <w:left w:val="none" w:sz="0" w:space="0" w:color="auto"/>
            <w:bottom w:val="none" w:sz="0" w:space="0" w:color="auto"/>
            <w:right w:val="none" w:sz="0" w:space="0" w:color="auto"/>
          </w:divBdr>
        </w:div>
        <w:div w:id="751196328">
          <w:marLeft w:val="0"/>
          <w:marRight w:val="0"/>
          <w:marTop w:val="0"/>
          <w:marBottom w:val="0"/>
          <w:divBdr>
            <w:top w:val="none" w:sz="0" w:space="0" w:color="auto"/>
            <w:left w:val="none" w:sz="0" w:space="0" w:color="auto"/>
            <w:bottom w:val="none" w:sz="0" w:space="0" w:color="auto"/>
            <w:right w:val="none" w:sz="0" w:space="0" w:color="auto"/>
          </w:divBdr>
        </w:div>
        <w:div w:id="1393851934">
          <w:marLeft w:val="0"/>
          <w:marRight w:val="0"/>
          <w:marTop w:val="0"/>
          <w:marBottom w:val="0"/>
          <w:divBdr>
            <w:top w:val="none" w:sz="0" w:space="0" w:color="auto"/>
            <w:left w:val="none" w:sz="0" w:space="0" w:color="auto"/>
            <w:bottom w:val="none" w:sz="0" w:space="0" w:color="auto"/>
            <w:right w:val="none" w:sz="0" w:space="0" w:color="auto"/>
          </w:divBdr>
        </w:div>
        <w:div w:id="171205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stituteforgovernment.org.uk/publications/value-infrastructure-september-2017" TargetMode="External"/><Relationship Id="rId18" Type="http://schemas.openxmlformats.org/officeDocument/2006/relationships/hyperlink" Target="https://assets.publishing.service.gov.uk/government/uploads/system/uploads/attachment_data/file/669043/supplementary-guidance-rebalancing-toolkit.pdf" TargetMode="External"/><Relationship Id="rId26" Type="http://schemas.openxmlformats.org/officeDocument/2006/relationships/hyperlink" Target="https://www.gov.uk/government/publications/the-green-book-appraisal-and-evaluation-in-central-governent" TargetMode="External"/><Relationship Id="rId39" Type="http://schemas.openxmlformats.org/officeDocument/2006/relationships/hyperlink" Target="http://www.oecd.org/officialdocuments/publicdisplaydocumentpdf/?cote=ECO/WKP(2015)62&amp;docLanguage=En" TargetMode="External"/><Relationship Id="rId21" Type="http://schemas.openxmlformats.org/officeDocument/2006/relationships/hyperlink" Target="https://www.tomforth.co.uk/investmentispolitical/" TargetMode="External"/><Relationship Id="rId34" Type="http://schemas.openxmlformats.org/officeDocument/2006/relationships/hyperlink" Target="https://www.nao.org.uk/report/investigation-into-the-department-for-transports-decision-to-cancel-three-rail-electrification-projects/" TargetMode="External"/><Relationship Id="rId42" Type="http://schemas.openxmlformats.org/officeDocument/2006/relationships/hyperlink" Target="https://ec.europa.eu/eurostat/documents/118025/118123/Fitoussi+Commission+repor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v.uk/government/publications/industrial-strategy-building-a-britain-fit-for-the-future" TargetMode="External"/><Relationship Id="rId29" Type="http://schemas.openxmlformats.org/officeDocument/2006/relationships/hyperlink" Target="https://www.gov.uk/government/publications/national-infrastructure-and-construction-pipeline-2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www.tfgm.com/ltp3/Documents/GMGRP-Transport-Strategy.pdf" TargetMode="External"/><Relationship Id="rId32" Type="http://schemas.openxmlformats.org/officeDocument/2006/relationships/hyperlink" Target="http://eprints.whiterose.ac.uk/87446/" TargetMode="External"/><Relationship Id="rId37" Type="http://schemas.openxmlformats.org/officeDocument/2006/relationships/hyperlink" Target="https://www.ons.gov.uk/economy/grossvalueaddedgva/datasets/nominalandrealregionalgrossvalueaddedbalancedbyindustry" TargetMode="External"/><Relationship Id="rId40" Type="http://schemas.openxmlformats.org/officeDocument/2006/relationships/hyperlink" Target="http://www.internationaltransportforum.org/jtrc/DiscussionPapers/DP201201.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oecd.org/officialdocuments/publicdisplaydocumentpdf/?cote=ECO/WKP(2016)54&amp;docLanguage=En" TargetMode="External"/><Relationship Id="rId23" Type="http://schemas.openxmlformats.org/officeDocument/2006/relationships/hyperlink" Target="http://cep.lse.ac.uk/pubs/download/dp1563.pdf" TargetMode="External"/><Relationship Id="rId28" Type="http://schemas.openxmlformats.org/officeDocument/2006/relationships/hyperlink" Target="https://assets.publishing.service.gov.uk/government/uploads/system/uploads/attachment_data/file/685903/The_Green_Book.pdf" TargetMode="External"/><Relationship Id="rId36" Type="http://schemas.openxmlformats.org/officeDocument/2006/relationships/hyperlink" Target="https://www.itf-oecd.org/sites/default/files/docs/strategic_investment_packages.pdf" TargetMode="External"/><Relationship Id="rId10" Type="http://schemas.openxmlformats.org/officeDocument/2006/relationships/chart" Target="charts/chart1.xml"/><Relationship Id="rId19" Type="http://schemas.openxmlformats.org/officeDocument/2006/relationships/hyperlink" Target="https://assets.publishing.service.gov.uk/government/uploads/system/uploads/attachment_data/file/667192/tag-unit-a2-1-wider-economic-impacts-appraisal.pdf" TargetMode="External"/><Relationship Id="rId31" Type="http://schemas.openxmlformats.org/officeDocument/2006/relationships/hyperlink" Target="http://industrialstrategycommission.org.uk/2017/11/01/the-final-report-of-the-industrial-strategy-commission/"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arianne.sensier@manchester.ac.uk" TargetMode="External"/><Relationship Id="rId14" Type="http://schemas.openxmlformats.org/officeDocument/2006/relationships/hyperlink" Target="http://www.economics-ejournal.org/economics/discussionpapers/2009-14" TargetMode="External"/><Relationship Id="rId22" Type="http://schemas.openxmlformats.org/officeDocument/2006/relationships/hyperlink" Target="http://www.spatialeconomics.ac.uk/textonly/serc/publications/download/sercpp013.pdf" TargetMode="External"/><Relationship Id="rId27" Type="http://schemas.openxmlformats.org/officeDocument/2006/relationships/hyperlink" Target="https://www.gov.uk/government/statistics/public-expenditure-statistical-analyses-2017" TargetMode="External"/><Relationship Id="rId30" Type="http://schemas.openxmlformats.org/officeDocument/2006/relationships/hyperlink" Target="http://research.ncl.ac.uk/ibuild/2018finalreport/" TargetMode="External"/><Relationship Id="rId35" Type="http://schemas.openxmlformats.org/officeDocument/2006/relationships/hyperlink" Target="https://www.itf-oecd.org/sites/default/files/docs/02rtrinveste.pdf" TargetMode="External"/><Relationship Id="rId43" Type="http://schemas.openxmlformats.org/officeDocument/2006/relationships/hyperlink" Target="http://www.theguardian.com/publicleaders-network/2013/feb/11/economic-benefits-infrastructure-greater-manchester" TargetMode="External"/><Relationship Id="rId8" Type="http://schemas.openxmlformats.org/officeDocument/2006/relationships/hyperlink" Target="mailto:dc700@cam.ac.uk" TargetMode="Externa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hyperlink" Target="http://webarchive.nationalarchives.gov.uk/20080807161546/http://www.dft.gov.uk/about/strategy/transportstrategy/eddingtonstudy/pubeddingbase" TargetMode="External"/><Relationship Id="rId25" Type="http://schemas.openxmlformats.org/officeDocument/2006/relationships/hyperlink" Target="https://www.gov.uk/guidance/transport-analysis-guidance-webtag" TargetMode="External"/><Relationship Id="rId33" Type="http://schemas.openxmlformats.org/officeDocument/2006/relationships/hyperlink" Target="https://www.nao.org.uk/wp-content/uploads/2017/11/Update-on-the-Thameslink-programme.pdf" TargetMode="External"/><Relationship Id="rId38" Type="http://schemas.openxmlformats.org/officeDocument/2006/relationships/hyperlink" Target="https://www.ons.gov.uk/economy/economicoutputandproductivity/productivitymeasures/datasets/industrybyregionlabourproductivity" TargetMode="External"/><Relationship Id="rId46" Type="http://schemas.openxmlformats.org/officeDocument/2006/relationships/theme" Target="theme/theme1.xml"/><Relationship Id="rId20" Type="http://schemas.openxmlformats.org/officeDocument/2006/relationships/hyperlink" Target="http://webarchive.nationalarchives.gov.uk/20080804142919/http://www.dft.gov.uk/about/strategy/transportstrategy/eddingtonstudy/" TargetMode="External"/><Relationship Id="rId41" Type="http://schemas.openxmlformats.org/officeDocument/2006/relationships/hyperlink" Target="https://www.ippr.org/publications/future-transport-investment-in-the-north-briefing"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s://www.tuc.org.uk/news/uk-languishing-near-bottom-oecd-rankings-investment-vital-infrastructure" TargetMode="External"/><Relationship Id="rId2" Type="http://schemas.openxmlformats.org/officeDocument/2006/relationships/hyperlink" Target="https://www.weforum.org/reports/the-global-competitiveness-report-2016-2017-1" TargetMode="External"/><Relationship Id="rId1" Type="http://schemas.openxmlformats.org/officeDocument/2006/relationships/hyperlink" Target="https://www.theguardian.com/commentisfree/2017/aug/22/north-powerhouse-infrastructure-andy-burnham" TargetMode="External"/><Relationship Id="rId5" Type="http://schemas.openxmlformats.org/officeDocument/2006/relationships/hyperlink" Target="https://www.parliamentlive.tv/Event/Index/380f32b4-5f92-4d9e-8215-ec06a56c4450" TargetMode="External"/><Relationship Id="rId4" Type="http://schemas.openxmlformats.org/officeDocument/2006/relationships/hyperlink" Target="https://www.nic.org.uk/our-work/national-infrastructure-assessmen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dianecoyle:Documents:Regional%20Studies%20paper:RegionalStudiesRevised:Figure1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dianecoyle:Desktop:PESA1998_201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dianecoyle:Desktop:CJRES:Figure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330177787182505E-2"/>
          <c:y val="0.217870596698792"/>
          <c:w val="0.87948961825316396"/>
          <c:h val="0.61151153831787697"/>
        </c:manualLayout>
      </c:layout>
      <c:barChart>
        <c:barDir val="col"/>
        <c:grouping val="clustered"/>
        <c:varyColors val="0"/>
        <c:ser>
          <c:idx val="0"/>
          <c:order val="0"/>
          <c:tx>
            <c:strRef>
              <c:f>Chart!$B$29</c:f>
              <c:strCache>
                <c:ptCount val="1"/>
                <c:pt idx="0">
                  <c:v>1998: London £57,820</c:v>
                </c:pt>
              </c:strCache>
            </c:strRef>
          </c:tx>
          <c:spPr>
            <a:solidFill>
              <a:schemeClr val="tx1"/>
            </a:solidFill>
          </c:spPr>
          <c:invertIfNegative val="0"/>
          <c:cat>
            <c:strRef>
              <c:f>Chart!$C$28:$M$28</c:f>
              <c:strCache>
                <c:ptCount val="11"/>
                <c:pt idx="0">
                  <c:v>North East</c:v>
                </c:pt>
                <c:pt idx="1">
                  <c:v>North West</c:v>
                </c:pt>
                <c:pt idx="2">
                  <c:v>Yorkshire and The Humber</c:v>
                </c:pt>
                <c:pt idx="3">
                  <c:v>East Midlands</c:v>
                </c:pt>
                <c:pt idx="4">
                  <c:v>West Midlands</c:v>
                </c:pt>
                <c:pt idx="5">
                  <c:v>East of England</c:v>
                </c:pt>
                <c:pt idx="6">
                  <c:v>South East</c:v>
                </c:pt>
                <c:pt idx="7">
                  <c:v>South West</c:v>
                </c:pt>
                <c:pt idx="8">
                  <c:v>Wales</c:v>
                </c:pt>
                <c:pt idx="9">
                  <c:v>Scotland</c:v>
                </c:pt>
                <c:pt idx="10">
                  <c:v>Northern Ireland</c:v>
                </c:pt>
              </c:strCache>
            </c:strRef>
          </c:cat>
          <c:val>
            <c:numRef>
              <c:f>Chart!$C$29:$M$29</c:f>
              <c:numCache>
                <c:formatCode>General</c:formatCode>
                <c:ptCount val="11"/>
                <c:pt idx="0">
                  <c:v>-21246.727073086531</c:v>
                </c:pt>
                <c:pt idx="1">
                  <c:v>-18412.739525478391</c:v>
                </c:pt>
                <c:pt idx="2">
                  <c:v>-19656.52492440696</c:v>
                </c:pt>
                <c:pt idx="3">
                  <c:v>-19429.07143488037</c:v>
                </c:pt>
                <c:pt idx="4">
                  <c:v>-19128.659537506501</c:v>
                </c:pt>
                <c:pt idx="5">
                  <c:v>-15090.797120331519</c:v>
                </c:pt>
                <c:pt idx="6">
                  <c:v>-10410.043350649519</c:v>
                </c:pt>
                <c:pt idx="7">
                  <c:v>-18181.50645198271</c:v>
                </c:pt>
                <c:pt idx="8">
                  <c:v>-19411.088068554589</c:v>
                </c:pt>
                <c:pt idx="9">
                  <c:v>-17870.05740401115</c:v>
                </c:pt>
                <c:pt idx="10">
                  <c:v>-18779.068689902371</c:v>
                </c:pt>
              </c:numCache>
            </c:numRef>
          </c:val>
          <c:extLst>
            <c:ext xmlns:c16="http://schemas.microsoft.com/office/drawing/2014/chart" uri="{C3380CC4-5D6E-409C-BE32-E72D297353CC}">
              <c16:uniqueId val="{00000000-7CAF-9A4D-90FB-472509CA72FD}"/>
            </c:ext>
          </c:extLst>
        </c:ser>
        <c:ser>
          <c:idx val="1"/>
          <c:order val="1"/>
          <c:tx>
            <c:strRef>
              <c:f>Chart!$B$30</c:f>
              <c:strCache>
                <c:ptCount val="1"/>
                <c:pt idx="0">
                  <c:v>2007: London £75,265</c:v>
                </c:pt>
              </c:strCache>
            </c:strRef>
          </c:tx>
          <c:spPr>
            <a:solidFill>
              <a:schemeClr val="bg1">
                <a:lumMod val="50000"/>
              </a:schemeClr>
            </a:solidFill>
          </c:spPr>
          <c:invertIfNegative val="0"/>
          <c:cat>
            <c:strRef>
              <c:f>Chart!$C$28:$M$28</c:f>
              <c:strCache>
                <c:ptCount val="11"/>
                <c:pt idx="0">
                  <c:v>North East</c:v>
                </c:pt>
                <c:pt idx="1">
                  <c:v>North West</c:v>
                </c:pt>
                <c:pt idx="2">
                  <c:v>Yorkshire and The Humber</c:v>
                </c:pt>
                <c:pt idx="3">
                  <c:v>East Midlands</c:v>
                </c:pt>
                <c:pt idx="4">
                  <c:v>West Midlands</c:v>
                </c:pt>
                <c:pt idx="5">
                  <c:v>East of England</c:v>
                </c:pt>
                <c:pt idx="6">
                  <c:v>South East</c:v>
                </c:pt>
                <c:pt idx="7">
                  <c:v>South West</c:v>
                </c:pt>
                <c:pt idx="8">
                  <c:v>Wales</c:v>
                </c:pt>
                <c:pt idx="9">
                  <c:v>Scotland</c:v>
                </c:pt>
                <c:pt idx="10">
                  <c:v>Northern Ireland</c:v>
                </c:pt>
              </c:strCache>
            </c:strRef>
          </c:cat>
          <c:val>
            <c:numRef>
              <c:f>Chart!$C$30:$M$30</c:f>
              <c:numCache>
                <c:formatCode>General</c:formatCode>
                <c:ptCount val="11"/>
                <c:pt idx="0">
                  <c:v>-30619.952565863761</c:v>
                </c:pt>
                <c:pt idx="1">
                  <c:v>-27282.675239703542</c:v>
                </c:pt>
                <c:pt idx="2">
                  <c:v>-28781.73699116844</c:v>
                </c:pt>
                <c:pt idx="3">
                  <c:v>-31553.992226298989</c:v>
                </c:pt>
                <c:pt idx="4">
                  <c:v>-30867.464033790511</c:v>
                </c:pt>
                <c:pt idx="5">
                  <c:v>-25964.626046890531</c:v>
                </c:pt>
                <c:pt idx="6">
                  <c:v>-20772.69252172748</c:v>
                </c:pt>
                <c:pt idx="7">
                  <c:v>-30121.006769195781</c:v>
                </c:pt>
                <c:pt idx="8">
                  <c:v>-32701.14155261769</c:v>
                </c:pt>
                <c:pt idx="9">
                  <c:v>-28313.6578830035</c:v>
                </c:pt>
                <c:pt idx="10">
                  <c:v>-30031.28425233415</c:v>
                </c:pt>
              </c:numCache>
            </c:numRef>
          </c:val>
          <c:extLst>
            <c:ext xmlns:c16="http://schemas.microsoft.com/office/drawing/2014/chart" uri="{C3380CC4-5D6E-409C-BE32-E72D297353CC}">
              <c16:uniqueId val="{00000001-7CAF-9A4D-90FB-472509CA72FD}"/>
            </c:ext>
          </c:extLst>
        </c:ser>
        <c:ser>
          <c:idx val="2"/>
          <c:order val="2"/>
          <c:tx>
            <c:strRef>
              <c:f>Chart!$B$31</c:f>
              <c:strCache>
                <c:ptCount val="1"/>
                <c:pt idx="0">
                  <c:v>2017: London £77,243</c:v>
                </c:pt>
              </c:strCache>
            </c:strRef>
          </c:tx>
          <c:spPr>
            <a:solidFill>
              <a:schemeClr val="bg1">
                <a:lumMod val="85000"/>
              </a:schemeClr>
            </a:solidFill>
          </c:spPr>
          <c:invertIfNegative val="0"/>
          <c:cat>
            <c:strRef>
              <c:f>Chart!$C$28:$M$28</c:f>
              <c:strCache>
                <c:ptCount val="11"/>
                <c:pt idx="0">
                  <c:v>North East</c:v>
                </c:pt>
                <c:pt idx="1">
                  <c:v>North West</c:v>
                </c:pt>
                <c:pt idx="2">
                  <c:v>Yorkshire and The Humber</c:v>
                </c:pt>
                <c:pt idx="3">
                  <c:v>East Midlands</c:v>
                </c:pt>
                <c:pt idx="4">
                  <c:v>West Midlands</c:v>
                </c:pt>
                <c:pt idx="5">
                  <c:v>East of England</c:v>
                </c:pt>
                <c:pt idx="6">
                  <c:v>South East</c:v>
                </c:pt>
                <c:pt idx="7">
                  <c:v>South West</c:v>
                </c:pt>
                <c:pt idx="8">
                  <c:v>Wales</c:v>
                </c:pt>
                <c:pt idx="9">
                  <c:v>Scotland</c:v>
                </c:pt>
                <c:pt idx="10">
                  <c:v>Northern Ireland</c:v>
                </c:pt>
              </c:strCache>
            </c:strRef>
          </c:cat>
          <c:val>
            <c:numRef>
              <c:f>Chart!$C$31:$M$31</c:f>
              <c:numCache>
                <c:formatCode>General</c:formatCode>
                <c:ptCount val="11"/>
                <c:pt idx="0">
                  <c:v>-30330.418406468762</c:v>
                </c:pt>
                <c:pt idx="1">
                  <c:v>-28107.493516279879</c:v>
                </c:pt>
                <c:pt idx="2">
                  <c:v>-32297.848649793741</c:v>
                </c:pt>
                <c:pt idx="3">
                  <c:v>-32569.157886590299</c:v>
                </c:pt>
                <c:pt idx="4">
                  <c:v>-30768.575417509779</c:v>
                </c:pt>
                <c:pt idx="5">
                  <c:v>-26973.202098592959</c:v>
                </c:pt>
                <c:pt idx="6">
                  <c:v>-21530.328024795552</c:v>
                </c:pt>
                <c:pt idx="7">
                  <c:v>-30982.143635202559</c:v>
                </c:pt>
                <c:pt idx="8">
                  <c:v>-34723.47724587741</c:v>
                </c:pt>
                <c:pt idx="9">
                  <c:v>-25897.31665127922</c:v>
                </c:pt>
                <c:pt idx="10">
                  <c:v>-30447.426913105752</c:v>
                </c:pt>
              </c:numCache>
            </c:numRef>
          </c:val>
          <c:extLst>
            <c:ext xmlns:c16="http://schemas.microsoft.com/office/drawing/2014/chart" uri="{C3380CC4-5D6E-409C-BE32-E72D297353CC}">
              <c16:uniqueId val="{00000002-7CAF-9A4D-90FB-472509CA72FD}"/>
            </c:ext>
          </c:extLst>
        </c:ser>
        <c:dLbls>
          <c:showLegendKey val="0"/>
          <c:showVal val="0"/>
          <c:showCatName val="0"/>
          <c:showSerName val="0"/>
          <c:showPercent val="0"/>
          <c:showBubbleSize val="0"/>
        </c:dLbls>
        <c:gapWidth val="150"/>
        <c:axId val="-2112942168"/>
        <c:axId val="-2113204632"/>
      </c:barChart>
      <c:catAx>
        <c:axId val="-2112942168"/>
        <c:scaling>
          <c:orientation val="minMax"/>
        </c:scaling>
        <c:delete val="0"/>
        <c:axPos val="b"/>
        <c:numFmt formatCode="General" sourceLinked="0"/>
        <c:majorTickMark val="out"/>
        <c:minorTickMark val="none"/>
        <c:tickLblPos val="high"/>
        <c:crossAx val="-2113204632"/>
        <c:crosses val="autoZero"/>
        <c:auto val="1"/>
        <c:lblAlgn val="ctr"/>
        <c:lblOffset val="100"/>
        <c:noMultiLvlLbl val="0"/>
      </c:catAx>
      <c:valAx>
        <c:axId val="-2113204632"/>
        <c:scaling>
          <c:orientation val="minMax"/>
        </c:scaling>
        <c:delete val="0"/>
        <c:axPos val="l"/>
        <c:majorGridlines/>
        <c:numFmt formatCode="General" sourceLinked="1"/>
        <c:majorTickMark val="out"/>
        <c:minorTickMark val="none"/>
        <c:tickLblPos val="nextTo"/>
        <c:crossAx val="-2112942168"/>
        <c:crosses val="autoZero"/>
        <c:crossBetween val="between"/>
      </c:valAx>
    </c:plotArea>
    <c:legend>
      <c:legendPos val="r"/>
      <c:layout>
        <c:manualLayout>
          <c:xMode val="edge"/>
          <c:yMode val="edge"/>
          <c:x val="3.4955581047418603E-2"/>
          <c:y val="0.85986202420348001"/>
          <c:w val="0.91789684705253405"/>
          <c:h val="0.10121808922188601"/>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9.7671841806520998E-2"/>
          <c:y val="5.1546391752577303E-2"/>
          <c:w val="0.833395214750005"/>
          <c:h val="0.55536101207016098"/>
        </c:manualLayout>
      </c:layout>
      <c:barChart>
        <c:barDir val="col"/>
        <c:grouping val="clustered"/>
        <c:varyColors val="0"/>
        <c:ser>
          <c:idx val="0"/>
          <c:order val="0"/>
          <c:tx>
            <c:strRef>
              <c:f>CRA_Transport!$T$79</c:f>
              <c:strCache>
                <c:ptCount val="1"/>
                <c:pt idx="0">
                  <c:v>PESA 2013/14-2016/17</c:v>
                </c:pt>
              </c:strCache>
            </c:strRef>
          </c:tx>
          <c:spPr>
            <a:solidFill>
              <a:schemeClr val="bg1">
                <a:lumMod val="50000"/>
              </a:schemeClr>
            </a:solidFill>
          </c:spPr>
          <c:invertIfNegative val="0"/>
          <c:cat>
            <c:strRef>
              <c:f>CRA_Transport!$S$80:$S$88</c:f>
              <c:strCache>
                <c:ptCount val="9"/>
                <c:pt idx="0">
                  <c:v>North East</c:v>
                </c:pt>
                <c:pt idx="1">
                  <c:v>North West</c:v>
                </c:pt>
                <c:pt idx="2">
                  <c:v>Yorkshire and the Humber</c:v>
                </c:pt>
                <c:pt idx="3">
                  <c:v>East Midlands</c:v>
                </c:pt>
                <c:pt idx="4">
                  <c:v>West Midlands</c:v>
                </c:pt>
                <c:pt idx="5">
                  <c:v>East</c:v>
                </c:pt>
                <c:pt idx="6">
                  <c:v>London</c:v>
                </c:pt>
                <c:pt idx="7">
                  <c:v>South East</c:v>
                </c:pt>
                <c:pt idx="8">
                  <c:v>South West</c:v>
                </c:pt>
              </c:strCache>
            </c:strRef>
          </c:cat>
          <c:val>
            <c:numRef>
              <c:f>CRA_Transport!$T$80:$T$88</c:f>
              <c:numCache>
                <c:formatCode>General</c:formatCode>
                <c:ptCount val="9"/>
                <c:pt idx="0">
                  <c:v>1043.3384351060599</c:v>
                </c:pt>
                <c:pt idx="1">
                  <c:v>1288.613228446992</c:v>
                </c:pt>
                <c:pt idx="2">
                  <c:v>1297.61241764954</c:v>
                </c:pt>
                <c:pt idx="3">
                  <c:v>918.70696845557438</c:v>
                </c:pt>
                <c:pt idx="4">
                  <c:v>1131.194554654985</c:v>
                </c:pt>
                <c:pt idx="5">
                  <c:v>1184.9919362464991</c:v>
                </c:pt>
                <c:pt idx="6">
                  <c:v>3199.4598102649029</c:v>
                </c:pt>
                <c:pt idx="7">
                  <c:v>1229.8570445476551</c:v>
                </c:pt>
                <c:pt idx="8">
                  <c:v>968.72937112660202</c:v>
                </c:pt>
              </c:numCache>
            </c:numRef>
          </c:val>
          <c:extLst>
            <c:ext xmlns:c16="http://schemas.microsoft.com/office/drawing/2014/chart" uri="{C3380CC4-5D6E-409C-BE32-E72D297353CC}">
              <c16:uniqueId val="{00000000-0993-C942-9731-FCBF6CF1FB43}"/>
            </c:ext>
          </c:extLst>
        </c:ser>
        <c:ser>
          <c:idx val="1"/>
          <c:order val="1"/>
          <c:tx>
            <c:strRef>
              <c:f>CRA_Transport!$U$79</c:f>
              <c:strCache>
                <c:ptCount val="1"/>
              </c:strCache>
            </c:strRef>
          </c:tx>
          <c:invertIfNegative val="0"/>
          <c:cat>
            <c:strRef>
              <c:f>CRA_Transport!$S$80:$S$88</c:f>
              <c:strCache>
                <c:ptCount val="9"/>
                <c:pt idx="0">
                  <c:v>North East</c:v>
                </c:pt>
                <c:pt idx="1">
                  <c:v>North West</c:v>
                </c:pt>
                <c:pt idx="2">
                  <c:v>Yorkshire and the Humber</c:v>
                </c:pt>
                <c:pt idx="3">
                  <c:v>East Midlands</c:v>
                </c:pt>
                <c:pt idx="4">
                  <c:v>West Midlands</c:v>
                </c:pt>
                <c:pt idx="5">
                  <c:v>East</c:v>
                </c:pt>
                <c:pt idx="6">
                  <c:v>London</c:v>
                </c:pt>
                <c:pt idx="7">
                  <c:v>South East</c:v>
                </c:pt>
                <c:pt idx="8">
                  <c:v>South West</c:v>
                </c:pt>
              </c:strCache>
            </c:strRef>
          </c:cat>
          <c:val>
            <c:numRef>
              <c:f>CRA_Transport!$U$80:$U$88</c:f>
              <c:numCache>
                <c:formatCode>General</c:formatCode>
                <c:ptCount val="9"/>
              </c:numCache>
            </c:numRef>
          </c:val>
          <c:extLst>
            <c:ext xmlns:c16="http://schemas.microsoft.com/office/drawing/2014/chart" uri="{C3380CC4-5D6E-409C-BE32-E72D297353CC}">
              <c16:uniqueId val="{00000001-0993-C942-9731-FCBF6CF1FB43}"/>
            </c:ext>
          </c:extLst>
        </c:ser>
        <c:ser>
          <c:idx val="2"/>
          <c:order val="2"/>
          <c:tx>
            <c:strRef>
              <c:f>CRA_Transport!$V$79</c:f>
              <c:strCache>
                <c:ptCount val="1"/>
                <c:pt idx="0">
                  <c:v>NICP 2017/18-2020/21</c:v>
                </c:pt>
              </c:strCache>
            </c:strRef>
          </c:tx>
          <c:spPr>
            <a:solidFill>
              <a:schemeClr val="bg1">
                <a:lumMod val="85000"/>
              </a:schemeClr>
            </a:solidFill>
          </c:spPr>
          <c:invertIfNegative val="0"/>
          <c:cat>
            <c:strRef>
              <c:f>CRA_Transport!$S$80:$S$88</c:f>
              <c:strCache>
                <c:ptCount val="9"/>
                <c:pt idx="0">
                  <c:v>North East</c:v>
                </c:pt>
                <c:pt idx="1">
                  <c:v>North West</c:v>
                </c:pt>
                <c:pt idx="2">
                  <c:v>Yorkshire and the Humber</c:v>
                </c:pt>
                <c:pt idx="3">
                  <c:v>East Midlands</c:v>
                </c:pt>
                <c:pt idx="4">
                  <c:v>West Midlands</c:v>
                </c:pt>
                <c:pt idx="5">
                  <c:v>East</c:v>
                </c:pt>
                <c:pt idx="6">
                  <c:v>London</c:v>
                </c:pt>
                <c:pt idx="7">
                  <c:v>South East</c:v>
                </c:pt>
                <c:pt idx="8">
                  <c:v>South West</c:v>
                </c:pt>
              </c:strCache>
            </c:strRef>
          </c:cat>
          <c:val>
            <c:numRef>
              <c:f>CRA_Transport!$V$80:$V$88</c:f>
              <c:numCache>
                <c:formatCode>General</c:formatCode>
                <c:ptCount val="9"/>
                <c:pt idx="0">
                  <c:v>822</c:v>
                </c:pt>
                <c:pt idx="1">
                  <c:v>1353</c:v>
                </c:pt>
                <c:pt idx="2">
                  <c:v>726</c:v>
                </c:pt>
                <c:pt idx="3">
                  <c:v>946</c:v>
                </c:pt>
                <c:pt idx="4">
                  <c:v>1269</c:v>
                </c:pt>
                <c:pt idx="5">
                  <c:v>994</c:v>
                </c:pt>
                <c:pt idx="6">
                  <c:v>1026</c:v>
                </c:pt>
                <c:pt idx="7">
                  <c:v>1139</c:v>
                </c:pt>
                <c:pt idx="8">
                  <c:v>851</c:v>
                </c:pt>
              </c:numCache>
            </c:numRef>
          </c:val>
          <c:extLst>
            <c:ext xmlns:c16="http://schemas.microsoft.com/office/drawing/2014/chart" uri="{C3380CC4-5D6E-409C-BE32-E72D297353CC}">
              <c16:uniqueId val="{00000002-0993-C942-9731-FCBF6CF1FB43}"/>
            </c:ext>
          </c:extLst>
        </c:ser>
        <c:ser>
          <c:idx val="3"/>
          <c:order val="3"/>
          <c:tx>
            <c:strRef>
              <c:f>CRA_Transport!$W$79</c:f>
              <c:strCache>
                <c:ptCount val="1"/>
                <c:pt idx="0">
                  <c:v>IPPR North 2017/18 &amp; Beyond</c:v>
                </c:pt>
              </c:strCache>
            </c:strRef>
          </c:tx>
          <c:spPr>
            <a:pattFill prst="trellis">
              <a:fgClr>
                <a:schemeClr val="bg1">
                  <a:lumMod val="50000"/>
                </a:schemeClr>
              </a:fgClr>
              <a:bgClr>
                <a:prstClr val="white"/>
              </a:bgClr>
            </a:pattFill>
          </c:spPr>
          <c:invertIfNegative val="0"/>
          <c:cat>
            <c:strRef>
              <c:f>CRA_Transport!$S$80:$S$88</c:f>
              <c:strCache>
                <c:ptCount val="9"/>
                <c:pt idx="0">
                  <c:v>North East</c:v>
                </c:pt>
                <c:pt idx="1">
                  <c:v>North West</c:v>
                </c:pt>
                <c:pt idx="2">
                  <c:v>Yorkshire and the Humber</c:v>
                </c:pt>
                <c:pt idx="3">
                  <c:v>East Midlands</c:v>
                </c:pt>
                <c:pt idx="4">
                  <c:v>West Midlands</c:v>
                </c:pt>
                <c:pt idx="5">
                  <c:v>East</c:v>
                </c:pt>
                <c:pt idx="6">
                  <c:v>London</c:v>
                </c:pt>
                <c:pt idx="7">
                  <c:v>South East</c:v>
                </c:pt>
                <c:pt idx="8">
                  <c:v>South West</c:v>
                </c:pt>
              </c:strCache>
            </c:strRef>
          </c:cat>
          <c:val>
            <c:numRef>
              <c:f>CRA_Transport!$W$80:$W$88</c:f>
              <c:numCache>
                <c:formatCode>General</c:formatCode>
                <c:ptCount val="9"/>
                <c:pt idx="0">
                  <c:v>855</c:v>
                </c:pt>
                <c:pt idx="1">
                  <c:v>2439</c:v>
                </c:pt>
                <c:pt idx="2">
                  <c:v>844</c:v>
                </c:pt>
                <c:pt idx="3">
                  <c:v>1134</c:v>
                </c:pt>
                <c:pt idx="4">
                  <c:v>3029</c:v>
                </c:pt>
                <c:pt idx="5">
                  <c:v>1134</c:v>
                </c:pt>
                <c:pt idx="6">
                  <c:v>4155</c:v>
                </c:pt>
                <c:pt idx="7">
                  <c:v>1307</c:v>
                </c:pt>
                <c:pt idx="8">
                  <c:v>984</c:v>
                </c:pt>
              </c:numCache>
            </c:numRef>
          </c:val>
          <c:extLst>
            <c:ext xmlns:c16="http://schemas.microsoft.com/office/drawing/2014/chart" uri="{C3380CC4-5D6E-409C-BE32-E72D297353CC}">
              <c16:uniqueId val="{00000003-0993-C942-9731-FCBF6CF1FB43}"/>
            </c:ext>
          </c:extLst>
        </c:ser>
        <c:dLbls>
          <c:showLegendKey val="0"/>
          <c:showVal val="0"/>
          <c:showCatName val="0"/>
          <c:showSerName val="0"/>
          <c:showPercent val="0"/>
          <c:showBubbleSize val="0"/>
        </c:dLbls>
        <c:gapWidth val="150"/>
        <c:axId val="2106244760"/>
        <c:axId val="-2117099848"/>
      </c:barChart>
      <c:catAx>
        <c:axId val="2106244760"/>
        <c:scaling>
          <c:orientation val="minMax"/>
        </c:scaling>
        <c:delete val="0"/>
        <c:axPos val="b"/>
        <c:numFmt formatCode="General" sourceLinked="0"/>
        <c:majorTickMark val="out"/>
        <c:minorTickMark val="none"/>
        <c:tickLblPos val="nextTo"/>
        <c:crossAx val="-2117099848"/>
        <c:crosses val="autoZero"/>
        <c:auto val="1"/>
        <c:lblAlgn val="ctr"/>
        <c:lblOffset val="100"/>
        <c:noMultiLvlLbl val="0"/>
      </c:catAx>
      <c:valAx>
        <c:axId val="-2117099848"/>
        <c:scaling>
          <c:orientation val="minMax"/>
        </c:scaling>
        <c:delete val="0"/>
        <c:axPos val="l"/>
        <c:majorGridlines/>
        <c:numFmt formatCode="General" sourceLinked="1"/>
        <c:majorTickMark val="out"/>
        <c:minorTickMark val="none"/>
        <c:tickLblPos val="nextTo"/>
        <c:crossAx val="2106244760"/>
        <c:crosses val="autoZero"/>
        <c:crossBetween val="between"/>
      </c:valAx>
    </c:plotArea>
    <c:legend>
      <c:legendPos val="r"/>
      <c:legendEntry>
        <c:idx val="1"/>
        <c:delete val="1"/>
      </c:legendEntry>
      <c:layout>
        <c:manualLayout>
          <c:xMode val="edge"/>
          <c:yMode val="edge"/>
          <c:x val="0.442388535384721"/>
          <c:y val="0.81912742667674099"/>
          <c:w val="0.52946767543784501"/>
          <c:h val="0.14122150274435399"/>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clustered"/>
        <c:varyColors val="1"/>
        <c:ser>
          <c:idx val="0"/>
          <c:order val="0"/>
          <c:spPr>
            <a:solidFill>
              <a:schemeClr val="bg1">
                <a:lumMod val="50000"/>
              </a:schemeClr>
            </a:solidFill>
          </c:spPr>
          <c:invertIfNegative val="0"/>
          <c:dPt>
            <c:idx val="15"/>
            <c:invertIfNegative val="0"/>
            <c:bubble3D val="0"/>
            <c:spPr>
              <a:solidFill>
                <a:schemeClr val="bg1">
                  <a:lumMod val="85000"/>
                </a:schemeClr>
              </a:solidFill>
            </c:spPr>
            <c:extLst>
              <c:ext xmlns:c16="http://schemas.microsoft.com/office/drawing/2014/chart" uri="{C3380CC4-5D6E-409C-BE32-E72D297353CC}">
                <c16:uniqueId val="{00000001-CD7B-2F49-833A-94054995D75B}"/>
              </c:ext>
            </c:extLst>
          </c:dPt>
          <c:dPt>
            <c:idx val="16"/>
            <c:invertIfNegative val="0"/>
            <c:bubble3D val="0"/>
            <c:spPr>
              <a:solidFill>
                <a:schemeClr val="bg1">
                  <a:lumMod val="85000"/>
                </a:schemeClr>
              </a:solidFill>
            </c:spPr>
            <c:extLst>
              <c:ext xmlns:c16="http://schemas.microsoft.com/office/drawing/2014/chart" uri="{C3380CC4-5D6E-409C-BE32-E72D297353CC}">
                <c16:uniqueId val="{00000003-CD7B-2F49-833A-94054995D75B}"/>
              </c:ext>
            </c:extLst>
          </c:dPt>
          <c:dPt>
            <c:idx val="17"/>
            <c:invertIfNegative val="0"/>
            <c:bubble3D val="0"/>
            <c:spPr>
              <a:solidFill>
                <a:schemeClr val="bg1">
                  <a:lumMod val="85000"/>
                </a:schemeClr>
              </a:solidFill>
            </c:spPr>
            <c:extLst>
              <c:ext xmlns:c16="http://schemas.microsoft.com/office/drawing/2014/chart" uri="{C3380CC4-5D6E-409C-BE32-E72D297353CC}">
                <c16:uniqueId val="{00000005-CD7B-2F49-833A-94054995D75B}"/>
              </c:ext>
            </c:extLst>
          </c:dPt>
          <c:dPt>
            <c:idx val="19"/>
            <c:invertIfNegative val="0"/>
            <c:bubble3D val="0"/>
            <c:spPr>
              <a:solidFill>
                <a:schemeClr val="bg1">
                  <a:lumMod val="85000"/>
                </a:schemeClr>
              </a:solidFill>
            </c:spPr>
            <c:extLst>
              <c:ext xmlns:c16="http://schemas.microsoft.com/office/drawing/2014/chart" uri="{C3380CC4-5D6E-409C-BE32-E72D297353CC}">
                <c16:uniqueId val="{00000007-CD7B-2F49-833A-94054995D75B}"/>
              </c:ext>
            </c:extLst>
          </c:dPt>
          <c:dPt>
            <c:idx val="20"/>
            <c:invertIfNegative val="0"/>
            <c:bubble3D val="0"/>
            <c:spPr>
              <a:solidFill>
                <a:schemeClr val="bg1">
                  <a:lumMod val="85000"/>
                </a:schemeClr>
              </a:solidFill>
            </c:spPr>
            <c:extLst>
              <c:ext xmlns:c16="http://schemas.microsoft.com/office/drawing/2014/chart" uri="{C3380CC4-5D6E-409C-BE32-E72D297353CC}">
                <c16:uniqueId val="{00000009-CD7B-2F49-833A-94054995D75B}"/>
              </c:ext>
            </c:extLst>
          </c:dPt>
          <c:dPt>
            <c:idx val="21"/>
            <c:invertIfNegative val="0"/>
            <c:bubble3D val="0"/>
            <c:extLst>
              <c:ext xmlns:c16="http://schemas.microsoft.com/office/drawing/2014/chart" uri="{C3380CC4-5D6E-409C-BE32-E72D297353CC}">
                <c16:uniqueId val="{0000000A-CD7B-2F49-833A-94054995D75B}"/>
              </c:ext>
            </c:extLst>
          </c:dPt>
          <c:dPt>
            <c:idx val="23"/>
            <c:invertIfNegative val="0"/>
            <c:bubble3D val="0"/>
            <c:extLst>
              <c:ext xmlns:c16="http://schemas.microsoft.com/office/drawing/2014/chart" uri="{C3380CC4-5D6E-409C-BE32-E72D297353CC}">
                <c16:uniqueId val="{0000000B-CD7B-2F49-833A-94054995D75B}"/>
              </c:ext>
            </c:extLst>
          </c:dPt>
          <c:dPt>
            <c:idx val="24"/>
            <c:invertIfNegative val="0"/>
            <c:bubble3D val="0"/>
            <c:spPr>
              <a:solidFill>
                <a:schemeClr val="bg1">
                  <a:lumMod val="85000"/>
                </a:schemeClr>
              </a:solidFill>
            </c:spPr>
            <c:extLst>
              <c:ext xmlns:c16="http://schemas.microsoft.com/office/drawing/2014/chart" uri="{C3380CC4-5D6E-409C-BE32-E72D297353CC}">
                <c16:uniqueId val="{0000000D-CD7B-2F49-833A-94054995D75B}"/>
              </c:ext>
            </c:extLst>
          </c:dPt>
          <c:dPt>
            <c:idx val="25"/>
            <c:invertIfNegative val="0"/>
            <c:bubble3D val="0"/>
            <c:spPr>
              <a:solidFill>
                <a:schemeClr val="bg1">
                  <a:lumMod val="85000"/>
                </a:schemeClr>
              </a:solidFill>
            </c:spPr>
            <c:extLst>
              <c:ext xmlns:c16="http://schemas.microsoft.com/office/drawing/2014/chart" uri="{C3380CC4-5D6E-409C-BE32-E72D297353CC}">
                <c16:uniqueId val="{0000000F-CD7B-2F49-833A-94054995D75B}"/>
              </c:ext>
            </c:extLst>
          </c:dPt>
          <c:dPt>
            <c:idx val="26"/>
            <c:invertIfNegative val="0"/>
            <c:bubble3D val="0"/>
            <c:spPr>
              <a:solidFill>
                <a:schemeClr val="bg1">
                  <a:lumMod val="85000"/>
                </a:schemeClr>
              </a:solidFill>
              <a:ln>
                <a:solidFill>
                  <a:schemeClr val="bg1">
                    <a:lumMod val="85000"/>
                  </a:schemeClr>
                </a:solidFill>
              </a:ln>
            </c:spPr>
            <c:extLst>
              <c:ext xmlns:c16="http://schemas.microsoft.com/office/drawing/2014/chart" uri="{C3380CC4-5D6E-409C-BE32-E72D297353CC}">
                <c16:uniqueId val="{00000011-CD7B-2F49-833A-94054995D75B}"/>
              </c:ext>
            </c:extLst>
          </c:dPt>
          <c:dPt>
            <c:idx val="29"/>
            <c:invertIfNegative val="0"/>
            <c:bubble3D val="0"/>
            <c:spPr>
              <a:solidFill>
                <a:schemeClr val="bg1">
                  <a:lumMod val="85000"/>
                </a:schemeClr>
              </a:solidFill>
            </c:spPr>
            <c:extLst>
              <c:ext xmlns:c16="http://schemas.microsoft.com/office/drawing/2014/chart" uri="{C3380CC4-5D6E-409C-BE32-E72D297353CC}">
                <c16:uniqueId val="{00000013-CD7B-2F49-833A-94054995D75B}"/>
              </c:ext>
            </c:extLst>
          </c:dPt>
          <c:dPt>
            <c:idx val="30"/>
            <c:invertIfNegative val="0"/>
            <c:bubble3D val="0"/>
            <c:spPr>
              <a:solidFill>
                <a:schemeClr val="bg1">
                  <a:lumMod val="85000"/>
                </a:schemeClr>
              </a:solidFill>
            </c:spPr>
            <c:extLst>
              <c:ext xmlns:c16="http://schemas.microsoft.com/office/drawing/2014/chart" uri="{C3380CC4-5D6E-409C-BE32-E72D297353CC}">
                <c16:uniqueId val="{00000015-CD7B-2F49-833A-94054995D75B}"/>
              </c:ext>
            </c:extLst>
          </c:dPt>
          <c:dPt>
            <c:idx val="32"/>
            <c:invertIfNegative val="0"/>
            <c:bubble3D val="0"/>
            <c:spPr>
              <a:solidFill>
                <a:schemeClr val="bg1">
                  <a:lumMod val="85000"/>
                </a:schemeClr>
              </a:solidFill>
            </c:spPr>
            <c:extLst>
              <c:ext xmlns:c16="http://schemas.microsoft.com/office/drawing/2014/chart" uri="{C3380CC4-5D6E-409C-BE32-E72D297353CC}">
                <c16:uniqueId val="{00000017-CD7B-2F49-833A-94054995D75B}"/>
              </c:ext>
            </c:extLst>
          </c:dPt>
          <c:dPt>
            <c:idx val="33"/>
            <c:invertIfNegative val="0"/>
            <c:bubble3D val="0"/>
            <c:spPr>
              <a:solidFill>
                <a:schemeClr val="bg1">
                  <a:lumMod val="85000"/>
                </a:schemeClr>
              </a:solidFill>
            </c:spPr>
            <c:extLst>
              <c:ext xmlns:c16="http://schemas.microsoft.com/office/drawing/2014/chart" uri="{C3380CC4-5D6E-409C-BE32-E72D297353CC}">
                <c16:uniqueId val="{00000019-CD7B-2F49-833A-94054995D75B}"/>
              </c:ext>
            </c:extLst>
          </c:dPt>
          <c:dPt>
            <c:idx val="36"/>
            <c:invertIfNegative val="0"/>
            <c:bubble3D val="0"/>
            <c:spPr>
              <a:solidFill>
                <a:schemeClr val="bg1">
                  <a:lumMod val="85000"/>
                </a:schemeClr>
              </a:solidFill>
            </c:spPr>
            <c:extLst>
              <c:ext xmlns:c16="http://schemas.microsoft.com/office/drawing/2014/chart" uri="{C3380CC4-5D6E-409C-BE32-E72D297353CC}">
                <c16:uniqueId val="{0000001B-CD7B-2F49-833A-94054995D75B}"/>
              </c:ext>
            </c:extLst>
          </c:dPt>
          <c:dPt>
            <c:idx val="39"/>
            <c:invertIfNegative val="0"/>
            <c:bubble3D val="0"/>
            <c:spPr>
              <a:solidFill>
                <a:schemeClr val="bg1">
                  <a:lumMod val="85000"/>
                </a:schemeClr>
              </a:solidFill>
            </c:spPr>
            <c:extLst>
              <c:ext xmlns:c16="http://schemas.microsoft.com/office/drawing/2014/chart" uri="{C3380CC4-5D6E-409C-BE32-E72D297353CC}">
                <c16:uniqueId val="{0000001D-CD7B-2F49-833A-94054995D75B}"/>
              </c:ext>
            </c:extLst>
          </c:dPt>
          <c:dPt>
            <c:idx val="40"/>
            <c:invertIfNegative val="0"/>
            <c:bubble3D val="0"/>
            <c:spPr>
              <a:solidFill>
                <a:schemeClr val="bg1">
                  <a:lumMod val="85000"/>
                </a:schemeClr>
              </a:solidFill>
            </c:spPr>
            <c:extLst>
              <c:ext xmlns:c16="http://schemas.microsoft.com/office/drawing/2014/chart" uri="{C3380CC4-5D6E-409C-BE32-E72D297353CC}">
                <c16:uniqueId val="{0000001F-CD7B-2F49-833A-94054995D75B}"/>
              </c:ext>
            </c:extLst>
          </c:dPt>
          <c:cat>
            <c:strRef>
              <c:f>Sheet1!$A$3:$A$43</c:f>
              <c:strCache>
                <c:ptCount val="41"/>
                <c:pt idx="0">
                  <c:v>DLR-Woolwich</c:v>
                </c:pt>
                <c:pt idx="1">
                  <c:v>DLR-City airport</c:v>
                </c:pt>
                <c:pt idx="2">
                  <c:v>Jubilee Line extension</c:v>
                </c:pt>
                <c:pt idx="3">
                  <c:v>High Speed London-Glasgow</c:v>
                </c:pt>
                <c:pt idx="4">
                  <c:v>High Speed London-Manchester</c:v>
                </c:pt>
                <c:pt idx="5">
                  <c:v>High Speed London-W Mids</c:v>
                </c:pt>
                <c:pt idx="6">
                  <c:v>London-Cardiff</c:v>
                </c:pt>
                <c:pt idx="7">
                  <c:v>Crossrail</c:v>
                </c:pt>
                <c:pt idx="8">
                  <c:v>Crossrail 2</c:v>
                </c:pt>
                <c:pt idx="9">
                  <c:v>Thameslink</c:v>
                </c:pt>
                <c:pt idx="10">
                  <c:v>Stansted access</c:v>
                </c:pt>
                <c:pt idx="12">
                  <c:v>HS2 Full</c:v>
                </c:pt>
                <c:pt idx="13">
                  <c:v>HS2 phase 2</c:v>
                </c:pt>
                <c:pt idx="15">
                  <c:v>Altrincham Interchange</c:v>
                </c:pt>
                <c:pt idx="16">
                  <c:v>Bradford Interchange </c:v>
                </c:pt>
                <c:pt idx="17">
                  <c:v>Glasgow airport rail</c:v>
                </c:pt>
                <c:pt idx="18">
                  <c:v>Newcastle Eldon Square</c:v>
                </c:pt>
                <c:pt idx="19">
                  <c:v>S Wales electrification</c:v>
                </c:pt>
                <c:pt idx="20">
                  <c:v>Doncaster QBC</c:v>
                </c:pt>
                <c:pt idx="21">
                  <c:v>Coventry Rapid</c:v>
                </c:pt>
                <c:pt idx="22">
                  <c:v>Nottingham Transit</c:v>
                </c:pt>
                <c:pt idx="23">
                  <c:v>Warrington interchange</c:v>
                </c:pt>
                <c:pt idx="24">
                  <c:v>Cambridge Guided Bus </c:v>
                </c:pt>
                <c:pt idx="25">
                  <c:v>Leeds supertram</c:v>
                </c:pt>
                <c:pt idx="26">
                  <c:v>Lakes Line</c:v>
                </c:pt>
                <c:pt idx="27">
                  <c:v>Ordsall Chord</c:v>
                </c:pt>
                <c:pt idx="28">
                  <c:v>Leeds bus improvements</c:v>
                </c:pt>
                <c:pt idx="29">
                  <c:v>S/WYorks bus improvements</c:v>
                </c:pt>
                <c:pt idx="30">
                  <c:v>SPARK Leamington</c:v>
                </c:pt>
                <c:pt idx="31">
                  <c:v>Bletchley Link 2 Public Transport Scheme </c:v>
                </c:pt>
                <c:pt idx="32">
                  <c:v>Haxby station</c:v>
                </c:pt>
                <c:pt idx="33">
                  <c:v>W Yorks bus improvements</c:v>
                </c:pt>
                <c:pt idx="34">
                  <c:v>Bristol buses</c:v>
                </c:pt>
                <c:pt idx="35">
                  <c:v>S Yorks bus improvements</c:v>
                </c:pt>
                <c:pt idx="36">
                  <c:v>Hampshire transit</c:v>
                </c:pt>
                <c:pt idx="37">
                  <c:v>MyBus W Yorks</c:v>
                </c:pt>
                <c:pt idx="38">
                  <c:v>Coleshill Multi Model Interchange </c:v>
                </c:pt>
                <c:pt idx="39">
                  <c:v>MML Sheffield</c:v>
                </c:pt>
                <c:pt idx="40">
                  <c:v>Midland Mainline</c:v>
                </c:pt>
              </c:strCache>
            </c:strRef>
          </c:cat>
          <c:val>
            <c:numRef>
              <c:f>Sheet1!$B$3:$B$43</c:f>
              <c:numCache>
                <c:formatCode>General</c:formatCode>
                <c:ptCount val="41"/>
                <c:pt idx="0">
                  <c:v>1.1000000000000001</c:v>
                </c:pt>
                <c:pt idx="1">
                  <c:v>1.7</c:v>
                </c:pt>
                <c:pt idx="2">
                  <c:v>1.7</c:v>
                </c:pt>
                <c:pt idx="3">
                  <c:v>1.9</c:v>
                </c:pt>
                <c:pt idx="4">
                  <c:v>1.9</c:v>
                </c:pt>
                <c:pt idx="5">
                  <c:v>1.9</c:v>
                </c:pt>
                <c:pt idx="6">
                  <c:v>2.2999999999999998</c:v>
                </c:pt>
                <c:pt idx="7">
                  <c:v>2.6</c:v>
                </c:pt>
                <c:pt idx="8">
                  <c:v>2.7</c:v>
                </c:pt>
                <c:pt idx="9">
                  <c:v>3</c:v>
                </c:pt>
                <c:pt idx="10">
                  <c:v>11.7</c:v>
                </c:pt>
                <c:pt idx="12">
                  <c:v>2.7</c:v>
                </c:pt>
                <c:pt idx="13">
                  <c:v>3.1</c:v>
                </c:pt>
                <c:pt idx="15">
                  <c:v>1</c:v>
                </c:pt>
                <c:pt idx="16">
                  <c:v>1</c:v>
                </c:pt>
                <c:pt idx="17">
                  <c:v>1.1000000000000001</c:v>
                </c:pt>
                <c:pt idx="18">
                  <c:v>1.2</c:v>
                </c:pt>
                <c:pt idx="19">
                  <c:v>1.4</c:v>
                </c:pt>
                <c:pt idx="20">
                  <c:v>1.7</c:v>
                </c:pt>
                <c:pt idx="21">
                  <c:v>1.9</c:v>
                </c:pt>
                <c:pt idx="22">
                  <c:v>2</c:v>
                </c:pt>
                <c:pt idx="23">
                  <c:v>2</c:v>
                </c:pt>
                <c:pt idx="24">
                  <c:v>2</c:v>
                </c:pt>
                <c:pt idx="25">
                  <c:v>2.2999999999999998</c:v>
                </c:pt>
                <c:pt idx="26">
                  <c:v>2.2999999999999998</c:v>
                </c:pt>
                <c:pt idx="27">
                  <c:v>2.5499999999999998</c:v>
                </c:pt>
                <c:pt idx="28">
                  <c:v>2.6</c:v>
                </c:pt>
                <c:pt idx="29">
                  <c:v>2.7</c:v>
                </c:pt>
                <c:pt idx="30">
                  <c:v>2.8</c:v>
                </c:pt>
                <c:pt idx="31">
                  <c:v>3.1</c:v>
                </c:pt>
                <c:pt idx="32">
                  <c:v>3</c:v>
                </c:pt>
                <c:pt idx="33">
                  <c:v>3</c:v>
                </c:pt>
                <c:pt idx="34">
                  <c:v>3.2</c:v>
                </c:pt>
                <c:pt idx="35">
                  <c:v>3.2</c:v>
                </c:pt>
                <c:pt idx="36">
                  <c:v>3.6</c:v>
                </c:pt>
                <c:pt idx="37">
                  <c:v>4</c:v>
                </c:pt>
                <c:pt idx="38">
                  <c:v>4.8</c:v>
                </c:pt>
                <c:pt idx="39">
                  <c:v>11</c:v>
                </c:pt>
                <c:pt idx="40">
                  <c:v>13.1</c:v>
                </c:pt>
              </c:numCache>
            </c:numRef>
          </c:val>
          <c:extLst>
            <c:ext xmlns:c16="http://schemas.microsoft.com/office/drawing/2014/chart" uri="{C3380CC4-5D6E-409C-BE32-E72D297353CC}">
              <c16:uniqueId val="{00000020-CD7B-2F49-833A-94054995D75B}"/>
            </c:ext>
          </c:extLst>
        </c:ser>
        <c:dLbls>
          <c:showLegendKey val="0"/>
          <c:showVal val="0"/>
          <c:showCatName val="0"/>
          <c:showSerName val="0"/>
          <c:showPercent val="0"/>
          <c:showBubbleSize val="0"/>
        </c:dLbls>
        <c:gapWidth val="84"/>
        <c:axId val="-2112965768"/>
        <c:axId val="-2113030088"/>
      </c:barChart>
      <c:catAx>
        <c:axId val="-2112965768"/>
        <c:scaling>
          <c:orientation val="minMax"/>
        </c:scaling>
        <c:delete val="0"/>
        <c:axPos val="l"/>
        <c:numFmt formatCode="General" sourceLinked="0"/>
        <c:majorTickMark val="out"/>
        <c:minorTickMark val="none"/>
        <c:tickLblPos val="nextTo"/>
        <c:crossAx val="-2113030088"/>
        <c:crosses val="autoZero"/>
        <c:auto val="1"/>
        <c:lblAlgn val="ctr"/>
        <c:lblOffset val="100"/>
        <c:noMultiLvlLbl val="0"/>
      </c:catAx>
      <c:valAx>
        <c:axId val="-2113030088"/>
        <c:scaling>
          <c:orientation val="minMax"/>
        </c:scaling>
        <c:delete val="0"/>
        <c:axPos val="b"/>
        <c:majorGridlines>
          <c:spPr>
            <a:ln>
              <a:solidFill>
                <a:schemeClr val="bg1">
                  <a:lumMod val="65000"/>
                </a:schemeClr>
              </a:solidFill>
            </a:ln>
          </c:spPr>
        </c:majorGridlines>
        <c:numFmt formatCode="General" sourceLinked="1"/>
        <c:majorTickMark val="out"/>
        <c:minorTickMark val="none"/>
        <c:tickLblPos val="nextTo"/>
        <c:crossAx val="-211296576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2ED147-7568-6441-BDDD-7ED1C97B0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8778</Words>
  <Characters>50039</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58700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2019-01-09T12:19:00Z</cp:lastPrinted>
  <dcterms:created xsi:type="dcterms:W3CDTF">2019-04-05T12:22:00Z</dcterms:created>
  <dcterms:modified xsi:type="dcterms:W3CDTF">2019-04-08T08:45:00Z</dcterms:modified>
</cp:coreProperties>
</file>