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6898E18" w14:textId="6F8F8152" w:rsidR="004F05A1" w:rsidRDefault="00511E1E" w:rsidP="00975D86">
      <w:pPr>
        <w:pStyle w:val="bodytext"/>
        <w:spacing w:before="0" w:beforeAutospacing="0" w:after="0" w:afterAutospacing="0" w:line="360" w:lineRule="auto"/>
        <w:jc w:val="both"/>
        <w:rPr>
          <w:rFonts w:ascii="Times New Roman" w:eastAsiaTheme="minorHAnsi" w:hAnsi="Times New Roman"/>
          <w:b/>
          <w:bCs/>
          <w:sz w:val="24"/>
          <w:szCs w:val="24"/>
          <w:lang w:eastAsia="en-US"/>
        </w:rPr>
      </w:pPr>
      <w:r w:rsidRPr="00511E1E">
        <w:rPr>
          <w:rFonts w:ascii="Times New Roman" w:eastAsiaTheme="minorHAnsi" w:hAnsi="Times New Roman"/>
          <w:b/>
          <w:bCs/>
          <w:sz w:val="24"/>
          <w:szCs w:val="24"/>
          <w:lang w:eastAsia="en-US"/>
        </w:rPr>
        <w:t>Association of illicit drug use in adolescence with socioeconomic and criminal justice outcomes in adulthood: prospective findings from a UK national birth cohort</w:t>
      </w:r>
    </w:p>
    <w:p w14:paraId="6F610CEA" w14:textId="77777777" w:rsidR="00511E1E" w:rsidRPr="00D1213A" w:rsidRDefault="00511E1E" w:rsidP="00975D86">
      <w:pPr>
        <w:pStyle w:val="bodytext"/>
        <w:spacing w:before="0" w:beforeAutospacing="0" w:after="0" w:afterAutospacing="0" w:line="360" w:lineRule="auto"/>
        <w:jc w:val="both"/>
        <w:rPr>
          <w:rFonts w:ascii="Times New Roman" w:hAnsi="Times New Roman"/>
          <w:sz w:val="24"/>
          <w:szCs w:val="24"/>
        </w:rPr>
      </w:pPr>
    </w:p>
    <w:p w14:paraId="7FE3F8CD" w14:textId="6DFF220B" w:rsidR="004F05A1" w:rsidRPr="00D1213A" w:rsidRDefault="004F05A1" w:rsidP="008E564C">
      <w:pPr>
        <w:pStyle w:val="bodytext"/>
        <w:spacing w:before="0" w:beforeAutospacing="0" w:after="0" w:afterAutospacing="0" w:line="360" w:lineRule="auto"/>
        <w:jc w:val="both"/>
        <w:rPr>
          <w:rFonts w:ascii="Times New Roman" w:hAnsi="Times New Roman"/>
          <w:sz w:val="24"/>
          <w:szCs w:val="24"/>
          <w:vertAlign w:val="superscript"/>
        </w:rPr>
      </w:pPr>
      <w:r w:rsidRPr="00D1213A">
        <w:rPr>
          <w:rFonts w:ascii="Times New Roman" w:hAnsi="Times New Roman"/>
          <w:sz w:val="24"/>
          <w:szCs w:val="24"/>
        </w:rPr>
        <w:t>James White,</w:t>
      </w:r>
      <w:r w:rsidRPr="00D1213A">
        <w:rPr>
          <w:rFonts w:ascii="Times New Roman" w:hAnsi="Times New Roman"/>
          <w:sz w:val="24"/>
          <w:szCs w:val="24"/>
          <w:vertAlign w:val="superscript"/>
        </w:rPr>
        <w:t xml:space="preserve"> </w:t>
      </w:r>
      <w:r w:rsidR="00C8775F">
        <w:rPr>
          <w:rFonts w:ascii="Times New Roman" w:hAnsi="Times New Roman"/>
          <w:sz w:val="24"/>
          <w:szCs w:val="24"/>
        </w:rPr>
        <w:t xml:space="preserve">Steven Bell, </w:t>
      </w:r>
      <w:r w:rsidRPr="00D1213A">
        <w:rPr>
          <w:rFonts w:ascii="Times New Roman" w:hAnsi="Times New Roman"/>
          <w:sz w:val="24"/>
          <w:szCs w:val="24"/>
        </w:rPr>
        <w:t>G. David Batty</w:t>
      </w:r>
      <w:r w:rsidRPr="00D1213A">
        <w:rPr>
          <w:rFonts w:ascii="Times New Roman" w:hAnsi="Times New Roman"/>
          <w:sz w:val="24"/>
          <w:szCs w:val="24"/>
          <w:vertAlign w:val="superscript"/>
        </w:rPr>
        <w:t xml:space="preserve"> </w:t>
      </w:r>
    </w:p>
    <w:p w14:paraId="67CCDDDC" w14:textId="77777777" w:rsidR="004F05A1" w:rsidRPr="00D1213A" w:rsidRDefault="004F05A1" w:rsidP="008E564C">
      <w:pPr>
        <w:rPr>
          <w:b/>
        </w:rPr>
      </w:pPr>
    </w:p>
    <w:p w14:paraId="6E32CA55" w14:textId="645FEA0C" w:rsidR="004F05A1" w:rsidRPr="00D1213A" w:rsidRDefault="004F05A1" w:rsidP="008E564C">
      <w:pPr>
        <w:contextualSpacing/>
      </w:pPr>
      <w:r w:rsidRPr="00D1213A">
        <w:t xml:space="preserve">James White, PhD. Centre for Trials Research, Cardiff University. 4th floor, Neuadd Meirionnydd, Heath Park, Cardiff, CF14 4YS, U.K. </w:t>
      </w:r>
      <w:hyperlink r:id="rId8" w:history="1">
        <w:r w:rsidR="001D19BF" w:rsidRPr="00AD1EC9">
          <w:rPr>
            <w:rStyle w:val="Hyperlink"/>
          </w:rPr>
          <w:t>whitej11@cf.ac.uk</w:t>
        </w:r>
      </w:hyperlink>
      <w:r w:rsidRPr="00D1213A">
        <w:rPr>
          <w:rStyle w:val="Hyperlink"/>
        </w:rPr>
        <w:t>;  orcid.org/0000-0001-8371-8453</w:t>
      </w:r>
    </w:p>
    <w:p w14:paraId="2D89048F" w14:textId="5CA6E939" w:rsidR="004F05A1" w:rsidRDefault="004F05A1" w:rsidP="008E564C">
      <w:pPr>
        <w:contextualSpacing/>
      </w:pPr>
    </w:p>
    <w:p w14:paraId="4582EF03" w14:textId="5524B6A4" w:rsidR="0048448A" w:rsidRDefault="0048448A" w:rsidP="0048448A">
      <w:pPr>
        <w:contextualSpacing/>
      </w:pPr>
      <w:r w:rsidRPr="0048448A">
        <w:t>Steven Bell</w:t>
      </w:r>
      <w:r>
        <w:t>, PhD. Cardiovascular Epidemiology Unit, Department of Public Health and Primary Care, University of Cambridge, Cambridge, UK and The National Institute for Health Research Blood and Transplant Unit in Donor Health and Genomics at the University of Cambridge, Cambridge, UK</w:t>
      </w:r>
      <w:r w:rsidR="00F750A0">
        <w:t xml:space="preserve">. </w:t>
      </w:r>
      <w:hyperlink r:id="rId9" w:history="1">
        <w:r w:rsidR="00F750A0" w:rsidRPr="005B599F">
          <w:rPr>
            <w:rStyle w:val="Hyperlink"/>
          </w:rPr>
          <w:t>scb81@medschl.cam.ac.uk</w:t>
        </w:r>
      </w:hyperlink>
      <w:r w:rsidR="00F750A0">
        <w:t>.</w:t>
      </w:r>
    </w:p>
    <w:p w14:paraId="7648EDBE" w14:textId="77777777" w:rsidR="0048448A" w:rsidRDefault="0048448A" w:rsidP="008E564C">
      <w:pPr>
        <w:spacing w:after="0"/>
      </w:pPr>
    </w:p>
    <w:p w14:paraId="7C80A827" w14:textId="4B181776" w:rsidR="004F05A1" w:rsidRPr="00D1213A" w:rsidRDefault="004F05A1" w:rsidP="008E564C">
      <w:pPr>
        <w:spacing w:after="0"/>
      </w:pPr>
      <w:r w:rsidRPr="00D1213A">
        <w:t xml:space="preserve">G. David Batty, DSc. Department of Epidemiology and Public Health, University College London, London, WC1E 7HB, UK. </w:t>
      </w:r>
      <w:hyperlink r:id="rId10" w:history="1">
        <w:r w:rsidRPr="00D1213A">
          <w:rPr>
            <w:rStyle w:val="Hyperlink"/>
          </w:rPr>
          <w:t>david.batty@ucl.ac.uk</w:t>
        </w:r>
      </w:hyperlink>
      <w:r w:rsidR="00B7039F">
        <w:t xml:space="preserve">; </w:t>
      </w:r>
      <w:r w:rsidR="00B7039F" w:rsidRPr="00B7039F">
        <w:t>School of Biological and Population Health Sciences, Oregon State University, Corvallis, Oregon, USA</w:t>
      </w:r>
      <w:r w:rsidR="00B7039F">
        <w:t>.</w:t>
      </w:r>
    </w:p>
    <w:p w14:paraId="36CAA17F" w14:textId="77777777" w:rsidR="004F05A1" w:rsidRPr="00D1213A" w:rsidRDefault="004F05A1" w:rsidP="008E564C">
      <w:pPr>
        <w:contextualSpacing/>
      </w:pPr>
    </w:p>
    <w:p w14:paraId="3C844263" w14:textId="75008E02" w:rsidR="00A14E19" w:rsidRPr="00B91D68" w:rsidRDefault="00A14E19" w:rsidP="0010014A">
      <w:pPr>
        <w:jc w:val="both"/>
        <w:rPr>
          <w:b/>
          <w:lang w:val="en-US"/>
        </w:rPr>
      </w:pPr>
      <w:r w:rsidRPr="00F11CDF">
        <w:rPr>
          <w:b/>
          <w:lang w:val="en-US"/>
        </w:rPr>
        <w:t>Manuscript statistics</w:t>
      </w:r>
      <w:r w:rsidRPr="00F11CDF">
        <w:rPr>
          <w:lang w:val="en-US"/>
        </w:rPr>
        <w:t xml:space="preserve">:  </w:t>
      </w:r>
      <w:r w:rsidR="00F11CDF" w:rsidRPr="00F11CDF">
        <w:rPr>
          <w:lang w:val="en-US"/>
        </w:rPr>
        <w:t>2021</w:t>
      </w:r>
      <w:r w:rsidR="0010014A" w:rsidRPr="00F11CDF">
        <w:rPr>
          <w:lang w:val="en-US"/>
        </w:rPr>
        <w:t xml:space="preserve"> </w:t>
      </w:r>
      <w:r w:rsidRPr="00F11CDF">
        <w:rPr>
          <w:lang w:val="en-US"/>
        </w:rPr>
        <w:t xml:space="preserve">words (excluding abstract of </w:t>
      </w:r>
      <w:r w:rsidR="0010014A" w:rsidRPr="00F11CDF">
        <w:rPr>
          <w:lang w:val="en-US"/>
        </w:rPr>
        <w:t>227</w:t>
      </w:r>
      <w:r w:rsidRPr="00F11CDF">
        <w:rPr>
          <w:lang w:val="en-US"/>
        </w:rPr>
        <w:t xml:space="preserve">), </w:t>
      </w:r>
      <w:r w:rsidR="002B4216" w:rsidRPr="00F11CDF">
        <w:rPr>
          <w:lang w:val="en-US"/>
        </w:rPr>
        <w:t>1</w:t>
      </w:r>
      <w:r w:rsidRPr="00F11CDF">
        <w:rPr>
          <w:lang w:val="en-US"/>
        </w:rPr>
        <w:t xml:space="preserve"> figure,</w:t>
      </w:r>
      <w:r w:rsidR="002B4216" w:rsidRPr="00F11CDF">
        <w:rPr>
          <w:lang w:val="en-US"/>
        </w:rPr>
        <w:t xml:space="preserve"> 1 table,</w:t>
      </w:r>
      <w:r w:rsidRPr="00F11CDF">
        <w:rPr>
          <w:lang w:val="en-US"/>
        </w:rPr>
        <w:t xml:space="preserve"> </w:t>
      </w:r>
      <w:r w:rsidR="002B4216" w:rsidRPr="00F11CDF">
        <w:rPr>
          <w:lang w:val="en-US"/>
        </w:rPr>
        <w:t>28</w:t>
      </w:r>
      <w:r w:rsidRPr="00F11CDF">
        <w:rPr>
          <w:lang w:val="en-US"/>
        </w:rPr>
        <w:t xml:space="preserve"> references</w:t>
      </w:r>
      <w:r w:rsidRPr="00B91D68">
        <w:rPr>
          <w:b/>
          <w:lang w:val="en-US"/>
        </w:rPr>
        <w:t xml:space="preserve">  </w:t>
      </w:r>
    </w:p>
    <w:p w14:paraId="38F3B173" w14:textId="77777777" w:rsidR="00A14E19" w:rsidRPr="00B91D68" w:rsidRDefault="00A14E19" w:rsidP="00A14E19">
      <w:pPr>
        <w:rPr>
          <w:lang w:val="en-US"/>
        </w:rPr>
      </w:pPr>
      <w:r w:rsidRPr="00B91D68">
        <w:rPr>
          <w:lang w:val="en-US"/>
        </w:rPr>
        <w:t xml:space="preserve">Correspondence </w:t>
      </w:r>
      <w:proofErr w:type="gramStart"/>
      <w:r w:rsidRPr="00B91D68">
        <w:rPr>
          <w:lang w:val="en-US"/>
        </w:rPr>
        <w:t>to:</w:t>
      </w:r>
      <w:proofErr w:type="gramEnd"/>
      <w:r w:rsidRPr="00B91D68">
        <w:rPr>
          <w:lang w:val="en-US"/>
        </w:rPr>
        <w:t xml:space="preserve"> Dr James White</w:t>
      </w:r>
    </w:p>
    <w:p w14:paraId="77EB4850" w14:textId="77777777" w:rsidR="00A14E19" w:rsidRPr="00B91D68" w:rsidRDefault="00A14E19" w:rsidP="00A14E19">
      <w:pPr>
        <w:rPr>
          <w:lang w:val="en-US"/>
        </w:rPr>
      </w:pPr>
      <w:r>
        <w:rPr>
          <w:lang w:val="en-US"/>
        </w:rPr>
        <w:t>4</w:t>
      </w:r>
      <w:r w:rsidRPr="00B91D68">
        <w:rPr>
          <w:vertAlign w:val="superscript"/>
          <w:lang w:val="en-US"/>
        </w:rPr>
        <w:t>th</w:t>
      </w:r>
      <w:r w:rsidRPr="00B91D68">
        <w:rPr>
          <w:lang w:val="en-US"/>
        </w:rPr>
        <w:t xml:space="preserve"> floor </w:t>
      </w:r>
      <w:proofErr w:type="spellStart"/>
      <w:r w:rsidRPr="00B91D68">
        <w:rPr>
          <w:lang w:val="en-US"/>
        </w:rPr>
        <w:t>Neaudd</w:t>
      </w:r>
      <w:proofErr w:type="spellEnd"/>
      <w:r w:rsidRPr="00B91D68">
        <w:rPr>
          <w:lang w:val="en-US"/>
        </w:rPr>
        <w:t xml:space="preserve"> </w:t>
      </w:r>
      <w:proofErr w:type="spellStart"/>
      <w:r w:rsidRPr="00B91D68">
        <w:rPr>
          <w:lang w:val="en-US"/>
        </w:rPr>
        <w:t>Merinionydd</w:t>
      </w:r>
      <w:proofErr w:type="spellEnd"/>
      <w:r w:rsidRPr="00B91D68">
        <w:rPr>
          <w:lang w:val="en-US"/>
        </w:rPr>
        <w:t>,</w:t>
      </w:r>
    </w:p>
    <w:p w14:paraId="18422677" w14:textId="77777777" w:rsidR="00A14E19" w:rsidRPr="00B91D68" w:rsidRDefault="00A14E19" w:rsidP="00A14E19">
      <w:pPr>
        <w:rPr>
          <w:lang w:val="en-US"/>
        </w:rPr>
      </w:pPr>
      <w:r w:rsidRPr="00B91D68">
        <w:rPr>
          <w:lang w:val="en-US"/>
        </w:rPr>
        <w:t>Centre for Trials Research,</w:t>
      </w:r>
    </w:p>
    <w:p w14:paraId="3CCA7162" w14:textId="77777777" w:rsidR="00A14E19" w:rsidRPr="00B91D68" w:rsidRDefault="00A14E19" w:rsidP="00A14E19">
      <w:pPr>
        <w:rPr>
          <w:lang w:val="en-US"/>
        </w:rPr>
      </w:pPr>
      <w:r w:rsidRPr="00B91D68">
        <w:rPr>
          <w:lang w:val="en-US"/>
        </w:rPr>
        <w:t>College of Biomedical and Life Sciences,</w:t>
      </w:r>
    </w:p>
    <w:p w14:paraId="3D6C8163" w14:textId="77777777" w:rsidR="00A14E19" w:rsidRPr="00B91D68" w:rsidRDefault="00A14E19" w:rsidP="00A14E19">
      <w:pPr>
        <w:rPr>
          <w:lang w:val="en-US"/>
        </w:rPr>
      </w:pPr>
      <w:r w:rsidRPr="00B91D68">
        <w:rPr>
          <w:lang w:val="en-US"/>
        </w:rPr>
        <w:t>Cardiff University,</w:t>
      </w:r>
    </w:p>
    <w:p w14:paraId="06AC8311" w14:textId="77777777" w:rsidR="00A14E19" w:rsidRPr="00B91D68" w:rsidRDefault="00A14E19" w:rsidP="00A14E19">
      <w:pPr>
        <w:rPr>
          <w:lang w:val="en-US"/>
        </w:rPr>
      </w:pPr>
      <w:r w:rsidRPr="00B91D68">
        <w:rPr>
          <w:lang w:val="en-US"/>
        </w:rPr>
        <w:t xml:space="preserve">Cardiff. </w:t>
      </w:r>
    </w:p>
    <w:p w14:paraId="232CDD52" w14:textId="77777777" w:rsidR="00A14E19" w:rsidRPr="00B91D68" w:rsidRDefault="00A14E19" w:rsidP="00A14E19">
      <w:pPr>
        <w:rPr>
          <w:lang w:val="en-US"/>
        </w:rPr>
      </w:pPr>
      <w:r w:rsidRPr="00B91D68">
        <w:rPr>
          <w:lang w:val="en-US"/>
        </w:rPr>
        <w:t xml:space="preserve">CF14 4YS. </w:t>
      </w:r>
    </w:p>
    <w:p w14:paraId="0B336AD5" w14:textId="77777777" w:rsidR="00A14E19" w:rsidRPr="00B91D68" w:rsidRDefault="00A14E19" w:rsidP="00A14E19">
      <w:pPr>
        <w:rPr>
          <w:lang w:val="en-US"/>
        </w:rPr>
      </w:pPr>
      <w:r w:rsidRPr="00B91D68">
        <w:rPr>
          <w:lang w:val="en-US"/>
        </w:rPr>
        <w:t xml:space="preserve">Wales, United Kingdom. </w:t>
      </w:r>
    </w:p>
    <w:p w14:paraId="4E963143" w14:textId="77777777" w:rsidR="00A14E19" w:rsidRPr="00B91D68" w:rsidRDefault="00A14E19" w:rsidP="00A14E19">
      <w:pPr>
        <w:rPr>
          <w:lang w:val="en-US"/>
        </w:rPr>
      </w:pPr>
      <w:r w:rsidRPr="00B91D68">
        <w:rPr>
          <w:lang w:val="en-US"/>
        </w:rPr>
        <w:t xml:space="preserve">Email: </w:t>
      </w:r>
      <w:hyperlink r:id="rId11" w:history="1">
        <w:r w:rsidRPr="00B91D68">
          <w:rPr>
            <w:rStyle w:val="Hyperlink"/>
            <w:lang w:val="en-US"/>
          </w:rPr>
          <w:t>whitej11@cf.ac.uk</w:t>
        </w:r>
      </w:hyperlink>
      <w:r w:rsidRPr="00B91D68">
        <w:rPr>
          <w:lang w:val="en-US"/>
        </w:rPr>
        <w:t xml:space="preserve"> </w:t>
      </w:r>
    </w:p>
    <w:p w14:paraId="618BAC47" w14:textId="77777777" w:rsidR="00A14E19" w:rsidRPr="00B91D68" w:rsidRDefault="00A14E19" w:rsidP="00A14E19">
      <w:pPr>
        <w:rPr>
          <w:color w:val="000000"/>
          <w:lang w:val="en-US"/>
        </w:rPr>
      </w:pPr>
      <w:r w:rsidRPr="00B91D68">
        <w:rPr>
          <w:color w:val="000000"/>
          <w:lang w:val="en-US"/>
        </w:rPr>
        <w:lastRenderedPageBreak/>
        <w:t>Tel:         +44 (0) 29 20 687054</w:t>
      </w:r>
      <w:r w:rsidRPr="00B91D68">
        <w:rPr>
          <w:color w:val="000000"/>
          <w:lang w:val="en-US"/>
        </w:rPr>
        <w:br/>
        <w:t xml:space="preserve">Fax:        +44 (0) 29 20 687236 </w:t>
      </w:r>
    </w:p>
    <w:p w14:paraId="465D1A73" w14:textId="77777777" w:rsidR="00A14E19" w:rsidRPr="00B91D68" w:rsidRDefault="00A14E19" w:rsidP="00A14E19">
      <w:pPr>
        <w:jc w:val="both"/>
        <w:rPr>
          <w:lang w:val="en-US"/>
        </w:rPr>
      </w:pPr>
    </w:p>
    <w:p w14:paraId="7CCC94E0" w14:textId="77777777" w:rsidR="00A14E19" w:rsidRPr="003517B4" w:rsidRDefault="00A14E19" w:rsidP="00A14E19">
      <w:pPr>
        <w:jc w:val="both"/>
        <w:rPr>
          <w:b/>
          <w:lang w:val="en-US"/>
        </w:rPr>
      </w:pPr>
      <w:r w:rsidRPr="003517B4">
        <w:rPr>
          <w:b/>
          <w:lang w:val="en-US"/>
        </w:rPr>
        <w:t>What is already known on this subject</w:t>
      </w:r>
    </w:p>
    <w:p w14:paraId="05B6E2F2" w14:textId="150AFF5E" w:rsidR="00B339FA" w:rsidRDefault="00B339FA" w:rsidP="00A14E19">
      <w:pPr>
        <w:jc w:val="both"/>
      </w:pPr>
      <w:r w:rsidRPr="00D1213A">
        <w:t xml:space="preserve">Illicit drug use in adolescence </w:t>
      </w:r>
      <w:r w:rsidR="003517B4">
        <w:t xml:space="preserve">has </w:t>
      </w:r>
      <w:r w:rsidR="007F6DE7">
        <w:t xml:space="preserve">previously </w:t>
      </w:r>
      <w:r w:rsidR="003517B4">
        <w:t>been</w:t>
      </w:r>
      <w:r>
        <w:t xml:space="preserve"> </w:t>
      </w:r>
      <w:r w:rsidR="007F6DE7">
        <w:t xml:space="preserve">shown to be </w:t>
      </w:r>
      <w:r>
        <w:t xml:space="preserve">associated with </w:t>
      </w:r>
      <w:r w:rsidR="007F6DE7">
        <w:t xml:space="preserve">an </w:t>
      </w:r>
      <w:r>
        <w:t xml:space="preserve">increased risk of </w:t>
      </w:r>
      <w:r w:rsidRPr="00D1213A">
        <w:t>drug use</w:t>
      </w:r>
      <w:r w:rsidR="002C2A61">
        <w:t xml:space="preserve">, delinquency, violence </w:t>
      </w:r>
      <w:r>
        <w:t xml:space="preserve">and poor </w:t>
      </w:r>
      <w:r w:rsidRPr="00D1213A">
        <w:t>mental health</w:t>
      </w:r>
      <w:r>
        <w:t xml:space="preserve"> </w:t>
      </w:r>
      <w:r w:rsidR="007F6DE7">
        <w:t xml:space="preserve">during </w:t>
      </w:r>
      <w:r>
        <w:t>adult</w:t>
      </w:r>
      <w:r w:rsidR="007F6DE7">
        <w:t>hood</w:t>
      </w:r>
      <w:r w:rsidRPr="00D1213A">
        <w:t>.</w:t>
      </w:r>
    </w:p>
    <w:p w14:paraId="2C40CBEC" w14:textId="77777777" w:rsidR="00AE43A9" w:rsidRDefault="00AE43A9" w:rsidP="003517B4">
      <w:pPr>
        <w:jc w:val="both"/>
      </w:pPr>
    </w:p>
    <w:p w14:paraId="4BC53FA5" w14:textId="61F36C8C" w:rsidR="003517B4" w:rsidRDefault="003517B4" w:rsidP="003517B4">
      <w:pPr>
        <w:jc w:val="both"/>
        <w:rPr>
          <w:highlight w:val="yellow"/>
        </w:rPr>
      </w:pPr>
      <w:r>
        <w:t>Few studies have</w:t>
      </w:r>
      <w:r w:rsidR="00AE43A9">
        <w:t xml:space="preserve"> </w:t>
      </w:r>
      <w:r>
        <w:t xml:space="preserve">examined associations between adolescent illicit drug use with adult </w:t>
      </w:r>
      <w:r w:rsidR="00602C35">
        <w:t xml:space="preserve">social, </w:t>
      </w:r>
      <w:r>
        <w:t xml:space="preserve">economic, and criminal justice outcomes. </w:t>
      </w:r>
    </w:p>
    <w:p w14:paraId="641AEAE4" w14:textId="77777777" w:rsidR="00A14E19" w:rsidRPr="00A14E19" w:rsidRDefault="00A14E19" w:rsidP="00A14E19">
      <w:pPr>
        <w:jc w:val="both"/>
        <w:rPr>
          <w:b/>
          <w:highlight w:val="yellow"/>
          <w:lang w:val="en-US"/>
        </w:rPr>
      </w:pPr>
    </w:p>
    <w:p w14:paraId="77B21CEB" w14:textId="15F5937D" w:rsidR="00A14E19" w:rsidRPr="003517B4" w:rsidRDefault="00A14E19" w:rsidP="00A14E19">
      <w:pPr>
        <w:jc w:val="both"/>
        <w:rPr>
          <w:b/>
          <w:lang w:val="en-US"/>
        </w:rPr>
      </w:pPr>
      <w:r w:rsidRPr="003517B4">
        <w:rPr>
          <w:b/>
          <w:lang w:val="en-US"/>
        </w:rPr>
        <w:t>What this study adds</w:t>
      </w:r>
    </w:p>
    <w:p w14:paraId="5F8AE107" w14:textId="7BD6C25F" w:rsidR="00AE43A9" w:rsidRDefault="00602C35" w:rsidP="00AE43A9">
      <w:pPr>
        <w:jc w:val="both"/>
      </w:pPr>
      <w:r>
        <w:t>We found new links between i</w:t>
      </w:r>
      <w:r w:rsidR="003517B4">
        <w:t xml:space="preserve">llicit </w:t>
      </w:r>
      <w:r w:rsidR="003517B4" w:rsidRPr="00D1213A">
        <w:t>drug use</w:t>
      </w:r>
      <w:r w:rsidR="003517B4">
        <w:t xml:space="preserve"> in adolescence</w:t>
      </w:r>
      <w:r w:rsidR="003517B4" w:rsidRPr="003517B4">
        <w:rPr>
          <w:lang w:val="en-US"/>
        </w:rPr>
        <w:t xml:space="preserve"> </w:t>
      </w:r>
      <w:r>
        <w:rPr>
          <w:lang w:val="en-US"/>
        </w:rPr>
        <w:t>and an</w:t>
      </w:r>
      <w:r w:rsidR="007F6DE7">
        <w:rPr>
          <w:lang w:val="en-US"/>
        </w:rPr>
        <w:t xml:space="preserve"> </w:t>
      </w:r>
      <w:r w:rsidR="003517B4">
        <w:rPr>
          <w:lang w:val="en-US"/>
        </w:rPr>
        <w:t>increased risk of</w:t>
      </w:r>
      <w:r w:rsidR="003517B4">
        <w:t xml:space="preserve"> </w:t>
      </w:r>
      <w:r w:rsidR="003517B4" w:rsidRPr="00D1213A">
        <w:t>experiencing homelessness</w:t>
      </w:r>
      <w:r w:rsidR="003517B4">
        <w:t xml:space="preserve">, </w:t>
      </w:r>
      <w:r w:rsidR="003517B4" w:rsidRPr="00D1213A">
        <w:t xml:space="preserve">being </w:t>
      </w:r>
      <w:r w:rsidR="003517B4">
        <w:t>arrested and</w:t>
      </w:r>
      <w:r w:rsidR="007F6DE7">
        <w:t>/or</w:t>
      </w:r>
      <w:r w:rsidR="003517B4">
        <w:t xml:space="preserve"> </w:t>
      </w:r>
      <w:r w:rsidR="003517B4" w:rsidRPr="00D1213A">
        <w:t xml:space="preserve">cautioned by the police, and </w:t>
      </w:r>
      <w:r w:rsidR="003517B4">
        <w:t xml:space="preserve">being </w:t>
      </w:r>
      <w:r w:rsidR="003517B4" w:rsidRPr="00D1213A">
        <w:t>found guilty at court.</w:t>
      </w:r>
      <w:r w:rsidR="00AE43A9">
        <w:t xml:space="preserve"> These associations</w:t>
      </w:r>
      <w:r w:rsidR="00AE43A9" w:rsidRPr="00D1213A">
        <w:t xml:space="preserve"> w</w:t>
      </w:r>
      <w:r w:rsidR="00AE43A9">
        <w:t xml:space="preserve">ere </w:t>
      </w:r>
      <w:r w:rsidR="00AE43A9" w:rsidRPr="00D1213A">
        <w:t>not explained by parental socioeconomic status or psychological morbidity in adolescence.</w:t>
      </w:r>
    </w:p>
    <w:p w14:paraId="576313FB" w14:textId="77777777" w:rsidR="00DC273E" w:rsidRDefault="00DC273E" w:rsidP="00AE43A9"/>
    <w:p w14:paraId="2BEF1DA1" w14:textId="30D430DB" w:rsidR="00AE43A9" w:rsidRPr="00D1213A" w:rsidRDefault="00AE43A9" w:rsidP="00AE43A9">
      <w:r>
        <w:t>I</w:t>
      </w:r>
      <w:r w:rsidRPr="00D1213A">
        <w:t>llicit drug use</w:t>
      </w:r>
      <w:r>
        <w:t xml:space="preserve"> in adolescence may </w:t>
      </w:r>
      <w:r w:rsidRPr="00D1213A">
        <w:t xml:space="preserve">contribute to the development of health and economic inequalities in the transition to adulthood. </w:t>
      </w:r>
    </w:p>
    <w:p w14:paraId="317381BA" w14:textId="77777777" w:rsidR="002B4216" w:rsidRPr="003517B4" w:rsidRDefault="002B4216" w:rsidP="003517B4">
      <w:pPr>
        <w:jc w:val="both"/>
        <w:rPr>
          <w:lang w:val="en-US"/>
        </w:rPr>
      </w:pPr>
    </w:p>
    <w:p w14:paraId="103E9461" w14:textId="77777777" w:rsidR="003517B4" w:rsidRDefault="003517B4" w:rsidP="00A14E19">
      <w:pPr>
        <w:jc w:val="both"/>
        <w:rPr>
          <w:rFonts w:ascii="AdvOT6520a694" w:hAnsi="AdvOT6520a694" w:cs="AdvOT6520a694"/>
          <w:sz w:val="19"/>
          <w:szCs w:val="19"/>
        </w:rPr>
      </w:pPr>
    </w:p>
    <w:p w14:paraId="13C97D5F" w14:textId="44A0929E" w:rsidR="004F05A1" w:rsidRPr="00D1213A" w:rsidRDefault="004F05A1" w:rsidP="008E564C">
      <w:pPr>
        <w:contextualSpacing/>
      </w:pPr>
      <w:r w:rsidRPr="00D1213A">
        <w:br w:type="page"/>
      </w:r>
    </w:p>
    <w:p w14:paraId="057C1197" w14:textId="77777777" w:rsidR="00D77155" w:rsidRPr="00D1213A" w:rsidRDefault="00D77155" w:rsidP="00D77155">
      <w:pPr>
        <w:spacing w:after="200"/>
        <w:rPr>
          <w:b/>
        </w:rPr>
      </w:pPr>
      <w:r w:rsidRPr="00D1213A">
        <w:rPr>
          <w:b/>
        </w:rPr>
        <w:lastRenderedPageBreak/>
        <w:t>Abstract</w:t>
      </w:r>
    </w:p>
    <w:p w14:paraId="0069569C" w14:textId="02EA9D8B" w:rsidR="002B4216" w:rsidRDefault="00A14E19" w:rsidP="00D77155">
      <w:pPr>
        <w:spacing w:after="200"/>
        <w:rPr>
          <w:bCs/>
        </w:rPr>
      </w:pPr>
      <w:bookmarkStart w:id="0" w:name="_Hlk29386544"/>
      <w:r>
        <w:rPr>
          <w:b/>
        </w:rPr>
        <w:t xml:space="preserve">Background: </w:t>
      </w:r>
      <w:r w:rsidRPr="00A14E19">
        <w:rPr>
          <w:bCs/>
        </w:rPr>
        <w:t>Illicit</w:t>
      </w:r>
      <w:r>
        <w:rPr>
          <w:bCs/>
        </w:rPr>
        <w:t xml:space="preserve"> drug use in adolescence has been linked to drug use and poor mental health in adult life, </w:t>
      </w:r>
      <w:r w:rsidR="00E73812">
        <w:rPr>
          <w:bCs/>
        </w:rPr>
        <w:t xml:space="preserve">but </w:t>
      </w:r>
      <w:r>
        <w:rPr>
          <w:bCs/>
        </w:rPr>
        <w:t xml:space="preserve">few studies have examined the relation with </w:t>
      </w:r>
      <w:r w:rsidR="002B4216" w:rsidRPr="002B4216">
        <w:rPr>
          <w:bCs/>
        </w:rPr>
        <w:t>adult economic and criminal justice outcomes</w:t>
      </w:r>
      <w:r w:rsidR="002B4216">
        <w:rPr>
          <w:bCs/>
        </w:rPr>
        <w:t>.</w:t>
      </w:r>
    </w:p>
    <w:p w14:paraId="74248A40" w14:textId="767EAC93" w:rsidR="00D77155" w:rsidRPr="00D1213A" w:rsidRDefault="00A14E19" w:rsidP="00D77155">
      <w:pPr>
        <w:spacing w:after="200"/>
      </w:pPr>
      <w:r>
        <w:rPr>
          <w:b/>
        </w:rPr>
        <w:t xml:space="preserve">Methods: </w:t>
      </w:r>
      <w:r w:rsidR="00A01FC9">
        <w:rPr>
          <w:bCs/>
        </w:rPr>
        <w:t xml:space="preserve">We analysed data from </w:t>
      </w:r>
      <w:r w:rsidR="00A01FC9" w:rsidRPr="00D1213A">
        <w:t xml:space="preserve">14,082 participants (6,999 women) </w:t>
      </w:r>
      <w:r w:rsidR="00A01FC9">
        <w:t xml:space="preserve">in the 1970 </w:t>
      </w:r>
      <w:r w:rsidR="00A01FC9" w:rsidRPr="00D1213A">
        <w:t>British Birth Cohort Study with data at 16 and 30 years of age.</w:t>
      </w:r>
      <w:r w:rsidR="00A01FC9">
        <w:t xml:space="preserve"> </w:t>
      </w:r>
      <w:r w:rsidR="00200764">
        <w:rPr>
          <w:bCs/>
        </w:rPr>
        <w:t>I</w:t>
      </w:r>
      <w:r w:rsidR="00D77155" w:rsidRPr="00D1213A">
        <w:t>llicit drug use</w:t>
      </w:r>
      <w:r w:rsidR="00B613EC">
        <w:t xml:space="preserve"> </w:t>
      </w:r>
      <w:r w:rsidR="00200764">
        <w:t xml:space="preserve">over </w:t>
      </w:r>
      <w:r w:rsidR="00B7039F">
        <w:t xml:space="preserve">study members’ </w:t>
      </w:r>
      <w:r w:rsidR="00200764">
        <w:t>lifetime and</w:t>
      </w:r>
      <w:r w:rsidR="00B613EC">
        <w:t xml:space="preserve"> in the past year</w:t>
      </w:r>
      <w:r w:rsidR="00D77155" w:rsidRPr="00D1213A">
        <w:t xml:space="preserve"> </w:t>
      </w:r>
      <w:r w:rsidR="00200764">
        <w:t>were self-reported</w:t>
      </w:r>
      <w:r w:rsidR="00B613EC">
        <w:t xml:space="preserve"> </w:t>
      </w:r>
      <w:r w:rsidR="00D77155" w:rsidRPr="00D1213A">
        <w:t xml:space="preserve">at 16-years of age. </w:t>
      </w:r>
      <w:r w:rsidR="002C2A61">
        <w:t xml:space="preserve">Thirteen </w:t>
      </w:r>
      <w:r w:rsidR="00D77155" w:rsidRPr="00D1213A">
        <w:t>outcomes</w:t>
      </w:r>
      <w:r w:rsidR="00305EEB">
        <w:t xml:space="preserve"> were</w:t>
      </w:r>
      <w:r w:rsidR="00D77155" w:rsidRPr="00D1213A">
        <w:t xml:space="preserve"> self-reported at 30-years of age, </w:t>
      </w:r>
      <w:r w:rsidR="00263192">
        <w:t xml:space="preserve">including </w:t>
      </w:r>
      <w:r w:rsidR="00D77155" w:rsidRPr="00D1213A">
        <w:t xml:space="preserve">illicit drug use, smoking, problems with alcohol, mental </w:t>
      </w:r>
      <w:r w:rsidR="00200764">
        <w:t xml:space="preserve">and physical </w:t>
      </w:r>
      <w:r w:rsidR="00D77155" w:rsidRPr="00D1213A">
        <w:t>health,</w:t>
      </w:r>
      <w:r w:rsidR="00B01C14">
        <w:t xml:space="preserve"> experience of socioeconomic disadvantage, and </w:t>
      </w:r>
      <w:r w:rsidR="002C2A61">
        <w:t xml:space="preserve">experiences </w:t>
      </w:r>
      <w:r w:rsidR="00B01C14">
        <w:t xml:space="preserve">with the criminal justice system.  </w:t>
      </w:r>
    </w:p>
    <w:p w14:paraId="38D8B987" w14:textId="04D69704" w:rsidR="00D77155" w:rsidRPr="00D1213A" w:rsidRDefault="00A01FC9" w:rsidP="00D77155">
      <w:pPr>
        <w:spacing w:after="200"/>
      </w:pPr>
      <w:r>
        <w:rPr>
          <w:b/>
        </w:rPr>
        <w:t>Results:</w:t>
      </w:r>
      <w:r w:rsidR="00D77155" w:rsidRPr="00D1213A">
        <w:rPr>
          <w:b/>
        </w:rPr>
        <w:t xml:space="preserve"> </w:t>
      </w:r>
      <w:r w:rsidR="005C625D">
        <w:rPr>
          <w:b/>
        </w:rPr>
        <w:t xml:space="preserve"> </w:t>
      </w:r>
      <w:r w:rsidR="00D77155" w:rsidRPr="00D1213A">
        <w:t>At 16</w:t>
      </w:r>
      <w:r w:rsidR="00B7039F">
        <w:t xml:space="preserve"> </w:t>
      </w:r>
      <w:r w:rsidR="00D77155" w:rsidRPr="00D1213A">
        <w:t>years</w:t>
      </w:r>
      <w:r w:rsidR="00B7039F">
        <w:t xml:space="preserve"> of age</w:t>
      </w:r>
      <w:r w:rsidR="00D77155" w:rsidRPr="00D1213A">
        <w:t xml:space="preserve">, 20.3% of participants had ever tried an illicit drug </w:t>
      </w:r>
      <w:r w:rsidR="00305EEB">
        <w:t xml:space="preserve">and </w:t>
      </w:r>
      <w:r w:rsidR="00D77155" w:rsidRPr="00D1213A">
        <w:t xml:space="preserve">7.2% </w:t>
      </w:r>
      <w:r w:rsidR="00305EEB">
        <w:t>had used</w:t>
      </w:r>
      <w:r w:rsidR="00D77155" w:rsidRPr="00D1213A">
        <w:t xml:space="preserve"> in the past year. After adjustment for </w:t>
      </w:r>
      <w:r w:rsidR="00B7039F">
        <w:t>parental socioeconomic status and childhood mental health</w:t>
      </w:r>
      <w:r w:rsidR="00B613EC">
        <w:t xml:space="preserve"> </w:t>
      </w:r>
      <w:r w:rsidR="00B7039F">
        <w:t xml:space="preserve">problems, </w:t>
      </w:r>
      <w:r w:rsidR="00B613EC">
        <w:t xml:space="preserve">and </w:t>
      </w:r>
      <w:r w:rsidR="00B7039F">
        <w:t xml:space="preserve">following correction for </w:t>
      </w:r>
      <w:r w:rsidR="00B613EC">
        <w:t>multiple testing</w:t>
      </w:r>
      <w:r w:rsidR="00D77155" w:rsidRPr="00D1213A">
        <w:t xml:space="preserve">, </w:t>
      </w:r>
      <w:r w:rsidR="00B613EC">
        <w:t>there was a dose</w:t>
      </w:r>
      <w:r w:rsidR="00B7039F">
        <w:t>-</w:t>
      </w:r>
      <w:r w:rsidR="00B613EC">
        <w:t xml:space="preserve">response association between </w:t>
      </w:r>
      <w:r w:rsidR="00D77155" w:rsidRPr="00D1213A">
        <w:t>illicit drug use</w:t>
      </w:r>
      <w:r w:rsidR="008919C6">
        <w:t xml:space="preserve"> </w:t>
      </w:r>
      <w:r w:rsidR="00D77155" w:rsidRPr="00D1213A">
        <w:t xml:space="preserve">at 16-years with illicit drug use in </w:t>
      </w:r>
      <w:r w:rsidR="00200764">
        <w:t xml:space="preserve">adult life </w:t>
      </w:r>
      <w:r w:rsidR="00D77155" w:rsidRPr="00D1213A">
        <w:t xml:space="preserve">the past year (odds ratio; 95% confidence interval: </w:t>
      </w:r>
      <w:r w:rsidR="00B613EC">
        <w:t>1.83</w:t>
      </w:r>
      <w:r w:rsidR="00D77155" w:rsidRPr="00D1213A">
        <w:t>, 1.</w:t>
      </w:r>
      <w:r w:rsidR="00B613EC">
        <w:t>51</w:t>
      </w:r>
      <w:r w:rsidR="00D77155" w:rsidRPr="00D1213A">
        <w:t xml:space="preserve"> to 3.12), experiencing homelessness (</w:t>
      </w:r>
      <w:r w:rsidR="00B613EC">
        <w:t>1.74</w:t>
      </w:r>
      <w:r w:rsidR="00D77155" w:rsidRPr="00D1213A">
        <w:t>, 1.</w:t>
      </w:r>
      <w:r w:rsidR="00B613EC">
        <w:t>16</w:t>
      </w:r>
      <w:r w:rsidR="00D77155" w:rsidRPr="00D1213A">
        <w:t xml:space="preserve"> to </w:t>
      </w:r>
      <w:r w:rsidR="00B613EC">
        <w:t>2.62</w:t>
      </w:r>
      <w:r w:rsidR="00D77155" w:rsidRPr="00D1213A">
        <w:t xml:space="preserve">), being </w:t>
      </w:r>
      <w:r w:rsidR="00B613EC">
        <w:t xml:space="preserve">arrested </w:t>
      </w:r>
      <w:r w:rsidR="00B613EC" w:rsidRPr="00D1213A">
        <w:t>(</w:t>
      </w:r>
      <w:r w:rsidR="00B613EC">
        <w:t>1.57</w:t>
      </w:r>
      <w:r w:rsidR="00B613EC" w:rsidRPr="00D1213A">
        <w:t>, 1.</w:t>
      </w:r>
      <w:r w:rsidR="00B613EC">
        <w:t>29</w:t>
      </w:r>
      <w:r w:rsidR="00B613EC" w:rsidRPr="00D1213A">
        <w:t xml:space="preserve"> to </w:t>
      </w:r>
      <w:r w:rsidR="00B613EC">
        <w:t>1.92</w:t>
      </w:r>
      <w:r w:rsidR="00B613EC" w:rsidRPr="00D1213A">
        <w:t>)</w:t>
      </w:r>
      <w:r w:rsidR="00200764">
        <w:t xml:space="preserve"> and </w:t>
      </w:r>
      <w:r w:rsidR="00D77155" w:rsidRPr="00D1213A">
        <w:t>cautioned (</w:t>
      </w:r>
      <w:r w:rsidR="00B613EC">
        <w:t>1.97</w:t>
      </w:r>
      <w:r w:rsidR="00D77155" w:rsidRPr="00D1213A">
        <w:t>, 1.5</w:t>
      </w:r>
      <w:r w:rsidR="00B613EC">
        <w:t>0</w:t>
      </w:r>
      <w:r w:rsidR="00D77155" w:rsidRPr="00D1213A">
        <w:t xml:space="preserve"> to 2.</w:t>
      </w:r>
      <w:r w:rsidR="00B613EC">
        <w:t>57</w:t>
      </w:r>
      <w:r w:rsidR="00D77155" w:rsidRPr="00D1213A">
        <w:t xml:space="preserve">) by the police, and </w:t>
      </w:r>
      <w:r w:rsidR="00200764">
        <w:t xml:space="preserve">being </w:t>
      </w:r>
      <w:r w:rsidR="00D77155" w:rsidRPr="00D1213A">
        <w:t>found guilty at court (1.</w:t>
      </w:r>
      <w:r w:rsidR="00B613EC">
        <w:t>73</w:t>
      </w:r>
      <w:r w:rsidR="00D77155" w:rsidRPr="00D1213A">
        <w:t>, 1.3</w:t>
      </w:r>
      <w:r w:rsidR="00B613EC">
        <w:t>4</w:t>
      </w:r>
      <w:r w:rsidR="00D77155" w:rsidRPr="00D1213A">
        <w:t xml:space="preserve"> to 2.</w:t>
      </w:r>
      <w:r w:rsidR="00B613EC">
        <w:t>23</w:t>
      </w:r>
      <w:r w:rsidR="00D77155" w:rsidRPr="00D1213A">
        <w:t xml:space="preserve">). </w:t>
      </w:r>
    </w:p>
    <w:p w14:paraId="12842E90" w14:textId="67BE6AC8" w:rsidR="005C625D" w:rsidRDefault="00D77155" w:rsidP="0044726E">
      <w:r w:rsidRPr="00D1213A">
        <w:rPr>
          <w:b/>
        </w:rPr>
        <w:t>Conclusions</w:t>
      </w:r>
      <w:r w:rsidR="00A01FC9">
        <w:rPr>
          <w:b/>
        </w:rPr>
        <w:t>:</w:t>
      </w:r>
      <w:r w:rsidR="005C625D">
        <w:rPr>
          <w:b/>
        </w:rPr>
        <w:t xml:space="preserve"> </w:t>
      </w:r>
      <w:r w:rsidR="0044726E">
        <w:t xml:space="preserve">Illicit drug use </w:t>
      </w:r>
      <w:r w:rsidR="0091177D">
        <w:t xml:space="preserve">in adolescence </w:t>
      </w:r>
      <w:r w:rsidR="0044726E">
        <w:t xml:space="preserve">may contribute to the development of health and social inequalities </w:t>
      </w:r>
      <w:r w:rsidR="0091177D">
        <w:t>in</w:t>
      </w:r>
      <w:r w:rsidR="0044726E">
        <w:t xml:space="preserve"> </w:t>
      </w:r>
      <w:r w:rsidR="0091177D">
        <w:t>early</w:t>
      </w:r>
      <w:r w:rsidR="0044726E">
        <w:t xml:space="preserve"> adulthood</w:t>
      </w:r>
      <w:r w:rsidR="0091177D">
        <w:t>.</w:t>
      </w:r>
    </w:p>
    <w:bookmarkEnd w:id="0"/>
    <w:p w14:paraId="360F4E3B" w14:textId="77777777" w:rsidR="005C625D" w:rsidRDefault="005C625D">
      <w:pPr>
        <w:rPr>
          <w:b/>
        </w:rPr>
      </w:pPr>
    </w:p>
    <w:p w14:paraId="2105EA40" w14:textId="4E155C22" w:rsidR="00D77155" w:rsidRPr="00D1213A" w:rsidRDefault="00D77155">
      <w:pPr>
        <w:rPr>
          <w:b/>
          <w:szCs w:val="20"/>
        </w:rPr>
      </w:pPr>
      <w:r w:rsidRPr="00D1213A">
        <w:rPr>
          <w:b/>
        </w:rPr>
        <w:br w:type="page"/>
      </w:r>
    </w:p>
    <w:p w14:paraId="762F1F8D" w14:textId="473D983B" w:rsidR="00282D85" w:rsidRPr="00D1213A" w:rsidRDefault="004F05A1" w:rsidP="008E564C">
      <w:pPr>
        <w:pStyle w:val="CommentText"/>
        <w:spacing w:line="360" w:lineRule="auto"/>
        <w:rPr>
          <w:b/>
          <w:sz w:val="24"/>
        </w:rPr>
      </w:pPr>
      <w:bookmarkStart w:id="1" w:name="_Hlk29386621"/>
      <w:r w:rsidRPr="00D1213A">
        <w:rPr>
          <w:b/>
          <w:sz w:val="24"/>
        </w:rPr>
        <w:lastRenderedPageBreak/>
        <w:t>Introduction</w:t>
      </w:r>
    </w:p>
    <w:p w14:paraId="64F52CC2" w14:textId="77777777" w:rsidR="00051EA2" w:rsidRPr="00D1213A" w:rsidRDefault="00051EA2" w:rsidP="005D7BB7">
      <w:pPr>
        <w:autoSpaceDE w:val="0"/>
        <w:autoSpaceDN w:val="0"/>
        <w:adjustRightInd w:val="0"/>
        <w:spacing w:after="0" w:line="240" w:lineRule="auto"/>
        <w:rPr>
          <w:rFonts w:ascii="PhotinaMT" w:hAnsi="PhotinaMT" w:cs="PhotinaMT"/>
          <w:sz w:val="18"/>
          <w:szCs w:val="18"/>
        </w:rPr>
      </w:pPr>
    </w:p>
    <w:p w14:paraId="30CC74E0" w14:textId="1F6FAF29" w:rsidR="00B56253" w:rsidRPr="00D1213A" w:rsidRDefault="002C784B" w:rsidP="008E564C">
      <w:r w:rsidRPr="00D1213A">
        <w:t xml:space="preserve">Illicit drugs </w:t>
      </w:r>
      <w:r w:rsidR="0047001E" w:rsidRPr="00D1213A">
        <w:t xml:space="preserve">use in adolescence has been </w:t>
      </w:r>
      <w:r w:rsidR="00795C79">
        <w:t xml:space="preserve">well-examined in the context of </w:t>
      </w:r>
      <w:r w:rsidR="00F9722B" w:rsidRPr="00D1213A">
        <w:t xml:space="preserve">later </w:t>
      </w:r>
      <w:r w:rsidR="0047001E" w:rsidRPr="00D1213A">
        <w:t>drug use</w:t>
      </w:r>
      <w:r w:rsidR="00C85F27" w:rsidRPr="00D1213A">
        <w:fldChar w:fldCharType="begin"/>
      </w:r>
      <w:r w:rsidR="00421780">
        <w:instrText xml:space="preserve"> ADDIN ZOTERO_ITEM CSL_CITATION {"citationID":"yoHQlMZl","properties":{"formattedCitation":"\\super 1\\nosupersub{}","plainCitation":"1","noteIndex":0},"citationItems":[{"id":7496,"uris":["http://zotero.org/users/8437/items/QVZD6YRX"],"uri":["http://zotero.org/users/8437/items/QVZD6YRX"],"itemData":{"id":7496,"type":"article-journal","title":"Cannabis and progression to other substance use in young adults: findings from a 13-year prospective population-based study","container-title":"Journal of Epidemiology and Community Health","page":"e26","volume":"66","issue":"7","source":"PubMed","abstract":"BACKGROUND: Adolescent cannabis use predicts the onset of later illicit drug use. In contrast, little is known about whether cannabis in young adulthood also predicts subsequent progression or cessation of licit or illicit drug use.\nMETHODS: 13-year longitudinal cohort study with recruitment in secondary school students in Victoria, Australia. There were six waves of adolescent data collection (mean age 14.9-17.4 years) followed by three in young adulthood (mean age 20.7, 24.1 and 29.0 years). Discrete-time proportional hazards models were used to assess predictive associations between cannabis use frequency (occasional (&lt;weekly), weekly to less than daily and daily) in 1756 participants in earlier young adult waves and subsequent cigarette smoking, high-risk alcohol use and amphetamine, ecstasy and cocaine use, including incident use (uptake) and cessation in later young adult waves.\nRESULTS: Compared with continuing occasional cannabis use: (1) never use provided the strongest protection from uptake of all drugs; (2) quitting cannabis lowered rates of illicit drug use uptake; (3) weekly+cannabis users had two to three times the rates of illicit drug use uptake, while daily users had six times the rate of uptake of cigarette smoking; and (4) never use of cannabis was associated with higher rates of cessation from licit drug use, while daily cannabis predicted lower cessation rates for all drugs except cocaine.\nCONCLUSIONS: This study provides compelling evidence of the continuing association between cannabis, licit and other illicit drug use well into young adulthood. Preventing cannabis use uptake and use escalation remain crucial health aims given the burden associated with cigarette, alcohol and illicit drug use.","DOI":"10.1136/jech.2010.129056","ISSN":"1470-2738","note":"PMID: 21771817","title-short":"Cannabis and progression to other substance use in young adults","journalAbbreviation":"J Epidemiol Community Health","language":"eng","author":[{"family":"Swift","given":"Wendy"},{"family":"Coffey","given":"Carolyn"},{"family":"Degenhardt","given":"Louisa"},{"family":"Carlin","given":"John B."},{"family":"Romaniuk","given":"Helena"},{"family":"Patton","given":"George C."}],"issued":{"date-parts":[["2012",7]]}}}],"schema":"https://github.com/citation-style-language/schema/raw/master/csl-citation.json"} </w:instrText>
      </w:r>
      <w:r w:rsidR="00C85F27" w:rsidRPr="00D1213A">
        <w:fldChar w:fldCharType="separate"/>
      </w:r>
      <w:r w:rsidR="00421780" w:rsidRPr="00421780">
        <w:rPr>
          <w:vertAlign w:val="superscript"/>
        </w:rPr>
        <w:t>1</w:t>
      </w:r>
      <w:r w:rsidR="00C85F27" w:rsidRPr="00D1213A">
        <w:fldChar w:fldCharType="end"/>
      </w:r>
      <w:r w:rsidR="00C85F27" w:rsidRPr="00D1213A">
        <w:t xml:space="preserve"> </w:t>
      </w:r>
      <w:r w:rsidR="00C85F27" w:rsidRPr="00D1213A">
        <w:fldChar w:fldCharType="begin"/>
      </w:r>
      <w:r w:rsidR="00421780">
        <w:instrText xml:space="preserve"> ADDIN ZOTERO_ITEM CSL_CITATION {"citationID":"LZkf3riV","properties":{"formattedCitation":"\\super 2\\nosupersub{}","plainCitation":"2","noteIndex":0},"citationItems":[{"id":7450,"uris":["http://zotero.org/users/8437/items/2YVB2PEJ"],"uri":["http://zotero.org/users/8437/items/2YVB2PEJ"],"itemData":{"id":7450,"type":"article-journal","title":"What has research over the past two decades revealed about the adverse health effects of recreational cannabis use?","container-title":"Addiction","page":"19-35","volume":"110","issue":"1","source":"Wiley Online Library","abstract":"Aims To examine changes in the evidence on the adverse health effects of cannabis since 1993. Methods A comparison of the evidence in 1993 with the evidence and interpretation of the same health outcomes in 2013. Results Research in the past 20 years has shown that driving while cannabis-impaired approximately doubles car crash risk and that around one in 10 regular cannabis users develop dependence. Regular cannabis use in adolescence approximately doubles the risks of early school-leaving and of cognitive impairment and psychoses in adulthood. Regular cannabis use in adolescence is also associated strongly with the use of other illicit drugs. These associations persist after controlling for plausible confounding variables in longitudinal studies. This suggests that cannabis use is a contributory cause of these outcomes but some researchers still argue that these relationships are explained by shared causes or risk factors. Cannabis smoking probably increases cardiovascular disease risk in middle-aged adults but its effects on respiratory function and respiratory cancer remain unclear, because most cannabis smokers have smoked or still smoke tobacco. Conclusions The epidemiological literature in the past 20 years shows that cannabis use increases the risk of accidents and can produce dependence, and that there are consistent associations between regular cannabis use and poor psychosocial outcomes and mental health in adulthood.","DOI":"10.1111/add.12703","ISSN":"1360-0443","language":"en","author":[{"family":"Hall","given":"Wayne"}],"issued":{"date-parts":[["2015"]]}}}],"schema":"https://github.com/citation-style-language/schema/raw/master/csl-citation.json"} </w:instrText>
      </w:r>
      <w:r w:rsidR="00C85F27" w:rsidRPr="00D1213A">
        <w:fldChar w:fldCharType="separate"/>
      </w:r>
      <w:r w:rsidR="00421780" w:rsidRPr="00421780">
        <w:rPr>
          <w:vertAlign w:val="superscript"/>
        </w:rPr>
        <w:t>2</w:t>
      </w:r>
      <w:r w:rsidR="00C85F27" w:rsidRPr="00D1213A">
        <w:fldChar w:fldCharType="end"/>
      </w:r>
      <w:r w:rsidR="0047001E" w:rsidRPr="00D1213A">
        <w:t xml:space="preserve"> </w:t>
      </w:r>
      <w:r w:rsidR="00051EA2">
        <w:t xml:space="preserve">and </w:t>
      </w:r>
      <w:r w:rsidR="0047001E" w:rsidRPr="00D1213A">
        <w:t>mental health</w:t>
      </w:r>
      <w:r w:rsidR="005725BC" w:rsidRPr="00D1213A">
        <w:t>.</w:t>
      </w:r>
      <w:r w:rsidR="0043519A" w:rsidRPr="00D1213A">
        <w:fldChar w:fldCharType="begin"/>
      </w:r>
      <w:r w:rsidR="00421780">
        <w:instrText xml:space="preserve"> ADDIN ZOTERO_ITEM CSL_CITATION {"citationID":"xAasGXGZ","properties":{"formattedCitation":"\\super 3\\nosupersub{}","plainCitation":"3","noteIndex":0},"citationItems":[{"id":7457,"uris":["http://zotero.org/users/8437/items/F7SYCGJW"],"uri":["http://zotero.org/users/8437/items/F7SYCGJW"],"itemData":{"id":7457,"type":"article-journal","title":"Cannabis Use and Risk of Psychiatric Disorders: Prospective Evidence From a US National Longitudinal Study","container-title":"JAMA Psychiatry","page":"388-395","volume":"73","issue":"4","source":"jamanetwork.com","abstract":"&lt;h3&gt;Importance&lt;/h3&gt;&lt;p&gt;With rising rates of marijuana use in the general population and an increasing number of states legalizing recreational marijuana use and authorizing medical marijuana programs, there are renewed clinical and policy concerns regarding the mental health effects of cannabis use.&lt;/p&gt;&lt;h3&gt;Objective&lt;/h3&gt;&lt;p&gt;To examine prospective associations between cannabis use and risk of mental health and substance use disorders in the general adult population.&lt;/p&gt;&lt;h3&gt;Design, Setting, and Participants&lt;/h3&gt;&lt;p&gt;A nationally representative sample of US adults aged 18 years or older was interviewed 3 years apart in the National Epidemiologic Survey on Alcohol and Related Conditions (wave 1, 2001-2002; wave 2, 2004-2005). The primary analyses were limited to 34 653 respondents who were interviewed in both waves. Data analysis was conducted from March 15 to November 30, 2015.&lt;/p&gt;&lt;h3&gt;Main Outcomes and Measures&lt;/h3&gt;&lt;p&gt;We used multiple regression and propensity score matching to estimate the strength of independent associations between cannabis use at wave 1 and incident and prevalent psychiatric disorders at wave 2. Psychiatric disorders were measured with a structured interview (Alcohol Use Disorder and Associated Disabilities Interview Schedule–&lt;i&gt;DSM-IV&lt;/i&gt;). In both analyses, the same set of wave 1 confounders was used, including sociodemographic characteristics, family history of substance use disorder, disturbed family environment, childhood parental loss, low self-esteem, social deviance, education, recent trauma, past and present psychiatric disorders, and respondent’s history of divorce.&lt;/p&gt;&lt;h3&gt;Results&lt;/h3&gt;&lt;p&gt;In the multiple regression analysis of 34 653 respondents (14 564 male [47.9% weighted]; mean [SD] age, 45.1 [17.3] years), cannabis use in wave 1 (2001-2002), which was reported by 1279 respondents, was significantly associated with substance use disorders in wave 2 (2004-2005) (any substance use disorder: odds ratio [OR], 6.2; 95% CI, 4.1-9.4; any alcohol use disorder: OR, 2.7; 95% CI, 1.9-3.8; any cannabis use disorder: OR, 9.5; 95% CI, 6.4-14.1; any other drug use disorder: OR, 2.6; 95% CI, 1.6-4.4; and nicotine dependence: OR, 1.7; 95% CI, 1.2-2.4), but not any mood disorder (OR, 1.1; 95% CI, 0.8-1.4) or anxiety disorder (OR, 0.9; 95% CI, 0.7-1.1). The same general pattern of results was observed in the multiple regression analyses of wave 2 prevalent psychiatric disorders and in the propensity score–matched analysis of incident and prevalent psychiatric disorders.&lt;/p&gt;&lt;h3&gt;Conclusions and Relevance&lt;/h3&gt;&lt;p&gt;Within the general population, cannabis use is associated with an increased risk for several substance use disorders. Physicians and policy makers should take these associations of cannabis use under careful consideration.&lt;/p&gt;","DOI":"10.1001/jamapsychiatry.2015.3229","ISSN":"2168-622X","title-short":"Cannabis Use and Risk of Psychiatric Disorders","journalAbbreviation":"JAMA Psychiatry","language":"en","author":[{"family":"Blanco","given":"Carlos"},{"family":"Hasin","given":"Deborah S."},{"family":"Wall","given":"Melanie M."},{"family":"Flórez-Salamanca","given":"Ludwing"},{"family":"Hoertel","given":"Nicolas"},{"family":"Wang","given":"Shuai"},{"family":"Kerridge","given":"Bradley T."},{"family":"Olfson","given":"Mark"}],"issued":{"date-parts":[["2016",4,1]]}}}],"schema":"https://github.com/citation-style-language/schema/raw/master/csl-citation.json"} </w:instrText>
      </w:r>
      <w:r w:rsidR="0043519A" w:rsidRPr="00D1213A">
        <w:fldChar w:fldCharType="separate"/>
      </w:r>
      <w:r w:rsidR="00421780" w:rsidRPr="00421780">
        <w:rPr>
          <w:vertAlign w:val="superscript"/>
        </w:rPr>
        <w:t>3</w:t>
      </w:r>
      <w:r w:rsidR="0043519A" w:rsidRPr="00D1213A">
        <w:fldChar w:fldCharType="end"/>
      </w:r>
      <w:r w:rsidR="0043519A" w:rsidRPr="00D1213A">
        <w:t xml:space="preserve"> </w:t>
      </w:r>
      <w:r w:rsidR="0043519A" w:rsidRPr="00D1213A">
        <w:fldChar w:fldCharType="begin"/>
      </w:r>
      <w:r w:rsidR="00421780">
        <w:instrText xml:space="preserve"> ADDIN ZOTERO_ITEM CSL_CITATION {"citationID":"sRpHwruq","properties":{"formattedCitation":"\\super 4\\nosupersub{}","plainCitation":"4","noteIndex":0},"citationItems":[{"id":7467,"uris":["http://zotero.org/users/8437/items/66NDWHR2"],"uri":["http://zotero.org/users/8437/items/66NDWHR2"],"itemData":{"id":7467,"type":"article-journal","title":"Association of Cannabis Use in Adolescence and Risk of Depression, Anxiety, and Suicidality in Young Adulthood: A Systematic Review and Meta-analysis","container-title":"JAMA Psychiatry","source":"jamanetwork.com","abstract":"&lt;h3&gt;Importance&lt;/h3&gt;&lt;p&gt;Cannabis is the most commonly used drug of abuse by adolescents in the world. While the impact of adolescent cannabis use on the development of psychosis has been investigated in depth, little is known about the impact of cannabis use on mood and suicidality in young adulthood.&lt;/p&gt;&lt;h3&gt;Objective&lt;/h3&gt;&lt;p&gt;To provide a summary estimate of the extent to which cannabis use during adolescence is associated with the risk of developing subsequent major depression, anxiety, and suicidal behavior.&lt;/p&gt;&lt;h3&gt;Data Sources&lt;/h3&gt;&lt;p&gt;Medline, Embase, CINAHL, PsycInfo, and Proquest Dissertations and Theses were searched from inception to January 2017.&lt;/p&gt;&lt;h3&gt;Study Selection&lt;/h3&gt;&lt;p&gt;Longitudinal and prospective studies, assessing cannabis use in adolescents younger than 18 years (at least 1 assessment point) and then ascertaining development of depression in young adulthood (age 18 to 32 years) were selected, and odds ratios (OR) adjusted for the presence of baseline depression and/or anxiety and/or suicidality were extracted.&lt;/p&gt;&lt;h3&gt;Data Extraction and Synthesis&lt;/h3&gt;&lt;p&gt;Study quality was assessed using the Research Triangle Institute item bank on risk of bias and precision of observational studies. Two reviewers conducted all review stages independently. Selected data were pooled using random-effects meta-analysis.&lt;/p&gt;&lt;h3&gt;Main Outcomes and Measures&lt;/h3&gt;&lt;p&gt;The studies assessing cannabis use and depression at different points from adolescence to young adulthood and reporting the corresponding OR were included. In the studies selected, depression was diagnosed according to the third or fourth editions of&lt;i&gt;Diagnostic and Statistical Manual of Mental Disorders&lt;/i&gt;or by using scales with predetermined cutoff points.&lt;/p&gt;&lt;h3&gt;Results&lt;/h3&gt;&lt;p&gt;After screening 3142 articles, 269 articles were selected for full-text review, 35 were selected for further review, and 11 studies comprising 23 317 individuals were included in the quantitative analysis. The OR of developing depression for cannabis users in young adulthood compared with nonusers was 1.37 (95% CI, 1.16-1.62;&lt;i&gt;I&lt;/i&gt;&lt;sup&gt;2&lt;/sup&gt; = 0%). The pooled OR for anxiety was not statistically significant: 1.18 (95% CI, 0.84-1.67;&lt;i&gt;I&lt;/i&gt;&lt;sup&gt;2&lt;/sup&gt; = 42%). The pooled OR for suicidal ideation was 1.50 (95% CI, 1.11-2.03;&lt;i&gt;I&lt;/i&gt;&lt;sup&gt;2&lt;/sup&gt; = 0%), and for suicidal attempt was 3.46 (95% CI, 1.53-7.84,&lt;i&gt;I&lt;/i&gt;&lt;sup&gt;2&lt;/sup&gt; = 61.3%).&lt;/p&gt;&lt;h3&gt;Conclusions and Relevance&lt;/h3&gt;&lt;p&gt;Although individual-level risk remains moderate to low and results from this study should be confirmed in future adequately powered prospective studies, the high prevalence of adolescents consuming cannabis generates a large number of young people who could develop depression and suicidality attributable to cannabis. This is an important public health problem and concern, which should be properly addressed by health care policy.&lt;/p&gt;","URL":"https://jamanetwork.com/journals/jamapsychiatry/fullarticle/2723657","DOI":"10.1001/jamapsychiatry.2018.4500","title-short":"Association of Cannabis Use in Adolescence and Risk of Depression, Anxiety, and Suicidality in Young Adulthood","journalAbbreviation":"JAMA Psychiatry","language":"en","author":[{"family":"Gobbi","given":"Gabriella"},{"family":"Atkin","given":"Tobias"},{"family":"Zytynski","given":"Tomasz"},{"family":"Wang","given":"Shouao"},{"family":"Askari","given":"Sorayya"},{"family":"Boruff","given":"Jill"},{"family":"Ware","given":"Mark"},{"family":"Marmorstein","given":"Naomi"},{"family":"Cipriani","given":"Andrea"},{"family":"Dendukuri","given":"Nandini"},{"family":"Mayo","given":"Nancy"}],"issued":{"date-parts":[["2019",2,13]]},"accessed":{"date-parts":[["2019",3,22]]}}}],"schema":"https://github.com/citation-style-language/schema/raw/master/csl-citation.json"} </w:instrText>
      </w:r>
      <w:r w:rsidR="0043519A" w:rsidRPr="00D1213A">
        <w:fldChar w:fldCharType="separate"/>
      </w:r>
      <w:r w:rsidR="00421780" w:rsidRPr="00421780">
        <w:rPr>
          <w:vertAlign w:val="superscript"/>
        </w:rPr>
        <w:t>4</w:t>
      </w:r>
      <w:r w:rsidR="0043519A" w:rsidRPr="00D1213A">
        <w:fldChar w:fldCharType="end"/>
      </w:r>
      <w:r w:rsidR="0043519A" w:rsidRPr="00D1213A">
        <w:t xml:space="preserve"> </w:t>
      </w:r>
      <w:r w:rsidR="0043519A" w:rsidRPr="00D1213A">
        <w:fldChar w:fldCharType="begin"/>
      </w:r>
      <w:r w:rsidR="00421780">
        <w:instrText xml:space="preserve"> ADDIN ZOTERO_ITEM CSL_CITATION {"citationID":"k2f6cD35","properties":{"formattedCitation":"\\super 5\\nosupersub{}","plainCitation":"5","noteIndex":0},"citationItems":[{"id":7495,"uris":["http://zotero.org/users/8437/items/JDAHXSFK"],"uri":["http://zotero.org/users/8437/items/JDAHXSFK"],"itemData":{"id":7495,"type":"article-journal","title":"The predictors and consequences of adolescent amphetamine use: findings from the Victoria Adolescent Health Cohort Study","container-title":"Addiction","page":"1076-1084","volume":"102","issue":"7","source":"Wiley Online Library","abstract":"Objectives Previous work has highlighted the adverse consequences of early-onset cannabis use. However, little is known about the predictors and effects of early-onset amphetamine use. We set out to examine these issues using a representative cohort of young people followed-up over 11 years in Victoria, Australia. Methods A stratified, random sample of 1943 adolescents was recruited from secondary schools across Victoria at age 14–15 years. This cohort was interviewed on eight occasions until the age of 24–25 years (78% follow-up at that age). Cross-sectional associations were assessed using logistic regression with allowance for repeated measures. Both proportional hazards models and logistic regression models were used to assess prospective associations. Results Approximately 7% of the sample had used amphetamines by the age of 17 years. Amphetamine use by this age was associated with poorer mental health and other drug use. The incidence of amphetamine use during the teenage years was predicted by heavier drug use and by mental health problems. By young adulthood (age 24–25 years), adolescent amphetamine users were more likely to meet criteria for dependence upon a range of drugs, to have greater psychological morbidity and to have some limitations in educational attainment. Most of these associations were not sustained after adjustment for early-onset cannabis use. Conclusion Young people in Australia who begin amphetamine use by age 17 years are at increased risk for a range of mental health, substance use and psychosocial problems in young adulthood. However, these problems are largely accounted for by their even earlier-onset cannabis use.","DOI":"10.1111/j.1360-0443.2007.01839.x","ISSN":"1360-0443","title-short":"The predictors and consequences of adolescent amphetamine use","language":"en","author":[{"family":"Degenhardt","given":"Louisa"},{"family":"Coffey","given":"Carolyn"},{"family":"Moran","given":"Paul"},{"family":"Carlin","given":"John B."},{"family":"Patton","given":"George C."}],"issued":{"date-parts":[["2007"]]}}}],"schema":"https://github.com/citation-style-language/schema/raw/master/csl-citation.json"} </w:instrText>
      </w:r>
      <w:r w:rsidR="0043519A" w:rsidRPr="00D1213A">
        <w:fldChar w:fldCharType="separate"/>
      </w:r>
      <w:r w:rsidR="00421780" w:rsidRPr="00421780">
        <w:rPr>
          <w:vertAlign w:val="superscript"/>
        </w:rPr>
        <w:t>5</w:t>
      </w:r>
      <w:r w:rsidR="0043519A" w:rsidRPr="00D1213A">
        <w:fldChar w:fldCharType="end"/>
      </w:r>
      <w:r w:rsidR="00153833">
        <w:t xml:space="preserve"> Studies of twins discordant for cannabis use (</w:t>
      </w:r>
      <w:r w:rsidR="00153833" w:rsidRPr="00EE178C">
        <w:t>i.e. one used cannabis and the other did not)</w:t>
      </w:r>
      <w:r w:rsidR="00153833">
        <w:t xml:space="preserve"> suggest a casual relation with later other illicit drugs,</w:t>
      </w:r>
      <w:r w:rsidR="00153833">
        <w:fldChar w:fldCharType="begin"/>
      </w:r>
      <w:r w:rsidR="00421780">
        <w:instrText xml:space="preserve"> ADDIN ZOTERO_ITEM CSL_CITATION {"citationID":"05OUDpDi","properties":{"formattedCitation":"\\super 6\\nosupersub{}","plainCitation":"6","noteIndex":0},"citationItems":[{"id":8152,"uris":["http://zotero.org/users/8437/items/QAB3QFLI"],"uri":["http://zotero.org/users/8437/items/QAB3QFLI"],"itemData":{"id":8152,"type":"article-journal","title":"Escalation of drug use in early-onset cannabis users vs co-twin controls","container-title":"JAMA","page":"427-433","volume":"289","issue":"4","source":"PubMed","abstract":"CONTEXT: Previous studies have reported that early initiation of cannabis (marijuana) use is a significant risk factor for other drug use and drug-related problems.\nOBJECTIVE: To examine whether the association between early cannabis use and subsequent progression to use of other drugs and drug abuse/dependence persists after controlling for genetic and shared environmental influences.\nDESIGN: Cross-sectional survey conducted in 1996-2000 among an Australian national volunteer sample of 311 young adult (median age, 30 years) monozygotic and dizygotic same-sex twin pairs discordant for early cannabis use (before age 17 years).\nMAIN OUTCOME MEASURES: Self-reported subsequent nonmedical use of prescription sedatives, hallucinogens, cocaine/other stimulants, and opioids; abuse or dependence on these drugs (including cannabis abuse/dependence); and alcohol dependence.\nRESULTS: Individuals who used cannabis by age 17 years had odds of other drug use, alcohol dependence, and drug abuse/dependence that were 2.1 to 5.2 times higher than those of their co-twin, who did not use cannabis before age 17 years. Controlling for known risk factors (early-onset alcohol or tobacco use, parental conflict/separation, childhood sexual abuse, conduct disorder, major depression, and social anxiety) had only negligible effects on these results. These associations did not differ significantly between monozygotic and dizygotic twins.\nCONCLUSIONS: Associations between early cannabis use and later drug use and abuse/dependence cannot solely be explained by common predisposing genetic or shared environmental factors. The association may arise from the effects of the peer and social context within which cannabis is used and obtained. In particular, early access to and use of cannabis may reduce perceived barriers against the use of other illegal drugs and provide access to these drugs.","ISSN":"0098-7484","note":"PMID: 12533121","journalAbbreviation":"JAMA","language":"eng","author":[{"family":"Lynskey","given":"Michael T."},{"family":"Heath","given":"Andrew C."},{"family":"Bucholz","given":"Kathleen K."},{"family":"Slutske","given":"Wendy S."},{"family":"Madden","given":"Pamela A. F."},{"family":"Nelson","given":"Elliot C."},{"family":"Statham","given":"Dixie J."},{"family":"Martin","given":"Nicholas G."}],"issued":{"date-parts":[["2003",1,22]]}}}],"schema":"https://github.com/citation-style-language/schema/raw/master/csl-citation.json"} </w:instrText>
      </w:r>
      <w:r w:rsidR="00153833">
        <w:fldChar w:fldCharType="separate"/>
      </w:r>
      <w:r w:rsidR="00421780" w:rsidRPr="00421780">
        <w:rPr>
          <w:vertAlign w:val="superscript"/>
        </w:rPr>
        <w:t>6</w:t>
      </w:r>
      <w:r w:rsidR="00153833">
        <w:fldChar w:fldCharType="end"/>
      </w:r>
      <w:r w:rsidR="00153833">
        <w:t xml:space="preserve"> </w:t>
      </w:r>
      <w:r w:rsidR="00153833">
        <w:fldChar w:fldCharType="begin"/>
      </w:r>
      <w:r w:rsidR="00421780">
        <w:instrText xml:space="preserve"> ADDIN ZOTERO_ITEM CSL_CITATION {"citationID":"8hsHt1kl","properties":{"formattedCitation":"\\super 7\\nosupersub{}","plainCitation":"7","noteIndex":0},"citationItems":[{"id":8151,"uris":["http://zotero.org/users/8437/items/8VN9ERBJ"],"uri":["http://zotero.org/users/8437/items/8VN9ERBJ"],"itemData":{"id":8151,"type":"article-journal","title":"Early onset cannabis use and progression to other drug use in a sample of Dutch twins","container-title":"Behavior Genetics","page":"195-200","volume":"36","issue":"2","source":"PubMed","abstract":"One possible explanation of the commonly reported associations between early onset cannabis use and elevated risks of other illicit drug use is that early onset cannabis use increases access and availability to other drugs. It was this argument that in part motivated policy changes in the Netherlands that led to the de facto legalization of cannabis there. This study examines, using a co-twin control design, whether previously observed associations between early onset cannabis use and elevated lifetime rates of other illicit drug use would also be observed in a sample of 219 same sex Dutch twin pairs discordant for cannabis use before age 18. After adjustment for covariates, rates of lifetime party drug use (OR=7.4, 95% CI=2.3-23.4), hard drug use (OR=16.5, 95% CI=2.4-111.3), but not regular cannabis use (OR=1.3, 95% CI=0.3-5.1) were significantly elevated in individuals who reported early onset cannabis use, relative to their co-twin who had not used cannabis by age 18. The elevated odds of subsequent illicit drug use in early cannabis users relative to their non early using co-twins suggests that this association could not be explained by common familial risk factors, either genetic or environmental, for which our co-twin methodology provided rigorous control.","DOI":"10.1007/s10519-005-9023-x","ISSN":"0001-8244","note":"PMID: 16402286","journalAbbreviation":"Behav. Genet.","language":"eng","author":[{"family":"Lynskey","given":"Michael T."},{"family":"Vink","given":"Jacqueline M."},{"family":"Boomsma","given":"Dorret I."}],"issued":{"date-parts":[["2006",3]]}}}],"schema":"https://github.com/citation-style-language/schema/raw/master/csl-citation.json"} </w:instrText>
      </w:r>
      <w:r w:rsidR="00153833">
        <w:fldChar w:fldCharType="separate"/>
      </w:r>
      <w:r w:rsidR="00421780" w:rsidRPr="00421780">
        <w:rPr>
          <w:vertAlign w:val="superscript"/>
        </w:rPr>
        <w:t>7</w:t>
      </w:r>
      <w:r w:rsidR="00153833">
        <w:fldChar w:fldCharType="end"/>
      </w:r>
      <w:r w:rsidR="00153833">
        <w:t xml:space="preserve"> and systematic reviews report that regular cannabis use is associated with </w:t>
      </w:r>
      <w:r w:rsidR="00AD3D93">
        <w:t xml:space="preserve">incident </w:t>
      </w:r>
      <w:r w:rsidR="00153833">
        <w:t>anxiety and mood disorders,</w:t>
      </w:r>
      <w:r w:rsidR="00153833">
        <w:fldChar w:fldCharType="begin"/>
      </w:r>
      <w:r w:rsidR="00421780">
        <w:instrText xml:space="preserve"> ADDIN ZOTERO_ITEM CSL_CITATION {"citationID":"lXwUn2eP","properties":{"unsorted":true,"formattedCitation":"\\super 2\\nosupersub{}","plainCitation":"2","noteIndex":0},"citationItems":[{"id":7450,"uris":["http://zotero.org/users/8437/items/2YVB2PEJ"],"uri":["http://zotero.org/users/8437/items/2YVB2PEJ"],"itemData":{"id":7450,"type":"article-journal","title":"What has research over the past two decades revealed about the adverse health effects of recreational cannabis use?","container-title":"Addiction","page":"19-35","volume":"110","issue":"1","source":"Wiley Online Library","abstract":"Aims To examine changes in the evidence on the adverse health effects of cannabis since 1993. Methods A comparison of the evidence in 1993 with the evidence and interpretation of the same health outcomes in 2013. Results Research in the past 20 years has shown that driving while cannabis-impaired approximately doubles car crash risk and that around one in 10 regular cannabis users develop dependence. Regular cannabis use in adolescence approximately doubles the risks of early school-leaving and of cognitive impairment and psychoses in adulthood. Regular cannabis use in adolescence is also associated strongly with the use of other illicit drugs. These associations persist after controlling for plausible confounding variables in longitudinal studies. This suggests that cannabis use is a contributory cause of these outcomes but some researchers still argue that these relationships are explained by shared causes or risk factors. Cannabis smoking probably increases cardiovascular disease risk in middle-aged adults but its effects on respiratory function and respiratory cancer remain unclear, because most cannabis smokers have smoked or still smoke tobacco. Conclusions The epidemiological literature in the past 20 years shows that cannabis use increases the risk of accidents and can produce dependence, and that there are consistent associations between regular cannabis use and poor psychosocial outcomes and mental health in adulthood.","DOI":"10.1111/add.12703","ISSN":"1360-0443","language":"en","author":[{"family":"Hall","given":"Wayne"}],"issued":{"date-parts":[["2015"]]}}}],"schema":"https://github.com/citation-style-language/schema/raw/master/csl-citation.json"} </w:instrText>
      </w:r>
      <w:r w:rsidR="00153833">
        <w:fldChar w:fldCharType="separate"/>
      </w:r>
      <w:r w:rsidR="00421780" w:rsidRPr="00421780">
        <w:rPr>
          <w:vertAlign w:val="superscript"/>
        </w:rPr>
        <w:t>2</w:t>
      </w:r>
      <w:r w:rsidR="00153833">
        <w:fldChar w:fldCharType="end"/>
      </w:r>
      <w:r w:rsidR="00AD3D93">
        <w:t xml:space="preserve"> </w:t>
      </w:r>
      <w:r w:rsidR="00AD3D93">
        <w:fldChar w:fldCharType="begin"/>
      </w:r>
      <w:r w:rsidR="00421780">
        <w:instrText xml:space="preserve"> ADDIN ZOTERO_ITEM CSL_CITATION {"citationID":"9O37w7cS","properties":{"formattedCitation":"\\super 4\\nosupersub{}","plainCitation":"4","noteIndex":0},"citationItems":[{"id":7467,"uris":["http://zotero.org/users/8437/items/66NDWHR2"],"uri":["http://zotero.org/users/8437/items/66NDWHR2"],"itemData":{"id":7467,"type":"article-journal","title":"Association of Cannabis Use in Adolescence and Risk of Depression, Anxiety, and Suicidality in Young Adulthood: A Systematic Review and Meta-analysis","container-title":"JAMA Psychiatry","source":"jamanetwork.com","abstract":"&lt;h3&gt;Importance&lt;/h3&gt;&lt;p&gt;Cannabis is the most commonly used drug of abuse by adolescents in the world. While the impact of adolescent cannabis use on the development of psychosis has been investigated in depth, little is known about the impact of cannabis use on mood and suicidality in young adulthood.&lt;/p&gt;&lt;h3&gt;Objective&lt;/h3&gt;&lt;p&gt;To provide a summary estimate of the extent to which cannabis use during adolescence is associated with the risk of developing subsequent major depression, anxiety, and suicidal behavior.&lt;/p&gt;&lt;h3&gt;Data Sources&lt;/h3&gt;&lt;p&gt;Medline, Embase, CINAHL, PsycInfo, and Proquest Dissertations and Theses were searched from inception to January 2017.&lt;/p&gt;&lt;h3&gt;Study Selection&lt;/h3&gt;&lt;p&gt;Longitudinal and prospective studies, assessing cannabis use in adolescents younger than 18 years (at least 1 assessment point) and then ascertaining development of depression in young adulthood (age 18 to 32 years) were selected, and odds ratios (OR) adjusted for the presence of baseline depression and/or anxiety and/or suicidality were extracted.&lt;/p&gt;&lt;h3&gt;Data Extraction and Synthesis&lt;/h3&gt;&lt;p&gt;Study quality was assessed using the Research Triangle Institute item bank on risk of bias and precision of observational studies. Two reviewers conducted all review stages independently. Selected data were pooled using random-effects meta-analysis.&lt;/p&gt;&lt;h3&gt;Main Outcomes and Measures&lt;/h3&gt;&lt;p&gt;The studies assessing cannabis use and depression at different points from adolescence to young adulthood and reporting the corresponding OR were included. In the studies selected, depression was diagnosed according to the third or fourth editions of&lt;i&gt;Diagnostic and Statistical Manual of Mental Disorders&lt;/i&gt;or by using scales with predetermined cutoff points.&lt;/p&gt;&lt;h3&gt;Results&lt;/h3&gt;&lt;p&gt;After screening 3142 articles, 269 articles were selected for full-text review, 35 were selected for further review, and 11 studies comprising 23 317 individuals were included in the quantitative analysis. The OR of developing depression for cannabis users in young adulthood compared with nonusers was 1.37 (95% CI, 1.16-1.62;&lt;i&gt;I&lt;/i&gt;&lt;sup&gt;2&lt;/sup&gt; = 0%). The pooled OR for anxiety was not statistically significant: 1.18 (95% CI, 0.84-1.67;&lt;i&gt;I&lt;/i&gt;&lt;sup&gt;2&lt;/sup&gt; = 42%). The pooled OR for suicidal ideation was 1.50 (95% CI, 1.11-2.03;&lt;i&gt;I&lt;/i&gt;&lt;sup&gt;2&lt;/sup&gt; = 0%), and for suicidal attempt was 3.46 (95% CI, 1.53-7.84,&lt;i&gt;I&lt;/i&gt;&lt;sup&gt;2&lt;/sup&gt; = 61.3%).&lt;/p&gt;&lt;h3&gt;Conclusions and Relevance&lt;/h3&gt;&lt;p&gt;Although individual-level risk remains moderate to low and results from this study should be confirmed in future adequately powered prospective studies, the high prevalence of adolescents consuming cannabis generates a large number of young people who could develop depression and suicidality attributable to cannabis. This is an important public health problem and concern, which should be properly addressed by health care policy.&lt;/p&gt;","URL":"https://jamanetwork.com/journals/jamapsychiatry/fullarticle/2723657","DOI":"10.1001/jamapsychiatry.2018.4500","title-short":"Association of Cannabis Use in Adolescence and Risk of Depression, Anxiety, and Suicidality in Young Adulthood","journalAbbreviation":"JAMA Psychiatry","language":"en","author":[{"family":"Gobbi","given":"Gabriella"},{"family":"Atkin","given":"Tobias"},{"family":"Zytynski","given":"Tomasz"},{"family":"Wang","given":"Shouao"},{"family":"Askari","given":"Sorayya"},{"family":"Boruff","given":"Jill"},{"family":"Ware","given":"Mark"},{"family":"Marmorstein","given":"Naomi"},{"family":"Cipriani","given":"Andrea"},{"family":"Dendukuri","given":"Nandini"},{"family":"Mayo","given":"Nancy"}],"issued":{"date-parts":[["2019",2,13]]},"accessed":{"date-parts":[["2019",3,22]]}}}],"schema":"https://github.com/citation-style-language/schema/raw/master/csl-citation.json"} </w:instrText>
      </w:r>
      <w:r w:rsidR="00AD3D93">
        <w:fldChar w:fldCharType="separate"/>
      </w:r>
      <w:r w:rsidR="00421780" w:rsidRPr="00421780">
        <w:rPr>
          <w:vertAlign w:val="superscript"/>
        </w:rPr>
        <w:t>4</w:t>
      </w:r>
      <w:r w:rsidR="00AD3D93">
        <w:fldChar w:fldCharType="end"/>
      </w:r>
      <w:r w:rsidR="00AD3D93">
        <w:t xml:space="preserve"> and </w:t>
      </w:r>
      <w:r w:rsidR="00FE2E7E">
        <w:t>psychosis.</w:t>
      </w:r>
      <w:r w:rsidR="00FE2E7E">
        <w:fldChar w:fldCharType="begin"/>
      </w:r>
      <w:r w:rsidR="00421780">
        <w:instrText xml:space="preserve"> ADDIN ZOTERO_ITEM CSL_CITATION {"citationID":"Qzb9T22H","properties":{"formattedCitation":"\\super 8\\nosupersub{}","plainCitation":"8","noteIndex":0},"citationItems":[{"id":8143,"uris":["http://zotero.org/users/8437/items/F7UK5FKB"],"uri":["http://zotero.org/users/8437/items/F7UK5FKB"],"itemData":{"id":8143,"type":"article-journal","title":"Meta-analysis of the Association Between the Level of Cannabis Use and Risk of Psychosis","container-title":"Schizophrenia Bulletin","page":"1262-1269","volume":"42","issue":"5","source":"PubMed","abstract":"Cannabis use has been reported to induce long-lasting psychotic disorders and a dose-response relationship has been observed. We performed a systematic review of studies that investigate the association between the degree of cannabis consumption and psychosis and a meta-analysis to quantify the magnitude of effect. Published studies were identified through search of electronic databases, supplemented by manual searches of bibliographies. Studies were considered if they provided data on cannabis consumption prior to the onset of psychosis using a dose criterion (frequency/amount used) and reported psychosis-related outcomes. We performed random effects meta-analysis of individual data points generated with a simulation method from the summary data of the original studies. From 571 references, 18 studies fulfilled inclusion criteria for the systematic review and 10 were inserted in the meta-analysis, enrolling a total of 66 816 individuals. Higher levels of cannabis use were associated with increased risk for psychosis in all the included studies. A logistic regression model gave an OR of 3.90 (95% CI 2.84 to 5.34) for the risk of schizophrenia and other psychosis-related outcomes among the heaviest cannabis users compared to the nonusers. Current evidence shows that high levels of cannabis use increase the risk of psychotic outcomes and confirms a dose-response relationship between the level of use and the risk for psychosis. Although a causal link cannot be unequivocally established, there is sufficient evidence to justify harm reduction prevention programs.","DOI":"10.1093/schbul/sbw003","ISSN":"1745-1701","note":"PMID: 26884547\nPMCID: PMC4988731","journalAbbreviation":"Schizophr Bull","language":"eng","author":[{"family":"Marconi","given":"Arianna"},{"family":"Di Forti","given":"Marta"},{"family":"Lewis","given":"Cathryn M."},{"family":"Murray","given":"Robin M."},{"family":"Vassos","given":"Evangelos"}],"issued":{"date-parts":[["2016"]]}}}],"schema":"https://github.com/citation-style-language/schema/raw/master/csl-citation.json"} </w:instrText>
      </w:r>
      <w:r w:rsidR="00FE2E7E">
        <w:fldChar w:fldCharType="separate"/>
      </w:r>
      <w:r w:rsidR="00421780" w:rsidRPr="00421780">
        <w:rPr>
          <w:vertAlign w:val="superscript"/>
        </w:rPr>
        <w:t>8</w:t>
      </w:r>
      <w:r w:rsidR="00FE2E7E">
        <w:fldChar w:fldCharType="end"/>
      </w:r>
      <w:r w:rsidR="00FE2E7E">
        <w:t xml:space="preserve"> </w:t>
      </w:r>
      <w:r w:rsidR="00FE2E7E">
        <w:fldChar w:fldCharType="begin"/>
      </w:r>
      <w:r w:rsidR="00421780">
        <w:instrText xml:space="preserve"> ADDIN ZOTERO_ITEM CSL_CITATION {"citationID":"DGikIBOG","properties":{"formattedCitation":"\\super 9\\nosupersub{}","plainCitation":"9","noteIndex":0},"citationItems":[{"id":8142,"uris":["http://zotero.org/users/8437/items/QABJKBEN"],"uri":["http://zotero.org/users/8437/items/QABJKBEN"],"itemData":{"id":8142,"type":"article-journal","title":"Cannabis Use and Earlier Onset of Psychosis: A Systematic Meta-analysis","container-title":"Archives of General Psychiatry","page":"555-561","volume":"68","issue":"6","source":"jamanetwork.com","abstract":"Context \n    A number of studies have found that the use of cannabis and other psychoactive substances is associated with an earlier onset of psychotic illness.Objective \n    To establish the extent to which use of cannabis, alcohol, and other psychoactive substances affects the age at onset of...","DOI":"10.1001/archgenpsychiatry.2011.5","ISSN":"0003-990X","title-short":"Cannabis Use and Earlier Onset of Psychosis","journalAbbreviation":"Arch Gen Psychiatry","language":"en","author":[{"family":"Large","given":"Matthew"},{"family":"Sharma","given":"Swapnil"},{"family":"Compton","given":"Michael T."},{"family":"Slade","given":"Tim"},{"family":"Nielssen","given":"Olav"}],"issued":{"date-parts":[["2011",6,6]]}}}],"schema":"https://github.com/citation-style-language/schema/raw/master/csl-citation.json"} </w:instrText>
      </w:r>
      <w:r w:rsidR="00FE2E7E">
        <w:fldChar w:fldCharType="separate"/>
      </w:r>
      <w:r w:rsidR="00421780" w:rsidRPr="00421780">
        <w:rPr>
          <w:vertAlign w:val="superscript"/>
        </w:rPr>
        <w:t>9</w:t>
      </w:r>
      <w:r w:rsidR="00FE2E7E">
        <w:fldChar w:fldCharType="end"/>
      </w:r>
      <w:r w:rsidR="00FE2E7E">
        <w:t xml:space="preserve"> </w:t>
      </w:r>
      <w:r w:rsidR="00153833">
        <w:t>L</w:t>
      </w:r>
      <w:r w:rsidR="00795C79">
        <w:t xml:space="preserve">ess well understood is the impact of </w:t>
      </w:r>
      <w:r w:rsidR="00C00B67">
        <w:t xml:space="preserve">adolescent </w:t>
      </w:r>
      <w:r w:rsidR="00795C79">
        <w:t>drug us</w:t>
      </w:r>
      <w:r w:rsidR="00263192">
        <w:t>e</w:t>
      </w:r>
      <w:r w:rsidR="00795C79">
        <w:t xml:space="preserve"> on socioeconomic</w:t>
      </w:r>
      <w:r w:rsidR="00263192">
        <w:t xml:space="preserve"> adversity</w:t>
      </w:r>
      <w:r w:rsidR="002C2A61">
        <w:t xml:space="preserve"> </w:t>
      </w:r>
      <w:r w:rsidR="00795C79">
        <w:t xml:space="preserve">and criminal </w:t>
      </w:r>
      <w:r w:rsidR="00263192">
        <w:t xml:space="preserve">justice </w:t>
      </w:r>
      <w:r w:rsidR="00795C79">
        <w:t xml:space="preserve">outcomes. In the </w:t>
      </w:r>
      <w:r w:rsidR="00153833">
        <w:t xml:space="preserve">few </w:t>
      </w:r>
      <w:r w:rsidR="00795C79">
        <w:t xml:space="preserve">studies conducted, </w:t>
      </w:r>
      <w:r w:rsidR="001372FF" w:rsidRPr="00D1213A">
        <w:t xml:space="preserve">early-onset cannabis use </w:t>
      </w:r>
      <w:r w:rsidR="00153833">
        <w:t>ha</w:t>
      </w:r>
      <w:r w:rsidR="00795C79">
        <w:t>s</w:t>
      </w:r>
      <w:r w:rsidR="00051EA2">
        <w:t xml:space="preserve"> </w:t>
      </w:r>
      <w:r w:rsidR="00153833">
        <w:t xml:space="preserve">been </w:t>
      </w:r>
      <w:r w:rsidR="00051EA2">
        <w:t>linked to</w:t>
      </w:r>
      <w:r w:rsidR="001372FF" w:rsidRPr="00D1213A">
        <w:t xml:space="preserve"> poor educational achievement</w:t>
      </w:r>
      <w:r w:rsidR="002C2A61">
        <w:t>,</w:t>
      </w:r>
      <w:r w:rsidR="001372FF" w:rsidRPr="00D1213A">
        <w:fldChar w:fldCharType="begin"/>
      </w:r>
      <w:r w:rsidR="00421780">
        <w:instrText xml:space="preserve"> ADDIN ZOTERO_ITEM CSL_CITATION {"citationID":"SYvebVFo","properties":{"formattedCitation":"\\super 10\\nosupersub{}","plainCitation":"10","noteIndex":0},"citationItems":[{"id":6239,"uris":["http://zotero.org/users/8437/items/T855S98Q"],"uri":["http://zotero.org/users/8437/items/T855S98Q"],"itemData":{"id":6239,"type":"article-journal","title":"Adolescent cannabis and tobacco use and educational outcomes at age 16: birth cohort study","container-title":"Addiction (Abingdon, England)","page":"658-668","volume":"110","issue":"4","source":"PubMed","abstract":"AIMS: To investigate the relationship between cannabis and tobacco use by age 15 and subsequent educational outcomes.\nDESIGN: Birth cohort study.\nSETTING: England.\nPARTICIPANTS: The sample was drawn from the Avon Longitudinal Study of Parents and Children; a core sample of 1155 individuals had complete information on all the variables.\nMEASUREMENTS: The main exposures were cannabis and tobacco use at age 15 assessed in clinic by computer-assisted questionnaire and serum cotinine. The main outcomes were performance in standardized assessments at 16 [Key Stage 4, General Certificate of Secondary Education (GCSE)] in English and mathematics (mean scores), completion of five or more assessments at grade C level or higher and leaving school having achieved no qualifications. Analyses were sequentially adjusted for multiple covariates using a hierarchical approach. Covariates considered were: maternal substance use (ever tobacco or cannabis use, alcohol use above recommended limits); life course socio-economic position (family occupational class, maternal education, family income); child sex; month and year of birth; child educational attainment prior to age 11 (Key Stage 2); child substance use (tobacco, alcohol and cannabis) prior to age 15 and child conduct disorder.\nFINDINGS: In fully adjusted models both cannabis and tobacco use at age 15 were associated with subsequent adverse educational outcomes. In general, the dose-response effect seen was consistent across all educational outcomes assessed. Weekly cannabis use was associated negatively with English GCSE results [grade point difference (GPD), -5.93, 95% confidence interval (CI) = -8.34, -3.53] and with mathematics GCSE results (GPD, -6.91, 95% CI = -9.92, -3.89). Daily tobacco smoking was associated negatively with English GCSE (GPD, -11.90, 95% CI = -13.47, -10.33) and with mathematics GCSE (GPD, -16.72, 95% CI = -18.57, -14.86). The greatest attenuation of these effects was seen on adjustment for other substance use and conduct disorder. Following adjustment, tobacco appeared to have a consistently stronger effect than cannabis.\nCONCLUSIONS: Both cannabis and tobacco use in adolescence are associated strongly with subsequent adverse educational outcomes. Given the non-specific patterns of association seen and the attenuation of estimates on adjustment, it is possible that these effects arise through non-causal mechanisms, although a causal explanation cannot be discounted. © 2015 Society for the Study of Addiction.","DOI":"10.1111/add.12827","ISSN":"1360-0443","note":"PMID: 25488831\nPMCID: PMC4405050","title-short":"Adolescent cannabis and tobacco use and educational outcomes at age 16","journalAbbreviation":"Addiction","language":"eng","author":[{"family":"Stiby","given":"Alexander I."},{"family":"Hickman","given":"Matthew"},{"family":"Munafò","given":"Marcus R."},{"family":"Heron","given":"Jon"},{"family":"Yip","given":"Vikki L."},{"family":"Macleod","given":"John"}],"issued":{"date-parts":[["2015",4]]}}}],"schema":"https://github.com/citation-style-language/schema/raw/master/csl-citation.json"} </w:instrText>
      </w:r>
      <w:r w:rsidR="001372FF" w:rsidRPr="00D1213A">
        <w:fldChar w:fldCharType="separate"/>
      </w:r>
      <w:r w:rsidR="00421780" w:rsidRPr="00421780">
        <w:rPr>
          <w:vertAlign w:val="superscript"/>
        </w:rPr>
        <w:t>10</w:t>
      </w:r>
      <w:r w:rsidR="001372FF" w:rsidRPr="00D1213A">
        <w:fldChar w:fldCharType="end"/>
      </w:r>
      <w:r w:rsidR="00AE43A9">
        <w:t xml:space="preserve"> </w:t>
      </w:r>
      <w:r w:rsidR="001372FF" w:rsidRPr="00D1213A">
        <w:fldChar w:fldCharType="begin"/>
      </w:r>
      <w:r w:rsidR="00421780">
        <w:instrText xml:space="preserve"> ADDIN ZOTERO_ITEM CSL_CITATION {"citationID":"h4qtV5TO","properties":{"formattedCitation":"\\super 11\\nosupersub{}","plainCitation":"11","noteIndex":0},"citationItems":[{"id":7481,"uris":["http://zotero.org/users/8437/items/V63PZFLM"],"uri":["http://zotero.org/users/8437/items/V63PZFLM"],"itemData":{"id":7481,"type":"article-journal","title":"The effects of adolescent cannabis use on educational attainment: a review","container-title":"Addiction (Abingdon, England)","page":"1621-1630","volume":"95","issue":"11","source":"PubMed","abstract":"This paper reviews research examining the link between cannabis use and educational attainment among youth. Cross-sectional studies have revealed significant associations between cannabis use and a range of measures of educational performance including lower grade point average, less satisfaction with school, negative attitudes to school, increased rates of school absenteeism and poor school performance. However, results of cross-sectional studies cannot be used to determine whether cannabis use causes poor educational performance, poor educational performance is a cause of cannabis use or whether both outcomes are a reflection of common risk factors. Nonetheless, a number of prospective longitudinal studies have indicated that early cannabis use may significantly increase risks of subsequent poor school performance and, in particular, early school leaving. This association has remained after control for a wide range of prospectively assessed covariates. Possible mechanisms underlying an association between early cannabis use and educational attainment include the possibility that cannabis use induces an 'amotivational syndrome' or that cannabis use causes cognitive impairment. However, there appears to be relatively little empirical support for these hypotheses. It is proposed that the link between early cannabis use and educational attainment arises because of the social context within which cannabis is used. In particular, early cannabis use appears to be associated with the adoption of an anti-conventional lifestyle characterized by affiliations with delinquent and substance using peers, and the precocious adoption of adult roles including early school leaving, leaving the parental home and early parenthood.","ISSN":"0965-2140","note":"PMID: 11219366","title-short":"The effects of adolescent cannabis use on educational attainment","journalAbbreviation":"Addiction","language":"eng","author":[{"family":"Lynskey","given":"M."},{"family":"Hall","given":"W."}],"issued":{"date-parts":[["2000",11]]}}}],"schema":"https://github.com/citation-style-language/schema/raw/master/csl-citation.json"} </w:instrText>
      </w:r>
      <w:r w:rsidR="001372FF" w:rsidRPr="00D1213A">
        <w:fldChar w:fldCharType="separate"/>
      </w:r>
      <w:r w:rsidR="00421780" w:rsidRPr="00421780">
        <w:rPr>
          <w:vertAlign w:val="superscript"/>
        </w:rPr>
        <w:t>11</w:t>
      </w:r>
      <w:r w:rsidR="001372FF" w:rsidRPr="00D1213A">
        <w:fldChar w:fldCharType="end"/>
      </w:r>
      <w:r w:rsidR="00DF26D6" w:rsidRPr="00D1213A">
        <w:t xml:space="preserve"> </w:t>
      </w:r>
      <w:r w:rsidR="002C2A61">
        <w:t>delinquency and violence</w:t>
      </w:r>
      <w:r w:rsidR="00153833">
        <w:t>.</w:t>
      </w:r>
      <w:r w:rsidR="001372FF" w:rsidRPr="00D1213A">
        <w:fldChar w:fldCharType="begin"/>
      </w:r>
      <w:r w:rsidR="00421780">
        <w:instrText xml:space="preserve"> ADDIN ZOTERO_ITEM CSL_CITATION {"citationID":"9aLJTVjX","properties":{"formattedCitation":"\\super 12\\nosupersub{}","plainCitation":"12","noteIndex":0},"citationItems":[{"id":7460,"uris":["http://zotero.org/users/8437/items/DCBLFQAC"],"uri":["http://zotero.org/users/8437/items/DCBLFQAC"],"itemData":{"id":7460,"type":"article-journal","title":"The risks for late adolescence of early adolescent marijuana use","container-title":"American Journal of Public Health","page":"1549-1554","volume":"89","issue":"10","source":"PubMed","abstract":"OBJECTIVES: The purpose of this study was to assess the relation of early adolescent marijuana use to late adolescent problem behaviors, drug-related attitudes, drug problems, and sibling and peer problem behavior.\nMETHODS: African American (n = 627) and Puerto Rican (n = 555) youths completed questionnaires in their classrooms initially and were individually interviewed 5 years later. Logistic regression analysis estimated increases in the risk of behaviors or attitudes in late adolescence associated with more frequent marijuana use in early adolescence.\nRESULTS: Early adolescent marijuana use increased the risk in late adolescence of not graduating from high school; delinquency; having multiple sexual partners; not always using condoms; perceiving drugs as not harmful; having problems with cigarettes, alcohol, and marijuana; and having more friends who exhibit deviant behavior. These relations were maintained with controls for age, sex, ethnicity, and, when available, earlier psychosocial measures.\nCONCLUSIONS: Early adolescent marijuana use is related to later adolescent problems that limit the acquisition of skills necessary for employment and heighten the risks of contracting HIV and abusing legal and illegal substances. Hence, assessments of and treatments for adolescent marijuana use need to be incorporated in clinical practice.","ISSN":"0090-0036","note":"PMID: 10511838\nPMCID: PMC1508814","journalAbbreviation":"Am J Public Health","language":"eng","author":[{"family":"Brook","given":"J. S."},{"family":"Balka","given":"E. B."},{"family":"Whiteman","given":"M."}],"issued":{"date-parts":[["1999",10]]}}}],"schema":"https://github.com/citation-style-language/schema/raw/master/csl-citation.json"} </w:instrText>
      </w:r>
      <w:r w:rsidR="001372FF" w:rsidRPr="00D1213A">
        <w:fldChar w:fldCharType="separate"/>
      </w:r>
      <w:r w:rsidR="00421780" w:rsidRPr="00421780">
        <w:rPr>
          <w:vertAlign w:val="superscript"/>
        </w:rPr>
        <w:t>12</w:t>
      </w:r>
      <w:r w:rsidR="001372FF" w:rsidRPr="00D1213A">
        <w:fldChar w:fldCharType="end"/>
      </w:r>
      <w:r w:rsidR="001372FF" w:rsidRPr="00D1213A">
        <w:t xml:space="preserve"> </w:t>
      </w:r>
      <w:r w:rsidR="00795C79">
        <w:t xml:space="preserve">In the </w:t>
      </w:r>
      <w:r w:rsidR="000A1A4D" w:rsidRPr="00D1213A">
        <w:t>Victoria Adolescent Health Cohort Study</w:t>
      </w:r>
      <w:r w:rsidR="00D71FDF">
        <w:t xml:space="preserve">, </w:t>
      </w:r>
      <w:r w:rsidR="00DC1183" w:rsidRPr="00D1213A">
        <w:t xml:space="preserve">amphetamine use </w:t>
      </w:r>
      <w:r w:rsidR="00C00B67">
        <w:t xml:space="preserve">by </w:t>
      </w:r>
      <w:r w:rsidR="00DC1183" w:rsidRPr="00D1213A">
        <w:t xml:space="preserve">18 </w:t>
      </w:r>
      <w:r w:rsidR="00110B38" w:rsidRPr="00D1213A">
        <w:t xml:space="preserve">years of age </w:t>
      </w:r>
      <w:r w:rsidR="00DC1183" w:rsidRPr="00D1213A">
        <w:t>was associated with increased risk</w:t>
      </w:r>
      <w:r w:rsidR="00703AC6" w:rsidRPr="00D1213A">
        <w:t>s</w:t>
      </w:r>
      <w:r w:rsidR="00DC1183" w:rsidRPr="00D1213A">
        <w:t xml:space="preserve"> </w:t>
      </w:r>
      <w:r w:rsidR="00703AC6" w:rsidRPr="00D1213A">
        <w:t>for</w:t>
      </w:r>
      <w:r w:rsidR="00DC1183" w:rsidRPr="00D1213A">
        <w:t xml:space="preserve"> </w:t>
      </w:r>
      <w:r w:rsidR="00376103">
        <w:t xml:space="preserve">leaving </w:t>
      </w:r>
      <w:r w:rsidR="00110B38" w:rsidRPr="00D1213A">
        <w:t>with no qualifications,</w:t>
      </w:r>
      <w:r w:rsidR="001C0E93">
        <w:t xml:space="preserve"> </w:t>
      </w:r>
      <w:r w:rsidR="00376103">
        <w:t xml:space="preserve">but not with unemployment, or </w:t>
      </w:r>
      <w:r w:rsidR="00F71C6A">
        <w:t>receiving</w:t>
      </w:r>
      <w:r w:rsidR="00376103">
        <w:t xml:space="preserve"> government benefits</w:t>
      </w:r>
      <w:r w:rsidR="00524886" w:rsidRPr="00D1213A">
        <w:t xml:space="preserve"> at 24-years</w:t>
      </w:r>
      <w:r w:rsidR="00D71FDF">
        <w:t>.</w:t>
      </w:r>
      <w:r w:rsidR="00703AC6" w:rsidRPr="00D1213A">
        <w:fldChar w:fldCharType="begin"/>
      </w:r>
      <w:r w:rsidR="00421780">
        <w:instrText xml:space="preserve"> ADDIN ZOTERO_ITEM CSL_CITATION {"citationID":"fgZN1bQn","properties":{"formattedCitation":"\\super 5\\nosupersub{}","plainCitation":"5","noteIndex":0},"citationItems":[{"id":7495,"uris":["http://zotero.org/users/8437/items/JDAHXSFK"],"uri":["http://zotero.org/users/8437/items/JDAHXSFK"],"itemData":{"id":7495,"type":"article-journal","title":"The predictors and consequences of adolescent amphetamine use: findings from the Victoria Adolescent Health Cohort Study","container-title":"Addiction","page":"1076-1084","volume":"102","issue":"7","source":"Wiley Online Library","abstract":"Objectives Previous work has highlighted the adverse consequences of early-onset cannabis use. However, little is known about the predictors and effects of early-onset amphetamine use. We set out to examine these issues using a representative cohort of young people followed-up over 11 years in Victoria, Australia. Methods A stratified, random sample of 1943 adolescents was recruited from secondary schools across Victoria at age 14–15 years. This cohort was interviewed on eight occasions until the age of 24–25 years (78% follow-up at that age). Cross-sectional associations were assessed using logistic regression with allowance for repeated measures. Both proportional hazards models and logistic regression models were used to assess prospective associations. Results Approximately 7% of the sample had used amphetamines by the age of 17 years. Amphetamine use by this age was associated with poorer mental health and other drug use. The incidence of amphetamine use during the teenage years was predicted by heavier drug use and by mental health problems. By young adulthood (age 24–25 years), adolescent amphetamine users were more likely to meet criteria for dependence upon a range of drugs, to have greater psychological morbidity and to have some limitations in educational attainment. Most of these associations were not sustained after adjustment for early-onset cannabis use. Conclusion Young people in Australia who begin amphetamine use by age 17 years are at increased risk for a range of mental health, substance use and psychosocial problems in young adulthood. However, these problems are largely accounted for by their even earlier-onset cannabis use.","DOI":"10.1111/j.1360-0443.2007.01839.x","ISSN":"1360-0443","title-short":"The predictors and consequences of adolescent amphetamine use","language":"en","author":[{"family":"Degenhardt","given":"Louisa"},{"family":"Coffey","given":"Carolyn"},{"family":"Moran","given":"Paul"},{"family":"Carlin","given":"John B."},{"family":"Patton","given":"George C."}],"issued":{"date-parts":[["2007"]]}}}],"schema":"https://github.com/citation-style-language/schema/raw/master/csl-citation.json"} </w:instrText>
      </w:r>
      <w:r w:rsidR="00703AC6" w:rsidRPr="00D1213A">
        <w:fldChar w:fldCharType="separate"/>
      </w:r>
      <w:r w:rsidR="00421780" w:rsidRPr="00421780">
        <w:rPr>
          <w:vertAlign w:val="superscript"/>
        </w:rPr>
        <w:t>5</w:t>
      </w:r>
      <w:r w:rsidR="00703AC6" w:rsidRPr="00D1213A">
        <w:fldChar w:fldCharType="end"/>
      </w:r>
      <w:r w:rsidR="00D71FDF" w:rsidRPr="00D71FDF">
        <w:t xml:space="preserve"> </w:t>
      </w:r>
      <w:r w:rsidR="00D71FDF">
        <w:t>The potential confounding effect of early socioeconomic adversity was not accounted for in these analyses and the role of psychological problems has also rarely been considered.</w:t>
      </w:r>
      <w:r w:rsidR="00110B38" w:rsidRPr="00D1213A">
        <w:t xml:space="preserve"> </w:t>
      </w:r>
      <w:r w:rsidR="00795C79">
        <w:t>Accordingly, w</w:t>
      </w:r>
      <w:r w:rsidR="00703AC6" w:rsidRPr="00D1213A">
        <w:t>e</w:t>
      </w:r>
      <w:r w:rsidR="00B56253" w:rsidRPr="00D1213A">
        <w:t xml:space="preserve"> </w:t>
      </w:r>
      <w:r w:rsidR="00B01C14">
        <w:t>examine</w:t>
      </w:r>
      <w:r w:rsidR="00D71FDF">
        <w:t>d</w:t>
      </w:r>
      <w:r w:rsidR="00A6437F">
        <w:t xml:space="preserve"> </w:t>
      </w:r>
      <w:r w:rsidR="00A647A3" w:rsidRPr="00D1213A">
        <w:t xml:space="preserve">whether </w:t>
      </w:r>
      <w:r w:rsidR="0034135D" w:rsidRPr="00D1213A">
        <w:t>illicit</w:t>
      </w:r>
      <w:r w:rsidR="00A647A3" w:rsidRPr="00D1213A">
        <w:t xml:space="preserve"> drug use </w:t>
      </w:r>
      <w:r w:rsidR="0034135D" w:rsidRPr="00D1213A">
        <w:t xml:space="preserve">at 16-years of age </w:t>
      </w:r>
      <w:r w:rsidR="00D71FDF">
        <w:t>i</w:t>
      </w:r>
      <w:r w:rsidR="00A647A3" w:rsidRPr="00D1213A">
        <w:t xml:space="preserve">s associated with </w:t>
      </w:r>
      <w:r w:rsidR="00795C79">
        <w:t>an</w:t>
      </w:r>
      <w:r w:rsidR="00D03B17">
        <w:t xml:space="preserve"> increased risk of an</w:t>
      </w:r>
      <w:r w:rsidR="00795C79">
        <w:t xml:space="preserve"> array of outcomes at 30 years, including </w:t>
      </w:r>
      <w:r w:rsidR="00D71FDF">
        <w:t>poor health</w:t>
      </w:r>
      <w:r w:rsidR="0034135D" w:rsidRPr="00D1213A">
        <w:t>, socioeconomic</w:t>
      </w:r>
      <w:r w:rsidR="00D71FDF">
        <w:t xml:space="preserve"> disadvantage and experiences with the </w:t>
      </w:r>
      <w:r w:rsidR="0034135D" w:rsidRPr="00D1213A">
        <w:t>criminal justice</w:t>
      </w:r>
      <w:r w:rsidR="00D71FDF">
        <w:t xml:space="preserve"> system</w:t>
      </w:r>
      <w:r w:rsidR="0034135D" w:rsidRPr="00D1213A">
        <w:t xml:space="preserve">. </w:t>
      </w:r>
    </w:p>
    <w:p w14:paraId="17133332" w14:textId="569FC1A1" w:rsidR="008919C6" w:rsidRDefault="008919C6" w:rsidP="008E564C">
      <w:pPr>
        <w:rPr>
          <w:b/>
        </w:rPr>
      </w:pPr>
    </w:p>
    <w:p w14:paraId="433B7515" w14:textId="3A67DB72" w:rsidR="004F05A1" w:rsidRPr="00D1213A" w:rsidRDefault="004F05A1" w:rsidP="008E564C">
      <w:pPr>
        <w:rPr>
          <w:b/>
        </w:rPr>
      </w:pPr>
      <w:r w:rsidRPr="00D1213A">
        <w:rPr>
          <w:b/>
        </w:rPr>
        <w:t>Methods</w:t>
      </w:r>
    </w:p>
    <w:p w14:paraId="46D8CFCC" w14:textId="71C01E33" w:rsidR="004F05A1" w:rsidRPr="00D1213A" w:rsidRDefault="004F05A1" w:rsidP="008E564C">
      <w:r w:rsidRPr="00D1213A">
        <w:t xml:space="preserve">We used data from the 1970 British </w:t>
      </w:r>
      <w:r w:rsidR="00266A38" w:rsidRPr="00D1213A">
        <w:t xml:space="preserve">Birth </w:t>
      </w:r>
      <w:r w:rsidRPr="00D1213A">
        <w:t>Cohort Study, an ongoing longitudinal study of children born in Great Britain between the 5</w:t>
      </w:r>
      <w:r w:rsidRPr="00D1213A">
        <w:rPr>
          <w:vertAlign w:val="superscript"/>
        </w:rPr>
        <w:t>th</w:t>
      </w:r>
      <w:r w:rsidRPr="00D1213A">
        <w:t xml:space="preserve"> and 11</w:t>
      </w:r>
      <w:r w:rsidRPr="00D1213A">
        <w:rPr>
          <w:vertAlign w:val="superscript"/>
        </w:rPr>
        <w:t>th</w:t>
      </w:r>
      <w:r w:rsidRPr="00D1213A">
        <w:t xml:space="preserve"> April 1970. </w:t>
      </w:r>
      <w:r w:rsidR="00266A38" w:rsidRPr="00D1213A">
        <w:t xml:space="preserve"> A total of 16, 571 babies born in England, Scotland and Wales were enrolled at birth and have been followed up on eight occasions across the life course. For the purposes of the present analyses, we used data from enquiries about illicit drug taking a</w:t>
      </w:r>
      <w:r w:rsidRPr="00D1213A">
        <w:t>t 16 years of age</w:t>
      </w:r>
      <w:r w:rsidR="00376103">
        <w:t>,</w:t>
      </w:r>
      <w:r w:rsidR="00266A38" w:rsidRPr="00D1213A">
        <w:t xml:space="preserve"> the first occasion these </w:t>
      </w:r>
      <w:r w:rsidR="00200764">
        <w:t>were</w:t>
      </w:r>
      <w:r w:rsidR="00266A38" w:rsidRPr="00D1213A">
        <w:t xml:space="preserve"> collected</w:t>
      </w:r>
      <w:r w:rsidR="00F57C1F" w:rsidRPr="00D1213A">
        <w:t>.</w:t>
      </w:r>
      <w:r w:rsidR="00266A38" w:rsidRPr="00D1213A">
        <w:fldChar w:fldCharType="begin"/>
      </w:r>
      <w:r w:rsidR="00421780">
        <w:instrText xml:space="preserve"> ADDIN ZOTERO_ITEM CSL_CITATION {"citationID":"kV9k5TiO","properties":{"formattedCitation":"\\super 13\\nosupersub{}","plainCitation":"13","noteIndex":0},"citationItems":[{"id":7323,"uris":["http://zotero.org/users/8437/items/Y2YRFVZK"],"uri":["http://zotero.org/users/8437/items/Y2YRFVZK"],"itemData":{"id":7323,"type":"article-journal","title":"Cohort Profile: 1970 British Birth Cohort (BCS70)","container-title":"International Journal of Epidemiology","page":"836-843","volume":"35","issue":"4","source":"academic.oup.com","abstract":"The 1970 British Birth Cohort Study (BCS70) is an ongoing, multidisciplinary, longitudinal study. It takes as its subjects all those currently living in England","DOI":"10.1093/ije/dyl174","ISSN":"0300-5771","title-short":"Cohort Profile","journalAbbreviation":"Int J Epidemiol","language":"en","author":[{"family":"Elliott","given":"Jane"},{"family":"Shepherd","given":"Peter"}],"issued":{"date-parts":[["2006",8,1]]}}}],"schema":"https://github.com/citation-style-language/schema/raw/master/csl-citation.json"} </w:instrText>
      </w:r>
      <w:r w:rsidR="00266A38" w:rsidRPr="00D1213A">
        <w:fldChar w:fldCharType="separate"/>
      </w:r>
      <w:r w:rsidR="00421780" w:rsidRPr="00421780">
        <w:rPr>
          <w:vertAlign w:val="superscript"/>
        </w:rPr>
        <w:t>13</w:t>
      </w:r>
      <w:r w:rsidR="00266A38" w:rsidRPr="00D1213A">
        <w:fldChar w:fldCharType="end"/>
      </w:r>
      <w:r w:rsidR="006E3B63" w:rsidRPr="00D1213A">
        <w:t xml:space="preserve"> </w:t>
      </w:r>
      <w:r w:rsidR="00266A38" w:rsidRPr="00D1213A">
        <w:t>Study follow-up was a</w:t>
      </w:r>
      <w:r w:rsidRPr="00D1213A">
        <w:t xml:space="preserve">t </w:t>
      </w:r>
      <w:r w:rsidR="00266A38" w:rsidRPr="00D1213A">
        <w:t xml:space="preserve">age </w:t>
      </w:r>
      <w:r w:rsidRPr="00D1213A">
        <w:t>30 years</w:t>
      </w:r>
      <w:r w:rsidR="00266A38" w:rsidRPr="00D1213A">
        <w:t>.</w:t>
      </w:r>
      <w:r w:rsidRPr="00D1213A">
        <w:t xml:space="preserve"> </w:t>
      </w:r>
      <w:r w:rsidR="00F71C6A" w:rsidRPr="00DE64D6">
        <w:t>Parents of study participants gave written informed consent</w:t>
      </w:r>
      <w:r w:rsidRPr="00D1213A">
        <w:t>.</w:t>
      </w:r>
      <w:r w:rsidR="00F57C1F" w:rsidRPr="00D1213A">
        <w:t xml:space="preserve"> </w:t>
      </w:r>
      <w:r w:rsidR="00266A38" w:rsidRPr="00D1213A">
        <w:t xml:space="preserve">This manuscript adheres to the guidelines for </w:t>
      </w:r>
      <w:proofErr w:type="spellStart"/>
      <w:r w:rsidR="00266A38" w:rsidRPr="00D1213A">
        <w:t>STrengthening</w:t>
      </w:r>
      <w:proofErr w:type="spellEnd"/>
      <w:r w:rsidR="00266A38" w:rsidRPr="00D1213A">
        <w:t xml:space="preserve"> the Reporting of </w:t>
      </w:r>
      <w:proofErr w:type="spellStart"/>
      <w:r w:rsidR="00266A38" w:rsidRPr="00D1213A">
        <w:t>OBservational</w:t>
      </w:r>
      <w:proofErr w:type="spellEnd"/>
      <w:r w:rsidR="00266A38" w:rsidRPr="00D1213A">
        <w:t xml:space="preserve"> studies in Epidemiology (STROBE).</w:t>
      </w:r>
      <w:r w:rsidR="00266A38" w:rsidRPr="00D1213A">
        <w:fldChar w:fldCharType="begin"/>
      </w:r>
      <w:r w:rsidR="00421780">
        <w:instrText xml:space="preserve"> ADDIN ZOTERO_ITEM CSL_CITATION {"citationID":"7dmThy24","properties":{"formattedCitation":"\\super 14\\nosupersub{}","plainCitation":"14","noteIndex":0},"citationItems":[{"id":7441,"uris":["http://zotero.org/users/8437/items/JVRB45KE"],"uri":["http://zotero.org/users/8437/items/JVRB45KE"],"itemData":{"id":7441,"type":"article-journal","title":"Strengthening the Reporting of Observational Studies in Epidemiology (STROBE) statement: guidelines for reporting observational studies","container-title":"BMJ (Clinical research ed.)","page":"806-808","volume":"335","issue":"7624","source":"PubMed","DOI":"10.1136/bmj.39335.541782.AD","ISSN":"1756-1833","note":"PMID: 17947786\nPMCID: PMC2034723","title-short":"Strengthening the Reporting of Observational Studies in Epidemiology (STROBE) statement","journalAbbreviation":"BMJ","language":"eng","author":[{"family":"Elm","given":"Erik","non-dropping-particle":"von"},{"family":"Altman","given":"Douglas G."},{"family":"Egger","given":"Matthias"},{"family":"Pocock","given":"Stuart J."},{"family":"Gøtzsche","given":"Peter C."},{"family":"Vandenbroucke","given":"Jan P."},{"literal":"STROBE Initiative"}],"issued":{"date-parts":[["2007",10,20]]}}}],"schema":"https://github.com/citation-style-language/schema/raw/master/csl-citation.json"} </w:instrText>
      </w:r>
      <w:r w:rsidR="00266A38" w:rsidRPr="00D1213A">
        <w:fldChar w:fldCharType="separate"/>
      </w:r>
      <w:r w:rsidR="00421780" w:rsidRPr="00421780">
        <w:rPr>
          <w:vertAlign w:val="superscript"/>
        </w:rPr>
        <w:t>14</w:t>
      </w:r>
      <w:r w:rsidR="00266A38" w:rsidRPr="00D1213A">
        <w:fldChar w:fldCharType="end"/>
      </w:r>
    </w:p>
    <w:p w14:paraId="06A8924A" w14:textId="77777777" w:rsidR="004F05A1" w:rsidRPr="00D1213A" w:rsidRDefault="004F05A1" w:rsidP="008E564C"/>
    <w:p w14:paraId="0C00D7CF" w14:textId="349AD65B" w:rsidR="004F05A1" w:rsidRPr="00D1213A" w:rsidRDefault="00266A38" w:rsidP="008E564C">
      <w:pPr>
        <w:rPr>
          <w:i/>
        </w:rPr>
      </w:pPr>
      <w:r w:rsidRPr="00D1213A">
        <w:rPr>
          <w:i/>
        </w:rPr>
        <w:t>Study participants</w:t>
      </w:r>
    </w:p>
    <w:p w14:paraId="5853BD9A" w14:textId="0EB6164C" w:rsidR="00205D55" w:rsidRPr="00D1213A" w:rsidRDefault="004F05A1" w:rsidP="00205D55">
      <w:r w:rsidRPr="00D1213A">
        <w:t xml:space="preserve">At the age of 16 (1986), a national teachers strike and school examinations reduced </w:t>
      </w:r>
      <w:r w:rsidR="00266A38" w:rsidRPr="00D1213A">
        <w:t xml:space="preserve">study member </w:t>
      </w:r>
      <w:r w:rsidRPr="00D1213A">
        <w:t>participation.</w:t>
      </w:r>
      <w:r w:rsidRPr="00D1213A">
        <w:fldChar w:fldCharType="begin"/>
      </w:r>
      <w:r w:rsidR="00421780">
        <w:instrText xml:space="preserve"> ADDIN ZOTERO_ITEM CSL_CITATION {"citationID":"7qWGtUt7","properties":{"formattedCitation":"\\super 15\\nosupersub{}","plainCitation":"15","noteIndex":0},"citationItems":[{"id":7321,"uris":["http://zotero.org/users/8437/items/JIHCTCDK"],"uri":["http://zotero.org/users/8437/items/JIHCTCDK"],"itemData":{"id":7321,"type":"article-journal","title":"BCS70—The 1970 British Cohort Study: The Sixteen-Year Follow-Up","container-title":"Institute of Education, London","source":"Google Scholar","title-short":"BCS70—The 1970 British Cohort Study","author":[{"family":"Goodman","given":"ALISON"},{"family":"Butler","given":"N."}],"issued":{"date-parts":[["1987"]]}}}],"schema":"https://github.com/citation-style-language/schema/raw/master/csl-citation.json"} </w:instrText>
      </w:r>
      <w:r w:rsidRPr="00D1213A">
        <w:fldChar w:fldCharType="separate"/>
      </w:r>
      <w:r w:rsidR="00421780" w:rsidRPr="00421780">
        <w:rPr>
          <w:vertAlign w:val="superscript"/>
        </w:rPr>
        <w:t>15</w:t>
      </w:r>
      <w:r w:rsidRPr="00D1213A">
        <w:fldChar w:fldCharType="end"/>
      </w:r>
      <w:r w:rsidRPr="00D1213A">
        <w:t xml:space="preserve"> </w:t>
      </w:r>
      <w:r w:rsidR="001E225B" w:rsidRPr="00D1213A">
        <w:t>O</w:t>
      </w:r>
      <w:r w:rsidRPr="00D1213A">
        <w:t xml:space="preserve">f the 15,999 members traced and invited to participate, information </w:t>
      </w:r>
      <w:r w:rsidRPr="00D1213A">
        <w:lastRenderedPageBreak/>
        <w:t>was obtained from 11,615 (72.6%). At the age of 30, 14,08</w:t>
      </w:r>
      <w:r w:rsidR="000F3D1B" w:rsidRPr="00D1213A">
        <w:t>7</w:t>
      </w:r>
      <w:r w:rsidRPr="00D1213A">
        <w:t xml:space="preserve"> members were traced and invited to participate and 11,261 (68%) responded. </w:t>
      </w:r>
      <w:r w:rsidR="00376103">
        <w:t>Preliminary analyses showed t</w:t>
      </w:r>
      <w:r w:rsidR="00205D55" w:rsidRPr="00D1213A">
        <w:t xml:space="preserve">here was very little difference in the prevalence of illicit drug use at 16-years among those who did and did not participate in the </w:t>
      </w:r>
      <w:r w:rsidR="00D24D3C" w:rsidRPr="00D1213A">
        <w:t xml:space="preserve">survey at </w:t>
      </w:r>
      <w:r w:rsidR="00205D55" w:rsidRPr="00D1213A">
        <w:t xml:space="preserve">30-years (7.0% vs. 7.2%). </w:t>
      </w:r>
    </w:p>
    <w:p w14:paraId="5AD71D23" w14:textId="77777777" w:rsidR="00C75926" w:rsidRPr="00D1213A" w:rsidRDefault="00C75926" w:rsidP="001E225B"/>
    <w:p w14:paraId="63CE8D89" w14:textId="54D06C49" w:rsidR="001E225B" w:rsidRPr="00D1213A" w:rsidRDefault="00124222" w:rsidP="001E225B">
      <w:pPr>
        <w:rPr>
          <w:i/>
        </w:rPr>
      </w:pPr>
      <w:r w:rsidRPr="00D1213A">
        <w:rPr>
          <w:i/>
        </w:rPr>
        <w:t>Assessment of illicit drug use at age 16 years</w:t>
      </w:r>
    </w:p>
    <w:p w14:paraId="5C62F8EA" w14:textId="553E2781" w:rsidR="00E435CB" w:rsidRPr="00D1213A" w:rsidRDefault="00266A38" w:rsidP="001E225B">
      <w:pPr>
        <w:ind w:firstLine="720"/>
        <w:rPr>
          <w:i/>
        </w:rPr>
      </w:pPr>
      <w:r w:rsidRPr="00D1213A">
        <w:t xml:space="preserve">Exposures, assessed at 16-years of age, were derived from questions asking, “Have you ever tried taking cannabis?” (repeated for glue/solvents, amphetamines, barbiturates, cocaine, heroin and </w:t>
      </w:r>
      <w:r w:rsidR="00D85716">
        <w:rPr>
          <w:rStyle w:val="st"/>
        </w:rPr>
        <w:t>l</w:t>
      </w:r>
      <w:r w:rsidR="00D85716" w:rsidRPr="00D1213A">
        <w:rPr>
          <w:rStyle w:val="st"/>
        </w:rPr>
        <w:t xml:space="preserve">ysergic </w:t>
      </w:r>
      <w:r w:rsidR="001E225B" w:rsidRPr="00D1213A">
        <w:rPr>
          <w:rStyle w:val="st"/>
        </w:rPr>
        <w:t>acid diethylamide</w:t>
      </w:r>
      <w:r w:rsidR="00C00B67">
        <w:rPr>
          <w:rStyle w:val="st"/>
        </w:rPr>
        <w:t xml:space="preserve"> (LSD)</w:t>
      </w:r>
      <w:r w:rsidRPr="00D1213A">
        <w:t xml:space="preserve">). Street names of drugs were </w:t>
      </w:r>
      <w:r w:rsidR="00D85716">
        <w:t xml:space="preserve">also </w:t>
      </w:r>
      <w:r w:rsidRPr="00D1213A">
        <w:t>provided. Responses were combined across drugs and categori</w:t>
      </w:r>
      <w:r w:rsidR="00124222" w:rsidRPr="00D1213A">
        <w:t>s</w:t>
      </w:r>
      <w:r w:rsidRPr="00D1213A">
        <w:t xml:space="preserve">ed </w:t>
      </w:r>
      <w:proofErr w:type="gramStart"/>
      <w:r w:rsidRPr="00D1213A">
        <w:t>into:</w:t>
      </w:r>
      <w:proofErr w:type="gramEnd"/>
      <w:r w:rsidRPr="00D1213A">
        <w:t xml:space="preserve"> never, taken but not in the past year, and taken in the past year. </w:t>
      </w:r>
    </w:p>
    <w:p w14:paraId="06AC54E7" w14:textId="77777777" w:rsidR="001E225B" w:rsidRPr="00D1213A" w:rsidRDefault="001E225B" w:rsidP="001E225B">
      <w:pPr>
        <w:ind w:firstLine="720"/>
        <w:rPr>
          <w:i/>
        </w:rPr>
      </w:pPr>
    </w:p>
    <w:p w14:paraId="2FCA9DAB" w14:textId="55E1E49A" w:rsidR="00266A38" w:rsidRPr="00D1213A" w:rsidRDefault="00E435CB" w:rsidP="001E225B">
      <w:pPr>
        <w:rPr>
          <w:i/>
        </w:rPr>
      </w:pPr>
      <w:r w:rsidRPr="00D1213A">
        <w:rPr>
          <w:i/>
        </w:rPr>
        <w:t>Outcome assessment at age 30 years</w:t>
      </w:r>
    </w:p>
    <w:p w14:paraId="4D67DDE4" w14:textId="0D8403B8" w:rsidR="000661BF" w:rsidRPr="00D1213A" w:rsidRDefault="002C2A61" w:rsidP="008E564C">
      <w:pPr>
        <w:ind w:firstLine="720"/>
      </w:pPr>
      <w:r>
        <w:t>Thirteen</w:t>
      </w:r>
      <w:r w:rsidRPr="00D1213A">
        <w:t xml:space="preserve"> </w:t>
      </w:r>
      <w:r w:rsidR="001901E2" w:rsidRPr="00D1213A">
        <w:t xml:space="preserve">outcomes </w:t>
      </w:r>
      <w:r w:rsidR="00546E93" w:rsidRPr="00D1213A">
        <w:t xml:space="preserve">were chosen from the </w:t>
      </w:r>
      <w:r w:rsidR="001901E2" w:rsidRPr="00D1213A">
        <w:t>assess</w:t>
      </w:r>
      <w:r w:rsidR="00546E93" w:rsidRPr="00D1213A">
        <w:t>ment</w:t>
      </w:r>
      <w:r w:rsidR="001901E2" w:rsidRPr="00D1213A">
        <w:t xml:space="preserve"> at 30-years. </w:t>
      </w:r>
      <w:r w:rsidR="00546E93" w:rsidRPr="00D1213A">
        <w:t xml:space="preserve">These were chosen to test associations across </w:t>
      </w:r>
      <w:proofErr w:type="gramStart"/>
      <w:r w:rsidR="00546E93" w:rsidRPr="00D1213A">
        <w:t>a number of</w:t>
      </w:r>
      <w:proofErr w:type="gramEnd"/>
      <w:r w:rsidR="00546E93" w:rsidRPr="00D1213A">
        <w:t xml:space="preserve"> health and economic domains. </w:t>
      </w:r>
      <w:r w:rsidR="001901E2" w:rsidRPr="00D1213A">
        <w:t xml:space="preserve">Health behaviours </w:t>
      </w:r>
      <w:r w:rsidR="000F3D1B" w:rsidRPr="00D1213A">
        <w:t>comprised</w:t>
      </w:r>
      <w:r w:rsidR="00D75CA5" w:rsidRPr="00D1213A">
        <w:t xml:space="preserve"> illicit drug use </w:t>
      </w:r>
      <w:r w:rsidR="000F3D1B" w:rsidRPr="00D1213A">
        <w:t xml:space="preserve">(ever and </w:t>
      </w:r>
      <w:r w:rsidR="00D75CA5" w:rsidRPr="00D1213A">
        <w:t>in the past year</w:t>
      </w:r>
      <w:r w:rsidR="000F3D1B" w:rsidRPr="00D1213A">
        <w:t>)</w:t>
      </w:r>
      <w:r w:rsidR="00D75CA5" w:rsidRPr="00D1213A">
        <w:t xml:space="preserve">, including the use of cannabis, </w:t>
      </w:r>
      <w:r w:rsidR="00DE1D3A" w:rsidRPr="00D1213A">
        <w:t>cocaine, crack, ecstasy</w:t>
      </w:r>
      <w:r w:rsidR="00D75CA5" w:rsidRPr="00D1213A">
        <w:t xml:space="preserve">, amphetamines, </w:t>
      </w:r>
      <w:r w:rsidR="00DE1D3A" w:rsidRPr="00D1213A">
        <w:t>poppers, temazepam, ketamine</w:t>
      </w:r>
      <w:r w:rsidR="00D75CA5" w:rsidRPr="00D1213A">
        <w:t xml:space="preserve">, </w:t>
      </w:r>
      <w:r w:rsidR="00DE1D3A" w:rsidRPr="00D1213A">
        <w:t xml:space="preserve">magic mushrooms, </w:t>
      </w:r>
      <w:r w:rsidR="00A739F9" w:rsidRPr="00D1213A">
        <w:t>LSD</w:t>
      </w:r>
      <w:r w:rsidR="00DE1D3A" w:rsidRPr="00D1213A">
        <w:t>, heroin, methadone, and other drugs</w:t>
      </w:r>
      <w:r w:rsidR="00A739F9" w:rsidRPr="00D1213A">
        <w:t xml:space="preserve">. Street names of drugs were provided. </w:t>
      </w:r>
      <w:r w:rsidR="000661BF" w:rsidRPr="00D1213A">
        <w:t xml:space="preserve">All participants, apart from lifelong teetotallers, were asked to complete questions on </w:t>
      </w:r>
      <w:r w:rsidR="000F3D1B" w:rsidRPr="00D1213A">
        <w:t xml:space="preserve">possible problems with alcohol using </w:t>
      </w:r>
      <w:r w:rsidR="00A739F9" w:rsidRPr="00D1213A">
        <w:t xml:space="preserve">the </w:t>
      </w:r>
      <w:r w:rsidR="00546E93" w:rsidRPr="00D1213A">
        <w:rPr>
          <w:u w:val="single"/>
        </w:rPr>
        <w:t>c</w:t>
      </w:r>
      <w:r w:rsidR="00546E93" w:rsidRPr="00D1213A">
        <w:t xml:space="preserve">utting down, being </w:t>
      </w:r>
      <w:r w:rsidR="00546E93" w:rsidRPr="00D1213A">
        <w:rPr>
          <w:u w:val="single"/>
        </w:rPr>
        <w:t>a</w:t>
      </w:r>
      <w:r w:rsidR="00546E93" w:rsidRPr="00D1213A">
        <w:t xml:space="preserve">nnoyed by criticism, feeling </w:t>
      </w:r>
      <w:r w:rsidR="00546E93" w:rsidRPr="00D1213A">
        <w:rPr>
          <w:u w:val="single"/>
        </w:rPr>
        <w:t>g</w:t>
      </w:r>
      <w:r w:rsidR="00546E93" w:rsidRPr="00D1213A">
        <w:t xml:space="preserve">uilty, and </w:t>
      </w:r>
      <w:r w:rsidR="00546E93" w:rsidRPr="00D1213A">
        <w:rPr>
          <w:u w:val="single"/>
        </w:rPr>
        <w:t>e</w:t>
      </w:r>
      <w:r w:rsidR="00546E93" w:rsidRPr="00D1213A">
        <w:t>ye-openers (CAGE) questionnaire</w:t>
      </w:r>
      <w:r w:rsidR="00A739F9" w:rsidRPr="00D1213A">
        <w:t>.</w:t>
      </w:r>
      <w:r w:rsidR="00A739F9" w:rsidRPr="00D1213A">
        <w:fldChar w:fldCharType="begin"/>
      </w:r>
      <w:r w:rsidR="00421780">
        <w:instrText xml:space="preserve"> ADDIN ZOTERO_ITEM CSL_CITATION {"citationID":"SKwrLv3k","properties":{"formattedCitation":"\\super 16\\nosupersub{}","plainCitation":"16","noteIndex":0},"citationItems":[{"id":7320,"uris":["http://zotero.org/users/8437/items/NSPK3SYF"],"uri":["http://zotero.org/users/8437/items/NSPK3SYF"],"itemData":{"id":7320,"type":"article-journal","title":"Detecting alcoholism. The CAGE questionnaire","container-title":"JAMA","page":"1905-1907","volume":"252","issue":"14","source":"PubMed","abstract":"Four clinical interview questions, the CAGE questions, have proved useful in helping to make a diagnosis of alcoholism. The questions focus on Cutting down, Annoyance by criticism, Guilty feeling, and Eye-openers. The acronym \"CAGE\" helps the physician to recall the questions. How these questions were identified and their use in clinical and research studies are described.","ISSN":"0098-7484","note":"PMID: 6471323","journalAbbreviation":"JAMA","language":"eng","author":[{"family":"Ewing","given":"J. A."}],"issued":{"date-parts":[["1984",10,12]]}}}],"schema":"https://github.com/citation-style-language/schema/raw/master/csl-citation.json"} </w:instrText>
      </w:r>
      <w:r w:rsidR="00A739F9" w:rsidRPr="00D1213A">
        <w:fldChar w:fldCharType="separate"/>
      </w:r>
      <w:r w:rsidR="00421780" w:rsidRPr="00421780">
        <w:rPr>
          <w:vertAlign w:val="superscript"/>
        </w:rPr>
        <w:t>16</w:t>
      </w:r>
      <w:r w:rsidR="00A739F9" w:rsidRPr="00D1213A">
        <w:fldChar w:fldCharType="end"/>
      </w:r>
      <w:r w:rsidR="00A739F9" w:rsidRPr="00D1213A">
        <w:t xml:space="preserve"> Smoking every day was defined as smoking a</w:t>
      </w:r>
      <w:r w:rsidR="00305EEB">
        <w:t>t least one</w:t>
      </w:r>
      <w:r w:rsidR="00A739F9" w:rsidRPr="00D1213A">
        <w:t xml:space="preserve"> cigarette every day in the past week. </w:t>
      </w:r>
      <w:r w:rsidR="00C00B67">
        <w:t>M</w:t>
      </w:r>
      <w:r w:rsidR="000661BF" w:rsidRPr="00D1213A">
        <w:t xml:space="preserve">ental health </w:t>
      </w:r>
      <w:r w:rsidR="00546E93" w:rsidRPr="00D1213A">
        <w:t xml:space="preserve">problems </w:t>
      </w:r>
      <w:r w:rsidR="000661BF" w:rsidRPr="00D1213A">
        <w:t>w</w:t>
      </w:r>
      <w:r w:rsidR="00C00B67">
        <w:t>ere</w:t>
      </w:r>
      <w:r w:rsidR="000661BF" w:rsidRPr="00D1213A">
        <w:t xml:space="preserve"> assessed </w:t>
      </w:r>
      <w:r w:rsidR="00E435CB" w:rsidRPr="00D1213A">
        <w:t>using enquiries</w:t>
      </w:r>
      <w:r w:rsidR="00C00B67">
        <w:t xml:space="preserve"> on</w:t>
      </w:r>
      <w:r w:rsidR="00546E93" w:rsidRPr="00D1213A">
        <w:t>:</w:t>
      </w:r>
      <w:r w:rsidR="000661BF" w:rsidRPr="00D1213A">
        <w:t xml:space="preserve"> having seen a specialist</w:t>
      </w:r>
      <w:r w:rsidR="00E435CB" w:rsidRPr="00D1213A">
        <w:t xml:space="preserve"> medical provider</w:t>
      </w:r>
      <w:r w:rsidR="00546E93" w:rsidRPr="00D1213A">
        <w:t xml:space="preserve"> since age 16</w:t>
      </w:r>
      <w:r w:rsidR="00E435CB" w:rsidRPr="00D1213A">
        <w:t xml:space="preserve"> </w:t>
      </w:r>
      <w:r w:rsidR="000661BF" w:rsidRPr="00D1213A">
        <w:t>because of a problem with illicit drugs</w:t>
      </w:r>
      <w:r w:rsidR="00376103">
        <w:t>;</w:t>
      </w:r>
      <w:r w:rsidR="000661BF" w:rsidRPr="00D1213A">
        <w:t xml:space="preserve"> a</w:t>
      </w:r>
      <w:r w:rsidR="005542D2" w:rsidRPr="00D1213A">
        <w:t xml:space="preserve"> mental health problem</w:t>
      </w:r>
      <w:r w:rsidR="00E435CB" w:rsidRPr="00D1213A">
        <w:t>;</w:t>
      </w:r>
      <w:r w:rsidR="000F3D1B" w:rsidRPr="00D1213A">
        <w:t xml:space="preserve"> </w:t>
      </w:r>
      <w:r w:rsidR="00E435CB" w:rsidRPr="00D1213A">
        <w:t xml:space="preserve">or </w:t>
      </w:r>
      <w:r w:rsidR="00C00B67">
        <w:t xml:space="preserve">a </w:t>
      </w:r>
      <w:r w:rsidR="000F3D1B" w:rsidRPr="00D1213A">
        <w:t xml:space="preserve">psychological morbidity </w:t>
      </w:r>
      <w:r w:rsidR="00E435CB" w:rsidRPr="00D1213A">
        <w:t xml:space="preserve">based on a score of </w:t>
      </w:r>
      <w:r w:rsidR="00546E93" w:rsidRPr="00D1213A">
        <w:t xml:space="preserve"> ≥</w:t>
      </w:r>
      <w:r w:rsidR="00E435CB" w:rsidRPr="00D1213A">
        <w:t>7 on the</w:t>
      </w:r>
      <w:r w:rsidR="005542D2" w:rsidRPr="00D1213A">
        <w:t xml:space="preserve"> Rutter Malaise Inventory</w:t>
      </w:r>
      <w:r w:rsidR="00E435CB" w:rsidRPr="00D1213A">
        <w:t>.</w:t>
      </w:r>
      <w:r w:rsidR="00E435CB" w:rsidRPr="00D1213A">
        <w:fldChar w:fldCharType="begin"/>
      </w:r>
      <w:r w:rsidR="00421780">
        <w:instrText xml:space="preserve"> ADDIN ZOTERO_ITEM CSL_CITATION {"citationID":"7HaX82sa","properties":{"formattedCitation":"\\super 17\\nosupersub{}","plainCitation":"17","noteIndex":0},"citationItems":[{"id":7500,"uris":["http://zotero.org/users/8437/items/ZQ8SPUGJ"],"uri":["http://zotero.org/users/8437/items/ZQ8SPUGJ"],"itemData":{"id":7500,"type":"article-journal","title":"Validity of the Malaise Inventory in general population samples","container-title":"Social Psychiatry and Psychiatric Epidemiology","page":"333-341","volume":"34","issue":"6","source":"Springer Link","abstract":"Background: The Malaise Inventory is a commonly used self-completion scale for assessing psychiatric morbidity. There is some evidence that it may represent two separate psychological and somatic sub-scales rather than a single underlying factor of distress. This paper provides further information on the factor structure of the Inventory and on the reliability and validity of the total scale and two sub-scales. Methods: Two general population samples completed the full Inventory: over 11,000 subjects from the National Child Development Study at ages 23 and 33, and 544 mothers of adolescents included in the Isle of Wight epidemiological surveys. Results: The internal consistency of the full 24-item scale and the 15-item psychological sub-scale were found to be acceptable, but the eight-item somatic sub-scale was less reliable. Factor analysis of all 24 items identified a first main general factor and a second more purely psychological factor. Receiver operating characteristic (ROC) analysis indicated that the validity of the scale held for men and women separately and for different socio-economic groups, by reference to external criteria covering current or recent psychiatric morbidity and service use, and that the psychological sub-scale had no greater validity than the full scale. Conclusions: This study did not support the separate scoring of a somatic sub-scale of the Malaise Inventory. Use of the 15-item psychological sub-scale can be justified on the grounds of reduced time and cost for completion, with little loss of reliability or validity, but this approach would not significantly enhance the properties of the Inventory by comparison with the full 24-item scale. Inclusion of somatic items may be more problematic when the full scale is used to compare particular sub-populations with different propensities for physical morbidity, such as different age groups, and in these circumstances it would be a sensible precaution to utilise the 15-item psychological sub-scale.","DOI":"10.1007/s001270050153","ISSN":"1433-9285","journalAbbreviation":"Soc Psychiatry Psychiatr Epidemiol","language":"en","author":[{"family":"Rodgers","given":"B."},{"family":"Pickles","given":"A."},{"family":"Power","given":"C."},{"family":"Collishaw","given":"S."},{"family":"Maughan","given":"B."}],"issued":{"date-parts":[["1999",6,1]]}}}],"schema":"https://github.com/citation-style-language/schema/raw/master/csl-citation.json"} </w:instrText>
      </w:r>
      <w:r w:rsidR="00E435CB" w:rsidRPr="00D1213A">
        <w:fldChar w:fldCharType="separate"/>
      </w:r>
      <w:r w:rsidR="00421780" w:rsidRPr="00421780">
        <w:rPr>
          <w:vertAlign w:val="superscript"/>
        </w:rPr>
        <w:t>17</w:t>
      </w:r>
      <w:r w:rsidR="00E435CB" w:rsidRPr="00D1213A">
        <w:fldChar w:fldCharType="end"/>
      </w:r>
      <w:r w:rsidR="00E435CB" w:rsidRPr="00D1213A">
        <w:t xml:space="preserve"> </w:t>
      </w:r>
      <w:r w:rsidR="005542D2" w:rsidRPr="00D1213A">
        <w:t xml:space="preserve">Physical health was </w:t>
      </w:r>
      <w:r w:rsidR="00E435CB" w:rsidRPr="00D1213A">
        <w:t xml:space="preserve">ascertained from </w:t>
      </w:r>
      <w:r w:rsidR="005542D2" w:rsidRPr="00D1213A">
        <w:t xml:space="preserve">self-reports of accidents that occurred since </w:t>
      </w:r>
      <w:r w:rsidR="003C0B0B" w:rsidRPr="00D1213A">
        <w:t xml:space="preserve">16-years </w:t>
      </w:r>
      <w:r w:rsidR="005542D2" w:rsidRPr="00D1213A">
        <w:t>that required treatment by a doctor. These included a sub-set that were due to a mugging or a violent or sexual assault.</w:t>
      </w:r>
      <w:r w:rsidR="00CC1BE5" w:rsidRPr="00D1213A">
        <w:t xml:space="preserve"> </w:t>
      </w:r>
      <w:r w:rsidR="00277AAC" w:rsidRPr="00D1213A">
        <w:t>Socioeconomic disadvantage</w:t>
      </w:r>
      <w:r w:rsidR="00CC1BE5" w:rsidRPr="00D1213A">
        <w:t xml:space="preserve"> was </w:t>
      </w:r>
      <w:r w:rsidR="00E435CB" w:rsidRPr="00D1213A">
        <w:t>based on</w:t>
      </w:r>
      <w:r w:rsidR="00BC39A7" w:rsidRPr="00D1213A">
        <w:t xml:space="preserve"> </w:t>
      </w:r>
      <w:r w:rsidR="00CC1BE5" w:rsidRPr="00D1213A">
        <w:t xml:space="preserve">employment status </w:t>
      </w:r>
      <w:r w:rsidR="00277AAC" w:rsidRPr="00D1213A">
        <w:t xml:space="preserve">and whether </w:t>
      </w:r>
      <w:r w:rsidR="00BC39A7" w:rsidRPr="00D1213A">
        <w:t>participants</w:t>
      </w:r>
      <w:r w:rsidR="00277AAC" w:rsidRPr="00D1213A">
        <w:t xml:space="preserve"> had been</w:t>
      </w:r>
      <w:r w:rsidR="00CC1BE5" w:rsidRPr="00D1213A">
        <w:t xml:space="preserve"> homelessness since 16-years</w:t>
      </w:r>
      <w:r w:rsidR="00277AAC" w:rsidRPr="00D1213A">
        <w:t xml:space="preserve">. </w:t>
      </w:r>
      <w:r w:rsidR="00E435CB" w:rsidRPr="00D1213A">
        <w:t xml:space="preserve">Finally, study members reported </w:t>
      </w:r>
      <w:r w:rsidR="00684235">
        <w:t xml:space="preserve">having been arrested, formally cautioned or found guilty in a court </w:t>
      </w:r>
      <w:r w:rsidR="00684235" w:rsidRPr="00D1213A">
        <w:t>since 16-years</w:t>
      </w:r>
      <w:r w:rsidR="00684235" w:rsidRPr="00D1213A" w:rsidDel="00684235">
        <w:t xml:space="preserve"> </w:t>
      </w:r>
      <w:r w:rsidR="00684235">
        <w:t>of age</w:t>
      </w:r>
      <w:r w:rsidR="00376103">
        <w:t xml:space="preserve">. </w:t>
      </w:r>
    </w:p>
    <w:p w14:paraId="560BD9FC" w14:textId="77777777" w:rsidR="00E435CB" w:rsidRPr="00D1213A" w:rsidRDefault="00E435CB" w:rsidP="00546E93"/>
    <w:p w14:paraId="1FB683EC" w14:textId="4B2577A0" w:rsidR="00E435CB" w:rsidRPr="00D1213A" w:rsidRDefault="00314507" w:rsidP="00546E93">
      <w:pPr>
        <w:rPr>
          <w:i/>
        </w:rPr>
      </w:pPr>
      <w:r w:rsidRPr="00D1213A">
        <w:rPr>
          <w:i/>
        </w:rPr>
        <w:lastRenderedPageBreak/>
        <w:t>Covariates</w:t>
      </w:r>
    </w:p>
    <w:p w14:paraId="2285E01E" w14:textId="7337D3CB" w:rsidR="004F05A1" w:rsidRPr="00D1213A" w:rsidRDefault="004F05A1" w:rsidP="008E564C">
      <w:pPr>
        <w:ind w:firstLine="720"/>
      </w:pPr>
      <w:r w:rsidRPr="00D1213A">
        <w:t xml:space="preserve">Covariates, identified </w:t>
      </w:r>
      <w:r w:rsidRPr="00D1213A">
        <w:rPr>
          <w:i/>
        </w:rPr>
        <w:t>a priori</w:t>
      </w:r>
      <w:r w:rsidRPr="00D1213A">
        <w:t xml:space="preserve">, were chosen based on previous studies showing an association with adolescent and/or adult </w:t>
      </w:r>
      <w:r w:rsidR="00D42E4F" w:rsidRPr="00D1213A">
        <w:t>illicit drug use</w:t>
      </w:r>
      <w:r w:rsidRPr="00D1213A">
        <w:t>. At 16-years of age these included the number of units of alcohol consumed in the past week,</w:t>
      </w:r>
      <w:r w:rsidR="000C7D0C" w:rsidRPr="00D1213A">
        <w:t xml:space="preserve"> smoking in the past week, </w:t>
      </w:r>
      <w:r w:rsidRPr="00D1213A">
        <w:t xml:space="preserve"> </w:t>
      </w:r>
      <w:r w:rsidR="000C7D0C" w:rsidRPr="00D1213A">
        <w:t xml:space="preserve">psychological morbidity (score of  </w:t>
      </w:r>
      <w:r w:rsidR="00061824" w:rsidRPr="00D1213A">
        <w:t>≥</w:t>
      </w:r>
      <w:r w:rsidR="000C7D0C" w:rsidRPr="00D1213A">
        <w:t>7 on the Rutter Malaise inventory)</w:t>
      </w:r>
      <w:r w:rsidRPr="00D1213A">
        <w:t>,</w:t>
      </w:r>
      <w:r w:rsidR="00C22272" w:rsidRPr="00D1213A">
        <w:fldChar w:fldCharType="begin"/>
      </w:r>
      <w:r w:rsidR="00421780">
        <w:instrText xml:space="preserve"> ADDIN ZOTERO_ITEM CSL_CITATION {"citationID":"nrxUaeQZ","properties":{"formattedCitation":"\\super 17\\nosupersub{}","plainCitation":"17","noteIndex":0},"citationItems":[{"id":7500,"uris":["http://zotero.org/users/8437/items/ZQ8SPUGJ"],"uri":["http://zotero.org/users/8437/items/ZQ8SPUGJ"],"itemData":{"id":7500,"type":"article-journal","title":"Validity of the Malaise Inventory in general population samples","container-title":"Social Psychiatry and Psychiatric Epidemiology","page":"333-341","volume":"34","issue":"6","source":"Springer Link","abstract":"Background: The Malaise Inventory is a commonly used self-completion scale for assessing psychiatric morbidity. There is some evidence that it may represent two separate psychological and somatic sub-scales rather than a single underlying factor of distress. This paper provides further information on the factor structure of the Inventory and on the reliability and validity of the total scale and two sub-scales. Methods: Two general population samples completed the full Inventory: over 11,000 subjects from the National Child Development Study at ages 23 and 33, and 544 mothers of adolescents included in the Isle of Wight epidemiological surveys. Results: The internal consistency of the full 24-item scale and the 15-item psychological sub-scale were found to be acceptable, but the eight-item somatic sub-scale was less reliable. Factor analysis of all 24 items identified a first main general factor and a second more purely psychological factor. Receiver operating characteristic (ROC) analysis indicated that the validity of the scale held for men and women separately and for different socio-economic groups, by reference to external criteria covering current or recent psychiatric morbidity and service use, and that the psychological sub-scale had no greater validity than the full scale. Conclusions: This study did not support the separate scoring of a somatic sub-scale of the Malaise Inventory. Use of the 15-item psychological sub-scale can be justified on the grounds of reduced time and cost for completion, with little loss of reliability or validity, but this approach would not significantly enhance the properties of the Inventory by comparison with the full 24-item scale. Inclusion of somatic items may be more problematic when the full scale is used to compare particular sub-populations with different propensities for physical morbidity, such as different age groups, and in these circumstances it would be a sensible precaution to utilise the 15-item psychological sub-scale.","DOI":"10.1007/s001270050153","ISSN":"1433-9285","journalAbbreviation":"Soc Psychiatry Psychiatr Epidemiol","language":"en","author":[{"family":"Rodgers","given":"B."},{"family":"Pickles","given":"A."},{"family":"Power","given":"C."},{"family":"Collishaw","given":"S."},{"family":"Maughan","given":"B."}],"issued":{"date-parts":[["1999",6,1]]}}}],"schema":"https://github.com/citation-style-language/schema/raw/master/csl-citation.json"} </w:instrText>
      </w:r>
      <w:r w:rsidR="00C22272" w:rsidRPr="00D1213A">
        <w:fldChar w:fldCharType="separate"/>
      </w:r>
      <w:r w:rsidR="00421780" w:rsidRPr="00421780">
        <w:rPr>
          <w:vertAlign w:val="superscript"/>
        </w:rPr>
        <w:t>17</w:t>
      </w:r>
      <w:r w:rsidR="00C22272" w:rsidRPr="00D1213A">
        <w:fldChar w:fldCharType="end"/>
      </w:r>
      <w:r w:rsidRPr="00D1213A">
        <w:t xml:space="preserve"> and occupational social class based on mother’s and father’s occupation provided by parents at interview and coded using the Registrar General’s classification system.</w:t>
      </w:r>
      <w:r w:rsidRPr="00D1213A">
        <w:fldChar w:fldCharType="begin"/>
      </w:r>
      <w:r w:rsidR="00421780">
        <w:instrText xml:space="preserve"> ADDIN ZOTERO_ITEM CSL_CITATION {"citationID":"TK5kgoNk","properties":{"formattedCitation":"\\super 18\\nosupersub{}","plainCitation":"18","noteIndex":0},"citationItems":[{"id":2801,"uris":["http://zotero.org/users/8437/items/RPKFXGSI"],"uri":["http://zotero.org/users/8437/items/RPKFXGSI"],"itemData":{"id":2801,"type":"article-journal","title":"Classification of occupations","container-title":"London: HMSO","source":"Google Scholar","author":[{"family":"General","given":"R."}],"issued":{"date-parts":[["1980"]]}}}],"schema":"https://github.com/citation-style-language/schema/raw/master/csl-citation.json"} </w:instrText>
      </w:r>
      <w:r w:rsidRPr="00D1213A">
        <w:fldChar w:fldCharType="separate"/>
      </w:r>
      <w:r w:rsidR="00421780" w:rsidRPr="00421780">
        <w:rPr>
          <w:vertAlign w:val="superscript"/>
        </w:rPr>
        <w:t>18</w:t>
      </w:r>
      <w:r w:rsidRPr="00D1213A">
        <w:fldChar w:fldCharType="end"/>
      </w:r>
      <w:r w:rsidRPr="00D1213A">
        <w:t xml:space="preserve"> </w:t>
      </w:r>
    </w:p>
    <w:p w14:paraId="04F3AFD3" w14:textId="77777777" w:rsidR="004F05A1" w:rsidRPr="00D1213A" w:rsidRDefault="004F05A1" w:rsidP="008E564C"/>
    <w:p w14:paraId="13ACEBBA" w14:textId="77777777" w:rsidR="004F05A1" w:rsidRPr="00421780" w:rsidRDefault="004F05A1" w:rsidP="008E564C">
      <w:pPr>
        <w:rPr>
          <w:iCs/>
        </w:rPr>
      </w:pPr>
      <w:r w:rsidRPr="00421780">
        <w:rPr>
          <w:iCs/>
        </w:rPr>
        <w:t>Statistical methods</w:t>
      </w:r>
    </w:p>
    <w:p w14:paraId="3E3AAE6F" w14:textId="61D0B843" w:rsidR="00D1213A" w:rsidRDefault="00580731" w:rsidP="00EE6B6C">
      <w:r w:rsidRPr="00D1213A">
        <w:t xml:space="preserve">We took two approaches to dealing with missing data. </w:t>
      </w:r>
      <w:r w:rsidR="006B3D48" w:rsidRPr="00D1213A">
        <w:t xml:space="preserve">The primary approach was to </w:t>
      </w:r>
      <w:r w:rsidRPr="00D1213A">
        <w:t>imput</w:t>
      </w:r>
      <w:r w:rsidR="006B3D48" w:rsidRPr="00D1213A">
        <w:t xml:space="preserve">e all </w:t>
      </w:r>
      <w:r w:rsidRPr="00D1213A">
        <w:t>missing exposure, outcome and covariate data (MI)</w:t>
      </w:r>
      <w:r w:rsidR="006B3D48" w:rsidRPr="00D1213A">
        <w:t xml:space="preserve"> using information from over 40 variables associated with our measures </w:t>
      </w:r>
      <w:r w:rsidR="00D1213A" w:rsidRPr="00D1213A">
        <w:t>or</w:t>
      </w:r>
      <w:r w:rsidR="006B3D48" w:rsidRPr="00D1213A">
        <w:t xml:space="preserve"> missingness to </w:t>
      </w:r>
      <w:proofErr w:type="gramStart"/>
      <w:r w:rsidR="006B3D48" w:rsidRPr="00D1213A">
        <w:t>make the assumption</w:t>
      </w:r>
      <w:proofErr w:type="gramEnd"/>
      <w:r w:rsidR="006B3D48" w:rsidRPr="00D1213A">
        <w:t xml:space="preserve"> that data were ‘missing at random’ more plausible. We conducted a sensitivity analysis using </w:t>
      </w:r>
      <w:r w:rsidRPr="00D1213A">
        <w:t xml:space="preserve">multiple imputation then deletion (MID) whereby exposure, outcome and covariate data are </w:t>
      </w:r>
      <w:r w:rsidR="00EE6B6C" w:rsidRPr="00D1213A">
        <w:t xml:space="preserve">imputed, but outcome is then deleted before </w:t>
      </w:r>
      <w:r w:rsidR="006B3D48" w:rsidRPr="00D1213A">
        <w:t xml:space="preserve">analysis. </w:t>
      </w:r>
      <w:r w:rsidR="0033310C">
        <w:t>MID</w:t>
      </w:r>
      <w:r w:rsidR="00D1213A" w:rsidRPr="00D1213A">
        <w:t xml:space="preserve"> has been found to produce m</w:t>
      </w:r>
      <w:r w:rsidR="006B3D48" w:rsidRPr="00D1213A">
        <w:t xml:space="preserve">ore precise estimates than MI and can help minimize bias if the model for imputing outcome data is mis-specified (i.e., because imputed outcome data are removed </w:t>
      </w:r>
      <w:r w:rsidR="00200764">
        <w:t>before</w:t>
      </w:r>
      <w:r w:rsidR="006B3D48" w:rsidRPr="00D1213A">
        <w:t xml:space="preserve"> analysis).</w:t>
      </w:r>
      <w:r w:rsidR="00D1213A" w:rsidRPr="00D1213A">
        <w:t xml:space="preserve"> </w:t>
      </w:r>
      <w:r w:rsidR="00D1213A" w:rsidRPr="00D1213A">
        <w:fldChar w:fldCharType="begin"/>
      </w:r>
      <w:r w:rsidR="00421780">
        <w:instrText xml:space="preserve"> ADDIN ZOTERO_ITEM CSL_CITATION {"citationID":"YC0JznLs","properties":{"formattedCitation":"\\super 19\\nosupersub{}","plainCitation":"19","noteIndex":0},"citationItems":[{"id":8150,"uris":["http://zotero.org/users/8437/items/CUP4AV9M"],"uri":["http://zotero.org/users/8437/items/CUP4AV9M"],"itemData":{"id":8150,"type":"article-journal","title":"4. Regression with missing Ys: An improved strategy for analyzing multiply imputed data","container-title":"Sociological Methodology","page":"83–117","volume":"37","issue":"1","source":"Google Scholar","title-short":"4. Regression with missing Ys","author":[{"family":"Von Hippel","given":"Paul T."}],"issued":{"date-parts":[["2007"]]}}}],"schema":"https://github.com/citation-style-language/schema/raw/master/csl-citation.json"} </w:instrText>
      </w:r>
      <w:r w:rsidR="00D1213A" w:rsidRPr="00D1213A">
        <w:fldChar w:fldCharType="separate"/>
      </w:r>
      <w:r w:rsidR="00421780" w:rsidRPr="00421780">
        <w:rPr>
          <w:vertAlign w:val="superscript"/>
        </w:rPr>
        <w:t>19</w:t>
      </w:r>
      <w:r w:rsidR="00D1213A" w:rsidRPr="00D1213A">
        <w:fldChar w:fldCharType="end"/>
      </w:r>
      <w:r w:rsidR="00D1213A" w:rsidRPr="00D1213A">
        <w:t xml:space="preserve"> </w:t>
      </w:r>
      <w:r w:rsidR="00EE6B6C" w:rsidRPr="00D1213A">
        <w:t xml:space="preserve">For </w:t>
      </w:r>
      <w:r w:rsidR="0033310C">
        <w:t>both</w:t>
      </w:r>
      <w:r w:rsidR="00EE6B6C" w:rsidRPr="00D1213A">
        <w:t xml:space="preserve"> MI and MID we</w:t>
      </w:r>
      <w:r w:rsidR="004F05A1" w:rsidRPr="00D1213A">
        <w:t xml:space="preserve"> generate</w:t>
      </w:r>
      <w:r w:rsidR="00EE6B6C" w:rsidRPr="00D1213A">
        <w:t>d</w:t>
      </w:r>
      <w:r w:rsidR="004F05A1" w:rsidRPr="00D1213A">
        <w:t xml:space="preserve"> 20 imputed datasets. </w:t>
      </w:r>
    </w:p>
    <w:p w14:paraId="6BDBE947" w14:textId="3664498A" w:rsidR="004F05A1" w:rsidRPr="00D1213A" w:rsidRDefault="004F05A1" w:rsidP="00401D5F">
      <w:pPr>
        <w:ind w:firstLine="720"/>
      </w:pPr>
      <w:r w:rsidRPr="00D1213A">
        <w:t xml:space="preserve">We compared the characteristics of participants </w:t>
      </w:r>
      <w:r w:rsidR="0062631D" w:rsidRPr="00D1213A">
        <w:t>with and without c</w:t>
      </w:r>
      <w:r w:rsidRPr="00D1213A">
        <w:t xml:space="preserve">omplete data. </w:t>
      </w:r>
      <w:r w:rsidR="003C0B0B" w:rsidRPr="00D1213A">
        <w:t xml:space="preserve">Logistic regression was used to calculate odds ratios (ORs) and 95% confidence intervals (CI) </w:t>
      </w:r>
      <w:r w:rsidR="0062631D" w:rsidRPr="00D1213A">
        <w:t xml:space="preserve">to </w:t>
      </w:r>
      <w:r w:rsidR="00D1213A" w:rsidRPr="00D1213A">
        <w:t>summarize</w:t>
      </w:r>
      <w:r w:rsidR="0062631D" w:rsidRPr="00D1213A">
        <w:t xml:space="preserve"> the association between illicit drug use at 16-years of age and later </w:t>
      </w:r>
      <w:r w:rsidR="003C0B0B" w:rsidRPr="00D1213A">
        <w:t xml:space="preserve">outcomes. </w:t>
      </w:r>
      <w:r w:rsidR="0062631D" w:rsidRPr="00D1213A">
        <w:t xml:space="preserve">In preliminary analyses, there was no difference in results in men and </w:t>
      </w:r>
      <w:proofErr w:type="gramStart"/>
      <w:r w:rsidR="0062631D" w:rsidRPr="00D1213A">
        <w:t>women</w:t>
      </w:r>
      <w:proofErr w:type="gramEnd"/>
      <w:r w:rsidR="0062631D" w:rsidRPr="00D1213A">
        <w:t xml:space="preserve"> so data were pooled and sex-adjusted</w:t>
      </w:r>
      <w:r w:rsidR="003C0B0B" w:rsidRPr="00D1213A">
        <w:t xml:space="preserve">. </w:t>
      </w:r>
      <w:r w:rsidR="0062631D" w:rsidRPr="00D1213A">
        <w:t xml:space="preserve">Illegal drug use </w:t>
      </w:r>
      <w:r w:rsidR="00DC466D" w:rsidRPr="00D1213A">
        <w:t xml:space="preserve">at 16-years </w:t>
      </w:r>
      <w:r w:rsidR="0062631D" w:rsidRPr="00D1213A">
        <w:t xml:space="preserve">was </w:t>
      </w:r>
      <w:r w:rsidR="00DC466D" w:rsidRPr="00D1213A">
        <w:t>modelled as a binary variable (never vs. use in the past year), or as a categorical variable (never vs. taken but not in the past year, used in the past year).</w:t>
      </w:r>
      <w:r w:rsidR="00545225" w:rsidRPr="00D1213A">
        <w:t xml:space="preserve"> </w:t>
      </w:r>
      <w:r w:rsidR="00200764">
        <w:t>The primary analysis was the testing of d</w:t>
      </w:r>
      <w:r w:rsidR="00545225" w:rsidRPr="00D1213A">
        <w:t xml:space="preserve">ose-response associations by modelling the categorical drug use </w:t>
      </w:r>
      <w:r w:rsidR="00651FAC" w:rsidRPr="00D1213A">
        <w:t xml:space="preserve">exposure </w:t>
      </w:r>
      <w:r w:rsidR="00545225" w:rsidRPr="00D1213A">
        <w:t>variable as a linear term.</w:t>
      </w:r>
      <w:r w:rsidR="00DC466D" w:rsidRPr="00D1213A">
        <w:t xml:space="preserve"> </w:t>
      </w:r>
      <w:r w:rsidR="00200764">
        <w:t xml:space="preserve">To reduce the risk of generating </w:t>
      </w:r>
      <w:r w:rsidR="00401D5F">
        <w:t>spurious findings due to multiple testing</w:t>
      </w:r>
      <w:r w:rsidR="00200764">
        <w:t xml:space="preserve"> w</w:t>
      </w:r>
      <w:r w:rsidR="00401D5F">
        <w:t>e applied the Bonferroni correction to the tests of trend</w:t>
      </w:r>
      <w:r w:rsidR="00200764">
        <w:t xml:space="preserve"> across categories of drug use</w:t>
      </w:r>
      <w:r w:rsidR="00401D5F">
        <w:t>.</w:t>
      </w:r>
      <w:r w:rsidR="003F5C2A">
        <w:fldChar w:fldCharType="begin"/>
      </w:r>
      <w:r w:rsidR="00421780">
        <w:instrText xml:space="preserve"> ADDIN ZOTERO_ITEM CSL_CITATION {"citationID":"E0IpxfYn","properties":{"formattedCitation":"\\super 20\\nosupersub{}","plainCitation":"20","noteIndex":0},"citationItems":[{"id":8144,"uris":["http://zotero.org/users/8437/items/D4P2XVFF"],"uri":["http://zotero.org/users/8437/items/D4P2XVFF"],"itemData":{"id":8144,"type":"article-journal","title":"Some desirable properties of the Bonferroni correction: Is the Bonferroni correction really so bad?","container-title":"American Journal of Epidemiology","page":"617-618","volume":"188","issue":"3","source":"PubMed","DOI":"10.1093/aje/kwy250","ISSN":"1476-6256","note":"PMID: 30452538\nPMCID: PMC6395159","title-short":"SOME DESIRABLE PROPERTIES OF THE BONFERRONI CORRECTION","journalAbbreviation":"Am. J. Epidemiol.","language":"eng","author":[{"family":"VanderWeele","given":"Tyler J."},{"family":"Mathur","given":"Maya B."}],"issued":{"date-parts":[["2019",3,1]]}}}],"schema":"https://github.com/citation-style-language/schema/raw/master/csl-citation.json"} </w:instrText>
      </w:r>
      <w:r w:rsidR="003F5C2A">
        <w:fldChar w:fldCharType="separate"/>
      </w:r>
      <w:r w:rsidR="00421780" w:rsidRPr="00421780">
        <w:rPr>
          <w:vertAlign w:val="superscript"/>
        </w:rPr>
        <w:t>20</w:t>
      </w:r>
      <w:r w:rsidR="003F5C2A">
        <w:fldChar w:fldCharType="end"/>
      </w:r>
      <w:r w:rsidR="00401D5F">
        <w:t xml:space="preserve"> This meant that only p-value</w:t>
      </w:r>
      <w:r w:rsidR="00200764">
        <w:t>s</w:t>
      </w:r>
      <w:r w:rsidR="00401D5F">
        <w:t xml:space="preserve"> for a test of trend of &lt;0.00</w:t>
      </w:r>
      <w:r w:rsidR="008D5ABA">
        <w:t>4</w:t>
      </w:r>
      <w:r w:rsidR="00401D5F">
        <w:t xml:space="preserve"> (p=0.05</w:t>
      </w:r>
      <w:r w:rsidR="00A6437F">
        <w:t>/</w:t>
      </w:r>
      <w:r w:rsidR="00401D5F">
        <w:t>1</w:t>
      </w:r>
      <w:r w:rsidR="008D5ABA">
        <w:t>3</w:t>
      </w:r>
      <w:r w:rsidR="00401D5F">
        <w:t>) were considered significant</w:t>
      </w:r>
      <w:r w:rsidR="00A1475D">
        <w:t xml:space="preserve">. </w:t>
      </w:r>
      <w:r w:rsidR="00DC466D" w:rsidRPr="00D1213A">
        <w:t>Odds ratios were adjusted for sex</w:t>
      </w:r>
      <w:r w:rsidR="00401D5F">
        <w:t xml:space="preserve">, </w:t>
      </w:r>
      <w:r w:rsidR="00401D5F" w:rsidRPr="00401D5F">
        <w:t>parental social class and the Rutter Malaise Inventory and at 16 year</w:t>
      </w:r>
      <w:r w:rsidR="00401D5F">
        <w:t xml:space="preserve">, </w:t>
      </w:r>
      <w:r w:rsidR="00DC466D" w:rsidRPr="00D1213A">
        <w:t xml:space="preserve">plus the baseline status of the outcome variable </w:t>
      </w:r>
      <w:r w:rsidR="00401D5F">
        <w:t>if</w:t>
      </w:r>
      <w:r w:rsidR="00DC466D" w:rsidRPr="00D1213A">
        <w:t xml:space="preserve"> it was available at 16-years. </w:t>
      </w:r>
      <w:r w:rsidRPr="00D1213A">
        <w:t>All analyses were performed using Stata, version 15.1.</w:t>
      </w:r>
    </w:p>
    <w:p w14:paraId="28BF289D" w14:textId="77777777" w:rsidR="00D42E4F" w:rsidRPr="00D1213A" w:rsidRDefault="00D42E4F" w:rsidP="008E564C">
      <w:pPr>
        <w:rPr>
          <w:b/>
        </w:rPr>
      </w:pPr>
    </w:p>
    <w:p w14:paraId="058CAE8A" w14:textId="703D243A" w:rsidR="004F05A1" w:rsidRPr="00D1213A" w:rsidRDefault="004F05A1" w:rsidP="008E564C">
      <w:pPr>
        <w:rPr>
          <w:b/>
        </w:rPr>
      </w:pPr>
      <w:r w:rsidRPr="00D1213A">
        <w:rPr>
          <w:b/>
        </w:rPr>
        <w:t>Results</w:t>
      </w:r>
    </w:p>
    <w:p w14:paraId="1693ECE9" w14:textId="6F6A3791" w:rsidR="0031245E" w:rsidRPr="00D1213A" w:rsidRDefault="00617429" w:rsidP="008E564C">
      <w:r w:rsidRPr="00D1213A">
        <w:t xml:space="preserve">There were 14,082 participants who provided </w:t>
      </w:r>
      <w:r w:rsidR="00BC39A7" w:rsidRPr="00D1213A">
        <w:t>data</w:t>
      </w:r>
      <w:r w:rsidRPr="00D1213A">
        <w:t xml:space="preserve"> at either 16 or 30 years of age. The</w:t>
      </w:r>
      <w:r w:rsidR="0033310C">
        <w:t xml:space="preserve"> MID</w:t>
      </w:r>
      <w:r w:rsidRPr="00D1213A">
        <w:t xml:space="preserve"> sample with </w:t>
      </w:r>
      <w:r w:rsidR="00C1404D" w:rsidRPr="00D1213A">
        <w:t xml:space="preserve">complete outcome data was 9,651 and </w:t>
      </w:r>
      <w:r w:rsidR="00BC39A7" w:rsidRPr="00D1213A">
        <w:t xml:space="preserve">with </w:t>
      </w:r>
      <w:r w:rsidR="00C1404D" w:rsidRPr="00D1213A">
        <w:t>complete</w:t>
      </w:r>
      <w:r w:rsidRPr="00D1213A">
        <w:t xml:space="preserve"> exposure, outcomes and covariates was 1,858.</w:t>
      </w:r>
      <w:r w:rsidR="006E3B63" w:rsidRPr="00D1213A">
        <w:t xml:space="preserve"> </w:t>
      </w:r>
      <w:bookmarkStart w:id="2" w:name="_Hlk36036655"/>
      <w:r w:rsidRPr="00D1213A">
        <w:t>P</w:t>
      </w:r>
      <w:r w:rsidR="0031245E" w:rsidRPr="00D1213A">
        <w:t xml:space="preserve">articipants with complete data were more likely at 16 years to </w:t>
      </w:r>
      <w:r w:rsidR="006E1027" w:rsidRPr="00D1213A">
        <w:t xml:space="preserve">be female, </w:t>
      </w:r>
      <w:r w:rsidR="0031245E" w:rsidRPr="00D1213A">
        <w:t xml:space="preserve">have parents </w:t>
      </w:r>
      <w:r w:rsidR="006E1027" w:rsidRPr="00D1213A">
        <w:t xml:space="preserve">with a managerial or professional occupation, </w:t>
      </w:r>
      <w:r w:rsidR="006C2DC6" w:rsidRPr="00D1213A">
        <w:t xml:space="preserve">seen a doctor </w:t>
      </w:r>
      <w:r w:rsidR="00305EEB">
        <w:t>for</w:t>
      </w:r>
      <w:r w:rsidR="00305EEB" w:rsidRPr="00D1213A">
        <w:t xml:space="preserve"> </w:t>
      </w:r>
      <w:r w:rsidR="006C2DC6" w:rsidRPr="00D1213A">
        <w:t xml:space="preserve">a mental health problem, </w:t>
      </w:r>
      <w:r w:rsidR="000D5C54">
        <w:t>have</w:t>
      </w:r>
      <w:r w:rsidR="006C2DC6" w:rsidRPr="00D1213A">
        <w:t xml:space="preserve"> a psychological morbidity, have had an accident and less likely to have used an illicit drug </w:t>
      </w:r>
      <w:r w:rsidR="00BC39A7" w:rsidRPr="00D1213A">
        <w:t>(</w:t>
      </w:r>
      <w:r w:rsidR="006C2DC6" w:rsidRPr="00D1213A">
        <w:t>ever, or in the past year</w:t>
      </w:r>
      <w:r w:rsidR="00BC39A7" w:rsidRPr="00D1213A">
        <w:t>)</w:t>
      </w:r>
      <w:r w:rsidR="006E1027" w:rsidRPr="00D1213A">
        <w:t>,</w:t>
      </w:r>
      <w:r w:rsidR="006C2DC6" w:rsidRPr="00D1213A">
        <w:t xml:space="preserve"> </w:t>
      </w:r>
      <w:r w:rsidR="00BC39A7" w:rsidRPr="00D1213A">
        <w:t>seen a specialist or been to a hospital because of</w:t>
      </w:r>
      <w:r w:rsidR="006C2DC6" w:rsidRPr="00D1213A">
        <w:t xml:space="preserve"> a </w:t>
      </w:r>
      <w:r w:rsidR="000D5C54">
        <w:t xml:space="preserve">drug </w:t>
      </w:r>
      <w:r w:rsidR="006C2DC6" w:rsidRPr="00D1213A">
        <w:t xml:space="preserve">problems, been homeless, or had </w:t>
      </w:r>
      <w:r w:rsidR="00BC39A7" w:rsidRPr="00D1213A">
        <w:t>any</w:t>
      </w:r>
      <w:r w:rsidR="006C2DC6" w:rsidRPr="00D1213A">
        <w:t xml:space="preserve"> police</w:t>
      </w:r>
      <w:r w:rsidR="00BC39A7" w:rsidRPr="00D1213A">
        <w:t>/</w:t>
      </w:r>
      <w:r w:rsidR="006C2DC6" w:rsidRPr="00D1213A">
        <w:t>criminal justice experiences,</w:t>
      </w:r>
      <w:r w:rsidR="0031245E" w:rsidRPr="00D1213A">
        <w:t xml:space="preserve"> than those who did not</w:t>
      </w:r>
      <w:r w:rsidR="006C2DC6" w:rsidRPr="00D1213A">
        <w:t xml:space="preserve"> have </w:t>
      </w:r>
      <w:r w:rsidR="00F71C6A">
        <w:t>complete</w:t>
      </w:r>
      <w:r w:rsidR="006C2DC6" w:rsidRPr="00D1213A">
        <w:t xml:space="preserve"> data</w:t>
      </w:r>
      <w:r w:rsidR="0031245E" w:rsidRPr="00D1213A">
        <w:t>.</w:t>
      </w:r>
      <w:r w:rsidRPr="00D1213A">
        <w:t xml:space="preserve"> </w:t>
      </w:r>
      <w:bookmarkEnd w:id="2"/>
      <w:r w:rsidRPr="00D1213A">
        <w:t xml:space="preserve">Our primary </w:t>
      </w:r>
      <w:r w:rsidR="00BC39A7" w:rsidRPr="00D1213A">
        <w:t>results</w:t>
      </w:r>
      <w:r w:rsidR="006E3B63" w:rsidRPr="00D1213A">
        <w:t xml:space="preserve"> are based on analyses </w:t>
      </w:r>
      <w:r w:rsidR="0033310C">
        <w:t>with the MI</w:t>
      </w:r>
      <w:r w:rsidRPr="00D1213A">
        <w:t xml:space="preserve"> sample </w:t>
      </w:r>
      <w:r w:rsidR="00872A29" w:rsidRPr="00D1213A">
        <w:t>as they offered greater precision</w:t>
      </w:r>
      <w:r w:rsidRPr="00D1213A">
        <w:t xml:space="preserve"> (n = 14,082 </w:t>
      </w:r>
      <w:proofErr w:type="gramStart"/>
      <w:r w:rsidRPr="00D1213A">
        <w:t>participants;</w:t>
      </w:r>
      <w:proofErr w:type="gramEnd"/>
      <w:r w:rsidRPr="00D1213A">
        <w:t xml:space="preserve"> 6,999 women)</w:t>
      </w:r>
      <w:r w:rsidR="006E3B63" w:rsidRPr="00D1213A">
        <w:t xml:space="preserve">. </w:t>
      </w:r>
    </w:p>
    <w:p w14:paraId="5014B5CE" w14:textId="45B01E7F" w:rsidR="00AF40CB" w:rsidRDefault="00597ED9" w:rsidP="00AF40CB">
      <w:pPr>
        <w:ind w:firstLine="720"/>
      </w:pPr>
      <w:r w:rsidRPr="00D1213A">
        <w:t xml:space="preserve">At 16-years, </w:t>
      </w:r>
      <w:r w:rsidR="00496361" w:rsidRPr="00D1213A">
        <w:t>20.3% of participants had ever tried an illicit drug, with 7.2% having used in the past year.</w:t>
      </w:r>
      <w:r w:rsidR="008C4A29">
        <w:t xml:space="preserve"> </w:t>
      </w:r>
      <w:bookmarkStart w:id="3" w:name="_Hlk36038169"/>
      <w:r w:rsidR="008C4A29">
        <w:t xml:space="preserve">Out </w:t>
      </w:r>
      <w:r w:rsidR="00800ABD">
        <w:t xml:space="preserve">of </w:t>
      </w:r>
      <w:r w:rsidR="008C4A29">
        <w:t xml:space="preserve">those </w:t>
      </w:r>
      <w:r w:rsidR="00B153F1">
        <w:t xml:space="preserve">who </w:t>
      </w:r>
      <w:r w:rsidR="008C4A29">
        <w:t xml:space="preserve">used in the past year, </w:t>
      </w:r>
      <w:r w:rsidR="00B153F1">
        <w:t>87.0</w:t>
      </w:r>
      <w:r w:rsidR="008C4A29">
        <w:t xml:space="preserve">% </w:t>
      </w:r>
      <w:r w:rsidR="005332EB">
        <w:t>only used cannabis</w:t>
      </w:r>
      <w:r w:rsidR="008C4A29">
        <w:t xml:space="preserve">. </w:t>
      </w:r>
      <w:bookmarkEnd w:id="3"/>
      <w:r w:rsidR="003A1476" w:rsidRPr="00A6437F">
        <w:t>Of the 1</w:t>
      </w:r>
      <w:r w:rsidR="008D5ABA">
        <w:t>3</w:t>
      </w:r>
      <w:r w:rsidR="003A1476" w:rsidRPr="00A6437F">
        <w:t xml:space="preserve"> outcomes studied, </w:t>
      </w:r>
      <w:r w:rsidR="00D1213A" w:rsidRPr="00A6437F">
        <w:t>a</w:t>
      </w:r>
      <w:r w:rsidR="003A1476" w:rsidRPr="00A6437F">
        <w:t xml:space="preserve">fter adjustment for </w:t>
      </w:r>
      <w:r w:rsidR="00A6437F">
        <w:t>confounding factors</w:t>
      </w:r>
      <w:r w:rsidR="00B153F1">
        <w:t>,</w:t>
      </w:r>
      <w:r w:rsidR="003A1476" w:rsidRPr="00A6437F">
        <w:t xml:space="preserve"> a</w:t>
      </w:r>
      <w:r w:rsidR="00496361" w:rsidRPr="00A6437F">
        <w:t>dolescent illicit drug use was associated with all adult outcomes measured</w:t>
      </w:r>
      <w:r w:rsidR="003A1476" w:rsidRPr="00A6437F">
        <w:t xml:space="preserve"> </w:t>
      </w:r>
      <w:r w:rsidR="000D5C54" w:rsidRPr="00A6437F">
        <w:t>except for</w:t>
      </w:r>
      <w:r w:rsidR="00A6437F">
        <w:t xml:space="preserve"> </w:t>
      </w:r>
      <w:r w:rsidR="00A6437F" w:rsidRPr="004D3CEA">
        <w:t>having possible problems with alcohol</w:t>
      </w:r>
      <w:r w:rsidR="00496361" w:rsidRPr="004D3CEA">
        <w:t>, getting treatment for an accident, or being unemployed (Figure).</w:t>
      </w:r>
      <w:r w:rsidR="005E5011" w:rsidRPr="004D3CEA">
        <w:t xml:space="preserve"> </w:t>
      </w:r>
      <w:r w:rsidR="00A6437F" w:rsidRPr="004D3CEA">
        <w:t>After correction for multiple testing, t</w:t>
      </w:r>
      <w:r w:rsidR="0033310C" w:rsidRPr="004D3CEA">
        <w:t xml:space="preserve">here </w:t>
      </w:r>
      <w:r w:rsidR="00A6437F" w:rsidRPr="004D3CEA">
        <w:t>was</w:t>
      </w:r>
      <w:r w:rsidR="00021C71" w:rsidRPr="004D3CEA">
        <w:t xml:space="preserve"> a significant linear trend across </w:t>
      </w:r>
      <w:r w:rsidR="0033310C" w:rsidRPr="004D3CEA">
        <w:t xml:space="preserve">categories of illicit drug use for </w:t>
      </w:r>
      <w:r w:rsidR="00684235">
        <w:t>five</w:t>
      </w:r>
      <w:r w:rsidR="00684235" w:rsidRPr="004D3CEA">
        <w:t xml:space="preserve"> </w:t>
      </w:r>
      <w:r w:rsidR="00A6437F" w:rsidRPr="004D3CEA">
        <w:t xml:space="preserve">outcomes at 30-years of age: illicit drug use in the past year, having been homeless, </w:t>
      </w:r>
      <w:r w:rsidR="00176C58" w:rsidRPr="004D3CEA">
        <w:t>arrested, formally cautioned and found guilty in a court</w:t>
      </w:r>
      <w:r w:rsidR="00021C71" w:rsidRPr="004D3CEA">
        <w:t xml:space="preserve"> (Table </w:t>
      </w:r>
      <w:r w:rsidR="00176C58" w:rsidRPr="004D3CEA">
        <w:t>1</w:t>
      </w:r>
      <w:r w:rsidR="00021C71" w:rsidRPr="004D3CEA">
        <w:t>).</w:t>
      </w:r>
      <w:r w:rsidR="00EF45E6" w:rsidRPr="004D3CEA">
        <w:t xml:space="preserve"> Sensitivity analysis </w:t>
      </w:r>
      <w:r w:rsidR="00176C58" w:rsidRPr="004D3CEA">
        <w:t>using</w:t>
      </w:r>
      <w:r w:rsidR="00EF45E6" w:rsidRPr="004D3CEA">
        <w:t xml:space="preserve"> the </w:t>
      </w:r>
      <w:r w:rsidR="00176C58" w:rsidRPr="004D3CEA">
        <w:t>MID sample (</w:t>
      </w:r>
      <w:r w:rsidR="004D3CEA">
        <w:t>online supplementary t</w:t>
      </w:r>
      <w:r w:rsidR="00176C58" w:rsidRPr="004D3CEA">
        <w:t>ables 1 and 2) and</w:t>
      </w:r>
      <w:r w:rsidR="00EF45E6" w:rsidRPr="004D3CEA">
        <w:t xml:space="preserve"> </w:t>
      </w:r>
      <w:r w:rsidR="00B153F1">
        <w:t xml:space="preserve">the </w:t>
      </w:r>
      <w:r w:rsidR="00176C58" w:rsidRPr="004D3CEA">
        <w:t xml:space="preserve">sample </w:t>
      </w:r>
      <w:r w:rsidR="00B153F1">
        <w:t xml:space="preserve">with </w:t>
      </w:r>
      <w:r w:rsidR="00EF45E6" w:rsidRPr="004D3CEA">
        <w:t xml:space="preserve">no missing data </w:t>
      </w:r>
      <w:r w:rsidR="00A1475D" w:rsidRPr="004D3CEA">
        <w:t>were not materially different</w:t>
      </w:r>
      <w:r w:rsidR="00B153F1">
        <w:t xml:space="preserve"> to those using the MI sample</w:t>
      </w:r>
      <w:r w:rsidR="00A1475D" w:rsidRPr="004D3CEA">
        <w:t xml:space="preserve"> </w:t>
      </w:r>
      <w:r w:rsidR="00EF45E6" w:rsidRPr="004D3CEA">
        <w:t>(</w:t>
      </w:r>
      <w:r w:rsidR="004D3CEA">
        <w:t>online supplementary t</w:t>
      </w:r>
      <w:r w:rsidR="004D3CEA" w:rsidRPr="004D3CEA">
        <w:t xml:space="preserve">ables </w:t>
      </w:r>
      <w:r w:rsidR="00EF45E6" w:rsidRPr="004D3CEA">
        <w:t>3</w:t>
      </w:r>
      <w:r w:rsidR="00176C58" w:rsidRPr="004D3CEA">
        <w:t xml:space="preserve"> and 4</w:t>
      </w:r>
      <w:r w:rsidR="00EF45E6" w:rsidRPr="004D3CEA">
        <w:t xml:space="preserve">). </w:t>
      </w:r>
      <w:r w:rsidR="00A431E0" w:rsidRPr="004D3CEA">
        <w:t>As there were no participants in the sample with no missing data who had seen a specialist with a problem</w:t>
      </w:r>
      <w:r w:rsidR="00A431E0">
        <w:t xml:space="preserve"> with drugs, were unemployed, or been homeless we could not generate estimates for these outcomes. </w:t>
      </w:r>
    </w:p>
    <w:p w14:paraId="4761D2C5" w14:textId="77777777" w:rsidR="000D5C54" w:rsidRDefault="000D5C54" w:rsidP="00AF40CB">
      <w:pPr>
        <w:ind w:firstLine="720"/>
      </w:pPr>
    </w:p>
    <w:p w14:paraId="0276B8F8" w14:textId="520CCCAC" w:rsidR="004F05A1" w:rsidRPr="00AF40CB" w:rsidRDefault="004F05A1" w:rsidP="00AF40CB">
      <w:r w:rsidRPr="00D1213A">
        <w:rPr>
          <w:b/>
        </w:rPr>
        <w:t>Discussion</w:t>
      </w:r>
    </w:p>
    <w:p w14:paraId="6DD1FCF1" w14:textId="1B50BFC4" w:rsidR="00651FAC" w:rsidRDefault="00651FAC" w:rsidP="008E564C">
      <w:pPr>
        <w:autoSpaceDE w:val="0"/>
        <w:autoSpaceDN w:val="0"/>
        <w:adjustRightInd w:val="0"/>
        <w:spacing w:after="0"/>
        <w:ind w:firstLine="720"/>
      </w:pPr>
      <w:r w:rsidRPr="00D1213A">
        <w:t>In</w:t>
      </w:r>
      <w:r w:rsidR="00E9677F" w:rsidRPr="00D1213A">
        <w:t xml:space="preserve"> </w:t>
      </w:r>
      <w:r w:rsidR="00240560" w:rsidRPr="00D1213A">
        <w:t>this</w:t>
      </w:r>
      <w:r w:rsidR="00E9677F" w:rsidRPr="00D1213A">
        <w:t xml:space="preserve"> population-wide birth cohort study, illicit drug</w:t>
      </w:r>
      <w:r w:rsidR="002B29CF">
        <w:t xml:space="preserve"> use</w:t>
      </w:r>
      <w:r w:rsidR="003A1476" w:rsidRPr="00D1213A">
        <w:t xml:space="preserve"> during</w:t>
      </w:r>
      <w:r w:rsidR="00ED01E4" w:rsidRPr="00D1213A">
        <w:t xml:space="preserve"> </w:t>
      </w:r>
      <w:r w:rsidR="00E9677F" w:rsidRPr="00D1213A">
        <w:t xml:space="preserve">adolescence </w:t>
      </w:r>
      <w:r w:rsidR="002B29CF">
        <w:t>was associated with</w:t>
      </w:r>
      <w:r w:rsidR="00E9677F" w:rsidRPr="00D1213A">
        <w:t xml:space="preserve"> </w:t>
      </w:r>
      <w:r w:rsidR="00DD2F5D">
        <w:t xml:space="preserve">a </w:t>
      </w:r>
      <w:r w:rsidR="00E9677F" w:rsidRPr="00D1213A">
        <w:t>wide range of adverse outcomes in early adulthood.</w:t>
      </w:r>
      <w:r w:rsidR="003A1476" w:rsidRPr="00D1213A">
        <w:t xml:space="preserve"> </w:t>
      </w:r>
      <w:r w:rsidR="00E9677F" w:rsidRPr="00D1213A">
        <w:t xml:space="preserve">These included </w:t>
      </w:r>
      <w:r w:rsidR="001E6CE9">
        <w:t>an</w:t>
      </w:r>
      <w:r w:rsidR="00240560" w:rsidRPr="00D1213A">
        <w:t xml:space="preserve"> association</w:t>
      </w:r>
      <w:r w:rsidR="009D198C">
        <w:t xml:space="preserve"> with illicit drug use in the past year, having been homeless, </w:t>
      </w:r>
      <w:r w:rsidR="009768F5">
        <w:t xml:space="preserve">and </w:t>
      </w:r>
      <w:r w:rsidR="009D198C">
        <w:t xml:space="preserve">criminal justice </w:t>
      </w:r>
      <w:r w:rsidR="009768F5">
        <w:t>experiences. These associations</w:t>
      </w:r>
      <w:r w:rsidR="00240560" w:rsidRPr="00D1213A">
        <w:t xml:space="preserve"> w</w:t>
      </w:r>
      <w:r w:rsidR="0033310C">
        <w:t xml:space="preserve">ere </w:t>
      </w:r>
      <w:r w:rsidR="00240560" w:rsidRPr="00D1213A">
        <w:t>not explained by parental socioeconomic status or psychological morbidity</w:t>
      </w:r>
      <w:r w:rsidR="00262629" w:rsidRPr="00D1213A">
        <w:t xml:space="preserve"> in adolescence.</w:t>
      </w:r>
    </w:p>
    <w:p w14:paraId="0C842617" w14:textId="44B60A62" w:rsidR="0033310C" w:rsidRDefault="0033310C" w:rsidP="0033310C">
      <w:pPr>
        <w:autoSpaceDE w:val="0"/>
        <w:autoSpaceDN w:val="0"/>
        <w:adjustRightInd w:val="0"/>
        <w:spacing w:after="0"/>
      </w:pPr>
    </w:p>
    <w:p w14:paraId="16B93D20" w14:textId="3F02EB80" w:rsidR="0033310C" w:rsidRPr="0033310C" w:rsidRDefault="0033310C" w:rsidP="0033310C">
      <w:pPr>
        <w:autoSpaceDE w:val="0"/>
        <w:autoSpaceDN w:val="0"/>
        <w:adjustRightInd w:val="0"/>
        <w:spacing w:after="0"/>
        <w:rPr>
          <w:i/>
          <w:iCs/>
        </w:rPr>
      </w:pPr>
      <w:r w:rsidRPr="0033310C">
        <w:rPr>
          <w:i/>
          <w:iCs/>
        </w:rPr>
        <w:t>Comparison with existing studies</w:t>
      </w:r>
    </w:p>
    <w:p w14:paraId="6EA8E08F" w14:textId="55632B7D" w:rsidR="007E4514" w:rsidRDefault="00B153F1" w:rsidP="008E564C">
      <w:pPr>
        <w:ind w:firstLine="720"/>
      </w:pPr>
      <w:r>
        <w:t xml:space="preserve">Our analyses examined illicit drug use but </w:t>
      </w:r>
      <w:r w:rsidR="00BF78C8" w:rsidRPr="00D1213A">
        <w:t xml:space="preserve">replicate those </w:t>
      </w:r>
      <w:r w:rsidR="002817A7" w:rsidRPr="00D1213A">
        <w:t>from smaller cohort studies</w:t>
      </w:r>
      <w:r w:rsidR="00BF78C8" w:rsidRPr="00D1213A">
        <w:t xml:space="preserve"> </w:t>
      </w:r>
      <w:r>
        <w:t xml:space="preserve">that have investigated cannabis and amphetamine use </w:t>
      </w:r>
      <w:r w:rsidR="00BF78C8" w:rsidRPr="00D1213A">
        <w:t>in the United States, New Zealand and Australia</w:t>
      </w:r>
      <w:r>
        <w:t>.</w:t>
      </w:r>
      <w:r w:rsidRPr="00B153F1">
        <w:t xml:space="preserve"> </w:t>
      </w:r>
      <w:r>
        <w:t>These</w:t>
      </w:r>
      <w:r w:rsidR="00BF78C8" w:rsidRPr="00D1213A">
        <w:t xml:space="preserve"> </w:t>
      </w:r>
      <w:r>
        <w:t xml:space="preserve">studies have </w:t>
      </w:r>
      <w:r w:rsidRPr="00D1213A">
        <w:t>show</w:t>
      </w:r>
      <w:r>
        <w:t>n</w:t>
      </w:r>
      <w:r w:rsidRPr="00D1213A">
        <w:t xml:space="preserve"> </w:t>
      </w:r>
      <w:r w:rsidR="00BF78C8" w:rsidRPr="00D1213A">
        <w:t xml:space="preserve">that </w:t>
      </w:r>
      <w:r w:rsidR="00315988">
        <w:t xml:space="preserve">cannabis use in </w:t>
      </w:r>
      <w:r w:rsidR="00BF78C8" w:rsidRPr="00D1213A">
        <w:t>adolescen</w:t>
      </w:r>
      <w:r w:rsidR="00315988">
        <w:t xml:space="preserve">ce </w:t>
      </w:r>
      <w:r w:rsidR="00BF78C8" w:rsidRPr="00D1213A">
        <w:t>is associated with negative outcomes across a number of domains, including drug use in early adulthood,</w:t>
      </w:r>
      <w:r w:rsidR="00AA63CA" w:rsidRPr="00D1213A">
        <w:fldChar w:fldCharType="begin"/>
      </w:r>
      <w:r w:rsidR="00421780">
        <w:instrText xml:space="preserve"> ADDIN ZOTERO_ITEM CSL_CITATION {"citationID":"kXmGR2XC","properties":{"formattedCitation":"\\super 1\\nosupersub{}","plainCitation":"1","noteIndex":0},"citationItems":[{"id":7496,"uris":["http://zotero.org/users/8437/items/QVZD6YRX"],"uri":["http://zotero.org/users/8437/items/QVZD6YRX"],"itemData":{"id":7496,"type":"article-journal","title":"Cannabis and progression to other substance use in young adults: findings from a 13-year prospective population-based study","container-title":"Journal of Epidemiology and Community Health","page":"e26","volume":"66","issue":"7","source":"PubMed","abstract":"BACKGROUND: Adolescent cannabis use predicts the onset of later illicit drug use. In contrast, little is known about whether cannabis in young adulthood also predicts subsequent progression or cessation of licit or illicit drug use.\nMETHODS: 13-year longitudinal cohort study with recruitment in secondary school students in Victoria, Australia. There were six waves of adolescent data collection (mean age 14.9-17.4 years) followed by three in young adulthood (mean age 20.7, 24.1 and 29.0 years). Discrete-time proportional hazards models were used to assess predictive associations between cannabis use frequency (occasional (&lt;weekly), weekly to less than daily and daily) in 1756 participants in earlier young adult waves and subsequent cigarette smoking, high-risk alcohol use and amphetamine, ecstasy and cocaine use, including incident use (uptake) and cessation in later young adult waves.\nRESULTS: Compared with continuing occasional cannabis use: (1) never use provided the strongest protection from uptake of all drugs; (2) quitting cannabis lowered rates of illicit drug use uptake; (3) weekly+cannabis users had two to three times the rates of illicit drug use uptake, while daily users had six times the rate of uptake of cigarette smoking; and (4) never use of cannabis was associated with higher rates of cessation from licit drug use, while daily cannabis predicted lower cessation rates for all drugs except cocaine.\nCONCLUSIONS: This study provides compelling evidence of the continuing association between cannabis, licit and other illicit drug use well into young adulthood. Preventing cannabis use uptake and use escalation remain crucial health aims given the burden associated with cigarette, alcohol and illicit drug use.","DOI":"10.1136/jech.2010.129056","ISSN":"1470-2738","note":"PMID: 21771817","title-short":"Cannabis and progression to other substance use in young adults","journalAbbreviation":"J Epidemiol Community Health","language":"eng","author":[{"family":"Swift","given":"Wendy"},{"family":"Coffey","given":"Carolyn"},{"family":"Degenhardt","given":"Louisa"},{"family":"Carlin","given":"John B."},{"family":"Romaniuk","given":"Helena"},{"family":"Patton","given":"George C."}],"issued":{"date-parts":[["2012",7]]}}}],"schema":"https://github.com/citation-style-language/schema/raw/master/csl-citation.json"} </w:instrText>
      </w:r>
      <w:r w:rsidR="00AA63CA" w:rsidRPr="00D1213A">
        <w:fldChar w:fldCharType="separate"/>
      </w:r>
      <w:r w:rsidR="00421780" w:rsidRPr="00421780">
        <w:rPr>
          <w:vertAlign w:val="superscript"/>
        </w:rPr>
        <w:t>1</w:t>
      </w:r>
      <w:r w:rsidR="00AA63CA" w:rsidRPr="00D1213A">
        <w:fldChar w:fldCharType="end"/>
      </w:r>
      <w:r w:rsidR="00BF78C8" w:rsidRPr="00D1213A">
        <w:t xml:space="preserve"> </w:t>
      </w:r>
      <w:r w:rsidR="00AA63CA" w:rsidRPr="00D1213A">
        <w:fldChar w:fldCharType="begin"/>
      </w:r>
      <w:r w:rsidR="00421780">
        <w:instrText xml:space="preserve"> ADDIN ZOTERO_ITEM CSL_CITATION {"citationID":"uSD8J72T","properties":{"formattedCitation":"\\super 2\\nosupersub{}","plainCitation":"2","noteIndex":0},"citationItems":[{"id":7450,"uris":["http://zotero.org/users/8437/items/2YVB2PEJ"],"uri":["http://zotero.org/users/8437/items/2YVB2PEJ"],"itemData":{"id":7450,"type":"article-journal","title":"What has research over the past two decades revealed about the adverse health effects of recreational cannabis use?","container-title":"Addiction","page":"19-35","volume":"110","issue":"1","source":"Wiley Online Library","abstract":"Aims To examine changes in the evidence on the adverse health effects of cannabis since 1993. Methods A comparison of the evidence in 1993 with the evidence and interpretation of the same health outcomes in 2013. Results Research in the past 20 years has shown that driving while cannabis-impaired approximately doubles car crash risk and that around one in 10 regular cannabis users develop dependence. Regular cannabis use in adolescence approximately doubles the risks of early school-leaving and of cognitive impairment and psychoses in adulthood. Regular cannabis use in adolescence is also associated strongly with the use of other illicit drugs. These associations persist after controlling for plausible confounding variables in longitudinal studies. This suggests that cannabis use is a contributory cause of these outcomes but some researchers still argue that these relationships are explained by shared causes or risk factors. Cannabis smoking probably increases cardiovascular disease risk in middle-aged adults but its effects on respiratory function and respiratory cancer remain unclear, because most cannabis smokers have smoked or still smoke tobacco. Conclusions The epidemiological literature in the past 20 years shows that cannabis use increases the risk of accidents and can produce dependence, and that there are consistent associations between regular cannabis use and poor psychosocial outcomes and mental health in adulthood.","DOI":"10.1111/add.12703","ISSN":"1360-0443","language":"en","author":[{"family":"Hall","given":"Wayne"}],"issued":{"date-parts":[["2015"]]}}}],"schema":"https://github.com/citation-style-language/schema/raw/master/csl-citation.json"} </w:instrText>
      </w:r>
      <w:r w:rsidR="00AA63CA" w:rsidRPr="00D1213A">
        <w:fldChar w:fldCharType="separate"/>
      </w:r>
      <w:r w:rsidR="00421780" w:rsidRPr="00421780">
        <w:rPr>
          <w:vertAlign w:val="superscript"/>
        </w:rPr>
        <w:t>2</w:t>
      </w:r>
      <w:r w:rsidR="00AA63CA" w:rsidRPr="00D1213A">
        <w:fldChar w:fldCharType="end"/>
      </w:r>
      <w:r w:rsidR="003A4568" w:rsidRPr="00D1213A">
        <w:t xml:space="preserve"> </w:t>
      </w:r>
      <w:r w:rsidR="00AA63CA" w:rsidRPr="00D1213A">
        <w:t xml:space="preserve">daily </w:t>
      </w:r>
      <w:r w:rsidR="004914EF" w:rsidRPr="00D1213A">
        <w:t>smoking</w:t>
      </w:r>
      <w:r w:rsidR="00AA63CA" w:rsidRPr="00D1213A">
        <w:t>,</w:t>
      </w:r>
      <w:r w:rsidR="00315988" w:rsidRPr="00315988">
        <w:t xml:space="preserve"> </w:t>
      </w:r>
      <w:r w:rsidR="00315988" w:rsidRPr="00D1213A">
        <w:fldChar w:fldCharType="begin"/>
      </w:r>
      <w:r w:rsidR="00421780">
        <w:instrText xml:space="preserve"> ADDIN ZOTERO_ITEM CSL_CITATION {"citationID":"ooAY7v0J","properties":{"formattedCitation":"\\super 12\\nosupersub{}","plainCitation":"12","noteIndex":0},"citationItems":[{"id":7460,"uris":["http://zotero.org/users/8437/items/DCBLFQAC"],"uri":["http://zotero.org/users/8437/items/DCBLFQAC"],"itemData":{"id":7460,"type":"article-journal","title":"The risks for late adolescence of early adolescent marijuana use","container-title":"American Journal of Public Health","page":"1549-1554","volume":"89","issue":"10","source":"PubMed","abstract":"OBJECTIVES: The purpose of this study was to assess the relation of early adolescent marijuana use to late adolescent problem behaviors, drug-related attitudes, drug problems, and sibling and peer problem behavior.\nMETHODS: African American (n = 627) and Puerto Rican (n = 555) youths completed questionnaires in their classrooms initially and were individually interviewed 5 years later. Logistic regression analysis estimated increases in the risk of behaviors or attitudes in late adolescence associated with more frequent marijuana use in early adolescence.\nRESULTS: Early adolescent marijuana use increased the risk in late adolescence of not graduating from high school; delinquency; having multiple sexual partners; not always using condoms; perceiving drugs as not harmful; having problems with cigarettes, alcohol, and marijuana; and having more friends who exhibit deviant behavior. These relations were maintained with controls for age, sex, ethnicity, and, when available, earlier psychosocial measures.\nCONCLUSIONS: Early adolescent marijuana use is related to later adolescent problems that limit the acquisition of skills necessary for employment and heighten the risks of contracting HIV and abusing legal and illegal substances. Hence, assessments of and treatments for adolescent marijuana use need to be incorporated in clinical practice.","ISSN":"0090-0036","note":"PMID: 10511838\nPMCID: PMC1508814","journalAbbreviation":"Am J Public Health","language":"eng","author":[{"family":"Brook","given":"J. S."},{"family":"Balka","given":"E. B."},{"family":"Whiteman","given":"M."}],"issued":{"date-parts":[["1999",10]]}}}],"schema":"https://github.com/citation-style-language/schema/raw/master/csl-citation.json"} </w:instrText>
      </w:r>
      <w:r w:rsidR="00315988" w:rsidRPr="00D1213A">
        <w:fldChar w:fldCharType="separate"/>
      </w:r>
      <w:r w:rsidR="00421780" w:rsidRPr="00421780">
        <w:rPr>
          <w:vertAlign w:val="superscript"/>
        </w:rPr>
        <w:t>12</w:t>
      </w:r>
      <w:r w:rsidR="00315988" w:rsidRPr="00D1213A">
        <w:fldChar w:fldCharType="end"/>
      </w:r>
      <w:r w:rsidR="00315988">
        <w:t xml:space="preserve"> </w:t>
      </w:r>
      <w:r w:rsidR="008834C9" w:rsidRPr="00D1213A">
        <w:t>alcohol use disorders,</w:t>
      </w:r>
      <w:r w:rsidR="008834C9" w:rsidRPr="00D1213A">
        <w:fldChar w:fldCharType="begin"/>
      </w:r>
      <w:r w:rsidR="00421780">
        <w:instrText xml:space="preserve"> ADDIN ZOTERO_ITEM CSL_CITATION {"citationID":"ALGFvq8h","properties":{"formattedCitation":"\\super 3\\nosupersub{}","plainCitation":"3","noteIndex":0},"citationItems":[{"id":7457,"uris":["http://zotero.org/users/8437/items/F7SYCGJW"],"uri":["http://zotero.org/users/8437/items/F7SYCGJW"],"itemData":{"id":7457,"type":"article-journal","title":"Cannabis Use and Risk of Psychiatric Disorders: Prospective Evidence From a US National Longitudinal Study","container-title":"JAMA Psychiatry","page":"388-395","volume":"73","issue":"4","source":"jamanetwork.com","abstract":"&lt;h3&gt;Importance&lt;/h3&gt;&lt;p&gt;With rising rates of marijuana use in the general population and an increasing number of states legalizing recreational marijuana use and authorizing medical marijuana programs, there are renewed clinical and policy concerns regarding the mental health effects of cannabis use.&lt;/p&gt;&lt;h3&gt;Objective&lt;/h3&gt;&lt;p&gt;To examine prospective associations between cannabis use and risk of mental health and substance use disorders in the general adult population.&lt;/p&gt;&lt;h3&gt;Design, Setting, and Participants&lt;/h3&gt;&lt;p&gt;A nationally representative sample of US adults aged 18 years or older was interviewed 3 years apart in the National Epidemiologic Survey on Alcohol and Related Conditions (wave 1, 2001-2002; wave 2, 2004-2005). The primary analyses were limited to 34 653 respondents who were interviewed in both waves. Data analysis was conducted from March 15 to November 30, 2015.&lt;/p&gt;&lt;h3&gt;Main Outcomes and Measures&lt;/h3&gt;&lt;p&gt;We used multiple regression and propensity score matching to estimate the strength of independent associations between cannabis use at wave 1 and incident and prevalent psychiatric disorders at wave 2. Psychiatric disorders were measured with a structured interview (Alcohol Use Disorder and Associated Disabilities Interview Schedule–&lt;i&gt;DSM-IV&lt;/i&gt;). In both analyses, the same set of wave 1 confounders was used, including sociodemographic characteristics, family history of substance use disorder, disturbed family environment, childhood parental loss, low self-esteem, social deviance, education, recent trauma, past and present psychiatric disorders, and respondent’s history of divorce.&lt;/p&gt;&lt;h3&gt;Results&lt;/h3&gt;&lt;p&gt;In the multiple regression analysis of 34 653 respondents (14 564 male [47.9% weighted]; mean [SD] age, 45.1 [17.3] years), cannabis use in wave 1 (2001-2002), which was reported by 1279 respondents, was significantly associated with substance use disorders in wave 2 (2004-2005) (any substance use disorder: odds ratio [OR], 6.2; 95% CI, 4.1-9.4; any alcohol use disorder: OR, 2.7; 95% CI, 1.9-3.8; any cannabis use disorder: OR, 9.5; 95% CI, 6.4-14.1; any other drug use disorder: OR, 2.6; 95% CI, 1.6-4.4; and nicotine dependence: OR, 1.7; 95% CI, 1.2-2.4), but not any mood disorder (OR, 1.1; 95% CI, 0.8-1.4) or anxiety disorder (OR, 0.9; 95% CI, 0.7-1.1). The same general pattern of results was observed in the multiple regression analyses of wave 2 prevalent psychiatric disorders and in the propensity score–matched analysis of incident and prevalent psychiatric disorders.&lt;/p&gt;&lt;h3&gt;Conclusions and Relevance&lt;/h3&gt;&lt;p&gt;Within the general population, cannabis use is associated with an increased risk for several substance use disorders. Physicians and policy makers should take these associations of cannabis use under careful consideration.&lt;/p&gt;","DOI":"10.1001/jamapsychiatry.2015.3229","ISSN":"2168-622X","title-short":"Cannabis Use and Risk of Psychiatric Disorders","journalAbbreviation":"JAMA Psychiatry","language":"en","author":[{"family":"Blanco","given":"Carlos"},{"family":"Hasin","given":"Deborah S."},{"family":"Wall","given":"Melanie M."},{"family":"Flórez-Salamanca","given":"Ludwing"},{"family":"Hoertel","given":"Nicolas"},{"family":"Wang","given":"Shuai"},{"family":"Kerridge","given":"Bradley T."},{"family":"Olfson","given":"Mark"}],"issued":{"date-parts":[["2016",4,1]]}}}],"schema":"https://github.com/citation-style-language/schema/raw/master/csl-citation.json"} </w:instrText>
      </w:r>
      <w:r w:rsidR="008834C9" w:rsidRPr="00D1213A">
        <w:fldChar w:fldCharType="separate"/>
      </w:r>
      <w:r w:rsidR="00421780" w:rsidRPr="00421780">
        <w:rPr>
          <w:vertAlign w:val="superscript"/>
        </w:rPr>
        <w:t>3</w:t>
      </w:r>
      <w:r w:rsidR="008834C9" w:rsidRPr="00D1213A">
        <w:fldChar w:fldCharType="end"/>
      </w:r>
      <w:r w:rsidR="00D9117C" w:rsidRPr="00D1213A">
        <w:t xml:space="preserve"> mental health problems</w:t>
      </w:r>
      <w:r w:rsidR="00315988" w:rsidRPr="00D1213A">
        <w:fldChar w:fldCharType="begin"/>
      </w:r>
      <w:r w:rsidR="00421780">
        <w:instrText xml:space="preserve"> ADDIN ZOTERO_ITEM CSL_CITATION {"citationID":"HxLwfvJt","properties":{"formattedCitation":"\\super 3\\nosupersub{}","plainCitation":"3","noteIndex":0},"citationItems":[{"id":7457,"uris":["http://zotero.org/users/8437/items/F7SYCGJW"],"uri":["http://zotero.org/users/8437/items/F7SYCGJW"],"itemData":{"id":7457,"type":"article-journal","title":"Cannabis Use and Risk of Psychiatric Disorders: Prospective Evidence From a US National Longitudinal Study","container-title":"JAMA Psychiatry","page":"388-395","volume":"73","issue":"4","source":"jamanetwork.com","abstract":"&lt;h3&gt;Importance&lt;/h3&gt;&lt;p&gt;With rising rates of marijuana use in the general population and an increasing number of states legalizing recreational marijuana use and authorizing medical marijuana programs, there are renewed clinical and policy concerns regarding the mental health effects of cannabis use.&lt;/p&gt;&lt;h3&gt;Objective&lt;/h3&gt;&lt;p&gt;To examine prospective associations between cannabis use and risk of mental health and substance use disorders in the general adult population.&lt;/p&gt;&lt;h3&gt;Design, Setting, and Participants&lt;/h3&gt;&lt;p&gt;A nationally representative sample of US adults aged 18 years or older was interviewed 3 years apart in the National Epidemiologic Survey on Alcohol and Related Conditions (wave 1, 2001-2002; wave 2, 2004-2005). The primary analyses were limited to 34 653 respondents who were interviewed in both waves. Data analysis was conducted from March 15 to November 30, 2015.&lt;/p&gt;&lt;h3&gt;Main Outcomes and Measures&lt;/h3&gt;&lt;p&gt;We used multiple regression and propensity score matching to estimate the strength of independent associations between cannabis use at wave 1 and incident and prevalent psychiatric disorders at wave 2. Psychiatric disorders were measured with a structured interview (Alcohol Use Disorder and Associated Disabilities Interview Schedule–&lt;i&gt;DSM-IV&lt;/i&gt;). In both analyses, the same set of wave 1 confounders was used, including sociodemographic characteristics, family history of substance use disorder, disturbed family environment, childhood parental loss, low self-esteem, social deviance, education, recent trauma, past and present psychiatric disorders, and respondent’s history of divorce.&lt;/p&gt;&lt;h3&gt;Results&lt;/h3&gt;&lt;p&gt;In the multiple regression analysis of 34 653 respondents (14 564 male [47.9% weighted]; mean [SD] age, 45.1 [17.3] years), cannabis use in wave 1 (2001-2002), which was reported by 1279 respondents, was significantly associated with substance use disorders in wave 2 (2004-2005) (any substance use disorder: odds ratio [OR], 6.2; 95% CI, 4.1-9.4; any alcohol use disorder: OR, 2.7; 95% CI, 1.9-3.8; any cannabis use disorder: OR, 9.5; 95% CI, 6.4-14.1; any other drug use disorder: OR, 2.6; 95% CI, 1.6-4.4; and nicotine dependence: OR, 1.7; 95% CI, 1.2-2.4), but not any mood disorder (OR, 1.1; 95% CI, 0.8-1.4) or anxiety disorder (OR, 0.9; 95% CI, 0.7-1.1). The same general pattern of results was observed in the multiple regression analyses of wave 2 prevalent psychiatric disorders and in the propensity score–matched analysis of incident and prevalent psychiatric disorders.&lt;/p&gt;&lt;h3&gt;Conclusions and Relevance&lt;/h3&gt;&lt;p&gt;Within the general population, cannabis use is associated with an increased risk for several substance use disorders. Physicians and policy makers should take these associations of cannabis use under careful consideration.&lt;/p&gt;","DOI":"10.1001/jamapsychiatry.2015.3229","ISSN":"2168-622X","title-short":"Cannabis Use and Risk of Psychiatric Disorders","journalAbbreviation":"JAMA Psychiatry","language":"en","author":[{"family":"Blanco","given":"Carlos"},{"family":"Hasin","given":"Deborah S."},{"family":"Wall","given":"Melanie M."},{"family":"Flórez-Salamanca","given":"Ludwing"},{"family":"Hoertel","given":"Nicolas"},{"family":"Wang","given":"Shuai"},{"family":"Kerridge","given":"Bradley T."},{"family":"Olfson","given":"Mark"}],"issued":{"date-parts":[["2016",4,1]]}}}],"schema":"https://github.com/citation-style-language/schema/raw/master/csl-citation.json"} </w:instrText>
      </w:r>
      <w:r w:rsidR="00315988" w:rsidRPr="00D1213A">
        <w:fldChar w:fldCharType="separate"/>
      </w:r>
      <w:r w:rsidR="00421780" w:rsidRPr="00421780">
        <w:rPr>
          <w:vertAlign w:val="superscript"/>
        </w:rPr>
        <w:t>3</w:t>
      </w:r>
      <w:r w:rsidR="00315988" w:rsidRPr="00D1213A">
        <w:fldChar w:fldCharType="end"/>
      </w:r>
      <w:r w:rsidR="00315988" w:rsidRPr="00D1213A">
        <w:t xml:space="preserve"> </w:t>
      </w:r>
      <w:r w:rsidR="00D9117C" w:rsidRPr="00D1213A">
        <w:fldChar w:fldCharType="begin"/>
      </w:r>
      <w:r w:rsidR="00421780">
        <w:instrText xml:space="preserve"> ADDIN ZOTERO_ITEM CSL_CITATION {"citationID":"WnosloFt","properties":{"formattedCitation":"\\super 4\\nosupersub{}","plainCitation":"4","noteIndex":0},"citationItems":[{"id":7467,"uris":["http://zotero.org/users/8437/items/66NDWHR2"],"uri":["http://zotero.org/users/8437/items/66NDWHR2"],"itemData":{"id":7467,"type":"article-journal","title":"Association of Cannabis Use in Adolescence and Risk of Depression, Anxiety, and Suicidality in Young Adulthood: A Systematic Review and Meta-analysis","container-title":"JAMA Psychiatry","source":"jamanetwork.com","abstract":"&lt;h3&gt;Importance&lt;/h3&gt;&lt;p&gt;Cannabis is the most commonly used drug of abuse by adolescents in the world. While the impact of adolescent cannabis use on the development of psychosis has been investigated in depth, little is known about the impact of cannabis use on mood and suicidality in young adulthood.&lt;/p&gt;&lt;h3&gt;Objective&lt;/h3&gt;&lt;p&gt;To provide a summary estimate of the extent to which cannabis use during adolescence is associated with the risk of developing subsequent major depression, anxiety, and suicidal behavior.&lt;/p&gt;&lt;h3&gt;Data Sources&lt;/h3&gt;&lt;p&gt;Medline, Embase, CINAHL, PsycInfo, and Proquest Dissertations and Theses were searched from inception to January 2017.&lt;/p&gt;&lt;h3&gt;Study Selection&lt;/h3&gt;&lt;p&gt;Longitudinal and prospective studies, assessing cannabis use in adolescents younger than 18 years (at least 1 assessment point) and then ascertaining development of depression in young adulthood (age 18 to 32 years) were selected, and odds ratios (OR) adjusted for the presence of baseline depression and/or anxiety and/or suicidality were extracted.&lt;/p&gt;&lt;h3&gt;Data Extraction and Synthesis&lt;/h3&gt;&lt;p&gt;Study quality was assessed using the Research Triangle Institute item bank on risk of bias and precision of observational studies. Two reviewers conducted all review stages independently. Selected data were pooled using random-effects meta-analysis.&lt;/p&gt;&lt;h3&gt;Main Outcomes and Measures&lt;/h3&gt;&lt;p&gt;The studies assessing cannabis use and depression at different points from adolescence to young adulthood and reporting the corresponding OR were included. In the studies selected, depression was diagnosed according to the third or fourth editions of&lt;i&gt;Diagnostic and Statistical Manual of Mental Disorders&lt;/i&gt;or by using scales with predetermined cutoff points.&lt;/p&gt;&lt;h3&gt;Results&lt;/h3&gt;&lt;p&gt;After screening 3142 articles, 269 articles were selected for full-text review, 35 were selected for further review, and 11 studies comprising 23 317 individuals were included in the quantitative analysis. The OR of developing depression for cannabis users in young adulthood compared with nonusers was 1.37 (95% CI, 1.16-1.62;&lt;i&gt;I&lt;/i&gt;&lt;sup&gt;2&lt;/sup&gt; = 0%). The pooled OR for anxiety was not statistically significant: 1.18 (95% CI, 0.84-1.67;&lt;i&gt;I&lt;/i&gt;&lt;sup&gt;2&lt;/sup&gt; = 42%). The pooled OR for suicidal ideation was 1.50 (95% CI, 1.11-2.03;&lt;i&gt;I&lt;/i&gt;&lt;sup&gt;2&lt;/sup&gt; = 0%), and for suicidal attempt was 3.46 (95% CI, 1.53-7.84,&lt;i&gt;I&lt;/i&gt;&lt;sup&gt;2&lt;/sup&gt; = 61.3%).&lt;/p&gt;&lt;h3&gt;Conclusions and Relevance&lt;/h3&gt;&lt;p&gt;Although individual-level risk remains moderate to low and results from this study should be confirmed in future adequately powered prospective studies, the high prevalence of adolescents consuming cannabis generates a large number of young people who could develop depression and suicidality attributable to cannabis. This is an important public health problem and concern, which should be properly addressed by health care policy.&lt;/p&gt;","URL":"https://jamanetwork.com/journals/jamapsychiatry/fullarticle/2723657","DOI":"10.1001/jamapsychiatry.2018.4500","title-short":"Association of Cannabis Use in Adolescence and Risk of Depression, Anxiety, and Suicidality in Young Adulthood","journalAbbreviation":"JAMA Psychiatry","language":"en","author":[{"family":"Gobbi","given":"Gabriella"},{"family":"Atkin","given":"Tobias"},{"family":"Zytynski","given":"Tomasz"},{"family":"Wang","given":"Shouao"},{"family":"Askari","given":"Sorayya"},{"family":"Boruff","given":"Jill"},{"family":"Ware","given":"Mark"},{"family":"Marmorstein","given":"Naomi"},{"family":"Cipriani","given":"Andrea"},{"family":"Dendukuri","given":"Nandini"},{"family":"Mayo","given":"Nancy"}],"issued":{"date-parts":[["2019",2,13]]},"accessed":{"date-parts":[["2019",3,22]]}}}],"schema":"https://github.com/citation-style-language/schema/raw/master/csl-citation.json"} </w:instrText>
      </w:r>
      <w:r w:rsidR="00D9117C" w:rsidRPr="00D1213A">
        <w:fldChar w:fldCharType="separate"/>
      </w:r>
      <w:r w:rsidR="00421780" w:rsidRPr="00421780">
        <w:rPr>
          <w:vertAlign w:val="superscript"/>
        </w:rPr>
        <w:t>4</w:t>
      </w:r>
      <w:r w:rsidR="00D9117C" w:rsidRPr="00D1213A">
        <w:fldChar w:fldCharType="end"/>
      </w:r>
      <w:r w:rsidR="00315988">
        <w:t xml:space="preserve"> </w:t>
      </w:r>
      <w:r w:rsidR="00AF0A17" w:rsidRPr="00D1213A">
        <w:fldChar w:fldCharType="begin"/>
      </w:r>
      <w:r w:rsidR="00421780">
        <w:instrText xml:space="preserve"> ADDIN ZOTERO_ITEM CSL_CITATION {"citationID":"Rg71xfLr","properties":{"formattedCitation":"\\super 21\\nosupersub{}","plainCitation":"21","noteIndex":0},"citationItems":[{"id":7453,"uris":["http://zotero.org/users/8437/items/6IXSEI87"],"uri":["http://zotero.org/users/8437/items/6IXSEI87"],"itemData":{"id":7453,"type":"article-journal","title":"Cannabis use and mental health in young people: cohort study","container-title":"BMJ","page":"1195-1198","volume":"325","issue":"7374","source":"www.bmj.com","abstract":"Objective: To determine whether cannabis use in adolescence predisposes to higher rates of depression and anxiety in young adulthood.\nDesign: Seven wave cohort study over six years.\nSetting: 44 schools in the Australian state of Victoria.\nParticipants: A statewide secondary school sample of 1601 students aged 14-15 followed for seven years.\nMain outcome measure: Interview measure of depression and anxiety (revised clinical interview schedule) at wave 7.\nResults: Some 60% of participants had used cannabis by the age of 20; 7% were daily users at that point. Daily use in young women was associated with an over fivefold increase in the odds of reporting a state of depression and anxiety after adjustment for intercurrent use of other substances (odds ratio 5.6, 95% confidence interval 2.6 to 12). Weekly or more frequent cannabis use in teenagers predicted an approximately twofold increase in risk for later depression and anxiety (1.9, 1.1 to 3.3) after adjustment for potential baseline confounders. In contrast, depression and anxiety in teenagers predicted neither later weekly nor daily cannabis use.\nConclusions: Frequent cannabis use in teenage girls predicts later depression and anxiety, with daily users carrying the highest risk. Given recent increasing levels of cannabis use, measures to reduce frequent and heavy recreational use seem warranted.\n\nWhat is already known on this topic What is already known on this topic Frequent recreational use of cannabis has been linked to high rates of depression and anxiety in cross sectional surveys and studies of long term users Why cannabis users have higher rates of depression and anxiety is uncertain Previous longitudinal studies of cannabis use in youth have not analysed associations with frequent cannabis use What this study adds What this study adds A strong association between daily use of cannabis and depression and anxiety in young women persists after adjustment for intercurrent use of other substances Frequent cannabis use in teenage girls predicts later higher rates of depression and anxiety Depression and anxiety in teenagers do not predict later cannabis use; self medication is therefore unlikely to be the reason for the association","DOI":"10.1136/bmj.325.7374.1195","ISSN":"0959-8138, 1468-5833","note":"PMID: 12446533","title-short":"Cannabis use and mental health in young people","journalAbbreviation":"BMJ","language":"en","author":[{"family":"Patton","given":"George C."},{"family":"Coffey","given":"Carolyn"},{"family":"Carlin","given":"John B."},{"family":"Degenhardt","given":"Louisa"},{"family":"Lynskey","given":"Michael"},{"family":"Hall","given":"Wayne"}],"issued":{"date-parts":[["2002",11,23]]}}}],"schema":"https://github.com/citation-style-language/schema/raw/master/csl-citation.json"} </w:instrText>
      </w:r>
      <w:r w:rsidR="00AF0A17" w:rsidRPr="00D1213A">
        <w:fldChar w:fldCharType="separate"/>
      </w:r>
      <w:r w:rsidR="00421780" w:rsidRPr="00421780">
        <w:rPr>
          <w:vertAlign w:val="superscript"/>
        </w:rPr>
        <w:t>21</w:t>
      </w:r>
      <w:r w:rsidR="00AF0A17" w:rsidRPr="00D1213A">
        <w:fldChar w:fldCharType="end"/>
      </w:r>
      <w:r w:rsidR="00D9117C" w:rsidRPr="00D1213A">
        <w:t xml:space="preserve"> (in particular cannabis with </w:t>
      </w:r>
      <w:r w:rsidR="00AF0A17" w:rsidRPr="00D1213A">
        <w:t>psychosis</w:t>
      </w:r>
      <w:r w:rsidR="00AF0A17" w:rsidRPr="00D1213A">
        <w:fldChar w:fldCharType="begin"/>
      </w:r>
      <w:r w:rsidR="00421780">
        <w:instrText xml:space="preserve"> ADDIN ZOTERO_ITEM CSL_CITATION {"citationID":"fBFHJt70","properties":{"formattedCitation":"\\super 22\\nosupersub{}","plainCitation":"22","noteIndex":0},"citationItems":[{"id":7470,"uris":["http://zotero.org/users/8437/items/ZLMDZXPH"],"uri":["http://zotero.org/users/8437/items/ZLMDZXPH"],"itemData":{"id":7470,"type":"article-journal","title":"Association Between Cannabis Use and Psychosis-Related Outcomes Using Sibling Pair Analysis in a Cohort of Young Adults","container-title":"Archives of General Psychiatry","page":"440-447","volume":"67","issue":"5","source":"jamanetwork.com","abstract":"&lt;h3&gt;Context&lt;/h3&gt;&lt;p&gt;Prospective cohort studies have identified an association between cannabis use and later psychosis-related outcomes, but concerns remain about unmeasured confounding variables. The use of sibling pair analysis reduces the influence of unmeasured residual confounding.&lt;/p&gt;&lt;h3&gt;Objective&lt;/h3&gt;&lt;p&gt;To explore the association between cannabis use and psychosis-related outcomes.&lt;/p&gt;&lt;h3&gt;Design&lt;/h3&gt;&lt;p&gt;A sibling pair analysis nested within a prospective birth cohort.&lt;/p&gt;&lt;h3&gt;Setting&lt;/h3&gt;&lt;p&gt;Births at a Brisbane, Australia, hospital.&lt;/p&gt;&lt;h3&gt;Participants&lt;/h3&gt;&lt;p&gt;Three thousand eight hundred one young adults born between 1981 and 1984 as part of the Mater-University Study of Pregnancy.&lt;/p&gt;&lt;h3&gt;Main Outcome Measures&lt;/h3&gt;&lt;p&gt;Cannabis use and 3 psychosis-related outcomes (nonaffective psychosis, hallucinations, and Peters et al Delusions Inventory score) were assessed at the 21-year follow-up. Associations between duration since first cannabis use and psychosis-related outcomes were examined using logistic regression adjusted for sex, age, parental mental illness, and hallucinations at the 14-year follow-up. Within 228 sibling pairs, the association between within-pair differences in duration since first cannabis use and Peters et al Delusions Inventory score was examined with general linear modeling. The potential impact of attrition was examined.&lt;/p&gt;&lt;h3&gt;Results&lt;/h3&gt;&lt;p&gt;Duration since first cannabis use was associated with all 3 psychosis-related outcomes. For those with duration since first cannabis use of 6 or more years, there was a significantly increased risk of (1) nonaffective psychosis (adjusted odds ratio, 2.2; 95% confidence interval, 1.1-4.5), (2) being in the highest quartile of Peters et al Delusions Inventory score (adjusted odds ratio, 4.2; 95% confidence interval, 4.2-5.8), and (3) hallucinations (adjusted odds ratio, 2.8; 95% confidence interval, 1.9-4.1). Within sibling pairs, duration since first cannabis use and higher scores on the Peters et al Delusions Inventory remained significantly associated.&lt;/p&gt;&lt;h3&gt;Conclusions&lt;/h3&gt;&lt;p&gt;Early cannabis use is associated with psychosis-related outcomes in young adults. The use of sibling pairs reduces the likelihood that unmeasured confounding explains these findings. This study provides further support for the hypothesis that early cannabis use is a risk-modifying factor for psychosis-related outcomes in young adults.&lt;/p&gt;&lt;p&gt;Published online March 1, 2010 (doi:10.1001/archgenpsychiatry.2010.6).&lt;/p&gt;","DOI":"10.1001/archgenpsychiatry.2010.6","ISSN":"0003-990X","journalAbbreviation":"Arch Gen Psychiatry","language":"en","author":[{"family":"McGrath","given":"John"},{"family":"Welham","given":"Joy"},{"family":"Scott","given":"James"},{"family":"Varghese","given":"Daniel"},{"family":"Degenhardt","given":"Louisa"},{"family":"Hayatbakhsh","given":"Mohammad Reza"},{"family":"Alati","given":"Rosa"},{"family":"Williams","given":"Gail M."},{"family":"Bor","given":"William"},{"family":"Najman","given":"Jake M."}],"issued":{"date-parts":[["2010",5,1]]}}}],"schema":"https://github.com/citation-style-language/schema/raw/master/csl-citation.json"} </w:instrText>
      </w:r>
      <w:r w:rsidR="00AF0A17" w:rsidRPr="00D1213A">
        <w:fldChar w:fldCharType="separate"/>
      </w:r>
      <w:r w:rsidR="00421780" w:rsidRPr="00421780">
        <w:rPr>
          <w:vertAlign w:val="superscript"/>
        </w:rPr>
        <w:t>22</w:t>
      </w:r>
      <w:r w:rsidR="00AF0A17" w:rsidRPr="00D1213A">
        <w:fldChar w:fldCharType="end"/>
      </w:r>
      <w:r w:rsidR="00AF0A17" w:rsidRPr="00D1213A">
        <w:t xml:space="preserve"> and </w:t>
      </w:r>
      <w:r w:rsidR="00D9117C" w:rsidRPr="00D1213A">
        <w:t xml:space="preserve">psychotic disorders </w:t>
      </w:r>
      <w:r w:rsidR="00D9117C" w:rsidRPr="00D1213A">
        <w:fldChar w:fldCharType="begin"/>
      </w:r>
      <w:r w:rsidR="00421780">
        <w:instrText xml:space="preserve"> ADDIN ZOTERO_ITEM CSL_CITATION {"citationID":"e4teRncu","properties":{"formattedCitation":"\\super 23\\nosupersub{}","plainCitation":"23","noteIndex":0},"citationItems":[{"id":7473,"uris":["http://zotero.org/users/8437/items/EP3QQQA7"],"uri":["http://zotero.org/users/8437/items/EP3QQQA7"],"itemData":{"id":7473,"type":"article-journal","title":"The contribution of cannabis use to variation in the incidence of psychotic disorder across Europe (EU-GEI): a multicentre case-control study","container-title":"The Lancet Psychiatry","volume":"0","issue":"0","source":"www.thelancet.com","abstract":"&lt;h2&gt;Summary&lt;/h2&gt;&lt;h3&gt;Background&lt;/h3&gt;&lt;p&gt;Cannabis use is associated with increased risk of later psychotic disorder but whether it affects incidence of the disorder remains unclear. We aimed to identify patterns of cannabis use with the strongest effect on odds of psychotic disorder across Europe and explore whether differences in such patterns contribute to variations in the incidence rates of psychotic disorder.&lt;/p&gt;&lt;h3&gt;Methods&lt;/h3&gt;&lt;p&gt;We included patients aged 18–64 years who presented to psychiatric services in 11 sites across Europe and Brazil with first-episode psychosis and recruited controls representative of the local populations. We applied adjusted logistic regression models to the data to estimate which patterns of cannabis use carried the highest odds for psychotic disorder. Using Europe-wide and national data on the expected concentration of Δ&lt;sup&gt;9&lt;/sup&gt;-tetrahydrocannabinol (THC) in the different types of cannabis available across the sites, we divided the types of cannabis used by participants into two categories: low potency (THC &lt;10%) and high potency (THC ≥10%). Assuming causality, we calculated the population attributable fractions (PAFs) for the patterns of cannabis use associated with the highest odds of psychosis and the correlation between such patterns and the incidence rates for psychotic disorder across the study sites.&lt;/p&gt;&lt;h3&gt;Findings&lt;/h3&gt;&lt;p&gt;Between May 1, 2010, and April 1, 2015, we obtained data from 901 patients with first-episode psychosis across 11 sites and 1237 population controls from those same sites. Daily cannabis use was associated with increased odds of psychotic disorder compared with never users (adjusted odds ratio [OR] 3·2, 95% CI 2·2–4·1), increasing to nearly five-times increased odds for daily use of high-potency types of cannabis (4·8, 2·5–6·3). The PAFs calculated indicated that if high-potency cannabis were no longer available, 12·2% (95% CI 3·0–16·1) of cases of first-episode psychosis could be prevented across the 11 sites, rising to 30·3% (15·2–40·0) in London and 50·3% (27·4–66·0) in Amsterdam. The adjusted incident rates for psychotic disorder were positively correlated with the prevalence in controls across the 11 sites of use of high-potency cannabis (r = 0·7; p=0·0286) and daily use (r = 0·8; p=0·0109).&lt;/p&gt;&lt;h3&gt;Interpretation&lt;/h3&gt;&lt;p&gt;Differences in frequency of daily cannabis use and in use of high-potency cannabis contributed to the striking variation in the incidence of psychotic disorder across the 11 studied sites. Given the increasing availability of high-potency cannabis, this has important implications for public health.&lt;/p&gt;&lt;h3&gt;Funding source&lt;/h3&gt;&lt;p&gt;Medical Research Council, the European Community's Seventh Framework Program grant, São Paulo Research Foundation, National Institute for Health Research (NIHR) Biomedical Research Centre (BRC) at South London and Maudsley NHS Foundation Trust and King's College London and the NIHR BRC at University College London, Wellcome Trust.&lt;/p&gt;","URL":"https://www.thelancet.com/journals/lanpsy/article/PIIS2215-0366(19)30048-3/abstract","DOI":"10.1016/S2215-0366(19)30048-3","ISSN":"2215-0366, 2215-0374","title-short":"The contribution of cannabis use to variation in the incidence of psychotic disorder across Europe (EU-GEI)","journalAbbreviation":"The Lancet Psychiatry","language":"English","author":[{"family":"Forti","given":"Marta Di"},{"family":"Quattrone","given":"Diego"},{"family":"Freeman","given":"Tom P."},{"family":"Tripoli","given":"Giada"},{"family":"Gayer-Anderson","given":"Charlotte"},{"family":"Quigley","given":"Harriet"},{"family":"Rodriguez","given":"Victoria"},{"family":"Jongsma","given":"Hannah E."},{"family":"Ferraro","given":"Laura"},{"family":"Cascia","given":"Caterina La"},{"family":"Barbera","given":"Daniele La"},{"family":"Tarricone","given":"Ilaria"},{"family":"Berardi","given":"Domenico"},{"family":"Szöke","given":"Andrei"},{"family":"Arango","given":"Celso"},{"family":"Tortelli","given":"Andrea"},{"family":"Velthorst","given":"Eva"},{"family":"Bernardo","given":"Miguel"},{"family":"Del-Ben","given":"Cristina Marta"},{"family":"Menezes","given":"Paulo Rossi"},{"family":"Selten","given":"Jean-Paul"},{"family":"Jones","given":"Peter B."},{"family":"Kirkbride","given":"James B."},{"family":"Rutten","given":"Bart PF"},{"family":"Haan","given":"Lieuwe","dropping-particle":"de"},{"family":"Sham","given":"Pak C."},{"family":"Os","given":"Jim","dropping-particle":"van"},{"family":"Lewis","given":"Cathryn M."},{"family":"Lynskey","given":"Michael"},{"family":"Morgan","given":"Craig"},{"family":"Murray","given":"Robin M."},{"family":"Amoretti","given":"Silvia"},{"family":"Arrojo","given":"Manuel"},{"family":"Baudin","given":"Grégoire"},{"family":"Beards","given":"Stephanie"},{"family":"Bernardo","given":"Miquel"},{"family":"Bobes","given":"Julio"},{"family":"Bonetto","given":"Chiara"},{"family":"Cabrera","given":"Bibiana"},{"family":"Carracedo","given":"Angel"},{"family":"Charpeaud","given":"Thomas"},{"family":"Costas","given":"Javier"},{"family":"Cristofalo","given":"Doriana"},{"family":"Cuadrado","given":"Pedro"},{"family":"Díaz-Caneja","given":"Covadonga M."},{"family":"Ferchiou","given":"Aziz"},{"family":"Franke","given":"Nathalie"},{"family":"Frijda","given":"Flora"},{"family":"Bernardo","given":"Enrique García"},{"family":"Garcia-Portilla","given":"Paz"},{"family":"González","given":"Emiliano"},{"family":"Hubbard","given":"Kathryn"},{"family":"Jamain","given":"Stéphane"},{"family":"Jiménez-López","given":"Estela"},{"family":"Leboyer","given":"Marion"},{"family":"Montoya","given":"Gonzalo López"},{"family":"Lorente-Rovira","given":"Esther"},{"family":"Loureiro","given":"Camila Marcelino"},{"family":"Marrazzo","given":"Giovanna"},{"family":"Martínez","given":"Covadonga"},{"family":"Matteis","given":"Mario"},{"family":"Messchaart","given":"Elles"},{"family":"Moltó","given":"Ma Dolores"},{"family":"Nacher","given":"Juan"},{"family":"Olmeda","given":"Ma Soledad"},{"family":"Parellada","given":"Mara"},{"family":"Peñas","given":"Javier González"},{"family":"Pignon","given":"Baptiste"},{"family":"Rapado","given":"Marta"},{"family":"Richard","given":"Jean-Romain"},{"family":"Solano","given":"José Juan Rodríguez"},{"family":"Díaz","given":"Laura Roldán"},{"family":"Ruggeri","given":"Mirella"},{"family":"Sáiz","given":"Pilar A."},{"family":"Sánchez","given":"Emilio"},{"family":"Sanjuán","given":"Julio"},{"family":"Sartorio","given":"Crocettarachele"},{"family":"Schürhoff","given":"Franck"},{"family":"Seminerio","given":"Fabio"},{"family":"Shuhama","given":"Rosana"},{"family":"Sideli","given":"Lucia"},{"family":"Stilo","given":"Simona A."},{"family":"Termorshuizen","given":"Fabian"},{"family":"Tosato","given":"Sarah"},{"family":"Tronche","given":"Anne-Marie"},{"family":"Dam","given":"Daniella","dropping-particle":"van"},{"family":"Ven","given":"Elsje","dropping-particle":"van der"}],"issued":{"date-parts":[["2019",3,19]]},"accessed":{"date-parts":[["2019",3,22]]}}}],"schema":"https://github.com/citation-style-language/schema/raw/master/csl-citation.json"} </w:instrText>
      </w:r>
      <w:r w:rsidR="00D9117C" w:rsidRPr="00D1213A">
        <w:fldChar w:fldCharType="separate"/>
      </w:r>
      <w:r w:rsidR="00421780" w:rsidRPr="00421780">
        <w:rPr>
          <w:vertAlign w:val="superscript"/>
        </w:rPr>
        <w:t>23</w:t>
      </w:r>
      <w:r w:rsidR="00D9117C" w:rsidRPr="00D1213A">
        <w:fldChar w:fldCharType="end"/>
      </w:r>
      <w:r w:rsidR="00D9117C" w:rsidRPr="00D1213A">
        <w:t>)</w:t>
      </w:r>
      <w:r w:rsidR="00AF0A17" w:rsidRPr="00D1213A">
        <w:t xml:space="preserve"> </w:t>
      </w:r>
      <w:r w:rsidR="007F5EAB" w:rsidRPr="00D1213A">
        <w:t xml:space="preserve">and </w:t>
      </w:r>
      <w:r w:rsidR="00AF0A17" w:rsidRPr="00D1213A">
        <w:t xml:space="preserve">involvement in </w:t>
      </w:r>
      <w:r w:rsidR="00AF0A17" w:rsidRPr="002B29CF">
        <w:t>criminal activity</w:t>
      </w:r>
      <w:r w:rsidR="00487E1A">
        <w:t>.</w:t>
      </w:r>
      <w:r w:rsidR="00AF0A17" w:rsidRPr="002B29CF">
        <w:fldChar w:fldCharType="begin"/>
      </w:r>
      <w:r w:rsidR="00421780">
        <w:instrText xml:space="preserve"> ADDIN ZOTERO_ITEM CSL_CITATION {"citationID":"2C2ZAf5y","properties":{"formattedCitation":"\\super 12\\nosupersub{}","plainCitation":"12","noteIndex":0},"citationItems":[{"id":7460,"uris":["http://zotero.org/users/8437/items/DCBLFQAC"],"uri":["http://zotero.org/users/8437/items/DCBLFQAC"],"itemData":{"id":7460,"type":"article-journal","title":"The risks for late adolescence of early adolescent marijuana use","container-title":"American Journal of Public Health","page":"1549-1554","volume":"89","issue":"10","source":"PubMed","abstract":"OBJECTIVES: The purpose of this study was to assess the relation of early adolescent marijuana use to late adolescent problem behaviors, drug-related attitudes, drug problems, and sibling and peer problem behavior.\nMETHODS: African American (n = 627) and Puerto Rican (n = 555) youths completed questionnaires in their classrooms initially and were individually interviewed 5 years later. Logistic regression analysis estimated increases in the risk of behaviors or attitudes in late adolescence associated with more frequent marijuana use in early adolescence.\nRESULTS: Early adolescent marijuana use increased the risk in late adolescence of not graduating from high school; delinquency; having multiple sexual partners; not always using condoms; perceiving drugs as not harmful; having problems with cigarettes, alcohol, and marijuana; and having more friends who exhibit deviant behavior. These relations were maintained with controls for age, sex, ethnicity, and, when available, earlier psychosocial measures.\nCONCLUSIONS: Early adolescent marijuana use is related to later adolescent problems that limit the acquisition of skills necessary for employment and heighten the risks of contracting HIV and abusing legal and illegal substances. Hence, assessments of and treatments for adolescent marijuana use need to be incorporated in clinical practice.","ISSN":"0090-0036","note":"PMID: 10511838\nPMCID: PMC1508814","journalAbbreviation":"Am J Public Health","language":"eng","author":[{"family":"Brook","given":"J. S."},{"family":"Balka","given":"E. B."},{"family":"Whiteman","given":"M."}],"issued":{"date-parts":[["1999",10]]}}}],"schema":"https://github.com/citation-style-language/schema/raw/master/csl-citation.json"} </w:instrText>
      </w:r>
      <w:r w:rsidR="00AF0A17" w:rsidRPr="002B29CF">
        <w:fldChar w:fldCharType="separate"/>
      </w:r>
      <w:r w:rsidR="00421780" w:rsidRPr="00421780">
        <w:rPr>
          <w:vertAlign w:val="superscript"/>
        </w:rPr>
        <w:t>12</w:t>
      </w:r>
      <w:r w:rsidR="00AF0A17" w:rsidRPr="002B29CF">
        <w:fldChar w:fldCharType="end"/>
      </w:r>
      <w:r w:rsidR="00315988">
        <w:t xml:space="preserve"> </w:t>
      </w:r>
      <w:r w:rsidR="0033310C" w:rsidRPr="00D1213A">
        <w:fldChar w:fldCharType="begin"/>
      </w:r>
      <w:r w:rsidR="00421780">
        <w:instrText xml:space="preserve"> ADDIN ZOTERO_ITEM CSL_CITATION {"citationID":"HnyPelCu","properties":{"formattedCitation":"\\super 24\\nosupersub{}","plainCitation":"24","noteIndex":0},"citationItems":[{"id":7488,"uris":["http://zotero.org/users/8437/items/D6B6R6EK"],"uri":["http://zotero.org/users/8437/items/D6B6R6EK"],"itemData":{"id":7488,"type":"article-journal","title":"The short-term consequences of early onset cannabis use","container-title":"Journal of Abnormal Child Psychology","page":"499-512","volume":"24","issue":"4","source":"Springer Link","abstract":"The associations between early onset (prior to 15 years of age) cannabis use and rates of mental health or adjustment problems during the period from 15 to 16 years of age were studied in a New Zealand birth cohort. Early onset cannabis users were at increased risks of later substance use behaviors, conduct/oppositional disorders, juvenile offending, severe truancy, school dropout, anxiety, depression, and suicidal ideation. Early cannabis users had odds of these outcomes ranging from 2.7 to 30.8 times higher than the odds for those who did not use cannabis prior to age 15. Most of the elevated risks of early onset users were explained by the fact that they were a high-risk group of adolescents characterized by family disadvantages, early adjustment problems, and high affiliations with substance-using or delinquent peers. Nonetheless, even after adjustment for a wide range of confounding factors, early onset users had increased risks of later cannabis use. It is concluded that while most of the elevated risks of early onset users were explained by social, family, and individual characteristics of this group, early onset users were at increased risks of later cannabis use.","DOI":"10.1007/BF01441571","ISSN":"1573-2835","journalAbbreviation":"J Abnorm Child Psychol","language":"en","author":[{"family":"Fergusson","given":"David M."},{"family":"Lynskey","given":"Michael T."},{"family":"Horwood","given":"L. John"}],"issued":{"date-parts":[["1996",8,1]]}}}],"schema":"https://github.com/citation-style-language/schema/raw/master/csl-citation.json"} </w:instrText>
      </w:r>
      <w:r w:rsidR="0033310C" w:rsidRPr="00D1213A">
        <w:fldChar w:fldCharType="separate"/>
      </w:r>
      <w:r w:rsidR="00421780" w:rsidRPr="00421780">
        <w:rPr>
          <w:vertAlign w:val="superscript"/>
        </w:rPr>
        <w:t>24</w:t>
      </w:r>
      <w:r w:rsidR="0033310C" w:rsidRPr="00D1213A">
        <w:fldChar w:fldCharType="end"/>
      </w:r>
      <w:r w:rsidR="0033310C">
        <w:t xml:space="preserve"> </w:t>
      </w:r>
      <w:bookmarkStart w:id="4" w:name="_Hlk36038419"/>
      <w:r w:rsidR="0033310C">
        <w:t xml:space="preserve">They </w:t>
      </w:r>
      <w:r w:rsidR="00487E1A">
        <w:t xml:space="preserve">replicate the </w:t>
      </w:r>
      <w:r w:rsidR="00353272">
        <w:t>findings of</w:t>
      </w:r>
      <w:r w:rsidR="00487E1A">
        <w:t xml:space="preserve"> the </w:t>
      </w:r>
      <w:r w:rsidR="00487E1A" w:rsidRPr="00D1213A">
        <w:t>Victoria Adolescent Health Cohort Study</w:t>
      </w:r>
      <w:r w:rsidR="00487E1A">
        <w:t xml:space="preserve"> showing amphetamine use in adolescence was associated with d</w:t>
      </w:r>
      <w:r w:rsidR="00315988" w:rsidRPr="00D1213A">
        <w:t>aily smoking</w:t>
      </w:r>
      <w:r w:rsidR="00487E1A">
        <w:t xml:space="preserve">, alcohol dependency, drug use in the past year, </w:t>
      </w:r>
      <w:r w:rsidR="005332EB">
        <w:t xml:space="preserve">and </w:t>
      </w:r>
      <w:r w:rsidR="00487E1A">
        <w:t>psychological distress</w:t>
      </w:r>
      <w:r w:rsidR="00315988" w:rsidRPr="00D1213A">
        <w:t xml:space="preserve"> </w:t>
      </w:r>
      <w:r w:rsidR="00487E1A">
        <w:t>in early adulthood.</w:t>
      </w:r>
      <w:r w:rsidR="00487E1A" w:rsidRPr="00487E1A">
        <w:t xml:space="preserve"> </w:t>
      </w:r>
      <w:r w:rsidR="00487E1A" w:rsidRPr="00D1213A">
        <w:fldChar w:fldCharType="begin"/>
      </w:r>
      <w:r w:rsidR="00421780">
        <w:instrText xml:space="preserve"> ADDIN ZOTERO_ITEM CSL_CITATION {"citationID":"jZURHTNX","properties":{"formattedCitation":"\\super 25\\nosupersub{}","plainCitation":"25","noteIndex":0},"citationItems":[{"id":7497,"uris":["http://zotero.org/users/8437/items/KCY6I5YR"],"uri":["http://zotero.org/users/8437/items/KCY6I5YR"],"itemData":{"id":7497,"type":"article-journal","title":"The predictors and consequences of adolescent amphetamine use: findings from the Victoria Adolescent Health Cohort Study","container-title":"Addiction","page":"1076-1084","volume":"102","issue":"7","source":"Wiley Online Library","abstract":"Objectives Previous work has highlighted the adverse consequences of early-onset cannabis use. However, little is known about the predictors and effects of early-onset amphetamine use. We set out to examine these issues using a representative cohort of young people followed-up over 11 years in Victoria, Australia. Methods A stratified, random sample of 1943 adolescents was recruited from secondary schools across Victoria at age 14–15 years. This cohort was interviewed on eight occasions until the age of 24–25 years (78% follow-up at that age). Cross-sectional associations were assessed using logistic regression with allowance for repeated measures. Both proportional hazards models and logistic regression models were used to assess prospective associations. Results Approximately 7% of the sample had used amphetamines by the age of 17 years. Amphetamine use by this age was associated with poorer mental health and other drug use. The incidence of amphetamine use during the teenage years was predicted by heavier drug use and by mental health problems. By young adulthood (age 24–25 years), adolescent amphetamine users were more likely to meet criteria for dependence upon a range of drugs, to have greater psychological morbidity and to have some limitations in educational attainment. Most of these associations were not sustained after adjustment for early-onset cannabis use. Conclusion Young people in Australia who begin amphetamine use by age 17 years are at increased risk for a range of mental health, substance use and psychosocial problems in young adulthood. However, these problems are largely accounted for by their even earlier-onset cannabis use.","DOI":"10.1111/j.1360-0443.2007.01839.x","ISSN":"1360-0443","title-short":"The predictors and consequences of adolescent amphetamine use","language":"en","author":[{"family":"Degenhardt","given":"Louisa"},{"family":"Coffey","given":"Carolyn"},{"family":"Moran","given":"Paul"},{"family":"Carlin","given":"John B."},{"family":"Patton","given":"George C."}],"issued":{"date-parts":[["2007"]]}}}],"schema":"https://github.com/citation-style-language/schema/raw/master/csl-citation.json"} </w:instrText>
      </w:r>
      <w:r w:rsidR="00487E1A" w:rsidRPr="00D1213A">
        <w:fldChar w:fldCharType="separate"/>
      </w:r>
      <w:r w:rsidR="00421780" w:rsidRPr="00421780">
        <w:rPr>
          <w:vertAlign w:val="superscript"/>
        </w:rPr>
        <w:t>25</w:t>
      </w:r>
      <w:r w:rsidR="00487E1A" w:rsidRPr="00D1213A">
        <w:fldChar w:fldCharType="end"/>
      </w:r>
      <w:r w:rsidR="00487E1A">
        <w:t xml:space="preserve"> </w:t>
      </w:r>
      <w:r w:rsidR="007E4514" w:rsidRPr="002B29CF">
        <w:t xml:space="preserve">Our findings extend </w:t>
      </w:r>
      <w:r w:rsidR="00176FAC">
        <w:t xml:space="preserve">these </w:t>
      </w:r>
      <w:r w:rsidR="00CD7CB8">
        <w:t>by</w:t>
      </w:r>
      <w:r w:rsidR="007E4514" w:rsidRPr="002B29CF">
        <w:t xml:space="preserve"> show</w:t>
      </w:r>
      <w:r w:rsidR="00CD7CB8">
        <w:t>ing</w:t>
      </w:r>
      <w:r w:rsidR="007E4514" w:rsidRPr="002B29CF">
        <w:t xml:space="preserve"> </w:t>
      </w:r>
      <w:r w:rsidR="00A1475D">
        <w:t xml:space="preserve">that after adjusting for </w:t>
      </w:r>
      <w:r w:rsidR="00CD7CB8">
        <w:t xml:space="preserve">early life socioeconomic disadvantage and </w:t>
      </w:r>
      <w:r w:rsidR="00A1475D">
        <w:t xml:space="preserve">multiple comparisons </w:t>
      </w:r>
      <w:r w:rsidR="005332EB" w:rsidRPr="00DE64D6">
        <w:t xml:space="preserve">there was an association </w:t>
      </w:r>
      <w:r w:rsidR="005332EB">
        <w:t xml:space="preserve">between adolescent drug use </w:t>
      </w:r>
      <w:r w:rsidR="005332EB" w:rsidRPr="00DE64D6">
        <w:t>with being homeless and being convicted in a criminal court</w:t>
      </w:r>
      <w:r w:rsidR="007E4514" w:rsidRPr="00D1213A">
        <w:t xml:space="preserve">. </w:t>
      </w:r>
    </w:p>
    <w:bookmarkEnd w:id="4"/>
    <w:p w14:paraId="5C6EA823" w14:textId="1C352E91" w:rsidR="00353272" w:rsidRDefault="00353272" w:rsidP="00353272"/>
    <w:p w14:paraId="40393E8B" w14:textId="6F213036" w:rsidR="00353272" w:rsidRPr="00353272" w:rsidRDefault="00353272" w:rsidP="00353272">
      <w:pPr>
        <w:rPr>
          <w:i/>
          <w:iCs/>
        </w:rPr>
      </w:pPr>
      <w:r w:rsidRPr="00353272">
        <w:rPr>
          <w:i/>
          <w:iCs/>
        </w:rPr>
        <w:t>Potential mechanisms</w:t>
      </w:r>
    </w:p>
    <w:p w14:paraId="585403EF" w14:textId="58883945" w:rsidR="00BB53F3" w:rsidRDefault="00125EDF" w:rsidP="00BB53F3">
      <w:r w:rsidRPr="00D1213A">
        <w:t>The association</w:t>
      </w:r>
      <w:r w:rsidR="00BB53F3">
        <w:t>s</w:t>
      </w:r>
      <w:r w:rsidRPr="00D1213A">
        <w:t xml:space="preserve"> between drug use and adult outcomes </w:t>
      </w:r>
      <w:r w:rsidR="00BB53F3">
        <w:t xml:space="preserve">we observed </w:t>
      </w:r>
      <w:r w:rsidRPr="00D1213A">
        <w:t>might be direct</w:t>
      </w:r>
      <w:r w:rsidR="00BB53F3">
        <w:t>,</w:t>
      </w:r>
      <w:r w:rsidRPr="00D1213A">
        <w:t xml:space="preserve"> indirect</w:t>
      </w:r>
      <w:r w:rsidR="00BB53F3">
        <w:t xml:space="preserve"> or due to confounding</w:t>
      </w:r>
      <w:r w:rsidRPr="00D1213A">
        <w:t xml:space="preserve">. In support of a direct </w:t>
      </w:r>
      <w:r w:rsidR="00DD2F5D">
        <w:t>effect</w:t>
      </w:r>
      <w:r w:rsidRPr="00D1213A">
        <w:t xml:space="preserve">, discordant </w:t>
      </w:r>
      <w:r w:rsidR="00531EB6">
        <w:t>twin studies have found the cannabis using</w:t>
      </w:r>
      <w:r w:rsidRPr="00D1213A">
        <w:t xml:space="preserve"> twin was more likely </w:t>
      </w:r>
      <w:r w:rsidR="00087034">
        <w:t xml:space="preserve">to </w:t>
      </w:r>
      <w:r w:rsidRPr="00D1213A">
        <w:t xml:space="preserve">use other illicit drugs at a later date, </w:t>
      </w:r>
      <w:r w:rsidRPr="00D1213A">
        <w:fldChar w:fldCharType="begin"/>
      </w:r>
      <w:r w:rsidR="00421780">
        <w:instrText xml:space="preserve"> ADDIN ZOTERO_ITEM CSL_CITATION {"citationID":"Bi5oNKJY","properties":{"formattedCitation":"\\super 6\\nosupersub{}","plainCitation":"6","noteIndex":0},"citationItems":[{"id":8152,"uris":["http://zotero.org/users/8437/items/QAB3QFLI"],"uri":["http://zotero.org/users/8437/items/QAB3QFLI"],"itemData":{"id":8152,"type":"article-journal","title":"Escalation of drug use in early-onset cannabis users vs co-twin controls","container-title":"JAMA","page":"427-433","volume":"289","issue":"4","source":"PubMed","abstract":"CONTEXT: Previous studies have reported that early initiation of cannabis (marijuana) use is a significant risk factor for other drug use and drug-related problems.\nOBJECTIVE: To examine whether the association between early cannabis use and subsequent progression to use of other drugs and drug abuse/dependence persists after controlling for genetic and shared environmental influences.\nDESIGN: Cross-sectional survey conducted in 1996-2000 among an Australian national volunteer sample of 311 young adult (median age, 30 years) monozygotic and dizygotic same-sex twin pairs discordant for early cannabis use (before age 17 years).\nMAIN OUTCOME MEASURES: Self-reported subsequent nonmedical use of prescription sedatives, hallucinogens, cocaine/other stimulants, and opioids; abuse or dependence on these drugs (including cannabis abuse/dependence); and alcohol dependence.\nRESULTS: Individuals who used cannabis by age 17 years had odds of other drug use, alcohol dependence, and drug abuse/dependence that were 2.1 to 5.2 times higher than those of their co-twin, who did not use cannabis before age 17 years. Controlling for known risk factors (early-onset alcohol or tobacco use, parental conflict/separation, childhood sexual abuse, conduct disorder, major depression, and social anxiety) had only negligible effects on these results. These associations did not differ significantly between monozygotic and dizygotic twins.\nCONCLUSIONS: Associations between early cannabis use and later drug use and abuse/dependence cannot solely be explained by common predisposing genetic or shared environmental factors. The association may arise from the effects of the peer and social context within which cannabis is used and obtained. In particular, early access to and use of cannabis may reduce perceived barriers against the use of other illegal drugs and provide access to these drugs.","ISSN":"0098-7484","note":"PMID: 12533121","journalAbbreviation":"JAMA","language":"eng","author":[{"family":"Lynskey","given":"Michael T."},{"family":"Heath","given":"Andrew C."},{"family":"Bucholz","given":"Kathleen K."},{"family":"Slutske","given":"Wendy S."},{"family":"Madden","given":"Pamela A. F."},{"family":"Nelson","given":"Elliot C."},{"family":"Statham","given":"Dixie J."},{"family":"Martin","given":"Nicholas G."}],"issued":{"date-parts":[["2003",1,22]]}}}],"schema":"https://github.com/citation-style-language/schema/raw/master/csl-citation.json"} </w:instrText>
      </w:r>
      <w:r w:rsidRPr="00D1213A">
        <w:fldChar w:fldCharType="separate"/>
      </w:r>
      <w:r w:rsidR="00421780" w:rsidRPr="00421780">
        <w:rPr>
          <w:vertAlign w:val="superscript"/>
        </w:rPr>
        <w:t>6</w:t>
      </w:r>
      <w:r w:rsidRPr="00D1213A">
        <w:fldChar w:fldCharType="end"/>
      </w:r>
      <w:r w:rsidRPr="00D1213A">
        <w:t xml:space="preserve"> </w:t>
      </w:r>
      <w:r w:rsidRPr="00D1213A">
        <w:fldChar w:fldCharType="begin"/>
      </w:r>
      <w:r w:rsidR="00421780">
        <w:instrText xml:space="preserve"> ADDIN ZOTERO_ITEM CSL_CITATION {"citationID":"8OaSRFML","properties":{"formattedCitation":"\\super 7\\nosupersub{}","plainCitation":"7","noteIndex":0},"citationItems":[{"id":8151,"uris":["http://zotero.org/users/8437/items/8VN9ERBJ"],"uri":["http://zotero.org/users/8437/items/8VN9ERBJ"],"itemData":{"id":8151,"type":"article-journal","title":"Early onset cannabis use and progression to other drug use in a sample of Dutch twins","container-title":"Behavior Genetics","page":"195-200","volume":"36","issue":"2","source":"PubMed","abstract":"One possible explanation of the commonly reported associations between early onset cannabis use and elevated risks of other illicit drug use is that early onset cannabis use increases access and availability to other drugs. It was this argument that in part motivated policy changes in the Netherlands that led to the de facto legalization of cannabis there. This study examines, using a co-twin control design, whether previously observed associations between early onset cannabis use and elevated lifetime rates of other illicit drug use would also be observed in a sample of 219 same sex Dutch twin pairs discordant for cannabis use before age 18. After adjustment for covariates, rates of lifetime party drug use (OR=7.4, 95% CI=2.3-23.4), hard drug use (OR=16.5, 95% CI=2.4-111.3), but not regular cannabis use (OR=1.3, 95% CI=0.3-5.1) were significantly elevated in individuals who reported early onset cannabis use, relative to their co-twin who had not used cannabis by age 18. The elevated odds of subsequent illicit drug use in early cannabis users relative to their non early using co-twins suggests that this association could not be explained by common familial risk factors, either genetic or environmental, for which our co-twin methodology provided rigorous control.","DOI":"10.1007/s10519-005-9023-x","ISSN":"0001-8244","note":"PMID: 16402286","journalAbbreviation":"Behav. Genet.","language":"eng","author":[{"family":"Lynskey","given":"Michael T."},{"family":"Vink","given":"Jacqueline M."},{"family":"Boomsma","given":"Dorret I."}],"issued":{"date-parts":[["2006",3]]}}}],"schema":"https://github.com/citation-style-language/schema/raw/master/csl-citation.json"} </w:instrText>
      </w:r>
      <w:r w:rsidRPr="00D1213A">
        <w:fldChar w:fldCharType="separate"/>
      </w:r>
      <w:r w:rsidR="00421780" w:rsidRPr="00421780">
        <w:rPr>
          <w:vertAlign w:val="superscript"/>
        </w:rPr>
        <w:t>7</w:t>
      </w:r>
      <w:r w:rsidRPr="00D1213A">
        <w:fldChar w:fldCharType="end"/>
      </w:r>
      <w:r w:rsidRPr="00D1213A">
        <w:t xml:space="preserve"> and report </w:t>
      </w:r>
      <w:r w:rsidRPr="00353272">
        <w:t>psychotic like experiences,</w:t>
      </w:r>
      <w:r w:rsidRPr="00353272">
        <w:fldChar w:fldCharType="begin"/>
      </w:r>
      <w:r w:rsidR="00421780">
        <w:instrText xml:space="preserve"> ADDIN ZOTERO_ITEM CSL_CITATION {"citationID":"WcrWKjkb","properties":{"formattedCitation":"\\super 26\\nosupersub{}","plainCitation":"26","noteIndex":0},"citationItems":[{"id":7486,"uris":["http://zotero.org/users/8437/items/SKIMV83M"],"uri":["http://zotero.org/users/8437/items/SKIMV83M"],"itemData":{"id":7486,"type":"article-journal","title":"Genetic Predisposition vs Individual-Specific Processes in the Association Between Psychotic-like Experiences and Cannabis Use","container-title":"JAMA psychiatry","page":"87-94","volume":"76","issue":"1","source":"PubMed","abstract":"Importance: Previous research indicates that cannabis use is associated with psychotic-like experiences (PLEs). However, it is unclear whether this association results from predispositional (ie, shared genetic) factors or individual-specific factors (eg, causal processes, such as cannabis use leading to PLEs).\nObjectives: To estimate genetic and environmental correlations between cannabis use and PLEs, and to examine PLEs in twin and nontwin sibling pairs discordant for exposure to cannabis use to disentangle predispositional from individual-specific effects.\nDesign, Setting, and Participants: In this cross-sectional analysis, diagnostic interviews and self-reported data were collected from 2 separate population-based samples of twin and nontwin sibling pairs. Data from the Human Connectome Project were collected between August 10, 2012, and September 29, 2015, and data from the Australian Twin Registry Cohort 3 (ATR3) were collected between August 1, 2005, and August 31, 2010. Data were analyzed between August 17, 2017, and July 6, 2018. The study included data from 1188 Human Connectome Project participants and 3486 ATR3 participants, totaling 4674 participants.\nMain Outcomes and Measures: Three cannabis-involvement variables were examined: frequent use (ie, ≥100 times), a DSM-IV lifetime cannabis use disorder diagnosis, and current cannabis use. Genetic and environmental correlations between cannabis involvement and PLEs were estimated. Generalized linear mixed models examined PLE differences in twin and nontwin sibling pairs discordant for cannabis use.\nResults: Among the 4674 participants, the mean (SD) age was 30.5 (3.2) years, and 2923 (62.5%) were female. Data on race/ethnicity were not included as a covariate owing to lack of variability within the ATR3 sample; among the 1188 participants in the Human Connectome Project, 875 (73.7%) were white. Psychotic-like experiences were associated with frequent cannabis use (β = 0.11; 95% CI, 0.08-0.14), cannabis use disorder (β = 0.13; 95% CI, 0.09-0.16), and current cannabis use (β = 0.07; 95% CI, 0.04-0.10) even after adjustment for covariates. Correlated genetic factors explained between 69.2% and 84.1% of this observed association. Within discordant pairs of twins/siblings (Npairs, 308-324), Psychotic-like experiences were more common in cannabis-exposed individuals compared with their relative who used cannabis to a lesser degree (β ≥ .23, P &lt; .05; eg, frequent and infrequent cannabis-using relatives significantly differed, z = -5.41; P &lt; .001).\nConclusions and Relevance: Despite the strong contribution of shared genetic factors, frequent and problem cannabis use also appears to be associated with PLEs via person-specific pathways. This study's findings suggest that policy discussions surrounding legalization should consider the influence of escalations in cannabis use on traitlike indices of vulnerability, such as PLEs, which could contribute to pervasive psychological and interpersonal burden.","DOI":"10.1001/jamapsychiatry.2018.2546","ISSN":"2168-6238","note":"PMID: 30347017\nPMCID: PMC6400636","journalAbbreviation":"JAMA Psychiatry","language":"eng","author":[{"family":"Karcher","given":"Nicole R."},{"family":"Barch","given":"Deanna M."},{"family":"Demers","given":"Catherine H."},{"family":"Baranger","given":"David A. A."},{"family":"Heath","given":"Andrew C."},{"family":"Lynskey","given":"Michael T."},{"family":"Agrawal","given":"Arpana"}],"issued":{"date-parts":[["2019",1,1]]}}}],"schema":"https://github.com/citation-style-language/schema/raw/master/csl-citation.json"} </w:instrText>
      </w:r>
      <w:r w:rsidRPr="00353272">
        <w:fldChar w:fldCharType="separate"/>
      </w:r>
      <w:r w:rsidR="00421780" w:rsidRPr="00421780">
        <w:rPr>
          <w:vertAlign w:val="superscript"/>
        </w:rPr>
        <w:t>26</w:t>
      </w:r>
      <w:r w:rsidRPr="00353272">
        <w:fldChar w:fldCharType="end"/>
      </w:r>
      <w:r w:rsidRPr="00353272">
        <w:t xml:space="preserve"> than the twin who did not. </w:t>
      </w:r>
      <w:r w:rsidR="00A1475D">
        <w:t>In</w:t>
      </w:r>
      <w:r w:rsidR="003437CD" w:rsidRPr="00A1475D">
        <w:t xml:space="preserve"> </w:t>
      </w:r>
      <w:r w:rsidR="00BB53F3" w:rsidRPr="00A1475D">
        <w:t>t</w:t>
      </w:r>
      <w:r w:rsidR="00353272" w:rsidRPr="00A1475D">
        <w:t xml:space="preserve">he </w:t>
      </w:r>
      <w:r w:rsidR="003437CD" w:rsidRPr="00A1475D">
        <w:t>Christchurch birth cohort</w:t>
      </w:r>
      <w:r w:rsidR="00A1475D">
        <w:t>,</w:t>
      </w:r>
      <w:r w:rsidR="00BB53F3" w:rsidRPr="00A1475D">
        <w:t xml:space="preserve"> </w:t>
      </w:r>
      <w:r w:rsidR="00353272" w:rsidRPr="00A1475D">
        <w:t>association</w:t>
      </w:r>
      <w:r w:rsidR="00BB53F3" w:rsidRPr="00A1475D">
        <w:t>s</w:t>
      </w:r>
      <w:r w:rsidR="00353272" w:rsidRPr="00A1475D">
        <w:t xml:space="preserve"> between </w:t>
      </w:r>
      <w:r w:rsidR="003437CD" w:rsidRPr="00A1475D">
        <w:t>cannabis use</w:t>
      </w:r>
      <w:r w:rsidR="00BB53F3" w:rsidRPr="00A1475D">
        <w:t xml:space="preserve"> with</w:t>
      </w:r>
      <w:r w:rsidR="00353272" w:rsidRPr="00A1475D">
        <w:t xml:space="preserve"> </w:t>
      </w:r>
      <w:r w:rsidR="003437CD" w:rsidRPr="00A1475D">
        <w:t>juvenile offending w</w:t>
      </w:r>
      <w:r w:rsidR="00BB53F3" w:rsidRPr="00A1475D">
        <w:t>ere</w:t>
      </w:r>
      <w:r w:rsidR="003437CD" w:rsidRPr="00A1475D">
        <w:t xml:space="preserve"> attenuated after adjusting for affiliation with substance using or delinquent peers. </w:t>
      </w:r>
      <w:r w:rsidR="00353272" w:rsidRPr="00A1475D">
        <w:fldChar w:fldCharType="begin"/>
      </w:r>
      <w:r w:rsidR="00421780">
        <w:instrText xml:space="preserve"> ADDIN ZOTERO_ITEM CSL_CITATION {"citationID":"YCHr9Doh","properties":{"formattedCitation":"\\super 24\\nosupersub{}","plainCitation":"24","noteIndex":0},"citationItems":[{"id":7488,"uris":["http://zotero.org/users/8437/items/D6B6R6EK"],"uri":["http://zotero.org/users/8437/items/D6B6R6EK"],"itemData":{"id":7488,"type":"article-journal","title":"The short-term consequences of early onset cannabis use","container-title":"Journal of Abnormal Child Psychology","page":"499-512","volume":"24","issue":"4","source":"Springer Link","abstract":"The associations between early onset (prior to 15 years of age) cannabis use and rates of mental health or adjustment problems during the period from 15 to 16 years of age were studied in a New Zealand birth cohort. Early onset cannabis users were at increased risks of later substance use behaviors, conduct/oppositional disorders, juvenile offending, severe truancy, school dropout, anxiety, depression, and suicidal ideation. Early cannabis users had odds of these outcomes ranging from 2.7 to 30.8 times higher than the odds for those who did not use cannabis prior to age 15. Most of the elevated risks of early onset users were explained by the fact that they were a high-risk group of adolescents characterized by family disadvantages, early adjustment problems, and high affiliations with substance-using or delinquent peers. Nonetheless, even after adjustment for a wide range of confounding factors, early onset users had increased risks of later cannabis use. It is concluded that while most of the elevated risks of early onset users were explained by social, family, and individual characteristics of this group, early onset users were at increased risks of later cannabis use.","DOI":"10.1007/BF01441571","ISSN":"1573-2835","journalAbbreviation":"J Abnorm Child Psychol","language":"en","author":[{"family":"Fergusson","given":"David M."},{"family":"Lynskey","given":"Michael T."},{"family":"Horwood","given":"L. John"}],"issued":{"date-parts":[["1996",8,1]]}}}],"schema":"https://github.com/citation-style-language/schema/raw/master/csl-citation.json"} </w:instrText>
      </w:r>
      <w:r w:rsidR="00353272" w:rsidRPr="00A1475D">
        <w:fldChar w:fldCharType="separate"/>
      </w:r>
      <w:r w:rsidR="00421780" w:rsidRPr="00421780">
        <w:rPr>
          <w:vertAlign w:val="superscript"/>
        </w:rPr>
        <w:t>24</w:t>
      </w:r>
      <w:r w:rsidR="00353272" w:rsidRPr="00A1475D">
        <w:fldChar w:fldCharType="end"/>
      </w:r>
      <w:r w:rsidR="00353272" w:rsidRPr="00A1475D">
        <w:t xml:space="preserve"> </w:t>
      </w:r>
      <w:r w:rsidR="000D5C54">
        <w:t>I</w:t>
      </w:r>
      <w:r w:rsidR="00CA0207">
        <w:t>n</w:t>
      </w:r>
      <w:r w:rsidR="00BB53F3" w:rsidRPr="00A1475D">
        <w:t xml:space="preserve"> the</w:t>
      </w:r>
      <w:r w:rsidR="00BB53F3">
        <w:t xml:space="preserve"> present submission, criminal justice experiences m</w:t>
      </w:r>
      <w:r w:rsidR="00CD1663">
        <w:t>ight be</w:t>
      </w:r>
      <w:r w:rsidR="00BB53F3" w:rsidRPr="00D1213A">
        <w:t xml:space="preserve"> </w:t>
      </w:r>
      <w:r w:rsidR="000D5C54">
        <w:t>act</w:t>
      </w:r>
      <w:r w:rsidR="00CD1663">
        <w:t>ing</w:t>
      </w:r>
      <w:r w:rsidR="000D5C54">
        <w:t xml:space="preserve"> as a mediator by </w:t>
      </w:r>
      <w:r w:rsidR="00BB53F3" w:rsidRPr="00D1213A">
        <w:t>increas</w:t>
      </w:r>
      <w:r w:rsidR="000D5C54">
        <w:t>ing</w:t>
      </w:r>
      <w:r w:rsidR="00BB53F3" w:rsidRPr="00D1213A">
        <w:t xml:space="preserve"> time with delinquent or older peers in whom drug use may be more prevalent</w:t>
      </w:r>
      <w:r w:rsidR="00C00B67">
        <w:t>. This may in-</w:t>
      </w:r>
      <w:r w:rsidR="00CD1663">
        <w:t>turn l</w:t>
      </w:r>
      <w:r w:rsidR="00C00B67">
        <w:t>ead</w:t>
      </w:r>
      <w:r w:rsidR="00CD1663">
        <w:t xml:space="preserve"> adolescents </w:t>
      </w:r>
      <w:r w:rsidR="00C00B67">
        <w:t xml:space="preserve">to </w:t>
      </w:r>
      <w:r w:rsidR="00CD1663">
        <w:t>taking drugs themselves</w:t>
      </w:r>
      <w:r w:rsidR="00BB53F3" w:rsidRPr="00D1213A">
        <w:t>.</w:t>
      </w:r>
      <w:r w:rsidR="00BB53F3">
        <w:t xml:space="preserve"> An alternative explanation is that these</w:t>
      </w:r>
      <w:r w:rsidR="00BB53F3" w:rsidRPr="00D1213A">
        <w:t xml:space="preserve"> associations </w:t>
      </w:r>
      <w:r w:rsidR="00BB53F3">
        <w:t>are</w:t>
      </w:r>
      <w:r w:rsidR="00BB53F3" w:rsidRPr="00D1213A">
        <w:t xml:space="preserve"> brought about by confounding</w:t>
      </w:r>
      <w:r w:rsidR="00257A6C">
        <w:t>,</w:t>
      </w:r>
      <w:r w:rsidR="00BB53F3" w:rsidRPr="00D1213A">
        <w:t xml:space="preserve"> whereby both adolescent drug use and later adulthood outcomes share common antecedents such as </w:t>
      </w:r>
      <w:r w:rsidR="00087034">
        <w:t>conduct/oppositional disorders,</w:t>
      </w:r>
      <w:r w:rsidR="00087034" w:rsidRPr="00A1475D">
        <w:fldChar w:fldCharType="begin"/>
      </w:r>
      <w:r w:rsidR="00087034">
        <w:instrText xml:space="preserve"> ADDIN ZOTERO_ITEM CSL_CITATION {"citationID":"YCHr9Doh","properties":{"formattedCitation":"\\super 24\\nosupersub{}","plainCitation":"24","noteIndex":0},"citationItems":[{"id":7488,"uris":["http://zotero.org/users/8437/items/D6B6R6EK"],"uri":["http://zotero.org/users/8437/items/D6B6R6EK"],"itemData":{"id":7488,"type":"article-journal","title":"The short-term consequences of early onset cannabis use","container-title":"Journal of Abnormal Child Psychology","page":"499-512","volume":"24","issue":"4","source":"Springer Link","abstract":"The associations between early onset (prior to 15 years of age) cannabis use and rates of mental health or adjustment problems during the period from 15 to 16 years of age were studied in a New Zealand birth cohort. Early onset cannabis users were at increased risks of later substance use behaviors, conduct/oppositional disorders, juvenile offending, severe truancy, school dropout, anxiety, depression, and suicidal ideation. Early cannabis users had odds of these outcomes ranging from 2.7 to 30.8 times higher than the odds for those who did not use cannabis prior to age 15. Most of the elevated risks of early onset users were explained by the fact that they were a high-risk group of adolescents characterized by family disadvantages, early adjustment problems, and high affiliations with substance-using or delinquent peers. Nonetheless, even after adjustment for a wide range of confounding factors, early onset users had increased risks of later cannabis use. It is concluded that while most of the elevated risks of early onset users were explained by social, family, and individual characteristics of this group, early onset users were at increased risks of later cannabis use.","DOI":"10.1007/BF01441571","ISSN":"1573-2835","journalAbbreviation":"J Abnorm Child Psychol","language":"en","author":[{"family":"Fergusson","given":"David M."},{"family":"Lynskey","given":"Michael T."},{"family":"Horwood","given":"L. John"}],"issued":{"date-parts":[["1996",8,1]]}}}],"schema":"https://github.com/citation-style-language/schema/raw/master/csl-citation.json"} </w:instrText>
      </w:r>
      <w:r w:rsidR="00087034" w:rsidRPr="00A1475D">
        <w:fldChar w:fldCharType="separate"/>
      </w:r>
      <w:r w:rsidR="00087034" w:rsidRPr="00421780">
        <w:rPr>
          <w:vertAlign w:val="superscript"/>
        </w:rPr>
        <w:t>24</w:t>
      </w:r>
      <w:r w:rsidR="00087034" w:rsidRPr="00A1475D">
        <w:fldChar w:fldCharType="end"/>
      </w:r>
      <w:r w:rsidR="00087034">
        <w:t xml:space="preserve"> </w:t>
      </w:r>
      <w:r w:rsidR="00BB53F3" w:rsidRPr="00D1213A">
        <w:t>delinquency,</w:t>
      </w:r>
      <w:r w:rsidR="00BB53F3" w:rsidRPr="00D1213A">
        <w:fldChar w:fldCharType="begin"/>
      </w:r>
      <w:r w:rsidR="00421780">
        <w:instrText xml:space="preserve"> ADDIN ZOTERO_ITEM CSL_CITATION {"citationID":"7DIfj1Uj","properties":{"formattedCitation":"\\super 12\\nosupersub{}","plainCitation":"12","noteIndex":0},"citationItems":[{"id":7460,"uris":["http://zotero.org/users/8437/items/DCBLFQAC"],"uri":["http://zotero.org/users/8437/items/DCBLFQAC"],"itemData":{"id":7460,"type":"article-journal","title":"The risks for late adolescence of early adolescent marijuana use","container-title":"American Journal of Public Health","page":"1549-1554","volume":"89","issue":"10","source":"PubMed","abstract":"OBJECTIVES: The purpose of this study was to assess the relation of early adolescent marijuana use to late adolescent problem behaviors, drug-related attitudes, drug problems, and sibling and peer problem behavior.\nMETHODS: African American (n = 627) and Puerto Rican (n = 555) youths completed questionnaires in their classrooms initially and were individually interviewed 5 years later. Logistic regression analysis estimated increases in the risk of behaviors or attitudes in late adolescence associated with more frequent marijuana use in early adolescence.\nRESULTS: Early adolescent marijuana use increased the risk in late adolescence of not graduating from high school; delinquency; having multiple sexual partners; not always using condoms; perceiving drugs as not harmful; having problems with cigarettes, alcohol, and marijuana; and having more friends who exhibit deviant behavior. These relations were maintained with controls for age, sex, ethnicity, and, when available, earlier psychosocial measures.\nCONCLUSIONS: Early adolescent marijuana use is related to later adolescent problems that limit the acquisition of skills necessary for employment and heighten the risks of contracting HIV and abusing legal and illegal substances. Hence, assessments of and treatments for adolescent marijuana use need to be incorporated in clinical practice.","ISSN":"0090-0036","note":"PMID: 10511838\nPMCID: PMC1508814","journalAbbreviation":"Am J Public Health","language":"eng","author":[{"family":"Brook","given":"J. S."},{"family":"Balka","given":"E. B."},{"family":"Whiteman","given":"M."}],"issued":{"date-parts":[["1999",10]]}}}],"schema":"https://github.com/citation-style-language/schema/raw/master/csl-citation.json"} </w:instrText>
      </w:r>
      <w:r w:rsidR="00BB53F3" w:rsidRPr="00D1213A">
        <w:fldChar w:fldCharType="separate"/>
      </w:r>
      <w:r w:rsidR="00421780" w:rsidRPr="00421780">
        <w:rPr>
          <w:vertAlign w:val="superscript"/>
        </w:rPr>
        <w:t>12</w:t>
      </w:r>
      <w:r w:rsidR="00BB53F3" w:rsidRPr="00D1213A">
        <w:fldChar w:fldCharType="end"/>
      </w:r>
      <w:r w:rsidR="00BB53F3" w:rsidRPr="00D1213A">
        <w:t xml:space="preserve"> </w:t>
      </w:r>
      <w:r w:rsidR="00081249">
        <w:t xml:space="preserve">and </w:t>
      </w:r>
      <w:r w:rsidR="00BB53F3" w:rsidRPr="00D1213A">
        <w:t xml:space="preserve">peer </w:t>
      </w:r>
      <w:r w:rsidR="00BB53F3" w:rsidRPr="00D1213A">
        <w:fldChar w:fldCharType="begin"/>
      </w:r>
      <w:r w:rsidR="00421780">
        <w:instrText xml:space="preserve"> ADDIN ZOTERO_ITEM CSL_CITATION {"citationID":"vgxdrpdp","properties":{"formattedCitation":"\\super 27\\nosupersub{}","plainCitation":"27","noteIndex":0},"citationItems":[{"id":7172,"uris":["http://zotero.org/users/8437/items/73KWR7X4"],"uri":["http://zotero.org/users/8437/items/73KWR7X4"],"itemData":{"id":7172,"type":"article-journal","title":"Family and peer predictors of substance use from early adolescence to early adulthood: an 11-year prospective analysis","container-title":"Addictive Behaviors","page":"1314-1324","volume":"37","issue":"12","source":"PubMed","abstract":"The focus of this study was social (i.e., family and peer) influences on substance use from early adolescence to early adulthood. A large, ethnically diverse sample of early adolescents (N=998) was followed from age 12 to age 23. We tested direct and indirect effects of parental monitoring, family relationship quality, and association with deviant peers on change in substance use across time. Outcomes for tobacco, alcohol, and marijuana use were analyzed as separate pathways within the same overall model. The results suggest that a significant shift in the nature of family influence occurred across adolescence and into early adulthood, but deviant peer influence was relatively consistent across this period. Specifically, parental monitoring and deviant peer association were predictive of substance use in early adolescence, but family relationship quality was a significant predictor across the transition to high school and generally continued to predict use into later adolescence, as did association with deviant peers. Deviant peers were the only significant predictor in early adulthood. Our results also suggested that parental monitoring and family relationship quality indirectly predicted later substance use by way of deviant peers, implying that an important aspect of the family context is its influence on choice of friends and peer group composition. Implications for family-based prevention and intervention are discussed.","DOI":"10.1016/j.addbeh.2012.06.020","ISSN":"1873-6327","note":"PMID: 22958864\nPMCID: PMC3459354","title-short":"Family and peer predictors of substance use from early adolescence to early adulthood","journalAbbreviation":"Addict Behav","language":"eng","author":[{"family":"Van Ryzin","given":"Mark J."},{"family":"Fosco","given":"Gregory M."},{"family":"Dishion","given":"Thomas J."}],"issued":{"date-parts":[["2012",12]]}}}],"schema":"https://github.com/citation-style-language/schema/raw/master/csl-citation.json"} </w:instrText>
      </w:r>
      <w:r w:rsidR="00BB53F3" w:rsidRPr="00D1213A">
        <w:fldChar w:fldCharType="separate"/>
      </w:r>
      <w:r w:rsidR="00421780" w:rsidRPr="00421780">
        <w:rPr>
          <w:vertAlign w:val="superscript"/>
        </w:rPr>
        <w:t>27</w:t>
      </w:r>
      <w:r w:rsidR="00BB53F3" w:rsidRPr="00D1213A">
        <w:fldChar w:fldCharType="end"/>
      </w:r>
      <w:r w:rsidR="00BB53F3" w:rsidRPr="00D1213A">
        <w:t xml:space="preserve"> or parental drug use.</w:t>
      </w:r>
      <w:r w:rsidR="00BB53F3" w:rsidRPr="00D1213A">
        <w:fldChar w:fldCharType="begin"/>
      </w:r>
      <w:r w:rsidR="00421780">
        <w:instrText xml:space="preserve"> ADDIN ZOTERO_ITEM CSL_CITATION {"citationID":"cGJm3qm7","properties":{"formattedCitation":"\\super 28\\nosupersub{}","plainCitation":"28","noteIndex":0},"citationItems":[{"id":7489,"uris":["http://zotero.org/users/8437/items/UBJC56RT"],"uri":["http://zotero.org/users/8437/items/UBJC56RT"],"itemData":{"id":7489,"type":"article-journal","title":"Parental and Peer Influences on the Risk of Adolescent Drug Use","container-title":"Journal of Primary Prevention","page":"529-551","volume":"26","issue":"6","source":"Springer Link","abstract":"Using a probability sample of 4,230 adolescents from grades 7–12, we used negative binomial regression to estimate the effects of peer and six family variables on the risk of adolescent drug use. Peer drug use had relatively strong effects of adolescent drug use. Parental drug attitudes, sibling drug use, and adult drug use had significant direct effects net of peer influences. In addition, they had significant indirect effects that were mediated by peer drug use. The influences of parental monitoring, attachment to mother, and attachment to father were statistically significant but relatively small. The findings applied to alcohol, binge drinking, cigarettes, marijuana, and other illicit drugs.Editors' Strategic Implications: The authors interpret their findings as being more consistent with social learning than social control theory. This research, although cross-sectional and limited to adolescents' self-reports, contributes to a growing literature on the direct and indirect influences of parents on their teens' substance use rates. It speaks to the need for school- and community-based prevention efforts to focus on families as well as peers.","DOI":"10.1007/s10935-005-0014-8","ISSN":"1573-6547","journalAbbreviation":"J Primary Prevent","language":"en","author":[{"family":"Bahr","given":"Stephen J."},{"family":"Hoffmann","given":"John P."},{"family":"Yang","given":"Xiaoyan"}],"issued":{"date-parts":[["2005",11,1]]}}}],"schema":"https://github.com/citation-style-language/schema/raw/master/csl-citation.json"} </w:instrText>
      </w:r>
      <w:r w:rsidR="00BB53F3" w:rsidRPr="00D1213A">
        <w:fldChar w:fldCharType="separate"/>
      </w:r>
      <w:r w:rsidR="00421780" w:rsidRPr="00421780">
        <w:rPr>
          <w:vertAlign w:val="superscript"/>
        </w:rPr>
        <w:t>28</w:t>
      </w:r>
      <w:r w:rsidR="00BB53F3" w:rsidRPr="00D1213A">
        <w:fldChar w:fldCharType="end"/>
      </w:r>
      <w:r w:rsidR="00BB53F3" w:rsidRPr="00D1213A">
        <w:t xml:space="preserve"> </w:t>
      </w:r>
      <w:bookmarkStart w:id="5" w:name="_Hlk36038842"/>
      <w:r w:rsidR="00BB53F3" w:rsidRPr="00D1213A">
        <w:t>This explanation suggests illicit drug use is better characterised as a marker rather than a cause of a life trajectory that is more likely to experience substance misuse</w:t>
      </w:r>
      <w:r w:rsidR="00081249">
        <w:t>, homelessness, the criminal justice system and</w:t>
      </w:r>
      <w:r w:rsidR="00BB53F3" w:rsidRPr="00D1213A">
        <w:t xml:space="preserve"> poor mental health in later life. </w:t>
      </w:r>
      <w:bookmarkEnd w:id="5"/>
    </w:p>
    <w:p w14:paraId="29823910" w14:textId="03D3D795" w:rsidR="00353272" w:rsidRDefault="00353272" w:rsidP="00353272"/>
    <w:p w14:paraId="71022E84" w14:textId="76F91D8C" w:rsidR="00353272" w:rsidRPr="00353272" w:rsidRDefault="00353272" w:rsidP="00353272">
      <w:pPr>
        <w:rPr>
          <w:i/>
          <w:iCs/>
        </w:rPr>
      </w:pPr>
      <w:r w:rsidRPr="00353272">
        <w:rPr>
          <w:i/>
          <w:iCs/>
        </w:rPr>
        <w:t xml:space="preserve">Strengths and </w:t>
      </w:r>
      <w:r>
        <w:rPr>
          <w:i/>
          <w:iCs/>
        </w:rPr>
        <w:t>limitations</w:t>
      </w:r>
    </w:p>
    <w:p w14:paraId="32C20EA4" w14:textId="03DD464F" w:rsidR="00CF7392" w:rsidRDefault="00CF7392" w:rsidP="008E564C">
      <w:pPr>
        <w:ind w:firstLine="720"/>
      </w:pPr>
      <w:r w:rsidRPr="00D1213A">
        <w:lastRenderedPageBreak/>
        <w:t xml:space="preserve">This study has several strengths, including the wide range of outcomes available, </w:t>
      </w:r>
      <w:r w:rsidR="0095135B" w:rsidRPr="00D1213A">
        <w:t xml:space="preserve">extended follow-up into early adulthood, </w:t>
      </w:r>
      <w:r w:rsidRPr="00D1213A">
        <w:t xml:space="preserve">and </w:t>
      </w:r>
      <w:r w:rsidR="001F24A8">
        <w:t xml:space="preserve">the </w:t>
      </w:r>
      <w:r w:rsidRPr="00D1213A">
        <w:t xml:space="preserve">wealth of </w:t>
      </w:r>
      <w:r w:rsidR="0041146A">
        <w:t>potential</w:t>
      </w:r>
      <w:r w:rsidRPr="00D1213A">
        <w:t xml:space="preserve"> </w:t>
      </w:r>
      <w:r w:rsidRPr="00353272">
        <w:t>confound</w:t>
      </w:r>
      <w:r w:rsidR="0095135B" w:rsidRPr="00353272">
        <w:t>ing factors</w:t>
      </w:r>
      <w:r w:rsidR="00087034">
        <w:t xml:space="preserve"> that we adjusted for in our analyses</w:t>
      </w:r>
      <w:r w:rsidR="0095135B" w:rsidRPr="00353272">
        <w:t>. The main limitation of this study is loss to follow-up and missi</w:t>
      </w:r>
      <w:r w:rsidR="0095135B" w:rsidRPr="00D1213A">
        <w:t>ng data. These may have introduced selection bias into the complete case sample. We therefore used multiple imputation to minimise this bias. Sensitivity analysis comparing the results from the complete case to the imputed datasets provided no evidence that missing data introduced bias.</w:t>
      </w:r>
      <w:r w:rsidR="0021395D" w:rsidRPr="00D1213A">
        <w:t xml:space="preserve"> The </w:t>
      </w:r>
      <w:r w:rsidR="00A60069" w:rsidRPr="00D1213A">
        <w:t>sensitive nature of reporting illicit drug use</w:t>
      </w:r>
      <w:r w:rsidR="0021395D" w:rsidRPr="00D1213A">
        <w:t xml:space="preserve"> and police and criminal justice experiences may </w:t>
      </w:r>
      <w:r w:rsidR="00A60069" w:rsidRPr="00D1213A">
        <w:t>have resulted in under-reporting</w:t>
      </w:r>
      <w:r w:rsidR="0021395D" w:rsidRPr="00D1213A">
        <w:t xml:space="preserve">. </w:t>
      </w:r>
      <w:r w:rsidR="0049205F">
        <w:t xml:space="preserve">In 2004, </w:t>
      </w:r>
      <w:r w:rsidR="00ED3CE0">
        <w:t xml:space="preserve">the UKs 1971 Misuse of Drugs Act </w:t>
      </w:r>
      <w:r w:rsidR="0049205F">
        <w:t xml:space="preserve">was amended introducing </w:t>
      </w:r>
      <w:r w:rsidR="000072EF">
        <w:t xml:space="preserve">discretionary </w:t>
      </w:r>
      <w:r w:rsidR="00ED3CE0">
        <w:t>warnings for cannabis possession</w:t>
      </w:r>
      <w:r w:rsidR="0049205F">
        <w:t>. As dru</w:t>
      </w:r>
      <w:r w:rsidR="00ED3CE0">
        <w:t xml:space="preserve">g use was reported in </w:t>
      </w:r>
      <w:r w:rsidR="0049205F">
        <w:t xml:space="preserve">the present cohort in </w:t>
      </w:r>
      <w:r w:rsidR="00ED3CE0">
        <w:t xml:space="preserve">1986, it is </w:t>
      </w:r>
      <w:r w:rsidR="0049205F">
        <w:t xml:space="preserve">possible that cases of cannabis possession now would not result in the criminal justice outcomes we observed. </w:t>
      </w:r>
    </w:p>
    <w:p w14:paraId="76CD0106" w14:textId="31AD4375" w:rsidR="00353272" w:rsidRDefault="00353272" w:rsidP="00353272"/>
    <w:p w14:paraId="5F01B824" w14:textId="613D9011" w:rsidR="00353272" w:rsidRPr="00353272" w:rsidRDefault="00353272" w:rsidP="00353272">
      <w:pPr>
        <w:rPr>
          <w:i/>
          <w:iCs/>
        </w:rPr>
      </w:pPr>
      <w:r w:rsidRPr="00353272">
        <w:rPr>
          <w:i/>
          <w:iCs/>
        </w:rPr>
        <w:t>Conclusions</w:t>
      </w:r>
    </w:p>
    <w:p w14:paraId="155E67A4" w14:textId="18035C3F" w:rsidR="00D73D8F" w:rsidRPr="00D1213A" w:rsidRDefault="00353272" w:rsidP="008E564C">
      <w:pPr>
        <w:ind w:firstLine="720"/>
      </w:pPr>
      <w:r>
        <w:t>W</w:t>
      </w:r>
      <w:r w:rsidR="00D73D8F" w:rsidRPr="00D1213A">
        <w:t xml:space="preserve">e found illicit drug use in adolescence is associated with significant socioeconomic </w:t>
      </w:r>
      <w:r w:rsidR="00200565">
        <w:t xml:space="preserve">adversity </w:t>
      </w:r>
      <w:r w:rsidR="00D73D8F" w:rsidRPr="00D1213A">
        <w:t xml:space="preserve">and </w:t>
      </w:r>
      <w:r w:rsidR="00200565">
        <w:t xml:space="preserve">poorer </w:t>
      </w:r>
      <w:r w:rsidR="00D73D8F" w:rsidRPr="00D1213A">
        <w:t xml:space="preserve">health </w:t>
      </w:r>
      <w:r w:rsidR="00200565">
        <w:t>outcomes</w:t>
      </w:r>
      <w:r w:rsidR="00200565" w:rsidRPr="00D1213A">
        <w:t xml:space="preserve"> </w:t>
      </w:r>
      <w:r w:rsidR="00C85F27" w:rsidRPr="00D1213A">
        <w:t>in adulthood</w:t>
      </w:r>
      <w:r w:rsidR="00D73D8F" w:rsidRPr="00D1213A">
        <w:t>. I</w:t>
      </w:r>
      <w:r w:rsidR="00C85F27" w:rsidRPr="00D1213A">
        <w:t xml:space="preserve">f causal, these associations </w:t>
      </w:r>
      <w:r w:rsidR="00BB53F3">
        <w:t xml:space="preserve">would </w:t>
      </w:r>
      <w:r w:rsidR="00C85F27" w:rsidRPr="00D1213A">
        <w:t>suggest that i</w:t>
      </w:r>
      <w:r w:rsidR="00D73D8F" w:rsidRPr="00D1213A">
        <w:t>llicit drug use</w:t>
      </w:r>
      <w:r w:rsidR="00531EB6">
        <w:t xml:space="preserve"> in adolescence </w:t>
      </w:r>
      <w:r w:rsidR="00D73D8F" w:rsidRPr="00D1213A">
        <w:t>contribute</w:t>
      </w:r>
      <w:r w:rsidR="00C85F27" w:rsidRPr="00D1213A">
        <w:t>s</w:t>
      </w:r>
      <w:r w:rsidR="00D73D8F" w:rsidRPr="00D1213A">
        <w:t xml:space="preserve"> to the development of health and economic inequalities in the transition to adulthood. </w:t>
      </w:r>
    </w:p>
    <w:bookmarkEnd w:id="1"/>
    <w:p w14:paraId="5C75026C" w14:textId="699C5504" w:rsidR="00D73D8F" w:rsidRPr="00D1213A" w:rsidRDefault="00D73D8F" w:rsidP="008E564C">
      <w:pPr>
        <w:autoSpaceDE w:val="0"/>
        <w:autoSpaceDN w:val="0"/>
        <w:adjustRightInd w:val="0"/>
        <w:spacing w:after="0"/>
        <w:rPr>
          <w:rFonts w:ascii="AdvPED1282" w:hAnsi="AdvPED1282" w:cs="AdvPED1282"/>
          <w:sz w:val="18"/>
          <w:szCs w:val="18"/>
        </w:rPr>
      </w:pPr>
    </w:p>
    <w:p w14:paraId="3465B839" w14:textId="77777777" w:rsidR="007F0A72" w:rsidRPr="00D1213A" w:rsidRDefault="007F0A72" w:rsidP="008E564C">
      <w:pPr>
        <w:contextualSpacing/>
        <w:rPr>
          <w:b/>
        </w:rPr>
      </w:pPr>
    </w:p>
    <w:p w14:paraId="61301974" w14:textId="721540D9" w:rsidR="004F05A1" w:rsidRPr="00D1213A" w:rsidRDefault="004F05A1" w:rsidP="008E564C">
      <w:pPr>
        <w:contextualSpacing/>
        <w:rPr>
          <w:b/>
        </w:rPr>
      </w:pPr>
      <w:r w:rsidRPr="00D1213A">
        <w:rPr>
          <w:b/>
        </w:rPr>
        <w:t>Acknowledgements</w:t>
      </w:r>
    </w:p>
    <w:p w14:paraId="0D4D6E0E" w14:textId="77777777" w:rsidR="004F05A1" w:rsidRPr="00D1213A" w:rsidRDefault="004F05A1" w:rsidP="008E564C">
      <w:pPr>
        <w:contextualSpacing/>
        <w:rPr>
          <w:b/>
        </w:rPr>
      </w:pPr>
    </w:p>
    <w:p w14:paraId="06C7DCA1" w14:textId="49156CA4" w:rsidR="00421780" w:rsidRPr="004F240C" w:rsidRDefault="00421780" w:rsidP="00E97E66">
      <w:r w:rsidRPr="004F240C">
        <w:rPr>
          <w:b/>
        </w:rPr>
        <w:t>Contributors:</w:t>
      </w:r>
      <w:r w:rsidRPr="004F240C">
        <w:t xml:space="preserve"> JW and GDB </w:t>
      </w:r>
      <w:r w:rsidR="001E1240">
        <w:t xml:space="preserve">had the idea </w:t>
      </w:r>
      <w:r w:rsidR="001A6FC1">
        <w:t xml:space="preserve">and designed </w:t>
      </w:r>
      <w:r w:rsidR="001E1240">
        <w:t>the analys</w:t>
      </w:r>
      <w:r w:rsidR="001A6FC1">
        <w:t>e</w:t>
      </w:r>
      <w:r w:rsidR="001E1240">
        <w:t>s</w:t>
      </w:r>
      <w:r w:rsidRPr="004F240C">
        <w:t xml:space="preserve">. JW acquired the data and undertook the analyses. </w:t>
      </w:r>
      <w:r>
        <w:t xml:space="preserve">SB </w:t>
      </w:r>
      <w:r w:rsidRPr="004F240C">
        <w:t>contributed to refining the analyses</w:t>
      </w:r>
      <w:r w:rsidR="001E1240">
        <w:t xml:space="preserve"> and drafted the figure</w:t>
      </w:r>
      <w:r w:rsidRPr="004F240C">
        <w:t>. All authors drafted the manuscript and approved its publication.</w:t>
      </w:r>
    </w:p>
    <w:p w14:paraId="3C67C8F5" w14:textId="77777777" w:rsidR="00421780" w:rsidRPr="004F240C" w:rsidRDefault="00421780" w:rsidP="00E97E66">
      <w:r>
        <w:rPr>
          <w:b/>
        </w:rPr>
        <w:t>Competing interest</w:t>
      </w:r>
      <w:r w:rsidRPr="004F240C">
        <w:rPr>
          <w:b/>
        </w:rPr>
        <w:t>:</w:t>
      </w:r>
      <w:r w:rsidRPr="004F240C">
        <w:t xml:space="preserve"> None</w:t>
      </w:r>
      <w:r>
        <w:t xml:space="preserve"> declared</w:t>
      </w:r>
      <w:r w:rsidRPr="004F240C">
        <w:t>.</w:t>
      </w:r>
    </w:p>
    <w:p w14:paraId="30FA34AE" w14:textId="77777777" w:rsidR="00E97E66" w:rsidRDefault="00421780" w:rsidP="002B4216">
      <w:r w:rsidRPr="004F240C">
        <w:rPr>
          <w:b/>
        </w:rPr>
        <w:t>Ethics approval:</w:t>
      </w:r>
      <w:r w:rsidRPr="004F240C">
        <w:t xml:space="preserve"> </w:t>
      </w:r>
      <w:proofErr w:type="spellStart"/>
      <w:r w:rsidR="00E97E66">
        <w:t>Plewis</w:t>
      </w:r>
      <w:proofErr w:type="spellEnd"/>
      <w:r w:rsidR="00E97E66">
        <w:t xml:space="preserve"> I, Calderwood L, Hawkes D, Nathan G. National Child</w:t>
      </w:r>
    </w:p>
    <w:p w14:paraId="09C3CFDB" w14:textId="77777777" w:rsidR="00E97E66" w:rsidRDefault="00E97E66" w:rsidP="002B4216">
      <w:r>
        <w:t>Development Study and 1970 British Cohort Study technical report: Changes in the</w:t>
      </w:r>
    </w:p>
    <w:p w14:paraId="3809B377" w14:textId="77777777" w:rsidR="00E97E66" w:rsidRDefault="00E97E66" w:rsidP="002B4216">
      <w:r>
        <w:t>NCDS and BCS70 populations and samples over time. London: Institute of</w:t>
      </w:r>
    </w:p>
    <w:p w14:paraId="129BDB8A" w14:textId="446CBF44" w:rsidR="00E97E66" w:rsidRDefault="00E97E66" w:rsidP="002B4216">
      <w:pPr>
        <w:rPr>
          <w:b/>
        </w:rPr>
      </w:pPr>
      <w:r>
        <w:t>Education.</w:t>
      </w:r>
      <w:r w:rsidR="002B4216">
        <w:t xml:space="preserve"> </w:t>
      </w:r>
      <w:r>
        <w:t>2004.</w:t>
      </w:r>
      <w:r w:rsidRPr="004F240C">
        <w:rPr>
          <w:b/>
        </w:rPr>
        <w:t xml:space="preserve"> </w:t>
      </w:r>
    </w:p>
    <w:p w14:paraId="194E43B1" w14:textId="5860BF68" w:rsidR="00421780" w:rsidRPr="004F240C" w:rsidRDefault="00421780" w:rsidP="002B4216">
      <w:r w:rsidRPr="004F240C">
        <w:rPr>
          <w:b/>
        </w:rPr>
        <w:t>Provenance and peer review:</w:t>
      </w:r>
      <w:r w:rsidRPr="004F240C">
        <w:t xml:space="preserve"> Not commissioned; externally peer reviewed.</w:t>
      </w:r>
    </w:p>
    <w:p w14:paraId="6A878BD4" w14:textId="77777777" w:rsidR="00421780" w:rsidRPr="004F240C" w:rsidRDefault="00421780" w:rsidP="00E97E66">
      <w:r w:rsidRPr="004F240C">
        <w:rPr>
          <w:b/>
        </w:rPr>
        <w:lastRenderedPageBreak/>
        <w:t>Data sharing statement:</w:t>
      </w:r>
      <w:r w:rsidRPr="004F240C">
        <w:t xml:space="preserve"> All </w:t>
      </w:r>
      <w:r>
        <w:t xml:space="preserve">data </w:t>
      </w:r>
      <w:r w:rsidRPr="004F240C">
        <w:t>are openly available from the UK Data Archive (</w:t>
      </w:r>
      <w:hyperlink r:id="rId12" w:history="1">
        <w:r w:rsidRPr="004F240C">
          <w:rPr>
            <w:rStyle w:val="Hyperlink"/>
          </w:rPr>
          <w:t>https://discover.ukdataservice.ac.uk/</w:t>
        </w:r>
      </w:hyperlink>
      <w:r w:rsidRPr="004F240C">
        <w:t xml:space="preserve">). </w:t>
      </w:r>
    </w:p>
    <w:p w14:paraId="6D0C3C7F" w14:textId="77777777" w:rsidR="00421780" w:rsidRPr="00D1213A" w:rsidRDefault="00421780" w:rsidP="00E97E66">
      <w:pPr>
        <w:rPr>
          <w:b/>
        </w:rPr>
      </w:pPr>
      <w:r w:rsidRPr="000D168C">
        <w:rPr>
          <w:b/>
          <w:lang w:val="en-US"/>
        </w:rPr>
        <w:t>Grants and/or financial support:</w:t>
      </w:r>
      <w:r w:rsidRPr="000D168C">
        <w:rPr>
          <w:lang w:val="en-US"/>
        </w:rPr>
        <w:t xml:space="preserve"> </w:t>
      </w:r>
      <w:r w:rsidRPr="00D1213A">
        <w:t xml:space="preserve">JW is funded by The Centre for the Development and Evaluation of Complex Interventions for Public Health Improvement (DECIPHer), a UKCRC Public Health Research Centre of Excellence. Joint funding (MR/KO232331/1) from the British Heart Foundation, Cancer Research UK, Economic and Social Research Council, Medical Research Council, the Welsh Government and the </w:t>
      </w:r>
      <w:proofErr w:type="spellStart"/>
      <w:r w:rsidRPr="00D1213A">
        <w:t>Wellcome</w:t>
      </w:r>
      <w:proofErr w:type="spellEnd"/>
      <w:r w:rsidRPr="00D1213A">
        <w:t xml:space="preserve"> Trust, under the auspices of the UK Clinical Research Collaboration, and is gratefully acknowledged.</w:t>
      </w:r>
      <w:r>
        <w:t xml:space="preserve">  </w:t>
      </w:r>
      <w:r w:rsidRPr="009E48D3">
        <w:t>GDB is supported by the UK Medical Research Council (MR/P023444/1) and the US National Institute on Aging (1R56AG052519-01; 1R01AG052519-01A1)</w:t>
      </w:r>
      <w:r>
        <w:t xml:space="preserve">. </w:t>
      </w:r>
      <w:r w:rsidRPr="00200565">
        <w:t xml:space="preserve">SB is supported by the National Institute for Health Research (NIHR) Blood and Transplant Research Unit in Donor Health and Genomics (NIHR BTRU-2014-10024), UK Medical Research Council (MR/L003120/1), British Heart Foundation (SP/09/002; RG/13/13/30194; RG/18/13/33946), </w:t>
      </w:r>
      <w:r>
        <w:t xml:space="preserve">and </w:t>
      </w:r>
      <w:r w:rsidRPr="00200565">
        <w:t>the NIHR Cambridge Biomedical Research Centre at the Cambridge University Hospitals NHS Foundation Trust</w:t>
      </w:r>
      <w:r>
        <w:t>.</w:t>
      </w:r>
    </w:p>
    <w:p w14:paraId="0028A702" w14:textId="77777777" w:rsidR="00556383" w:rsidRPr="00556383" w:rsidRDefault="00421780" w:rsidP="00556383">
      <w:pPr>
        <w:rPr>
          <w:b/>
        </w:rPr>
      </w:pPr>
      <w:r w:rsidRPr="00B41BD9">
        <w:rPr>
          <w:b/>
        </w:rPr>
        <w:t>Licence for Publication</w:t>
      </w:r>
      <w:r>
        <w:rPr>
          <w:b/>
        </w:rPr>
        <w:t xml:space="preserve">: </w:t>
      </w:r>
      <w:r w:rsidR="00556383" w:rsidRPr="00556383">
        <w:rPr>
          <w:bCs/>
        </w:rPr>
        <w:t xml:space="preserve">The Corresponding Author has the right to grant on behalf of all authors and does grant on behalf of all authors, an exclusive licence (or </w:t>
      </w:r>
      <w:proofErr w:type="spellStart"/>
      <w:r w:rsidR="00556383" w:rsidRPr="00556383">
        <w:rPr>
          <w:bCs/>
        </w:rPr>
        <w:t>non exclusive</w:t>
      </w:r>
      <w:proofErr w:type="spellEnd"/>
      <w:r w:rsidR="00556383" w:rsidRPr="00556383">
        <w:rPr>
          <w:bCs/>
        </w:rPr>
        <w:t xml:space="preserve"> for government employees) on a worldwide basis to the BMJ Publishing Group Ltd to permit this article (if accepted) to be published in JECH and any other BMJPGL products and sublicences such use and exploit all subsidiary rights, as set out in our licence (</w:t>
      </w:r>
      <w:hyperlink r:id="rId13" w:history="1">
        <w:r w:rsidR="00556383" w:rsidRPr="00833D76">
          <w:rPr>
            <w:rStyle w:val="Hyperlink"/>
            <w:bCs/>
          </w:rPr>
          <w:t>https://eur03.safelinks.protection.outlook.com/?url=http%3A%2F%2Fgroup.bmj.com%2Fproducts%2Fjournals%2Finstructions-for-authors%2Flicence-forms&amp;amp;data=01%7C01%7CWhiteJ11%40cardiff.ac.uk%7C0e49c5cbd2b84f01d89908d79233ed2a%7Cbdb74b3095684856bdbf06759778fcbc%7C1&amp;amp;sdata=oMgdVPdjCUmitMSnLtcxtucVuBt2wC1C3E72SZ6Xnhc%3D&amp;amp;reserved=0</w:t>
        </w:r>
      </w:hyperlink>
      <w:r w:rsidR="00556383">
        <w:rPr>
          <w:bCs/>
        </w:rPr>
        <w:t>)</w:t>
      </w:r>
      <w:r w:rsidR="00556383" w:rsidRPr="00556383">
        <w:rPr>
          <w:bCs/>
        </w:rPr>
        <w:t>.</w:t>
      </w:r>
    </w:p>
    <w:p w14:paraId="0979D757" w14:textId="5ED49755" w:rsidR="00421780" w:rsidRDefault="00421780" w:rsidP="00421780"/>
    <w:p w14:paraId="02B0A3C8" w14:textId="77777777" w:rsidR="00457A5A" w:rsidRDefault="00457A5A" w:rsidP="008E564C">
      <w:pPr>
        <w:rPr>
          <w:b/>
        </w:rPr>
      </w:pPr>
    </w:p>
    <w:p w14:paraId="260DDF1E" w14:textId="7D3548B4" w:rsidR="00733F81" w:rsidRPr="00D1213A" w:rsidRDefault="00733F81" w:rsidP="008E564C">
      <w:pPr>
        <w:rPr>
          <w:b/>
        </w:rPr>
      </w:pPr>
      <w:r>
        <w:rPr>
          <w:b/>
        </w:rPr>
        <w:t>References</w:t>
      </w:r>
    </w:p>
    <w:p w14:paraId="3C92F7EC" w14:textId="77777777" w:rsidR="00421780" w:rsidRPr="00421780" w:rsidRDefault="00733F81" w:rsidP="00421780">
      <w:pPr>
        <w:pStyle w:val="Bibliography"/>
      </w:pPr>
      <w:r>
        <w:fldChar w:fldCharType="begin"/>
      </w:r>
      <w:r w:rsidR="00421780">
        <w:instrText xml:space="preserve"> ADDIN ZOTERO_BIBL {"uncited":[],"omitted":[],"custom":[]} CSL_BIBLIOGRAPHY </w:instrText>
      </w:r>
      <w:r>
        <w:fldChar w:fldCharType="separate"/>
      </w:r>
      <w:r w:rsidR="00421780" w:rsidRPr="00421780">
        <w:t xml:space="preserve">1. </w:t>
      </w:r>
      <w:r w:rsidR="00421780" w:rsidRPr="00421780">
        <w:tab/>
        <w:t xml:space="preserve">Swift W, Coffey C, Degenhardt L, Carlin JB, Romaniuk H, Patton GC. Cannabis and progression to other substance use in young adults: findings from a 13-year prospective population-based study. J Epidemiol Community Health. 2012 Jul;66(7):e26. </w:t>
      </w:r>
    </w:p>
    <w:p w14:paraId="6D3DEDB3" w14:textId="77777777" w:rsidR="00421780" w:rsidRPr="00421780" w:rsidRDefault="00421780" w:rsidP="00421780">
      <w:pPr>
        <w:pStyle w:val="Bibliography"/>
      </w:pPr>
      <w:r w:rsidRPr="00421780">
        <w:lastRenderedPageBreak/>
        <w:t xml:space="preserve">2. </w:t>
      </w:r>
      <w:r w:rsidRPr="00421780">
        <w:tab/>
        <w:t xml:space="preserve">Hall W. What has research over the past two decades revealed about the adverse health effects of recreational cannabis use? Addiction. 2015;110(1):19–35. </w:t>
      </w:r>
    </w:p>
    <w:p w14:paraId="7BD4EB7A" w14:textId="77777777" w:rsidR="00421780" w:rsidRPr="00421780" w:rsidRDefault="00421780" w:rsidP="00421780">
      <w:pPr>
        <w:pStyle w:val="Bibliography"/>
      </w:pPr>
      <w:r w:rsidRPr="00421780">
        <w:t xml:space="preserve">3. </w:t>
      </w:r>
      <w:r w:rsidRPr="00421780">
        <w:tab/>
        <w:t xml:space="preserve">Blanco C, Hasin DS, Wall MM, Flórez-Salamanca L, Hoertel N, Wang S, et al. Cannabis Use and Risk of Psychiatric Disorders: Prospective Evidence From a US National Longitudinal Study. JAMA Psychiatry. 2016 Apr 1;73(4):388–95. </w:t>
      </w:r>
    </w:p>
    <w:p w14:paraId="325AA67A" w14:textId="77777777" w:rsidR="00421780" w:rsidRPr="00421780" w:rsidRDefault="00421780" w:rsidP="00421780">
      <w:pPr>
        <w:pStyle w:val="Bibliography"/>
      </w:pPr>
      <w:r w:rsidRPr="00421780">
        <w:t xml:space="preserve">4. </w:t>
      </w:r>
      <w:r w:rsidRPr="00421780">
        <w:tab/>
        <w:t>Gobbi G, Atkin T, Zytynski T, Wang S, Askari S, Boruff J, et al. Association of Cannabis Use in Adolescence and Risk of Depression, Anxiety, and Suicidality in Young Adulthood: A Systematic Review and Meta-analysis. JAMA Psychiatry [Internet]. 2019 Feb 13 [cited 2019 Mar 22]; Available from: https://jamanetwork.com/journals/jamapsychiatry/fullarticle/2723657</w:t>
      </w:r>
    </w:p>
    <w:p w14:paraId="5AB1533C" w14:textId="77777777" w:rsidR="00421780" w:rsidRPr="00421780" w:rsidRDefault="00421780" w:rsidP="00421780">
      <w:pPr>
        <w:pStyle w:val="Bibliography"/>
      </w:pPr>
      <w:r w:rsidRPr="00421780">
        <w:t xml:space="preserve">5. </w:t>
      </w:r>
      <w:r w:rsidRPr="00421780">
        <w:tab/>
        <w:t xml:space="preserve">Degenhardt L, Coffey C, Moran P, Carlin JB, Patton GC. The predictors and consequences of adolescent amphetamine use: findings from the Victoria Adolescent Health Cohort Study. Addiction. 2007;102(7):1076–84. </w:t>
      </w:r>
    </w:p>
    <w:p w14:paraId="5FD3187C" w14:textId="77777777" w:rsidR="00421780" w:rsidRPr="00421780" w:rsidRDefault="00421780" w:rsidP="00421780">
      <w:pPr>
        <w:pStyle w:val="Bibliography"/>
      </w:pPr>
      <w:r w:rsidRPr="00421780">
        <w:t xml:space="preserve">6. </w:t>
      </w:r>
      <w:r w:rsidRPr="00421780">
        <w:tab/>
        <w:t xml:space="preserve">Lynskey MT, Heath AC, Bucholz KK, Slutske WS, Madden PAF, Nelson EC, et al. Escalation of drug use in early-onset cannabis users vs co-twin controls. JAMA. 2003 Jan 22;289(4):427–33. </w:t>
      </w:r>
    </w:p>
    <w:p w14:paraId="405F3845" w14:textId="77777777" w:rsidR="00421780" w:rsidRPr="00421780" w:rsidRDefault="00421780" w:rsidP="00421780">
      <w:pPr>
        <w:pStyle w:val="Bibliography"/>
      </w:pPr>
      <w:r w:rsidRPr="00421780">
        <w:t xml:space="preserve">7. </w:t>
      </w:r>
      <w:r w:rsidRPr="00421780">
        <w:tab/>
        <w:t xml:space="preserve">Lynskey MT, Vink JM, Boomsma DI. Early onset cannabis use and progression to other drug use in a sample of Dutch twins. Behav Genet. 2006 Mar;36(2):195–200. </w:t>
      </w:r>
    </w:p>
    <w:p w14:paraId="1FFE8623" w14:textId="77777777" w:rsidR="00421780" w:rsidRPr="00421780" w:rsidRDefault="00421780" w:rsidP="00421780">
      <w:pPr>
        <w:pStyle w:val="Bibliography"/>
      </w:pPr>
      <w:r w:rsidRPr="00421780">
        <w:t xml:space="preserve">8. </w:t>
      </w:r>
      <w:r w:rsidRPr="00421780">
        <w:tab/>
        <w:t xml:space="preserve">Marconi A, Di Forti M, Lewis CM, Murray RM, Vassos E. Meta-analysis of the Association Between the Level of Cannabis Use and Risk of Psychosis. Schizophr Bull. 2016;42(5):1262–9. </w:t>
      </w:r>
    </w:p>
    <w:p w14:paraId="026CA2BE" w14:textId="77777777" w:rsidR="00421780" w:rsidRPr="00421780" w:rsidRDefault="00421780" w:rsidP="00421780">
      <w:pPr>
        <w:pStyle w:val="Bibliography"/>
      </w:pPr>
      <w:r w:rsidRPr="00421780">
        <w:t xml:space="preserve">9. </w:t>
      </w:r>
      <w:r w:rsidRPr="00421780">
        <w:tab/>
        <w:t xml:space="preserve">Large M, Sharma S, Compton MT, Slade T, Nielssen O. Cannabis Use and Earlier Onset of Psychosis: A Systematic Meta-analysis. Arch Gen Psychiatry. 2011 Jun 6;68(6):555–61. </w:t>
      </w:r>
    </w:p>
    <w:p w14:paraId="1CAC0514" w14:textId="77777777" w:rsidR="00421780" w:rsidRPr="00421780" w:rsidRDefault="00421780" w:rsidP="00421780">
      <w:pPr>
        <w:pStyle w:val="Bibliography"/>
      </w:pPr>
      <w:r w:rsidRPr="00421780">
        <w:t xml:space="preserve">10. </w:t>
      </w:r>
      <w:r w:rsidRPr="00421780">
        <w:tab/>
        <w:t xml:space="preserve">Stiby AI, Hickman M, Munafò MR, Heron J, Yip VL, Macleod J. Adolescent cannabis and tobacco use and educational outcomes at age 16: birth cohort study. Addict Abingdon Engl. 2015 Apr;110(4):658–68. </w:t>
      </w:r>
    </w:p>
    <w:p w14:paraId="0E4B90A2" w14:textId="77777777" w:rsidR="00421780" w:rsidRPr="00421780" w:rsidRDefault="00421780" w:rsidP="00421780">
      <w:pPr>
        <w:pStyle w:val="Bibliography"/>
      </w:pPr>
      <w:r w:rsidRPr="00421780">
        <w:t xml:space="preserve">11. </w:t>
      </w:r>
      <w:r w:rsidRPr="00421780">
        <w:tab/>
        <w:t xml:space="preserve">Lynskey M, Hall W. The effects of adolescent cannabis use on educational attainment: a review. Addict Abingdon Engl. 2000 Nov;95(11):1621–30. </w:t>
      </w:r>
    </w:p>
    <w:p w14:paraId="03F86275" w14:textId="77777777" w:rsidR="00421780" w:rsidRPr="00421780" w:rsidRDefault="00421780" w:rsidP="00421780">
      <w:pPr>
        <w:pStyle w:val="Bibliography"/>
      </w:pPr>
      <w:r w:rsidRPr="00421780">
        <w:t xml:space="preserve">12. </w:t>
      </w:r>
      <w:r w:rsidRPr="00421780">
        <w:tab/>
        <w:t xml:space="preserve">Brook JS, Balka EB, Whiteman M. The risks for late adolescence of early adolescent marijuana use. Am J Public Health. 1999 Oct;89(10):1549–54. </w:t>
      </w:r>
    </w:p>
    <w:p w14:paraId="6AE5E08B" w14:textId="77777777" w:rsidR="00421780" w:rsidRPr="00421780" w:rsidRDefault="00421780" w:rsidP="00421780">
      <w:pPr>
        <w:pStyle w:val="Bibliography"/>
      </w:pPr>
      <w:r w:rsidRPr="00421780">
        <w:t xml:space="preserve">13. </w:t>
      </w:r>
      <w:r w:rsidRPr="00421780">
        <w:tab/>
        <w:t xml:space="preserve">Elliott J, Shepherd P. Cohort Profile: 1970 British Birth Cohort (BCS70). Int J Epidemiol. 2006 Aug 1;35(4):836–43. </w:t>
      </w:r>
    </w:p>
    <w:p w14:paraId="0FE41DA0" w14:textId="77777777" w:rsidR="00421780" w:rsidRPr="00421780" w:rsidRDefault="00421780" w:rsidP="00421780">
      <w:pPr>
        <w:pStyle w:val="Bibliography"/>
      </w:pPr>
      <w:r w:rsidRPr="00421780">
        <w:t xml:space="preserve">14. </w:t>
      </w:r>
      <w:r w:rsidRPr="00421780">
        <w:tab/>
        <w:t xml:space="preserve">von Elm E, Altman DG, Egger M, Pocock SJ, Gøtzsche PC, Vandenbroucke JP, et al. Strengthening the Reporting of Observational Studies in Epidemiology (STROBE) statement: guidelines for reporting observational studies. BMJ. 2007 Oct 20;335(7624):806–8. </w:t>
      </w:r>
    </w:p>
    <w:p w14:paraId="3D51309B" w14:textId="77777777" w:rsidR="00421780" w:rsidRPr="00421780" w:rsidRDefault="00421780" w:rsidP="00421780">
      <w:pPr>
        <w:pStyle w:val="Bibliography"/>
      </w:pPr>
      <w:r w:rsidRPr="00421780">
        <w:t xml:space="preserve">15. </w:t>
      </w:r>
      <w:r w:rsidRPr="00421780">
        <w:tab/>
        <w:t xml:space="preserve">Goodman A, Butler N. BCS70—The 1970 British Cohort Study: The Sixteen-Year Follow-Up. Inst Educ Lond. 1987; </w:t>
      </w:r>
    </w:p>
    <w:p w14:paraId="6EC28DF6" w14:textId="77777777" w:rsidR="00421780" w:rsidRPr="00421780" w:rsidRDefault="00421780" w:rsidP="00421780">
      <w:pPr>
        <w:pStyle w:val="Bibliography"/>
      </w:pPr>
      <w:r w:rsidRPr="00421780">
        <w:lastRenderedPageBreak/>
        <w:t xml:space="preserve">16. </w:t>
      </w:r>
      <w:r w:rsidRPr="00421780">
        <w:tab/>
        <w:t xml:space="preserve">Ewing JA. Detecting alcoholism. The CAGE questionnaire. JAMA. 1984 Oct 12;252(14):1905–7. </w:t>
      </w:r>
    </w:p>
    <w:p w14:paraId="38CD0689" w14:textId="77777777" w:rsidR="00421780" w:rsidRPr="00421780" w:rsidRDefault="00421780" w:rsidP="00421780">
      <w:pPr>
        <w:pStyle w:val="Bibliography"/>
      </w:pPr>
      <w:r w:rsidRPr="00421780">
        <w:t xml:space="preserve">17. </w:t>
      </w:r>
      <w:r w:rsidRPr="00421780">
        <w:tab/>
        <w:t xml:space="preserve">Rodgers B, Pickles A, Power C, Collishaw S, Maughan B. Validity of the Malaise Inventory in general population samples. Soc Psychiatry Psychiatr Epidemiol. 1999 Jun 1;34(6):333–41. </w:t>
      </w:r>
    </w:p>
    <w:p w14:paraId="2C808C77" w14:textId="77777777" w:rsidR="00421780" w:rsidRPr="00421780" w:rsidRDefault="00421780" w:rsidP="00421780">
      <w:pPr>
        <w:pStyle w:val="Bibliography"/>
      </w:pPr>
      <w:r w:rsidRPr="00421780">
        <w:t xml:space="preserve">18. </w:t>
      </w:r>
      <w:r w:rsidRPr="00421780">
        <w:tab/>
        <w:t xml:space="preserve">General R. Classification of occupations. Lond HMSO. 1980; </w:t>
      </w:r>
    </w:p>
    <w:p w14:paraId="5A996AC6" w14:textId="77777777" w:rsidR="00421780" w:rsidRPr="00421780" w:rsidRDefault="00421780" w:rsidP="00421780">
      <w:pPr>
        <w:pStyle w:val="Bibliography"/>
      </w:pPr>
      <w:r w:rsidRPr="00421780">
        <w:t xml:space="preserve">19. </w:t>
      </w:r>
      <w:r w:rsidRPr="00421780">
        <w:tab/>
        <w:t xml:space="preserve">Von Hippel PT. 4. Regression with missing Ys: An improved strategy for analyzing multiply imputed data. Sociol Methodol. 2007;37(1):83–117. </w:t>
      </w:r>
    </w:p>
    <w:p w14:paraId="4AA21AF3" w14:textId="77777777" w:rsidR="00421780" w:rsidRPr="00421780" w:rsidRDefault="00421780" w:rsidP="00421780">
      <w:pPr>
        <w:pStyle w:val="Bibliography"/>
      </w:pPr>
      <w:r w:rsidRPr="00421780">
        <w:t xml:space="preserve">20. </w:t>
      </w:r>
      <w:r w:rsidRPr="00421780">
        <w:tab/>
        <w:t xml:space="preserve">VanderWeele TJ, Mathur MB. Some desirable properties of the Bonferroni correction: Is the Bonferroni correction really so bad? Am J Epidemiol. 2019 Mar 1;188(3):617–8. </w:t>
      </w:r>
    </w:p>
    <w:p w14:paraId="47F0C121" w14:textId="77777777" w:rsidR="00421780" w:rsidRPr="00421780" w:rsidRDefault="00421780" w:rsidP="00421780">
      <w:pPr>
        <w:pStyle w:val="Bibliography"/>
      </w:pPr>
      <w:r w:rsidRPr="00421780">
        <w:t xml:space="preserve">21. </w:t>
      </w:r>
      <w:r w:rsidRPr="00421780">
        <w:tab/>
        <w:t xml:space="preserve">Patton GC, Coffey C, Carlin JB, Degenhardt L, Lynskey M, Hall W. Cannabis use and mental health in young people: cohort study. BMJ. 2002 Nov 23;325(7374):1195–8. </w:t>
      </w:r>
    </w:p>
    <w:p w14:paraId="7A2DFB8E" w14:textId="77777777" w:rsidR="00421780" w:rsidRPr="00421780" w:rsidRDefault="00421780" w:rsidP="00421780">
      <w:pPr>
        <w:pStyle w:val="Bibliography"/>
      </w:pPr>
      <w:r w:rsidRPr="00421780">
        <w:t xml:space="preserve">22. </w:t>
      </w:r>
      <w:r w:rsidRPr="00421780">
        <w:tab/>
        <w:t xml:space="preserve">McGrath J, Welham J, Scott J, Varghese D, Degenhardt L, Hayatbakhsh MR, et al. Association Between Cannabis Use and Psychosis-Related Outcomes Using Sibling Pair Analysis in a Cohort of Young Adults. Arch Gen Psychiatry. 2010 May 1;67(5):440–7. </w:t>
      </w:r>
    </w:p>
    <w:p w14:paraId="51187E5B" w14:textId="77777777" w:rsidR="00421780" w:rsidRPr="00421780" w:rsidRDefault="00421780" w:rsidP="00421780">
      <w:pPr>
        <w:pStyle w:val="Bibliography"/>
      </w:pPr>
      <w:r w:rsidRPr="00421780">
        <w:t xml:space="preserve">23. </w:t>
      </w:r>
      <w:r w:rsidRPr="00421780">
        <w:tab/>
        <w:t>Forti MD, Quattrone D, Freeman TP, Tripoli G, Gayer-Anderson C, Quigley H, et al. The contribution of cannabis use to variation in the incidence of psychotic disorder across Europe (EU-GEI): a multicentre case-control study. Lancet Psychiatry [Internet]. 2019 Mar 19 [cited 2019 Mar 22];0(0). Available from: https://www.thelancet.com/journals/lanpsy/article/PIIS2215-0366(19)30048-3/abstract</w:t>
      </w:r>
    </w:p>
    <w:p w14:paraId="33B447FE" w14:textId="77777777" w:rsidR="00421780" w:rsidRPr="00421780" w:rsidRDefault="00421780" w:rsidP="00421780">
      <w:pPr>
        <w:pStyle w:val="Bibliography"/>
      </w:pPr>
      <w:r w:rsidRPr="00421780">
        <w:t xml:space="preserve">24. </w:t>
      </w:r>
      <w:r w:rsidRPr="00421780">
        <w:tab/>
        <w:t xml:space="preserve">Fergusson DM, Lynskey MT, Horwood LJ. The short-term consequences of early onset cannabis use. J Abnorm Child Psychol. 1996 Aug 1;24(4):499–512. </w:t>
      </w:r>
    </w:p>
    <w:p w14:paraId="263ABA6F" w14:textId="77777777" w:rsidR="00421780" w:rsidRPr="00421780" w:rsidRDefault="00421780" w:rsidP="00421780">
      <w:pPr>
        <w:pStyle w:val="Bibliography"/>
      </w:pPr>
      <w:r w:rsidRPr="00421780">
        <w:t xml:space="preserve">25. </w:t>
      </w:r>
      <w:r w:rsidRPr="00421780">
        <w:tab/>
        <w:t xml:space="preserve">Degenhardt L, Coffey C, Moran P, Carlin JB, Patton GC. The predictors and consequences of adolescent amphetamine use: findings from the Victoria Adolescent Health Cohort Study. Addiction. 2007;102(7):1076–84. </w:t>
      </w:r>
    </w:p>
    <w:p w14:paraId="360F0207" w14:textId="77777777" w:rsidR="00421780" w:rsidRPr="00421780" w:rsidRDefault="00421780" w:rsidP="00421780">
      <w:pPr>
        <w:pStyle w:val="Bibliography"/>
      </w:pPr>
      <w:r w:rsidRPr="00421780">
        <w:t xml:space="preserve">26. </w:t>
      </w:r>
      <w:r w:rsidRPr="00421780">
        <w:tab/>
        <w:t xml:space="preserve">Karcher NR, Barch DM, Demers CH, Baranger DAA, Heath AC, Lynskey MT, et al. Genetic Predisposition vs Individual-Specific Processes in the Association Between Psychotic-like Experiences and Cannabis Use. JAMA Psychiatry. 2019 Jan 1;76(1):87–94. </w:t>
      </w:r>
    </w:p>
    <w:p w14:paraId="78CD87E1" w14:textId="77777777" w:rsidR="00421780" w:rsidRPr="00421780" w:rsidRDefault="00421780" w:rsidP="00421780">
      <w:pPr>
        <w:pStyle w:val="Bibliography"/>
      </w:pPr>
      <w:r w:rsidRPr="00421780">
        <w:t xml:space="preserve">27. </w:t>
      </w:r>
      <w:r w:rsidRPr="00421780">
        <w:tab/>
        <w:t xml:space="preserve">Van Ryzin MJ, Fosco GM, Dishion TJ. Family and peer predictors of substance use from early adolescence to early adulthood: an 11-year prospective analysis. Addict Behav. 2012 Dec;37(12):1314–24. </w:t>
      </w:r>
    </w:p>
    <w:p w14:paraId="7FE2AB8F" w14:textId="77777777" w:rsidR="00421780" w:rsidRPr="00421780" w:rsidRDefault="00421780" w:rsidP="00421780">
      <w:pPr>
        <w:pStyle w:val="Bibliography"/>
      </w:pPr>
      <w:r w:rsidRPr="00421780">
        <w:t xml:space="preserve">28. </w:t>
      </w:r>
      <w:r w:rsidRPr="00421780">
        <w:tab/>
        <w:t xml:space="preserve">Bahr SJ, Hoffmann JP, Yang X. Parental and Peer Influences on the Risk of Adolescent Drug Use. J Prim Prev. 2005 Nov 1;26(6):529–51. </w:t>
      </w:r>
    </w:p>
    <w:p w14:paraId="46263801" w14:textId="35DC91A6" w:rsidR="00DD741E" w:rsidRDefault="00733F81" w:rsidP="008E564C">
      <w:pPr>
        <w:sectPr w:rsidR="00DD741E">
          <w:footerReference w:type="default" r:id="rId14"/>
          <w:pgSz w:w="11906" w:h="16838"/>
          <w:pgMar w:top="1440" w:right="1440" w:bottom="1440" w:left="1440" w:header="708" w:footer="708" w:gutter="0"/>
          <w:cols w:space="708"/>
          <w:docGrid w:linePitch="360"/>
        </w:sectPr>
      </w:pPr>
      <w:r>
        <w:fldChar w:fldCharType="end"/>
      </w:r>
    </w:p>
    <w:p w14:paraId="4DBCB652" w14:textId="77777777" w:rsidR="00B649A8" w:rsidRDefault="0073531E" w:rsidP="00382BB9">
      <w:pPr>
        <w:ind w:left="-1276"/>
        <w:rPr>
          <w:b/>
          <w:lang w:val="en-US"/>
        </w:rPr>
      </w:pPr>
      <w:r>
        <w:rPr>
          <w:b/>
          <w:lang w:val="en-US"/>
        </w:rPr>
        <w:lastRenderedPageBreak/>
        <w:t xml:space="preserve">                        </w:t>
      </w:r>
    </w:p>
    <w:p w14:paraId="73EC9841" w14:textId="77777777" w:rsidR="00B649A8" w:rsidRDefault="00B649A8" w:rsidP="00B649A8">
      <w:pPr>
        <w:ind w:hanging="284"/>
        <w:rPr>
          <w:b/>
          <w:lang w:val="en-US"/>
        </w:rPr>
      </w:pPr>
      <w:r>
        <w:rPr>
          <w:b/>
          <w:noProof/>
          <w:lang w:val="en-US"/>
        </w:rPr>
        <w:drawing>
          <wp:inline distT="0" distB="0" distL="0" distR="0" wp14:anchorId="5B1C2B7F" wp14:editId="305E044D">
            <wp:extent cx="9899221" cy="4949611"/>
            <wp:effectExtent l="0" t="0" r="6985" b="3810"/>
            <wp:docPr id="1"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20_01_07_illicit_drug_use_BCS70_adult_outcomes_figure1_noeducation_British%20(002).jpg"/>
                    <pic:cNvPicPr/>
                  </pic:nvPicPr>
                  <pic:blipFill>
                    <a:blip r:embed="rId15">
                      <a:extLst>
                        <a:ext uri="{28A0092B-C50C-407E-A947-70E740481C1C}">
                          <a14:useLocalDpi xmlns:a14="http://schemas.microsoft.com/office/drawing/2010/main" val="0"/>
                        </a:ext>
                      </a:extLst>
                    </a:blip>
                    <a:stretch>
                      <a:fillRect/>
                    </a:stretch>
                  </pic:blipFill>
                  <pic:spPr>
                    <a:xfrm>
                      <a:off x="0" y="0"/>
                      <a:ext cx="9930176" cy="4965088"/>
                    </a:xfrm>
                    <a:prstGeom prst="rect">
                      <a:avLst/>
                    </a:prstGeom>
                  </pic:spPr>
                </pic:pic>
              </a:graphicData>
            </a:graphic>
          </wp:inline>
        </w:drawing>
      </w:r>
      <w:r w:rsidR="00DD741E">
        <w:rPr>
          <w:b/>
          <w:lang w:val="en-US"/>
        </w:rPr>
        <w:t>Figure</w:t>
      </w:r>
      <w:r w:rsidR="00DD741E" w:rsidRPr="00487D4D">
        <w:rPr>
          <w:b/>
          <w:lang w:val="en-US"/>
        </w:rPr>
        <w:t xml:space="preserve">. Odds ratios (95% confidence intervals) for adult outcomes of </w:t>
      </w:r>
      <w:r w:rsidR="00421780">
        <w:rPr>
          <w:b/>
          <w:lang w:val="en-US"/>
        </w:rPr>
        <w:t xml:space="preserve">lifetime </w:t>
      </w:r>
      <w:r w:rsidR="00DD741E" w:rsidRPr="00487D4D">
        <w:rPr>
          <w:b/>
          <w:lang w:val="en-US"/>
        </w:rPr>
        <w:t>illicit drug use in adolescence (n =</w:t>
      </w:r>
      <w:r w:rsidR="00DD741E">
        <w:rPr>
          <w:b/>
          <w:lang w:val="en-US"/>
        </w:rPr>
        <w:t xml:space="preserve"> </w:t>
      </w:r>
      <w:r w:rsidR="00DD741E" w:rsidRPr="00487D4D">
        <w:rPr>
          <w:b/>
          <w:lang w:val="en-US"/>
        </w:rPr>
        <w:t>14, 082)</w:t>
      </w:r>
    </w:p>
    <w:p w14:paraId="73DAB35C" w14:textId="5699DC7D" w:rsidR="00DD741E" w:rsidRPr="00B649A8" w:rsidRDefault="00B649A8" w:rsidP="00B649A8">
      <w:pPr>
        <w:ind w:hanging="1134"/>
        <w:rPr>
          <w:b/>
          <w:lang w:val="en-US"/>
        </w:rPr>
      </w:pPr>
      <w:r>
        <w:rPr>
          <w:b/>
          <w:lang w:val="en-US"/>
        </w:rPr>
        <w:tab/>
      </w:r>
      <w:r w:rsidR="00DD741E" w:rsidRPr="00205FEA">
        <w:rPr>
          <w:rFonts w:ascii="Arial" w:hAnsi="Arial" w:cs="Arial"/>
          <w:sz w:val="22"/>
          <w:szCs w:val="22"/>
          <w:lang w:val="en-US"/>
        </w:rPr>
        <w:t>Reference category was never used illicit drugs.</w:t>
      </w:r>
      <w:r w:rsidR="00DD741E">
        <w:rPr>
          <w:rFonts w:ascii="Arial" w:hAnsi="Arial" w:cs="Arial"/>
          <w:sz w:val="22"/>
          <w:szCs w:val="22"/>
          <w:lang w:val="en-US"/>
        </w:rPr>
        <w:t xml:space="preserve"> Odds ratios (ORs) are adjusted</w:t>
      </w:r>
      <w:r w:rsidR="00DD741E" w:rsidRPr="00042F5B">
        <w:rPr>
          <w:rFonts w:ascii="Arial" w:hAnsi="Arial" w:cs="Arial"/>
          <w:sz w:val="22"/>
          <w:szCs w:val="22"/>
          <w:lang w:val="en-US"/>
        </w:rPr>
        <w:t xml:space="preserve"> for sex</w:t>
      </w:r>
      <w:r w:rsidR="00DD741E">
        <w:rPr>
          <w:rFonts w:ascii="Arial" w:hAnsi="Arial" w:cs="Arial"/>
          <w:sz w:val="22"/>
          <w:szCs w:val="22"/>
          <w:lang w:val="en-US"/>
        </w:rPr>
        <w:t>,</w:t>
      </w:r>
      <w:r w:rsidR="00DD741E" w:rsidRPr="007252B3">
        <w:rPr>
          <w:rFonts w:ascii="Arial" w:hAnsi="Arial" w:cs="Arial"/>
          <w:sz w:val="22"/>
          <w:szCs w:val="22"/>
          <w:lang w:val="en-US"/>
        </w:rPr>
        <w:t xml:space="preserve"> </w:t>
      </w:r>
      <w:r w:rsidR="00DD741E" w:rsidRPr="00042F5B">
        <w:rPr>
          <w:rFonts w:ascii="Arial" w:hAnsi="Arial" w:cs="Arial"/>
          <w:sz w:val="22"/>
          <w:szCs w:val="22"/>
          <w:lang w:val="en-US"/>
        </w:rPr>
        <w:t>parental social class</w:t>
      </w:r>
      <w:r w:rsidR="00DD741E">
        <w:rPr>
          <w:rFonts w:ascii="Arial" w:hAnsi="Arial" w:cs="Arial"/>
          <w:sz w:val="22"/>
          <w:szCs w:val="22"/>
          <w:lang w:val="en-US"/>
        </w:rPr>
        <w:t xml:space="preserve"> and the Rutter Malaise Inventory</w:t>
      </w:r>
      <w:r w:rsidR="00DD741E" w:rsidRPr="00042F5B">
        <w:rPr>
          <w:rFonts w:ascii="Arial" w:hAnsi="Arial" w:cs="Arial"/>
          <w:sz w:val="22"/>
          <w:szCs w:val="22"/>
          <w:lang w:val="en-US"/>
        </w:rPr>
        <w:t xml:space="preserve"> </w:t>
      </w:r>
      <w:r w:rsidR="00DD741E">
        <w:rPr>
          <w:rFonts w:ascii="Arial" w:hAnsi="Arial" w:cs="Arial"/>
          <w:sz w:val="22"/>
          <w:szCs w:val="22"/>
          <w:lang w:val="en-US"/>
        </w:rPr>
        <w:t xml:space="preserve">and </w:t>
      </w:r>
      <w:r w:rsidR="00DD741E" w:rsidRPr="00042F5B">
        <w:rPr>
          <w:rFonts w:ascii="Arial" w:hAnsi="Arial" w:cs="Arial"/>
          <w:sz w:val="22"/>
          <w:szCs w:val="22"/>
          <w:lang w:val="en-US"/>
        </w:rPr>
        <w:t>at 16 years</w:t>
      </w:r>
      <w:r w:rsidR="00DD741E">
        <w:rPr>
          <w:rFonts w:ascii="Arial" w:hAnsi="Arial" w:cs="Arial"/>
          <w:sz w:val="22"/>
          <w:szCs w:val="22"/>
          <w:lang w:val="en-US"/>
        </w:rPr>
        <w:t xml:space="preserve">. </w:t>
      </w:r>
      <w:r w:rsidR="005C2F3C" w:rsidRPr="005C2F3C">
        <w:rPr>
          <w:rFonts w:ascii="Arial" w:hAnsi="Arial" w:cs="Arial"/>
          <w:sz w:val="22"/>
          <w:szCs w:val="22"/>
          <w:lang w:val="en-US"/>
        </w:rPr>
        <w:t>When available, age 16-year (baseline) assessments of outcomes were added to multivariable models</w:t>
      </w:r>
      <w:r w:rsidR="005C2F3C">
        <w:rPr>
          <w:rFonts w:ascii="Arial" w:hAnsi="Arial" w:cs="Arial"/>
          <w:sz w:val="22"/>
          <w:szCs w:val="22"/>
          <w:lang w:val="en-US"/>
        </w:rPr>
        <w:t xml:space="preserve">. </w:t>
      </w:r>
      <w:r w:rsidR="00DD741E">
        <w:rPr>
          <w:rFonts w:ascii="Arial" w:hAnsi="Arial" w:cs="Arial"/>
          <w:sz w:val="22"/>
          <w:szCs w:val="22"/>
          <w:lang w:val="en-US"/>
        </w:rPr>
        <w:t>Th</w:t>
      </w:r>
      <w:r w:rsidR="00F558FF">
        <w:rPr>
          <w:rFonts w:ascii="Arial" w:hAnsi="Arial" w:cs="Arial"/>
          <w:sz w:val="22"/>
          <w:szCs w:val="22"/>
          <w:lang w:val="en-US"/>
        </w:rPr>
        <w:t>is included</w:t>
      </w:r>
      <w:r w:rsidR="00DD741E">
        <w:rPr>
          <w:rFonts w:ascii="Arial" w:hAnsi="Arial" w:cs="Arial"/>
          <w:sz w:val="22"/>
          <w:szCs w:val="22"/>
          <w:lang w:val="en-US"/>
        </w:rPr>
        <w:t xml:space="preserve"> </w:t>
      </w:r>
      <w:r w:rsidR="00F558FF">
        <w:rPr>
          <w:rFonts w:ascii="Arial" w:hAnsi="Arial" w:cs="Arial"/>
          <w:sz w:val="22"/>
          <w:szCs w:val="22"/>
          <w:lang w:val="en-US"/>
        </w:rPr>
        <w:t xml:space="preserve">adjusting for </w:t>
      </w:r>
      <w:r w:rsidR="00DD741E">
        <w:rPr>
          <w:rFonts w:ascii="Arial" w:hAnsi="Arial" w:cs="Arial"/>
          <w:sz w:val="22"/>
          <w:szCs w:val="22"/>
          <w:lang w:val="en-US"/>
        </w:rPr>
        <w:t xml:space="preserve">screening positive on the Rutter Malaise Inventory at 16 years for </w:t>
      </w:r>
      <w:r w:rsidR="00F558FF">
        <w:rPr>
          <w:rFonts w:ascii="Arial" w:hAnsi="Arial" w:cs="Arial"/>
          <w:sz w:val="22"/>
          <w:szCs w:val="22"/>
          <w:lang w:val="en-US"/>
        </w:rPr>
        <w:t xml:space="preserve">the outcome at 30-years of </w:t>
      </w:r>
      <w:r w:rsidR="00DD741E">
        <w:rPr>
          <w:rFonts w:ascii="Arial" w:hAnsi="Arial" w:cs="Arial"/>
          <w:sz w:val="22"/>
          <w:szCs w:val="22"/>
          <w:lang w:val="en-US"/>
        </w:rPr>
        <w:t xml:space="preserve">having seen a </w:t>
      </w:r>
      <w:r w:rsidR="00DD741E" w:rsidRPr="00100EC3">
        <w:rPr>
          <w:rFonts w:ascii="Arial" w:hAnsi="Arial" w:cs="Arial"/>
          <w:sz w:val="22"/>
          <w:szCs w:val="22"/>
          <w:lang w:val="en-US"/>
        </w:rPr>
        <w:t xml:space="preserve">specialist for </w:t>
      </w:r>
      <w:r w:rsidR="00A93FA2">
        <w:rPr>
          <w:rFonts w:ascii="Arial" w:hAnsi="Arial" w:cs="Arial"/>
          <w:sz w:val="22"/>
          <w:szCs w:val="22"/>
          <w:lang w:val="en-US"/>
        </w:rPr>
        <w:t xml:space="preserve">a </w:t>
      </w:r>
      <w:r w:rsidR="00DD741E" w:rsidRPr="00100EC3">
        <w:rPr>
          <w:rFonts w:ascii="Arial" w:hAnsi="Arial" w:cs="Arial"/>
          <w:sz w:val="22"/>
          <w:szCs w:val="22"/>
          <w:lang w:val="en-US"/>
        </w:rPr>
        <w:t xml:space="preserve">psychiatric </w:t>
      </w:r>
      <w:r w:rsidR="00DD741E" w:rsidRPr="00100EC3">
        <w:rPr>
          <w:rFonts w:ascii="Arial" w:hAnsi="Arial" w:cs="Arial"/>
          <w:sz w:val="22"/>
          <w:szCs w:val="22"/>
          <w:lang w:val="en-US"/>
        </w:rPr>
        <w:lastRenderedPageBreak/>
        <w:t>problem</w:t>
      </w:r>
      <w:r w:rsidR="00DD741E">
        <w:rPr>
          <w:rFonts w:ascii="Arial" w:hAnsi="Arial" w:cs="Arial"/>
          <w:sz w:val="22"/>
          <w:szCs w:val="22"/>
          <w:lang w:val="en-US"/>
        </w:rPr>
        <w:t xml:space="preserve">; units of alcohol consumed in the past week at 16 years for </w:t>
      </w:r>
      <w:r w:rsidR="00F558FF">
        <w:rPr>
          <w:rFonts w:ascii="Arial" w:hAnsi="Arial" w:cs="Arial"/>
          <w:sz w:val="22"/>
          <w:szCs w:val="22"/>
          <w:lang w:val="en-US"/>
        </w:rPr>
        <w:t xml:space="preserve">the outcome at 30-years of </w:t>
      </w:r>
      <w:r w:rsidR="00DD741E">
        <w:rPr>
          <w:rFonts w:ascii="Arial" w:hAnsi="Arial" w:cs="Arial"/>
          <w:sz w:val="22"/>
          <w:szCs w:val="22"/>
          <w:lang w:val="en-US"/>
        </w:rPr>
        <w:t xml:space="preserve">screening positive for alcohol dependency; and the number of cigarettes smoked per week at 16 years for </w:t>
      </w:r>
      <w:r w:rsidR="00F558FF">
        <w:rPr>
          <w:rFonts w:ascii="Arial" w:hAnsi="Arial" w:cs="Arial"/>
          <w:sz w:val="22"/>
          <w:szCs w:val="22"/>
          <w:lang w:val="en-US"/>
        </w:rPr>
        <w:t xml:space="preserve">the outcome at 30-years of </w:t>
      </w:r>
      <w:r w:rsidR="00DD741E">
        <w:rPr>
          <w:rFonts w:ascii="Arial" w:hAnsi="Arial" w:cs="Arial"/>
          <w:sz w:val="22"/>
          <w:szCs w:val="22"/>
          <w:lang w:val="en-US"/>
        </w:rPr>
        <w:t xml:space="preserve">smoking every day.  </w:t>
      </w:r>
    </w:p>
    <w:p w14:paraId="281FC157" w14:textId="77777777" w:rsidR="00DD741E" w:rsidRDefault="00DD741E" w:rsidP="00DD741E">
      <w:pPr>
        <w:sectPr w:rsidR="00DD741E" w:rsidSect="005919DB">
          <w:pgSz w:w="16838" w:h="11906" w:orient="landscape"/>
          <w:pgMar w:top="0" w:right="1440" w:bottom="851" w:left="1440" w:header="708" w:footer="708" w:gutter="0"/>
          <w:cols w:space="708"/>
          <w:docGrid w:linePitch="360"/>
        </w:sectPr>
      </w:pPr>
    </w:p>
    <w:p w14:paraId="6548F641" w14:textId="42894240" w:rsidR="00DD741E" w:rsidRPr="001D46B4" w:rsidRDefault="00DD741E" w:rsidP="00DD741E">
      <w:pPr>
        <w:rPr>
          <w:b/>
          <w:lang w:val="en-US"/>
        </w:rPr>
      </w:pPr>
      <w:r>
        <w:rPr>
          <w:b/>
          <w:lang w:val="en-US"/>
        </w:rPr>
        <w:lastRenderedPageBreak/>
        <w:t>Table 1. Odds ratios (95% confidence intervals) for adult outcomes of illicit drug use</w:t>
      </w:r>
      <w:r w:rsidR="00421780">
        <w:rPr>
          <w:b/>
          <w:lang w:val="en-US"/>
        </w:rPr>
        <w:t xml:space="preserve"> </w:t>
      </w:r>
      <w:r>
        <w:rPr>
          <w:b/>
          <w:lang w:val="en-US"/>
        </w:rPr>
        <w:t xml:space="preserve">in adolescence </w:t>
      </w:r>
      <w:r w:rsidRPr="001D46B4">
        <w:rPr>
          <w:b/>
          <w:lang w:val="en-US"/>
        </w:rPr>
        <w:t>(n =</w:t>
      </w:r>
      <w:r>
        <w:rPr>
          <w:b/>
          <w:lang w:val="en-US"/>
        </w:rPr>
        <w:t xml:space="preserve"> 14, 082</w:t>
      </w:r>
      <w:r w:rsidRPr="001D46B4">
        <w:rPr>
          <w:b/>
          <w:lang w:val="en-US"/>
        </w:rPr>
        <w:t>)</w:t>
      </w:r>
    </w:p>
    <w:tbl>
      <w:tblPr>
        <w:tblStyle w:val="TableGrid"/>
        <w:tblpPr w:leftFromText="180" w:rightFromText="180" w:vertAnchor="text" w:horzAnchor="margin" w:tblpY="20"/>
        <w:tblW w:w="13574"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45"/>
        <w:gridCol w:w="1559"/>
        <w:gridCol w:w="2801"/>
        <w:gridCol w:w="2414"/>
        <w:gridCol w:w="1555"/>
      </w:tblGrid>
      <w:tr w:rsidR="00DD741E" w:rsidRPr="001D46B4" w14:paraId="21E91F96" w14:textId="77777777" w:rsidTr="00FB4F98">
        <w:trPr>
          <w:trHeight w:hRule="exact" w:val="284"/>
        </w:trPr>
        <w:tc>
          <w:tcPr>
            <w:tcW w:w="5245" w:type="dxa"/>
            <w:tcBorders>
              <w:top w:val="single" w:sz="4" w:space="0" w:color="auto"/>
              <w:bottom w:val="single" w:sz="4" w:space="0" w:color="auto"/>
            </w:tcBorders>
          </w:tcPr>
          <w:p w14:paraId="3B1BF8AD" w14:textId="77777777" w:rsidR="00DD741E" w:rsidRPr="001D46B4" w:rsidRDefault="00DD741E" w:rsidP="00FB4F98">
            <w:pPr>
              <w:rPr>
                <w:rFonts w:ascii="Arial" w:hAnsi="Arial" w:cs="Arial"/>
                <w:b/>
                <w:sz w:val="21"/>
                <w:szCs w:val="21"/>
                <w:lang w:val="en-US"/>
              </w:rPr>
            </w:pPr>
          </w:p>
        </w:tc>
        <w:tc>
          <w:tcPr>
            <w:tcW w:w="6774" w:type="dxa"/>
            <w:gridSpan w:val="3"/>
            <w:tcBorders>
              <w:top w:val="single" w:sz="4" w:space="0" w:color="auto"/>
              <w:bottom w:val="single" w:sz="4" w:space="0" w:color="auto"/>
            </w:tcBorders>
          </w:tcPr>
          <w:p w14:paraId="3B1FCF41" w14:textId="77777777" w:rsidR="00DD741E" w:rsidRPr="001D46B4" w:rsidRDefault="00DD741E" w:rsidP="00FB4F98">
            <w:pPr>
              <w:jc w:val="center"/>
              <w:rPr>
                <w:rFonts w:ascii="Arial" w:hAnsi="Arial" w:cs="Arial"/>
                <w:b/>
                <w:sz w:val="21"/>
                <w:szCs w:val="21"/>
                <w:lang w:val="en-US"/>
              </w:rPr>
            </w:pPr>
            <w:r>
              <w:rPr>
                <w:rFonts w:ascii="Arial" w:hAnsi="Arial" w:cs="Arial"/>
                <w:b/>
                <w:sz w:val="21"/>
                <w:szCs w:val="21"/>
                <w:lang w:val="en-US"/>
              </w:rPr>
              <w:t>Illicit drug use at 16 years</w:t>
            </w:r>
          </w:p>
        </w:tc>
        <w:tc>
          <w:tcPr>
            <w:tcW w:w="1555" w:type="dxa"/>
            <w:tcBorders>
              <w:top w:val="single" w:sz="4" w:space="0" w:color="auto"/>
              <w:bottom w:val="single" w:sz="4" w:space="0" w:color="auto"/>
            </w:tcBorders>
          </w:tcPr>
          <w:p w14:paraId="4E5EB240" w14:textId="77777777" w:rsidR="00DD741E" w:rsidRPr="001D46B4" w:rsidRDefault="00DD741E" w:rsidP="00FB4F98">
            <w:pPr>
              <w:jc w:val="center"/>
              <w:rPr>
                <w:rFonts w:ascii="Arial" w:hAnsi="Arial" w:cs="Arial"/>
                <w:b/>
                <w:sz w:val="21"/>
                <w:szCs w:val="21"/>
                <w:lang w:val="en-US"/>
              </w:rPr>
            </w:pPr>
          </w:p>
        </w:tc>
      </w:tr>
      <w:tr w:rsidR="00DD741E" w:rsidRPr="001D46B4" w14:paraId="216966C3" w14:textId="77777777" w:rsidTr="00FB4F98">
        <w:trPr>
          <w:trHeight w:hRule="exact" w:val="570"/>
        </w:trPr>
        <w:tc>
          <w:tcPr>
            <w:tcW w:w="5245" w:type="dxa"/>
            <w:tcBorders>
              <w:top w:val="nil"/>
              <w:bottom w:val="single" w:sz="4" w:space="0" w:color="auto"/>
            </w:tcBorders>
          </w:tcPr>
          <w:p w14:paraId="076D8B46" w14:textId="77777777" w:rsidR="00DD741E" w:rsidRPr="001D46B4" w:rsidRDefault="00DD741E" w:rsidP="00FB4F98">
            <w:pPr>
              <w:rPr>
                <w:rFonts w:ascii="Arial" w:hAnsi="Arial" w:cs="Arial"/>
                <w:b/>
                <w:sz w:val="21"/>
                <w:szCs w:val="21"/>
                <w:lang w:val="en-US"/>
              </w:rPr>
            </w:pPr>
            <w:r>
              <w:rPr>
                <w:rFonts w:ascii="Arial" w:hAnsi="Arial" w:cs="Arial"/>
                <w:b/>
                <w:sz w:val="21"/>
                <w:szCs w:val="21"/>
                <w:lang w:val="en-US"/>
              </w:rPr>
              <w:t>Outcome at 30 years</w:t>
            </w:r>
            <w:r w:rsidRPr="00042F5B">
              <w:rPr>
                <w:rFonts w:ascii="Arial" w:hAnsi="Arial" w:cs="Arial"/>
                <w:vertAlign w:val="superscript"/>
                <w:lang w:val="en-US"/>
              </w:rPr>
              <w:t xml:space="preserve"> a</w:t>
            </w:r>
          </w:p>
        </w:tc>
        <w:tc>
          <w:tcPr>
            <w:tcW w:w="1559" w:type="dxa"/>
            <w:tcBorders>
              <w:top w:val="single" w:sz="4" w:space="0" w:color="auto"/>
              <w:bottom w:val="single" w:sz="4" w:space="0" w:color="auto"/>
            </w:tcBorders>
          </w:tcPr>
          <w:p w14:paraId="10849E60" w14:textId="77777777" w:rsidR="00DD741E" w:rsidRPr="00603EDD" w:rsidRDefault="00DD741E" w:rsidP="00FB4F98">
            <w:pPr>
              <w:jc w:val="center"/>
              <w:rPr>
                <w:rFonts w:ascii="Arial" w:hAnsi="Arial" w:cs="Arial"/>
                <w:b/>
                <w:lang w:val="en-US"/>
              </w:rPr>
            </w:pPr>
            <w:r>
              <w:rPr>
                <w:rFonts w:ascii="Arial" w:hAnsi="Arial" w:cs="Arial"/>
                <w:b/>
                <w:lang w:val="en-US"/>
              </w:rPr>
              <w:t xml:space="preserve">Never </w:t>
            </w:r>
          </w:p>
        </w:tc>
        <w:tc>
          <w:tcPr>
            <w:tcW w:w="2801" w:type="dxa"/>
            <w:tcBorders>
              <w:top w:val="single" w:sz="4" w:space="0" w:color="auto"/>
              <w:bottom w:val="single" w:sz="4" w:space="0" w:color="auto"/>
            </w:tcBorders>
          </w:tcPr>
          <w:p w14:paraId="4ABC8737" w14:textId="77777777" w:rsidR="00DD741E" w:rsidRPr="00603EDD" w:rsidRDefault="00DD741E" w:rsidP="00FB4F98">
            <w:pPr>
              <w:jc w:val="center"/>
              <w:rPr>
                <w:rFonts w:ascii="Arial" w:hAnsi="Arial" w:cs="Arial"/>
                <w:b/>
                <w:lang w:val="en-US"/>
              </w:rPr>
            </w:pPr>
            <w:r>
              <w:rPr>
                <w:rFonts w:ascii="Arial" w:hAnsi="Arial" w:cs="Arial"/>
                <w:b/>
                <w:lang w:val="en-US"/>
              </w:rPr>
              <w:t>Taken but not in past year</w:t>
            </w:r>
          </w:p>
        </w:tc>
        <w:tc>
          <w:tcPr>
            <w:tcW w:w="2414" w:type="dxa"/>
            <w:tcBorders>
              <w:top w:val="single" w:sz="4" w:space="0" w:color="auto"/>
              <w:bottom w:val="single" w:sz="4" w:space="0" w:color="auto"/>
            </w:tcBorders>
          </w:tcPr>
          <w:p w14:paraId="3D9C279E" w14:textId="77777777" w:rsidR="00DD741E" w:rsidRPr="00603EDD" w:rsidRDefault="00DD741E" w:rsidP="00FB4F98">
            <w:pPr>
              <w:jc w:val="center"/>
              <w:rPr>
                <w:rFonts w:ascii="Arial" w:hAnsi="Arial" w:cs="Arial"/>
                <w:b/>
                <w:lang w:val="en-US"/>
              </w:rPr>
            </w:pPr>
            <w:r>
              <w:rPr>
                <w:rFonts w:ascii="Arial" w:hAnsi="Arial" w:cs="Arial"/>
                <w:b/>
                <w:lang w:val="en-US"/>
              </w:rPr>
              <w:t>Taken in past year</w:t>
            </w:r>
          </w:p>
        </w:tc>
        <w:tc>
          <w:tcPr>
            <w:tcW w:w="1555" w:type="dxa"/>
            <w:tcBorders>
              <w:top w:val="single" w:sz="4" w:space="0" w:color="auto"/>
              <w:bottom w:val="single" w:sz="4" w:space="0" w:color="auto"/>
            </w:tcBorders>
          </w:tcPr>
          <w:p w14:paraId="2AA89BB0" w14:textId="77777777" w:rsidR="00DD741E" w:rsidRPr="00603EDD" w:rsidRDefault="00DD741E" w:rsidP="00FB4F98">
            <w:pPr>
              <w:jc w:val="center"/>
              <w:rPr>
                <w:rFonts w:ascii="Arial" w:hAnsi="Arial" w:cs="Arial"/>
                <w:b/>
                <w:lang w:val="en-US"/>
              </w:rPr>
            </w:pPr>
            <w:r w:rsidRPr="00E549FD">
              <w:rPr>
                <w:rFonts w:ascii="Arial" w:hAnsi="Arial" w:cs="Arial"/>
                <w:b/>
                <w:lang w:val="en-US"/>
              </w:rPr>
              <w:t>P-value for trend</w:t>
            </w:r>
          </w:p>
        </w:tc>
      </w:tr>
      <w:tr w:rsidR="00DD741E" w:rsidRPr="001D46B4" w14:paraId="0AD94D8F" w14:textId="77777777" w:rsidTr="00FB4F98">
        <w:trPr>
          <w:trHeight w:hRule="exact" w:val="284"/>
        </w:trPr>
        <w:tc>
          <w:tcPr>
            <w:tcW w:w="5245" w:type="dxa"/>
          </w:tcPr>
          <w:p w14:paraId="639806AD" w14:textId="77777777" w:rsidR="00DD741E" w:rsidRPr="001D46B4" w:rsidRDefault="00DD741E" w:rsidP="00FB4F98">
            <w:pPr>
              <w:rPr>
                <w:rFonts w:ascii="Arial" w:hAnsi="Arial" w:cs="Arial"/>
                <w:b/>
                <w:sz w:val="21"/>
                <w:szCs w:val="21"/>
                <w:lang w:val="en-US"/>
              </w:rPr>
            </w:pPr>
            <w:r>
              <w:rPr>
                <w:rFonts w:ascii="Arial" w:hAnsi="Arial" w:cs="Arial"/>
                <w:b/>
                <w:sz w:val="21"/>
                <w:szCs w:val="21"/>
                <w:lang w:val="en-US"/>
              </w:rPr>
              <w:t>Health behavior</w:t>
            </w:r>
          </w:p>
        </w:tc>
        <w:tc>
          <w:tcPr>
            <w:tcW w:w="1559" w:type="dxa"/>
          </w:tcPr>
          <w:p w14:paraId="5A4511C2" w14:textId="77777777" w:rsidR="00DD741E" w:rsidRPr="001D46B4" w:rsidRDefault="00DD741E" w:rsidP="00FB4F98">
            <w:pPr>
              <w:jc w:val="center"/>
              <w:rPr>
                <w:rFonts w:ascii="Arial" w:hAnsi="Arial" w:cs="Arial"/>
                <w:sz w:val="21"/>
                <w:szCs w:val="21"/>
                <w:lang w:val="en-US"/>
              </w:rPr>
            </w:pPr>
          </w:p>
        </w:tc>
        <w:tc>
          <w:tcPr>
            <w:tcW w:w="2801" w:type="dxa"/>
          </w:tcPr>
          <w:p w14:paraId="26C7236F" w14:textId="77777777" w:rsidR="00DD741E" w:rsidRPr="001D46B4" w:rsidRDefault="00DD741E" w:rsidP="00FB4F98">
            <w:pPr>
              <w:jc w:val="center"/>
              <w:rPr>
                <w:rFonts w:ascii="Arial" w:hAnsi="Arial" w:cs="Arial"/>
                <w:sz w:val="21"/>
                <w:szCs w:val="21"/>
                <w:lang w:val="en-US"/>
              </w:rPr>
            </w:pPr>
          </w:p>
        </w:tc>
        <w:tc>
          <w:tcPr>
            <w:tcW w:w="2414" w:type="dxa"/>
          </w:tcPr>
          <w:p w14:paraId="40A718A4" w14:textId="77777777" w:rsidR="00DD741E" w:rsidRPr="001D46B4" w:rsidRDefault="00DD741E" w:rsidP="00FB4F98">
            <w:pPr>
              <w:jc w:val="center"/>
              <w:rPr>
                <w:rFonts w:ascii="Arial" w:hAnsi="Arial" w:cs="Arial"/>
                <w:sz w:val="21"/>
                <w:szCs w:val="21"/>
                <w:lang w:val="en-US"/>
              </w:rPr>
            </w:pPr>
          </w:p>
        </w:tc>
        <w:tc>
          <w:tcPr>
            <w:tcW w:w="1555" w:type="dxa"/>
          </w:tcPr>
          <w:p w14:paraId="656911B6" w14:textId="77777777" w:rsidR="00DD741E" w:rsidRPr="001D46B4" w:rsidRDefault="00DD741E" w:rsidP="00FB4F98">
            <w:pPr>
              <w:jc w:val="center"/>
              <w:rPr>
                <w:rFonts w:ascii="Arial" w:hAnsi="Arial" w:cs="Arial"/>
                <w:sz w:val="21"/>
                <w:szCs w:val="21"/>
                <w:lang w:val="en-US"/>
              </w:rPr>
            </w:pPr>
          </w:p>
        </w:tc>
      </w:tr>
      <w:tr w:rsidR="00DD741E" w:rsidRPr="001D46B4" w14:paraId="59819D68" w14:textId="77777777" w:rsidTr="00FB4F98">
        <w:trPr>
          <w:trHeight w:hRule="exact" w:val="284"/>
        </w:trPr>
        <w:tc>
          <w:tcPr>
            <w:tcW w:w="5245" w:type="dxa"/>
          </w:tcPr>
          <w:p w14:paraId="4D8123A4" w14:textId="77777777" w:rsidR="00DD741E" w:rsidRPr="001D46B4" w:rsidRDefault="00DD741E" w:rsidP="00FB4F98">
            <w:pPr>
              <w:rPr>
                <w:rFonts w:ascii="Arial" w:hAnsi="Arial" w:cs="Arial"/>
                <w:sz w:val="21"/>
                <w:szCs w:val="21"/>
                <w:lang w:val="en-US"/>
              </w:rPr>
            </w:pPr>
            <w:r>
              <w:rPr>
                <w:rFonts w:ascii="Arial" w:hAnsi="Arial" w:cs="Arial"/>
                <w:sz w:val="21"/>
                <w:szCs w:val="21"/>
                <w:lang w:val="en-US"/>
              </w:rPr>
              <w:t xml:space="preserve">  Illicit drug use in the past year</w:t>
            </w:r>
          </w:p>
        </w:tc>
        <w:tc>
          <w:tcPr>
            <w:tcW w:w="1559" w:type="dxa"/>
          </w:tcPr>
          <w:p w14:paraId="6E41295C" w14:textId="77777777" w:rsidR="00DD741E" w:rsidRPr="00770928" w:rsidRDefault="00DD741E" w:rsidP="00FB4F98">
            <w:pPr>
              <w:jc w:val="center"/>
              <w:rPr>
                <w:rFonts w:ascii="Arial" w:hAnsi="Arial" w:cs="Arial"/>
                <w:sz w:val="21"/>
                <w:szCs w:val="21"/>
                <w:lang w:val="en-US"/>
              </w:rPr>
            </w:pPr>
            <w:r>
              <w:rPr>
                <w:rFonts w:ascii="Arial" w:hAnsi="Arial" w:cs="Arial"/>
                <w:sz w:val="21"/>
                <w:szCs w:val="21"/>
                <w:lang w:val="en-US"/>
              </w:rPr>
              <w:t>1 (Reference)</w:t>
            </w:r>
          </w:p>
        </w:tc>
        <w:tc>
          <w:tcPr>
            <w:tcW w:w="2801" w:type="dxa"/>
          </w:tcPr>
          <w:p w14:paraId="54DCA602" w14:textId="77777777" w:rsidR="00DD741E" w:rsidRPr="00770928" w:rsidRDefault="00DD741E" w:rsidP="00FB4F98">
            <w:pPr>
              <w:jc w:val="center"/>
              <w:rPr>
                <w:rFonts w:ascii="Arial" w:hAnsi="Arial" w:cs="Arial"/>
                <w:sz w:val="21"/>
                <w:szCs w:val="21"/>
                <w:lang w:val="en-US"/>
              </w:rPr>
            </w:pPr>
            <w:r>
              <w:rPr>
                <w:rFonts w:ascii="Arial" w:hAnsi="Arial" w:cs="Arial"/>
                <w:sz w:val="21"/>
                <w:szCs w:val="21"/>
                <w:lang w:val="en-US"/>
              </w:rPr>
              <w:t>1.57</w:t>
            </w:r>
            <w:r w:rsidRPr="00770928">
              <w:rPr>
                <w:rFonts w:ascii="Arial" w:hAnsi="Arial" w:cs="Arial"/>
                <w:sz w:val="21"/>
                <w:szCs w:val="21"/>
                <w:lang w:val="en-US"/>
              </w:rPr>
              <w:t xml:space="preserve"> (</w:t>
            </w:r>
            <w:r>
              <w:rPr>
                <w:rFonts w:ascii="Arial" w:hAnsi="Arial" w:cs="Arial"/>
                <w:sz w:val="21"/>
                <w:szCs w:val="21"/>
                <w:lang w:val="en-US"/>
              </w:rPr>
              <w:t>1.27</w:t>
            </w:r>
            <w:r w:rsidRPr="00770928">
              <w:rPr>
                <w:rFonts w:ascii="Arial" w:hAnsi="Arial" w:cs="Arial"/>
                <w:sz w:val="21"/>
                <w:szCs w:val="21"/>
                <w:lang w:val="en-US"/>
              </w:rPr>
              <w:t xml:space="preserve">, </w:t>
            </w:r>
            <w:r>
              <w:rPr>
                <w:rFonts w:ascii="Arial" w:hAnsi="Arial" w:cs="Arial"/>
                <w:sz w:val="21"/>
                <w:szCs w:val="21"/>
                <w:lang w:val="en-US"/>
              </w:rPr>
              <w:t>1.94</w:t>
            </w:r>
            <w:r w:rsidRPr="00770928">
              <w:rPr>
                <w:rFonts w:ascii="Arial" w:hAnsi="Arial" w:cs="Arial"/>
                <w:sz w:val="21"/>
                <w:szCs w:val="21"/>
                <w:lang w:val="en-US"/>
              </w:rPr>
              <w:t>)</w:t>
            </w:r>
          </w:p>
        </w:tc>
        <w:tc>
          <w:tcPr>
            <w:tcW w:w="2414" w:type="dxa"/>
          </w:tcPr>
          <w:p w14:paraId="2FD970AC" w14:textId="77777777" w:rsidR="00DD741E" w:rsidRPr="00770928" w:rsidRDefault="00DD741E" w:rsidP="00FB4F98">
            <w:pPr>
              <w:jc w:val="center"/>
              <w:rPr>
                <w:rFonts w:ascii="Arial" w:hAnsi="Arial" w:cs="Arial"/>
                <w:sz w:val="21"/>
                <w:szCs w:val="21"/>
                <w:lang w:val="en-US"/>
              </w:rPr>
            </w:pPr>
            <w:r>
              <w:rPr>
                <w:rFonts w:ascii="Arial" w:hAnsi="Arial" w:cs="Arial"/>
                <w:sz w:val="21"/>
                <w:szCs w:val="21"/>
                <w:lang w:val="en-US"/>
              </w:rPr>
              <w:t>2.36</w:t>
            </w:r>
            <w:r w:rsidRPr="00770928">
              <w:rPr>
                <w:rFonts w:ascii="Arial" w:hAnsi="Arial" w:cs="Arial"/>
                <w:sz w:val="21"/>
                <w:szCs w:val="21"/>
                <w:lang w:val="en-US"/>
              </w:rPr>
              <w:t xml:space="preserve"> (</w:t>
            </w:r>
            <w:r>
              <w:rPr>
                <w:rFonts w:ascii="Arial" w:hAnsi="Arial" w:cs="Arial"/>
                <w:sz w:val="21"/>
                <w:szCs w:val="21"/>
                <w:lang w:val="en-US"/>
              </w:rPr>
              <w:t>1.80</w:t>
            </w:r>
            <w:r w:rsidRPr="00770928">
              <w:rPr>
                <w:rFonts w:ascii="Arial" w:hAnsi="Arial" w:cs="Arial"/>
                <w:sz w:val="21"/>
                <w:szCs w:val="21"/>
                <w:lang w:val="en-US"/>
              </w:rPr>
              <w:t xml:space="preserve">, </w:t>
            </w:r>
            <w:r>
              <w:rPr>
                <w:rFonts w:ascii="Arial" w:hAnsi="Arial" w:cs="Arial"/>
                <w:sz w:val="21"/>
                <w:szCs w:val="21"/>
                <w:lang w:val="en-US"/>
              </w:rPr>
              <w:t>3.09</w:t>
            </w:r>
            <w:r w:rsidRPr="00770928">
              <w:rPr>
                <w:rFonts w:ascii="Arial" w:hAnsi="Arial" w:cs="Arial"/>
                <w:sz w:val="21"/>
                <w:szCs w:val="21"/>
                <w:lang w:val="en-US"/>
              </w:rPr>
              <w:t>)</w:t>
            </w:r>
          </w:p>
        </w:tc>
        <w:tc>
          <w:tcPr>
            <w:tcW w:w="1555" w:type="dxa"/>
          </w:tcPr>
          <w:p w14:paraId="43C43713" w14:textId="77777777" w:rsidR="00DD741E" w:rsidRPr="00770928" w:rsidRDefault="00DD741E" w:rsidP="00FB4F98">
            <w:pPr>
              <w:jc w:val="center"/>
              <w:rPr>
                <w:rFonts w:ascii="Arial" w:hAnsi="Arial" w:cs="Arial"/>
                <w:sz w:val="21"/>
                <w:szCs w:val="21"/>
                <w:lang w:val="en-US"/>
              </w:rPr>
            </w:pPr>
            <w:r>
              <w:rPr>
                <w:rFonts w:ascii="Arial" w:hAnsi="Arial" w:cs="Arial"/>
                <w:sz w:val="21"/>
                <w:szCs w:val="21"/>
                <w:lang w:val="en-US"/>
              </w:rPr>
              <w:t>&lt;0.001</w:t>
            </w:r>
          </w:p>
        </w:tc>
      </w:tr>
      <w:tr w:rsidR="00DD741E" w:rsidRPr="001D46B4" w14:paraId="22B1BE21" w14:textId="77777777" w:rsidTr="00FB4F98">
        <w:trPr>
          <w:trHeight w:hRule="exact" w:val="284"/>
        </w:trPr>
        <w:tc>
          <w:tcPr>
            <w:tcW w:w="5245" w:type="dxa"/>
          </w:tcPr>
          <w:p w14:paraId="5C807FE3" w14:textId="77777777" w:rsidR="00DD741E" w:rsidRDefault="00DD741E" w:rsidP="00FB4F98">
            <w:pPr>
              <w:rPr>
                <w:rFonts w:ascii="Arial" w:hAnsi="Arial" w:cs="Arial"/>
                <w:sz w:val="21"/>
                <w:szCs w:val="21"/>
                <w:lang w:val="en-US"/>
              </w:rPr>
            </w:pPr>
            <w:r>
              <w:rPr>
                <w:rFonts w:ascii="Arial" w:hAnsi="Arial" w:cs="Arial"/>
                <w:sz w:val="21"/>
                <w:szCs w:val="21"/>
                <w:lang w:val="en-US"/>
              </w:rPr>
              <w:t xml:space="preserve">  Smoke every day</w:t>
            </w:r>
          </w:p>
        </w:tc>
        <w:tc>
          <w:tcPr>
            <w:tcW w:w="1559" w:type="dxa"/>
          </w:tcPr>
          <w:p w14:paraId="48B710E4" w14:textId="77777777" w:rsidR="00DD741E" w:rsidRPr="00E66350" w:rsidRDefault="00DD741E" w:rsidP="00FB4F98">
            <w:pPr>
              <w:jc w:val="center"/>
              <w:rPr>
                <w:rFonts w:ascii="Arial" w:hAnsi="Arial" w:cs="Arial"/>
                <w:sz w:val="21"/>
                <w:szCs w:val="21"/>
                <w:lang w:val="en-US"/>
              </w:rPr>
            </w:pPr>
            <w:r>
              <w:rPr>
                <w:rFonts w:ascii="Arial" w:hAnsi="Arial" w:cs="Arial"/>
                <w:sz w:val="21"/>
                <w:szCs w:val="21"/>
                <w:lang w:val="en-US"/>
              </w:rPr>
              <w:t>1</w:t>
            </w:r>
          </w:p>
        </w:tc>
        <w:tc>
          <w:tcPr>
            <w:tcW w:w="2801" w:type="dxa"/>
          </w:tcPr>
          <w:p w14:paraId="320FC41C" w14:textId="77777777" w:rsidR="00DD741E" w:rsidRPr="009645E6" w:rsidRDefault="00DD741E" w:rsidP="00FB4F98">
            <w:pPr>
              <w:jc w:val="center"/>
              <w:rPr>
                <w:rFonts w:ascii="Arial" w:hAnsi="Arial" w:cs="Arial"/>
                <w:sz w:val="21"/>
                <w:szCs w:val="21"/>
                <w:lang w:val="en-US"/>
              </w:rPr>
            </w:pPr>
            <w:r>
              <w:rPr>
                <w:rFonts w:ascii="Arial" w:hAnsi="Arial" w:cs="Arial"/>
                <w:sz w:val="21"/>
                <w:szCs w:val="21"/>
                <w:lang w:val="en-US"/>
              </w:rPr>
              <w:t>1.20 (0.93, 1.54)</w:t>
            </w:r>
          </w:p>
        </w:tc>
        <w:tc>
          <w:tcPr>
            <w:tcW w:w="2414" w:type="dxa"/>
          </w:tcPr>
          <w:p w14:paraId="21E33260" w14:textId="77777777" w:rsidR="00DD741E" w:rsidRPr="009645E6" w:rsidRDefault="00DD741E" w:rsidP="00FB4F98">
            <w:pPr>
              <w:jc w:val="center"/>
              <w:rPr>
                <w:rFonts w:ascii="Arial" w:hAnsi="Arial" w:cs="Arial"/>
                <w:sz w:val="21"/>
                <w:szCs w:val="21"/>
                <w:lang w:val="en-US"/>
              </w:rPr>
            </w:pPr>
            <w:r>
              <w:rPr>
                <w:rFonts w:ascii="Arial" w:hAnsi="Arial" w:cs="Arial"/>
                <w:sz w:val="21"/>
                <w:szCs w:val="21"/>
                <w:lang w:val="en-US"/>
              </w:rPr>
              <w:t>1.52 (1.10, 2.12)</w:t>
            </w:r>
          </w:p>
        </w:tc>
        <w:tc>
          <w:tcPr>
            <w:tcW w:w="1555" w:type="dxa"/>
          </w:tcPr>
          <w:p w14:paraId="24105C4D" w14:textId="77777777" w:rsidR="00DD741E" w:rsidRDefault="00DD741E" w:rsidP="00FB4F98">
            <w:pPr>
              <w:jc w:val="center"/>
              <w:rPr>
                <w:rFonts w:ascii="Arial" w:hAnsi="Arial" w:cs="Arial"/>
                <w:sz w:val="21"/>
                <w:szCs w:val="21"/>
                <w:lang w:val="en-US"/>
              </w:rPr>
            </w:pPr>
            <w:r>
              <w:rPr>
                <w:rFonts w:ascii="Arial" w:hAnsi="Arial" w:cs="Arial"/>
                <w:sz w:val="21"/>
                <w:szCs w:val="21"/>
                <w:lang w:val="en-US"/>
              </w:rPr>
              <w:t>0.02</w:t>
            </w:r>
          </w:p>
        </w:tc>
      </w:tr>
      <w:tr w:rsidR="00DD741E" w:rsidRPr="001D46B4" w14:paraId="47FB0EFA" w14:textId="77777777" w:rsidTr="00FB4F98">
        <w:trPr>
          <w:trHeight w:hRule="exact" w:val="284"/>
        </w:trPr>
        <w:tc>
          <w:tcPr>
            <w:tcW w:w="5245" w:type="dxa"/>
          </w:tcPr>
          <w:p w14:paraId="17D7CEC2" w14:textId="77777777" w:rsidR="00DD741E" w:rsidRDefault="00DD741E" w:rsidP="00FB4F98">
            <w:pPr>
              <w:rPr>
                <w:rFonts w:ascii="Arial" w:hAnsi="Arial" w:cs="Arial"/>
                <w:sz w:val="21"/>
                <w:szCs w:val="21"/>
                <w:lang w:val="en-US"/>
              </w:rPr>
            </w:pPr>
            <w:r>
              <w:rPr>
                <w:rFonts w:ascii="Arial" w:hAnsi="Arial" w:cs="Arial"/>
                <w:sz w:val="21"/>
                <w:szCs w:val="21"/>
                <w:lang w:val="en-US"/>
              </w:rPr>
              <w:t xml:space="preserve">  Alcohol problem (CAGE score ≥2)</w:t>
            </w:r>
          </w:p>
        </w:tc>
        <w:tc>
          <w:tcPr>
            <w:tcW w:w="1559" w:type="dxa"/>
          </w:tcPr>
          <w:p w14:paraId="4D23A8FD" w14:textId="77777777" w:rsidR="00DD741E" w:rsidRDefault="00DD741E" w:rsidP="00FB4F98">
            <w:pPr>
              <w:jc w:val="center"/>
              <w:rPr>
                <w:rFonts w:ascii="Arial" w:hAnsi="Arial" w:cs="Arial"/>
                <w:sz w:val="21"/>
                <w:szCs w:val="21"/>
                <w:lang w:val="en-US"/>
              </w:rPr>
            </w:pPr>
            <w:r w:rsidRPr="00E66350">
              <w:rPr>
                <w:rFonts w:ascii="Arial" w:hAnsi="Arial" w:cs="Arial"/>
                <w:sz w:val="21"/>
                <w:szCs w:val="21"/>
                <w:lang w:val="en-US"/>
              </w:rPr>
              <w:t xml:space="preserve">1 </w:t>
            </w:r>
          </w:p>
        </w:tc>
        <w:tc>
          <w:tcPr>
            <w:tcW w:w="2801" w:type="dxa"/>
          </w:tcPr>
          <w:p w14:paraId="6C16DACF" w14:textId="77777777" w:rsidR="00DD741E" w:rsidRPr="009645E6" w:rsidRDefault="00DD741E" w:rsidP="00FB4F98">
            <w:pPr>
              <w:jc w:val="center"/>
              <w:rPr>
                <w:rFonts w:ascii="Arial" w:hAnsi="Arial" w:cs="Arial"/>
                <w:sz w:val="21"/>
                <w:szCs w:val="21"/>
                <w:lang w:val="en-US"/>
              </w:rPr>
            </w:pPr>
            <w:r w:rsidRPr="009645E6">
              <w:rPr>
                <w:rFonts w:ascii="Arial" w:hAnsi="Arial" w:cs="Arial"/>
                <w:sz w:val="21"/>
                <w:szCs w:val="21"/>
                <w:lang w:val="en-US"/>
              </w:rPr>
              <w:t>1.</w:t>
            </w:r>
            <w:r>
              <w:rPr>
                <w:rFonts w:ascii="Arial" w:hAnsi="Arial" w:cs="Arial"/>
                <w:sz w:val="21"/>
                <w:szCs w:val="21"/>
                <w:lang w:val="en-US"/>
              </w:rPr>
              <w:t>17</w:t>
            </w:r>
            <w:r w:rsidRPr="009645E6">
              <w:rPr>
                <w:rFonts w:ascii="Arial" w:hAnsi="Arial" w:cs="Arial"/>
                <w:sz w:val="21"/>
                <w:szCs w:val="21"/>
                <w:lang w:val="en-US"/>
              </w:rPr>
              <w:t xml:space="preserve"> (0.</w:t>
            </w:r>
            <w:r>
              <w:rPr>
                <w:rFonts w:ascii="Arial" w:hAnsi="Arial" w:cs="Arial"/>
                <w:sz w:val="21"/>
                <w:szCs w:val="21"/>
                <w:lang w:val="en-US"/>
              </w:rPr>
              <w:t>86</w:t>
            </w:r>
            <w:r w:rsidRPr="009645E6">
              <w:rPr>
                <w:rFonts w:ascii="Arial" w:hAnsi="Arial" w:cs="Arial"/>
                <w:sz w:val="21"/>
                <w:szCs w:val="21"/>
                <w:lang w:val="en-US"/>
              </w:rPr>
              <w:t xml:space="preserve">, </w:t>
            </w:r>
            <w:r>
              <w:rPr>
                <w:rFonts w:ascii="Arial" w:hAnsi="Arial" w:cs="Arial"/>
                <w:sz w:val="21"/>
                <w:szCs w:val="21"/>
                <w:lang w:val="en-US"/>
              </w:rPr>
              <w:t>1.58</w:t>
            </w:r>
            <w:r w:rsidRPr="009645E6">
              <w:rPr>
                <w:rFonts w:ascii="Arial" w:hAnsi="Arial" w:cs="Arial"/>
                <w:sz w:val="21"/>
                <w:szCs w:val="21"/>
                <w:lang w:val="en-US"/>
              </w:rPr>
              <w:t>)</w:t>
            </w:r>
          </w:p>
        </w:tc>
        <w:tc>
          <w:tcPr>
            <w:tcW w:w="2414" w:type="dxa"/>
          </w:tcPr>
          <w:p w14:paraId="43D51C6D" w14:textId="77777777" w:rsidR="00DD741E" w:rsidRDefault="00DD741E" w:rsidP="00FB4F98">
            <w:pPr>
              <w:jc w:val="center"/>
              <w:rPr>
                <w:rFonts w:ascii="Arial" w:hAnsi="Arial" w:cs="Arial"/>
                <w:sz w:val="21"/>
                <w:szCs w:val="21"/>
                <w:lang w:val="en-US"/>
              </w:rPr>
            </w:pPr>
            <w:r w:rsidRPr="009645E6">
              <w:rPr>
                <w:rFonts w:ascii="Arial" w:hAnsi="Arial" w:cs="Arial"/>
                <w:sz w:val="21"/>
                <w:szCs w:val="21"/>
                <w:lang w:val="en-US"/>
              </w:rPr>
              <w:t>1.</w:t>
            </w:r>
            <w:r>
              <w:rPr>
                <w:rFonts w:ascii="Arial" w:hAnsi="Arial" w:cs="Arial"/>
                <w:sz w:val="21"/>
                <w:szCs w:val="21"/>
                <w:lang w:val="en-US"/>
              </w:rPr>
              <w:t>59</w:t>
            </w:r>
            <w:r w:rsidRPr="009645E6">
              <w:rPr>
                <w:rFonts w:ascii="Arial" w:hAnsi="Arial" w:cs="Arial"/>
                <w:sz w:val="21"/>
                <w:szCs w:val="21"/>
                <w:lang w:val="en-US"/>
              </w:rPr>
              <w:t xml:space="preserve"> (</w:t>
            </w:r>
            <w:r>
              <w:rPr>
                <w:rFonts w:ascii="Arial" w:hAnsi="Arial" w:cs="Arial"/>
                <w:sz w:val="21"/>
                <w:szCs w:val="21"/>
                <w:lang w:val="en-US"/>
              </w:rPr>
              <w:t>1.10</w:t>
            </w:r>
            <w:r w:rsidRPr="009645E6">
              <w:rPr>
                <w:rFonts w:ascii="Arial" w:hAnsi="Arial" w:cs="Arial"/>
                <w:sz w:val="21"/>
                <w:szCs w:val="21"/>
                <w:lang w:val="en-US"/>
              </w:rPr>
              <w:t xml:space="preserve">, </w:t>
            </w:r>
            <w:r>
              <w:rPr>
                <w:rFonts w:ascii="Arial" w:hAnsi="Arial" w:cs="Arial"/>
                <w:sz w:val="21"/>
                <w:szCs w:val="21"/>
                <w:lang w:val="en-US"/>
              </w:rPr>
              <w:t>2.26</w:t>
            </w:r>
            <w:r w:rsidRPr="009645E6">
              <w:rPr>
                <w:rFonts w:ascii="Arial" w:hAnsi="Arial" w:cs="Arial"/>
                <w:sz w:val="21"/>
                <w:szCs w:val="21"/>
                <w:lang w:val="en-US"/>
              </w:rPr>
              <w:t>)</w:t>
            </w:r>
          </w:p>
        </w:tc>
        <w:tc>
          <w:tcPr>
            <w:tcW w:w="1555" w:type="dxa"/>
          </w:tcPr>
          <w:p w14:paraId="61B06AB8" w14:textId="77777777" w:rsidR="00DD741E" w:rsidRDefault="00DD741E" w:rsidP="00FB4F98">
            <w:pPr>
              <w:jc w:val="center"/>
              <w:rPr>
                <w:rFonts w:ascii="Arial" w:hAnsi="Arial" w:cs="Arial"/>
                <w:sz w:val="21"/>
                <w:szCs w:val="21"/>
                <w:lang w:val="en-US"/>
              </w:rPr>
            </w:pPr>
            <w:r>
              <w:rPr>
                <w:rFonts w:ascii="Arial" w:hAnsi="Arial" w:cs="Arial"/>
                <w:sz w:val="21"/>
                <w:szCs w:val="21"/>
                <w:lang w:val="en-US"/>
              </w:rPr>
              <w:t>0.02</w:t>
            </w:r>
          </w:p>
        </w:tc>
      </w:tr>
      <w:tr w:rsidR="00DD741E" w:rsidRPr="001D46B4" w14:paraId="421D09E8" w14:textId="77777777" w:rsidTr="00FB4F98">
        <w:trPr>
          <w:trHeight w:hRule="exact" w:val="284"/>
        </w:trPr>
        <w:tc>
          <w:tcPr>
            <w:tcW w:w="5245" w:type="dxa"/>
          </w:tcPr>
          <w:p w14:paraId="057A6983" w14:textId="77777777" w:rsidR="00DD741E" w:rsidRPr="00C50B3E" w:rsidRDefault="00DD741E" w:rsidP="00FB4F98">
            <w:pPr>
              <w:rPr>
                <w:rFonts w:ascii="Arial" w:hAnsi="Arial" w:cs="Arial"/>
                <w:b/>
                <w:sz w:val="21"/>
                <w:szCs w:val="21"/>
                <w:lang w:val="en-US"/>
              </w:rPr>
            </w:pPr>
            <w:r w:rsidRPr="00C50B3E">
              <w:rPr>
                <w:rFonts w:ascii="Arial" w:hAnsi="Arial" w:cs="Arial"/>
                <w:b/>
                <w:sz w:val="21"/>
                <w:szCs w:val="21"/>
                <w:lang w:val="en-US"/>
              </w:rPr>
              <w:t xml:space="preserve">Mental health </w:t>
            </w:r>
          </w:p>
        </w:tc>
        <w:tc>
          <w:tcPr>
            <w:tcW w:w="1559" w:type="dxa"/>
          </w:tcPr>
          <w:p w14:paraId="442E6E27" w14:textId="77777777" w:rsidR="00DD741E" w:rsidRDefault="00DD741E" w:rsidP="00FB4F98">
            <w:pPr>
              <w:jc w:val="center"/>
              <w:rPr>
                <w:rFonts w:ascii="Arial" w:hAnsi="Arial" w:cs="Arial"/>
                <w:sz w:val="21"/>
                <w:szCs w:val="21"/>
                <w:lang w:val="en-US"/>
              </w:rPr>
            </w:pPr>
          </w:p>
        </w:tc>
        <w:tc>
          <w:tcPr>
            <w:tcW w:w="2801" w:type="dxa"/>
          </w:tcPr>
          <w:p w14:paraId="4444A469" w14:textId="77777777" w:rsidR="00DD741E" w:rsidRPr="009645E6" w:rsidRDefault="00DD741E" w:rsidP="00FB4F98">
            <w:pPr>
              <w:jc w:val="center"/>
              <w:rPr>
                <w:rFonts w:ascii="Arial" w:hAnsi="Arial" w:cs="Arial"/>
                <w:sz w:val="21"/>
                <w:szCs w:val="21"/>
                <w:lang w:val="en-US"/>
              </w:rPr>
            </w:pPr>
          </w:p>
        </w:tc>
        <w:tc>
          <w:tcPr>
            <w:tcW w:w="2414" w:type="dxa"/>
          </w:tcPr>
          <w:p w14:paraId="18642C9C" w14:textId="77777777" w:rsidR="00DD741E" w:rsidRDefault="00DD741E" w:rsidP="00FB4F98">
            <w:pPr>
              <w:jc w:val="center"/>
              <w:rPr>
                <w:rFonts w:ascii="Arial" w:hAnsi="Arial" w:cs="Arial"/>
                <w:sz w:val="21"/>
                <w:szCs w:val="21"/>
                <w:lang w:val="en-US"/>
              </w:rPr>
            </w:pPr>
          </w:p>
        </w:tc>
        <w:tc>
          <w:tcPr>
            <w:tcW w:w="1555" w:type="dxa"/>
          </w:tcPr>
          <w:p w14:paraId="561015B1" w14:textId="77777777" w:rsidR="00DD741E" w:rsidRDefault="00DD741E" w:rsidP="00FB4F98">
            <w:pPr>
              <w:jc w:val="center"/>
              <w:rPr>
                <w:rFonts w:ascii="Arial" w:hAnsi="Arial" w:cs="Arial"/>
                <w:sz w:val="21"/>
                <w:szCs w:val="21"/>
                <w:lang w:val="en-US"/>
              </w:rPr>
            </w:pPr>
          </w:p>
        </w:tc>
      </w:tr>
      <w:tr w:rsidR="00DD741E" w:rsidRPr="001D46B4" w14:paraId="406396FB" w14:textId="77777777" w:rsidTr="00FB4F98">
        <w:trPr>
          <w:trHeight w:hRule="exact" w:val="284"/>
        </w:trPr>
        <w:tc>
          <w:tcPr>
            <w:tcW w:w="5245" w:type="dxa"/>
          </w:tcPr>
          <w:p w14:paraId="6F11E49E" w14:textId="77777777" w:rsidR="00DD741E" w:rsidRPr="001D46B4" w:rsidRDefault="00DD741E" w:rsidP="00FB4F98">
            <w:pPr>
              <w:rPr>
                <w:rFonts w:ascii="Arial" w:hAnsi="Arial" w:cs="Arial"/>
                <w:sz w:val="21"/>
                <w:szCs w:val="21"/>
                <w:lang w:val="en-US"/>
              </w:rPr>
            </w:pPr>
            <w:r>
              <w:rPr>
                <w:rFonts w:ascii="Arial" w:hAnsi="Arial" w:cs="Arial"/>
                <w:sz w:val="21"/>
                <w:szCs w:val="21"/>
                <w:lang w:val="en-US"/>
              </w:rPr>
              <w:t xml:space="preserve">  Seen specialist for problem with illicit drugs </w:t>
            </w:r>
            <w:proofErr w:type="gramStart"/>
            <w:r>
              <w:rPr>
                <w:rFonts w:ascii="Arial" w:hAnsi="Arial" w:cs="Arial"/>
                <w:sz w:val="21"/>
                <w:szCs w:val="21"/>
                <w:lang w:val="en-US"/>
              </w:rPr>
              <w:t>since</w:t>
            </w:r>
            <w:proofErr w:type="gramEnd"/>
            <w:r>
              <w:rPr>
                <w:rFonts w:ascii="Arial" w:hAnsi="Arial" w:cs="Arial"/>
                <w:sz w:val="21"/>
                <w:szCs w:val="21"/>
                <w:lang w:val="en-US"/>
              </w:rPr>
              <w:t xml:space="preserve"> 16 years of age</w:t>
            </w:r>
          </w:p>
        </w:tc>
        <w:tc>
          <w:tcPr>
            <w:tcW w:w="1559" w:type="dxa"/>
          </w:tcPr>
          <w:p w14:paraId="1C7C6B59" w14:textId="77777777" w:rsidR="00DD741E" w:rsidRPr="00770928" w:rsidRDefault="00DD741E" w:rsidP="00FB4F98">
            <w:pPr>
              <w:jc w:val="center"/>
              <w:rPr>
                <w:rFonts w:ascii="Arial" w:hAnsi="Arial" w:cs="Arial"/>
                <w:sz w:val="21"/>
                <w:szCs w:val="21"/>
                <w:highlight w:val="red"/>
                <w:lang w:val="en-US"/>
              </w:rPr>
            </w:pPr>
            <w:r>
              <w:rPr>
                <w:rFonts w:ascii="Arial" w:hAnsi="Arial" w:cs="Arial"/>
                <w:sz w:val="21"/>
                <w:szCs w:val="21"/>
                <w:lang w:val="en-US"/>
              </w:rPr>
              <w:t>1</w:t>
            </w:r>
          </w:p>
        </w:tc>
        <w:tc>
          <w:tcPr>
            <w:tcW w:w="2801" w:type="dxa"/>
          </w:tcPr>
          <w:p w14:paraId="6C2F092D" w14:textId="77777777" w:rsidR="00DD741E" w:rsidRPr="009645E6" w:rsidRDefault="00DD741E" w:rsidP="00FB4F98">
            <w:pPr>
              <w:jc w:val="center"/>
              <w:rPr>
                <w:rFonts w:ascii="Arial" w:hAnsi="Arial" w:cs="Arial"/>
                <w:sz w:val="21"/>
                <w:szCs w:val="21"/>
                <w:lang w:val="en-US"/>
              </w:rPr>
            </w:pPr>
            <w:r w:rsidRPr="009645E6">
              <w:rPr>
                <w:rFonts w:ascii="Arial" w:hAnsi="Arial" w:cs="Arial"/>
                <w:sz w:val="21"/>
                <w:szCs w:val="21"/>
                <w:lang w:val="en-US"/>
              </w:rPr>
              <w:t>1</w:t>
            </w:r>
            <w:r>
              <w:rPr>
                <w:rFonts w:ascii="Arial" w:hAnsi="Arial" w:cs="Arial"/>
                <w:sz w:val="21"/>
                <w:szCs w:val="21"/>
                <w:lang w:val="en-US"/>
              </w:rPr>
              <w:t>.63</w:t>
            </w:r>
            <w:r w:rsidRPr="009645E6">
              <w:rPr>
                <w:rFonts w:ascii="Arial" w:hAnsi="Arial" w:cs="Arial"/>
                <w:sz w:val="21"/>
                <w:szCs w:val="21"/>
                <w:lang w:val="en-US"/>
              </w:rPr>
              <w:t xml:space="preserve"> (</w:t>
            </w:r>
            <w:r>
              <w:rPr>
                <w:rFonts w:ascii="Arial" w:hAnsi="Arial" w:cs="Arial"/>
                <w:sz w:val="21"/>
                <w:szCs w:val="21"/>
                <w:lang w:val="en-US"/>
              </w:rPr>
              <w:t>0.86</w:t>
            </w:r>
            <w:r w:rsidRPr="009645E6">
              <w:rPr>
                <w:rFonts w:ascii="Arial" w:hAnsi="Arial" w:cs="Arial"/>
                <w:sz w:val="21"/>
                <w:szCs w:val="21"/>
                <w:lang w:val="en-US"/>
              </w:rPr>
              <w:t>,</w:t>
            </w:r>
            <w:r>
              <w:rPr>
                <w:rFonts w:ascii="Arial" w:hAnsi="Arial" w:cs="Arial"/>
                <w:sz w:val="21"/>
                <w:szCs w:val="21"/>
                <w:lang w:val="en-US"/>
              </w:rPr>
              <w:t xml:space="preserve"> 3.10</w:t>
            </w:r>
            <w:r w:rsidRPr="009645E6">
              <w:rPr>
                <w:rFonts w:ascii="Arial" w:hAnsi="Arial" w:cs="Arial"/>
                <w:sz w:val="21"/>
                <w:szCs w:val="21"/>
                <w:lang w:val="en-US"/>
              </w:rPr>
              <w:t>)</w:t>
            </w:r>
          </w:p>
        </w:tc>
        <w:tc>
          <w:tcPr>
            <w:tcW w:w="2414" w:type="dxa"/>
          </w:tcPr>
          <w:p w14:paraId="637FE700" w14:textId="77777777" w:rsidR="00DD741E" w:rsidRPr="009645E6" w:rsidRDefault="00DD741E" w:rsidP="00FB4F98">
            <w:pPr>
              <w:jc w:val="center"/>
              <w:rPr>
                <w:rFonts w:ascii="Arial" w:hAnsi="Arial" w:cs="Arial"/>
                <w:sz w:val="21"/>
                <w:szCs w:val="21"/>
                <w:lang w:val="en-US"/>
              </w:rPr>
            </w:pPr>
            <w:r>
              <w:rPr>
                <w:rFonts w:ascii="Arial" w:hAnsi="Arial" w:cs="Arial"/>
                <w:sz w:val="21"/>
                <w:szCs w:val="21"/>
                <w:lang w:val="en-US"/>
              </w:rPr>
              <w:t xml:space="preserve">2.71 </w:t>
            </w:r>
            <w:r w:rsidRPr="009645E6">
              <w:rPr>
                <w:rFonts w:ascii="Arial" w:hAnsi="Arial" w:cs="Arial"/>
                <w:sz w:val="21"/>
                <w:szCs w:val="21"/>
                <w:lang w:val="en-US"/>
              </w:rPr>
              <w:t>(1.</w:t>
            </w:r>
            <w:r>
              <w:rPr>
                <w:rFonts w:ascii="Arial" w:hAnsi="Arial" w:cs="Arial"/>
                <w:sz w:val="21"/>
                <w:szCs w:val="21"/>
                <w:lang w:val="en-US"/>
              </w:rPr>
              <w:t>22</w:t>
            </w:r>
            <w:r w:rsidRPr="009645E6">
              <w:rPr>
                <w:rFonts w:ascii="Arial" w:hAnsi="Arial" w:cs="Arial"/>
                <w:sz w:val="21"/>
                <w:szCs w:val="21"/>
                <w:lang w:val="en-US"/>
              </w:rPr>
              <w:t xml:space="preserve">, </w:t>
            </w:r>
            <w:r>
              <w:rPr>
                <w:rFonts w:ascii="Arial" w:hAnsi="Arial" w:cs="Arial"/>
                <w:sz w:val="21"/>
                <w:szCs w:val="21"/>
                <w:lang w:val="en-US"/>
              </w:rPr>
              <w:t>6.01</w:t>
            </w:r>
            <w:r w:rsidRPr="009645E6">
              <w:rPr>
                <w:rFonts w:ascii="Arial" w:hAnsi="Arial" w:cs="Arial"/>
                <w:sz w:val="21"/>
                <w:szCs w:val="21"/>
                <w:lang w:val="en-US"/>
              </w:rPr>
              <w:t>)</w:t>
            </w:r>
          </w:p>
        </w:tc>
        <w:tc>
          <w:tcPr>
            <w:tcW w:w="1555" w:type="dxa"/>
          </w:tcPr>
          <w:p w14:paraId="3CCDDB51" w14:textId="77777777" w:rsidR="00DD741E" w:rsidRPr="009645E6" w:rsidRDefault="00DD741E" w:rsidP="00FB4F98">
            <w:pPr>
              <w:jc w:val="center"/>
              <w:rPr>
                <w:rFonts w:ascii="Arial" w:hAnsi="Arial" w:cs="Arial"/>
                <w:sz w:val="21"/>
                <w:szCs w:val="21"/>
                <w:lang w:val="en-US"/>
              </w:rPr>
            </w:pPr>
            <w:r>
              <w:rPr>
                <w:rFonts w:ascii="Arial" w:hAnsi="Arial" w:cs="Arial"/>
                <w:sz w:val="21"/>
                <w:szCs w:val="21"/>
                <w:lang w:val="en-US"/>
              </w:rPr>
              <w:t>0.01</w:t>
            </w:r>
          </w:p>
        </w:tc>
      </w:tr>
      <w:tr w:rsidR="00DD741E" w:rsidRPr="001D46B4" w14:paraId="15B4C668" w14:textId="77777777" w:rsidTr="00FB4F98">
        <w:trPr>
          <w:trHeight w:hRule="exact" w:val="284"/>
        </w:trPr>
        <w:tc>
          <w:tcPr>
            <w:tcW w:w="5245" w:type="dxa"/>
          </w:tcPr>
          <w:p w14:paraId="47A3EBE2" w14:textId="77777777" w:rsidR="00DD741E" w:rsidRPr="001D46B4" w:rsidRDefault="00DD741E" w:rsidP="00FB4F98">
            <w:pPr>
              <w:rPr>
                <w:rFonts w:ascii="Arial" w:hAnsi="Arial" w:cs="Arial"/>
                <w:sz w:val="21"/>
                <w:szCs w:val="21"/>
                <w:lang w:val="en-US"/>
              </w:rPr>
            </w:pPr>
            <w:r>
              <w:rPr>
                <w:rFonts w:ascii="Arial" w:hAnsi="Arial" w:cs="Arial"/>
                <w:sz w:val="21"/>
                <w:szCs w:val="21"/>
                <w:lang w:val="en-US"/>
              </w:rPr>
              <w:t xml:space="preserve">  Seen specialist for psychiatric problem </w:t>
            </w:r>
            <w:proofErr w:type="gramStart"/>
            <w:r>
              <w:rPr>
                <w:rFonts w:ascii="Arial" w:hAnsi="Arial" w:cs="Arial"/>
                <w:sz w:val="21"/>
                <w:szCs w:val="21"/>
                <w:lang w:val="en-US"/>
              </w:rPr>
              <w:t>since</w:t>
            </w:r>
            <w:proofErr w:type="gramEnd"/>
            <w:r>
              <w:rPr>
                <w:rFonts w:ascii="Arial" w:hAnsi="Arial" w:cs="Arial"/>
                <w:sz w:val="21"/>
                <w:szCs w:val="21"/>
                <w:lang w:val="en-US"/>
              </w:rPr>
              <w:t xml:space="preserve"> 16 years of age</w:t>
            </w:r>
          </w:p>
        </w:tc>
        <w:tc>
          <w:tcPr>
            <w:tcW w:w="1559" w:type="dxa"/>
          </w:tcPr>
          <w:p w14:paraId="769D08A0" w14:textId="77777777" w:rsidR="00DD741E" w:rsidRPr="00770928" w:rsidRDefault="00DD741E" w:rsidP="00FB4F98">
            <w:pPr>
              <w:jc w:val="center"/>
              <w:rPr>
                <w:rFonts w:ascii="Arial" w:hAnsi="Arial" w:cs="Arial"/>
                <w:sz w:val="21"/>
                <w:szCs w:val="21"/>
                <w:lang w:val="en-US"/>
              </w:rPr>
            </w:pPr>
            <w:r w:rsidRPr="00E66350">
              <w:rPr>
                <w:rFonts w:ascii="Arial" w:hAnsi="Arial" w:cs="Arial"/>
                <w:sz w:val="21"/>
                <w:szCs w:val="21"/>
                <w:lang w:val="en-US"/>
              </w:rPr>
              <w:t xml:space="preserve">1 </w:t>
            </w:r>
          </w:p>
        </w:tc>
        <w:tc>
          <w:tcPr>
            <w:tcW w:w="2801" w:type="dxa"/>
          </w:tcPr>
          <w:p w14:paraId="0160E5EE" w14:textId="77777777" w:rsidR="00DD741E" w:rsidRPr="009645E6" w:rsidRDefault="00DD741E" w:rsidP="00FB4F98">
            <w:pPr>
              <w:jc w:val="center"/>
              <w:rPr>
                <w:rFonts w:ascii="Arial" w:hAnsi="Arial" w:cs="Arial"/>
                <w:sz w:val="21"/>
                <w:szCs w:val="21"/>
                <w:lang w:val="en-US"/>
              </w:rPr>
            </w:pPr>
            <w:r w:rsidRPr="009645E6">
              <w:rPr>
                <w:rFonts w:ascii="Arial" w:hAnsi="Arial" w:cs="Arial"/>
                <w:sz w:val="21"/>
                <w:szCs w:val="21"/>
                <w:lang w:val="en-US"/>
              </w:rPr>
              <w:t>1.</w:t>
            </w:r>
            <w:r>
              <w:rPr>
                <w:rFonts w:ascii="Arial" w:hAnsi="Arial" w:cs="Arial"/>
                <w:sz w:val="21"/>
                <w:szCs w:val="21"/>
                <w:lang w:val="en-US"/>
              </w:rPr>
              <w:t>19 (1.01</w:t>
            </w:r>
            <w:r w:rsidRPr="009645E6">
              <w:rPr>
                <w:rFonts w:ascii="Arial" w:hAnsi="Arial" w:cs="Arial"/>
                <w:sz w:val="21"/>
                <w:szCs w:val="21"/>
                <w:lang w:val="en-US"/>
              </w:rPr>
              <w:t>, 1.</w:t>
            </w:r>
            <w:r>
              <w:rPr>
                <w:rFonts w:ascii="Arial" w:hAnsi="Arial" w:cs="Arial"/>
                <w:sz w:val="21"/>
                <w:szCs w:val="21"/>
                <w:lang w:val="en-US"/>
              </w:rPr>
              <w:t>40</w:t>
            </w:r>
            <w:r w:rsidRPr="009645E6">
              <w:rPr>
                <w:rFonts w:ascii="Arial" w:hAnsi="Arial" w:cs="Arial"/>
                <w:sz w:val="21"/>
                <w:szCs w:val="21"/>
                <w:lang w:val="en-US"/>
              </w:rPr>
              <w:t>)</w:t>
            </w:r>
          </w:p>
        </w:tc>
        <w:tc>
          <w:tcPr>
            <w:tcW w:w="2414" w:type="dxa"/>
          </w:tcPr>
          <w:p w14:paraId="7D617C0D" w14:textId="77777777" w:rsidR="00DD741E" w:rsidRPr="009645E6" w:rsidRDefault="00DD741E" w:rsidP="00FB4F98">
            <w:pPr>
              <w:jc w:val="center"/>
              <w:rPr>
                <w:rFonts w:ascii="Arial" w:hAnsi="Arial" w:cs="Arial"/>
                <w:sz w:val="21"/>
                <w:szCs w:val="21"/>
                <w:lang w:val="en-US"/>
              </w:rPr>
            </w:pPr>
            <w:r w:rsidRPr="009645E6">
              <w:rPr>
                <w:rFonts w:ascii="Arial" w:hAnsi="Arial" w:cs="Arial"/>
                <w:sz w:val="21"/>
                <w:szCs w:val="21"/>
                <w:lang w:val="en-US"/>
              </w:rPr>
              <w:t>1.</w:t>
            </w:r>
            <w:r>
              <w:rPr>
                <w:rFonts w:ascii="Arial" w:hAnsi="Arial" w:cs="Arial"/>
                <w:sz w:val="21"/>
                <w:szCs w:val="21"/>
                <w:lang w:val="en-US"/>
              </w:rPr>
              <w:t>22</w:t>
            </w:r>
            <w:r w:rsidRPr="009645E6">
              <w:rPr>
                <w:rFonts w:ascii="Arial" w:hAnsi="Arial" w:cs="Arial"/>
                <w:sz w:val="21"/>
                <w:szCs w:val="21"/>
                <w:lang w:val="en-US"/>
              </w:rPr>
              <w:t xml:space="preserve"> (0.9</w:t>
            </w:r>
            <w:r>
              <w:rPr>
                <w:rFonts w:ascii="Arial" w:hAnsi="Arial" w:cs="Arial"/>
                <w:sz w:val="21"/>
                <w:szCs w:val="21"/>
                <w:lang w:val="en-US"/>
              </w:rPr>
              <w:t>4</w:t>
            </w:r>
            <w:r w:rsidRPr="009645E6">
              <w:rPr>
                <w:rFonts w:ascii="Arial" w:hAnsi="Arial" w:cs="Arial"/>
                <w:sz w:val="21"/>
                <w:szCs w:val="21"/>
                <w:lang w:val="en-US"/>
              </w:rPr>
              <w:t>, 1.</w:t>
            </w:r>
            <w:r>
              <w:rPr>
                <w:rFonts w:ascii="Arial" w:hAnsi="Arial" w:cs="Arial"/>
                <w:sz w:val="21"/>
                <w:szCs w:val="21"/>
                <w:lang w:val="en-US"/>
              </w:rPr>
              <w:t>60</w:t>
            </w:r>
            <w:r w:rsidRPr="009645E6">
              <w:rPr>
                <w:rFonts w:ascii="Arial" w:hAnsi="Arial" w:cs="Arial"/>
                <w:sz w:val="21"/>
                <w:szCs w:val="21"/>
                <w:lang w:val="en-US"/>
              </w:rPr>
              <w:t>)</w:t>
            </w:r>
          </w:p>
        </w:tc>
        <w:tc>
          <w:tcPr>
            <w:tcW w:w="1555" w:type="dxa"/>
          </w:tcPr>
          <w:p w14:paraId="1FE0FF74" w14:textId="77777777" w:rsidR="00DD741E" w:rsidRPr="009645E6" w:rsidRDefault="00DD741E" w:rsidP="00FB4F98">
            <w:pPr>
              <w:jc w:val="center"/>
              <w:rPr>
                <w:rFonts w:ascii="Arial" w:hAnsi="Arial" w:cs="Arial"/>
                <w:sz w:val="21"/>
                <w:szCs w:val="21"/>
                <w:lang w:val="en-US"/>
              </w:rPr>
            </w:pPr>
            <w:r>
              <w:rPr>
                <w:rFonts w:ascii="Arial" w:hAnsi="Arial" w:cs="Arial"/>
                <w:sz w:val="21"/>
                <w:szCs w:val="21"/>
                <w:lang w:val="en-US"/>
              </w:rPr>
              <w:t>0.03</w:t>
            </w:r>
          </w:p>
        </w:tc>
      </w:tr>
      <w:tr w:rsidR="00DD741E" w:rsidRPr="001D46B4" w14:paraId="69798C18" w14:textId="77777777" w:rsidTr="00FB4F98">
        <w:trPr>
          <w:trHeight w:hRule="exact" w:val="284"/>
        </w:trPr>
        <w:tc>
          <w:tcPr>
            <w:tcW w:w="5245" w:type="dxa"/>
          </w:tcPr>
          <w:p w14:paraId="532C3F46" w14:textId="77777777" w:rsidR="00DD741E" w:rsidRPr="001D46B4" w:rsidRDefault="00DD741E" w:rsidP="00FB4F98">
            <w:pPr>
              <w:rPr>
                <w:rFonts w:ascii="Arial" w:hAnsi="Arial" w:cs="Arial"/>
                <w:sz w:val="21"/>
                <w:szCs w:val="21"/>
                <w:lang w:val="en-US"/>
              </w:rPr>
            </w:pPr>
            <w:r>
              <w:rPr>
                <w:rFonts w:ascii="Arial" w:hAnsi="Arial" w:cs="Arial"/>
                <w:sz w:val="21"/>
                <w:szCs w:val="21"/>
                <w:lang w:val="en-US"/>
              </w:rPr>
              <w:t xml:space="preserve">  Psychiatric morbidity (Malaise score ≥7)</w:t>
            </w:r>
          </w:p>
        </w:tc>
        <w:tc>
          <w:tcPr>
            <w:tcW w:w="1559" w:type="dxa"/>
          </w:tcPr>
          <w:p w14:paraId="638442CF" w14:textId="77777777" w:rsidR="00DD741E" w:rsidRPr="00770928" w:rsidRDefault="00DD741E" w:rsidP="00FB4F98">
            <w:pPr>
              <w:jc w:val="center"/>
              <w:rPr>
                <w:rFonts w:ascii="Arial" w:hAnsi="Arial" w:cs="Arial"/>
                <w:sz w:val="21"/>
                <w:szCs w:val="21"/>
                <w:lang w:val="en-US"/>
              </w:rPr>
            </w:pPr>
            <w:r w:rsidRPr="00E66350">
              <w:rPr>
                <w:rFonts w:ascii="Arial" w:hAnsi="Arial" w:cs="Arial"/>
                <w:sz w:val="21"/>
                <w:szCs w:val="21"/>
                <w:lang w:val="en-US"/>
              </w:rPr>
              <w:t xml:space="preserve">1 </w:t>
            </w:r>
          </w:p>
        </w:tc>
        <w:tc>
          <w:tcPr>
            <w:tcW w:w="2801" w:type="dxa"/>
          </w:tcPr>
          <w:p w14:paraId="6403EBFE" w14:textId="77777777" w:rsidR="00DD741E" w:rsidRPr="009645E6" w:rsidRDefault="00DD741E" w:rsidP="00FB4F98">
            <w:pPr>
              <w:jc w:val="center"/>
              <w:rPr>
                <w:rFonts w:ascii="Arial" w:hAnsi="Arial" w:cs="Arial"/>
                <w:sz w:val="21"/>
                <w:szCs w:val="21"/>
                <w:lang w:val="en-US"/>
              </w:rPr>
            </w:pPr>
            <w:r w:rsidRPr="009645E6">
              <w:rPr>
                <w:rFonts w:ascii="Arial" w:hAnsi="Arial" w:cs="Arial"/>
                <w:sz w:val="21"/>
                <w:szCs w:val="21"/>
                <w:lang w:val="en-US"/>
              </w:rPr>
              <w:t>1.</w:t>
            </w:r>
            <w:r>
              <w:rPr>
                <w:rFonts w:ascii="Arial" w:hAnsi="Arial" w:cs="Arial"/>
                <w:sz w:val="21"/>
                <w:szCs w:val="21"/>
                <w:lang w:val="en-US"/>
              </w:rPr>
              <w:t>35</w:t>
            </w:r>
            <w:r w:rsidRPr="009645E6">
              <w:rPr>
                <w:rFonts w:ascii="Arial" w:hAnsi="Arial" w:cs="Arial"/>
                <w:sz w:val="21"/>
                <w:szCs w:val="21"/>
                <w:lang w:val="en-US"/>
              </w:rPr>
              <w:t xml:space="preserve"> (</w:t>
            </w:r>
            <w:r>
              <w:rPr>
                <w:rFonts w:ascii="Arial" w:hAnsi="Arial" w:cs="Arial"/>
                <w:sz w:val="21"/>
                <w:szCs w:val="21"/>
                <w:lang w:val="en-US"/>
              </w:rPr>
              <w:t>1.09</w:t>
            </w:r>
            <w:r w:rsidRPr="009645E6">
              <w:rPr>
                <w:rFonts w:ascii="Arial" w:hAnsi="Arial" w:cs="Arial"/>
                <w:sz w:val="21"/>
                <w:szCs w:val="21"/>
                <w:lang w:val="en-US"/>
              </w:rPr>
              <w:t>, 1.</w:t>
            </w:r>
            <w:r>
              <w:rPr>
                <w:rFonts w:ascii="Arial" w:hAnsi="Arial" w:cs="Arial"/>
                <w:sz w:val="21"/>
                <w:szCs w:val="21"/>
                <w:lang w:val="en-US"/>
              </w:rPr>
              <w:t>67</w:t>
            </w:r>
            <w:r w:rsidRPr="009645E6">
              <w:rPr>
                <w:rFonts w:ascii="Arial" w:hAnsi="Arial" w:cs="Arial"/>
                <w:sz w:val="21"/>
                <w:szCs w:val="21"/>
                <w:lang w:val="en-US"/>
              </w:rPr>
              <w:t>)</w:t>
            </w:r>
          </w:p>
        </w:tc>
        <w:tc>
          <w:tcPr>
            <w:tcW w:w="2414" w:type="dxa"/>
          </w:tcPr>
          <w:p w14:paraId="05816597" w14:textId="77777777" w:rsidR="00DD741E" w:rsidRPr="009645E6" w:rsidRDefault="00DD741E" w:rsidP="00FB4F98">
            <w:pPr>
              <w:jc w:val="center"/>
              <w:rPr>
                <w:rFonts w:ascii="Arial" w:hAnsi="Arial" w:cs="Arial"/>
                <w:sz w:val="21"/>
                <w:szCs w:val="21"/>
                <w:lang w:val="en-US"/>
              </w:rPr>
            </w:pPr>
            <w:r w:rsidRPr="009645E6">
              <w:rPr>
                <w:rFonts w:ascii="Arial" w:hAnsi="Arial" w:cs="Arial"/>
                <w:sz w:val="21"/>
                <w:szCs w:val="21"/>
                <w:lang w:val="en-US"/>
              </w:rPr>
              <w:t>1.</w:t>
            </w:r>
            <w:r>
              <w:rPr>
                <w:rFonts w:ascii="Arial" w:hAnsi="Arial" w:cs="Arial"/>
                <w:sz w:val="21"/>
                <w:szCs w:val="21"/>
                <w:lang w:val="en-US"/>
              </w:rPr>
              <w:t>31</w:t>
            </w:r>
            <w:r w:rsidRPr="009645E6">
              <w:rPr>
                <w:rFonts w:ascii="Arial" w:hAnsi="Arial" w:cs="Arial"/>
                <w:sz w:val="21"/>
                <w:szCs w:val="21"/>
                <w:lang w:val="en-US"/>
              </w:rPr>
              <w:t xml:space="preserve"> (</w:t>
            </w:r>
            <w:r>
              <w:rPr>
                <w:rFonts w:ascii="Arial" w:hAnsi="Arial" w:cs="Arial"/>
                <w:sz w:val="21"/>
                <w:szCs w:val="21"/>
                <w:lang w:val="en-US"/>
              </w:rPr>
              <w:t>1.00</w:t>
            </w:r>
            <w:r w:rsidRPr="009645E6">
              <w:rPr>
                <w:rFonts w:ascii="Arial" w:hAnsi="Arial" w:cs="Arial"/>
                <w:sz w:val="21"/>
                <w:szCs w:val="21"/>
                <w:lang w:val="en-US"/>
              </w:rPr>
              <w:t>, 1.</w:t>
            </w:r>
            <w:r>
              <w:rPr>
                <w:rFonts w:ascii="Arial" w:hAnsi="Arial" w:cs="Arial"/>
                <w:sz w:val="21"/>
                <w:szCs w:val="21"/>
                <w:lang w:val="en-US"/>
              </w:rPr>
              <w:t>72</w:t>
            </w:r>
            <w:r w:rsidRPr="009645E6">
              <w:rPr>
                <w:rFonts w:ascii="Arial" w:hAnsi="Arial" w:cs="Arial"/>
                <w:sz w:val="21"/>
                <w:szCs w:val="21"/>
                <w:lang w:val="en-US"/>
              </w:rPr>
              <w:t>)</w:t>
            </w:r>
          </w:p>
        </w:tc>
        <w:tc>
          <w:tcPr>
            <w:tcW w:w="1555" w:type="dxa"/>
          </w:tcPr>
          <w:p w14:paraId="5022FE10" w14:textId="77777777" w:rsidR="00DD741E" w:rsidRPr="009645E6" w:rsidRDefault="00DD741E" w:rsidP="00FB4F98">
            <w:pPr>
              <w:jc w:val="center"/>
              <w:rPr>
                <w:rFonts w:ascii="Arial" w:hAnsi="Arial" w:cs="Arial"/>
                <w:sz w:val="21"/>
                <w:szCs w:val="21"/>
                <w:lang w:val="en-US"/>
              </w:rPr>
            </w:pPr>
            <w:r>
              <w:rPr>
                <w:rFonts w:ascii="Arial" w:hAnsi="Arial" w:cs="Arial"/>
                <w:sz w:val="21"/>
                <w:szCs w:val="21"/>
                <w:lang w:val="en-US"/>
              </w:rPr>
              <w:t>0.01</w:t>
            </w:r>
          </w:p>
        </w:tc>
      </w:tr>
      <w:tr w:rsidR="00DD741E" w:rsidRPr="001D46B4" w14:paraId="155662C9" w14:textId="77777777" w:rsidTr="00FB4F98">
        <w:trPr>
          <w:trHeight w:hRule="exact" w:val="287"/>
        </w:trPr>
        <w:tc>
          <w:tcPr>
            <w:tcW w:w="5245" w:type="dxa"/>
          </w:tcPr>
          <w:p w14:paraId="77005E37" w14:textId="77777777" w:rsidR="00DD741E" w:rsidRPr="00C50B3E" w:rsidRDefault="00DD741E" w:rsidP="00FB4F98">
            <w:pPr>
              <w:rPr>
                <w:rFonts w:ascii="Arial" w:hAnsi="Arial" w:cs="Arial"/>
                <w:b/>
                <w:sz w:val="21"/>
                <w:szCs w:val="21"/>
                <w:lang w:val="en-US"/>
              </w:rPr>
            </w:pPr>
            <w:r w:rsidRPr="00C50B3E">
              <w:rPr>
                <w:rFonts w:ascii="Arial" w:hAnsi="Arial" w:cs="Arial"/>
                <w:b/>
                <w:sz w:val="21"/>
                <w:szCs w:val="21"/>
                <w:lang w:val="en-US"/>
              </w:rPr>
              <w:t xml:space="preserve">Physical health </w:t>
            </w:r>
          </w:p>
        </w:tc>
        <w:tc>
          <w:tcPr>
            <w:tcW w:w="1559" w:type="dxa"/>
          </w:tcPr>
          <w:p w14:paraId="642B5A97" w14:textId="77777777" w:rsidR="00DD741E" w:rsidRPr="00E66350" w:rsidRDefault="00DD741E" w:rsidP="00FB4F98">
            <w:pPr>
              <w:jc w:val="center"/>
              <w:rPr>
                <w:rFonts w:ascii="Arial" w:hAnsi="Arial" w:cs="Arial"/>
                <w:sz w:val="21"/>
                <w:szCs w:val="21"/>
                <w:lang w:val="en-US"/>
              </w:rPr>
            </w:pPr>
          </w:p>
        </w:tc>
        <w:tc>
          <w:tcPr>
            <w:tcW w:w="2801" w:type="dxa"/>
          </w:tcPr>
          <w:p w14:paraId="6E3F415F" w14:textId="77777777" w:rsidR="00DD741E" w:rsidRPr="009645E6" w:rsidRDefault="00DD741E" w:rsidP="00FB4F98">
            <w:pPr>
              <w:jc w:val="center"/>
              <w:rPr>
                <w:rFonts w:ascii="Arial" w:hAnsi="Arial" w:cs="Arial"/>
                <w:sz w:val="21"/>
                <w:szCs w:val="21"/>
                <w:lang w:val="en-US"/>
              </w:rPr>
            </w:pPr>
          </w:p>
        </w:tc>
        <w:tc>
          <w:tcPr>
            <w:tcW w:w="2414" w:type="dxa"/>
          </w:tcPr>
          <w:p w14:paraId="0BBBD6A5" w14:textId="77777777" w:rsidR="00DD741E" w:rsidRPr="009645E6" w:rsidRDefault="00DD741E" w:rsidP="00FB4F98">
            <w:pPr>
              <w:jc w:val="center"/>
              <w:rPr>
                <w:rFonts w:ascii="Arial" w:hAnsi="Arial" w:cs="Arial"/>
                <w:sz w:val="21"/>
                <w:szCs w:val="21"/>
                <w:lang w:val="en-US"/>
              </w:rPr>
            </w:pPr>
          </w:p>
        </w:tc>
        <w:tc>
          <w:tcPr>
            <w:tcW w:w="1555" w:type="dxa"/>
          </w:tcPr>
          <w:p w14:paraId="4026389B" w14:textId="77777777" w:rsidR="00DD741E" w:rsidRDefault="00DD741E" w:rsidP="00FB4F98">
            <w:pPr>
              <w:jc w:val="center"/>
              <w:rPr>
                <w:rFonts w:ascii="Arial" w:hAnsi="Arial" w:cs="Arial"/>
                <w:sz w:val="21"/>
                <w:szCs w:val="21"/>
                <w:lang w:val="en-US"/>
              </w:rPr>
            </w:pPr>
          </w:p>
        </w:tc>
      </w:tr>
      <w:tr w:rsidR="00DD741E" w:rsidRPr="001D46B4" w14:paraId="46050E8A" w14:textId="77777777" w:rsidTr="00FB4F98">
        <w:trPr>
          <w:trHeight w:hRule="exact" w:val="556"/>
        </w:trPr>
        <w:tc>
          <w:tcPr>
            <w:tcW w:w="5245" w:type="dxa"/>
          </w:tcPr>
          <w:p w14:paraId="2E186FA5" w14:textId="77777777" w:rsidR="00DD741E" w:rsidRDefault="00DD741E" w:rsidP="00FB4F98">
            <w:pPr>
              <w:rPr>
                <w:rFonts w:ascii="Arial" w:hAnsi="Arial" w:cs="Arial"/>
                <w:sz w:val="21"/>
                <w:szCs w:val="21"/>
                <w:lang w:val="en-US"/>
              </w:rPr>
            </w:pPr>
            <w:r>
              <w:rPr>
                <w:rFonts w:ascii="Arial" w:hAnsi="Arial" w:cs="Arial"/>
                <w:sz w:val="21"/>
                <w:szCs w:val="21"/>
                <w:lang w:val="en-US"/>
              </w:rPr>
              <w:t xml:space="preserve">  Seen doctor </w:t>
            </w:r>
            <w:proofErr w:type="gramStart"/>
            <w:r>
              <w:rPr>
                <w:rFonts w:ascii="Arial" w:hAnsi="Arial" w:cs="Arial"/>
                <w:sz w:val="21"/>
                <w:szCs w:val="21"/>
                <w:lang w:val="en-US"/>
              </w:rPr>
              <w:t>since</w:t>
            </w:r>
            <w:proofErr w:type="gramEnd"/>
            <w:r>
              <w:rPr>
                <w:rFonts w:ascii="Arial" w:hAnsi="Arial" w:cs="Arial"/>
                <w:sz w:val="21"/>
                <w:szCs w:val="21"/>
                <w:lang w:val="en-US"/>
              </w:rPr>
              <w:t xml:space="preserve"> 16 years of age to get treatment for an accident</w:t>
            </w:r>
          </w:p>
        </w:tc>
        <w:tc>
          <w:tcPr>
            <w:tcW w:w="1559" w:type="dxa"/>
          </w:tcPr>
          <w:p w14:paraId="7A7FD060" w14:textId="77777777" w:rsidR="00DD741E" w:rsidRPr="00770928" w:rsidRDefault="00DD741E" w:rsidP="00FB4F98">
            <w:pPr>
              <w:jc w:val="center"/>
              <w:rPr>
                <w:rFonts w:ascii="Arial" w:hAnsi="Arial" w:cs="Arial"/>
                <w:sz w:val="21"/>
                <w:szCs w:val="21"/>
                <w:lang w:val="en-US"/>
              </w:rPr>
            </w:pPr>
            <w:r w:rsidRPr="00E66350">
              <w:rPr>
                <w:rFonts w:ascii="Arial" w:hAnsi="Arial" w:cs="Arial"/>
                <w:sz w:val="21"/>
                <w:szCs w:val="21"/>
                <w:lang w:val="en-US"/>
              </w:rPr>
              <w:t xml:space="preserve">1 </w:t>
            </w:r>
          </w:p>
        </w:tc>
        <w:tc>
          <w:tcPr>
            <w:tcW w:w="2801" w:type="dxa"/>
          </w:tcPr>
          <w:p w14:paraId="1469DF00" w14:textId="77777777" w:rsidR="00DD741E" w:rsidRPr="009645E6" w:rsidRDefault="00DD741E" w:rsidP="00FB4F98">
            <w:pPr>
              <w:jc w:val="center"/>
              <w:rPr>
                <w:rFonts w:ascii="Arial" w:hAnsi="Arial" w:cs="Arial"/>
                <w:sz w:val="21"/>
                <w:szCs w:val="21"/>
                <w:lang w:val="en-US"/>
              </w:rPr>
            </w:pPr>
            <w:r w:rsidRPr="00EB4CF0">
              <w:rPr>
                <w:rFonts w:ascii="Arial" w:hAnsi="Arial" w:cs="Arial"/>
                <w:sz w:val="21"/>
                <w:szCs w:val="21"/>
                <w:lang w:val="en-US"/>
              </w:rPr>
              <w:t>1.03 (0.88, 1.</w:t>
            </w:r>
            <w:r>
              <w:rPr>
                <w:rFonts w:ascii="Arial" w:hAnsi="Arial" w:cs="Arial"/>
                <w:sz w:val="21"/>
                <w:szCs w:val="21"/>
                <w:lang w:val="en-US"/>
              </w:rPr>
              <w:t>20</w:t>
            </w:r>
            <w:r w:rsidRPr="00EB4CF0">
              <w:rPr>
                <w:rFonts w:ascii="Arial" w:hAnsi="Arial" w:cs="Arial"/>
                <w:sz w:val="21"/>
                <w:szCs w:val="21"/>
                <w:lang w:val="en-US"/>
              </w:rPr>
              <w:t>)</w:t>
            </w:r>
          </w:p>
        </w:tc>
        <w:tc>
          <w:tcPr>
            <w:tcW w:w="2414" w:type="dxa"/>
          </w:tcPr>
          <w:p w14:paraId="3C9CBAAC" w14:textId="77777777" w:rsidR="00DD741E" w:rsidRPr="009645E6" w:rsidRDefault="00DD741E" w:rsidP="00FB4F98">
            <w:pPr>
              <w:jc w:val="center"/>
              <w:rPr>
                <w:rFonts w:ascii="Arial" w:hAnsi="Arial" w:cs="Arial"/>
                <w:sz w:val="21"/>
                <w:szCs w:val="21"/>
                <w:lang w:val="en-US"/>
              </w:rPr>
            </w:pPr>
            <w:r w:rsidRPr="009645E6">
              <w:rPr>
                <w:rFonts w:ascii="Arial" w:hAnsi="Arial" w:cs="Arial"/>
                <w:sz w:val="21"/>
                <w:szCs w:val="21"/>
                <w:lang w:val="en-US"/>
              </w:rPr>
              <w:t>1.0</w:t>
            </w:r>
            <w:r>
              <w:rPr>
                <w:rFonts w:ascii="Arial" w:hAnsi="Arial" w:cs="Arial"/>
                <w:sz w:val="21"/>
                <w:szCs w:val="21"/>
                <w:lang w:val="en-US"/>
              </w:rPr>
              <w:t>0</w:t>
            </w:r>
            <w:r w:rsidRPr="009645E6">
              <w:rPr>
                <w:rFonts w:ascii="Arial" w:hAnsi="Arial" w:cs="Arial"/>
                <w:sz w:val="21"/>
                <w:szCs w:val="21"/>
                <w:lang w:val="en-US"/>
              </w:rPr>
              <w:t xml:space="preserve"> (0.</w:t>
            </w:r>
            <w:r>
              <w:rPr>
                <w:rFonts w:ascii="Arial" w:hAnsi="Arial" w:cs="Arial"/>
                <w:sz w:val="21"/>
                <w:szCs w:val="21"/>
                <w:lang w:val="en-US"/>
              </w:rPr>
              <w:t>83</w:t>
            </w:r>
            <w:r w:rsidRPr="009645E6">
              <w:rPr>
                <w:rFonts w:ascii="Arial" w:hAnsi="Arial" w:cs="Arial"/>
                <w:sz w:val="21"/>
                <w:szCs w:val="21"/>
                <w:lang w:val="en-US"/>
              </w:rPr>
              <w:t>, 1.2</w:t>
            </w:r>
            <w:r>
              <w:rPr>
                <w:rFonts w:ascii="Arial" w:hAnsi="Arial" w:cs="Arial"/>
                <w:sz w:val="21"/>
                <w:szCs w:val="21"/>
                <w:lang w:val="en-US"/>
              </w:rPr>
              <w:t>2</w:t>
            </w:r>
            <w:r w:rsidRPr="009645E6">
              <w:rPr>
                <w:rFonts w:ascii="Arial" w:hAnsi="Arial" w:cs="Arial"/>
                <w:sz w:val="21"/>
                <w:szCs w:val="21"/>
                <w:lang w:val="en-US"/>
              </w:rPr>
              <w:t>)</w:t>
            </w:r>
          </w:p>
        </w:tc>
        <w:tc>
          <w:tcPr>
            <w:tcW w:w="1555" w:type="dxa"/>
          </w:tcPr>
          <w:p w14:paraId="63B230C0" w14:textId="77777777" w:rsidR="00DD741E" w:rsidRPr="009645E6" w:rsidRDefault="00DD741E" w:rsidP="00FB4F98">
            <w:pPr>
              <w:jc w:val="center"/>
              <w:rPr>
                <w:rFonts w:ascii="Arial" w:hAnsi="Arial" w:cs="Arial"/>
                <w:sz w:val="21"/>
                <w:szCs w:val="21"/>
                <w:lang w:val="en-US"/>
              </w:rPr>
            </w:pPr>
            <w:r>
              <w:rPr>
                <w:rFonts w:ascii="Arial" w:hAnsi="Arial" w:cs="Arial"/>
                <w:sz w:val="21"/>
                <w:szCs w:val="21"/>
                <w:lang w:val="en-US"/>
              </w:rPr>
              <w:t>0.88</w:t>
            </w:r>
          </w:p>
        </w:tc>
      </w:tr>
      <w:tr w:rsidR="00DD741E" w:rsidRPr="001D46B4" w14:paraId="514CBBD4" w14:textId="77777777" w:rsidTr="00FB4F98">
        <w:trPr>
          <w:trHeight w:hRule="exact" w:val="559"/>
        </w:trPr>
        <w:tc>
          <w:tcPr>
            <w:tcW w:w="5245" w:type="dxa"/>
          </w:tcPr>
          <w:p w14:paraId="4B0BA756" w14:textId="77777777" w:rsidR="00DD741E" w:rsidRDefault="00DD741E" w:rsidP="00FB4F98">
            <w:pPr>
              <w:rPr>
                <w:rFonts w:ascii="Arial" w:hAnsi="Arial" w:cs="Arial"/>
                <w:sz w:val="21"/>
                <w:szCs w:val="21"/>
                <w:lang w:val="en-US"/>
              </w:rPr>
            </w:pPr>
            <w:r>
              <w:rPr>
                <w:rFonts w:ascii="Arial" w:hAnsi="Arial" w:cs="Arial"/>
                <w:sz w:val="21"/>
                <w:szCs w:val="21"/>
                <w:lang w:val="en-US"/>
              </w:rPr>
              <w:t xml:space="preserve">  Seen doctor </w:t>
            </w:r>
            <w:proofErr w:type="gramStart"/>
            <w:r>
              <w:rPr>
                <w:rFonts w:ascii="Arial" w:hAnsi="Arial" w:cs="Arial"/>
                <w:sz w:val="21"/>
                <w:szCs w:val="21"/>
                <w:lang w:val="en-US"/>
              </w:rPr>
              <w:t>since</w:t>
            </w:r>
            <w:proofErr w:type="gramEnd"/>
            <w:r>
              <w:rPr>
                <w:rFonts w:ascii="Arial" w:hAnsi="Arial" w:cs="Arial"/>
                <w:sz w:val="21"/>
                <w:szCs w:val="21"/>
                <w:lang w:val="en-US"/>
              </w:rPr>
              <w:t xml:space="preserve"> 16 years of age to get treatment for a violent assault, mugging or sexual assault </w:t>
            </w:r>
          </w:p>
        </w:tc>
        <w:tc>
          <w:tcPr>
            <w:tcW w:w="1559" w:type="dxa"/>
          </w:tcPr>
          <w:p w14:paraId="191F7AF7" w14:textId="77777777" w:rsidR="00DD741E" w:rsidRPr="00770928" w:rsidRDefault="00DD741E" w:rsidP="00FB4F98">
            <w:pPr>
              <w:jc w:val="center"/>
              <w:rPr>
                <w:rFonts w:ascii="Arial" w:hAnsi="Arial" w:cs="Arial"/>
                <w:sz w:val="21"/>
                <w:szCs w:val="21"/>
                <w:lang w:val="en-US"/>
              </w:rPr>
            </w:pPr>
            <w:r w:rsidRPr="00E66350">
              <w:rPr>
                <w:rFonts w:ascii="Arial" w:hAnsi="Arial" w:cs="Arial"/>
                <w:sz w:val="21"/>
                <w:szCs w:val="21"/>
                <w:lang w:val="en-US"/>
              </w:rPr>
              <w:t xml:space="preserve">1 </w:t>
            </w:r>
          </w:p>
        </w:tc>
        <w:tc>
          <w:tcPr>
            <w:tcW w:w="2801" w:type="dxa"/>
          </w:tcPr>
          <w:p w14:paraId="67BD1EB5" w14:textId="77777777" w:rsidR="00DD741E" w:rsidRPr="009645E6" w:rsidRDefault="00DD741E" w:rsidP="00FB4F98">
            <w:pPr>
              <w:jc w:val="center"/>
              <w:rPr>
                <w:rFonts w:ascii="Arial" w:hAnsi="Arial" w:cs="Arial"/>
                <w:sz w:val="21"/>
                <w:szCs w:val="21"/>
                <w:lang w:val="en-US"/>
              </w:rPr>
            </w:pPr>
            <w:r w:rsidRPr="009645E6">
              <w:rPr>
                <w:rFonts w:ascii="Arial" w:hAnsi="Arial" w:cs="Arial"/>
                <w:sz w:val="21"/>
                <w:szCs w:val="21"/>
                <w:lang w:val="en-US"/>
              </w:rPr>
              <w:t>1.</w:t>
            </w:r>
            <w:r>
              <w:rPr>
                <w:rFonts w:ascii="Arial" w:hAnsi="Arial" w:cs="Arial"/>
                <w:sz w:val="21"/>
                <w:szCs w:val="21"/>
                <w:lang w:val="en-US"/>
              </w:rPr>
              <w:t>27</w:t>
            </w:r>
            <w:r w:rsidRPr="009645E6">
              <w:rPr>
                <w:rFonts w:ascii="Arial" w:hAnsi="Arial" w:cs="Arial"/>
                <w:sz w:val="21"/>
                <w:szCs w:val="21"/>
                <w:lang w:val="en-US"/>
              </w:rPr>
              <w:t xml:space="preserve"> (0.9</w:t>
            </w:r>
            <w:r>
              <w:rPr>
                <w:rFonts w:ascii="Arial" w:hAnsi="Arial" w:cs="Arial"/>
                <w:sz w:val="21"/>
                <w:szCs w:val="21"/>
                <w:lang w:val="en-US"/>
              </w:rPr>
              <w:t>9</w:t>
            </w:r>
            <w:r w:rsidRPr="009645E6">
              <w:rPr>
                <w:rFonts w:ascii="Arial" w:hAnsi="Arial" w:cs="Arial"/>
                <w:sz w:val="21"/>
                <w:szCs w:val="21"/>
                <w:lang w:val="en-US"/>
              </w:rPr>
              <w:t>, 1.</w:t>
            </w:r>
            <w:r>
              <w:rPr>
                <w:rFonts w:ascii="Arial" w:hAnsi="Arial" w:cs="Arial"/>
                <w:sz w:val="21"/>
                <w:szCs w:val="21"/>
                <w:lang w:val="en-US"/>
              </w:rPr>
              <w:t>63</w:t>
            </w:r>
            <w:r w:rsidRPr="009645E6">
              <w:rPr>
                <w:rFonts w:ascii="Arial" w:hAnsi="Arial" w:cs="Arial"/>
                <w:sz w:val="21"/>
                <w:szCs w:val="21"/>
                <w:lang w:val="en-US"/>
              </w:rPr>
              <w:t>)</w:t>
            </w:r>
          </w:p>
        </w:tc>
        <w:tc>
          <w:tcPr>
            <w:tcW w:w="2414" w:type="dxa"/>
          </w:tcPr>
          <w:p w14:paraId="5D5002CF" w14:textId="77777777" w:rsidR="00DD741E" w:rsidRPr="009645E6" w:rsidRDefault="00DD741E" w:rsidP="00FB4F98">
            <w:pPr>
              <w:jc w:val="center"/>
              <w:rPr>
                <w:rFonts w:ascii="Arial" w:hAnsi="Arial" w:cs="Arial"/>
                <w:sz w:val="21"/>
                <w:szCs w:val="21"/>
                <w:lang w:val="en-US"/>
              </w:rPr>
            </w:pPr>
            <w:r w:rsidRPr="009645E6">
              <w:rPr>
                <w:rFonts w:ascii="Arial" w:hAnsi="Arial" w:cs="Arial"/>
                <w:sz w:val="21"/>
                <w:szCs w:val="21"/>
                <w:lang w:val="en-US"/>
              </w:rPr>
              <w:t>1.</w:t>
            </w:r>
            <w:r>
              <w:rPr>
                <w:rFonts w:ascii="Arial" w:hAnsi="Arial" w:cs="Arial"/>
                <w:sz w:val="21"/>
                <w:szCs w:val="21"/>
                <w:lang w:val="en-US"/>
              </w:rPr>
              <w:t>27</w:t>
            </w:r>
            <w:r w:rsidRPr="009645E6">
              <w:rPr>
                <w:rFonts w:ascii="Arial" w:hAnsi="Arial" w:cs="Arial"/>
                <w:sz w:val="21"/>
                <w:szCs w:val="21"/>
                <w:lang w:val="en-US"/>
              </w:rPr>
              <w:t xml:space="preserve"> (0.</w:t>
            </w:r>
            <w:r>
              <w:rPr>
                <w:rFonts w:ascii="Arial" w:hAnsi="Arial" w:cs="Arial"/>
                <w:sz w:val="21"/>
                <w:szCs w:val="21"/>
                <w:lang w:val="en-US"/>
              </w:rPr>
              <w:t>90</w:t>
            </w:r>
            <w:r w:rsidRPr="009645E6">
              <w:rPr>
                <w:rFonts w:ascii="Arial" w:hAnsi="Arial" w:cs="Arial"/>
                <w:sz w:val="21"/>
                <w:szCs w:val="21"/>
                <w:lang w:val="en-US"/>
              </w:rPr>
              <w:t>, 1.</w:t>
            </w:r>
            <w:r>
              <w:rPr>
                <w:rFonts w:ascii="Arial" w:hAnsi="Arial" w:cs="Arial"/>
                <w:sz w:val="21"/>
                <w:szCs w:val="21"/>
                <w:lang w:val="en-US"/>
              </w:rPr>
              <w:t>80</w:t>
            </w:r>
            <w:r w:rsidRPr="009645E6">
              <w:rPr>
                <w:rFonts w:ascii="Arial" w:hAnsi="Arial" w:cs="Arial"/>
                <w:sz w:val="21"/>
                <w:szCs w:val="21"/>
                <w:lang w:val="en-US"/>
              </w:rPr>
              <w:t>)</w:t>
            </w:r>
          </w:p>
        </w:tc>
        <w:tc>
          <w:tcPr>
            <w:tcW w:w="1555" w:type="dxa"/>
          </w:tcPr>
          <w:p w14:paraId="61889F1B" w14:textId="77777777" w:rsidR="00DD741E" w:rsidRPr="009645E6" w:rsidRDefault="00DD741E" w:rsidP="00FB4F98">
            <w:pPr>
              <w:jc w:val="center"/>
              <w:rPr>
                <w:rFonts w:ascii="Arial" w:hAnsi="Arial" w:cs="Arial"/>
                <w:sz w:val="21"/>
                <w:szCs w:val="21"/>
                <w:lang w:val="en-US"/>
              </w:rPr>
            </w:pPr>
            <w:r>
              <w:rPr>
                <w:rFonts w:ascii="Arial" w:hAnsi="Arial" w:cs="Arial"/>
                <w:sz w:val="21"/>
                <w:szCs w:val="21"/>
                <w:lang w:val="en-US"/>
              </w:rPr>
              <w:t>0.03</w:t>
            </w:r>
          </w:p>
        </w:tc>
      </w:tr>
      <w:tr w:rsidR="00DD741E" w:rsidRPr="001D46B4" w14:paraId="60548825" w14:textId="77777777" w:rsidTr="00FB4F98">
        <w:trPr>
          <w:trHeight w:hRule="exact" w:val="284"/>
        </w:trPr>
        <w:tc>
          <w:tcPr>
            <w:tcW w:w="5245" w:type="dxa"/>
          </w:tcPr>
          <w:p w14:paraId="07CE98DF" w14:textId="77777777" w:rsidR="00DD741E" w:rsidRPr="001D46B4" w:rsidRDefault="00DD741E" w:rsidP="00FB4F98">
            <w:pPr>
              <w:rPr>
                <w:rFonts w:ascii="Arial" w:hAnsi="Arial" w:cs="Arial"/>
                <w:b/>
                <w:sz w:val="21"/>
                <w:szCs w:val="21"/>
                <w:vertAlign w:val="superscript"/>
                <w:lang w:val="en-US"/>
              </w:rPr>
            </w:pPr>
            <w:r>
              <w:rPr>
                <w:rFonts w:ascii="Arial" w:hAnsi="Arial" w:cs="Arial"/>
                <w:b/>
                <w:sz w:val="21"/>
                <w:szCs w:val="21"/>
                <w:lang w:val="en-US"/>
              </w:rPr>
              <w:t>Socioeconomic disadvantage</w:t>
            </w:r>
          </w:p>
        </w:tc>
        <w:tc>
          <w:tcPr>
            <w:tcW w:w="1559" w:type="dxa"/>
          </w:tcPr>
          <w:p w14:paraId="1BCB6939" w14:textId="77777777" w:rsidR="00DD741E" w:rsidRPr="00770928" w:rsidRDefault="00DD741E" w:rsidP="00FB4F98">
            <w:pPr>
              <w:jc w:val="center"/>
              <w:rPr>
                <w:rFonts w:ascii="Arial" w:hAnsi="Arial" w:cs="Arial"/>
                <w:sz w:val="21"/>
                <w:szCs w:val="21"/>
                <w:lang w:val="en-US"/>
              </w:rPr>
            </w:pPr>
          </w:p>
        </w:tc>
        <w:tc>
          <w:tcPr>
            <w:tcW w:w="2801" w:type="dxa"/>
          </w:tcPr>
          <w:p w14:paraId="65906AC0" w14:textId="77777777" w:rsidR="00DD741E" w:rsidRPr="009645E6" w:rsidRDefault="00DD741E" w:rsidP="00FB4F98">
            <w:pPr>
              <w:jc w:val="center"/>
              <w:rPr>
                <w:rFonts w:ascii="Arial" w:hAnsi="Arial" w:cs="Arial"/>
                <w:sz w:val="21"/>
                <w:szCs w:val="21"/>
                <w:lang w:val="en-US"/>
              </w:rPr>
            </w:pPr>
          </w:p>
        </w:tc>
        <w:tc>
          <w:tcPr>
            <w:tcW w:w="2414" w:type="dxa"/>
          </w:tcPr>
          <w:p w14:paraId="705C26AE" w14:textId="77777777" w:rsidR="00DD741E" w:rsidRPr="009645E6" w:rsidRDefault="00DD741E" w:rsidP="00FB4F98">
            <w:pPr>
              <w:jc w:val="center"/>
              <w:rPr>
                <w:rFonts w:ascii="Arial" w:hAnsi="Arial" w:cs="Arial"/>
                <w:sz w:val="21"/>
                <w:szCs w:val="21"/>
                <w:lang w:val="en-US"/>
              </w:rPr>
            </w:pPr>
          </w:p>
        </w:tc>
        <w:tc>
          <w:tcPr>
            <w:tcW w:w="1555" w:type="dxa"/>
          </w:tcPr>
          <w:p w14:paraId="1A44E6BC" w14:textId="77777777" w:rsidR="00DD741E" w:rsidRPr="009645E6" w:rsidRDefault="00DD741E" w:rsidP="00FB4F98">
            <w:pPr>
              <w:jc w:val="center"/>
              <w:rPr>
                <w:rFonts w:ascii="Arial" w:hAnsi="Arial" w:cs="Arial"/>
                <w:sz w:val="21"/>
                <w:szCs w:val="21"/>
                <w:lang w:val="en-US"/>
              </w:rPr>
            </w:pPr>
          </w:p>
        </w:tc>
      </w:tr>
      <w:tr w:rsidR="00DD741E" w:rsidRPr="001D46B4" w14:paraId="39ABB6D2" w14:textId="77777777" w:rsidTr="00FB4F98">
        <w:trPr>
          <w:trHeight w:hRule="exact" w:val="284"/>
        </w:trPr>
        <w:tc>
          <w:tcPr>
            <w:tcW w:w="5245" w:type="dxa"/>
          </w:tcPr>
          <w:p w14:paraId="25F7E915" w14:textId="77777777" w:rsidR="00DD741E" w:rsidRPr="001D46B4" w:rsidRDefault="00DD741E" w:rsidP="00FB4F98">
            <w:pPr>
              <w:rPr>
                <w:rFonts w:ascii="Arial" w:hAnsi="Arial" w:cs="Arial"/>
                <w:sz w:val="21"/>
                <w:szCs w:val="21"/>
                <w:lang w:val="en-US"/>
              </w:rPr>
            </w:pPr>
            <w:r>
              <w:rPr>
                <w:rFonts w:ascii="Arial" w:hAnsi="Arial" w:cs="Arial"/>
                <w:sz w:val="21"/>
                <w:szCs w:val="21"/>
                <w:lang w:val="en-US"/>
              </w:rPr>
              <w:t xml:space="preserve">  Unemployed</w:t>
            </w:r>
          </w:p>
        </w:tc>
        <w:tc>
          <w:tcPr>
            <w:tcW w:w="1559" w:type="dxa"/>
          </w:tcPr>
          <w:p w14:paraId="32B584D9" w14:textId="77777777" w:rsidR="00DD741E" w:rsidRPr="00770928" w:rsidRDefault="00DD741E" w:rsidP="00FB4F98">
            <w:pPr>
              <w:jc w:val="center"/>
              <w:rPr>
                <w:rFonts w:ascii="Arial" w:hAnsi="Arial" w:cs="Arial"/>
                <w:sz w:val="21"/>
                <w:szCs w:val="21"/>
                <w:highlight w:val="red"/>
                <w:lang w:val="en-US"/>
              </w:rPr>
            </w:pPr>
            <w:r w:rsidRPr="001E3C34">
              <w:rPr>
                <w:rFonts w:ascii="Arial" w:hAnsi="Arial" w:cs="Arial"/>
                <w:sz w:val="21"/>
                <w:szCs w:val="21"/>
                <w:lang w:val="en-US"/>
              </w:rPr>
              <w:t xml:space="preserve">1 </w:t>
            </w:r>
          </w:p>
        </w:tc>
        <w:tc>
          <w:tcPr>
            <w:tcW w:w="2801" w:type="dxa"/>
          </w:tcPr>
          <w:p w14:paraId="78B657D7" w14:textId="77777777" w:rsidR="00DD741E" w:rsidRPr="009645E6" w:rsidRDefault="00DD741E" w:rsidP="00FB4F98">
            <w:pPr>
              <w:jc w:val="center"/>
              <w:rPr>
                <w:rFonts w:ascii="Arial" w:hAnsi="Arial" w:cs="Arial"/>
                <w:sz w:val="21"/>
                <w:szCs w:val="21"/>
                <w:lang w:val="en-US"/>
              </w:rPr>
            </w:pPr>
            <w:r w:rsidRPr="009645E6">
              <w:rPr>
                <w:rFonts w:ascii="Arial" w:hAnsi="Arial" w:cs="Arial"/>
                <w:sz w:val="21"/>
                <w:szCs w:val="21"/>
                <w:lang w:val="en-US"/>
              </w:rPr>
              <w:t>1.</w:t>
            </w:r>
            <w:r>
              <w:rPr>
                <w:rFonts w:ascii="Arial" w:hAnsi="Arial" w:cs="Arial"/>
                <w:sz w:val="21"/>
                <w:szCs w:val="21"/>
                <w:lang w:val="en-US"/>
              </w:rPr>
              <w:t>24</w:t>
            </w:r>
            <w:r w:rsidRPr="009645E6">
              <w:rPr>
                <w:rFonts w:ascii="Arial" w:hAnsi="Arial" w:cs="Arial"/>
                <w:sz w:val="21"/>
                <w:szCs w:val="21"/>
                <w:lang w:val="en-US"/>
              </w:rPr>
              <w:t xml:space="preserve"> (0.7</w:t>
            </w:r>
            <w:r>
              <w:rPr>
                <w:rFonts w:ascii="Arial" w:hAnsi="Arial" w:cs="Arial"/>
                <w:sz w:val="21"/>
                <w:szCs w:val="21"/>
                <w:lang w:val="en-US"/>
              </w:rPr>
              <w:t>4</w:t>
            </w:r>
            <w:r w:rsidRPr="009645E6">
              <w:rPr>
                <w:rFonts w:ascii="Arial" w:hAnsi="Arial" w:cs="Arial"/>
                <w:sz w:val="21"/>
                <w:szCs w:val="21"/>
                <w:lang w:val="en-US"/>
              </w:rPr>
              <w:t xml:space="preserve">, </w:t>
            </w:r>
            <w:r>
              <w:rPr>
                <w:rFonts w:ascii="Arial" w:hAnsi="Arial" w:cs="Arial"/>
                <w:sz w:val="21"/>
                <w:szCs w:val="21"/>
                <w:lang w:val="en-US"/>
              </w:rPr>
              <w:t>2.08</w:t>
            </w:r>
            <w:r w:rsidRPr="009645E6">
              <w:rPr>
                <w:rFonts w:ascii="Arial" w:hAnsi="Arial" w:cs="Arial"/>
                <w:sz w:val="21"/>
                <w:szCs w:val="21"/>
                <w:lang w:val="en-US"/>
              </w:rPr>
              <w:t>)</w:t>
            </w:r>
          </w:p>
        </w:tc>
        <w:tc>
          <w:tcPr>
            <w:tcW w:w="2414" w:type="dxa"/>
          </w:tcPr>
          <w:p w14:paraId="0654B93D" w14:textId="77777777" w:rsidR="00DD741E" w:rsidRPr="009645E6" w:rsidRDefault="00DD741E" w:rsidP="00FB4F98">
            <w:pPr>
              <w:jc w:val="center"/>
              <w:rPr>
                <w:rFonts w:ascii="Arial" w:hAnsi="Arial" w:cs="Arial"/>
                <w:sz w:val="21"/>
                <w:szCs w:val="21"/>
                <w:lang w:val="en-US"/>
              </w:rPr>
            </w:pPr>
            <w:r w:rsidRPr="009645E6">
              <w:rPr>
                <w:rFonts w:ascii="Arial" w:hAnsi="Arial" w:cs="Arial"/>
                <w:sz w:val="21"/>
                <w:szCs w:val="21"/>
                <w:lang w:val="en-US"/>
              </w:rPr>
              <w:t>1.</w:t>
            </w:r>
            <w:r>
              <w:rPr>
                <w:rFonts w:ascii="Arial" w:hAnsi="Arial" w:cs="Arial"/>
                <w:sz w:val="21"/>
                <w:szCs w:val="21"/>
                <w:lang w:val="en-US"/>
              </w:rPr>
              <w:t>27</w:t>
            </w:r>
            <w:r w:rsidRPr="009645E6">
              <w:rPr>
                <w:rFonts w:ascii="Arial" w:hAnsi="Arial" w:cs="Arial"/>
                <w:sz w:val="21"/>
                <w:szCs w:val="21"/>
                <w:lang w:val="en-US"/>
              </w:rPr>
              <w:t xml:space="preserve"> (0.</w:t>
            </w:r>
            <w:r>
              <w:rPr>
                <w:rFonts w:ascii="Arial" w:hAnsi="Arial" w:cs="Arial"/>
                <w:sz w:val="21"/>
                <w:szCs w:val="21"/>
                <w:lang w:val="en-US"/>
              </w:rPr>
              <w:t>68</w:t>
            </w:r>
            <w:r w:rsidRPr="009645E6">
              <w:rPr>
                <w:rFonts w:ascii="Arial" w:hAnsi="Arial" w:cs="Arial"/>
                <w:sz w:val="21"/>
                <w:szCs w:val="21"/>
                <w:lang w:val="en-US"/>
              </w:rPr>
              <w:t xml:space="preserve">, </w:t>
            </w:r>
            <w:r>
              <w:rPr>
                <w:rFonts w:ascii="Arial" w:hAnsi="Arial" w:cs="Arial"/>
                <w:sz w:val="21"/>
                <w:szCs w:val="21"/>
                <w:lang w:val="en-US"/>
              </w:rPr>
              <w:t>2.37</w:t>
            </w:r>
            <w:r w:rsidRPr="009645E6">
              <w:rPr>
                <w:rFonts w:ascii="Arial" w:hAnsi="Arial" w:cs="Arial"/>
                <w:sz w:val="21"/>
                <w:szCs w:val="21"/>
                <w:lang w:val="en-US"/>
              </w:rPr>
              <w:t>)</w:t>
            </w:r>
          </w:p>
        </w:tc>
        <w:tc>
          <w:tcPr>
            <w:tcW w:w="1555" w:type="dxa"/>
          </w:tcPr>
          <w:p w14:paraId="7B52FC73" w14:textId="77777777" w:rsidR="00DD741E" w:rsidRPr="009645E6" w:rsidRDefault="00DD741E" w:rsidP="00FB4F98">
            <w:pPr>
              <w:jc w:val="center"/>
              <w:rPr>
                <w:rFonts w:ascii="Arial" w:hAnsi="Arial" w:cs="Arial"/>
                <w:sz w:val="21"/>
                <w:szCs w:val="21"/>
                <w:lang w:val="en-US"/>
              </w:rPr>
            </w:pPr>
            <w:r>
              <w:rPr>
                <w:rFonts w:ascii="Arial" w:hAnsi="Arial" w:cs="Arial"/>
                <w:sz w:val="21"/>
                <w:szCs w:val="21"/>
                <w:lang w:val="en-US"/>
              </w:rPr>
              <w:t>0.36</w:t>
            </w:r>
          </w:p>
        </w:tc>
      </w:tr>
      <w:tr w:rsidR="00DD741E" w:rsidRPr="001D46B4" w14:paraId="40B92246" w14:textId="77777777" w:rsidTr="00FB4F98">
        <w:trPr>
          <w:trHeight w:hRule="exact" w:val="284"/>
        </w:trPr>
        <w:tc>
          <w:tcPr>
            <w:tcW w:w="5245" w:type="dxa"/>
          </w:tcPr>
          <w:p w14:paraId="0B9177A0" w14:textId="77777777" w:rsidR="00DD741E" w:rsidRPr="001D46B4" w:rsidRDefault="00DD741E" w:rsidP="00FB4F98">
            <w:pPr>
              <w:rPr>
                <w:rFonts w:ascii="Arial" w:hAnsi="Arial" w:cs="Arial"/>
                <w:sz w:val="21"/>
                <w:szCs w:val="21"/>
                <w:lang w:val="en-US"/>
              </w:rPr>
            </w:pPr>
            <w:r>
              <w:rPr>
                <w:rFonts w:ascii="Arial" w:hAnsi="Arial" w:cs="Arial"/>
                <w:sz w:val="21"/>
                <w:szCs w:val="21"/>
                <w:lang w:val="en-US"/>
              </w:rPr>
              <w:t xml:space="preserve">  Homeless </w:t>
            </w:r>
            <w:proofErr w:type="gramStart"/>
            <w:r>
              <w:rPr>
                <w:rFonts w:ascii="Arial" w:hAnsi="Arial" w:cs="Arial"/>
                <w:sz w:val="21"/>
                <w:szCs w:val="21"/>
                <w:lang w:val="en-US"/>
              </w:rPr>
              <w:t>since</w:t>
            </w:r>
            <w:proofErr w:type="gramEnd"/>
            <w:r>
              <w:rPr>
                <w:rFonts w:ascii="Arial" w:hAnsi="Arial" w:cs="Arial"/>
                <w:sz w:val="21"/>
                <w:szCs w:val="21"/>
                <w:lang w:val="en-US"/>
              </w:rPr>
              <w:t xml:space="preserve"> 16 years of age</w:t>
            </w:r>
          </w:p>
        </w:tc>
        <w:tc>
          <w:tcPr>
            <w:tcW w:w="1559" w:type="dxa"/>
          </w:tcPr>
          <w:p w14:paraId="66A6E6BA" w14:textId="77777777" w:rsidR="00DD741E" w:rsidRPr="00770928" w:rsidRDefault="00DD741E" w:rsidP="00FB4F98">
            <w:pPr>
              <w:jc w:val="center"/>
              <w:rPr>
                <w:rFonts w:ascii="Arial" w:hAnsi="Arial" w:cs="Arial"/>
                <w:sz w:val="21"/>
                <w:szCs w:val="21"/>
                <w:lang w:val="en-US"/>
              </w:rPr>
            </w:pPr>
            <w:r w:rsidRPr="001E3C34">
              <w:rPr>
                <w:rFonts w:ascii="Arial" w:hAnsi="Arial" w:cs="Arial"/>
                <w:sz w:val="21"/>
                <w:szCs w:val="21"/>
                <w:lang w:val="en-US"/>
              </w:rPr>
              <w:t xml:space="preserve">1 </w:t>
            </w:r>
          </w:p>
        </w:tc>
        <w:tc>
          <w:tcPr>
            <w:tcW w:w="2801" w:type="dxa"/>
          </w:tcPr>
          <w:p w14:paraId="2BEE50DA" w14:textId="77777777" w:rsidR="00DD741E" w:rsidRPr="00770928" w:rsidRDefault="00DD741E" w:rsidP="00FB4F98">
            <w:pPr>
              <w:jc w:val="center"/>
              <w:rPr>
                <w:rFonts w:ascii="Arial" w:hAnsi="Arial" w:cs="Arial"/>
                <w:sz w:val="21"/>
                <w:szCs w:val="21"/>
                <w:lang w:val="en-US"/>
              </w:rPr>
            </w:pPr>
            <w:r w:rsidRPr="00770928">
              <w:rPr>
                <w:rFonts w:ascii="Arial" w:hAnsi="Arial" w:cs="Arial"/>
                <w:sz w:val="21"/>
                <w:szCs w:val="21"/>
                <w:lang w:val="en-US"/>
              </w:rPr>
              <w:t>1.</w:t>
            </w:r>
            <w:r>
              <w:rPr>
                <w:rFonts w:ascii="Arial" w:hAnsi="Arial" w:cs="Arial"/>
                <w:sz w:val="21"/>
                <w:szCs w:val="21"/>
                <w:lang w:val="en-US"/>
              </w:rPr>
              <w:t>54</w:t>
            </w:r>
            <w:r w:rsidRPr="00770928">
              <w:rPr>
                <w:rFonts w:ascii="Arial" w:hAnsi="Arial" w:cs="Arial"/>
                <w:sz w:val="21"/>
                <w:szCs w:val="21"/>
                <w:lang w:val="en-US"/>
              </w:rPr>
              <w:t xml:space="preserve"> (</w:t>
            </w:r>
            <w:r>
              <w:rPr>
                <w:rFonts w:ascii="Arial" w:hAnsi="Arial" w:cs="Arial"/>
                <w:sz w:val="21"/>
                <w:szCs w:val="21"/>
                <w:lang w:val="en-US"/>
              </w:rPr>
              <w:t>1.04</w:t>
            </w:r>
            <w:r w:rsidRPr="00770928">
              <w:rPr>
                <w:rFonts w:ascii="Arial" w:hAnsi="Arial" w:cs="Arial"/>
                <w:sz w:val="21"/>
                <w:szCs w:val="21"/>
                <w:lang w:val="en-US"/>
              </w:rPr>
              <w:t xml:space="preserve">, </w:t>
            </w:r>
            <w:r>
              <w:rPr>
                <w:rFonts w:ascii="Arial" w:hAnsi="Arial" w:cs="Arial"/>
                <w:sz w:val="21"/>
                <w:szCs w:val="21"/>
                <w:lang w:val="en-US"/>
              </w:rPr>
              <w:t>2.29</w:t>
            </w:r>
            <w:r w:rsidRPr="00770928">
              <w:rPr>
                <w:rFonts w:ascii="Arial" w:hAnsi="Arial" w:cs="Arial"/>
                <w:sz w:val="21"/>
                <w:szCs w:val="21"/>
                <w:lang w:val="en-US"/>
              </w:rPr>
              <w:t>)</w:t>
            </w:r>
          </w:p>
        </w:tc>
        <w:tc>
          <w:tcPr>
            <w:tcW w:w="2414" w:type="dxa"/>
          </w:tcPr>
          <w:p w14:paraId="70A08885" w14:textId="77777777" w:rsidR="00DD741E" w:rsidRPr="00770928" w:rsidRDefault="00DD741E" w:rsidP="00FB4F98">
            <w:pPr>
              <w:jc w:val="center"/>
              <w:rPr>
                <w:rFonts w:ascii="Arial" w:hAnsi="Arial" w:cs="Arial"/>
                <w:sz w:val="21"/>
                <w:szCs w:val="21"/>
                <w:lang w:val="en-US"/>
              </w:rPr>
            </w:pPr>
            <w:r>
              <w:rPr>
                <w:rFonts w:ascii="Arial" w:hAnsi="Arial" w:cs="Arial"/>
                <w:sz w:val="21"/>
                <w:szCs w:val="21"/>
                <w:lang w:val="en-US"/>
              </w:rPr>
              <w:t>2.11</w:t>
            </w:r>
            <w:r w:rsidRPr="00770928">
              <w:rPr>
                <w:rFonts w:ascii="Arial" w:hAnsi="Arial" w:cs="Arial"/>
                <w:sz w:val="21"/>
                <w:szCs w:val="21"/>
                <w:lang w:val="en-US"/>
              </w:rPr>
              <w:t xml:space="preserve"> (</w:t>
            </w:r>
            <w:r>
              <w:rPr>
                <w:rFonts w:ascii="Arial" w:hAnsi="Arial" w:cs="Arial"/>
                <w:sz w:val="21"/>
                <w:szCs w:val="21"/>
                <w:lang w:val="en-US"/>
              </w:rPr>
              <w:t>1.32</w:t>
            </w:r>
            <w:r w:rsidRPr="00770928">
              <w:rPr>
                <w:rFonts w:ascii="Arial" w:hAnsi="Arial" w:cs="Arial"/>
                <w:sz w:val="21"/>
                <w:szCs w:val="21"/>
                <w:lang w:val="en-US"/>
              </w:rPr>
              <w:t xml:space="preserve">, </w:t>
            </w:r>
            <w:r>
              <w:rPr>
                <w:rFonts w:ascii="Arial" w:hAnsi="Arial" w:cs="Arial"/>
                <w:sz w:val="21"/>
                <w:szCs w:val="21"/>
                <w:lang w:val="en-US"/>
              </w:rPr>
              <w:t>3.37</w:t>
            </w:r>
            <w:r w:rsidRPr="00770928">
              <w:rPr>
                <w:rFonts w:ascii="Arial" w:hAnsi="Arial" w:cs="Arial"/>
                <w:sz w:val="21"/>
                <w:szCs w:val="21"/>
                <w:lang w:val="en-US"/>
              </w:rPr>
              <w:t>)</w:t>
            </w:r>
          </w:p>
        </w:tc>
        <w:tc>
          <w:tcPr>
            <w:tcW w:w="1555" w:type="dxa"/>
          </w:tcPr>
          <w:p w14:paraId="59A2418A" w14:textId="77777777" w:rsidR="00DD741E" w:rsidRPr="00770928" w:rsidRDefault="00DD741E" w:rsidP="00FB4F98">
            <w:pPr>
              <w:jc w:val="center"/>
              <w:rPr>
                <w:rFonts w:ascii="Arial" w:hAnsi="Arial" w:cs="Arial"/>
                <w:sz w:val="21"/>
                <w:szCs w:val="21"/>
                <w:lang w:val="en-US"/>
              </w:rPr>
            </w:pPr>
            <w:r>
              <w:rPr>
                <w:rFonts w:ascii="Arial" w:hAnsi="Arial" w:cs="Arial"/>
                <w:sz w:val="21"/>
                <w:szCs w:val="21"/>
                <w:lang w:val="en-US"/>
              </w:rPr>
              <w:t>0.002</w:t>
            </w:r>
          </w:p>
        </w:tc>
      </w:tr>
      <w:tr w:rsidR="00DD741E" w:rsidRPr="001D46B4" w14:paraId="0E318352" w14:textId="77777777" w:rsidTr="00FB4F98">
        <w:trPr>
          <w:trHeight w:hRule="exact" w:val="284"/>
        </w:trPr>
        <w:tc>
          <w:tcPr>
            <w:tcW w:w="5245" w:type="dxa"/>
          </w:tcPr>
          <w:p w14:paraId="65F9CE0E" w14:textId="77777777" w:rsidR="00DD741E" w:rsidRPr="00C50B3E" w:rsidRDefault="00DD741E" w:rsidP="00FB4F98">
            <w:pPr>
              <w:rPr>
                <w:rFonts w:ascii="Arial" w:hAnsi="Arial" w:cs="Arial"/>
                <w:b/>
                <w:sz w:val="21"/>
                <w:szCs w:val="21"/>
                <w:lang w:val="en-US"/>
              </w:rPr>
            </w:pPr>
            <w:r w:rsidRPr="00C50B3E">
              <w:rPr>
                <w:rFonts w:ascii="Arial" w:hAnsi="Arial" w:cs="Arial"/>
                <w:b/>
                <w:sz w:val="21"/>
                <w:szCs w:val="21"/>
                <w:lang w:val="en-US"/>
              </w:rPr>
              <w:t>Police/ criminal justice experiences</w:t>
            </w:r>
          </w:p>
        </w:tc>
        <w:tc>
          <w:tcPr>
            <w:tcW w:w="1559" w:type="dxa"/>
          </w:tcPr>
          <w:p w14:paraId="3B62DA02" w14:textId="77777777" w:rsidR="00DD741E" w:rsidRPr="001E3C34" w:rsidRDefault="00DD741E" w:rsidP="00FB4F98">
            <w:pPr>
              <w:jc w:val="center"/>
              <w:rPr>
                <w:rFonts w:ascii="Arial" w:hAnsi="Arial" w:cs="Arial"/>
                <w:sz w:val="21"/>
                <w:szCs w:val="21"/>
                <w:lang w:val="en-US"/>
              </w:rPr>
            </w:pPr>
          </w:p>
        </w:tc>
        <w:tc>
          <w:tcPr>
            <w:tcW w:w="2801" w:type="dxa"/>
          </w:tcPr>
          <w:p w14:paraId="5A526048" w14:textId="77777777" w:rsidR="00DD741E" w:rsidRPr="00770928" w:rsidRDefault="00DD741E" w:rsidP="00FB4F98">
            <w:pPr>
              <w:jc w:val="center"/>
              <w:rPr>
                <w:rFonts w:ascii="Arial" w:hAnsi="Arial" w:cs="Arial"/>
                <w:sz w:val="21"/>
                <w:szCs w:val="21"/>
                <w:lang w:val="en-US"/>
              </w:rPr>
            </w:pPr>
          </w:p>
        </w:tc>
        <w:tc>
          <w:tcPr>
            <w:tcW w:w="2414" w:type="dxa"/>
          </w:tcPr>
          <w:p w14:paraId="25449707" w14:textId="77777777" w:rsidR="00DD741E" w:rsidRDefault="00DD741E" w:rsidP="00FB4F98">
            <w:pPr>
              <w:jc w:val="center"/>
              <w:rPr>
                <w:rFonts w:ascii="Arial" w:hAnsi="Arial" w:cs="Arial"/>
                <w:sz w:val="21"/>
                <w:szCs w:val="21"/>
                <w:lang w:val="en-US"/>
              </w:rPr>
            </w:pPr>
          </w:p>
        </w:tc>
        <w:tc>
          <w:tcPr>
            <w:tcW w:w="1555" w:type="dxa"/>
          </w:tcPr>
          <w:p w14:paraId="5362BE75" w14:textId="77777777" w:rsidR="00DD741E" w:rsidRDefault="00DD741E" w:rsidP="00FB4F98">
            <w:pPr>
              <w:jc w:val="center"/>
              <w:rPr>
                <w:rFonts w:ascii="Arial" w:hAnsi="Arial" w:cs="Arial"/>
                <w:sz w:val="21"/>
                <w:szCs w:val="21"/>
                <w:lang w:val="en-US"/>
              </w:rPr>
            </w:pPr>
          </w:p>
        </w:tc>
      </w:tr>
      <w:tr w:rsidR="00DD741E" w:rsidRPr="001D46B4" w14:paraId="1E56D051" w14:textId="77777777" w:rsidTr="00FB4F98">
        <w:trPr>
          <w:trHeight w:hRule="exact" w:val="284"/>
        </w:trPr>
        <w:tc>
          <w:tcPr>
            <w:tcW w:w="5245" w:type="dxa"/>
          </w:tcPr>
          <w:p w14:paraId="1C879B16" w14:textId="77777777" w:rsidR="00DD741E" w:rsidRDefault="00DD741E" w:rsidP="00FB4F98">
            <w:pPr>
              <w:rPr>
                <w:rFonts w:ascii="Arial" w:hAnsi="Arial" w:cs="Arial"/>
                <w:sz w:val="21"/>
                <w:szCs w:val="21"/>
                <w:lang w:val="en-US"/>
              </w:rPr>
            </w:pPr>
            <w:r>
              <w:rPr>
                <w:rFonts w:ascii="Arial" w:hAnsi="Arial" w:cs="Arial"/>
                <w:sz w:val="21"/>
                <w:szCs w:val="21"/>
                <w:lang w:val="en-US"/>
              </w:rPr>
              <w:t xml:space="preserve">  Arrested by police </w:t>
            </w:r>
            <w:proofErr w:type="gramStart"/>
            <w:r>
              <w:rPr>
                <w:rFonts w:ascii="Arial" w:hAnsi="Arial" w:cs="Arial"/>
                <w:sz w:val="21"/>
                <w:szCs w:val="21"/>
                <w:lang w:val="en-US"/>
              </w:rPr>
              <w:t>since</w:t>
            </w:r>
            <w:proofErr w:type="gramEnd"/>
            <w:r>
              <w:rPr>
                <w:rFonts w:ascii="Arial" w:hAnsi="Arial" w:cs="Arial"/>
                <w:sz w:val="21"/>
                <w:szCs w:val="21"/>
                <w:lang w:val="en-US"/>
              </w:rPr>
              <w:t xml:space="preserve"> 16 years </w:t>
            </w:r>
          </w:p>
        </w:tc>
        <w:tc>
          <w:tcPr>
            <w:tcW w:w="1559" w:type="dxa"/>
          </w:tcPr>
          <w:p w14:paraId="19555A9C" w14:textId="77777777" w:rsidR="00DD741E" w:rsidRPr="00770928" w:rsidRDefault="00DD741E" w:rsidP="00FB4F98">
            <w:pPr>
              <w:jc w:val="center"/>
              <w:rPr>
                <w:rFonts w:ascii="Arial" w:hAnsi="Arial" w:cs="Arial"/>
                <w:sz w:val="21"/>
                <w:szCs w:val="21"/>
                <w:lang w:val="en-US"/>
              </w:rPr>
            </w:pPr>
            <w:r w:rsidRPr="001E3C34">
              <w:rPr>
                <w:rFonts w:ascii="Arial" w:hAnsi="Arial" w:cs="Arial"/>
                <w:sz w:val="21"/>
                <w:szCs w:val="21"/>
                <w:lang w:val="en-US"/>
              </w:rPr>
              <w:t xml:space="preserve">1 </w:t>
            </w:r>
          </w:p>
        </w:tc>
        <w:tc>
          <w:tcPr>
            <w:tcW w:w="2801" w:type="dxa"/>
          </w:tcPr>
          <w:p w14:paraId="7A81CE50" w14:textId="77777777" w:rsidR="00DD741E" w:rsidRPr="00770928" w:rsidRDefault="00DD741E" w:rsidP="00FB4F98">
            <w:pPr>
              <w:jc w:val="center"/>
              <w:rPr>
                <w:rFonts w:ascii="Arial" w:hAnsi="Arial" w:cs="Arial"/>
                <w:sz w:val="21"/>
                <w:szCs w:val="21"/>
                <w:lang w:val="en-US"/>
              </w:rPr>
            </w:pPr>
            <w:r w:rsidRPr="00770928">
              <w:rPr>
                <w:rFonts w:ascii="Arial" w:hAnsi="Arial" w:cs="Arial"/>
                <w:sz w:val="21"/>
                <w:szCs w:val="21"/>
                <w:lang w:val="en-US"/>
              </w:rPr>
              <w:t>1.</w:t>
            </w:r>
            <w:r>
              <w:rPr>
                <w:rFonts w:ascii="Arial" w:hAnsi="Arial" w:cs="Arial"/>
                <w:sz w:val="21"/>
                <w:szCs w:val="21"/>
                <w:lang w:val="en-US"/>
              </w:rPr>
              <w:t>55</w:t>
            </w:r>
            <w:r w:rsidRPr="00770928">
              <w:rPr>
                <w:rFonts w:ascii="Arial" w:hAnsi="Arial" w:cs="Arial"/>
                <w:sz w:val="21"/>
                <w:szCs w:val="21"/>
                <w:lang w:val="en-US"/>
              </w:rPr>
              <w:t xml:space="preserve"> (</w:t>
            </w:r>
            <w:r>
              <w:rPr>
                <w:rFonts w:ascii="Arial" w:hAnsi="Arial" w:cs="Arial"/>
                <w:sz w:val="21"/>
                <w:szCs w:val="21"/>
                <w:lang w:val="en-US"/>
              </w:rPr>
              <w:t>1.23</w:t>
            </w:r>
            <w:r w:rsidRPr="00770928">
              <w:rPr>
                <w:rFonts w:ascii="Arial" w:hAnsi="Arial" w:cs="Arial"/>
                <w:sz w:val="21"/>
                <w:szCs w:val="21"/>
                <w:lang w:val="en-US"/>
              </w:rPr>
              <w:t xml:space="preserve">, </w:t>
            </w:r>
            <w:r>
              <w:rPr>
                <w:rFonts w:ascii="Arial" w:hAnsi="Arial" w:cs="Arial"/>
                <w:sz w:val="21"/>
                <w:szCs w:val="21"/>
                <w:lang w:val="en-US"/>
              </w:rPr>
              <w:t>1.94</w:t>
            </w:r>
            <w:r w:rsidRPr="00770928">
              <w:rPr>
                <w:rFonts w:ascii="Arial" w:hAnsi="Arial" w:cs="Arial"/>
                <w:sz w:val="21"/>
                <w:szCs w:val="21"/>
                <w:lang w:val="en-US"/>
              </w:rPr>
              <w:t>)</w:t>
            </w:r>
          </w:p>
        </w:tc>
        <w:tc>
          <w:tcPr>
            <w:tcW w:w="2414" w:type="dxa"/>
          </w:tcPr>
          <w:p w14:paraId="60D4C361" w14:textId="77777777" w:rsidR="00DD741E" w:rsidRPr="00770928" w:rsidRDefault="00DD741E" w:rsidP="00FB4F98">
            <w:pPr>
              <w:jc w:val="center"/>
              <w:rPr>
                <w:rFonts w:ascii="Arial" w:hAnsi="Arial" w:cs="Arial"/>
                <w:sz w:val="21"/>
                <w:szCs w:val="21"/>
                <w:lang w:val="en-US"/>
              </w:rPr>
            </w:pPr>
            <w:r>
              <w:rPr>
                <w:rFonts w:ascii="Arial" w:hAnsi="Arial" w:cs="Arial"/>
                <w:sz w:val="21"/>
                <w:szCs w:val="21"/>
                <w:lang w:val="en-US"/>
              </w:rPr>
              <w:t>1.63</w:t>
            </w:r>
            <w:r w:rsidRPr="00770928">
              <w:rPr>
                <w:rFonts w:ascii="Arial" w:hAnsi="Arial" w:cs="Arial"/>
                <w:sz w:val="21"/>
                <w:szCs w:val="21"/>
                <w:lang w:val="en-US"/>
              </w:rPr>
              <w:t xml:space="preserve"> (</w:t>
            </w:r>
            <w:r>
              <w:rPr>
                <w:rFonts w:ascii="Arial" w:hAnsi="Arial" w:cs="Arial"/>
                <w:sz w:val="21"/>
                <w:szCs w:val="21"/>
                <w:lang w:val="en-US"/>
              </w:rPr>
              <w:t>1.23</w:t>
            </w:r>
            <w:r w:rsidRPr="00770928">
              <w:rPr>
                <w:rFonts w:ascii="Arial" w:hAnsi="Arial" w:cs="Arial"/>
                <w:sz w:val="21"/>
                <w:szCs w:val="21"/>
                <w:lang w:val="en-US"/>
              </w:rPr>
              <w:t xml:space="preserve">, </w:t>
            </w:r>
            <w:r>
              <w:rPr>
                <w:rFonts w:ascii="Arial" w:hAnsi="Arial" w:cs="Arial"/>
                <w:sz w:val="21"/>
                <w:szCs w:val="21"/>
                <w:lang w:val="en-US"/>
              </w:rPr>
              <w:t>2.17</w:t>
            </w:r>
            <w:r w:rsidRPr="00770928">
              <w:rPr>
                <w:rFonts w:ascii="Arial" w:hAnsi="Arial" w:cs="Arial"/>
                <w:sz w:val="21"/>
                <w:szCs w:val="21"/>
                <w:lang w:val="en-US"/>
              </w:rPr>
              <w:t>)</w:t>
            </w:r>
          </w:p>
        </w:tc>
        <w:tc>
          <w:tcPr>
            <w:tcW w:w="1555" w:type="dxa"/>
          </w:tcPr>
          <w:p w14:paraId="5D5844DE" w14:textId="77777777" w:rsidR="00DD741E" w:rsidRPr="00770928" w:rsidRDefault="00DD741E" w:rsidP="00FB4F98">
            <w:pPr>
              <w:jc w:val="center"/>
              <w:rPr>
                <w:rFonts w:ascii="Arial" w:hAnsi="Arial" w:cs="Arial"/>
                <w:sz w:val="21"/>
                <w:szCs w:val="21"/>
                <w:lang w:val="en-US"/>
              </w:rPr>
            </w:pPr>
            <w:r>
              <w:rPr>
                <w:rFonts w:ascii="Arial" w:hAnsi="Arial" w:cs="Arial"/>
                <w:sz w:val="21"/>
                <w:szCs w:val="21"/>
                <w:lang w:val="en-US"/>
              </w:rPr>
              <w:t>&lt;0.001</w:t>
            </w:r>
          </w:p>
        </w:tc>
      </w:tr>
      <w:tr w:rsidR="00DD741E" w:rsidRPr="001D46B4" w14:paraId="32EA61F9" w14:textId="77777777" w:rsidTr="00FB4F98">
        <w:trPr>
          <w:trHeight w:hRule="exact" w:val="284"/>
        </w:trPr>
        <w:tc>
          <w:tcPr>
            <w:tcW w:w="5245" w:type="dxa"/>
          </w:tcPr>
          <w:p w14:paraId="03827AD6" w14:textId="77777777" w:rsidR="00DD741E" w:rsidRDefault="00DD741E" w:rsidP="00FB4F98">
            <w:pPr>
              <w:rPr>
                <w:rFonts w:ascii="Arial" w:hAnsi="Arial" w:cs="Arial"/>
                <w:sz w:val="21"/>
                <w:szCs w:val="21"/>
                <w:lang w:val="en-US"/>
              </w:rPr>
            </w:pPr>
            <w:r>
              <w:rPr>
                <w:rFonts w:ascii="Arial" w:hAnsi="Arial" w:cs="Arial"/>
                <w:sz w:val="21"/>
                <w:szCs w:val="21"/>
                <w:lang w:val="en-US"/>
              </w:rPr>
              <w:t xml:space="preserve">  Formally cautioned by police </w:t>
            </w:r>
            <w:proofErr w:type="gramStart"/>
            <w:r>
              <w:rPr>
                <w:rFonts w:ascii="Arial" w:hAnsi="Arial" w:cs="Arial"/>
                <w:sz w:val="21"/>
                <w:szCs w:val="21"/>
                <w:lang w:val="en-US"/>
              </w:rPr>
              <w:t>since</w:t>
            </w:r>
            <w:proofErr w:type="gramEnd"/>
            <w:r>
              <w:rPr>
                <w:rFonts w:ascii="Arial" w:hAnsi="Arial" w:cs="Arial"/>
                <w:sz w:val="21"/>
                <w:szCs w:val="21"/>
                <w:lang w:val="en-US"/>
              </w:rPr>
              <w:t xml:space="preserve"> 16 years </w:t>
            </w:r>
          </w:p>
        </w:tc>
        <w:tc>
          <w:tcPr>
            <w:tcW w:w="1559" w:type="dxa"/>
          </w:tcPr>
          <w:p w14:paraId="3FAF1B31" w14:textId="77777777" w:rsidR="00DD741E" w:rsidRPr="001E3C34" w:rsidRDefault="00DD741E" w:rsidP="00FB4F98">
            <w:pPr>
              <w:jc w:val="center"/>
              <w:rPr>
                <w:rFonts w:ascii="Arial" w:hAnsi="Arial" w:cs="Arial"/>
                <w:sz w:val="21"/>
                <w:szCs w:val="21"/>
                <w:lang w:val="en-US"/>
              </w:rPr>
            </w:pPr>
            <w:r w:rsidRPr="001E3C34">
              <w:rPr>
                <w:rFonts w:ascii="Arial" w:hAnsi="Arial" w:cs="Arial"/>
                <w:sz w:val="21"/>
                <w:szCs w:val="21"/>
                <w:lang w:val="en-US"/>
              </w:rPr>
              <w:t xml:space="preserve">1 </w:t>
            </w:r>
          </w:p>
        </w:tc>
        <w:tc>
          <w:tcPr>
            <w:tcW w:w="2801" w:type="dxa"/>
          </w:tcPr>
          <w:p w14:paraId="3BB2EA29" w14:textId="77777777" w:rsidR="00DD741E" w:rsidRPr="00770928" w:rsidRDefault="00DD741E" w:rsidP="00FB4F98">
            <w:pPr>
              <w:jc w:val="center"/>
              <w:rPr>
                <w:rFonts w:ascii="Arial" w:hAnsi="Arial" w:cs="Arial"/>
                <w:sz w:val="21"/>
                <w:szCs w:val="21"/>
                <w:lang w:val="en-US"/>
              </w:rPr>
            </w:pPr>
            <w:r w:rsidRPr="00770928">
              <w:rPr>
                <w:rFonts w:ascii="Arial" w:hAnsi="Arial" w:cs="Arial"/>
                <w:sz w:val="21"/>
                <w:szCs w:val="21"/>
                <w:lang w:val="en-US"/>
              </w:rPr>
              <w:t>1.</w:t>
            </w:r>
            <w:r>
              <w:rPr>
                <w:rFonts w:ascii="Arial" w:hAnsi="Arial" w:cs="Arial"/>
                <w:sz w:val="21"/>
                <w:szCs w:val="21"/>
                <w:lang w:val="en-US"/>
              </w:rPr>
              <w:t>74</w:t>
            </w:r>
            <w:r w:rsidRPr="00770928">
              <w:rPr>
                <w:rFonts w:ascii="Arial" w:hAnsi="Arial" w:cs="Arial"/>
                <w:sz w:val="21"/>
                <w:szCs w:val="21"/>
                <w:lang w:val="en-US"/>
              </w:rPr>
              <w:t xml:space="preserve"> (</w:t>
            </w:r>
            <w:r>
              <w:rPr>
                <w:rFonts w:ascii="Arial" w:hAnsi="Arial" w:cs="Arial"/>
                <w:sz w:val="21"/>
                <w:szCs w:val="21"/>
                <w:lang w:val="en-US"/>
              </w:rPr>
              <w:t>1.34</w:t>
            </w:r>
            <w:r w:rsidRPr="00770928">
              <w:rPr>
                <w:rFonts w:ascii="Arial" w:hAnsi="Arial" w:cs="Arial"/>
                <w:sz w:val="21"/>
                <w:szCs w:val="21"/>
                <w:lang w:val="en-US"/>
              </w:rPr>
              <w:t xml:space="preserve">, </w:t>
            </w:r>
            <w:r>
              <w:rPr>
                <w:rFonts w:ascii="Arial" w:hAnsi="Arial" w:cs="Arial"/>
                <w:sz w:val="21"/>
                <w:szCs w:val="21"/>
                <w:lang w:val="en-US"/>
              </w:rPr>
              <w:t>2.25</w:t>
            </w:r>
            <w:r w:rsidRPr="00770928">
              <w:rPr>
                <w:rFonts w:ascii="Arial" w:hAnsi="Arial" w:cs="Arial"/>
                <w:sz w:val="21"/>
                <w:szCs w:val="21"/>
                <w:lang w:val="en-US"/>
              </w:rPr>
              <w:t>)</w:t>
            </w:r>
          </w:p>
        </w:tc>
        <w:tc>
          <w:tcPr>
            <w:tcW w:w="2414" w:type="dxa"/>
          </w:tcPr>
          <w:p w14:paraId="59CE0C0C" w14:textId="77777777" w:rsidR="00DD741E" w:rsidRDefault="00DD741E" w:rsidP="00FB4F98">
            <w:pPr>
              <w:jc w:val="center"/>
              <w:rPr>
                <w:rFonts w:ascii="Arial" w:hAnsi="Arial" w:cs="Arial"/>
                <w:sz w:val="21"/>
                <w:szCs w:val="21"/>
                <w:lang w:val="en-US"/>
              </w:rPr>
            </w:pPr>
            <w:r>
              <w:rPr>
                <w:rFonts w:ascii="Arial" w:hAnsi="Arial" w:cs="Arial"/>
                <w:sz w:val="21"/>
                <w:szCs w:val="21"/>
                <w:lang w:val="en-US"/>
              </w:rPr>
              <w:t>2.41</w:t>
            </w:r>
            <w:r w:rsidRPr="00770928">
              <w:rPr>
                <w:rFonts w:ascii="Arial" w:hAnsi="Arial" w:cs="Arial"/>
                <w:sz w:val="21"/>
                <w:szCs w:val="21"/>
                <w:lang w:val="en-US"/>
              </w:rPr>
              <w:t xml:space="preserve"> (</w:t>
            </w:r>
            <w:r>
              <w:rPr>
                <w:rFonts w:ascii="Arial" w:hAnsi="Arial" w:cs="Arial"/>
                <w:sz w:val="21"/>
                <w:szCs w:val="21"/>
                <w:lang w:val="en-US"/>
              </w:rPr>
              <w:t>1.59</w:t>
            </w:r>
            <w:r w:rsidRPr="00770928">
              <w:rPr>
                <w:rFonts w:ascii="Arial" w:hAnsi="Arial" w:cs="Arial"/>
                <w:sz w:val="21"/>
                <w:szCs w:val="21"/>
                <w:lang w:val="en-US"/>
              </w:rPr>
              <w:t xml:space="preserve">, </w:t>
            </w:r>
            <w:r>
              <w:rPr>
                <w:rFonts w:ascii="Arial" w:hAnsi="Arial" w:cs="Arial"/>
                <w:sz w:val="21"/>
                <w:szCs w:val="21"/>
                <w:lang w:val="en-US"/>
              </w:rPr>
              <w:t>3.63</w:t>
            </w:r>
            <w:r w:rsidRPr="00770928">
              <w:rPr>
                <w:rFonts w:ascii="Arial" w:hAnsi="Arial" w:cs="Arial"/>
                <w:sz w:val="21"/>
                <w:szCs w:val="21"/>
                <w:lang w:val="en-US"/>
              </w:rPr>
              <w:t>)</w:t>
            </w:r>
          </w:p>
        </w:tc>
        <w:tc>
          <w:tcPr>
            <w:tcW w:w="1555" w:type="dxa"/>
          </w:tcPr>
          <w:p w14:paraId="50B10A71" w14:textId="77777777" w:rsidR="00DD741E" w:rsidRPr="00770928" w:rsidRDefault="00DD741E" w:rsidP="00FB4F98">
            <w:pPr>
              <w:jc w:val="center"/>
              <w:rPr>
                <w:rFonts w:ascii="Arial" w:hAnsi="Arial" w:cs="Arial"/>
                <w:sz w:val="21"/>
                <w:szCs w:val="21"/>
                <w:lang w:val="en-US"/>
              </w:rPr>
            </w:pPr>
            <w:r>
              <w:rPr>
                <w:rFonts w:ascii="Arial" w:hAnsi="Arial" w:cs="Arial"/>
                <w:sz w:val="21"/>
                <w:szCs w:val="21"/>
                <w:lang w:val="en-US"/>
              </w:rPr>
              <w:t>&lt;0.001</w:t>
            </w:r>
          </w:p>
        </w:tc>
      </w:tr>
      <w:tr w:rsidR="00DD741E" w:rsidRPr="001D46B4" w14:paraId="1D5F6622" w14:textId="77777777" w:rsidTr="00FB4F98">
        <w:trPr>
          <w:trHeight w:hRule="exact" w:val="284"/>
        </w:trPr>
        <w:tc>
          <w:tcPr>
            <w:tcW w:w="5245" w:type="dxa"/>
            <w:tcBorders>
              <w:bottom w:val="single" w:sz="4" w:space="0" w:color="auto"/>
            </w:tcBorders>
          </w:tcPr>
          <w:p w14:paraId="64BD6DE3" w14:textId="77777777" w:rsidR="00DD741E" w:rsidRDefault="00DD741E" w:rsidP="00FB4F98">
            <w:pPr>
              <w:rPr>
                <w:rFonts w:ascii="Arial" w:hAnsi="Arial" w:cs="Arial"/>
                <w:sz w:val="21"/>
                <w:szCs w:val="21"/>
                <w:lang w:val="en-US"/>
              </w:rPr>
            </w:pPr>
            <w:r>
              <w:rPr>
                <w:rFonts w:ascii="Arial" w:hAnsi="Arial" w:cs="Arial"/>
                <w:sz w:val="21"/>
                <w:szCs w:val="21"/>
                <w:lang w:val="en-US"/>
              </w:rPr>
              <w:t xml:space="preserve">  Been found guilty in court </w:t>
            </w:r>
            <w:proofErr w:type="gramStart"/>
            <w:r>
              <w:rPr>
                <w:rFonts w:ascii="Arial" w:hAnsi="Arial" w:cs="Arial"/>
                <w:sz w:val="21"/>
                <w:szCs w:val="21"/>
                <w:lang w:val="en-US"/>
              </w:rPr>
              <w:t>since</w:t>
            </w:r>
            <w:proofErr w:type="gramEnd"/>
            <w:r>
              <w:rPr>
                <w:rFonts w:ascii="Arial" w:hAnsi="Arial" w:cs="Arial"/>
                <w:sz w:val="21"/>
                <w:szCs w:val="21"/>
                <w:lang w:val="en-US"/>
              </w:rPr>
              <w:t xml:space="preserve"> 16 years </w:t>
            </w:r>
          </w:p>
        </w:tc>
        <w:tc>
          <w:tcPr>
            <w:tcW w:w="1559" w:type="dxa"/>
            <w:tcBorders>
              <w:bottom w:val="single" w:sz="4" w:space="0" w:color="auto"/>
            </w:tcBorders>
          </w:tcPr>
          <w:p w14:paraId="522D94E6" w14:textId="77777777" w:rsidR="00DD741E" w:rsidRPr="001E3C34" w:rsidRDefault="00DD741E" w:rsidP="00FB4F98">
            <w:pPr>
              <w:jc w:val="center"/>
              <w:rPr>
                <w:rFonts w:ascii="Arial" w:hAnsi="Arial" w:cs="Arial"/>
                <w:sz w:val="21"/>
                <w:szCs w:val="21"/>
                <w:lang w:val="en-US"/>
              </w:rPr>
            </w:pPr>
            <w:r w:rsidRPr="001E3C34">
              <w:rPr>
                <w:rFonts w:ascii="Arial" w:hAnsi="Arial" w:cs="Arial"/>
                <w:sz w:val="21"/>
                <w:szCs w:val="21"/>
                <w:lang w:val="en-US"/>
              </w:rPr>
              <w:t xml:space="preserve">1 </w:t>
            </w:r>
          </w:p>
        </w:tc>
        <w:tc>
          <w:tcPr>
            <w:tcW w:w="2801" w:type="dxa"/>
            <w:tcBorders>
              <w:bottom w:val="single" w:sz="4" w:space="0" w:color="auto"/>
            </w:tcBorders>
          </w:tcPr>
          <w:p w14:paraId="39B629ED" w14:textId="77777777" w:rsidR="00DD741E" w:rsidRPr="00770928" w:rsidRDefault="00DD741E" w:rsidP="00FB4F98">
            <w:pPr>
              <w:jc w:val="center"/>
              <w:rPr>
                <w:rFonts w:ascii="Arial" w:hAnsi="Arial" w:cs="Arial"/>
                <w:sz w:val="21"/>
                <w:szCs w:val="21"/>
                <w:lang w:val="en-US"/>
              </w:rPr>
            </w:pPr>
            <w:r w:rsidRPr="00770928">
              <w:rPr>
                <w:rFonts w:ascii="Arial" w:hAnsi="Arial" w:cs="Arial"/>
                <w:sz w:val="21"/>
                <w:szCs w:val="21"/>
                <w:lang w:val="en-US"/>
              </w:rPr>
              <w:t>1.</w:t>
            </w:r>
            <w:r>
              <w:rPr>
                <w:rFonts w:ascii="Arial" w:hAnsi="Arial" w:cs="Arial"/>
                <w:sz w:val="21"/>
                <w:szCs w:val="21"/>
                <w:lang w:val="en-US"/>
              </w:rPr>
              <w:t>53</w:t>
            </w:r>
            <w:r w:rsidRPr="00770928">
              <w:rPr>
                <w:rFonts w:ascii="Arial" w:hAnsi="Arial" w:cs="Arial"/>
                <w:sz w:val="21"/>
                <w:szCs w:val="21"/>
                <w:lang w:val="en-US"/>
              </w:rPr>
              <w:t xml:space="preserve"> (</w:t>
            </w:r>
            <w:r>
              <w:rPr>
                <w:rFonts w:ascii="Arial" w:hAnsi="Arial" w:cs="Arial"/>
                <w:sz w:val="21"/>
                <w:szCs w:val="21"/>
                <w:lang w:val="en-US"/>
              </w:rPr>
              <w:t>1.15</w:t>
            </w:r>
            <w:r w:rsidRPr="00770928">
              <w:rPr>
                <w:rFonts w:ascii="Arial" w:hAnsi="Arial" w:cs="Arial"/>
                <w:sz w:val="21"/>
                <w:szCs w:val="21"/>
                <w:lang w:val="en-US"/>
              </w:rPr>
              <w:t xml:space="preserve">, </w:t>
            </w:r>
            <w:r>
              <w:rPr>
                <w:rFonts w:ascii="Arial" w:hAnsi="Arial" w:cs="Arial"/>
                <w:sz w:val="21"/>
                <w:szCs w:val="21"/>
                <w:lang w:val="en-US"/>
              </w:rPr>
              <w:t>2.04</w:t>
            </w:r>
            <w:r w:rsidRPr="00770928">
              <w:rPr>
                <w:rFonts w:ascii="Arial" w:hAnsi="Arial" w:cs="Arial"/>
                <w:sz w:val="21"/>
                <w:szCs w:val="21"/>
                <w:lang w:val="en-US"/>
              </w:rPr>
              <w:t>)</w:t>
            </w:r>
          </w:p>
        </w:tc>
        <w:tc>
          <w:tcPr>
            <w:tcW w:w="2414" w:type="dxa"/>
            <w:tcBorders>
              <w:bottom w:val="single" w:sz="4" w:space="0" w:color="auto"/>
            </w:tcBorders>
          </w:tcPr>
          <w:p w14:paraId="1C7331EE" w14:textId="77777777" w:rsidR="00DD741E" w:rsidRDefault="00DD741E" w:rsidP="00FB4F98">
            <w:pPr>
              <w:jc w:val="center"/>
              <w:rPr>
                <w:rFonts w:ascii="Arial" w:hAnsi="Arial" w:cs="Arial"/>
                <w:sz w:val="21"/>
                <w:szCs w:val="21"/>
                <w:lang w:val="en-US"/>
              </w:rPr>
            </w:pPr>
            <w:r>
              <w:rPr>
                <w:rFonts w:ascii="Arial" w:hAnsi="Arial" w:cs="Arial"/>
                <w:sz w:val="21"/>
                <w:szCs w:val="21"/>
                <w:lang w:val="en-US"/>
              </w:rPr>
              <w:t>2.12</w:t>
            </w:r>
            <w:r w:rsidRPr="00770928">
              <w:rPr>
                <w:rFonts w:ascii="Arial" w:hAnsi="Arial" w:cs="Arial"/>
                <w:sz w:val="21"/>
                <w:szCs w:val="21"/>
                <w:lang w:val="en-US"/>
              </w:rPr>
              <w:t xml:space="preserve"> (</w:t>
            </w:r>
            <w:r>
              <w:rPr>
                <w:rFonts w:ascii="Arial" w:hAnsi="Arial" w:cs="Arial"/>
                <w:sz w:val="21"/>
                <w:szCs w:val="21"/>
                <w:lang w:val="en-US"/>
              </w:rPr>
              <w:t>1.59</w:t>
            </w:r>
            <w:r w:rsidRPr="00770928">
              <w:rPr>
                <w:rFonts w:ascii="Arial" w:hAnsi="Arial" w:cs="Arial"/>
                <w:sz w:val="21"/>
                <w:szCs w:val="21"/>
                <w:lang w:val="en-US"/>
              </w:rPr>
              <w:t xml:space="preserve">, </w:t>
            </w:r>
            <w:r>
              <w:rPr>
                <w:rFonts w:ascii="Arial" w:hAnsi="Arial" w:cs="Arial"/>
                <w:sz w:val="21"/>
                <w:szCs w:val="21"/>
                <w:lang w:val="en-US"/>
              </w:rPr>
              <w:t>2.83</w:t>
            </w:r>
            <w:r w:rsidRPr="00770928">
              <w:rPr>
                <w:rFonts w:ascii="Arial" w:hAnsi="Arial" w:cs="Arial"/>
                <w:sz w:val="21"/>
                <w:szCs w:val="21"/>
                <w:lang w:val="en-US"/>
              </w:rPr>
              <w:t>)</w:t>
            </w:r>
          </w:p>
        </w:tc>
        <w:tc>
          <w:tcPr>
            <w:tcW w:w="1555" w:type="dxa"/>
            <w:tcBorders>
              <w:bottom w:val="single" w:sz="4" w:space="0" w:color="auto"/>
            </w:tcBorders>
          </w:tcPr>
          <w:p w14:paraId="0A4F4038" w14:textId="77777777" w:rsidR="00DD741E" w:rsidRPr="00770928" w:rsidRDefault="00DD741E" w:rsidP="00FB4F98">
            <w:pPr>
              <w:jc w:val="center"/>
              <w:rPr>
                <w:rFonts w:ascii="Arial" w:hAnsi="Arial" w:cs="Arial"/>
                <w:sz w:val="21"/>
                <w:szCs w:val="21"/>
                <w:lang w:val="en-US"/>
              </w:rPr>
            </w:pPr>
            <w:r>
              <w:rPr>
                <w:rFonts w:ascii="Arial" w:hAnsi="Arial" w:cs="Arial"/>
                <w:sz w:val="21"/>
                <w:szCs w:val="21"/>
                <w:lang w:val="en-US"/>
              </w:rPr>
              <w:t>&lt;0.001</w:t>
            </w:r>
          </w:p>
        </w:tc>
      </w:tr>
    </w:tbl>
    <w:p w14:paraId="099C6837" w14:textId="22E044F3" w:rsidR="00F558FF" w:rsidRPr="0096284A" w:rsidRDefault="00DD741E" w:rsidP="00F558FF">
      <w:pPr>
        <w:spacing w:line="240" w:lineRule="auto"/>
        <w:rPr>
          <w:rFonts w:ascii="Arial" w:hAnsi="Arial" w:cs="Arial"/>
          <w:sz w:val="22"/>
          <w:szCs w:val="22"/>
          <w:lang w:val="en-US"/>
        </w:rPr>
      </w:pPr>
      <w:r w:rsidRPr="00042F5B">
        <w:rPr>
          <w:rFonts w:ascii="Arial" w:hAnsi="Arial" w:cs="Arial"/>
          <w:sz w:val="22"/>
          <w:szCs w:val="22"/>
          <w:vertAlign w:val="superscript"/>
          <w:lang w:val="en-US"/>
        </w:rPr>
        <w:t xml:space="preserve">a </w:t>
      </w:r>
      <w:r w:rsidR="00F558FF" w:rsidRPr="00205FEA">
        <w:rPr>
          <w:rFonts w:ascii="Arial" w:hAnsi="Arial" w:cs="Arial"/>
          <w:sz w:val="22"/>
          <w:szCs w:val="22"/>
          <w:lang w:val="en-US"/>
        </w:rPr>
        <w:t>Reference category was never used illicit drugs.</w:t>
      </w:r>
      <w:r w:rsidR="00F558FF">
        <w:rPr>
          <w:rFonts w:ascii="Arial" w:hAnsi="Arial" w:cs="Arial"/>
          <w:sz w:val="22"/>
          <w:szCs w:val="22"/>
          <w:lang w:val="en-US"/>
        </w:rPr>
        <w:t xml:space="preserve"> Odds ratios (ORs) are adjusted</w:t>
      </w:r>
      <w:r w:rsidR="00F558FF" w:rsidRPr="00042F5B">
        <w:rPr>
          <w:rFonts w:ascii="Arial" w:hAnsi="Arial" w:cs="Arial"/>
          <w:sz w:val="22"/>
          <w:szCs w:val="22"/>
          <w:lang w:val="en-US"/>
        </w:rPr>
        <w:t xml:space="preserve"> for sex</w:t>
      </w:r>
      <w:r w:rsidR="00F558FF">
        <w:rPr>
          <w:rFonts w:ascii="Arial" w:hAnsi="Arial" w:cs="Arial"/>
          <w:sz w:val="22"/>
          <w:szCs w:val="22"/>
          <w:lang w:val="en-US"/>
        </w:rPr>
        <w:t>,</w:t>
      </w:r>
      <w:r w:rsidR="00F558FF" w:rsidRPr="007252B3">
        <w:rPr>
          <w:rFonts w:ascii="Arial" w:hAnsi="Arial" w:cs="Arial"/>
          <w:sz w:val="22"/>
          <w:szCs w:val="22"/>
          <w:lang w:val="en-US"/>
        </w:rPr>
        <w:t xml:space="preserve"> </w:t>
      </w:r>
      <w:r w:rsidR="00F558FF" w:rsidRPr="00042F5B">
        <w:rPr>
          <w:rFonts w:ascii="Arial" w:hAnsi="Arial" w:cs="Arial"/>
          <w:sz w:val="22"/>
          <w:szCs w:val="22"/>
          <w:lang w:val="en-US"/>
        </w:rPr>
        <w:t>parental social class</w:t>
      </w:r>
      <w:r w:rsidR="00F558FF">
        <w:rPr>
          <w:rFonts w:ascii="Arial" w:hAnsi="Arial" w:cs="Arial"/>
          <w:sz w:val="22"/>
          <w:szCs w:val="22"/>
          <w:lang w:val="en-US"/>
        </w:rPr>
        <w:t xml:space="preserve"> and the Rutter Malaise Inventory</w:t>
      </w:r>
      <w:r w:rsidR="00F558FF" w:rsidRPr="00042F5B">
        <w:rPr>
          <w:rFonts w:ascii="Arial" w:hAnsi="Arial" w:cs="Arial"/>
          <w:sz w:val="22"/>
          <w:szCs w:val="22"/>
          <w:lang w:val="en-US"/>
        </w:rPr>
        <w:t xml:space="preserve"> </w:t>
      </w:r>
      <w:r w:rsidR="00F558FF">
        <w:rPr>
          <w:rFonts w:ascii="Arial" w:hAnsi="Arial" w:cs="Arial"/>
          <w:sz w:val="22"/>
          <w:szCs w:val="22"/>
          <w:lang w:val="en-US"/>
        </w:rPr>
        <w:t xml:space="preserve">and </w:t>
      </w:r>
      <w:r w:rsidR="00F558FF" w:rsidRPr="00042F5B">
        <w:rPr>
          <w:rFonts w:ascii="Arial" w:hAnsi="Arial" w:cs="Arial"/>
          <w:sz w:val="22"/>
          <w:szCs w:val="22"/>
          <w:lang w:val="en-US"/>
        </w:rPr>
        <w:t>at 16 years</w:t>
      </w:r>
      <w:r w:rsidR="00F558FF">
        <w:rPr>
          <w:rFonts w:ascii="Arial" w:hAnsi="Arial" w:cs="Arial"/>
          <w:sz w:val="22"/>
          <w:szCs w:val="22"/>
          <w:lang w:val="en-US"/>
        </w:rPr>
        <w:t xml:space="preserve">. </w:t>
      </w:r>
      <w:r w:rsidR="00F558FF" w:rsidRPr="005C2F3C">
        <w:rPr>
          <w:rFonts w:ascii="Arial" w:hAnsi="Arial" w:cs="Arial"/>
          <w:sz w:val="22"/>
          <w:szCs w:val="22"/>
          <w:lang w:val="en-US"/>
        </w:rPr>
        <w:t>When available, age 16-year (baseline) assessments of outcomes were added to multivariable models</w:t>
      </w:r>
      <w:r w:rsidR="00F558FF">
        <w:rPr>
          <w:rFonts w:ascii="Arial" w:hAnsi="Arial" w:cs="Arial"/>
          <w:sz w:val="22"/>
          <w:szCs w:val="22"/>
          <w:lang w:val="en-US"/>
        </w:rPr>
        <w:t>. This included</w:t>
      </w:r>
      <w:r w:rsidR="00D523E6">
        <w:rPr>
          <w:rFonts w:ascii="Arial" w:hAnsi="Arial" w:cs="Arial"/>
          <w:sz w:val="22"/>
          <w:szCs w:val="22"/>
          <w:lang w:val="en-US"/>
        </w:rPr>
        <w:t xml:space="preserve"> </w:t>
      </w:r>
      <w:r w:rsidR="00F558FF">
        <w:rPr>
          <w:rFonts w:ascii="Arial" w:hAnsi="Arial" w:cs="Arial"/>
          <w:sz w:val="22"/>
          <w:szCs w:val="22"/>
          <w:lang w:val="en-US"/>
        </w:rPr>
        <w:t xml:space="preserve">adjusting for screening positive on the Rutter Malaise Inventory at 16 years for the outcome at 30-years of having seen a </w:t>
      </w:r>
      <w:r w:rsidR="00F558FF" w:rsidRPr="00100EC3">
        <w:rPr>
          <w:rFonts w:ascii="Arial" w:hAnsi="Arial" w:cs="Arial"/>
          <w:sz w:val="22"/>
          <w:szCs w:val="22"/>
          <w:lang w:val="en-US"/>
        </w:rPr>
        <w:t xml:space="preserve">specialist for </w:t>
      </w:r>
      <w:r w:rsidR="00A93FA2">
        <w:rPr>
          <w:rFonts w:ascii="Arial" w:hAnsi="Arial" w:cs="Arial"/>
          <w:sz w:val="22"/>
          <w:szCs w:val="22"/>
          <w:lang w:val="en-US"/>
        </w:rPr>
        <w:t xml:space="preserve">a </w:t>
      </w:r>
      <w:r w:rsidR="00F558FF" w:rsidRPr="00100EC3">
        <w:rPr>
          <w:rFonts w:ascii="Arial" w:hAnsi="Arial" w:cs="Arial"/>
          <w:sz w:val="22"/>
          <w:szCs w:val="22"/>
          <w:lang w:val="en-US"/>
        </w:rPr>
        <w:t>psychiatric problem</w:t>
      </w:r>
      <w:r w:rsidR="00F558FF">
        <w:rPr>
          <w:rFonts w:ascii="Arial" w:hAnsi="Arial" w:cs="Arial"/>
          <w:sz w:val="22"/>
          <w:szCs w:val="22"/>
          <w:lang w:val="en-US"/>
        </w:rPr>
        <w:t xml:space="preserve">; units of alcohol consumed in the past week at 16 years for the outcome at 30-years of screening positive for alcohol dependency; and the number of cigarettes smoked per week at 16 years for the outcome at 30-years of smoking every day.  </w:t>
      </w:r>
    </w:p>
    <w:p w14:paraId="6FDDEC42" w14:textId="08E8C001" w:rsidR="00DD741E" w:rsidRPr="003D23C5" w:rsidRDefault="00DD741E" w:rsidP="00DD741E">
      <w:pPr>
        <w:spacing w:line="240" w:lineRule="auto"/>
        <w:rPr>
          <w:rFonts w:ascii="Arial" w:hAnsi="Arial" w:cs="Arial"/>
          <w:sz w:val="22"/>
          <w:szCs w:val="22"/>
          <w:lang w:val="en-US"/>
        </w:rPr>
      </w:pPr>
    </w:p>
    <w:sectPr w:rsidR="00DD741E" w:rsidRPr="003D23C5" w:rsidSect="00DD741E">
      <w:pgSz w:w="16838" w:h="11906" w:orient="landscape"/>
      <w:pgMar w:top="709"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AF1933A" w14:textId="77777777" w:rsidR="009A46F5" w:rsidRDefault="009A46F5" w:rsidP="001A79FD">
      <w:pPr>
        <w:spacing w:after="0" w:line="240" w:lineRule="auto"/>
      </w:pPr>
      <w:r>
        <w:separator/>
      </w:r>
    </w:p>
  </w:endnote>
  <w:endnote w:type="continuationSeparator" w:id="0">
    <w:p w14:paraId="5FFD887B" w14:textId="77777777" w:rsidR="009A46F5" w:rsidRDefault="009A46F5" w:rsidP="001A79F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altName w:val="Sylfaen"/>
    <w:panose1 w:val="020B0502040204020203"/>
    <w:charset w:val="00"/>
    <w:family w:val="swiss"/>
    <w:pitch w:val="variable"/>
    <w:sig w:usb0="E4002EFF" w:usb1="C000E47F" w:usb2="00000009" w:usb3="00000000" w:csb0="000001FF" w:csb1="00000000"/>
  </w:font>
  <w:font w:name="AdvOT6520a694">
    <w:altName w:val="Calibri"/>
    <w:panose1 w:val="00000000000000000000"/>
    <w:charset w:val="00"/>
    <w:family w:val="swiss"/>
    <w:notTrueType/>
    <w:pitch w:val="default"/>
    <w:sig w:usb0="00000003" w:usb1="00000000" w:usb2="00000000" w:usb3="00000000" w:csb0="00000001" w:csb1="00000000"/>
  </w:font>
  <w:font w:name="PhotinaMT">
    <w:altName w:val="Cambria"/>
    <w:panose1 w:val="00000000000000000000"/>
    <w:charset w:val="00"/>
    <w:family w:val="roman"/>
    <w:notTrueType/>
    <w:pitch w:val="default"/>
    <w:sig w:usb0="00000003" w:usb1="00000000" w:usb2="00000000" w:usb3="00000000" w:csb0="00000001" w:csb1="00000000"/>
  </w:font>
  <w:font w:name="AdvPED1282">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26731935"/>
      <w:docPartObj>
        <w:docPartGallery w:val="Page Numbers (Bottom of Page)"/>
        <w:docPartUnique/>
      </w:docPartObj>
    </w:sdtPr>
    <w:sdtEndPr>
      <w:rPr>
        <w:noProof/>
      </w:rPr>
    </w:sdtEndPr>
    <w:sdtContent>
      <w:p w14:paraId="7968415E" w14:textId="64E9ECC1" w:rsidR="001A79FD" w:rsidRDefault="001A79FD">
        <w:pPr>
          <w:pStyle w:val="Footer"/>
          <w:jc w:val="center"/>
        </w:pPr>
        <w:r>
          <w:fldChar w:fldCharType="begin"/>
        </w:r>
        <w:r>
          <w:instrText xml:space="preserve"> PAGE   \* MERGEFORMAT </w:instrText>
        </w:r>
        <w:r>
          <w:fldChar w:fldCharType="separate"/>
        </w:r>
        <w:r w:rsidR="00602C35">
          <w:rPr>
            <w:noProof/>
          </w:rPr>
          <w:t>1</w:t>
        </w:r>
        <w:r>
          <w:rPr>
            <w:noProof/>
          </w:rPr>
          <w:fldChar w:fldCharType="end"/>
        </w:r>
      </w:p>
    </w:sdtContent>
  </w:sdt>
  <w:p w14:paraId="43472FD2" w14:textId="77777777" w:rsidR="001A79FD" w:rsidRDefault="001A79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34177F5" w14:textId="77777777" w:rsidR="009A46F5" w:rsidRDefault="009A46F5" w:rsidP="001A79FD">
      <w:pPr>
        <w:spacing w:after="0" w:line="240" w:lineRule="auto"/>
      </w:pPr>
      <w:r>
        <w:separator/>
      </w:r>
    </w:p>
  </w:footnote>
  <w:footnote w:type="continuationSeparator" w:id="0">
    <w:p w14:paraId="664572D1" w14:textId="77777777" w:rsidR="009A46F5" w:rsidRDefault="009A46F5" w:rsidP="001A79F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0BA6472"/>
    <w:multiLevelType w:val="hybridMultilevel"/>
    <w:tmpl w:val="38DA8B7E"/>
    <w:lvl w:ilvl="0" w:tplc="51687E20">
      <w:start w:val="6"/>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7694746"/>
    <w:multiLevelType w:val="hybridMultilevel"/>
    <w:tmpl w:val="D70C7392"/>
    <w:lvl w:ilvl="0" w:tplc="9CD4E37E">
      <w:start w:val="1"/>
      <w:numFmt w:val="bullet"/>
      <w:lvlText w:val="-"/>
      <w:lvlJc w:val="left"/>
      <w:pPr>
        <w:ind w:left="720" w:hanging="360"/>
      </w:pPr>
      <w:rPr>
        <w:rFonts w:ascii="Arial" w:eastAsiaTheme="minorEastAsia"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AB3345D"/>
    <w:multiLevelType w:val="hybridMultilevel"/>
    <w:tmpl w:val="38684C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F05A1"/>
    <w:rsid w:val="00000A59"/>
    <w:rsid w:val="000072EF"/>
    <w:rsid w:val="00014BB2"/>
    <w:rsid w:val="00015F6F"/>
    <w:rsid w:val="00021C71"/>
    <w:rsid w:val="00050851"/>
    <w:rsid w:val="00051EA2"/>
    <w:rsid w:val="00061824"/>
    <w:rsid w:val="000628AF"/>
    <w:rsid w:val="000661BF"/>
    <w:rsid w:val="00081249"/>
    <w:rsid w:val="00087034"/>
    <w:rsid w:val="0009777E"/>
    <w:rsid w:val="000A1A4D"/>
    <w:rsid w:val="000A2051"/>
    <w:rsid w:val="000C72FF"/>
    <w:rsid w:val="000C7D0C"/>
    <w:rsid w:val="000D1A39"/>
    <w:rsid w:val="000D3898"/>
    <w:rsid w:val="000D5C54"/>
    <w:rsid w:val="000D7C63"/>
    <w:rsid w:val="000E0187"/>
    <w:rsid w:val="000F0958"/>
    <w:rsid w:val="000F0E28"/>
    <w:rsid w:val="000F3D1B"/>
    <w:rsid w:val="0010014A"/>
    <w:rsid w:val="00110B38"/>
    <w:rsid w:val="001235B5"/>
    <w:rsid w:val="00124222"/>
    <w:rsid w:val="00125EDF"/>
    <w:rsid w:val="0013395C"/>
    <w:rsid w:val="001372FF"/>
    <w:rsid w:val="00153833"/>
    <w:rsid w:val="00176C58"/>
    <w:rsid w:val="00176FAC"/>
    <w:rsid w:val="001901E2"/>
    <w:rsid w:val="0019387F"/>
    <w:rsid w:val="001A6FC1"/>
    <w:rsid w:val="001A79FD"/>
    <w:rsid w:val="001A7CAF"/>
    <w:rsid w:val="001C0E93"/>
    <w:rsid w:val="001C1ECF"/>
    <w:rsid w:val="001C39B5"/>
    <w:rsid w:val="001D19BF"/>
    <w:rsid w:val="001E1240"/>
    <w:rsid w:val="001E195E"/>
    <w:rsid w:val="001E225B"/>
    <w:rsid w:val="001E6CE9"/>
    <w:rsid w:val="001F24A8"/>
    <w:rsid w:val="00200565"/>
    <w:rsid w:val="00200764"/>
    <w:rsid w:val="00205D55"/>
    <w:rsid w:val="00212C76"/>
    <w:rsid w:val="0021395D"/>
    <w:rsid w:val="002305FD"/>
    <w:rsid w:val="00232E03"/>
    <w:rsid w:val="00240560"/>
    <w:rsid w:val="002460B6"/>
    <w:rsid w:val="00257A6C"/>
    <w:rsid w:val="00262629"/>
    <w:rsid w:val="00263192"/>
    <w:rsid w:val="00266A38"/>
    <w:rsid w:val="002758A7"/>
    <w:rsid w:val="00277AAC"/>
    <w:rsid w:val="002816D6"/>
    <w:rsid w:val="002817A7"/>
    <w:rsid w:val="00282D85"/>
    <w:rsid w:val="00285BAC"/>
    <w:rsid w:val="00286FBF"/>
    <w:rsid w:val="00292F05"/>
    <w:rsid w:val="002B29CF"/>
    <w:rsid w:val="002B4216"/>
    <w:rsid w:val="002C2A61"/>
    <w:rsid w:val="002C784B"/>
    <w:rsid w:val="002F5E3A"/>
    <w:rsid w:val="00302652"/>
    <w:rsid w:val="00305EEB"/>
    <w:rsid w:val="0030602C"/>
    <w:rsid w:val="00306B0A"/>
    <w:rsid w:val="0031245E"/>
    <w:rsid w:val="00314507"/>
    <w:rsid w:val="00315988"/>
    <w:rsid w:val="00332B78"/>
    <w:rsid w:val="0033310C"/>
    <w:rsid w:val="00334498"/>
    <w:rsid w:val="0033500C"/>
    <w:rsid w:val="00340DAF"/>
    <w:rsid w:val="0034135D"/>
    <w:rsid w:val="003437CD"/>
    <w:rsid w:val="003517B4"/>
    <w:rsid w:val="00353272"/>
    <w:rsid w:val="003602C6"/>
    <w:rsid w:val="00363958"/>
    <w:rsid w:val="003708BA"/>
    <w:rsid w:val="00370C87"/>
    <w:rsid w:val="00376103"/>
    <w:rsid w:val="00382BB9"/>
    <w:rsid w:val="00383006"/>
    <w:rsid w:val="003A1476"/>
    <w:rsid w:val="003A4568"/>
    <w:rsid w:val="003C0B0B"/>
    <w:rsid w:val="003D725D"/>
    <w:rsid w:val="003E1E86"/>
    <w:rsid w:val="003E2D65"/>
    <w:rsid w:val="003F5C2A"/>
    <w:rsid w:val="00401D5F"/>
    <w:rsid w:val="00404407"/>
    <w:rsid w:val="00406351"/>
    <w:rsid w:val="0041146A"/>
    <w:rsid w:val="00415ED3"/>
    <w:rsid w:val="00421780"/>
    <w:rsid w:val="0043519A"/>
    <w:rsid w:val="004370E8"/>
    <w:rsid w:val="0044726E"/>
    <w:rsid w:val="00451E56"/>
    <w:rsid w:val="00457859"/>
    <w:rsid w:val="00457A5A"/>
    <w:rsid w:val="00462F01"/>
    <w:rsid w:val="0047001E"/>
    <w:rsid w:val="004756EF"/>
    <w:rsid w:val="0048448A"/>
    <w:rsid w:val="004857F7"/>
    <w:rsid w:val="00487E1A"/>
    <w:rsid w:val="004914EF"/>
    <w:rsid w:val="0049205F"/>
    <w:rsid w:val="00496361"/>
    <w:rsid w:val="004B257B"/>
    <w:rsid w:val="004C63EC"/>
    <w:rsid w:val="004C7209"/>
    <w:rsid w:val="004D3CEA"/>
    <w:rsid w:val="004D4FE0"/>
    <w:rsid w:val="004F05A1"/>
    <w:rsid w:val="004F3C62"/>
    <w:rsid w:val="004F3DA4"/>
    <w:rsid w:val="00503B4B"/>
    <w:rsid w:val="00506089"/>
    <w:rsid w:val="00511E1E"/>
    <w:rsid w:val="005211D4"/>
    <w:rsid w:val="00524886"/>
    <w:rsid w:val="00531EB6"/>
    <w:rsid w:val="005332EB"/>
    <w:rsid w:val="005369B0"/>
    <w:rsid w:val="00545225"/>
    <w:rsid w:val="00546E93"/>
    <w:rsid w:val="005542D2"/>
    <w:rsid w:val="00556383"/>
    <w:rsid w:val="005725BC"/>
    <w:rsid w:val="00574354"/>
    <w:rsid w:val="00580731"/>
    <w:rsid w:val="00586B6A"/>
    <w:rsid w:val="005919DB"/>
    <w:rsid w:val="00597ED9"/>
    <w:rsid w:val="005C2F3C"/>
    <w:rsid w:val="005C625D"/>
    <w:rsid w:val="005D7BB7"/>
    <w:rsid w:val="005E5011"/>
    <w:rsid w:val="005E6246"/>
    <w:rsid w:val="00602C35"/>
    <w:rsid w:val="0061266F"/>
    <w:rsid w:val="00617429"/>
    <w:rsid w:val="0062631D"/>
    <w:rsid w:val="00651FAC"/>
    <w:rsid w:val="00664A15"/>
    <w:rsid w:val="00684235"/>
    <w:rsid w:val="006A51EE"/>
    <w:rsid w:val="006B3D48"/>
    <w:rsid w:val="006C2DC6"/>
    <w:rsid w:val="006E1027"/>
    <w:rsid w:val="006E1B8D"/>
    <w:rsid w:val="006E3B63"/>
    <w:rsid w:val="006F2A30"/>
    <w:rsid w:val="006F3770"/>
    <w:rsid w:val="00703AC6"/>
    <w:rsid w:val="007224B8"/>
    <w:rsid w:val="00727BA2"/>
    <w:rsid w:val="00733F81"/>
    <w:rsid w:val="0073531E"/>
    <w:rsid w:val="00757CD3"/>
    <w:rsid w:val="00781C55"/>
    <w:rsid w:val="007843A0"/>
    <w:rsid w:val="00790411"/>
    <w:rsid w:val="00795C79"/>
    <w:rsid w:val="007D517F"/>
    <w:rsid w:val="007D76AA"/>
    <w:rsid w:val="007E4514"/>
    <w:rsid w:val="007F0A72"/>
    <w:rsid w:val="007F5EAB"/>
    <w:rsid w:val="007F6DE7"/>
    <w:rsid w:val="00800ABD"/>
    <w:rsid w:val="00803F73"/>
    <w:rsid w:val="00833D75"/>
    <w:rsid w:val="00872A29"/>
    <w:rsid w:val="008834C9"/>
    <w:rsid w:val="008919C6"/>
    <w:rsid w:val="00897A6E"/>
    <w:rsid w:val="008B5F48"/>
    <w:rsid w:val="008C4A29"/>
    <w:rsid w:val="008D080E"/>
    <w:rsid w:val="008D5ABA"/>
    <w:rsid w:val="008E564C"/>
    <w:rsid w:val="008E76D6"/>
    <w:rsid w:val="00910774"/>
    <w:rsid w:val="0091177D"/>
    <w:rsid w:val="00925DF1"/>
    <w:rsid w:val="009340F9"/>
    <w:rsid w:val="0093453D"/>
    <w:rsid w:val="009373DC"/>
    <w:rsid w:val="0095135B"/>
    <w:rsid w:val="00975D86"/>
    <w:rsid w:val="009768F5"/>
    <w:rsid w:val="009852D2"/>
    <w:rsid w:val="009A46F5"/>
    <w:rsid w:val="009B0C19"/>
    <w:rsid w:val="009B487E"/>
    <w:rsid w:val="009C2FDA"/>
    <w:rsid w:val="009C5BF3"/>
    <w:rsid w:val="009D198C"/>
    <w:rsid w:val="009F09CF"/>
    <w:rsid w:val="009F334D"/>
    <w:rsid w:val="00A01FC9"/>
    <w:rsid w:val="00A10BAD"/>
    <w:rsid w:val="00A1475D"/>
    <w:rsid w:val="00A14E19"/>
    <w:rsid w:val="00A3770B"/>
    <w:rsid w:val="00A4071E"/>
    <w:rsid w:val="00A431E0"/>
    <w:rsid w:val="00A5786F"/>
    <w:rsid w:val="00A60069"/>
    <w:rsid w:val="00A6437F"/>
    <w:rsid w:val="00A647A3"/>
    <w:rsid w:val="00A739F9"/>
    <w:rsid w:val="00A8557B"/>
    <w:rsid w:val="00A93FA2"/>
    <w:rsid w:val="00AA2D7E"/>
    <w:rsid w:val="00AA63CA"/>
    <w:rsid w:val="00AC66A7"/>
    <w:rsid w:val="00AD3D93"/>
    <w:rsid w:val="00AE43A9"/>
    <w:rsid w:val="00AF0A17"/>
    <w:rsid w:val="00AF40CB"/>
    <w:rsid w:val="00B01C14"/>
    <w:rsid w:val="00B04B3A"/>
    <w:rsid w:val="00B153F1"/>
    <w:rsid w:val="00B331E8"/>
    <w:rsid w:val="00B339FA"/>
    <w:rsid w:val="00B34000"/>
    <w:rsid w:val="00B412F0"/>
    <w:rsid w:val="00B56253"/>
    <w:rsid w:val="00B613EC"/>
    <w:rsid w:val="00B649A8"/>
    <w:rsid w:val="00B7039F"/>
    <w:rsid w:val="00B8180A"/>
    <w:rsid w:val="00B84693"/>
    <w:rsid w:val="00BB53F3"/>
    <w:rsid w:val="00BC39A7"/>
    <w:rsid w:val="00BD18CB"/>
    <w:rsid w:val="00BD71BF"/>
    <w:rsid w:val="00BD7424"/>
    <w:rsid w:val="00BE3C42"/>
    <w:rsid w:val="00BF2CF2"/>
    <w:rsid w:val="00BF6DAD"/>
    <w:rsid w:val="00BF78C8"/>
    <w:rsid w:val="00C00B67"/>
    <w:rsid w:val="00C1404D"/>
    <w:rsid w:val="00C22272"/>
    <w:rsid w:val="00C629A2"/>
    <w:rsid w:val="00C6629F"/>
    <w:rsid w:val="00C664EE"/>
    <w:rsid w:val="00C7177B"/>
    <w:rsid w:val="00C75926"/>
    <w:rsid w:val="00C843AF"/>
    <w:rsid w:val="00C85F27"/>
    <w:rsid w:val="00C8775F"/>
    <w:rsid w:val="00CA0207"/>
    <w:rsid w:val="00CA2CAB"/>
    <w:rsid w:val="00CA5D37"/>
    <w:rsid w:val="00CB76EC"/>
    <w:rsid w:val="00CC0DF6"/>
    <w:rsid w:val="00CC1BE5"/>
    <w:rsid w:val="00CC291E"/>
    <w:rsid w:val="00CD1663"/>
    <w:rsid w:val="00CD7CB8"/>
    <w:rsid w:val="00CE0561"/>
    <w:rsid w:val="00CE14C6"/>
    <w:rsid w:val="00CE1D81"/>
    <w:rsid w:val="00CF26B0"/>
    <w:rsid w:val="00CF2B7A"/>
    <w:rsid w:val="00CF7392"/>
    <w:rsid w:val="00D03B17"/>
    <w:rsid w:val="00D1213A"/>
    <w:rsid w:val="00D2383A"/>
    <w:rsid w:val="00D247CB"/>
    <w:rsid w:val="00D24D3C"/>
    <w:rsid w:val="00D26E43"/>
    <w:rsid w:val="00D42E4F"/>
    <w:rsid w:val="00D501AC"/>
    <w:rsid w:val="00D523E6"/>
    <w:rsid w:val="00D67F1A"/>
    <w:rsid w:val="00D71FDF"/>
    <w:rsid w:val="00D73D8F"/>
    <w:rsid w:val="00D75CA5"/>
    <w:rsid w:val="00D77155"/>
    <w:rsid w:val="00D85716"/>
    <w:rsid w:val="00D9117C"/>
    <w:rsid w:val="00D949F6"/>
    <w:rsid w:val="00DB2640"/>
    <w:rsid w:val="00DC1183"/>
    <w:rsid w:val="00DC1437"/>
    <w:rsid w:val="00DC273E"/>
    <w:rsid w:val="00DC466D"/>
    <w:rsid w:val="00DD2A1F"/>
    <w:rsid w:val="00DD2F5D"/>
    <w:rsid w:val="00DD741E"/>
    <w:rsid w:val="00DE1D3A"/>
    <w:rsid w:val="00DE5824"/>
    <w:rsid w:val="00DE5C2D"/>
    <w:rsid w:val="00DF26D6"/>
    <w:rsid w:val="00DF7DF0"/>
    <w:rsid w:val="00E02D38"/>
    <w:rsid w:val="00E24BE3"/>
    <w:rsid w:val="00E34012"/>
    <w:rsid w:val="00E435CB"/>
    <w:rsid w:val="00E52358"/>
    <w:rsid w:val="00E548F7"/>
    <w:rsid w:val="00E73812"/>
    <w:rsid w:val="00E827FC"/>
    <w:rsid w:val="00E9677F"/>
    <w:rsid w:val="00E97E66"/>
    <w:rsid w:val="00EA3719"/>
    <w:rsid w:val="00ED01E4"/>
    <w:rsid w:val="00ED329B"/>
    <w:rsid w:val="00ED3CE0"/>
    <w:rsid w:val="00ED5BE8"/>
    <w:rsid w:val="00EE178C"/>
    <w:rsid w:val="00EE6B6C"/>
    <w:rsid w:val="00EF45E6"/>
    <w:rsid w:val="00F10CAB"/>
    <w:rsid w:val="00F11CDF"/>
    <w:rsid w:val="00F179F4"/>
    <w:rsid w:val="00F42E85"/>
    <w:rsid w:val="00F50309"/>
    <w:rsid w:val="00F558FF"/>
    <w:rsid w:val="00F57C1F"/>
    <w:rsid w:val="00F64706"/>
    <w:rsid w:val="00F66965"/>
    <w:rsid w:val="00F71C6A"/>
    <w:rsid w:val="00F750A0"/>
    <w:rsid w:val="00F9722B"/>
    <w:rsid w:val="00FA1C5F"/>
    <w:rsid w:val="00FA700C"/>
    <w:rsid w:val="00FA75CE"/>
    <w:rsid w:val="00FB5E01"/>
    <w:rsid w:val="00FC3A8D"/>
    <w:rsid w:val="00FD44A8"/>
    <w:rsid w:val="00FE2E7E"/>
    <w:rsid w:val="00FF44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766374"/>
  <w15:docId w15:val="{41EC63CC-38A9-4468-B5FA-063760A565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4"/>
        <w:szCs w:val="24"/>
        <w:lang w:val="en-GB" w:eastAsia="en-US" w:bidi="ar-SA"/>
      </w:rPr>
    </w:rPrDefault>
    <w:pPrDefault>
      <w:pPr>
        <w:spacing w:after="16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05A1"/>
  </w:style>
  <w:style w:type="paragraph" w:styleId="Heading1">
    <w:name w:val="heading 1"/>
    <w:basedOn w:val="Normal"/>
    <w:next w:val="Normal"/>
    <w:link w:val="Heading1Char"/>
    <w:uiPriority w:val="9"/>
    <w:qFormat/>
    <w:rsid w:val="00B5625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FA75CE"/>
    <w:pPr>
      <w:spacing w:before="100" w:beforeAutospacing="1" w:after="100" w:afterAutospacing="1" w:line="240" w:lineRule="auto"/>
      <w:outlineLvl w:val="1"/>
    </w:pPr>
    <w:rPr>
      <w:rFonts w:eastAsia="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F05A1"/>
    <w:rPr>
      <w:sz w:val="16"/>
      <w:szCs w:val="16"/>
    </w:rPr>
  </w:style>
  <w:style w:type="paragraph" w:styleId="CommentText">
    <w:name w:val="annotation text"/>
    <w:basedOn w:val="Normal"/>
    <w:link w:val="CommentTextChar"/>
    <w:uiPriority w:val="99"/>
    <w:unhideWhenUsed/>
    <w:rsid w:val="004F05A1"/>
    <w:pPr>
      <w:spacing w:line="240" w:lineRule="auto"/>
    </w:pPr>
    <w:rPr>
      <w:sz w:val="20"/>
      <w:szCs w:val="20"/>
    </w:rPr>
  </w:style>
  <w:style w:type="character" w:customStyle="1" w:styleId="CommentTextChar">
    <w:name w:val="Comment Text Char"/>
    <w:basedOn w:val="DefaultParagraphFont"/>
    <w:link w:val="CommentText"/>
    <w:uiPriority w:val="99"/>
    <w:rsid w:val="004F05A1"/>
    <w:rPr>
      <w:sz w:val="20"/>
      <w:szCs w:val="20"/>
    </w:rPr>
  </w:style>
  <w:style w:type="character" w:styleId="Hyperlink">
    <w:name w:val="Hyperlink"/>
    <w:basedOn w:val="DefaultParagraphFont"/>
    <w:uiPriority w:val="99"/>
    <w:unhideWhenUsed/>
    <w:rsid w:val="004F05A1"/>
    <w:rPr>
      <w:color w:val="0000FF"/>
      <w:u w:val="single"/>
    </w:rPr>
  </w:style>
  <w:style w:type="paragraph" w:customStyle="1" w:styleId="bodytext">
    <w:name w:val="bodytext"/>
    <w:basedOn w:val="Normal"/>
    <w:uiPriority w:val="99"/>
    <w:rsid w:val="004F05A1"/>
    <w:pPr>
      <w:spacing w:before="100" w:beforeAutospacing="1" w:after="100" w:afterAutospacing="1" w:line="240" w:lineRule="atLeast"/>
    </w:pPr>
    <w:rPr>
      <w:rFonts w:ascii="Verdana" w:eastAsia="Times New Roman" w:hAnsi="Verdana"/>
      <w:sz w:val="18"/>
      <w:szCs w:val="18"/>
      <w:lang w:eastAsia="en-GB"/>
    </w:rPr>
  </w:style>
  <w:style w:type="paragraph" w:styleId="BalloonText">
    <w:name w:val="Balloon Text"/>
    <w:basedOn w:val="Normal"/>
    <w:link w:val="BalloonTextChar"/>
    <w:uiPriority w:val="99"/>
    <w:semiHidden/>
    <w:unhideWhenUsed/>
    <w:rsid w:val="004F05A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F05A1"/>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4F05A1"/>
    <w:rPr>
      <w:b/>
      <w:bCs/>
    </w:rPr>
  </w:style>
  <w:style w:type="character" w:customStyle="1" w:styleId="CommentSubjectChar">
    <w:name w:val="Comment Subject Char"/>
    <w:basedOn w:val="CommentTextChar"/>
    <w:link w:val="CommentSubject"/>
    <w:uiPriority w:val="99"/>
    <w:semiHidden/>
    <w:rsid w:val="004F05A1"/>
    <w:rPr>
      <w:b/>
      <w:bCs/>
      <w:sz w:val="20"/>
      <w:szCs w:val="20"/>
    </w:rPr>
  </w:style>
  <w:style w:type="character" w:styleId="Emphasis">
    <w:name w:val="Emphasis"/>
    <w:basedOn w:val="DefaultParagraphFont"/>
    <w:uiPriority w:val="20"/>
    <w:qFormat/>
    <w:rsid w:val="00370C87"/>
    <w:rPr>
      <w:i/>
      <w:iCs/>
    </w:rPr>
  </w:style>
  <w:style w:type="paragraph" w:styleId="PlainText">
    <w:name w:val="Plain Text"/>
    <w:basedOn w:val="Normal"/>
    <w:link w:val="PlainTextChar"/>
    <w:uiPriority w:val="99"/>
    <w:semiHidden/>
    <w:unhideWhenUsed/>
    <w:rsid w:val="00651FAC"/>
    <w:pPr>
      <w:spacing w:after="0" w:line="240" w:lineRule="auto"/>
    </w:pPr>
    <w:rPr>
      <w:rFonts w:ascii="Calibri" w:hAnsi="Calibri" w:cstheme="minorBidi"/>
      <w:sz w:val="22"/>
      <w:szCs w:val="21"/>
    </w:rPr>
  </w:style>
  <w:style w:type="character" w:customStyle="1" w:styleId="PlainTextChar">
    <w:name w:val="Plain Text Char"/>
    <w:basedOn w:val="DefaultParagraphFont"/>
    <w:link w:val="PlainText"/>
    <w:uiPriority w:val="99"/>
    <w:semiHidden/>
    <w:rsid w:val="00651FAC"/>
    <w:rPr>
      <w:rFonts w:ascii="Calibri" w:hAnsi="Calibri" w:cstheme="minorBidi"/>
      <w:sz w:val="22"/>
      <w:szCs w:val="21"/>
    </w:rPr>
  </w:style>
  <w:style w:type="character" w:styleId="FollowedHyperlink">
    <w:name w:val="FollowedHyperlink"/>
    <w:basedOn w:val="DefaultParagraphFont"/>
    <w:uiPriority w:val="99"/>
    <w:semiHidden/>
    <w:unhideWhenUsed/>
    <w:rsid w:val="00A8557B"/>
    <w:rPr>
      <w:color w:val="954F72" w:themeColor="followedHyperlink"/>
      <w:u w:val="single"/>
    </w:rPr>
  </w:style>
  <w:style w:type="paragraph" w:styleId="Bibliography">
    <w:name w:val="Bibliography"/>
    <w:basedOn w:val="Normal"/>
    <w:next w:val="Normal"/>
    <w:uiPriority w:val="37"/>
    <w:unhideWhenUsed/>
    <w:rsid w:val="00FB5E01"/>
    <w:pPr>
      <w:tabs>
        <w:tab w:val="left" w:pos="504"/>
      </w:tabs>
      <w:spacing w:after="240" w:line="240" w:lineRule="auto"/>
      <w:ind w:left="504" w:hanging="504"/>
    </w:pPr>
  </w:style>
  <w:style w:type="character" w:customStyle="1" w:styleId="Heading2Char">
    <w:name w:val="Heading 2 Char"/>
    <w:basedOn w:val="DefaultParagraphFont"/>
    <w:link w:val="Heading2"/>
    <w:uiPriority w:val="9"/>
    <w:rsid w:val="00FA75CE"/>
    <w:rPr>
      <w:rFonts w:eastAsia="Times New Roman"/>
      <w:b/>
      <w:bCs/>
      <w:sz w:val="36"/>
      <w:szCs w:val="36"/>
      <w:lang w:eastAsia="en-GB"/>
    </w:rPr>
  </w:style>
  <w:style w:type="paragraph" w:styleId="NormalWeb">
    <w:name w:val="Normal (Web)"/>
    <w:basedOn w:val="Normal"/>
    <w:uiPriority w:val="99"/>
    <w:semiHidden/>
    <w:unhideWhenUsed/>
    <w:rsid w:val="00FA75CE"/>
    <w:pPr>
      <w:spacing w:before="100" w:beforeAutospacing="1" w:after="100" w:afterAutospacing="1" w:line="240" w:lineRule="auto"/>
    </w:pPr>
    <w:rPr>
      <w:rFonts w:eastAsia="Times New Roman"/>
      <w:lang w:eastAsia="en-GB"/>
    </w:rPr>
  </w:style>
  <w:style w:type="character" w:customStyle="1" w:styleId="Heading1Char">
    <w:name w:val="Heading 1 Char"/>
    <w:basedOn w:val="DefaultParagraphFont"/>
    <w:link w:val="Heading1"/>
    <w:uiPriority w:val="9"/>
    <w:rsid w:val="00B56253"/>
    <w:rPr>
      <w:rFonts w:asciiTheme="majorHAnsi" w:eastAsiaTheme="majorEastAsia" w:hAnsiTheme="majorHAnsi" w:cstheme="majorBidi"/>
      <w:color w:val="2F5496" w:themeColor="accent1" w:themeShade="BF"/>
      <w:sz w:val="32"/>
      <w:szCs w:val="32"/>
    </w:rPr>
  </w:style>
  <w:style w:type="character" w:customStyle="1" w:styleId="st">
    <w:name w:val="st"/>
    <w:basedOn w:val="DefaultParagraphFont"/>
    <w:rsid w:val="001E225B"/>
  </w:style>
  <w:style w:type="paragraph" w:styleId="Header">
    <w:name w:val="header"/>
    <w:basedOn w:val="Normal"/>
    <w:link w:val="HeaderChar"/>
    <w:uiPriority w:val="99"/>
    <w:unhideWhenUsed/>
    <w:rsid w:val="001A79FD"/>
    <w:pPr>
      <w:tabs>
        <w:tab w:val="center" w:pos="4513"/>
        <w:tab w:val="right" w:pos="9026"/>
      </w:tabs>
      <w:spacing w:after="0" w:line="240" w:lineRule="auto"/>
    </w:pPr>
  </w:style>
  <w:style w:type="character" w:customStyle="1" w:styleId="HeaderChar">
    <w:name w:val="Header Char"/>
    <w:basedOn w:val="DefaultParagraphFont"/>
    <w:link w:val="Header"/>
    <w:uiPriority w:val="99"/>
    <w:rsid w:val="001A79FD"/>
  </w:style>
  <w:style w:type="paragraph" w:styleId="Footer">
    <w:name w:val="footer"/>
    <w:basedOn w:val="Normal"/>
    <w:link w:val="FooterChar"/>
    <w:uiPriority w:val="99"/>
    <w:unhideWhenUsed/>
    <w:rsid w:val="001A79FD"/>
    <w:pPr>
      <w:tabs>
        <w:tab w:val="center" w:pos="4513"/>
        <w:tab w:val="right" w:pos="9026"/>
      </w:tabs>
      <w:spacing w:after="0" w:line="240" w:lineRule="auto"/>
    </w:pPr>
  </w:style>
  <w:style w:type="character" w:customStyle="1" w:styleId="FooterChar">
    <w:name w:val="Footer Char"/>
    <w:basedOn w:val="DefaultParagraphFont"/>
    <w:link w:val="Footer"/>
    <w:uiPriority w:val="99"/>
    <w:rsid w:val="001A79FD"/>
  </w:style>
  <w:style w:type="character" w:customStyle="1" w:styleId="UnresolvedMention1">
    <w:name w:val="Unresolved Mention1"/>
    <w:basedOn w:val="DefaultParagraphFont"/>
    <w:uiPriority w:val="99"/>
    <w:semiHidden/>
    <w:unhideWhenUsed/>
    <w:rsid w:val="00F64706"/>
    <w:rPr>
      <w:color w:val="605E5C"/>
      <w:shd w:val="clear" w:color="auto" w:fill="E1DFDD"/>
    </w:rPr>
  </w:style>
  <w:style w:type="paragraph" w:styleId="NoSpacing">
    <w:name w:val="No Spacing"/>
    <w:uiPriority w:val="1"/>
    <w:qFormat/>
    <w:rsid w:val="00263192"/>
    <w:pPr>
      <w:spacing w:after="0" w:line="240" w:lineRule="auto"/>
    </w:pPr>
  </w:style>
  <w:style w:type="character" w:customStyle="1" w:styleId="UnresolvedMention2">
    <w:name w:val="Unresolved Mention2"/>
    <w:basedOn w:val="DefaultParagraphFont"/>
    <w:uiPriority w:val="99"/>
    <w:semiHidden/>
    <w:unhideWhenUsed/>
    <w:rsid w:val="00FE2E7E"/>
    <w:rPr>
      <w:color w:val="605E5C"/>
      <w:shd w:val="clear" w:color="auto" w:fill="E1DFDD"/>
    </w:rPr>
  </w:style>
  <w:style w:type="character" w:customStyle="1" w:styleId="orcid-id-https">
    <w:name w:val="orcid-id-https"/>
    <w:basedOn w:val="DefaultParagraphFont"/>
    <w:rsid w:val="00F750A0"/>
  </w:style>
  <w:style w:type="table" w:styleId="TableGrid">
    <w:name w:val="Table Grid"/>
    <w:basedOn w:val="TableNormal"/>
    <w:uiPriority w:val="59"/>
    <w:rsid w:val="00DD741E"/>
    <w:pPr>
      <w:spacing w:after="0" w:line="240" w:lineRule="auto"/>
    </w:pPr>
    <w:rPr>
      <w:rFonts w:asciiTheme="minorHAnsi" w:eastAsiaTheme="minorEastAsia" w:hAnsiTheme="minorHAnsi" w:cstheme="minorBidi"/>
      <w:sz w:val="22"/>
      <w:szCs w:val="22"/>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DD741E"/>
    <w:pPr>
      <w:spacing w:after="0" w:line="240" w:lineRule="auto"/>
    </w:pPr>
  </w:style>
  <w:style w:type="paragraph" w:styleId="ListParagraph">
    <w:name w:val="List Paragraph"/>
    <w:basedOn w:val="Normal"/>
    <w:uiPriority w:val="34"/>
    <w:qFormat/>
    <w:rsid w:val="00DD741E"/>
    <w:pPr>
      <w:autoSpaceDE w:val="0"/>
      <w:autoSpaceDN w:val="0"/>
      <w:adjustRightInd w:val="0"/>
      <w:spacing w:after="0" w:line="480" w:lineRule="auto"/>
      <w:ind w:left="720"/>
      <w:contextualSpacing/>
    </w:pPr>
  </w:style>
  <w:style w:type="character" w:styleId="UnresolvedMention">
    <w:name w:val="Unresolved Mention"/>
    <w:basedOn w:val="DefaultParagraphFont"/>
    <w:uiPriority w:val="99"/>
    <w:semiHidden/>
    <w:unhideWhenUsed/>
    <w:rsid w:val="0055638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7438015">
      <w:bodyDiv w:val="1"/>
      <w:marLeft w:val="0"/>
      <w:marRight w:val="0"/>
      <w:marTop w:val="0"/>
      <w:marBottom w:val="0"/>
      <w:divBdr>
        <w:top w:val="none" w:sz="0" w:space="0" w:color="auto"/>
        <w:left w:val="none" w:sz="0" w:space="0" w:color="auto"/>
        <w:bottom w:val="none" w:sz="0" w:space="0" w:color="auto"/>
        <w:right w:val="none" w:sz="0" w:space="0" w:color="auto"/>
      </w:divBdr>
    </w:div>
    <w:div w:id="316232379">
      <w:bodyDiv w:val="1"/>
      <w:marLeft w:val="0"/>
      <w:marRight w:val="0"/>
      <w:marTop w:val="0"/>
      <w:marBottom w:val="0"/>
      <w:divBdr>
        <w:top w:val="none" w:sz="0" w:space="0" w:color="auto"/>
        <w:left w:val="none" w:sz="0" w:space="0" w:color="auto"/>
        <w:bottom w:val="none" w:sz="0" w:space="0" w:color="auto"/>
        <w:right w:val="none" w:sz="0" w:space="0" w:color="auto"/>
      </w:divBdr>
      <w:divsChild>
        <w:div w:id="336812763">
          <w:marLeft w:val="0"/>
          <w:marRight w:val="0"/>
          <w:marTop w:val="0"/>
          <w:marBottom w:val="0"/>
          <w:divBdr>
            <w:top w:val="none" w:sz="0" w:space="0" w:color="auto"/>
            <w:left w:val="none" w:sz="0" w:space="0" w:color="auto"/>
            <w:bottom w:val="none" w:sz="0" w:space="0" w:color="auto"/>
            <w:right w:val="none" w:sz="0" w:space="0" w:color="auto"/>
          </w:divBdr>
          <w:divsChild>
            <w:div w:id="2130081394">
              <w:marLeft w:val="0"/>
              <w:marRight w:val="0"/>
              <w:marTop w:val="0"/>
              <w:marBottom w:val="0"/>
              <w:divBdr>
                <w:top w:val="none" w:sz="0" w:space="0" w:color="auto"/>
                <w:left w:val="none" w:sz="0" w:space="0" w:color="auto"/>
                <w:bottom w:val="none" w:sz="0" w:space="0" w:color="auto"/>
                <w:right w:val="none" w:sz="0" w:space="0" w:color="auto"/>
              </w:divBdr>
              <w:divsChild>
                <w:div w:id="394739679">
                  <w:marLeft w:val="0"/>
                  <w:marRight w:val="0"/>
                  <w:marTop w:val="0"/>
                  <w:marBottom w:val="0"/>
                  <w:divBdr>
                    <w:top w:val="none" w:sz="0" w:space="0" w:color="auto"/>
                    <w:left w:val="none" w:sz="0" w:space="0" w:color="auto"/>
                    <w:bottom w:val="none" w:sz="0" w:space="0" w:color="auto"/>
                    <w:right w:val="none" w:sz="0" w:space="0" w:color="auto"/>
                  </w:divBdr>
                </w:div>
                <w:div w:id="1470898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3594049">
          <w:marLeft w:val="0"/>
          <w:marRight w:val="0"/>
          <w:marTop w:val="0"/>
          <w:marBottom w:val="0"/>
          <w:divBdr>
            <w:top w:val="none" w:sz="0" w:space="0" w:color="auto"/>
            <w:left w:val="none" w:sz="0" w:space="0" w:color="auto"/>
            <w:bottom w:val="none" w:sz="0" w:space="0" w:color="auto"/>
            <w:right w:val="none" w:sz="0" w:space="0" w:color="auto"/>
          </w:divBdr>
          <w:divsChild>
            <w:div w:id="1777290880">
              <w:marLeft w:val="0"/>
              <w:marRight w:val="0"/>
              <w:marTop w:val="0"/>
              <w:marBottom w:val="0"/>
              <w:divBdr>
                <w:top w:val="none" w:sz="0" w:space="0" w:color="auto"/>
                <w:left w:val="none" w:sz="0" w:space="0" w:color="auto"/>
                <w:bottom w:val="none" w:sz="0" w:space="0" w:color="auto"/>
                <w:right w:val="none" w:sz="0" w:space="0" w:color="auto"/>
              </w:divBdr>
              <w:divsChild>
                <w:div w:id="1305115239">
                  <w:marLeft w:val="0"/>
                  <w:marRight w:val="0"/>
                  <w:marTop w:val="0"/>
                  <w:marBottom w:val="0"/>
                  <w:divBdr>
                    <w:top w:val="none" w:sz="0" w:space="0" w:color="auto"/>
                    <w:left w:val="none" w:sz="0" w:space="0" w:color="auto"/>
                    <w:bottom w:val="none" w:sz="0" w:space="0" w:color="auto"/>
                    <w:right w:val="none" w:sz="0" w:space="0" w:color="auto"/>
                  </w:divBdr>
                  <w:divsChild>
                    <w:div w:id="844049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18794899">
      <w:bodyDiv w:val="1"/>
      <w:marLeft w:val="0"/>
      <w:marRight w:val="0"/>
      <w:marTop w:val="0"/>
      <w:marBottom w:val="0"/>
      <w:divBdr>
        <w:top w:val="none" w:sz="0" w:space="0" w:color="auto"/>
        <w:left w:val="none" w:sz="0" w:space="0" w:color="auto"/>
        <w:bottom w:val="none" w:sz="0" w:space="0" w:color="auto"/>
        <w:right w:val="none" w:sz="0" w:space="0" w:color="auto"/>
      </w:divBdr>
    </w:div>
    <w:div w:id="18850227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hitej11@cf.ac.uk" TargetMode="External"/><Relationship Id="rId13" Type="http://schemas.openxmlformats.org/officeDocument/2006/relationships/hyperlink" Target="https://eur03.safelinks.protection.outlook.com/?url=http%3A%2F%2Fgroup.bmj.com%2Fproducts%2Fjournals%2Finstructions-for-authors%2Flicence-forms&amp;amp;data=01%7C01%7CWhiteJ11%40cardiff.ac.uk%7C0e49c5cbd2b84f01d89908d79233ed2a%7Cbdb74b3095684856bdbf06759778fcbc%7C1&amp;amp;sdata=oMgdVPdjCUmitMSnLtcxtucVuBt2wC1C3E72SZ6Xnhc%3D&amp;amp;reserved=0"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iscover.ukdataservice.ac.uk/"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whitej11@cf.ac.uk" TargetMode="External"/><Relationship Id="rId5" Type="http://schemas.openxmlformats.org/officeDocument/2006/relationships/webSettings" Target="webSettings.xml"/><Relationship Id="rId15" Type="http://schemas.openxmlformats.org/officeDocument/2006/relationships/image" Target="media/image1.jpg"/><Relationship Id="rId10" Type="http://schemas.openxmlformats.org/officeDocument/2006/relationships/hyperlink" Target="mailto:david.batty@ucl.ac.uk" TargetMode="External"/><Relationship Id="rId4" Type="http://schemas.openxmlformats.org/officeDocument/2006/relationships/settings" Target="settings.xml"/><Relationship Id="rId9" Type="http://schemas.openxmlformats.org/officeDocument/2006/relationships/hyperlink" Target="mailto:scb81@medschl.cam.ac.uk"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67CA7E-3AC9-42F9-AF50-8542DFC6DE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15</Pages>
  <Words>21922</Words>
  <Characters>124959</Characters>
  <Application>Microsoft Office Word</Application>
  <DocSecurity>0</DocSecurity>
  <Lines>1041</Lines>
  <Paragraphs>293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146588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James White</dc:creator>
  <cp:lastModifiedBy>James White</cp:lastModifiedBy>
  <cp:revision>5</cp:revision>
  <cp:lastPrinted>2019-06-13T11:28:00Z</cp:lastPrinted>
  <dcterms:created xsi:type="dcterms:W3CDTF">2020-04-01T10:35:00Z</dcterms:created>
  <dcterms:modified xsi:type="dcterms:W3CDTF">2020-04-14T11:21:00Z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zotero-version="5.0.66"&gt;&lt;session id="ANdzyew8"/&gt;&lt;style id="http://www.zotero.org/styles/vancouver-superscript" locale="en-US" hasBibliography="1" bibliographyStyleHasBeenSet="1"/&gt;&lt;prefs&gt;&lt;pref name="fieldType" value="Field"/&gt;&lt;pref na</vt:lpwstr>
  </property>
  <property fmtid="{D5CDD505-2E9C-101B-9397-08002B2CF9AE}" pid="3" name="ZOTERO_PREF_2">
    <vt:lpwstr>me="automaticJournalAbbreviations" value="true"/&gt;&lt;/prefs&gt;&lt;/data&gt;</vt:lpwstr>
  </property>
</Properties>
</file>