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4" Type="http://schemas.openxmlformats.org/officeDocument/2006/relationships/custom-properties" Target="docProps/custom.xml"/><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BF3EF8E" w14:textId="447468B9" w:rsidR="00B7555E" w:rsidRPr="00C223AB" w:rsidRDefault="00B71266" w:rsidP="00C223AB">
      <w:pPr>
        <w:tabs>
          <w:tab w:val="left" w:pos="1800"/>
        </w:tabs>
        <w:jc w:val="center"/>
        <w:rPr>
          <w:rFonts w:ascii="Arial" w:hAnsi="Arial" w:cs="Arial"/>
          <w:b/>
          <w:sz w:val="28"/>
          <w:szCs w:val="28"/>
        </w:rPr>
      </w:pPr>
      <w:r w:rsidRPr="00C223AB">
        <w:rPr>
          <w:rFonts w:ascii="Arial" w:hAnsi="Arial" w:cs="Arial"/>
          <w:b/>
          <w:sz w:val="28"/>
          <w:szCs w:val="28"/>
        </w:rPr>
        <w:t>A</w:t>
      </w:r>
      <w:r w:rsidR="00B7555E" w:rsidRPr="00C223AB">
        <w:rPr>
          <w:rFonts w:ascii="Arial" w:hAnsi="Arial" w:cs="Arial"/>
          <w:b/>
          <w:sz w:val="28"/>
          <w:szCs w:val="28"/>
        </w:rPr>
        <w:t>polipoprotein C</w:t>
      </w:r>
      <w:r w:rsidRPr="00C223AB">
        <w:rPr>
          <w:rFonts w:ascii="Arial" w:hAnsi="Arial" w:cs="Arial"/>
          <w:b/>
          <w:sz w:val="28"/>
          <w:szCs w:val="28"/>
        </w:rPr>
        <w:t>-</w:t>
      </w:r>
      <w:r w:rsidR="00B7555E" w:rsidRPr="00C223AB">
        <w:rPr>
          <w:rFonts w:ascii="Arial" w:hAnsi="Arial" w:cs="Arial"/>
          <w:b/>
          <w:sz w:val="28"/>
          <w:szCs w:val="28"/>
        </w:rPr>
        <w:t>III</w:t>
      </w:r>
      <w:r w:rsidR="008B3D13" w:rsidRPr="00C223AB">
        <w:rPr>
          <w:rFonts w:ascii="Arial" w:hAnsi="Arial" w:cs="Arial"/>
          <w:b/>
          <w:sz w:val="28"/>
          <w:szCs w:val="28"/>
        </w:rPr>
        <w:t xml:space="preserve"> levels</w:t>
      </w:r>
      <w:r w:rsidR="00B7555E" w:rsidRPr="00C223AB">
        <w:rPr>
          <w:rFonts w:ascii="Arial" w:hAnsi="Arial" w:cs="Arial"/>
          <w:b/>
          <w:sz w:val="28"/>
          <w:szCs w:val="28"/>
        </w:rPr>
        <w:t xml:space="preserve"> </w:t>
      </w:r>
      <w:r w:rsidR="00EA2453" w:rsidRPr="00C223AB">
        <w:rPr>
          <w:rFonts w:ascii="Arial" w:hAnsi="Arial" w:cs="Arial"/>
          <w:b/>
          <w:sz w:val="28"/>
          <w:szCs w:val="28"/>
        </w:rPr>
        <w:t>a</w:t>
      </w:r>
      <w:r w:rsidR="00E759D4" w:rsidRPr="00C223AB">
        <w:rPr>
          <w:rFonts w:ascii="Arial" w:hAnsi="Arial" w:cs="Arial"/>
          <w:b/>
          <w:sz w:val="28"/>
          <w:szCs w:val="28"/>
        </w:rPr>
        <w:t xml:space="preserve">nd Incident Coronary Artery Disease Risk: The </w:t>
      </w:r>
      <w:r w:rsidR="00BD4294" w:rsidRPr="00C223AB">
        <w:rPr>
          <w:rFonts w:ascii="Arial" w:hAnsi="Arial" w:cs="Arial"/>
          <w:b/>
          <w:sz w:val="28"/>
          <w:szCs w:val="28"/>
        </w:rPr>
        <w:t>EPIC-N</w:t>
      </w:r>
      <w:r w:rsidR="009B341F" w:rsidRPr="00C223AB">
        <w:rPr>
          <w:rFonts w:ascii="Arial" w:hAnsi="Arial" w:cs="Arial"/>
          <w:b/>
          <w:sz w:val="28"/>
          <w:szCs w:val="28"/>
        </w:rPr>
        <w:t>orfolk</w:t>
      </w:r>
      <w:r w:rsidR="00BD4294" w:rsidRPr="00C223AB">
        <w:rPr>
          <w:rFonts w:ascii="Arial" w:hAnsi="Arial" w:cs="Arial"/>
          <w:b/>
          <w:sz w:val="28"/>
          <w:szCs w:val="28"/>
        </w:rPr>
        <w:t xml:space="preserve"> </w:t>
      </w:r>
      <w:r w:rsidR="00E759D4" w:rsidRPr="00C223AB">
        <w:rPr>
          <w:rFonts w:ascii="Arial" w:hAnsi="Arial" w:cs="Arial"/>
          <w:b/>
          <w:sz w:val="28"/>
          <w:szCs w:val="28"/>
        </w:rPr>
        <w:t>Prospective Population Study</w:t>
      </w:r>
    </w:p>
    <w:p w14:paraId="7839CF08" w14:textId="77777777" w:rsidR="00B7555E" w:rsidRPr="00C223AB" w:rsidRDefault="00B7555E" w:rsidP="00C223AB">
      <w:pPr>
        <w:jc w:val="center"/>
        <w:rPr>
          <w:rFonts w:ascii="Arial" w:hAnsi="Arial" w:cs="Arial"/>
          <w:sz w:val="40"/>
          <w:szCs w:val="40"/>
        </w:rPr>
      </w:pPr>
    </w:p>
    <w:p w14:paraId="5CC86BCD" w14:textId="0BBF7A1D" w:rsidR="00B7555E" w:rsidRPr="00C223AB" w:rsidRDefault="00B7555E" w:rsidP="00C223AB">
      <w:pPr>
        <w:rPr>
          <w:rFonts w:ascii="Arial" w:hAnsi="Arial" w:cs="Arial"/>
        </w:rPr>
      </w:pPr>
      <w:r w:rsidRPr="00C223AB">
        <w:rPr>
          <w:rFonts w:ascii="Arial" w:hAnsi="Arial" w:cs="Arial"/>
        </w:rPr>
        <w:t>J.C. van Capelleveen</w:t>
      </w:r>
      <w:r w:rsidR="00980D54" w:rsidRPr="00C223AB">
        <w:rPr>
          <w:rFonts w:ascii="Arial" w:hAnsi="Arial" w:cs="Arial"/>
          <w:vertAlign w:val="superscript"/>
        </w:rPr>
        <w:t>1</w:t>
      </w:r>
      <w:r w:rsidR="0069663E" w:rsidRPr="00C223AB">
        <w:rPr>
          <w:rFonts w:ascii="Arial" w:hAnsi="Arial" w:cs="Arial"/>
        </w:rPr>
        <w:t>, S.J.</w:t>
      </w:r>
      <w:r w:rsidR="00B67905" w:rsidRPr="00C223AB">
        <w:rPr>
          <w:rFonts w:ascii="Arial" w:hAnsi="Arial" w:cs="Arial"/>
        </w:rPr>
        <w:t xml:space="preserve"> </w:t>
      </w:r>
      <w:r w:rsidR="0069663E" w:rsidRPr="00C223AB">
        <w:rPr>
          <w:rFonts w:ascii="Arial" w:hAnsi="Arial" w:cs="Arial"/>
        </w:rPr>
        <w:t>Bernelot</w:t>
      </w:r>
      <w:r w:rsidR="002B3C72" w:rsidRPr="00C223AB">
        <w:rPr>
          <w:rFonts w:ascii="Arial" w:hAnsi="Arial" w:cs="Arial"/>
        </w:rPr>
        <w:t xml:space="preserve"> </w:t>
      </w:r>
      <w:r w:rsidR="0069663E" w:rsidRPr="00C223AB">
        <w:rPr>
          <w:rFonts w:ascii="Arial" w:hAnsi="Arial" w:cs="Arial"/>
        </w:rPr>
        <w:t>Moens</w:t>
      </w:r>
      <w:r w:rsidR="00980D54" w:rsidRPr="00C223AB">
        <w:rPr>
          <w:rFonts w:ascii="Arial" w:hAnsi="Arial" w:cs="Arial"/>
          <w:vertAlign w:val="superscript"/>
        </w:rPr>
        <w:t>1</w:t>
      </w:r>
      <w:r w:rsidR="0069663E" w:rsidRPr="00C223AB">
        <w:rPr>
          <w:rFonts w:ascii="Arial" w:hAnsi="Arial" w:cs="Arial"/>
        </w:rPr>
        <w:t xml:space="preserve">, </w:t>
      </w:r>
      <w:r w:rsidR="00B04A37" w:rsidRPr="00C223AB">
        <w:rPr>
          <w:rFonts w:ascii="Arial" w:hAnsi="Arial" w:cs="Arial"/>
        </w:rPr>
        <w:t>X</w:t>
      </w:r>
      <w:r w:rsidR="00B71266" w:rsidRPr="00C223AB">
        <w:rPr>
          <w:rFonts w:ascii="Arial" w:hAnsi="Arial" w:cs="Arial"/>
        </w:rPr>
        <w:t>.</w:t>
      </w:r>
      <w:r w:rsidR="00B04A37" w:rsidRPr="00C223AB">
        <w:rPr>
          <w:rFonts w:ascii="Arial" w:hAnsi="Arial" w:cs="Arial"/>
        </w:rPr>
        <w:t xml:space="preserve"> Yang</w:t>
      </w:r>
      <w:r w:rsidR="00980D54" w:rsidRPr="00C223AB">
        <w:rPr>
          <w:rFonts w:ascii="Arial" w:hAnsi="Arial" w:cs="Arial"/>
          <w:vertAlign w:val="superscript"/>
        </w:rPr>
        <w:t>2</w:t>
      </w:r>
      <w:r w:rsidR="00980D54" w:rsidRPr="00C223AB">
        <w:rPr>
          <w:rFonts w:ascii="Arial" w:hAnsi="Arial" w:cs="Arial"/>
        </w:rPr>
        <w:t>,</w:t>
      </w:r>
      <w:r w:rsidR="00B67905" w:rsidRPr="00C223AB">
        <w:rPr>
          <w:rFonts w:ascii="Arial" w:hAnsi="Arial" w:cs="Arial"/>
        </w:rPr>
        <w:t xml:space="preserve"> </w:t>
      </w:r>
      <w:r w:rsidR="009305A8" w:rsidRPr="00C223AB">
        <w:rPr>
          <w:rFonts w:ascii="Arial" w:hAnsi="Arial" w:cs="Arial"/>
        </w:rPr>
        <w:t>J.J.</w:t>
      </w:r>
      <w:r w:rsidR="00B67905" w:rsidRPr="00C223AB">
        <w:rPr>
          <w:rFonts w:ascii="Arial" w:hAnsi="Arial" w:cs="Arial"/>
        </w:rPr>
        <w:t>P.</w:t>
      </w:r>
      <w:r w:rsidR="009305A8" w:rsidRPr="00C223AB">
        <w:rPr>
          <w:rFonts w:ascii="Arial" w:hAnsi="Arial" w:cs="Arial"/>
        </w:rPr>
        <w:t xml:space="preserve"> Kastelein</w:t>
      </w:r>
      <w:r w:rsidR="00980D54" w:rsidRPr="00C223AB">
        <w:rPr>
          <w:rFonts w:ascii="Arial" w:hAnsi="Arial" w:cs="Arial"/>
          <w:vertAlign w:val="superscript"/>
        </w:rPr>
        <w:t>1</w:t>
      </w:r>
      <w:r w:rsidR="00980D54" w:rsidRPr="00C223AB">
        <w:rPr>
          <w:rFonts w:ascii="Arial" w:hAnsi="Arial" w:cs="Arial"/>
        </w:rPr>
        <w:t>,</w:t>
      </w:r>
      <w:r w:rsidR="009305A8" w:rsidRPr="00C223AB">
        <w:rPr>
          <w:rFonts w:ascii="Arial" w:hAnsi="Arial" w:cs="Arial"/>
        </w:rPr>
        <w:t xml:space="preserve"> </w:t>
      </w:r>
      <w:r w:rsidR="00DB1BEC" w:rsidRPr="00C223AB">
        <w:rPr>
          <w:rFonts w:ascii="Arial" w:hAnsi="Arial" w:cs="Arial"/>
        </w:rPr>
        <w:t>N.J. Wareham</w:t>
      </w:r>
      <w:r w:rsidR="00980D54" w:rsidRPr="00C223AB">
        <w:rPr>
          <w:rFonts w:ascii="Arial" w:hAnsi="Arial" w:cs="Arial"/>
          <w:vertAlign w:val="superscript"/>
        </w:rPr>
        <w:t>3</w:t>
      </w:r>
      <w:r w:rsidR="00DB1BEC" w:rsidRPr="00C223AB">
        <w:rPr>
          <w:rFonts w:ascii="Arial" w:hAnsi="Arial" w:cs="Arial"/>
        </w:rPr>
        <w:t xml:space="preserve">, </w:t>
      </w:r>
      <w:r w:rsidR="00AA15EC" w:rsidRPr="00C223AB">
        <w:rPr>
          <w:rFonts w:ascii="Arial" w:hAnsi="Arial" w:cs="Arial"/>
        </w:rPr>
        <w:t>A.H.</w:t>
      </w:r>
      <w:r w:rsidR="00E263C1" w:rsidRPr="00C223AB">
        <w:rPr>
          <w:rFonts w:ascii="Arial" w:hAnsi="Arial" w:cs="Arial"/>
        </w:rPr>
        <w:t xml:space="preserve"> </w:t>
      </w:r>
      <w:r w:rsidR="00AA15EC" w:rsidRPr="00C223AB">
        <w:rPr>
          <w:rFonts w:ascii="Arial" w:hAnsi="Arial" w:cs="Arial"/>
        </w:rPr>
        <w:t>Zwinderman</w:t>
      </w:r>
      <w:r w:rsidR="00E263C1" w:rsidRPr="00C223AB">
        <w:rPr>
          <w:rFonts w:ascii="Arial" w:hAnsi="Arial" w:cs="Arial"/>
          <w:vertAlign w:val="superscript"/>
        </w:rPr>
        <w:t>4</w:t>
      </w:r>
      <w:r w:rsidR="00AA15EC" w:rsidRPr="00C223AB">
        <w:rPr>
          <w:rFonts w:ascii="Arial" w:hAnsi="Arial" w:cs="Arial"/>
        </w:rPr>
        <w:t xml:space="preserve">, </w:t>
      </w:r>
      <w:r w:rsidR="002D605A" w:rsidRPr="00C223AB">
        <w:rPr>
          <w:rFonts w:ascii="Arial" w:hAnsi="Arial" w:cs="Arial"/>
        </w:rPr>
        <w:t>E.S.</w:t>
      </w:r>
      <w:r w:rsidR="00B67905" w:rsidRPr="00C223AB">
        <w:rPr>
          <w:rFonts w:ascii="Arial" w:hAnsi="Arial" w:cs="Arial"/>
        </w:rPr>
        <w:t>G.</w:t>
      </w:r>
      <w:r w:rsidR="002D605A" w:rsidRPr="00C223AB">
        <w:rPr>
          <w:rFonts w:ascii="Arial" w:hAnsi="Arial" w:cs="Arial"/>
        </w:rPr>
        <w:t xml:space="preserve"> Stroes</w:t>
      </w:r>
      <w:r w:rsidR="00980D54" w:rsidRPr="00C223AB">
        <w:rPr>
          <w:rFonts w:ascii="Arial" w:hAnsi="Arial" w:cs="Arial"/>
          <w:vertAlign w:val="superscript"/>
        </w:rPr>
        <w:t>1</w:t>
      </w:r>
      <w:r w:rsidR="00B67905" w:rsidRPr="00C223AB">
        <w:rPr>
          <w:rFonts w:ascii="Arial" w:hAnsi="Arial" w:cs="Arial"/>
        </w:rPr>
        <w:t>,</w:t>
      </w:r>
      <w:r w:rsidR="002D605A" w:rsidRPr="00C223AB">
        <w:rPr>
          <w:rFonts w:ascii="Arial" w:hAnsi="Arial" w:cs="Arial"/>
        </w:rPr>
        <w:t xml:space="preserve"> J</w:t>
      </w:r>
      <w:r w:rsidR="00B71266" w:rsidRPr="00C223AB">
        <w:rPr>
          <w:rFonts w:ascii="Arial" w:hAnsi="Arial" w:cs="Arial"/>
        </w:rPr>
        <w:t>.</w:t>
      </w:r>
      <w:r w:rsidR="002D605A" w:rsidRPr="00C223AB">
        <w:rPr>
          <w:rFonts w:ascii="Arial" w:hAnsi="Arial" w:cs="Arial"/>
        </w:rPr>
        <w:t>L. Witztum</w:t>
      </w:r>
      <w:r w:rsidR="00E263C1" w:rsidRPr="00C223AB">
        <w:rPr>
          <w:rFonts w:ascii="Arial" w:hAnsi="Arial" w:cs="Arial"/>
          <w:vertAlign w:val="superscript"/>
        </w:rPr>
        <w:t>5</w:t>
      </w:r>
      <w:r w:rsidR="002D605A" w:rsidRPr="00C223AB">
        <w:rPr>
          <w:rFonts w:ascii="Arial" w:hAnsi="Arial" w:cs="Arial"/>
        </w:rPr>
        <w:t xml:space="preserve">, </w:t>
      </w:r>
      <w:r w:rsidR="00450DC6" w:rsidRPr="00C223AB">
        <w:rPr>
          <w:rFonts w:ascii="Arial" w:hAnsi="Arial" w:cs="Arial"/>
        </w:rPr>
        <w:t>G.K. Hovingh</w:t>
      </w:r>
      <w:r w:rsidR="00450DC6" w:rsidRPr="00C223AB">
        <w:rPr>
          <w:rFonts w:ascii="Arial" w:hAnsi="Arial" w:cs="Arial"/>
          <w:vertAlign w:val="superscript"/>
        </w:rPr>
        <w:t>1</w:t>
      </w:r>
      <w:r w:rsidR="00B67905" w:rsidRPr="00C223AB">
        <w:rPr>
          <w:rFonts w:ascii="Arial" w:hAnsi="Arial" w:cs="Arial"/>
        </w:rPr>
        <w:t>, K.T. Khaw</w:t>
      </w:r>
      <w:r w:rsidR="00E263C1" w:rsidRPr="00C223AB">
        <w:rPr>
          <w:rFonts w:ascii="Arial" w:hAnsi="Arial" w:cs="Arial"/>
          <w:vertAlign w:val="superscript"/>
        </w:rPr>
        <w:t>6</w:t>
      </w:r>
      <w:r w:rsidR="00B67905" w:rsidRPr="00C223AB">
        <w:rPr>
          <w:rFonts w:ascii="Arial" w:hAnsi="Arial" w:cs="Arial"/>
        </w:rPr>
        <w:t xml:space="preserve">, </w:t>
      </w:r>
      <w:r w:rsidR="00450DC6" w:rsidRPr="00C223AB">
        <w:rPr>
          <w:rFonts w:ascii="Arial" w:hAnsi="Arial" w:cs="Arial"/>
        </w:rPr>
        <w:t>S.M. Boekholdt</w:t>
      </w:r>
      <w:r w:rsidR="00E263C1" w:rsidRPr="00C223AB">
        <w:rPr>
          <w:rFonts w:ascii="Arial" w:hAnsi="Arial" w:cs="Arial"/>
          <w:vertAlign w:val="superscript"/>
        </w:rPr>
        <w:t>7</w:t>
      </w:r>
      <w:r w:rsidR="00B71266" w:rsidRPr="00C223AB">
        <w:rPr>
          <w:rFonts w:ascii="Arial" w:hAnsi="Arial" w:cs="Arial"/>
        </w:rPr>
        <w:t>,</w:t>
      </w:r>
      <w:r w:rsidRPr="00C223AB">
        <w:rPr>
          <w:rFonts w:ascii="Arial" w:hAnsi="Arial" w:cs="Arial"/>
        </w:rPr>
        <w:t xml:space="preserve"> S. Tsimikas</w:t>
      </w:r>
      <w:r w:rsidR="00E263C1" w:rsidRPr="00C223AB">
        <w:rPr>
          <w:rFonts w:ascii="Arial" w:hAnsi="Arial" w:cs="Arial"/>
          <w:vertAlign w:val="superscript"/>
        </w:rPr>
        <w:t>2</w:t>
      </w:r>
      <w:r w:rsidRPr="00C223AB">
        <w:rPr>
          <w:rFonts w:ascii="Arial" w:hAnsi="Arial" w:cs="Arial"/>
        </w:rPr>
        <w:t xml:space="preserve">. </w:t>
      </w:r>
    </w:p>
    <w:p w14:paraId="1A5DB46C" w14:textId="77777777" w:rsidR="00B7555E" w:rsidRPr="00C223AB" w:rsidRDefault="00B7555E" w:rsidP="00C223AB">
      <w:pPr>
        <w:rPr>
          <w:rFonts w:ascii="Arial" w:hAnsi="Arial" w:cs="Arial"/>
        </w:rPr>
      </w:pPr>
    </w:p>
    <w:p w14:paraId="17DF5373" w14:textId="77777777" w:rsidR="008B3D13" w:rsidRPr="00C223AB" w:rsidRDefault="008B3D13" w:rsidP="00C223AB">
      <w:pPr>
        <w:rPr>
          <w:rFonts w:ascii="Arial" w:hAnsi="Arial" w:cs="Arial"/>
        </w:rPr>
      </w:pPr>
    </w:p>
    <w:p w14:paraId="6D912FCD" w14:textId="6CAC5313" w:rsidR="00980D54" w:rsidRPr="00C223AB" w:rsidRDefault="00980D54" w:rsidP="00C223AB">
      <w:pPr>
        <w:numPr>
          <w:ilvl w:val="0"/>
          <w:numId w:val="6"/>
        </w:numPr>
        <w:tabs>
          <w:tab w:val="left" w:pos="426"/>
          <w:tab w:val="left" w:pos="1416"/>
          <w:tab w:val="left" w:pos="2124"/>
          <w:tab w:val="left" w:pos="2832"/>
          <w:tab w:val="left" w:pos="3540"/>
          <w:tab w:val="left" w:pos="4248"/>
          <w:tab w:val="left" w:pos="4956"/>
          <w:tab w:val="left" w:pos="5664"/>
          <w:tab w:val="left" w:pos="6372"/>
          <w:tab w:val="left" w:pos="7080"/>
          <w:tab w:val="left" w:pos="7788"/>
          <w:tab w:val="left" w:pos="8496"/>
        </w:tabs>
        <w:ind w:left="426" w:hanging="426"/>
        <w:rPr>
          <w:rFonts w:ascii="Arial" w:hAnsi="Arial" w:cs="Arial"/>
          <w:sz w:val="22"/>
          <w:szCs w:val="22"/>
        </w:rPr>
      </w:pPr>
      <w:r w:rsidRPr="00C223AB">
        <w:rPr>
          <w:rFonts w:ascii="Arial" w:hAnsi="Arial" w:cs="Arial"/>
          <w:sz w:val="22"/>
          <w:szCs w:val="22"/>
        </w:rPr>
        <w:t>Department of Vascular Medicine, Academic Medical Center,</w:t>
      </w:r>
      <w:r w:rsidR="00451424" w:rsidRPr="00C223AB">
        <w:rPr>
          <w:rFonts w:ascii="Arial" w:hAnsi="Arial" w:cs="Arial"/>
          <w:sz w:val="22"/>
          <w:szCs w:val="22"/>
        </w:rPr>
        <w:t xml:space="preserve"> Amsterdam,</w:t>
      </w:r>
      <w:r w:rsidRPr="00C223AB">
        <w:rPr>
          <w:rFonts w:ascii="Arial" w:hAnsi="Arial" w:cs="Arial"/>
          <w:sz w:val="22"/>
          <w:szCs w:val="22"/>
        </w:rPr>
        <w:t xml:space="preserve"> the Netherlands</w:t>
      </w:r>
    </w:p>
    <w:p w14:paraId="75E3C12F" w14:textId="77777777" w:rsidR="00980D54" w:rsidRPr="00C223AB" w:rsidRDefault="00980D54" w:rsidP="00C223AB">
      <w:pPr>
        <w:numPr>
          <w:ilvl w:val="0"/>
          <w:numId w:val="6"/>
        </w:numPr>
        <w:tabs>
          <w:tab w:val="left" w:pos="426"/>
          <w:tab w:val="left" w:pos="1416"/>
          <w:tab w:val="left" w:pos="2124"/>
          <w:tab w:val="left" w:pos="2832"/>
          <w:tab w:val="left" w:pos="3540"/>
          <w:tab w:val="left" w:pos="4248"/>
          <w:tab w:val="left" w:pos="4956"/>
          <w:tab w:val="left" w:pos="5664"/>
          <w:tab w:val="left" w:pos="6372"/>
          <w:tab w:val="left" w:pos="7080"/>
          <w:tab w:val="left" w:pos="7788"/>
          <w:tab w:val="left" w:pos="8496"/>
        </w:tabs>
        <w:ind w:left="426" w:hanging="426"/>
        <w:rPr>
          <w:rFonts w:ascii="Arial" w:hAnsi="Arial" w:cs="Arial"/>
          <w:sz w:val="22"/>
          <w:szCs w:val="22"/>
        </w:rPr>
      </w:pPr>
      <w:r w:rsidRPr="00C223AB">
        <w:rPr>
          <w:rFonts w:ascii="Arial" w:hAnsi="Arial" w:cs="Arial"/>
          <w:sz w:val="22"/>
          <w:szCs w:val="22"/>
        </w:rPr>
        <w:t xml:space="preserve">Vascular Medicine Program, Division of Cardiology, Department of Medicine, University of California San Diego, La Jolla, California, USA </w:t>
      </w:r>
    </w:p>
    <w:p w14:paraId="408D9DAB" w14:textId="77777777" w:rsidR="00E263C1" w:rsidRPr="00C223AB" w:rsidRDefault="00980D54" w:rsidP="00C223AB">
      <w:pPr>
        <w:numPr>
          <w:ilvl w:val="0"/>
          <w:numId w:val="6"/>
        </w:numPr>
        <w:tabs>
          <w:tab w:val="left" w:pos="426"/>
          <w:tab w:val="left" w:pos="1416"/>
          <w:tab w:val="left" w:pos="2124"/>
          <w:tab w:val="left" w:pos="2832"/>
          <w:tab w:val="left" w:pos="3540"/>
          <w:tab w:val="left" w:pos="4248"/>
          <w:tab w:val="left" w:pos="4956"/>
          <w:tab w:val="left" w:pos="5664"/>
          <w:tab w:val="left" w:pos="6372"/>
          <w:tab w:val="left" w:pos="7080"/>
          <w:tab w:val="left" w:pos="7788"/>
          <w:tab w:val="left" w:pos="8496"/>
        </w:tabs>
        <w:ind w:left="426" w:hanging="426"/>
        <w:rPr>
          <w:rFonts w:ascii="Arial" w:hAnsi="Arial" w:cs="Arial"/>
          <w:sz w:val="22"/>
          <w:szCs w:val="22"/>
        </w:rPr>
      </w:pPr>
      <w:r w:rsidRPr="00C223AB">
        <w:rPr>
          <w:rFonts w:ascii="Arial" w:hAnsi="Arial" w:cs="Arial"/>
          <w:sz w:val="22"/>
          <w:szCs w:val="22"/>
        </w:rPr>
        <w:t>Medical Research Council Epidemiology Unit, Cambridge, United Kingdom</w:t>
      </w:r>
      <w:r w:rsidR="00E263C1" w:rsidRPr="00C223AB">
        <w:rPr>
          <w:rFonts w:ascii="Arial" w:hAnsi="Arial" w:cs="Arial"/>
          <w:sz w:val="22"/>
          <w:szCs w:val="22"/>
        </w:rPr>
        <w:t xml:space="preserve"> </w:t>
      </w:r>
    </w:p>
    <w:p w14:paraId="69AF176F" w14:textId="2D5F63C5" w:rsidR="00E263C1" w:rsidRPr="00C223AB" w:rsidRDefault="00E263C1" w:rsidP="00C223AB">
      <w:pPr>
        <w:numPr>
          <w:ilvl w:val="0"/>
          <w:numId w:val="6"/>
        </w:numPr>
        <w:tabs>
          <w:tab w:val="left" w:pos="426"/>
          <w:tab w:val="left" w:pos="1416"/>
          <w:tab w:val="left" w:pos="2124"/>
          <w:tab w:val="left" w:pos="2832"/>
          <w:tab w:val="left" w:pos="3540"/>
          <w:tab w:val="left" w:pos="4248"/>
          <w:tab w:val="left" w:pos="4956"/>
          <w:tab w:val="left" w:pos="5664"/>
          <w:tab w:val="left" w:pos="6372"/>
          <w:tab w:val="left" w:pos="7080"/>
          <w:tab w:val="left" w:pos="7788"/>
          <w:tab w:val="left" w:pos="8496"/>
        </w:tabs>
        <w:ind w:left="426" w:hanging="426"/>
        <w:rPr>
          <w:rFonts w:ascii="Arial" w:hAnsi="Arial" w:cs="Arial"/>
          <w:sz w:val="22"/>
          <w:szCs w:val="22"/>
        </w:rPr>
      </w:pPr>
      <w:r w:rsidRPr="00C223AB">
        <w:rPr>
          <w:rFonts w:ascii="Arial" w:hAnsi="Arial" w:cs="Arial"/>
          <w:sz w:val="22"/>
          <w:szCs w:val="22"/>
          <w:shd w:val="clear" w:color="auto" w:fill="FFFFFF"/>
        </w:rPr>
        <w:t xml:space="preserve">Department of Clinical Epidemiology and Biostatistics, Academic Medical Center, </w:t>
      </w:r>
      <w:r w:rsidR="00451424" w:rsidRPr="00C223AB">
        <w:rPr>
          <w:rFonts w:ascii="Arial" w:hAnsi="Arial" w:cs="Arial"/>
          <w:sz w:val="22"/>
          <w:szCs w:val="22"/>
          <w:shd w:val="clear" w:color="auto" w:fill="FFFFFF"/>
        </w:rPr>
        <w:t xml:space="preserve">Amsterdam, </w:t>
      </w:r>
      <w:r w:rsidRPr="00C223AB">
        <w:rPr>
          <w:rFonts w:ascii="Arial" w:hAnsi="Arial" w:cs="Arial"/>
          <w:sz w:val="22"/>
          <w:szCs w:val="22"/>
          <w:shd w:val="clear" w:color="auto" w:fill="FFFFFF"/>
        </w:rPr>
        <w:t xml:space="preserve">The Netherlands. </w:t>
      </w:r>
    </w:p>
    <w:p w14:paraId="1BA227F6" w14:textId="77777777" w:rsidR="00980D54" w:rsidRPr="00C223AB" w:rsidRDefault="001703C7" w:rsidP="00C223AB">
      <w:pPr>
        <w:numPr>
          <w:ilvl w:val="0"/>
          <w:numId w:val="6"/>
        </w:numPr>
        <w:tabs>
          <w:tab w:val="left" w:pos="426"/>
          <w:tab w:val="left" w:pos="1416"/>
          <w:tab w:val="left" w:pos="2124"/>
          <w:tab w:val="left" w:pos="2832"/>
          <w:tab w:val="left" w:pos="3540"/>
          <w:tab w:val="left" w:pos="4248"/>
          <w:tab w:val="left" w:pos="4956"/>
          <w:tab w:val="left" w:pos="5664"/>
          <w:tab w:val="left" w:pos="6372"/>
          <w:tab w:val="left" w:pos="7080"/>
          <w:tab w:val="left" w:pos="7788"/>
          <w:tab w:val="left" w:pos="8496"/>
        </w:tabs>
        <w:ind w:left="426" w:hanging="426"/>
        <w:rPr>
          <w:rFonts w:ascii="Arial" w:hAnsi="Arial" w:cs="Arial"/>
          <w:sz w:val="22"/>
          <w:szCs w:val="22"/>
        </w:rPr>
      </w:pPr>
      <w:r w:rsidRPr="00C223AB">
        <w:rPr>
          <w:rFonts w:ascii="Arial" w:hAnsi="Arial" w:cs="Arial"/>
          <w:sz w:val="22"/>
          <w:szCs w:val="22"/>
        </w:rPr>
        <w:t>Department of Medicine, Division of Endocrinology and Metabolism, University of California San Diego, La Jolla, California, USA</w:t>
      </w:r>
      <w:r w:rsidR="00980D54" w:rsidRPr="00C223AB" w:rsidDel="0015796C">
        <w:rPr>
          <w:rFonts w:ascii="Arial" w:hAnsi="Arial" w:cs="Arial"/>
          <w:sz w:val="22"/>
          <w:szCs w:val="22"/>
        </w:rPr>
        <w:t xml:space="preserve"> </w:t>
      </w:r>
    </w:p>
    <w:p w14:paraId="36E3CB5B" w14:textId="77777777" w:rsidR="00980D54" w:rsidRPr="00C223AB" w:rsidRDefault="00980D54" w:rsidP="00C223AB">
      <w:pPr>
        <w:numPr>
          <w:ilvl w:val="0"/>
          <w:numId w:val="6"/>
        </w:numPr>
        <w:tabs>
          <w:tab w:val="left" w:pos="426"/>
          <w:tab w:val="left" w:pos="1416"/>
          <w:tab w:val="left" w:pos="2124"/>
          <w:tab w:val="left" w:pos="2832"/>
          <w:tab w:val="left" w:pos="3540"/>
          <w:tab w:val="left" w:pos="4248"/>
          <w:tab w:val="left" w:pos="4956"/>
          <w:tab w:val="left" w:pos="5664"/>
          <w:tab w:val="left" w:pos="6372"/>
          <w:tab w:val="left" w:pos="7080"/>
          <w:tab w:val="left" w:pos="7788"/>
          <w:tab w:val="left" w:pos="8496"/>
        </w:tabs>
        <w:ind w:left="426" w:hanging="426"/>
        <w:rPr>
          <w:rFonts w:ascii="Arial" w:hAnsi="Arial" w:cs="Arial"/>
          <w:sz w:val="22"/>
          <w:szCs w:val="22"/>
        </w:rPr>
      </w:pPr>
      <w:r w:rsidRPr="00C223AB">
        <w:rPr>
          <w:rFonts w:ascii="Arial" w:hAnsi="Arial" w:cs="Arial"/>
          <w:sz w:val="22"/>
          <w:szCs w:val="22"/>
        </w:rPr>
        <w:t xml:space="preserve">Department of Public Health and Primary Care, University of Cambridge, Cambridge, United Kingdom </w:t>
      </w:r>
    </w:p>
    <w:p w14:paraId="219F9648" w14:textId="12C7DB9D" w:rsidR="00641573" w:rsidRPr="00C223AB" w:rsidRDefault="00450DC6" w:rsidP="00C223AB">
      <w:pPr>
        <w:numPr>
          <w:ilvl w:val="0"/>
          <w:numId w:val="6"/>
        </w:numPr>
        <w:tabs>
          <w:tab w:val="left" w:pos="426"/>
          <w:tab w:val="left" w:pos="1416"/>
          <w:tab w:val="left" w:pos="2124"/>
          <w:tab w:val="left" w:pos="2832"/>
          <w:tab w:val="left" w:pos="3540"/>
          <w:tab w:val="left" w:pos="4248"/>
          <w:tab w:val="left" w:pos="4956"/>
          <w:tab w:val="left" w:pos="5664"/>
          <w:tab w:val="left" w:pos="6372"/>
          <w:tab w:val="left" w:pos="7080"/>
          <w:tab w:val="left" w:pos="7788"/>
          <w:tab w:val="left" w:pos="8496"/>
        </w:tabs>
        <w:ind w:left="426" w:hanging="426"/>
        <w:rPr>
          <w:rFonts w:ascii="Arial" w:hAnsi="Arial" w:cs="Arial"/>
          <w:sz w:val="22"/>
          <w:szCs w:val="22"/>
        </w:rPr>
      </w:pPr>
      <w:r w:rsidRPr="00C223AB">
        <w:rPr>
          <w:rFonts w:ascii="Arial" w:hAnsi="Arial" w:cs="Arial"/>
          <w:sz w:val="22"/>
          <w:szCs w:val="22"/>
        </w:rPr>
        <w:t xml:space="preserve">Department of Cardiology, Academic Medical Center, </w:t>
      </w:r>
      <w:r w:rsidR="00451424" w:rsidRPr="00C223AB">
        <w:rPr>
          <w:rFonts w:ascii="Arial" w:hAnsi="Arial" w:cs="Arial"/>
          <w:sz w:val="22"/>
          <w:szCs w:val="22"/>
        </w:rPr>
        <w:t xml:space="preserve">Amsterdam, </w:t>
      </w:r>
      <w:r w:rsidRPr="00C223AB">
        <w:rPr>
          <w:rFonts w:ascii="Arial" w:hAnsi="Arial" w:cs="Arial"/>
          <w:sz w:val="22"/>
          <w:szCs w:val="22"/>
        </w:rPr>
        <w:t xml:space="preserve">the Netherlands </w:t>
      </w:r>
    </w:p>
    <w:p w14:paraId="62CA1441" w14:textId="77777777" w:rsidR="00641573" w:rsidRPr="00C223AB" w:rsidRDefault="00641573" w:rsidP="00C223AB">
      <w:pPr>
        <w:tabs>
          <w:tab w:val="left" w:pos="426"/>
          <w:tab w:val="left" w:pos="1416"/>
          <w:tab w:val="left" w:pos="2124"/>
          <w:tab w:val="left" w:pos="2832"/>
          <w:tab w:val="left" w:pos="3540"/>
          <w:tab w:val="left" w:pos="4248"/>
          <w:tab w:val="left" w:pos="4956"/>
          <w:tab w:val="left" w:pos="5664"/>
          <w:tab w:val="left" w:pos="6372"/>
          <w:tab w:val="left" w:pos="7080"/>
          <w:tab w:val="left" w:pos="7788"/>
          <w:tab w:val="left" w:pos="8496"/>
        </w:tabs>
        <w:rPr>
          <w:rFonts w:ascii="Arial" w:hAnsi="Arial" w:cs="Arial"/>
          <w:sz w:val="22"/>
          <w:szCs w:val="22"/>
        </w:rPr>
      </w:pPr>
    </w:p>
    <w:p w14:paraId="7D77DEBF" w14:textId="499AB24A" w:rsidR="00641573" w:rsidRPr="00C223AB" w:rsidRDefault="00641573" w:rsidP="00C223AB">
      <w:pPr>
        <w:tabs>
          <w:tab w:val="left" w:pos="426"/>
          <w:tab w:val="left" w:pos="1416"/>
          <w:tab w:val="left" w:pos="2124"/>
          <w:tab w:val="left" w:pos="2832"/>
          <w:tab w:val="left" w:pos="3540"/>
          <w:tab w:val="left" w:pos="4248"/>
          <w:tab w:val="left" w:pos="4956"/>
          <w:tab w:val="left" w:pos="5664"/>
          <w:tab w:val="left" w:pos="6372"/>
          <w:tab w:val="left" w:pos="7080"/>
          <w:tab w:val="left" w:pos="7788"/>
          <w:tab w:val="left" w:pos="8496"/>
        </w:tabs>
        <w:rPr>
          <w:rFonts w:ascii="Arial" w:hAnsi="Arial" w:cs="Arial"/>
          <w:sz w:val="22"/>
          <w:szCs w:val="22"/>
        </w:rPr>
      </w:pPr>
      <w:r w:rsidRPr="00C223AB">
        <w:rPr>
          <w:rFonts w:ascii="Arial" w:hAnsi="Arial" w:cs="Arial"/>
          <w:sz w:val="22"/>
          <w:szCs w:val="22"/>
        </w:rPr>
        <w:t>Running title: ApoC-III levels and CAD risk.</w:t>
      </w:r>
    </w:p>
    <w:p w14:paraId="196920D6" w14:textId="17851C62" w:rsidR="00450DC6" w:rsidRPr="00C223AB" w:rsidRDefault="0097387F" w:rsidP="00C223AB">
      <w:pPr>
        <w:tabs>
          <w:tab w:val="left" w:pos="426"/>
          <w:tab w:val="left" w:pos="1416"/>
          <w:tab w:val="left" w:pos="2124"/>
          <w:tab w:val="left" w:pos="2832"/>
          <w:tab w:val="left" w:pos="3540"/>
          <w:tab w:val="left" w:pos="4248"/>
          <w:tab w:val="left" w:pos="4956"/>
          <w:tab w:val="left" w:pos="5664"/>
          <w:tab w:val="left" w:pos="6372"/>
          <w:tab w:val="left" w:pos="7080"/>
          <w:tab w:val="left" w:pos="7788"/>
          <w:tab w:val="left" w:pos="8496"/>
        </w:tabs>
        <w:rPr>
          <w:rFonts w:ascii="Arial" w:hAnsi="Arial" w:cs="Arial"/>
          <w:sz w:val="22"/>
          <w:szCs w:val="22"/>
        </w:rPr>
      </w:pPr>
      <w:r w:rsidRPr="00C223AB">
        <w:rPr>
          <w:rFonts w:ascii="Arial" w:hAnsi="Arial" w:cs="Arial"/>
          <w:sz w:val="22"/>
          <w:szCs w:val="22"/>
        </w:rPr>
        <w:t xml:space="preserve">Keywords: Apolipoprotein C-III; Remnant cholesterol; Triglycerides; Coronary artery disease. </w:t>
      </w:r>
    </w:p>
    <w:p w14:paraId="4272A3A0" w14:textId="593AE995" w:rsidR="0097387F" w:rsidRPr="00C223AB" w:rsidRDefault="0097387F" w:rsidP="00C223AB">
      <w:pPr>
        <w:tabs>
          <w:tab w:val="left" w:pos="426"/>
          <w:tab w:val="left" w:pos="1416"/>
          <w:tab w:val="left" w:pos="2124"/>
          <w:tab w:val="left" w:pos="2832"/>
          <w:tab w:val="left" w:pos="3540"/>
          <w:tab w:val="left" w:pos="4248"/>
          <w:tab w:val="left" w:pos="4956"/>
          <w:tab w:val="left" w:pos="5664"/>
          <w:tab w:val="left" w:pos="6372"/>
          <w:tab w:val="left" w:pos="7080"/>
          <w:tab w:val="left" w:pos="7788"/>
          <w:tab w:val="left" w:pos="8496"/>
        </w:tabs>
        <w:rPr>
          <w:rFonts w:ascii="Arial" w:hAnsi="Arial" w:cs="Arial"/>
          <w:sz w:val="22"/>
          <w:szCs w:val="22"/>
        </w:rPr>
      </w:pPr>
      <w:r w:rsidRPr="00C223AB">
        <w:rPr>
          <w:rFonts w:ascii="Arial" w:hAnsi="Arial" w:cs="Arial"/>
          <w:sz w:val="22"/>
          <w:szCs w:val="22"/>
        </w:rPr>
        <w:t>Subject codes: Lipids and Cholesterol; Coronary artery disease; Epidemiology</w:t>
      </w:r>
    </w:p>
    <w:p w14:paraId="4320540A" w14:textId="0E4BA65F" w:rsidR="003D2A23" w:rsidRPr="00C223AB" w:rsidRDefault="003D2A23" w:rsidP="00C223AB">
      <w:pPr>
        <w:tabs>
          <w:tab w:val="left" w:pos="426"/>
          <w:tab w:val="left" w:pos="1416"/>
          <w:tab w:val="left" w:pos="2124"/>
          <w:tab w:val="left" w:pos="2832"/>
          <w:tab w:val="left" w:pos="3540"/>
          <w:tab w:val="left" w:pos="4248"/>
          <w:tab w:val="left" w:pos="4956"/>
          <w:tab w:val="left" w:pos="5664"/>
          <w:tab w:val="left" w:pos="6372"/>
          <w:tab w:val="left" w:pos="7080"/>
          <w:tab w:val="left" w:pos="7788"/>
          <w:tab w:val="left" w:pos="8496"/>
        </w:tabs>
        <w:rPr>
          <w:rFonts w:ascii="Arial" w:hAnsi="Arial" w:cs="Arial"/>
          <w:sz w:val="22"/>
          <w:szCs w:val="22"/>
        </w:rPr>
      </w:pPr>
      <w:r w:rsidRPr="00C223AB">
        <w:rPr>
          <w:rFonts w:ascii="Arial" w:hAnsi="Arial" w:cs="Arial"/>
          <w:sz w:val="22"/>
          <w:szCs w:val="22"/>
        </w:rPr>
        <w:t>TOC: clinical and population studies; subcategory: arteriosclerosis</w:t>
      </w:r>
    </w:p>
    <w:p w14:paraId="33CFE524" w14:textId="6BC10507" w:rsidR="00DB071D" w:rsidRPr="00C223AB" w:rsidRDefault="00B7555E" w:rsidP="00C223AB">
      <w:pPr>
        <w:rPr>
          <w:rFonts w:ascii="Arial" w:hAnsi="Arial" w:cs="Arial"/>
          <w:sz w:val="22"/>
          <w:szCs w:val="22"/>
        </w:rPr>
      </w:pPr>
      <w:r w:rsidRPr="00C223AB">
        <w:rPr>
          <w:rFonts w:ascii="Arial" w:hAnsi="Arial" w:cs="Arial"/>
          <w:sz w:val="22"/>
          <w:szCs w:val="22"/>
        </w:rPr>
        <w:t>Word Count:</w:t>
      </w:r>
      <w:r w:rsidR="008B3D13" w:rsidRPr="00C223AB">
        <w:rPr>
          <w:rFonts w:ascii="Arial" w:hAnsi="Arial" w:cs="Arial"/>
          <w:sz w:val="22"/>
          <w:szCs w:val="22"/>
        </w:rPr>
        <w:t xml:space="preserve"> </w:t>
      </w:r>
      <w:r w:rsidR="00DB071D" w:rsidRPr="00C223AB">
        <w:rPr>
          <w:rFonts w:ascii="Arial" w:hAnsi="Arial" w:cs="Arial"/>
          <w:sz w:val="22"/>
          <w:szCs w:val="22"/>
        </w:rPr>
        <w:tab/>
      </w:r>
      <w:r w:rsidR="00EF3B3C">
        <w:rPr>
          <w:rFonts w:ascii="Arial" w:hAnsi="Arial" w:cs="Arial"/>
          <w:sz w:val="22"/>
          <w:szCs w:val="22"/>
        </w:rPr>
        <w:t>4905</w:t>
      </w:r>
    </w:p>
    <w:p w14:paraId="1B8068F1" w14:textId="01CB6AEE" w:rsidR="0080793D" w:rsidRPr="00C223AB" w:rsidRDefault="0080793D" w:rsidP="00C223AB">
      <w:pPr>
        <w:ind w:left="708" w:firstLine="708"/>
        <w:rPr>
          <w:rFonts w:ascii="Arial" w:hAnsi="Arial" w:cs="Arial"/>
          <w:sz w:val="22"/>
          <w:szCs w:val="22"/>
        </w:rPr>
      </w:pPr>
    </w:p>
    <w:p w14:paraId="49965791" w14:textId="1134591C" w:rsidR="00DB071D" w:rsidRPr="00C223AB" w:rsidRDefault="00DB071D" w:rsidP="00C223AB">
      <w:pPr>
        <w:rPr>
          <w:rFonts w:ascii="Arial" w:hAnsi="Arial" w:cs="Arial"/>
          <w:sz w:val="22"/>
          <w:szCs w:val="22"/>
        </w:rPr>
      </w:pPr>
      <w:r w:rsidRPr="00C223AB">
        <w:rPr>
          <w:rFonts w:ascii="Arial" w:hAnsi="Arial" w:cs="Arial"/>
          <w:sz w:val="22"/>
          <w:szCs w:val="22"/>
        </w:rPr>
        <w:t>Figures:</w:t>
      </w:r>
      <w:r w:rsidRPr="00C223AB">
        <w:rPr>
          <w:rFonts w:ascii="Arial" w:hAnsi="Arial" w:cs="Arial"/>
          <w:sz w:val="22"/>
          <w:szCs w:val="22"/>
        </w:rPr>
        <w:tab/>
      </w:r>
      <w:r w:rsidR="0080793D" w:rsidRPr="00C223AB">
        <w:rPr>
          <w:rFonts w:ascii="Arial" w:hAnsi="Arial" w:cs="Arial"/>
          <w:sz w:val="22"/>
          <w:szCs w:val="22"/>
        </w:rPr>
        <w:t>3</w:t>
      </w:r>
    </w:p>
    <w:p w14:paraId="27AA2613" w14:textId="77777777" w:rsidR="00980D54" w:rsidRPr="00C223AB" w:rsidRDefault="00DB071D" w:rsidP="00C223AB">
      <w:pPr>
        <w:rPr>
          <w:rFonts w:ascii="Arial" w:hAnsi="Arial" w:cs="Arial"/>
          <w:sz w:val="22"/>
          <w:szCs w:val="22"/>
        </w:rPr>
      </w:pPr>
      <w:r w:rsidRPr="00C223AB">
        <w:rPr>
          <w:rFonts w:ascii="Arial" w:hAnsi="Arial" w:cs="Arial"/>
          <w:sz w:val="22"/>
          <w:szCs w:val="22"/>
        </w:rPr>
        <w:t xml:space="preserve">Tables: </w:t>
      </w:r>
      <w:r w:rsidRPr="00C223AB">
        <w:rPr>
          <w:rFonts w:ascii="Arial" w:hAnsi="Arial" w:cs="Arial"/>
          <w:sz w:val="22"/>
          <w:szCs w:val="22"/>
        </w:rPr>
        <w:tab/>
        <w:t>4</w:t>
      </w:r>
    </w:p>
    <w:p w14:paraId="45837CEC" w14:textId="77777777" w:rsidR="00980D54" w:rsidRPr="00C223AB" w:rsidRDefault="00980D54" w:rsidP="00C223AB">
      <w:pPr>
        <w:rPr>
          <w:rFonts w:ascii="Arial" w:hAnsi="Arial" w:cs="Arial"/>
          <w:sz w:val="22"/>
          <w:szCs w:val="22"/>
        </w:rPr>
      </w:pPr>
    </w:p>
    <w:p w14:paraId="36AEE96D" w14:textId="77777777" w:rsidR="00A0470F" w:rsidRPr="00C223AB" w:rsidRDefault="00A0470F" w:rsidP="00C223AB">
      <w:pPr>
        <w:rPr>
          <w:rFonts w:ascii="Arial" w:hAnsi="Arial" w:cs="Arial"/>
          <w:b/>
          <w:sz w:val="22"/>
          <w:szCs w:val="22"/>
        </w:rPr>
      </w:pPr>
    </w:p>
    <w:p w14:paraId="3A9B8056" w14:textId="49EBEB64" w:rsidR="00FA7932" w:rsidRPr="00C223AB" w:rsidRDefault="00FA7932" w:rsidP="00C223AB">
      <w:pPr>
        <w:rPr>
          <w:rFonts w:ascii="Arial" w:hAnsi="Arial" w:cs="Arial"/>
          <w:sz w:val="22"/>
          <w:szCs w:val="22"/>
        </w:rPr>
      </w:pPr>
      <w:r w:rsidRPr="00C223AB">
        <w:rPr>
          <w:rFonts w:ascii="Arial" w:hAnsi="Arial" w:cs="Arial"/>
          <w:sz w:val="22"/>
          <w:szCs w:val="22"/>
        </w:rPr>
        <w:t xml:space="preserve">S. Tsimikas, MD, </w:t>
      </w:r>
      <w:bookmarkStart w:id="0" w:name="_GoBack"/>
      <w:bookmarkEnd w:id="0"/>
    </w:p>
    <w:p w14:paraId="633010C7" w14:textId="77777777" w:rsidR="00FA7932" w:rsidRPr="00C223AB" w:rsidRDefault="00FA7932" w:rsidP="00C223AB">
      <w:pPr>
        <w:rPr>
          <w:rFonts w:ascii="Arial" w:hAnsi="Arial" w:cs="Arial"/>
          <w:sz w:val="22"/>
          <w:szCs w:val="22"/>
        </w:rPr>
      </w:pPr>
      <w:r w:rsidRPr="00C223AB">
        <w:rPr>
          <w:rFonts w:ascii="Arial" w:hAnsi="Arial" w:cs="Arial"/>
          <w:sz w:val="22"/>
          <w:szCs w:val="22"/>
        </w:rPr>
        <w:t xml:space="preserve">Vascular Medicine Program, </w:t>
      </w:r>
    </w:p>
    <w:p w14:paraId="0FB95F42" w14:textId="77777777" w:rsidR="00FA7932" w:rsidRPr="00C223AB" w:rsidRDefault="00FA7932" w:rsidP="00C223AB">
      <w:pPr>
        <w:rPr>
          <w:rFonts w:ascii="Arial" w:hAnsi="Arial" w:cs="Arial"/>
          <w:sz w:val="22"/>
          <w:szCs w:val="22"/>
        </w:rPr>
      </w:pPr>
      <w:r w:rsidRPr="00C223AB">
        <w:rPr>
          <w:rFonts w:ascii="Arial" w:hAnsi="Arial" w:cs="Arial"/>
          <w:sz w:val="22"/>
          <w:szCs w:val="22"/>
        </w:rPr>
        <w:t xml:space="preserve">Sulpizio Cardiovascular Center, </w:t>
      </w:r>
    </w:p>
    <w:p w14:paraId="2339C215" w14:textId="77777777" w:rsidR="00FA7932" w:rsidRPr="00C223AB" w:rsidRDefault="00FA7932" w:rsidP="00C223AB">
      <w:pPr>
        <w:rPr>
          <w:rFonts w:ascii="Arial" w:hAnsi="Arial" w:cs="Arial"/>
          <w:sz w:val="22"/>
          <w:szCs w:val="22"/>
        </w:rPr>
      </w:pPr>
      <w:r w:rsidRPr="00C223AB">
        <w:rPr>
          <w:rFonts w:ascii="Arial" w:hAnsi="Arial" w:cs="Arial"/>
          <w:sz w:val="22"/>
          <w:szCs w:val="22"/>
        </w:rPr>
        <w:t xml:space="preserve">University of California San Diego, </w:t>
      </w:r>
    </w:p>
    <w:p w14:paraId="4C745342" w14:textId="77777777" w:rsidR="00FA7932" w:rsidRPr="00C223AB" w:rsidRDefault="00FA7932" w:rsidP="00C223AB">
      <w:pPr>
        <w:rPr>
          <w:rFonts w:ascii="Arial" w:hAnsi="Arial" w:cs="Arial"/>
          <w:sz w:val="22"/>
          <w:szCs w:val="22"/>
        </w:rPr>
      </w:pPr>
      <w:r w:rsidRPr="00C223AB">
        <w:rPr>
          <w:rFonts w:ascii="Arial" w:hAnsi="Arial" w:cs="Arial"/>
          <w:sz w:val="22"/>
          <w:szCs w:val="22"/>
        </w:rPr>
        <w:t xml:space="preserve">9500 Gilman Drive, BSB 1080, </w:t>
      </w:r>
    </w:p>
    <w:p w14:paraId="671A4779" w14:textId="77777777" w:rsidR="00FA7932" w:rsidRPr="00C223AB" w:rsidRDefault="00FA7932" w:rsidP="00C223AB">
      <w:pPr>
        <w:rPr>
          <w:rFonts w:ascii="Arial" w:hAnsi="Arial" w:cs="Arial"/>
          <w:sz w:val="22"/>
          <w:szCs w:val="22"/>
        </w:rPr>
      </w:pPr>
      <w:r w:rsidRPr="00C223AB">
        <w:rPr>
          <w:rFonts w:ascii="Arial" w:hAnsi="Arial" w:cs="Arial"/>
          <w:sz w:val="22"/>
          <w:szCs w:val="22"/>
        </w:rPr>
        <w:t xml:space="preserve">La Jolla, CA 92093-0682, USA. </w:t>
      </w:r>
    </w:p>
    <w:p w14:paraId="61012E80" w14:textId="7DCBAD6C" w:rsidR="00FA7932" w:rsidRPr="00C223AB" w:rsidRDefault="00FA7932" w:rsidP="00C223AB">
      <w:pPr>
        <w:rPr>
          <w:rFonts w:ascii="Arial" w:hAnsi="Arial" w:cs="Arial"/>
          <w:sz w:val="22"/>
          <w:szCs w:val="22"/>
        </w:rPr>
      </w:pPr>
      <w:r w:rsidRPr="00C223AB">
        <w:rPr>
          <w:rFonts w:ascii="Arial" w:hAnsi="Arial" w:cs="Arial"/>
          <w:sz w:val="22"/>
          <w:szCs w:val="22"/>
        </w:rPr>
        <w:t>Phone: 858-</w:t>
      </w:r>
      <w:r w:rsidR="00452C13" w:rsidRPr="00C223AB">
        <w:rPr>
          <w:rFonts w:ascii="Arial" w:hAnsi="Arial" w:cs="Arial"/>
          <w:sz w:val="22"/>
          <w:szCs w:val="22"/>
        </w:rPr>
        <w:t>534-2005</w:t>
      </w:r>
    </w:p>
    <w:p w14:paraId="52AB3DBB" w14:textId="09C8F422" w:rsidR="00FA7932" w:rsidRPr="00C223AB" w:rsidRDefault="00FA7932" w:rsidP="00C223AB">
      <w:pPr>
        <w:rPr>
          <w:rFonts w:ascii="Arial" w:hAnsi="Arial" w:cs="Arial"/>
          <w:sz w:val="22"/>
          <w:szCs w:val="22"/>
        </w:rPr>
      </w:pPr>
      <w:r w:rsidRPr="00C223AB">
        <w:rPr>
          <w:rFonts w:ascii="Arial" w:hAnsi="Arial" w:cs="Arial"/>
          <w:sz w:val="22"/>
          <w:szCs w:val="22"/>
        </w:rPr>
        <w:t>Fax: 858-</w:t>
      </w:r>
      <w:r w:rsidR="00452C13" w:rsidRPr="00C223AB">
        <w:rPr>
          <w:rFonts w:ascii="Arial" w:hAnsi="Arial" w:cs="Arial"/>
          <w:sz w:val="22"/>
          <w:szCs w:val="22"/>
        </w:rPr>
        <w:t>534-2005</w:t>
      </w:r>
      <w:r w:rsidRPr="00C223AB">
        <w:rPr>
          <w:rFonts w:ascii="Arial" w:hAnsi="Arial" w:cs="Arial"/>
          <w:sz w:val="22"/>
          <w:szCs w:val="22"/>
        </w:rPr>
        <w:t xml:space="preserve"> </w:t>
      </w:r>
    </w:p>
    <w:p w14:paraId="1411D922" w14:textId="4738A9D7" w:rsidR="002B24ED" w:rsidRPr="00C223AB" w:rsidRDefault="00CD033D" w:rsidP="00C223AB">
      <w:pPr>
        <w:rPr>
          <w:rFonts w:ascii="Arial" w:hAnsi="Arial" w:cs="Arial"/>
          <w:sz w:val="22"/>
          <w:szCs w:val="22"/>
        </w:rPr>
      </w:pPr>
      <w:r w:rsidRPr="00C223AB">
        <w:rPr>
          <w:rFonts w:ascii="Arial" w:hAnsi="Arial" w:cs="Arial"/>
          <w:sz w:val="22"/>
          <w:szCs w:val="22"/>
        </w:rPr>
        <w:t xml:space="preserve">E-mail: </w:t>
      </w:r>
      <w:hyperlink r:id="rId9" w:history="1">
        <w:r w:rsidR="00AD237E" w:rsidRPr="00C223AB">
          <w:rPr>
            <w:rStyle w:val="Hyperlink"/>
            <w:rFonts w:ascii="Arial" w:hAnsi="Arial" w:cs="Arial"/>
            <w:sz w:val="22"/>
            <w:szCs w:val="22"/>
          </w:rPr>
          <w:t>stsimikas@ucsd.edu</w:t>
        </w:r>
      </w:hyperlink>
      <w:r w:rsidR="002B24ED" w:rsidRPr="00C223AB">
        <w:rPr>
          <w:rFonts w:ascii="Arial" w:hAnsi="Arial" w:cs="Arial"/>
          <w:sz w:val="22"/>
          <w:szCs w:val="22"/>
        </w:rPr>
        <w:t>.</w:t>
      </w:r>
    </w:p>
    <w:p w14:paraId="5B7C0F47" w14:textId="50DEEF59" w:rsidR="00AD237E" w:rsidRPr="00C223AB" w:rsidRDefault="00AD237E" w:rsidP="00C223AB">
      <w:pPr>
        <w:rPr>
          <w:rFonts w:ascii="Arial" w:hAnsi="Arial" w:cs="Arial"/>
          <w:sz w:val="22"/>
          <w:szCs w:val="22"/>
        </w:rPr>
      </w:pPr>
      <w:r w:rsidRPr="00C223AB">
        <w:rPr>
          <w:rFonts w:ascii="Arial" w:hAnsi="Arial" w:cs="Arial"/>
          <w:sz w:val="22"/>
          <w:szCs w:val="22"/>
        </w:rPr>
        <w:br w:type="page"/>
      </w:r>
    </w:p>
    <w:p w14:paraId="13D8B2ED" w14:textId="61D4960A" w:rsidR="008B3D13" w:rsidRPr="00C223AB" w:rsidRDefault="008B3D13" w:rsidP="00C223AB">
      <w:pPr>
        <w:rPr>
          <w:rFonts w:ascii="Arial" w:hAnsi="Arial" w:cs="Arial"/>
          <w:b/>
        </w:rPr>
      </w:pPr>
      <w:r w:rsidRPr="00C223AB">
        <w:rPr>
          <w:rFonts w:ascii="Arial" w:hAnsi="Arial" w:cs="Arial"/>
          <w:b/>
        </w:rPr>
        <w:lastRenderedPageBreak/>
        <w:t>ABSTRACT</w:t>
      </w:r>
    </w:p>
    <w:p w14:paraId="03EB443B" w14:textId="5EDF164C" w:rsidR="00B7555E" w:rsidRPr="00C223AB" w:rsidRDefault="003D2A23" w:rsidP="00C223AB">
      <w:pPr>
        <w:rPr>
          <w:rFonts w:ascii="Arial" w:hAnsi="Arial" w:cs="Arial"/>
        </w:rPr>
      </w:pPr>
      <w:r w:rsidRPr="00C223AB">
        <w:rPr>
          <w:rFonts w:ascii="Arial" w:hAnsi="Arial" w:cs="Arial"/>
          <w:b/>
        </w:rPr>
        <w:t>Objective</w:t>
      </w:r>
      <w:r w:rsidR="00045127" w:rsidRPr="00C223AB">
        <w:rPr>
          <w:rFonts w:ascii="Arial" w:hAnsi="Arial" w:cs="Arial"/>
          <w:b/>
        </w:rPr>
        <w:t>.</w:t>
      </w:r>
      <w:r w:rsidR="00B7555E" w:rsidRPr="00C223AB">
        <w:rPr>
          <w:rFonts w:ascii="Arial" w:hAnsi="Arial" w:cs="Arial"/>
        </w:rPr>
        <w:t xml:space="preserve"> Apolipoprotein C</w:t>
      </w:r>
      <w:r w:rsidR="006C7913" w:rsidRPr="00C223AB">
        <w:rPr>
          <w:rFonts w:ascii="Arial" w:hAnsi="Arial" w:cs="Arial"/>
        </w:rPr>
        <w:t>-</w:t>
      </w:r>
      <w:r w:rsidR="00B7555E" w:rsidRPr="00C223AB">
        <w:rPr>
          <w:rFonts w:ascii="Arial" w:hAnsi="Arial" w:cs="Arial"/>
        </w:rPr>
        <w:t>III (</w:t>
      </w:r>
      <w:r w:rsidR="002C7052" w:rsidRPr="00C223AB">
        <w:rPr>
          <w:rFonts w:ascii="Arial" w:hAnsi="Arial" w:cs="Arial"/>
        </w:rPr>
        <w:t>apoC-III</w:t>
      </w:r>
      <w:r w:rsidR="00B7555E" w:rsidRPr="00C223AB">
        <w:rPr>
          <w:rFonts w:ascii="Arial" w:hAnsi="Arial" w:cs="Arial"/>
        </w:rPr>
        <w:t xml:space="preserve">) is a key regulator of triglyceride (TG) metabolism. Elevated TG </w:t>
      </w:r>
      <w:r w:rsidR="0036605F" w:rsidRPr="00C223AB">
        <w:rPr>
          <w:rFonts w:ascii="Arial" w:hAnsi="Arial" w:cs="Arial"/>
        </w:rPr>
        <w:t xml:space="preserve">rich lipoproteins </w:t>
      </w:r>
      <w:r w:rsidR="00B7555E" w:rsidRPr="00C223AB">
        <w:rPr>
          <w:rFonts w:ascii="Arial" w:hAnsi="Arial" w:cs="Arial"/>
        </w:rPr>
        <w:t xml:space="preserve">and </w:t>
      </w:r>
      <w:r w:rsidR="002C7052" w:rsidRPr="00C223AB">
        <w:rPr>
          <w:rFonts w:ascii="Arial" w:hAnsi="Arial" w:cs="Arial"/>
        </w:rPr>
        <w:t>apoC-III</w:t>
      </w:r>
      <w:r w:rsidR="00B7555E" w:rsidRPr="00C223AB">
        <w:rPr>
          <w:rFonts w:ascii="Arial" w:hAnsi="Arial" w:cs="Arial"/>
        </w:rPr>
        <w:t xml:space="preserve"> levels are causally linked to coronary artery disease (CAD) risk. </w:t>
      </w:r>
      <w:r w:rsidR="00A0470F" w:rsidRPr="00C223AB">
        <w:rPr>
          <w:rFonts w:ascii="Arial" w:hAnsi="Arial" w:cs="Arial"/>
        </w:rPr>
        <w:t>The</w:t>
      </w:r>
      <w:r w:rsidR="0036605F" w:rsidRPr="00C223AB">
        <w:rPr>
          <w:rFonts w:ascii="Arial" w:hAnsi="Arial" w:cs="Arial"/>
        </w:rPr>
        <w:t xml:space="preserve"> mechanism</w:t>
      </w:r>
      <w:r w:rsidR="001703C7" w:rsidRPr="00C223AB">
        <w:rPr>
          <w:rFonts w:ascii="Arial" w:hAnsi="Arial" w:cs="Arial"/>
        </w:rPr>
        <w:t>(s)</w:t>
      </w:r>
      <w:r w:rsidR="0036605F" w:rsidRPr="00C223AB">
        <w:rPr>
          <w:rFonts w:ascii="Arial" w:hAnsi="Arial" w:cs="Arial"/>
        </w:rPr>
        <w:t xml:space="preserve"> </w:t>
      </w:r>
      <w:r w:rsidR="00B46CB8" w:rsidRPr="00C223AB">
        <w:rPr>
          <w:rFonts w:ascii="Arial" w:hAnsi="Arial" w:cs="Arial"/>
        </w:rPr>
        <w:t xml:space="preserve">through which </w:t>
      </w:r>
      <w:r w:rsidR="002C7052" w:rsidRPr="00C223AB">
        <w:rPr>
          <w:rFonts w:ascii="Arial" w:hAnsi="Arial" w:cs="Arial"/>
        </w:rPr>
        <w:t>apoC-III</w:t>
      </w:r>
      <w:r w:rsidR="00B7555E" w:rsidRPr="00C223AB">
        <w:rPr>
          <w:rFonts w:ascii="Arial" w:hAnsi="Arial" w:cs="Arial"/>
        </w:rPr>
        <w:t xml:space="preserve"> </w:t>
      </w:r>
      <w:r w:rsidR="0036605F" w:rsidRPr="00C223AB">
        <w:rPr>
          <w:rFonts w:ascii="Arial" w:hAnsi="Arial" w:cs="Arial"/>
        </w:rPr>
        <w:t>increases</w:t>
      </w:r>
      <w:r w:rsidR="00B7555E" w:rsidRPr="00C223AB">
        <w:rPr>
          <w:rFonts w:ascii="Arial" w:hAnsi="Arial" w:cs="Arial"/>
        </w:rPr>
        <w:t xml:space="preserve"> CAD risk remains largely unknown. </w:t>
      </w:r>
      <w:r w:rsidR="00C57A37" w:rsidRPr="00C223AB">
        <w:rPr>
          <w:rFonts w:ascii="Arial" w:hAnsi="Arial" w:cs="Arial"/>
        </w:rPr>
        <w:t xml:space="preserve">The aim was to </w:t>
      </w:r>
      <w:r w:rsidR="0036605F" w:rsidRPr="00C223AB">
        <w:rPr>
          <w:rFonts w:ascii="Arial" w:hAnsi="Arial" w:cs="Arial"/>
        </w:rPr>
        <w:t xml:space="preserve">confirm </w:t>
      </w:r>
      <w:r w:rsidR="00B7555E" w:rsidRPr="00C223AB">
        <w:rPr>
          <w:rFonts w:ascii="Arial" w:hAnsi="Arial" w:cs="Arial"/>
        </w:rPr>
        <w:t xml:space="preserve">the association between </w:t>
      </w:r>
      <w:r w:rsidR="002C7052" w:rsidRPr="00C223AB">
        <w:rPr>
          <w:rFonts w:ascii="Arial" w:hAnsi="Arial" w:cs="Arial"/>
        </w:rPr>
        <w:t>apoC-III</w:t>
      </w:r>
      <w:r w:rsidR="00B7555E" w:rsidRPr="00C223AB">
        <w:rPr>
          <w:rFonts w:ascii="Arial" w:hAnsi="Arial" w:cs="Arial"/>
        </w:rPr>
        <w:t xml:space="preserve"> plasma levels and CAD risk and </w:t>
      </w:r>
      <w:r w:rsidR="0036605F" w:rsidRPr="00C223AB">
        <w:rPr>
          <w:rFonts w:ascii="Arial" w:hAnsi="Arial" w:cs="Arial"/>
        </w:rPr>
        <w:t xml:space="preserve">to </w:t>
      </w:r>
      <w:r w:rsidR="00B7555E" w:rsidRPr="00C223AB">
        <w:rPr>
          <w:rFonts w:ascii="Arial" w:hAnsi="Arial" w:cs="Arial"/>
        </w:rPr>
        <w:t xml:space="preserve">explore which lipoprotein subfractions </w:t>
      </w:r>
      <w:r w:rsidR="0069663E" w:rsidRPr="00C223AB">
        <w:rPr>
          <w:rFonts w:ascii="Arial" w:hAnsi="Arial" w:cs="Arial"/>
        </w:rPr>
        <w:t>contribute to</w:t>
      </w:r>
      <w:r w:rsidR="00B7555E" w:rsidRPr="00C223AB">
        <w:rPr>
          <w:rFonts w:ascii="Arial" w:hAnsi="Arial" w:cs="Arial"/>
        </w:rPr>
        <w:t xml:space="preserve"> </w:t>
      </w:r>
      <w:r w:rsidR="0036605F" w:rsidRPr="00C223AB">
        <w:rPr>
          <w:rFonts w:ascii="Arial" w:hAnsi="Arial" w:cs="Arial"/>
        </w:rPr>
        <w:t xml:space="preserve">this relationship between </w:t>
      </w:r>
      <w:r w:rsidR="002C7052" w:rsidRPr="00C223AB">
        <w:rPr>
          <w:rFonts w:ascii="Arial" w:hAnsi="Arial" w:cs="Arial"/>
        </w:rPr>
        <w:t>apoC-III</w:t>
      </w:r>
      <w:r w:rsidR="00B7555E" w:rsidRPr="00C223AB">
        <w:rPr>
          <w:rFonts w:ascii="Arial" w:hAnsi="Arial" w:cs="Arial"/>
        </w:rPr>
        <w:t xml:space="preserve"> </w:t>
      </w:r>
      <w:r w:rsidR="0036605F" w:rsidRPr="00C223AB">
        <w:rPr>
          <w:rFonts w:ascii="Arial" w:hAnsi="Arial" w:cs="Arial"/>
        </w:rPr>
        <w:t xml:space="preserve">and </w:t>
      </w:r>
      <w:r w:rsidR="00B7555E" w:rsidRPr="00C223AB">
        <w:rPr>
          <w:rFonts w:ascii="Arial" w:hAnsi="Arial" w:cs="Arial"/>
        </w:rPr>
        <w:t xml:space="preserve">CAD risk. </w:t>
      </w:r>
    </w:p>
    <w:p w14:paraId="73A54533" w14:textId="2A6E2DC4" w:rsidR="00B7555E" w:rsidRPr="00C223AB" w:rsidRDefault="003D2A23" w:rsidP="00C223AB">
      <w:pPr>
        <w:rPr>
          <w:rFonts w:ascii="Arial" w:hAnsi="Arial" w:cs="Arial"/>
        </w:rPr>
      </w:pPr>
      <w:r w:rsidRPr="00C223AB">
        <w:rPr>
          <w:rFonts w:ascii="Arial" w:hAnsi="Arial" w:cs="Arial"/>
          <w:b/>
        </w:rPr>
        <w:t>Approach</w:t>
      </w:r>
      <w:r w:rsidR="00045127" w:rsidRPr="00C223AB">
        <w:rPr>
          <w:rFonts w:ascii="Arial" w:hAnsi="Arial" w:cs="Arial"/>
          <w:b/>
        </w:rPr>
        <w:t xml:space="preserve"> and Results. </w:t>
      </w:r>
      <w:r w:rsidR="00AB5236" w:rsidRPr="00C223AB">
        <w:rPr>
          <w:rFonts w:ascii="Arial" w:hAnsi="Arial" w:cs="Arial"/>
        </w:rPr>
        <w:t>Plasma</w:t>
      </w:r>
      <w:r w:rsidR="00B7555E" w:rsidRPr="00C223AB">
        <w:rPr>
          <w:rFonts w:ascii="Arial" w:hAnsi="Arial" w:cs="Arial"/>
        </w:rPr>
        <w:t xml:space="preserve"> </w:t>
      </w:r>
      <w:r w:rsidR="002C7052" w:rsidRPr="00C223AB">
        <w:rPr>
          <w:rFonts w:ascii="Arial" w:hAnsi="Arial" w:cs="Arial"/>
        </w:rPr>
        <w:t>apoC-III</w:t>
      </w:r>
      <w:r w:rsidR="00B7555E" w:rsidRPr="00C223AB">
        <w:rPr>
          <w:rFonts w:ascii="Arial" w:hAnsi="Arial" w:cs="Arial"/>
        </w:rPr>
        <w:t xml:space="preserve"> levels </w:t>
      </w:r>
      <w:r w:rsidR="00AB5236" w:rsidRPr="00C223AB">
        <w:rPr>
          <w:rFonts w:ascii="Arial" w:hAnsi="Arial" w:cs="Arial"/>
        </w:rPr>
        <w:t xml:space="preserve">were measured </w:t>
      </w:r>
      <w:r w:rsidR="008C4738" w:rsidRPr="00C223AB">
        <w:rPr>
          <w:rFonts w:ascii="Arial" w:hAnsi="Arial" w:cs="Arial"/>
        </w:rPr>
        <w:t xml:space="preserve">in </w:t>
      </w:r>
      <w:r w:rsidR="00B7555E" w:rsidRPr="00C223AB">
        <w:rPr>
          <w:rFonts w:ascii="Arial" w:hAnsi="Arial" w:cs="Arial"/>
        </w:rPr>
        <w:t xml:space="preserve">baseline </w:t>
      </w:r>
      <w:r w:rsidR="008C4738" w:rsidRPr="00C223AB">
        <w:rPr>
          <w:rFonts w:ascii="Arial" w:hAnsi="Arial" w:cs="Arial"/>
        </w:rPr>
        <w:t xml:space="preserve">samples from a nested case-control study </w:t>
      </w:r>
      <w:r w:rsidR="00B7555E" w:rsidRPr="00C223AB">
        <w:rPr>
          <w:rFonts w:ascii="Arial" w:hAnsi="Arial" w:cs="Arial"/>
        </w:rPr>
        <w:t>in the prospective EPIC-N</w:t>
      </w:r>
      <w:r w:rsidR="002D605A" w:rsidRPr="00C223AB">
        <w:rPr>
          <w:rFonts w:ascii="Arial" w:hAnsi="Arial" w:cs="Arial"/>
        </w:rPr>
        <w:t>orfolk</w:t>
      </w:r>
      <w:r w:rsidR="00B7555E" w:rsidRPr="00C223AB">
        <w:rPr>
          <w:rFonts w:ascii="Arial" w:hAnsi="Arial" w:cs="Arial"/>
        </w:rPr>
        <w:t xml:space="preserve"> study</w:t>
      </w:r>
      <w:r w:rsidR="00AB5236" w:rsidRPr="00C223AB">
        <w:rPr>
          <w:rFonts w:ascii="Arial" w:hAnsi="Arial" w:cs="Arial"/>
        </w:rPr>
        <w:t xml:space="preserve">. </w:t>
      </w:r>
      <w:r w:rsidR="008C4738" w:rsidRPr="00C223AB">
        <w:rPr>
          <w:rFonts w:ascii="Arial" w:hAnsi="Arial" w:cs="Arial"/>
        </w:rPr>
        <w:t>The study comprised 2,711 apparently healthy study participants</w:t>
      </w:r>
      <w:r w:rsidR="00AD24E2" w:rsidRPr="00C223AB">
        <w:rPr>
          <w:rFonts w:ascii="Arial" w:hAnsi="Arial" w:cs="Arial"/>
        </w:rPr>
        <w:t xml:space="preserve">, </w:t>
      </w:r>
      <w:r w:rsidR="008C4738" w:rsidRPr="00C223AB">
        <w:rPr>
          <w:rFonts w:ascii="Arial" w:hAnsi="Arial" w:cs="Arial"/>
        </w:rPr>
        <w:t>of whom 8</w:t>
      </w:r>
      <w:r w:rsidR="00F0342A" w:rsidRPr="00C223AB">
        <w:rPr>
          <w:rFonts w:ascii="Arial" w:hAnsi="Arial" w:cs="Arial"/>
        </w:rPr>
        <w:t xml:space="preserve">32 </w:t>
      </w:r>
      <w:r w:rsidR="001703C7" w:rsidRPr="00C223AB">
        <w:rPr>
          <w:rFonts w:ascii="Arial" w:hAnsi="Arial" w:cs="Arial"/>
        </w:rPr>
        <w:t xml:space="preserve">subsequently </w:t>
      </w:r>
      <w:r w:rsidR="00AB5236" w:rsidRPr="00C223AB">
        <w:rPr>
          <w:rFonts w:ascii="Arial" w:hAnsi="Arial" w:cs="Arial"/>
        </w:rPr>
        <w:t>developed CAD. We</w:t>
      </w:r>
      <w:r w:rsidR="00B7555E" w:rsidRPr="00C223AB">
        <w:rPr>
          <w:rFonts w:ascii="Arial" w:hAnsi="Arial" w:cs="Arial"/>
        </w:rPr>
        <w:t xml:space="preserve"> </w:t>
      </w:r>
      <w:r w:rsidR="0036605F" w:rsidRPr="00C223AB">
        <w:rPr>
          <w:rFonts w:ascii="Arial" w:hAnsi="Arial" w:cs="Arial"/>
        </w:rPr>
        <w:t xml:space="preserve">studied </w:t>
      </w:r>
      <w:r w:rsidR="00B7555E" w:rsidRPr="00C223AB">
        <w:rPr>
          <w:rFonts w:ascii="Arial" w:hAnsi="Arial" w:cs="Arial"/>
        </w:rPr>
        <w:t xml:space="preserve">the association </w:t>
      </w:r>
      <w:r w:rsidR="00E47310" w:rsidRPr="00C223AB">
        <w:rPr>
          <w:rFonts w:ascii="Arial" w:hAnsi="Arial" w:cs="Arial"/>
        </w:rPr>
        <w:t>of baseline apoC-III levels with incident CAD risk</w:t>
      </w:r>
      <w:r w:rsidR="008C4738" w:rsidRPr="00C223AB">
        <w:rPr>
          <w:rFonts w:ascii="Arial" w:hAnsi="Arial" w:cs="Arial"/>
        </w:rPr>
        <w:t>,</w:t>
      </w:r>
      <w:r w:rsidR="00E47310" w:rsidRPr="00C223AB">
        <w:rPr>
          <w:rFonts w:ascii="Arial" w:hAnsi="Arial" w:cs="Arial"/>
        </w:rPr>
        <w:t xml:space="preserve"> </w:t>
      </w:r>
      <w:r w:rsidR="00B7555E" w:rsidRPr="00C223AB">
        <w:rPr>
          <w:rFonts w:ascii="Arial" w:hAnsi="Arial" w:cs="Arial"/>
        </w:rPr>
        <w:t xml:space="preserve">lipoprotein subfractions measured by nuclear magnetic resonance spectroscopy </w:t>
      </w:r>
      <w:r w:rsidR="009A23AC" w:rsidRPr="00C223AB">
        <w:rPr>
          <w:rFonts w:ascii="Arial" w:hAnsi="Arial" w:cs="Arial"/>
        </w:rPr>
        <w:t xml:space="preserve">(NMR) </w:t>
      </w:r>
      <w:r w:rsidR="00B7555E" w:rsidRPr="00C223AB">
        <w:rPr>
          <w:rFonts w:ascii="Arial" w:hAnsi="Arial" w:cs="Arial"/>
        </w:rPr>
        <w:t xml:space="preserve">and inflammatory </w:t>
      </w:r>
      <w:r w:rsidR="00AD24E2" w:rsidRPr="00C223AB">
        <w:rPr>
          <w:rFonts w:ascii="Arial" w:hAnsi="Arial" w:cs="Arial"/>
        </w:rPr>
        <w:t>bio</w:t>
      </w:r>
      <w:r w:rsidR="00B7555E" w:rsidRPr="00C223AB">
        <w:rPr>
          <w:rFonts w:ascii="Arial" w:hAnsi="Arial" w:cs="Arial"/>
        </w:rPr>
        <w:t xml:space="preserve">markers. </w:t>
      </w:r>
    </w:p>
    <w:p w14:paraId="265CB774" w14:textId="555CA7CB" w:rsidR="00B7555E" w:rsidRPr="00C223AB" w:rsidRDefault="00AB5236" w:rsidP="00C223AB">
      <w:pPr>
        <w:rPr>
          <w:rFonts w:ascii="Arial" w:hAnsi="Arial" w:cs="Arial"/>
        </w:rPr>
      </w:pPr>
      <w:r w:rsidRPr="00C223AB">
        <w:rPr>
          <w:rFonts w:ascii="Arial" w:hAnsi="Arial" w:cs="Arial"/>
        </w:rPr>
        <w:t>ApoC-III levels were signifi</w:t>
      </w:r>
      <w:r w:rsidR="00CD119D" w:rsidRPr="00C223AB">
        <w:rPr>
          <w:rFonts w:ascii="Arial" w:hAnsi="Arial" w:cs="Arial"/>
        </w:rPr>
        <w:t xml:space="preserve">cantly </w:t>
      </w:r>
      <w:r w:rsidR="002D605A" w:rsidRPr="00C223AB">
        <w:rPr>
          <w:rFonts w:ascii="Arial" w:hAnsi="Arial" w:cs="Arial"/>
        </w:rPr>
        <w:t>associated</w:t>
      </w:r>
      <w:r w:rsidR="00CD119D" w:rsidRPr="00C223AB">
        <w:rPr>
          <w:rFonts w:ascii="Arial" w:hAnsi="Arial" w:cs="Arial"/>
        </w:rPr>
        <w:t xml:space="preserve"> with </w:t>
      </w:r>
      <w:r w:rsidRPr="00C223AB">
        <w:rPr>
          <w:rFonts w:ascii="Arial" w:hAnsi="Arial" w:cs="Arial"/>
        </w:rPr>
        <w:t xml:space="preserve">CAD risk </w:t>
      </w:r>
      <w:r w:rsidR="00671B6F" w:rsidRPr="00C223AB">
        <w:rPr>
          <w:rFonts w:ascii="Arial" w:hAnsi="Arial" w:cs="Arial"/>
        </w:rPr>
        <w:t xml:space="preserve">(odds ratio </w:t>
      </w:r>
      <w:r w:rsidR="00E00517" w:rsidRPr="00C223AB">
        <w:rPr>
          <w:rFonts w:ascii="Arial" w:eastAsia="Times New Roman" w:hAnsi="Arial" w:cs="Arial"/>
          <w:color w:val="000000"/>
          <w:lang w:val="en-GB"/>
        </w:rPr>
        <w:t>1.91 95% CI 1.48-2.48</w:t>
      </w:r>
      <w:r w:rsidR="00671B6F" w:rsidRPr="00C223AB">
        <w:rPr>
          <w:rFonts w:ascii="Arial" w:hAnsi="Arial" w:cs="Arial"/>
        </w:rPr>
        <w:t xml:space="preserve"> for highest compared to lowest quintile</w:t>
      </w:r>
      <w:r w:rsidRPr="00C223AB">
        <w:rPr>
          <w:rFonts w:ascii="Arial" w:hAnsi="Arial" w:cs="Arial"/>
        </w:rPr>
        <w:t>)</w:t>
      </w:r>
      <w:r w:rsidR="00E940A5" w:rsidRPr="00C223AB">
        <w:rPr>
          <w:rFonts w:ascii="Arial" w:hAnsi="Arial" w:cs="Arial"/>
        </w:rPr>
        <w:t>,</w:t>
      </w:r>
      <w:r w:rsidRPr="00C223AB">
        <w:rPr>
          <w:rFonts w:ascii="Arial" w:hAnsi="Arial" w:cs="Arial"/>
        </w:rPr>
        <w:t xml:space="preserve"> </w:t>
      </w:r>
      <w:r w:rsidR="006C7913" w:rsidRPr="00C223AB">
        <w:rPr>
          <w:rFonts w:ascii="Arial" w:hAnsi="Arial" w:cs="Arial"/>
        </w:rPr>
        <w:t>re</w:t>
      </w:r>
      <w:r w:rsidR="000867BA" w:rsidRPr="00C223AB">
        <w:rPr>
          <w:rFonts w:ascii="Arial" w:hAnsi="Arial" w:cs="Arial"/>
        </w:rPr>
        <w:t>taining</w:t>
      </w:r>
      <w:r w:rsidR="00671B6F" w:rsidRPr="00C223AB">
        <w:rPr>
          <w:rFonts w:ascii="Arial" w:hAnsi="Arial" w:cs="Arial"/>
        </w:rPr>
        <w:t xml:space="preserve"> significan</w:t>
      </w:r>
      <w:r w:rsidR="000867BA" w:rsidRPr="00C223AB">
        <w:rPr>
          <w:rFonts w:ascii="Arial" w:hAnsi="Arial" w:cs="Arial"/>
        </w:rPr>
        <w:t>ce</w:t>
      </w:r>
      <w:r w:rsidRPr="00C223AB">
        <w:rPr>
          <w:rFonts w:ascii="Arial" w:hAnsi="Arial" w:cs="Arial"/>
        </w:rPr>
        <w:t xml:space="preserve"> after adjustment for tradition</w:t>
      </w:r>
      <w:r w:rsidR="00E940A5" w:rsidRPr="00C223AB">
        <w:rPr>
          <w:rFonts w:ascii="Arial" w:hAnsi="Arial" w:cs="Arial"/>
        </w:rPr>
        <w:t xml:space="preserve">al </w:t>
      </w:r>
      <w:r w:rsidR="000867BA" w:rsidRPr="00C223AB">
        <w:rPr>
          <w:rFonts w:ascii="Arial" w:hAnsi="Arial" w:cs="Arial"/>
        </w:rPr>
        <w:t xml:space="preserve">CAD </w:t>
      </w:r>
      <w:r w:rsidR="00E940A5" w:rsidRPr="00C223AB">
        <w:rPr>
          <w:rFonts w:ascii="Arial" w:hAnsi="Arial" w:cs="Arial"/>
        </w:rPr>
        <w:t xml:space="preserve">risk factors (odds ratio </w:t>
      </w:r>
      <w:r w:rsidR="00E00517" w:rsidRPr="00C223AB">
        <w:rPr>
          <w:rFonts w:ascii="Arial" w:eastAsia="Times New Roman" w:hAnsi="Arial" w:cs="Arial"/>
          <w:color w:val="000000"/>
          <w:lang w:val="en-GB"/>
        </w:rPr>
        <w:t xml:space="preserve">1.47, </w:t>
      </w:r>
      <w:r w:rsidR="00E00517" w:rsidRPr="00C223AB">
        <w:rPr>
          <w:rFonts w:ascii="Arial" w:hAnsi="Arial" w:cs="Arial"/>
        </w:rPr>
        <w:t xml:space="preserve">95% CI </w:t>
      </w:r>
      <w:r w:rsidR="00E00517" w:rsidRPr="00C223AB">
        <w:rPr>
          <w:rFonts w:ascii="Arial" w:eastAsia="Times New Roman" w:hAnsi="Arial" w:cs="Arial"/>
          <w:color w:val="000000"/>
          <w:lang w:val="en-GB"/>
        </w:rPr>
        <w:t>1.11-1.94)</w:t>
      </w:r>
      <w:r w:rsidR="00E00517" w:rsidRPr="00C223AB">
        <w:rPr>
          <w:rFonts w:ascii="Arial" w:hAnsi="Arial" w:cs="Arial"/>
        </w:rPr>
        <w:t>.</w:t>
      </w:r>
      <w:r w:rsidRPr="00C223AB">
        <w:rPr>
          <w:rFonts w:ascii="Arial" w:hAnsi="Arial" w:cs="Arial"/>
        </w:rPr>
        <w:t xml:space="preserve"> </w:t>
      </w:r>
      <w:r w:rsidR="000867BA" w:rsidRPr="00C223AB">
        <w:rPr>
          <w:rFonts w:ascii="Arial" w:hAnsi="Arial" w:cs="Arial"/>
        </w:rPr>
        <w:t>A</w:t>
      </w:r>
      <w:r w:rsidR="002C7052" w:rsidRPr="00C223AB">
        <w:rPr>
          <w:rFonts w:ascii="Arial" w:hAnsi="Arial" w:cs="Arial"/>
        </w:rPr>
        <w:t>poC-III</w:t>
      </w:r>
      <w:r w:rsidR="00B7555E" w:rsidRPr="00C223AB">
        <w:rPr>
          <w:rFonts w:ascii="Arial" w:hAnsi="Arial" w:cs="Arial"/>
        </w:rPr>
        <w:t xml:space="preserve"> levels were </w:t>
      </w:r>
      <w:r w:rsidR="000867BA" w:rsidRPr="00C223AB">
        <w:rPr>
          <w:rFonts w:ascii="Arial" w:hAnsi="Arial" w:cs="Arial"/>
        </w:rPr>
        <w:t xml:space="preserve">positively </w:t>
      </w:r>
      <w:r w:rsidR="009305A8" w:rsidRPr="00C223AB">
        <w:rPr>
          <w:rFonts w:ascii="Arial" w:hAnsi="Arial" w:cs="Arial"/>
        </w:rPr>
        <w:t xml:space="preserve">correlated </w:t>
      </w:r>
      <w:r w:rsidR="00E940A5" w:rsidRPr="00C223AB">
        <w:rPr>
          <w:rFonts w:ascii="Arial" w:hAnsi="Arial" w:cs="Arial"/>
        </w:rPr>
        <w:t xml:space="preserve">with </w:t>
      </w:r>
      <w:r w:rsidR="006C0823" w:rsidRPr="00C223AB">
        <w:rPr>
          <w:rFonts w:ascii="Arial" w:hAnsi="Arial" w:cs="Arial"/>
        </w:rPr>
        <w:t xml:space="preserve">TG levels, (r=0.39), </w:t>
      </w:r>
      <w:r w:rsidR="00A0470F" w:rsidRPr="00C223AB">
        <w:rPr>
          <w:rFonts w:ascii="Arial" w:hAnsi="Arial" w:cs="Arial"/>
        </w:rPr>
        <w:t>particle numbers</w:t>
      </w:r>
      <w:r w:rsidR="000867BA" w:rsidRPr="00C223AB">
        <w:rPr>
          <w:rFonts w:ascii="Arial" w:hAnsi="Arial" w:cs="Arial"/>
        </w:rPr>
        <w:t xml:space="preserve"> of very-low density lipoprotein (V</w:t>
      </w:r>
      <w:r w:rsidR="00E940A5" w:rsidRPr="00C223AB">
        <w:rPr>
          <w:rFonts w:ascii="Arial" w:hAnsi="Arial" w:cs="Arial"/>
        </w:rPr>
        <w:t>LDL</w:t>
      </w:r>
      <w:r w:rsidR="000867BA" w:rsidRPr="00C223AB">
        <w:rPr>
          <w:rFonts w:ascii="Arial" w:hAnsi="Arial" w:cs="Arial"/>
        </w:rPr>
        <w:t>;</w:t>
      </w:r>
      <w:r w:rsidR="000867BA" w:rsidRPr="00C223AB" w:rsidDel="000867BA">
        <w:rPr>
          <w:rFonts w:ascii="Arial" w:hAnsi="Arial" w:cs="Arial"/>
        </w:rPr>
        <w:t xml:space="preserve"> </w:t>
      </w:r>
      <w:r w:rsidR="00E940A5" w:rsidRPr="00C223AB">
        <w:rPr>
          <w:rFonts w:ascii="Arial" w:hAnsi="Arial" w:cs="Arial"/>
        </w:rPr>
        <w:t>r=0.25</w:t>
      </w:r>
      <w:r w:rsidR="00B7555E" w:rsidRPr="00C223AB">
        <w:rPr>
          <w:rFonts w:ascii="Arial" w:hAnsi="Arial" w:cs="Arial"/>
        </w:rPr>
        <w:t>)</w:t>
      </w:r>
      <w:r w:rsidR="00CE1248" w:rsidRPr="00C223AB">
        <w:rPr>
          <w:rFonts w:ascii="Arial" w:hAnsi="Arial" w:cs="Arial"/>
        </w:rPr>
        <w:t>, intermediate</w:t>
      </w:r>
      <w:r w:rsidR="000867BA" w:rsidRPr="00C223AB">
        <w:rPr>
          <w:rFonts w:ascii="Arial" w:hAnsi="Arial" w:cs="Arial"/>
        </w:rPr>
        <w:t>-density lipoprotein (</w:t>
      </w:r>
      <w:r w:rsidR="00E940A5" w:rsidRPr="00C223AB">
        <w:rPr>
          <w:rFonts w:ascii="Arial" w:hAnsi="Arial" w:cs="Arial"/>
        </w:rPr>
        <w:t>IDL</w:t>
      </w:r>
      <w:r w:rsidR="000867BA" w:rsidRPr="00C223AB">
        <w:rPr>
          <w:rFonts w:ascii="Arial" w:hAnsi="Arial" w:cs="Arial"/>
        </w:rPr>
        <w:t>;</w:t>
      </w:r>
      <w:r w:rsidR="000867BA" w:rsidRPr="00C223AB" w:rsidDel="000867BA">
        <w:rPr>
          <w:rFonts w:ascii="Arial" w:hAnsi="Arial" w:cs="Arial"/>
        </w:rPr>
        <w:t xml:space="preserve"> </w:t>
      </w:r>
      <w:r w:rsidR="00E940A5" w:rsidRPr="00C223AB">
        <w:rPr>
          <w:rFonts w:ascii="Arial" w:hAnsi="Arial" w:cs="Arial"/>
        </w:rPr>
        <w:t>r=0.23</w:t>
      </w:r>
      <w:r w:rsidR="00B7555E" w:rsidRPr="00C223AB">
        <w:rPr>
          <w:rFonts w:ascii="Arial" w:hAnsi="Arial" w:cs="Arial"/>
        </w:rPr>
        <w:t>)</w:t>
      </w:r>
      <w:r w:rsidR="00EA2306" w:rsidRPr="00C223AB">
        <w:rPr>
          <w:rFonts w:ascii="Arial" w:hAnsi="Arial" w:cs="Arial"/>
        </w:rPr>
        <w:t>,</w:t>
      </w:r>
      <w:r w:rsidR="00E940A5" w:rsidRPr="00C223AB">
        <w:rPr>
          <w:rFonts w:ascii="Arial" w:hAnsi="Arial" w:cs="Arial"/>
        </w:rPr>
        <w:t xml:space="preserve"> small dense LDL (r=0.26</w:t>
      </w:r>
      <w:r w:rsidR="00B7555E" w:rsidRPr="00C223AB">
        <w:rPr>
          <w:rFonts w:ascii="Arial" w:hAnsi="Arial" w:cs="Arial"/>
        </w:rPr>
        <w:t>)</w:t>
      </w:r>
      <w:r w:rsidR="000867BA" w:rsidRPr="00C223AB">
        <w:rPr>
          <w:rFonts w:ascii="Arial" w:hAnsi="Arial" w:cs="Arial"/>
        </w:rPr>
        <w:t xml:space="preserve">, </w:t>
      </w:r>
      <w:r w:rsidR="00BA1F43" w:rsidRPr="00C223AB">
        <w:rPr>
          <w:rFonts w:ascii="Arial" w:hAnsi="Arial" w:cs="Arial"/>
        </w:rPr>
        <w:t xml:space="preserve">and high-sensitivity C-reactive protein (hsCRP) (r=0.15), </w:t>
      </w:r>
      <w:r w:rsidR="000867BA" w:rsidRPr="00C223AB">
        <w:rPr>
          <w:rFonts w:ascii="Arial" w:hAnsi="Arial" w:cs="Arial"/>
        </w:rPr>
        <w:t xml:space="preserve">whereas an inverse correlation was observed with </w:t>
      </w:r>
      <w:r w:rsidR="00B7555E" w:rsidRPr="00C223AB">
        <w:rPr>
          <w:rFonts w:ascii="Arial" w:hAnsi="Arial" w:cs="Arial"/>
        </w:rPr>
        <w:t xml:space="preserve">large LDL </w:t>
      </w:r>
      <w:r w:rsidR="00606F46" w:rsidRPr="00C223AB">
        <w:rPr>
          <w:rFonts w:ascii="Arial" w:hAnsi="Arial" w:cs="Arial"/>
        </w:rPr>
        <w:t>particle</w:t>
      </w:r>
      <w:r w:rsidR="00592FFA" w:rsidRPr="00C223AB">
        <w:rPr>
          <w:rFonts w:ascii="Arial" w:hAnsi="Arial" w:cs="Arial"/>
        </w:rPr>
        <w:t xml:space="preserve"> </w:t>
      </w:r>
      <w:r w:rsidR="00C23D39" w:rsidRPr="00C223AB">
        <w:rPr>
          <w:rFonts w:ascii="Arial" w:hAnsi="Arial" w:cs="Arial"/>
        </w:rPr>
        <w:t>number</w:t>
      </w:r>
      <w:r w:rsidR="00606F46" w:rsidRPr="00C223AB">
        <w:rPr>
          <w:rFonts w:ascii="Arial" w:hAnsi="Arial" w:cs="Arial"/>
        </w:rPr>
        <w:t xml:space="preserve"> </w:t>
      </w:r>
      <w:r w:rsidR="00E940A5" w:rsidRPr="00C223AB">
        <w:rPr>
          <w:rFonts w:ascii="Arial" w:hAnsi="Arial" w:cs="Arial"/>
        </w:rPr>
        <w:t>(r=-0.11</w:t>
      </w:r>
      <w:r w:rsidR="00606F46" w:rsidRPr="00C223AB">
        <w:rPr>
          <w:rFonts w:ascii="Arial" w:hAnsi="Arial" w:cs="Arial"/>
        </w:rPr>
        <w:t>),</w:t>
      </w:r>
      <w:r w:rsidR="006C7913" w:rsidRPr="00C223AB">
        <w:rPr>
          <w:rFonts w:ascii="Arial" w:hAnsi="Arial" w:cs="Arial"/>
        </w:rPr>
        <w:t xml:space="preserve"> </w:t>
      </w:r>
      <w:r w:rsidR="00B7555E" w:rsidRPr="00C223AB">
        <w:rPr>
          <w:rFonts w:ascii="Arial" w:hAnsi="Arial" w:cs="Arial"/>
        </w:rPr>
        <w:t>p&lt;0.001</w:t>
      </w:r>
      <w:r w:rsidR="008C4738" w:rsidRPr="00C223AB">
        <w:rPr>
          <w:rFonts w:ascii="Arial" w:hAnsi="Arial" w:cs="Arial"/>
        </w:rPr>
        <w:t xml:space="preserve"> for each</w:t>
      </w:r>
      <w:r w:rsidR="00B7555E" w:rsidRPr="00C223AB">
        <w:rPr>
          <w:rFonts w:ascii="Arial" w:hAnsi="Arial" w:cs="Arial"/>
        </w:rPr>
        <w:t xml:space="preserve">. Mediation analysis indicated </w:t>
      </w:r>
      <w:r w:rsidR="0017775E" w:rsidRPr="00C223AB">
        <w:rPr>
          <w:rFonts w:ascii="Arial" w:hAnsi="Arial" w:cs="Arial"/>
        </w:rPr>
        <w:t>that the</w:t>
      </w:r>
      <w:r w:rsidR="0097669B" w:rsidRPr="00C223AB">
        <w:rPr>
          <w:rFonts w:ascii="Arial" w:hAnsi="Arial" w:cs="Arial"/>
        </w:rPr>
        <w:t xml:space="preserve"> association</w:t>
      </w:r>
      <w:r w:rsidR="00CE1248" w:rsidRPr="00C223AB">
        <w:rPr>
          <w:rFonts w:ascii="Arial" w:hAnsi="Arial" w:cs="Arial"/>
        </w:rPr>
        <w:t xml:space="preserve"> between </w:t>
      </w:r>
      <w:r w:rsidR="002C7052" w:rsidRPr="00C223AB">
        <w:rPr>
          <w:rFonts w:ascii="Arial" w:hAnsi="Arial" w:cs="Arial"/>
        </w:rPr>
        <w:t>apoC-III</w:t>
      </w:r>
      <w:r w:rsidR="00B7555E" w:rsidRPr="00C223AB">
        <w:rPr>
          <w:rFonts w:ascii="Arial" w:hAnsi="Arial" w:cs="Arial"/>
        </w:rPr>
        <w:t xml:space="preserve"> </w:t>
      </w:r>
      <w:r w:rsidR="0017775E" w:rsidRPr="00C223AB">
        <w:rPr>
          <w:rFonts w:ascii="Arial" w:hAnsi="Arial" w:cs="Arial"/>
        </w:rPr>
        <w:t>and</w:t>
      </w:r>
      <w:r w:rsidR="00B7555E" w:rsidRPr="00C223AB">
        <w:rPr>
          <w:rFonts w:ascii="Arial" w:hAnsi="Arial" w:cs="Arial"/>
        </w:rPr>
        <w:t xml:space="preserve"> CAD </w:t>
      </w:r>
      <w:r w:rsidR="0017775E" w:rsidRPr="00C223AB">
        <w:rPr>
          <w:rFonts w:ascii="Arial" w:hAnsi="Arial" w:cs="Arial"/>
        </w:rPr>
        <w:t xml:space="preserve">risk </w:t>
      </w:r>
      <w:r w:rsidR="00CE1248" w:rsidRPr="00C223AB">
        <w:rPr>
          <w:rFonts w:ascii="Arial" w:hAnsi="Arial" w:cs="Arial"/>
        </w:rPr>
        <w:t xml:space="preserve">could be </w:t>
      </w:r>
      <w:r w:rsidR="009305A8" w:rsidRPr="00C223AB">
        <w:rPr>
          <w:rFonts w:ascii="Arial" w:hAnsi="Arial" w:cs="Arial"/>
        </w:rPr>
        <w:t xml:space="preserve">explained by </w:t>
      </w:r>
      <w:r w:rsidR="00CE1248" w:rsidRPr="00C223AB">
        <w:rPr>
          <w:rFonts w:ascii="Arial" w:hAnsi="Arial" w:cs="Arial"/>
        </w:rPr>
        <w:t>TG-elevation (TG, VLDL and IDL particles)</w:t>
      </w:r>
      <w:r w:rsidR="0016191B" w:rsidRPr="00C223AB">
        <w:rPr>
          <w:rFonts w:ascii="Arial" w:hAnsi="Arial" w:cs="Arial"/>
        </w:rPr>
        <w:t>, small LDL</w:t>
      </w:r>
      <w:r w:rsidR="00CE1248" w:rsidRPr="00C223AB">
        <w:rPr>
          <w:rFonts w:ascii="Arial" w:hAnsi="Arial" w:cs="Arial"/>
        </w:rPr>
        <w:t xml:space="preserve"> </w:t>
      </w:r>
      <w:r w:rsidR="00453238" w:rsidRPr="00C223AB">
        <w:rPr>
          <w:rFonts w:ascii="Arial" w:hAnsi="Arial" w:cs="Arial"/>
        </w:rPr>
        <w:t xml:space="preserve">particle size </w:t>
      </w:r>
      <w:r w:rsidR="00CE1248" w:rsidRPr="00C223AB">
        <w:rPr>
          <w:rFonts w:ascii="Arial" w:hAnsi="Arial" w:cs="Arial"/>
        </w:rPr>
        <w:t xml:space="preserve">and </w:t>
      </w:r>
      <w:r w:rsidR="00AD24E2" w:rsidRPr="00C223AB">
        <w:rPr>
          <w:rFonts w:ascii="Arial" w:hAnsi="Arial" w:cs="Arial"/>
        </w:rPr>
        <w:t>hs</w:t>
      </w:r>
      <w:r w:rsidR="00CE1248" w:rsidRPr="00C223AB">
        <w:rPr>
          <w:rFonts w:ascii="Arial" w:hAnsi="Arial" w:cs="Arial"/>
        </w:rPr>
        <w:t>CRP</w:t>
      </w:r>
      <w:r w:rsidR="0017775E" w:rsidRPr="00C223AB">
        <w:rPr>
          <w:rFonts w:ascii="Arial" w:hAnsi="Arial" w:cs="Arial"/>
        </w:rPr>
        <w:t>.</w:t>
      </w:r>
      <w:r w:rsidRPr="00C223AB">
        <w:rPr>
          <w:rFonts w:ascii="Arial" w:hAnsi="Arial" w:cs="Arial"/>
        </w:rPr>
        <w:t xml:space="preserve"> </w:t>
      </w:r>
    </w:p>
    <w:p w14:paraId="0CA88EEE" w14:textId="5FDE73B2" w:rsidR="001F6975" w:rsidRPr="00C223AB" w:rsidRDefault="00B7555E" w:rsidP="00C223AB">
      <w:pPr>
        <w:rPr>
          <w:rFonts w:ascii="Arial" w:hAnsi="Arial" w:cs="Arial"/>
        </w:rPr>
      </w:pPr>
      <w:r w:rsidRPr="00C223AB">
        <w:rPr>
          <w:rFonts w:ascii="Arial" w:hAnsi="Arial" w:cs="Arial"/>
          <w:b/>
        </w:rPr>
        <w:t>Conclusion</w:t>
      </w:r>
      <w:r w:rsidR="003D2A23" w:rsidRPr="00C223AB">
        <w:rPr>
          <w:rFonts w:ascii="Arial" w:hAnsi="Arial" w:cs="Arial"/>
          <w:b/>
        </w:rPr>
        <w:t>s</w:t>
      </w:r>
      <w:r w:rsidRPr="00C223AB">
        <w:rPr>
          <w:rFonts w:ascii="Arial" w:hAnsi="Arial" w:cs="Arial"/>
          <w:b/>
        </w:rPr>
        <w:t xml:space="preserve"> </w:t>
      </w:r>
      <w:r w:rsidR="002C7052" w:rsidRPr="00C223AB">
        <w:rPr>
          <w:rFonts w:ascii="Arial" w:hAnsi="Arial" w:cs="Arial"/>
        </w:rPr>
        <w:t>ApoC-III</w:t>
      </w:r>
      <w:r w:rsidRPr="00C223AB">
        <w:rPr>
          <w:rFonts w:ascii="Arial" w:hAnsi="Arial" w:cs="Arial"/>
        </w:rPr>
        <w:t xml:space="preserve"> levels are significantly associated with incident CAD risk. </w:t>
      </w:r>
      <w:r w:rsidR="0046391C" w:rsidRPr="00C223AB">
        <w:rPr>
          <w:rFonts w:ascii="Arial" w:hAnsi="Arial" w:cs="Arial"/>
        </w:rPr>
        <w:t>Elevated levels of remnant lipoproteins, small dense LDL and low-grade inflammation may explain this association</w:t>
      </w:r>
      <w:r w:rsidR="00227CD2" w:rsidRPr="00C223AB">
        <w:rPr>
          <w:rFonts w:ascii="Arial" w:hAnsi="Arial" w:cs="Arial"/>
        </w:rPr>
        <w:t>.</w:t>
      </w:r>
    </w:p>
    <w:p w14:paraId="7409560B" w14:textId="77777777" w:rsidR="003D2A23" w:rsidRPr="00C223AB" w:rsidRDefault="003D2A23" w:rsidP="00C223AB">
      <w:pPr>
        <w:rPr>
          <w:rFonts w:ascii="Arial" w:hAnsi="Arial" w:cs="Arial"/>
        </w:rPr>
      </w:pPr>
    </w:p>
    <w:p w14:paraId="2536D0CB" w14:textId="44373E3C" w:rsidR="003D2A23" w:rsidRPr="00C223AB" w:rsidRDefault="003D2A23" w:rsidP="00C223AB">
      <w:pPr>
        <w:rPr>
          <w:rFonts w:ascii="Arial" w:hAnsi="Arial" w:cs="Arial"/>
        </w:rPr>
      </w:pPr>
      <w:r w:rsidRPr="00C223AB">
        <w:rPr>
          <w:rFonts w:ascii="Arial" w:hAnsi="Arial" w:cs="Arial"/>
        </w:rPr>
        <w:t>Abbreviations.</w:t>
      </w:r>
    </w:p>
    <w:p w14:paraId="165B6415" w14:textId="4B1B3CC4" w:rsidR="003D2A23" w:rsidRPr="00C223AB" w:rsidRDefault="003D2A23" w:rsidP="00C223AB">
      <w:pPr>
        <w:rPr>
          <w:rFonts w:ascii="Arial" w:hAnsi="Arial" w:cs="Arial"/>
        </w:rPr>
      </w:pPr>
      <w:r w:rsidRPr="00C223AB">
        <w:rPr>
          <w:rFonts w:ascii="Arial" w:hAnsi="Arial" w:cs="Arial"/>
        </w:rPr>
        <w:t>ApoC-III</w:t>
      </w:r>
      <w:r w:rsidRPr="00C223AB">
        <w:rPr>
          <w:rFonts w:ascii="Arial" w:hAnsi="Arial" w:cs="Arial"/>
        </w:rPr>
        <w:tab/>
      </w:r>
      <w:r w:rsidRPr="00C223AB">
        <w:rPr>
          <w:rFonts w:ascii="Arial" w:hAnsi="Arial" w:cs="Arial"/>
        </w:rPr>
        <w:tab/>
        <w:t>Apolipoprotein C-III</w:t>
      </w:r>
    </w:p>
    <w:p w14:paraId="3827BA19" w14:textId="2FE1F4AA" w:rsidR="00730717" w:rsidRPr="00C223AB" w:rsidRDefault="00730717" w:rsidP="00C223AB">
      <w:pPr>
        <w:rPr>
          <w:rFonts w:ascii="Arial" w:hAnsi="Arial" w:cs="Arial"/>
        </w:rPr>
      </w:pPr>
      <w:r w:rsidRPr="00C223AB">
        <w:rPr>
          <w:rFonts w:ascii="Arial" w:hAnsi="Arial" w:cs="Arial"/>
        </w:rPr>
        <w:t>CAD</w:t>
      </w:r>
      <w:r w:rsidRPr="00C223AB">
        <w:rPr>
          <w:rFonts w:ascii="Arial" w:hAnsi="Arial" w:cs="Arial"/>
        </w:rPr>
        <w:tab/>
      </w:r>
      <w:r w:rsidRPr="00C223AB">
        <w:rPr>
          <w:rFonts w:ascii="Arial" w:hAnsi="Arial" w:cs="Arial"/>
        </w:rPr>
        <w:tab/>
      </w:r>
      <w:r w:rsidRPr="00C223AB">
        <w:rPr>
          <w:rFonts w:ascii="Arial" w:hAnsi="Arial" w:cs="Arial"/>
        </w:rPr>
        <w:tab/>
        <w:t>Coronary artery disease</w:t>
      </w:r>
    </w:p>
    <w:p w14:paraId="7E2CF714" w14:textId="7A980CD9" w:rsidR="00730717" w:rsidRPr="00C223AB" w:rsidRDefault="00730717" w:rsidP="00C223AB">
      <w:pPr>
        <w:rPr>
          <w:rFonts w:ascii="Arial" w:hAnsi="Arial" w:cs="Arial"/>
        </w:rPr>
      </w:pPr>
      <w:r w:rsidRPr="00C223AB">
        <w:rPr>
          <w:rFonts w:ascii="Arial" w:hAnsi="Arial" w:cs="Arial"/>
        </w:rPr>
        <w:t>CETP</w:t>
      </w:r>
      <w:r w:rsidRPr="00C223AB">
        <w:rPr>
          <w:rFonts w:ascii="Arial" w:hAnsi="Arial" w:cs="Arial"/>
        </w:rPr>
        <w:tab/>
      </w:r>
      <w:r w:rsidRPr="00C223AB">
        <w:rPr>
          <w:rFonts w:ascii="Arial" w:hAnsi="Arial" w:cs="Arial"/>
        </w:rPr>
        <w:tab/>
      </w:r>
      <w:r w:rsidRPr="00C223AB">
        <w:rPr>
          <w:rFonts w:ascii="Arial" w:hAnsi="Arial" w:cs="Arial"/>
        </w:rPr>
        <w:tab/>
        <w:t>Cholesteryl ester transfer protein</w:t>
      </w:r>
    </w:p>
    <w:p w14:paraId="5B699286" w14:textId="70F3DA63" w:rsidR="00730717" w:rsidRPr="00C223AB" w:rsidRDefault="00730717" w:rsidP="00C223AB">
      <w:pPr>
        <w:rPr>
          <w:rFonts w:ascii="Arial" w:hAnsi="Arial" w:cs="Arial"/>
        </w:rPr>
      </w:pPr>
      <w:r w:rsidRPr="00C223AB">
        <w:rPr>
          <w:rFonts w:ascii="Arial" w:hAnsi="Arial" w:cs="Arial"/>
        </w:rPr>
        <w:t>LCAT</w:t>
      </w:r>
      <w:r w:rsidRPr="00C223AB">
        <w:rPr>
          <w:rFonts w:ascii="Arial" w:hAnsi="Arial" w:cs="Arial"/>
        </w:rPr>
        <w:tab/>
      </w:r>
      <w:r w:rsidRPr="00C223AB">
        <w:rPr>
          <w:rFonts w:ascii="Arial" w:hAnsi="Arial" w:cs="Arial"/>
        </w:rPr>
        <w:tab/>
      </w:r>
      <w:r w:rsidRPr="00C223AB">
        <w:rPr>
          <w:rFonts w:ascii="Arial" w:hAnsi="Arial" w:cs="Arial"/>
        </w:rPr>
        <w:tab/>
        <w:t>Lecithin–cholesterol acyltransferase</w:t>
      </w:r>
    </w:p>
    <w:p w14:paraId="17309E4B" w14:textId="3F355E71" w:rsidR="003D2A23" w:rsidRPr="00C223AB" w:rsidRDefault="003D2A23" w:rsidP="00C223AB">
      <w:pPr>
        <w:rPr>
          <w:rFonts w:ascii="Arial" w:hAnsi="Arial" w:cs="Arial"/>
        </w:rPr>
      </w:pPr>
      <w:r w:rsidRPr="00C223AB">
        <w:rPr>
          <w:rFonts w:ascii="Arial" w:hAnsi="Arial" w:cs="Arial"/>
        </w:rPr>
        <w:t>LPL</w:t>
      </w:r>
      <w:r w:rsidRPr="00C223AB">
        <w:rPr>
          <w:rFonts w:ascii="Arial" w:hAnsi="Arial" w:cs="Arial"/>
        </w:rPr>
        <w:tab/>
      </w:r>
      <w:r w:rsidRPr="00C223AB">
        <w:rPr>
          <w:rFonts w:ascii="Arial" w:hAnsi="Arial" w:cs="Arial"/>
        </w:rPr>
        <w:tab/>
      </w:r>
      <w:r w:rsidRPr="00C223AB">
        <w:rPr>
          <w:rFonts w:ascii="Arial" w:hAnsi="Arial" w:cs="Arial"/>
        </w:rPr>
        <w:tab/>
        <w:t>Lipoprotein lipase</w:t>
      </w:r>
    </w:p>
    <w:p w14:paraId="0A73DBF4" w14:textId="21FBFEC5" w:rsidR="00730717" w:rsidRPr="00C223AB" w:rsidRDefault="00730717" w:rsidP="00C223AB">
      <w:pPr>
        <w:rPr>
          <w:rFonts w:ascii="Arial" w:hAnsi="Arial" w:cs="Arial"/>
        </w:rPr>
      </w:pPr>
      <w:r w:rsidRPr="00C223AB">
        <w:rPr>
          <w:rFonts w:ascii="Arial" w:hAnsi="Arial" w:cs="Arial"/>
        </w:rPr>
        <w:t>NMR</w:t>
      </w:r>
      <w:r w:rsidRPr="00C223AB">
        <w:rPr>
          <w:rFonts w:ascii="Arial" w:hAnsi="Arial" w:cs="Arial"/>
        </w:rPr>
        <w:tab/>
      </w:r>
      <w:r w:rsidRPr="00C223AB">
        <w:rPr>
          <w:rFonts w:ascii="Arial" w:hAnsi="Arial" w:cs="Arial"/>
        </w:rPr>
        <w:tab/>
      </w:r>
      <w:r w:rsidRPr="00C223AB">
        <w:rPr>
          <w:rFonts w:ascii="Arial" w:hAnsi="Arial" w:cs="Arial"/>
        </w:rPr>
        <w:tab/>
        <w:t>Nuclear magnetic resonance</w:t>
      </w:r>
    </w:p>
    <w:p w14:paraId="03AA8444" w14:textId="3FA0CEF7" w:rsidR="003D2A23" w:rsidRPr="00C223AB" w:rsidRDefault="003D2A23" w:rsidP="00C223AB">
      <w:pPr>
        <w:rPr>
          <w:rFonts w:ascii="Arial" w:hAnsi="Arial" w:cs="Arial"/>
        </w:rPr>
      </w:pPr>
      <w:r w:rsidRPr="00C223AB">
        <w:rPr>
          <w:rFonts w:ascii="Arial" w:hAnsi="Arial" w:cs="Arial"/>
        </w:rPr>
        <w:t xml:space="preserve">TRL </w:t>
      </w:r>
      <w:r w:rsidRPr="00C223AB">
        <w:rPr>
          <w:rFonts w:ascii="Arial" w:hAnsi="Arial" w:cs="Arial"/>
        </w:rPr>
        <w:tab/>
      </w:r>
      <w:r w:rsidRPr="00C223AB">
        <w:rPr>
          <w:rFonts w:ascii="Arial" w:hAnsi="Arial" w:cs="Arial"/>
        </w:rPr>
        <w:tab/>
      </w:r>
      <w:r w:rsidRPr="00C223AB">
        <w:rPr>
          <w:rFonts w:ascii="Arial" w:hAnsi="Arial" w:cs="Arial"/>
        </w:rPr>
        <w:tab/>
        <w:t>Triglyceride rich lipoprotein</w:t>
      </w:r>
    </w:p>
    <w:p w14:paraId="180593CA" w14:textId="50AB52E9" w:rsidR="00C47B8C" w:rsidRPr="00C223AB" w:rsidRDefault="00C47B8C" w:rsidP="00C223AB">
      <w:pPr>
        <w:rPr>
          <w:rFonts w:ascii="Arial" w:hAnsi="Arial" w:cs="Arial"/>
        </w:rPr>
      </w:pPr>
      <w:r w:rsidRPr="00C223AB">
        <w:rPr>
          <w:rFonts w:ascii="Arial" w:hAnsi="Arial" w:cs="Arial"/>
        </w:rPr>
        <w:br w:type="page"/>
      </w:r>
    </w:p>
    <w:p w14:paraId="7B0EE341" w14:textId="71F52772" w:rsidR="00C32680" w:rsidRPr="00C223AB" w:rsidRDefault="00C32680" w:rsidP="00C223AB">
      <w:pPr>
        <w:rPr>
          <w:rFonts w:ascii="Arial" w:hAnsi="Arial" w:cs="Arial"/>
          <w:b/>
        </w:rPr>
      </w:pPr>
      <w:r w:rsidRPr="00C223AB">
        <w:rPr>
          <w:rFonts w:ascii="Arial" w:hAnsi="Arial" w:cs="Arial"/>
          <w:b/>
        </w:rPr>
        <w:lastRenderedPageBreak/>
        <w:t>Introduction</w:t>
      </w:r>
    </w:p>
    <w:p w14:paraId="053138B7" w14:textId="5AF8B8A9" w:rsidR="00546187" w:rsidRPr="00C223AB" w:rsidRDefault="00EE6ADB" w:rsidP="00C223AB">
      <w:pPr>
        <w:ind w:firstLine="708"/>
        <w:rPr>
          <w:rFonts w:ascii="Arial" w:hAnsi="Arial" w:cs="Arial"/>
        </w:rPr>
      </w:pPr>
      <w:r w:rsidRPr="00C223AB">
        <w:rPr>
          <w:rFonts w:ascii="Arial" w:hAnsi="Arial" w:cs="Arial"/>
        </w:rPr>
        <w:t>L</w:t>
      </w:r>
      <w:r w:rsidR="001D0090" w:rsidRPr="00C223AB">
        <w:rPr>
          <w:rFonts w:ascii="Arial" w:hAnsi="Arial" w:cs="Arial"/>
        </w:rPr>
        <w:t xml:space="preserve">arge prospective epidemiological studies </w:t>
      </w:r>
      <w:r w:rsidR="009E15BA" w:rsidRPr="00C223AB">
        <w:rPr>
          <w:rFonts w:ascii="Arial" w:hAnsi="Arial" w:cs="Arial"/>
        </w:rPr>
        <w:t xml:space="preserve">have </w:t>
      </w:r>
      <w:r w:rsidR="00E47310" w:rsidRPr="00C223AB">
        <w:rPr>
          <w:rFonts w:ascii="Arial" w:hAnsi="Arial" w:cs="Arial"/>
        </w:rPr>
        <w:t>show</w:t>
      </w:r>
      <w:r w:rsidR="009E15BA" w:rsidRPr="00C223AB">
        <w:rPr>
          <w:rFonts w:ascii="Arial" w:hAnsi="Arial" w:cs="Arial"/>
        </w:rPr>
        <w:t>n</w:t>
      </w:r>
      <w:r w:rsidR="00E47310" w:rsidRPr="00C223AB">
        <w:rPr>
          <w:rFonts w:ascii="Arial" w:hAnsi="Arial" w:cs="Arial"/>
        </w:rPr>
        <w:t xml:space="preserve"> that</w:t>
      </w:r>
      <w:r w:rsidR="001D0090" w:rsidRPr="00C223AB">
        <w:rPr>
          <w:rFonts w:ascii="Arial" w:hAnsi="Arial" w:cs="Arial"/>
        </w:rPr>
        <w:t xml:space="preserve"> elevated triglyceride (TG) levels are associated with increased c</w:t>
      </w:r>
      <w:r w:rsidR="001F6975" w:rsidRPr="00C223AB">
        <w:rPr>
          <w:rFonts w:ascii="Arial" w:hAnsi="Arial" w:cs="Arial"/>
        </w:rPr>
        <w:t xml:space="preserve">oronary artery </w:t>
      </w:r>
      <w:r w:rsidR="001D0090" w:rsidRPr="00C223AB">
        <w:rPr>
          <w:rFonts w:ascii="Arial" w:hAnsi="Arial" w:cs="Arial"/>
        </w:rPr>
        <w:t>disease (C</w:t>
      </w:r>
      <w:r w:rsidR="001F6975" w:rsidRPr="00C223AB">
        <w:rPr>
          <w:rFonts w:ascii="Arial" w:hAnsi="Arial" w:cs="Arial"/>
        </w:rPr>
        <w:t>A</w:t>
      </w:r>
      <w:r w:rsidR="001D0090" w:rsidRPr="00C223AB">
        <w:rPr>
          <w:rFonts w:ascii="Arial" w:hAnsi="Arial" w:cs="Arial"/>
        </w:rPr>
        <w:t>D) risk</w:t>
      </w:r>
      <w:r w:rsidR="00A16249" w:rsidRPr="00C223AB">
        <w:rPr>
          <w:rFonts w:ascii="Arial" w:hAnsi="Arial" w:cs="Arial"/>
        </w:rPr>
        <w:t>,</w:t>
      </w:r>
      <w:r w:rsidR="00493189" w:rsidRPr="00C223AB">
        <w:rPr>
          <w:rFonts w:ascii="Arial" w:hAnsi="Arial" w:cs="Arial"/>
        </w:rPr>
        <w:fldChar w:fldCharType="begin" w:fldLock="1"/>
      </w:r>
      <w:r w:rsidR="00493189" w:rsidRPr="00C223AB">
        <w:rPr>
          <w:rFonts w:ascii="Arial" w:hAnsi="Arial" w:cs="Arial"/>
        </w:rPr>
        <w:instrText>ADDIN CSL_CITATION { "citationItems" : [ { "id" : "ITEM-1", "itemData" : { "DOI" : "10.1161/CIRCULATIONAHA.106.637793", "ISSN" : "1524-4539", "PMID" : "17190864", "abstract" : "BACKGROUND Many epidemiological studies have reported on associations between serum triglyceride concentrations and the risk of coronary heart disease, but this association has not been reliably quantified. In the present study, we report 2 separate nested case-control comparisons in 2 different prospective, population-based cohorts, plus an updated meta-analysis of 27 additional prospective studies in general Western populations. METHODS AND RESULTS Measurements were made in a total of 3582 incident cases of fatal and nonfatal coronary heart disease and 6175 controls selected from among the 44,237 men and women screened in the Reykjavik and the European Prospective Investigation of Cancer (EPIC)-Norfolk studies. Repeat measurements were obtained an average of 4 years apart in 1933 participants in the EPIC-Norfolk Study and an average of 12 years apart in 379 participants in the Reykjavik study. The long-term stability of log-triglyceride values (within-person correlation coefficients of 0.64 [95% CI, 0.60 to 0.68] over 4 years and 0.63 [95% CI, 0.57 to 0.70] over 12 years) was similar to those of blood pressure and total serum cholesterol. After adjustment for baseline values of several established risk factors, the strength of the association was substantially attenuated, and the adjusted odds ratio for coronary heart disease was 1.76 (95% CI, 1.39 to 2.21) in the Reykjavik study and 1.57 (95% CI, 1.10 to 2.24) in the EPIC-Norfolk study in a comparison of individuals in the top third with those in the bottom third of usual log-triglyceride values. Similar overall findings (adjusted odds ratio, 1.72; 95% CI, 1.56 to 1.90) were observed in an updated meta-analysis involving a total of 10,158 incident coronary heart disease cases from 262,525 participants in 29 studies. CONCLUSIONS Available prospective studies in Western populations consistently indicate moderate and highly significant associations between triglyceride values and coronary heart disease risk. Because these associations depend considerably on levels of established risk factors, however, further studies are needed to help assess the nature of any independent associations.", "author" : [ { "dropping-particle" : "", "family" : "Sarwar", "given" : "Nadeem", "non-dropping-particle" : "", "parse-names" : false, "suffix" : "" }, { "dropping-particle" : "", "family" : "Danesh", "given" : "John", "non-dropping-particle" : "", "parse-names" : false, "suffix" : "" }, { "dropping-particle" : "", "family" : "Eiriksdottir", "given" : "Gudny", "non-dropping-particle" : "", "parse-names" : false, "suffix" : "" }, { "dropping-particle" : "", "family" : "Sigurdsson", "given" : "Gunnar", "non-dropping-particle" : "", "parse-names" : false, "suffix" : "" }, { "dropping-particle" : "", "family" : "Wareham", "given" : "Nick", "non-dropping-particle" : "", "parse-names" : false, "suffix" : "" }, { "dropping-particle" : "", "family" : "Bingham", "given" : "Sheila", "non-dropping-particle" : "", "parse-names" : false, "suffix" : "" }, { "dropping-particle" : "", "family" : "Boekholdt", "given" : "S Matthijs", "non-dropping-particle" : "", "parse-names" : false, "suffix" : "" }, { "dropping-particle" : "", "family" : "Khaw", "given" : "Kay-Tee", "non-dropping-particle" : "", "parse-names" : false, "suffix" : "" }, { "dropping-particle" : "", "family" : "Gudnason", "given" : "Vilmundur", "non-dropping-particle" : "", "parse-names" : false, "suffix" : "" } ], "container-title" : "Circulation", "id" : "ITEM-1", "issue" : "4", "issued" : { "date-parts" : [ [ "2007", "1", "30" ] ] }, "page" : "450-8", "title" : "Triglycerides and the risk of coronary heart disease: 10,158 incident cases among 262,525 participants in 29 Western prospective studies.", "type" : "article-journal", "volume" : "115" }, "uris" : [ "http://www.mendeley.com/documents/?uuid=ae463fec-e18a-4cd9-8b16-56d15616cd16" ] }, { "id" : "ITEM-2", "itemData" : { "DOI" : "10.1001/jama.2009.1619", "ISSN" : "1538-3598", "PMID" : "19903920", "abstract" : "CONTEXT Associations of major lipids and apolipoproteins with the risk of vascular disease have not been reliably quantified. OBJECTIVE To assess major lipids and apolipoproteins in vascular risk. DESIGN, SETTING, AND PARTICIPANTS Individual records were supplied on 302,430 people without initial vascular disease from 68 long-term prospective studies, mostly in Europe and North America. During 2.79 million person-years of follow-up, there were 8857 nonfatal myocardial infarctions, 3928 coronary heart disease [CHD] deaths, 2534 ischemic strokes, 513 hemorrhagic strokes, and 2536 unclassified strokes. MAIN OUTCOME MEASURES Hazard ratios (HRs), adjusted for several conventional factors, were calculated for 1-SD higher values: 0.52 log(e) triglyceride, 15 mg/dL high-density lipoprotein cholesterol (HDL-C), 43 mg/dL non-HDL-C, 29 mg/dL apolipoprotein AI, 29 mg/dL apolipoprotein B, and 33 mg/dL directly measured low-density lipoprotein cholesterol (LDL-C). Within-study regression analyses were adjusted for within-person variation and combined using meta-analysis. RESULTS The rates of CHD per 1000 person-years in the bottom and top thirds of baseline lipid distributions, respectively, were 2.6 and 6.2 with triglyceride, 6.4 and 2.4 with HDL-C, and 2.3 and 6.7 with non-HDL-C. Adjusted HRs for CHD were 0.99 (95% CI, 0.94-1.05) with triglyceride, 0.78 (95% CI, 0.74-0.82) with HDL-C, and 1.50 (95% CI, 1.39-1.61) with non-HDL-C. Hazard ratios were at least as strong in participants who did not fast as in those who did. The HR for CHD was 0.35 (95% CI, 0.30-0.42) with a combination of 80 mg/dL lower non-HDL-C and 15 mg/dL higher HDL-C. For the subset with apolipoproteins or directly measured LDL-C, HRs were 1.50 (95% CI, 1.38-1.62) with the ratio non-HDL-C/HDL-C, 1.49 (95% CI, 1.39-1.60) with the ratio apo B/apo AI, 1.42 (95% CI, 1.06-1.91) with non-HDL-C, and 1.38 (95% CI, 1.09-1.73) with directly measured LDL-C. Hazard ratios for ischemic stroke were 1.02 (95% CI, 0.94-1.11) with triglyceride, 0.93 (95% CI, 0.84-1.02) with HDL-C, and 1.12 (95% CI, 1.04-1.20) with non-HDL-C. CONCLUSION Lipid assessment in vascular disease can be simplified by measurement of either total and HDL cholesterol levels or apolipoproteins without the need to fast and without regard to triglyceride.", "author" : [ { "dropping-particle" : "", "family" : "Emerging Risk Factors Collaboration", "given" : "", "non-dropping-particle" : "", "parse-names" : false, "suffix" : "" }, { "dropping-particle" : "", "family" : "Angelantonio", "given" : "Emanuele", "non-dropping-particle" : "Di", "parse-names" : false, "suffix" : "" }, { "dropping-particle" : "", "family" : "Sarwar", "given" : "Nadeem", "non-dropping-particle" : "", "parse-names" : false, "suffix" : "" }, { "dropping-particle" : "", "family" : "Perry", "given" : "Philip", "non-dropping-particle" : "", "parse-names" : false, "suffix" : "" }, { "dropping-particle" : "", "family" : "Kaptoge", "given" : "Stephen", "non-dropping-particle" : "", "parse-names" : false, "suffix" : "" }, { "dropping-particle" : "", "family" : "Ray", "given" : "Kausik K", "non-dropping-particle" : "", "parse-names" : false, "suffix" : "" }, { "dropping-particle" : "", "family" : "Thompson", "given" : "Alexander", "non-dropping-particle" : "", "parse-names" : false, "suffix" : "" }, { "dropping-particle" : "", "family" : "Wood", "given" : "Angela M", "non-dropping-particle" : "", "parse-names" : false, "suffix" : "" }, { "dropping-particle" : "", "family" : "Lewington", "given" : "Sarah", "non-dropping-particle" : "", "parse-names" : false, "suffix" : "" }, { "dropping-particle" : "", "family" : "Sattar", "given" : "Naveed", "non-dropping-particle" : "", "parse-names" : false, "suffix" : "" }, { "dropping-particle" : "", "family" : "Packard", "given" : "Chris J", "non-dropping-particle" : "", "parse-names" : false, "suffix" : "" }, { "dropping-particle" : "", "family" : "Collins", "given" : "Rory", "non-dropping-particle" : "", "parse-names" : false, "suffix" : "" }, { "dropping-particle" : "", "family" : "Thompson", "given" : "Simon G", "non-dropping-particle" : "", "parse-names" : false, "suffix" : "" }, { "dropping-particle" : "", "family" : "Danesh", "given" : "John", "non-dropping-particle" : "", "parse-names" : false, "suffix" : "" } ], "container-title" : "JAMA", "id" : "ITEM-2", "issue" : "18", "issued" : { "date-parts" : [ [ "2009", "11", "11" ] ] }, "page" : "1993-2000", "title" : "Major lipids, apolipoproteins, and risk of vascular disease.", "type" : "article-journal", "volume" : "302" }, "uris" : [ "http://www.mendeley.com/documents/?uuid=acc74810-6d0a-477e-b073-bce2f0cbd5be" ] } ], "mendeley" : { "formattedCitation" : "&lt;sup&gt;1,2&lt;/sup&gt;", "plainTextFormattedCitation" : "1,2", "previouslyFormattedCitation" : "&lt;sup&gt;1,2&lt;/sup&gt;" }, "properties" : { "noteIndex" : 0 }, "schema" : "https://github.com/citation-style-language/schema/raw/master/csl-citation.json" }</w:instrText>
      </w:r>
      <w:r w:rsidR="00493189" w:rsidRPr="00C223AB">
        <w:rPr>
          <w:rFonts w:ascii="Arial" w:hAnsi="Arial" w:cs="Arial"/>
        </w:rPr>
        <w:fldChar w:fldCharType="separate"/>
      </w:r>
      <w:r w:rsidR="00493189" w:rsidRPr="00C223AB">
        <w:rPr>
          <w:rFonts w:ascii="Arial" w:hAnsi="Arial" w:cs="Arial"/>
          <w:noProof/>
          <w:vertAlign w:val="superscript"/>
        </w:rPr>
        <w:t>1,2</w:t>
      </w:r>
      <w:r w:rsidR="00493189" w:rsidRPr="00C223AB">
        <w:rPr>
          <w:rFonts w:ascii="Arial" w:hAnsi="Arial" w:cs="Arial"/>
        </w:rPr>
        <w:fldChar w:fldCharType="end"/>
      </w:r>
      <w:r w:rsidR="001D0090" w:rsidRPr="00C223AB">
        <w:rPr>
          <w:rFonts w:ascii="Arial" w:hAnsi="Arial" w:cs="Arial"/>
        </w:rPr>
        <w:t xml:space="preserve"> independent </w:t>
      </w:r>
      <w:r w:rsidR="008C4738" w:rsidRPr="00C223AB">
        <w:rPr>
          <w:rFonts w:ascii="Arial" w:hAnsi="Arial" w:cs="Arial"/>
        </w:rPr>
        <w:t>of</w:t>
      </w:r>
      <w:r w:rsidR="001D0090" w:rsidRPr="00C223AB">
        <w:rPr>
          <w:rFonts w:ascii="Arial" w:hAnsi="Arial" w:cs="Arial"/>
        </w:rPr>
        <w:t xml:space="preserve"> low density lipoprotein-cholesterol (LDL-C) and high density lipoprotein cholesterol (HDL-C).</w:t>
      </w:r>
      <w:r w:rsidR="00493189" w:rsidRPr="00C223AB">
        <w:rPr>
          <w:rFonts w:ascii="Arial" w:hAnsi="Arial" w:cs="Arial"/>
        </w:rPr>
        <w:fldChar w:fldCharType="begin" w:fldLock="1"/>
      </w:r>
      <w:r w:rsidR="00493189" w:rsidRPr="00C223AB">
        <w:rPr>
          <w:rFonts w:ascii="Arial" w:hAnsi="Arial" w:cs="Arial"/>
        </w:rPr>
        <w:instrText>ADDIN CSL_CITATION { "citationItems" : [ { "id" : "ITEM-1", "itemData" : { "DOI" : "10.1038/ng.2795", "ISSN" : "1061-4036", "PMID" : "24097064", "abstract" : "Triglycerides are transported in plasma by specific triglyceride-rich lipoproteins; in epidemiological studies, increased triglyceride levels correlate with higher risk for coronary artery disease (CAD). However, it is unclear whether this association reflects causal processes. We used 185 common variants recently mapped for plasma lipids (P &lt; 5 \u00d7 10(-8) for each) to examine the role of triglycerides in risk for CAD. First, we highlight loci associated with both low-density lipoprotein cholesterol (LDL-C) and triglyceride levels, and we show that the direction and magnitude of the associations with both traits are factors in determining CAD risk. Second, we consider loci with only a strong association with triglycerides and show that these loci are also associated with CAD. Finally, in a model accounting for effects on LDL-C and/or high-density lipoprotein cholesterol (HDL-C) levels, the strength of a polymorphism's effect on triglyceride levels is correlated with the magnitude of its effect on CAD risk. These results suggest that triglyceride-rich lipoproteins causally influence risk for CAD.", "author" : [ { "dropping-particle" : "", "family" : "Do", "given" : "Ron", "non-dropping-particle" : "", "parse-names" : false, "suffix" : "" }, { "dropping-particle" : "", "family" : "Willer", "given" : "Cristen J", "non-dropping-particle" : "", "parse-names" : false, "suffix" : "" }, { "dropping-particle" : "", "family" : "Schmidt", "given" : "Ellen M", "non-dropping-particle" : "", "parse-names" : false, "suffix" : "" }, { "dropping-particle" : "", "family" : "Sengupta", "given" : "Sebanti", "non-dropping-particle" : "", "parse-names" : false, "suffix" : "" }, { "dropping-particle" : "", "family" : "Gao", "given" : "Chi", "non-dropping-particle" : "", "parse-names" : false, "suffix" : "" }, { "dropping-particle" : "", "family" : "Peloso", "given" : "Gina M", "non-dropping-particle" : "", "parse-names" : false, "suffix" : "" }, { "dropping-particle" : "", "family" : "Gustafsson", "given" : "Stefan", "non-dropping-particle" : "", "parse-names" : false, "suffix" : "" }, { "dropping-particle" : "", "family" : "Kanoni", "given" : "Stavroula", "non-dropping-particle" : "", "parse-names" : false, "suffix" : "" }, { "dropping-particle" : "", "family" : "Ganna", "given" : "Andrea", "non-dropping-particle" : "", "parse-names" : false, "suffix" : "" }, { "dropping-particle" : "", "family" : "Chen", "given" : "Jin", "non-dropping-particle" : "", "parse-names" : false, "suffix" : "" }, { "dropping-particle" : "", "family" : "Buchkovich", "given" : "Martin L", "non-dropping-particle" : "", "parse-names" : false, "suffix" : "" }, { "dropping-particle" : "", "family" : "Mora", "given" : "Samia", "non-dropping-particle" : "", "parse-names" : false, "suffix" : "" }, { "dropping-particle" : "", "family" : "Beckmann", "given" : "Jacques S", "non-dropping-particle" : "", "parse-names" : false, "suffix" : "" }, { "dropping-particle" : "", "family" : "Bragg-Gresham", "given" : "Jennifer L", "non-dropping-particle" : "", "parse-names" : false, "suffix" : "" }, { "dropping-particle" : "", "family" : "Chang", "given" : "Hsing-Yi", "non-dropping-particle" : "", "parse-names" : false, "suffix" : "" }, { "dropping-particle" : "", "family" : "Demirkan", "given" : "Ay\u015fe", "non-dropping-particle" : "", "parse-names" : false, "suffix" : "" }, { "dropping-particle" : "", "family" : "Hertog", "given" : "Heleen M", "non-dropping-particle" : "Den", "parse-names" : false, "suffix" : "" }, { "dropping-particle" : "", "family" : "Donnelly", "given" : "Louise A", "non-dropping-particle" : "", "parse-names" : false, "suffix" : "" }, { "dropping-particle" : "", "family" : "Ehret", "given" : "Georg B", "non-dropping-particle" : "", "parse-names" : false, "suffix" : "" }, { "dropping-particle" : "", "family" : "Esko", "given" : "T\u00f5nu", "non-dropping-particle" : "", "parse-names" : false, "suffix" : "" }, { "dropping-particle" : "", "family" : "Feitosa", "given" : "Mary F", "non-dropping-particle" : "", "parse-names" : false, "suffix" : "" }, { "dropping-particle" : "", "family" : "Ferreira", "given" : "Teresa", "non-dropping-particle" : "", "parse-names" : false, "suffix" : "" }, { "dropping-particle" : "", "family" : "Fischer", "given" : "Krista", "non-dropping-particle" : "", "parse-names" : false, "suffix" : "" }, { "dropping-particle" : "", "family" : "Fontanillas", "given" : "Pierre", "non-dropping-particle" : "", "parse-names" : false, "suffix" : "" }, { "dropping-particle" : "", "family" : "Fraser", "given" : "Ross M", "non-dropping-particle" : "", "parse-names" : false, "suffix" : "" }, { "dropping-particle" : "", "family" : "Freitag", "given" : "Daniel F", "non-dropping-particle" : "", "parse-names" : false, "suffix" : "" }, { "dropping-particle" : "", "family" : "Gurdasani", "given" : "Deepti", "non-dropping-particle" : "", "parse-names" : false, "suffix" : "" }, { "dropping-particle" : "", "family" : "Heikkil\u00e4", "given" : "Kauko", "non-dropping-particle" : "", "parse-names" : false, "suffix" : "" }, { "dropping-particle" : "", "family" : "Hypp\u00f6nen", "given" : "Elina", "non-dropping-particle" : "", "parse-names" : false, "suffix" : "" }, { "dropping-particle" : "", "family" : "Isaacs", "given" : "Aaron", "non-dropping-particle" : "", "parse-names" : false, "suffix" : "" }, { "dropping-particle" : "", "family" : "Jackson", "given" : "Anne U", "non-dropping-particle" : "", "parse-names" : false, "suffix" : "" }, { "dropping-particle" : "", "family" : "Johansson", "given" : "\u00c5sa", "non-dropping-particle" : "", "parse-names" : false, "suffix" : "" }, { "dropping-particle" : "", "family" : "Johnson", "given" : "Toby", "non-dropping-particle" : "", "parse-names" : false, "suffix" : "" }, { "dropping-particle" : "", "family" : "Kaakinen", "given" : "Marika", "non-dropping-particle" : "", "parse-names" : false, "suffix" : "" }, { "dropping-particle" : "", "family" : "Kettunen", "given" : "Johannes", "non-dropping-particle" : "", "parse-names" : false, "suffix" : "" }, { "dropping-particle" : "", "family" : "Kleber", "given" : "Marcus E", "non-dropping-particle" : "", "parse-names" : false, "suffix" : "" }, { "dropping-particle" : "", "family" : "Li", "given" : "Xiaohui", "non-dropping-particle" : "", "parse-names" : false, "suffix" : "" }, { "dropping-particle" : "", "family" : "Luan", "given" : "Jian'an", "non-dropping-particle" : "", "parse-names" : false, "suffix" : "" }, { "dropping-particle" : "", "family" : "Lyytik\u00e4inen", "given" : "Leo-Pekka", "non-dropping-particle" : "", "parse-names" : false, "suffix" : "" }, { "dropping-particle" : "", "family" : "Magnusson", "given" : "Patrik K E", "non-dropping-particle" : "", "parse-names" : false, "suffix" : "" }, { "dropping-particle" : "", "family" : "Mangino", "given" : "Massimo", "non-dropping-particle" : "", "parse-names" : false, "suffix" : "" }, { "dropping-particle" : "", "family" : "Mihailov", "given" : "Evelin", "non-dropping-particle" : "", "parse-names" : false, "suffix" : "" }, { "dropping-particle" : "", "family" : "Montasser", "given" : "May E", "non-dropping-particle" : "", "parse-names" : false, "suffix" : "" }, { "dropping-particle" : "", "family" : "M\u00fcller-Nurasyid", "given" : "Martina", "non-dropping-particle" : "", "parse-names" : false, "suffix" : "" }, { "dropping-particle" : "", "family" : "Nolte", "given" : "Ilja M", "non-dropping-particle" : "", "parse-names" : false, "suffix" : "" }, { "dropping-particle" : "", "family" : "O'Connell", "given" : "Jeffrey R", "non-dropping-particle" : "", "parse-names" : false, "suffix" : "" }, { "dropping-particle" : "", "family" : "Palmer", "given" : "Cameron D", "non-dropping-particle" : "", "parse-names" : false, "suffix" : "" }, { "dropping-particle" : "", "family" : "Perola", "given" : "Markus", "non-dropping-particle" : "", "parse-names" : false, "suffix" : "" }, { "dropping-particle" : "", "family" : "Petersen", "given" : "Ann-Kristin", "non-dropping-particle" : "", "parse-names" : false, "suffix" : "" }, { "dropping-particle" : "", "family" : "Sanna", "given" : "Serena", "non-dropping-particle" : "", "parse-names" : false, "suffix" : "" }, { "dropping-particle" : "", "family" : "Saxena", "given" : "Richa", "non-dropping-particle" : "", "parse-names" : false, "suffix" : "" }, { "dropping-particle" : "", "family" : "Service", "given" : "Susan K", "non-dropping-particle" : "", "parse-names" : false, "suffix" : "" }, { "dropping-particle" : "", "family" : "Shah", "given" : "Sonia", "non-dropping-particle" : "", "parse-names" : false, "suffix" : "" }, { "dropping-particle" : "", "family" : "Shungin", "given" : "Dmitry", "non-dropping-particle" : "", "parse-names" : false, "suffix" : "" }, { "dropping-particle" : "", "family" : "Sidore", "given" : "Carlo", "non-dropping-particle" : "", "parse-names" : false, "suffix" : "" }, { "dropping-particle" : "", "family" : "Song", "given" : "Ci", "non-dropping-particle" : "", "parse-names" : false, "suffix" : "" }, { "dropping-particle" : "", "family" : "Strawbridge", "given" : "Rona J", "non-dropping-particle" : "", "parse-names" : false, "suffix" : "" }, { "dropping-particle" : "", "family" : "Surakka", "given" : "Ida", "non-dropping-particle" : "", "parse-names" : false, "suffix" : "" }, { "dropping-particle" : "", "family" : "Tanaka", "given" : "Toshiko", "non-dropping-particle" : "", "parse-names" : false, "suffix" : "" }, { "dropping-particle" : "", "family" : "Teslovich", "given" : "Tanya M", "non-dropping-particle" : "", "parse-names" : false, "suffix" : "" }, { "dropping-particle" : "", "family" : "Thorleifsson", "given" : "Gudmar", "non-dropping-particle" : "", "parse-names" : false, "suffix" : "" }, { "dropping-particle" : "", "family" : "Herik", "given" : "Evita G", "non-dropping-particle" : "Van den", "parse-names" : false, "suffix" : "" }, { "dropping-particle" : "", "family" : "Voight", "given" : "Benjamin F", "non-dropping-particle" : "", "parse-names" : false, "suffix" : "" }, { "dropping-particle" : "", "family" : "Volcik", "given" : "Kelly A", "non-dropping-particle" : "", "parse-names" : false, "suffix" : "" }, { "dropping-particle" : "", "family" : "Waite", "given" : "Lindsay L", "non-dropping-particle" : "", "parse-names" : false, "suffix" : "" }, { "dropping-particle" : "", "family" : "Wong", "given" : "Andrew", "non-dropping-particle" : "", "parse-names" : false, "suffix" : "" }, { "dropping-particle" : "", "family" : "Wu", "given" : "Ying", "non-dropping-particle" : "", "parse-names" : false, "suffix" : "" }, { "dropping-particle" : "", "family" : "Zhang", "given" : "Weihua", "non-dropping-particle" : "", "parse-names" : false, "suffix" : "" }, { "dropping-particle" : "", "family" : "Absher", "given" : "Devin", "non-dropping-particle" : "", "parse-names" : false, "suffix" : "" }, { "dropping-particle" : "", "family" : "Asiki", "given" : "Gershim", "non-dropping-particle" : "", "parse-names" : false, "suffix" : "" }, { "dropping-particle" : "", "family" : "Barroso", "given" : "In\u00eas", "non-dropping-particle" : "", "parse-names" : false, "suffix" : "" }, { "dropping-particle" : "", "family" : "Been", "given" : "Latonya F", "non-dropping-particle" : "", "parse-names" : false, "suffix" : "" }, { "dropping-particle" : "", "family" : "Bolton", "given" : "Jennifer L", "non-dropping-particle" : "", "parse-names" : false, "suffix" : "" }, { "dropping-particle" : "", "family" : "Bonnycastle", "given" : "Lori L", "non-dropping-particle" : "", "parse-names" : false, "suffix" : "" }, { "dropping-particle" : "", "family" : "Brambilla", "given" : "Paolo", "non-dropping-particle" : "", "parse-names" : false, "suffix" : "" }, { "dropping-particle" : "", "family" : "Burnett", "given" : "Mary S", "non-dropping-particle" : "", "parse-names" : false, "suffix" : "" }, { "dropping-particle" : "", "family" : "Cesana", "given" : "Giancarlo", "non-dropping-particle" : "", "parse-names" : false, "suffix" : "" }, { "dropping-particle" : "", "family" : "Dimitriou", "given" : "Maria", "non-dropping-particle" : "", "parse-names" : false, "suffix" : "" }, { "dropping-particle" : "", "family" : "Doney", "given" : "Alex S F", "non-dropping-particle" : "", "parse-names" : false, "suffix" : "" }, { "dropping-particle" : "", "family" : "D\u00f6ring", "given" : "Angela", "non-dropping-particle" : "", "parse-names" : false, "suffix" : "" }, { "dropping-particle" : "", "family" : "Elliott", "given" : "Paul", "non-dropping-particle" : "", "parse-names" : false, "suffix" : "" }, { "dropping-particle" : "", "family" : "Epstein", "given" : "Stephen E", "non-dropping-particle" : "", "parse-names" : false, "suffix" : "" }, { "dropping-particle" : "", "family" : "Eyjolfsson", "given" : "Gudmundur Ingi", "non-dropping-particle" : "", "parse-names" : false, "suffix" : "" }, { "dropping-particle" : "", "family" : "Gigante", "given" : "Bruna", "non-dropping-particle" : "", "parse-names" : false, "suffix" : "" }, { "dropping-particle" : "", "family" : "Goodarzi", "given" : "Mark O", "non-dropping-particle" : "", "parse-names" : false, "suffix" : "" }, { "dropping-particle" : "", "family" : "Grallert", "given" : "Harald", "non-dropping-particle" : "", "parse-names" : false, "suffix" : "" }, { "dropping-particle" : "", "family" : "Gravito", "given" : "Martha L", "non-dropping-particle" : "", "parse-names" : false, "suffix" : "" }, { "dropping-particle" : "", "family" : "Groves", "given" : "Christopher J", "non-dropping-particle" : "", "parse-names" : false, "suffix" : "" }, { "dropping-particle" : "", "family" : "Hallmans", "given" : "G\u00f6ran", "non-dropping-particle" : "", "parse-names" : false, "suffix" : "" }, { "dropping-particle" : "", "family" : "Hartikainen", "given" : "Anna-Liisa", "non-dropping-particle" : "", "parse-names" : false, "suffix" : "" }, { "dropping-particle" : "", "family" : "Hayward", "given" : "Caroline", "non-dropping-particle" : "", "parse-names" : false, "suffix" : "" }, { "dropping-particle" : "", "family" : "Hernandez", "given" : "Dena", "non-dropping-particle" : "", "parse-names" : false, "suffix" : "" }, { "dropping-particle" : "", "family" : "Hicks", "given" : "Andrew A", "non-dropping-particle" : "", "parse-names" : false, "suffix" : "" }, { "dropping-particle" : "", "family" : "Holm", "given" : "Hilma", "non-dropping-particle" : "", "parse-names" : false, "suffix" : "" }, { "dropping-particle" : "", "family" : "Hung", "given" : "Yi-Jen", "non-dropping-particle" : "", "parse-names" : false, "suffix" : "" }, { "dropping-particle" : "", "family" : "Illig", "given" : "Thomas", "non-dropping-particle" : "", "parse-names" : false, "suffix" : "" }, { "dropping-particle" : "", "family" : "Jones", "given" : "Michelle R", "non-dropping-particle" : "", "parse-names" : false, "suffix" : "" }, { "dropping-particle" : "", "family" : "Kaleebu", "given" : "Pontiano", "non-dropping-particle" : "", "parse-names" : false, "suffix" : "" }, { "dropping-particle" : "", "family" : "Kastelein", "given" : "John J P", "non-dropping-particle" : "", "parse-names" : false, "suffix" : "" }, { "dropping-particle" : "", "family" : "Khaw", "given" : "Kay-Tee", "non-dropping-particle" : "", "parse-names" : false, "suffix" : "" }, { "dropping-particle" : "", "family" : "Kim", "given" : "Eric", "non-dropping-particle" : "", "parse-names" : false, "suffix" : "" }, { "dropping-particle" : "", "family" : "Klopp", "given" : "Norman", "non-dropping-particle" : "", "parse-names" : false, "suffix" : "" }, { "dropping-particle" : "", "family" : "Komulainen", "given" : "Pirjo", "non-dropping-particle" : "", "parse-names" : false, "suffix" : "" }, { "dropping-particle" : "", "family" : "Kumari", "given" : "Meena", "non-dropping-particle" : "", "parse-names" : false, "suffix" : "" }, { "dropping-particle" : "", "family" : "Langenberg", "given" : "Claudia", "non-dropping-particle" : "", "parse-names" : false, "suffix" : "" }, { "dropping-particle" : "", "family" : "Lehtim\u00e4ki", "given" : "Terho", "non-dropping-particle" : "", "parse-names" : false, "suffix" : "" }, { "dropping-particle" : "", "family" : "Lin", "given" : "Shih-Yi", "non-dropping-particle" : "", "parse-names" : false, "suffix" : "" }, { "dropping-particle" : "", "family" : "Lindstr\u00f6m", "given" : "Jaana", "non-dropping-particle" : "", "parse-names" : false, "suffix" : "" }, { "dropping-particle" : "", "family" : "Loos", "given" : "Ruth J F", "non-dropping-particle" : "", "parse-names" : false, "suffix" : "" }, { "dropping-particle" : "", "family" : "Mach", "given" : "Fran\u00e7ois", "non-dropping-particle" : "", "parse-names" : false, "suffix" : "" }, { "dropping-particle" : "", "family" : "McArdle", "given" : "Wendy L", "non-dropping-particle" : "", "parse-names" : false, "suffix" : "" }, { "dropping-particle" : "", "family" : "Meisinger", "given" : "Christa", "non-dropping-particle" : "", "parse-names" : false, "suffix" : "" }, { "dropping-particle" : "", "family" : "Mitchell", "given" : "Braxton D", "non-dropping-particle" : "", "parse-names" : false, "suffix" : "" }, { "dropping-particle" : "", "family" : "M\u00fcller", "given" : "Gabrielle", "non-dropping-particle" : "", "parse-names" : false, "suffix" : "" }, { "dropping-particle" : "", "family" : "Nagaraja", "given" : "Ramaiah", "non-dropping-particle" : "", "parse-names" : false, "suffix" : "" }, { "dropping-particle" : "", "family" : "Narisu", "given" : "Narisu", "non-dropping-particle" : "", "parse-names" : false, "suffix" : "" }, { "dropping-particle" : "", "family" : "Nieminen", "given" : "Tuomo V M", "non-dropping-particle" : "", "parse-names" : false, "suffix" : "" }, { "dropping-particle" : "", "family" : "Nsubuga", "given" : "Rebecca N", "non-dropping-particle" : "", "parse-names" : false, "suffix" : "" }, { "dropping-particle" : "", "family" : "Olafsson", "given" : "Isleifur", "non-dropping-particle" : "", "parse-names" : false, "suffix" : "" }, { "dropping-particle" : "", "family" : "Ong", "given" : "Ken K", "non-dropping-particle" : "", "parse-names" : false, "suffix" : "" }, { "dropping-particle" : "", "family" : "Palotie", "given" : "Aarno", "non-dropping-particle" : "", "parse-names" : false, "suffix" : "" }, { "dropping-particle" : "", "family" : "Papamarkou", "given" : "Theodore", "non-dropping-particle" : "", "parse-names" : false, "suffix" : "" }, { "dropping-particle" : "", "family" : "Pomilla", "given" : "Cristina", "non-dropping-particle" : "", "parse-names" : false, "suffix" : "" }, { "dropping-particle" : "", "family" : "Pouta", "given" : "Anneli", "non-dropping-particle" : "", "parse-names" : false, "suffix" : "" }, { "dropping-particle" : "", "family" : "Rader", "given" : "Daniel J", "non-dropping-particle" : "", "parse-names" : false, "suffix" : "" }, { "dropping-particle" : "", "family" : "Reilly", "given" : "Muredach P", "non-dropping-particle" : "", "parse-names" : false, "suffix" : "" }, { "dropping-particle" : "", "family" : "Ridker", "given" : "Paul M", "non-dropping-particle" : "", "parse-names" : false, "suffix" : "" }, { "dropping-particle" : "", "family" : "Rivadeneira", "given" : "Fernando", "non-dropping-particle" : "", "parse-names" : false, "suffix" : "" }, { "dropping-particle" : "", "family" : "Rudan", "given" : "Igor", "non-dropping-particle" : "", "parse-names" : false, "suffix" : "" }, { "dropping-particle" : "", "family" : "Ruokonen", "given" : "Aimo", "non-dropping-particle" : "", "parse-names" : false, "suffix" : "" }, { "dropping-particle" : "", "family" : "Samani", "given" : "Nilesh", "non-dropping-particle" : "", "parse-names" : false, "suffix" : "" }, { "dropping-particle" : "", "family" : "Scharnagl", "given" : "Hubert", "non-dropping-particle" : "", "parse-names" : false, "suffix" : "" }, { "dropping-particle" : "", "family" : "Seeley", "given" : "Janet", "non-dropping-particle" : "", "parse-names" : false, "suffix" : "" }, { "dropping-particle" : "", "family" : "Silander", "given" : "Kaisa", "non-dropping-particle" : "", "parse-names" : false, "suffix" : "" }, { "dropping-particle" : "", "family" : "Stan\u010d\u00e1kov\u00e1", "given" : "Alena", "non-dropping-particle" : "", "parse-names" : false, "suffix" : "" }, { "dropping-particle" : "", "family" : "Stirrups", "given" : "Kathleen", "non-dropping-particle" : "", "parse-names" : false, "suffix" : "" }, { "dropping-particle" : "", "family" : "Swift", "given" : "Amy J", "non-dropping-particle" : "", "parse-names" : false, "suffix" : "" }, { "dropping-particle" : "", "family" : "Tiret", "given" : "Laurence", "non-dropping-particle" : "", "parse-names" : false, "suffix" : "" }, { "dropping-particle" : "", "family" : "Uitterlinden", "given" : "Andre G", "non-dropping-particle" : "", "parse-names" : false, "suffix" : "" }, { "dropping-particle" : "", "family" : "Pelt", "given" : "L Joost", "non-dropping-particle" : "van", "parse-names" : false, "suffix" : "" }, { "dropping-particle" : "", "family" : "Vedantam", "given" : "Sailaja", "non-dropping-particle" : "", "parse-names" : false, "suffix" : "" }, { "dropping-particle" : "", "family" : "Wainwright", "given" : "Nicholas", "non-dropping-particle" : "", "parse-names" : false, "suffix" : "" }, { "dropping-particle" : "", "family" : "Wijmenga", "given" : "Cisca", "non-dropping-particle" : "", "parse-names" : false, "suffix" : "" }, { "dropping-particle" : "", "family" : "Wild", "given" : "Sarah H", "non-dropping-particle" : "", "parse-names" : false, "suffix" : "" }, { "dropping-particle" : "", "family" : "Willemsen", "given" : "Gonneke", "non-dropping-particle" : "", "parse-names" : false, "suffix" : "" }, { "dropping-particle" : "", "family" : "Wilsgaard", "given" : "Tom", "non-dropping-particle" : "", "parse-names" : false, "suffix" : "" }, { "dropping-particle" : "", "family" : "Wilson", "given" : "James F", "non-dropping-particle" : "", "parse-names" : false, "suffix" : "" }, { "dropping-particle" : "", "family" : "Young", "given" : "Elizabeth H", "non-dropping-particle" : "", "parse-names" : false, "suffix" : "" }, { "dropping-particle" : "", "family" : "Zhao", "given" : "Jing Hua", "non-dropping-particle" : "", "parse-names" : false, "suffix" : "" }, { "dropping-particle" : "", "family" : "Adair", "given" : "Linda S", "non-dropping-particle" : "", "parse-names" : false, "suffix" : "" }, { "dropping-particle" : "", "family" : "Arveiler", "given" : "Dominique", "non-dropping-particle" : "", "parse-names" : false, "suffix" : "" }, { "dropping-particle" : "", "family" : "Assimes", "given" : "Themistocles L", "non-dropping-particle" : "", "parse-names" : false, "suffix" : "" }, { "dropping-particle" : "", "family" : "Bandinelli", "given" : "Stefania", "non-dropping-particle" : "", "parse-names" : false, "suffix" : "" }, { "dropping-particle" : "", "family" : "Bennett", "given" : "Franklyn", "non-dropping-particle" : "", "parse-names" : false, "suffix" : "" }, { "dropping-particle" : "", "family" : "Bochud", "given" : "Murielle", "non-dropping-particle" : "", "parse-names" : false, "suffix" : "" }, { "dropping-particle" : "", "family" : "Boehm", "given" : "Bernhard O", "non-dropping-particle" : "", "parse-names" : false, "suffix" : "" }, { "dropping-particle" : "", "family" : "Boomsma", "given" : "Dorret I", "non-dropping-particle" : "", "parse-names" : false, "suffix" : "" }, { "dropping-particle" : "", "family" : "Borecki", "given" : "Ingrid B", "non-dropping-particle" : "", "parse-names" : false, "suffix" : "" }, { "dropping-particle" : "", "family" : "Bornstein", "given" : "Stefan R", "non-dropping-particle" : "", "parse-names" : false, "suffix" : "" }, { "dropping-particle" : "", "family" : "Bovet", "given" : "Pascal", "non-dropping-particle" : "", "parse-names" : false, "suffix" : "" }, { "dropping-particle" : "", "family" : "Burnier", "given" : "Michel", "non-dropping-particle" : "", "parse-names" : false, "suffix" : "" }, { "dropping-particle" : "", "family" : "Campbell", "given" : "Harry", "non-dropping-particle" : "", "parse-names" : false, "suffix" : "" }, { "dropping-particle" : "", "family" : "Chakravarti", "given" : "Aravinda", "non-dropping-particle" : "", "parse-names" : false, "suffix" : "" }, { "dropping-particle" : "", "family" : "Chambers", "given" : "John C", "non-dropping-particle" : "", "parse-names" : false, "suffix" : "" }, { "dropping-particle" : "", "family" : "Chen", "given" : "Yii-Der Ida", "non-dropping-particle" : "", "parse-names" : false, "suffix" : "" }, { "dropping-particle" : "", "family" : "Collins", "given" : "Francis S", "non-dropping-particle" : "", "parse-names" : false, "suffix" : "" }, { "dropping-particle" : "", "family" : "Cooper", "given" : "Richard S", "non-dropping-particle" : "", "parse-names" : false, "suffix" : "" }, { "dropping-particle" : "", "family" : "Danesh", "given" : "John", "non-dropping-particle" : "", "parse-names" : false, "suffix" : "" }, { "dropping-particle" : "", "family" : "Dedoussis", "given" : "George", "non-dropping-particle" : "", "parse-names" : false, "suffix" : "" }, { "dropping-particle" : "", "family" : "Faire", "given" : "Ulf", "non-dropping-particle" : "de", "parse-names" : false, "suffix" : "" }, { "dropping-particle" : "", "family" : "Feranil", "given" : "Alan B", "non-dropping-particle" : "", "parse-names" : false, "suffix" : "" }, { "dropping-particle" : "", "family" : "Ferri\u00e8res", "given" : "Jean", "non-dropping-particle" : "", "parse-names" : false, "suffix" : "" }, { "dropping-particle" : "", "family" : "Ferrucci", "given" : "Luigi", "non-dropping-particle" : "", "parse-names" : false, "suffix" : "" }, { "dropping-particle" : "", "family" : "Freimer", "given" : "Nelson B", "non-dropping-particle" : "", "parse-names" : false, "suffix" : "" }, { "dropping-particle" : "", "family" : "Gieger", "given" : "Christian", "non-dropping-particle" : "", "parse-names" : false, "suffix" : "" }, { "dropping-particle" : "", "family" : "Groop", "given" : "Leif C", "non-dropping-particle" : "", "parse-names" : false, "suffix" : "" }, { "dropping-particle" : "", "family" : "Gudnason", "given" : "Vilmundur", "non-dropping-particle" : "", "parse-names" : false, "suffix" : "" }, { "dropping-particle" : "", "family" : "Gyllensten", "given" : "Ulf", "non-dropping-particle" : "", "parse-names" : false, "suffix" : "" }, { "dropping-particle" : "", "family" : "Hamsten", "given" : "Anders", "non-dropping-particle" : "", "parse-names" : false, "suffix" : "" }, { "dropping-particle" : "", "family" : "Harris", "given" : "Tamara B", "non-dropping-particle" : "", "parse-names" : false, "suffix" : "" }, { "dropping-particle" : "", "family" : "Hingorani", "given" : "Aroon", "non-dropping-particle" : "", "parse-names" : false, "suffix" : "" }, { "dropping-particle" : "", "family" : "Hirschhorn", "given" : "Joel N", "non-dropping-particle" : "", "parse-names" : false, "suffix" : "" }, { "dropping-particle" : "", "family" : "Hofman", "given" : "Albert", "non-dropping-particle" : "", "parse-names" : false, "suffix" : "" }, { "dropping-particle" : "", "family" : "Hovingh", "given" : "G Kees", "non-dropping-particle" : "", "parse-names" : false, "suffix" : "" }, { "dropping-particle" : "", "family" : "Hsiung", "given" : "Chao Agnes", "non-dropping-particle" : "", "parse-names" : false, "suffix" : "" }, { "dropping-particle" : "", "family" : "Humphries", "given" : "Steve E", "non-dropping-particle" : "", "parse-names" : false, "suffix" : "" }, { "dropping-particle" : "", "family" : "Hunt", "given" : "Steven C", "non-dropping-particle" : "", "parse-names" : false, "suffix" : "" }, { "dropping-particle" : "", "family" : "Hveem", "given" : "Kristian", "non-dropping-particle" : "", "parse-names" : false, "suffix" : "" }, { "dropping-particle" : "", "family" : "Iribarren", "given" : "Carlos", "non-dropping-particle" : "", "parse-names" : false, "suffix" : "" }, { "dropping-particle" : "", "family" : "J\u00e4rvelin", "given" : "Marjo-Riitta", "non-dropping-particle" : "", "parse-names" : false, "suffix" : "" }, { "dropping-particle" : "", "family" : "Jula", "given" : "Antti", "non-dropping-particle" : "", "parse-names" : false, "suffix" : "" }, { "dropping-particle" : "", "family" : "K\u00e4h\u00f6nen", "given" : "Mika", "non-dropping-particle" : "", "parse-names" : false, "suffix" : "" }, { "dropping-particle" : "", "family" : "Kaprio", "given" : "Jaakko", "non-dropping-particle" : "", "parse-names" : false, "suffix" : "" }, { "dropping-particle" : "", "family" : "Kes\u00e4niemi", "given" : "Antero", "non-dropping-particle" : "", "parse-names" : false, "suffix" : "" }, { "dropping-particle" : "", "family" : "Kivimaki", "given" : "Mika", "non-dropping-particle" : "", "parse-names" : false, "suffix" : "" }, { "dropping-particle" : "", "family" : "Kooner", "given" : "Jaspal S", "non-dropping-particle" : "", "parse-names" : false, "suffix" : "" }, { "dropping-particle" : "", "family" : "Koudstaal", "given" : "Peter J", "non-dropping-particle" : "", "parse-names" : false, "suffix" : "" }, { "dropping-particle" : "", "family" : "Krauss", "given" : "Ronald M", "non-dropping-particle" : "", "parse-names" : false, "suffix" : "" }, { "dropping-particle" : "", "family" : "Kuh", "given" : "Diana", "non-dropping-particle" : "", "parse-names" : false, "suffix" : "" }, { "dropping-particle" : "", "family" : "Kuusisto", "given" : "Johanna", "non-dropping-particle" : "", "parse-names" : false, "suffix" : "" }, { "dropping-particle" : "", "family" : "Kyvik", "given" : "Kirsten O", "non-dropping-particle" : "", "parse-names" : false, "suffix" : "" }, { "dropping-particle" : "", "family" : "Laakso", "given" : "Markku", "non-dropping-particle" : "", "parse-names" : false, "suffix" : "" }, { "dropping-particle" : "", "family" : "Lakka", "given" : "Timo A", "non-dropping-particle" : "", "parse-names" : false, "suffix" : "" }, { "dropping-particle" : "", "family" : "Lind", "given" : "Lars", "non-dropping-particle" : "", "parse-names" : false, "suffix" : "" }, { "dropping-particle" : "", "family" : "Lindgren", "given" : "Cecilia M", "non-dropping-particle" : "", "parse-names" : false, "suffix" : "" }, { "dropping-particle" : "", "family" : "Martin", "given" : "Nicholas G", "non-dropping-particle" : "", "parse-names" : false, "suffix" : "" }, { "dropping-particle" : "", "family" : "M\u00e4rz", "given" : "Winfried", "non-dropping-particle" : "", "parse-names" : false, "suffix" : "" }, { "dropping-particle" : "", "family" : "McCarthy", "given" : "Mark I", "non-dropping-particle" : "", "parse-names" : false, "suffix" : "" }, { "dropping-particle" : "", "family" : "McKenzie", "given" : "Colin A", "non-dropping-particle" : "", "parse-names" : false, "suffix" : "" }, { "dropping-particle" : "", "family" : "Meneton", "given" : "Pierre", "non-dropping-particle" : "", "parse-names" : false, "suffix" : "" }, { "dropping-particle" : "", "family" : "Metspalu", "given" : "Andres", "non-dropping-particle" : "", "parse-names" : false, "suffix" : "" }, { "dropping-particle" : "", "family" : "Moilanen", "given" : "Leena", "non-dropping-particle" : "", "parse-names" : false, "suffix" : "" }, { "dropping-particle" : "", "family" : "Morris", "given" : "Andrew D", "non-dropping-particle" : "", "parse-names" : false, "suffix" : "" }, { "dropping-particle" : "", "family" : "Munroe", "given" : "Patricia B", "non-dropping-particle" : "", "parse-names" : false, "suffix" : "" }, { "dropping-particle" : "", "family" : "Nj\u00f8lstad", "given" : "Inger", "non-dropping-particle" : "", "parse-names" : false, "suffix" : "" }, { "dropping-particle" : "", "family" : "Pedersen", "given" : "Nancy L", "non-dropping-particle" : "", "parse-names" : false, "suffix" : "" }, { "dropping-particle" : "", "family" : "Power", "given" : "Chris", "non-dropping-particle" : "", "parse-names" : false, "suffix" : "" }, { "dropping-particle" : "", "family" : "Pramstaller", "given" : "Peter P", "non-dropping-particle" : "", "parse-names" : false, "suffix" : "" }, { "dropping-particle" : "", "family" : "Price", "given" : "Jackie F", "non-dropping-particle" : "", "parse-names" : false, "suffix" : "" }, { "dropping-particle" : "", "family" : "Psaty", "given" : "Bruce M", "non-dropping-particle" : "", "parse-names" : false, "suffix" : "" }, { "dropping-particle" : "", "family" : "Quertermous", "given" : "Thomas", "non-dropping-particle" : "", "parse-names" : false, "suffix" : "" }, { "dropping-particle" : "", "family" : "Rauramaa", "given" : "Rainer", "non-dropping-particle" : "", "parse-names" : false, "suffix" : "" }, { "dropping-particle" : "", "family" : "Saleheen", "given" : "Danish", "non-dropping-particle" : "", "parse-names" : false, "suffix" : "" }, { "dropping-particle" : "", "family" : "Salomaa", "given" : "Veikko", "non-dropping-particle" : "", "parse-names" : false, "suffix" : "" }, { "dropping-particle" : "", "family" : "Sanghera", "given" : "Dharambir K", "non-dropping-particle" : "", "parse-names" : false, "suffix" : "" }, { "dropping-particle" : "", "family" : "Saramies", "given" : "Jouko", "non-dropping-particle" : "", "parse-names" : false, "suffix" : "" }, { "dropping-particle" : "", "family" : "Schwarz", "given" : "Peter E H", "non-dropping-particle" : "", "parse-names" : false, "suffix" : "" }, { "dropping-particle" : "", "family" : "Sheu", "given" : "Wayne H-H", "non-dropping-particle" : "", "parse-names" : false, "suffix" : "" }, { "dropping-particle" : "", "family" : "Shuldiner", "given" : "Alan R", "non-dropping-particle" : "", "parse-names" : false, "suffix" : "" }, { "dropping-particle" : "", "family" : "Siegbahn", "given" : "Agneta", "non-dropping-particle" : "", "parse-names" : false, "suffix" : "" }, { "dropping-particle" : "", "family" : "Spector", "given" : "Tim D", "non-dropping-particle" : "", "parse-names" : false, "suffix" : "" }, { "dropping-particle" : "", "family" : "Stefansson", "given" : "Kari", "non-dropping-particle" : "", "parse-names" : false, "suffix" : "" }, { "dropping-particle" : "", "family" : "Strachan", "given" : "David P", "non-dropping-particle" : "", "parse-names" : false, "suffix" : "" }, { "dropping-particle" : "", "family" : "Tayo", "given" : "Bamidele O", "non-dropping-particle" : "", "parse-names" : false, "suffix" : "" }, { "dropping-particle" : "", "family" : "Tremoli", "given" : "Elena", "non-dropping-particle" : "", "parse-names" : false, "suffix" : "" }, { "dropping-particle" : "", "family" : "Tuomilehto", "given" : "Jaakko", "non-dropping-particle" : "", "parse-names" : false, "suffix" : "" }, { "dropping-particle" : "", "family" : "Uusitupa", "given" : "Matti", "non-dropping-particle" : "", "parse-names" : false, "suffix" : "" }, { "dropping-particle" : "", "family" : "Duijn", "given" : "Cornelia M", "non-dropping-particle" : "van", "parse-names" : false, "suffix" : "" }, { "dropping-particle" : "", "family" : "Vollenweider", "given" : "Peter", "non-dropping-particle" : "", "parse-names" : false, "suffix" : "" }, { "dropping-particle" : "", "family" : "Wallentin", "given" : "Lars", "non-dropping-particle" : "", "parse-names" : false, "suffix" : "" }, { "dropping-particle" : "", "family" : "Wareham", "given" : "Nicholas J", "non-dropping-particle" : "", "parse-names" : false, "suffix" : "" }, { "dropping-particle" : "", "family" : "Whitfield", "given" : "John B", "non-dropping-particle" : "", "parse-names" : false, "suffix" : "" }, { "dropping-particle" : "", "family" : "Wolffenbuttel", "given" : "Bruce H R", "non-dropping-particle" : "", "parse-names" : false, "suffix" : "" }, { "dropping-particle" : "", "family" : "Altshuler", "given" : "David", "non-dropping-particle" : "", "parse-names" : false, "suffix" : "" }, { "dropping-particle" : "", "family" : "Ordovas", "given" : "Jose M", "non-dropping-particle" : "", "parse-names" : false, "suffix" : "" }, { "dropping-particle" : "", "family" : "Boerwinkle", "given" : "Eric", "non-dropping-particle" : "", "parse-names" : false, "suffix" : "" }, { "dropping-particle" : "", "family" : "Palmer", "given" : "Colin N A", "non-dropping-particle" : "", "parse-names" : false, "suffix" : "" }, { "dropping-particle" : "", "family" : "Thorsteinsdottir", "given" : "Unnur", "non-dropping-particle" : "", "parse-names" : false, "suffix" : "" }, { "dropping-particle" : "", "family" : "Chasman", "given" : "Daniel I", "non-dropping-particle" : "", "parse-names" : false, "suffix" : "" }, { "dropping-particle" : "", "family" : "Rotter", "given" : "Jerome I", "non-dropping-particle" : "", "parse-names" : false, "suffix" : "" }, { "dropping-particle" : "", "family" : "Franks", "given" : "Paul W", "non-dropping-particle" : "", "parse-names" : false, "suffix" : "" }, { "dropping-particle" : "", "family" : "Ripatti", "given" : "Samuli", "non-dropping-particle" : "", "parse-names" : false, "suffix" : "" }, { "dropping-particle" : "", "family" : "Cupples", "given" : "L Adrienne", "non-dropping-particle" : "", "parse-names" : false, "suffix" : "" }, { "dropping-particle" : "", "family" : "Sandhu", "given" : "Manjinder S", "non-dropping-particle" : "", "parse-names" : false, "suffix" : "" }, { "dropping-particle" : "", "family" : "Rich", "given" : "Stephen S", "non-dropping-particle" : "", "parse-names" : false, "suffix" : "" }, { "dropping-particle" : "", "family" : "Boehnke", "given" : "Michael", "non-dropping-particle" : "", "parse-names" : false, "suffix" : "" }, { "dropping-particle" : "", "family" : "Deloukas", "given" : "Panos", "non-dropping-particle" : "", "parse-names" : false, "suffix" : "" }, { "dropping-particle" : "", "family" : "Mohlke", "given" : "Karen L", "non-dropping-particle" : "", "parse-names" : false, "suffix" : "" }, { "dropping-particle" : "", "family" : "Ingelsson", "given" : "Erik", "non-dropping-particle" : "", "parse-names" : false, "suffix" : "" }, { "dropping-particle" : "", "family" : "Abecasis", "given" : "Goncalo R", "non-dropping-particle" : "", "parse-names" : false, "suffix" : "" }, { "dropping-particle" : "", "family" : "Daly", "given" : "Mark J", "non-dropping-particle" : "", "parse-names" : false, "suffix" : "" }, { "dropping-particle" : "", "family" : "Neale", "given" : "Benjamin M", "non-dropping-particle" : "", "parse-names" : false, "suffix" : "" }, { "dropping-particle" : "", "family" : "Kathiresan", "given" : "Sekar", "non-dropping-particle" : "", "parse-names" : false, "suffix" : "" } ], "container-title" : "Nature Genetics", "id" : "ITEM-1", "issue" : "11", "issued" : { "date-parts" : [ [ "2013", "10", "6" ] ] }, "page" : "1345-1352", "title" : "Common variants associated with plasma triglycerides and risk for coronary artery disease", "type" : "article-journal", "volume" : "45" }, "uris" : [ "http://www.mendeley.com/documents/?uuid=b9c22a71-d80f-4a49-8ec2-e250a2c9c37b" ] } ], "mendeley" : { "formattedCitation" : "&lt;sup&gt;3&lt;/sup&gt;", "plainTextFormattedCitation" : "3", "previouslyFormattedCitation" : "&lt;sup&gt;3&lt;/sup&gt;" }, "properties" : { "noteIndex" : 0 }, "schema" : "https://github.com/citation-style-language/schema/raw/master/csl-citation.json" }</w:instrText>
      </w:r>
      <w:r w:rsidR="00493189" w:rsidRPr="00C223AB">
        <w:rPr>
          <w:rFonts w:ascii="Arial" w:hAnsi="Arial" w:cs="Arial"/>
        </w:rPr>
        <w:fldChar w:fldCharType="separate"/>
      </w:r>
      <w:r w:rsidR="00493189" w:rsidRPr="00C223AB">
        <w:rPr>
          <w:rFonts w:ascii="Arial" w:hAnsi="Arial" w:cs="Arial"/>
          <w:noProof/>
          <w:vertAlign w:val="superscript"/>
        </w:rPr>
        <w:t>3</w:t>
      </w:r>
      <w:r w:rsidR="00493189" w:rsidRPr="00C223AB">
        <w:rPr>
          <w:rFonts w:ascii="Arial" w:hAnsi="Arial" w:cs="Arial"/>
        </w:rPr>
        <w:fldChar w:fldCharType="end"/>
      </w:r>
      <w:r w:rsidR="001D0090" w:rsidRPr="00C223AB">
        <w:rPr>
          <w:rFonts w:ascii="Arial" w:hAnsi="Arial" w:cs="Arial"/>
        </w:rPr>
        <w:t xml:space="preserve"> </w:t>
      </w:r>
      <w:r w:rsidR="00E703D1" w:rsidRPr="00C223AB">
        <w:rPr>
          <w:rFonts w:ascii="Arial" w:hAnsi="Arial" w:cs="Arial"/>
        </w:rPr>
        <w:t>Triglycerides</w:t>
      </w:r>
      <w:r w:rsidR="00AF06D8" w:rsidRPr="00C223AB">
        <w:rPr>
          <w:rFonts w:ascii="Arial" w:hAnsi="Arial" w:cs="Arial"/>
        </w:rPr>
        <w:t xml:space="preserve"> </w:t>
      </w:r>
      <w:r w:rsidR="00E703D1" w:rsidRPr="00C223AB">
        <w:rPr>
          <w:rFonts w:ascii="Arial" w:hAnsi="Arial" w:cs="Arial"/>
        </w:rPr>
        <w:t xml:space="preserve">in plasma </w:t>
      </w:r>
      <w:r w:rsidR="00AF06D8" w:rsidRPr="00C223AB">
        <w:rPr>
          <w:rFonts w:ascii="Arial" w:hAnsi="Arial" w:cs="Arial"/>
        </w:rPr>
        <w:t xml:space="preserve">are carried </w:t>
      </w:r>
      <w:r w:rsidR="00DB1BEC" w:rsidRPr="00C223AB">
        <w:rPr>
          <w:rFonts w:ascii="Arial" w:hAnsi="Arial" w:cs="Arial"/>
        </w:rPr>
        <w:t>i</w:t>
      </w:r>
      <w:r w:rsidR="00AF06D8" w:rsidRPr="00C223AB">
        <w:rPr>
          <w:rFonts w:ascii="Arial" w:hAnsi="Arial" w:cs="Arial"/>
        </w:rPr>
        <w:t>n</w:t>
      </w:r>
      <w:r w:rsidR="00E703D1" w:rsidRPr="00C223AB">
        <w:rPr>
          <w:rFonts w:ascii="Arial" w:hAnsi="Arial" w:cs="Arial"/>
        </w:rPr>
        <w:t xml:space="preserve"> </w:t>
      </w:r>
      <w:r w:rsidR="00CA74E7" w:rsidRPr="00C223AB">
        <w:rPr>
          <w:rFonts w:ascii="Arial" w:hAnsi="Arial" w:cs="Arial"/>
        </w:rPr>
        <w:t xml:space="preserve">apoB-containing </w:t>
      </w:r>
      <w:r w:rsidR="00E703D1" w:rsidRPr="00C223AB">
        <w:rPr>
          <w:rFonts w:ascii="Arial" w:hAnsi="Arial" w:cs="Arial"/>
        </w:rPr>
        <w:t>triglyceride</w:t>
      </w:r>
      <w:r w:rsidR="00CA74E7" w:rsidRPr="00C223AB">
        <w:rPr>
          <w:rFonts w:ascii="Arial" w:hAnsi="Arial" w:cs="Arial"/>
        </w:rPr>
        <w:t>-</w:t>
      </w:r>
      <w:r w:rsidR="00E703D1" w:rsidRPr="00C223AB">
        <w:rPr>
          <w:rFonts w:ascii="Arial" w:hAnsi="Arial" w:cs="Arial"/>
        </w:rPr>
        <w:t>rich</w:t>
      </w:r>
      <w:r w:rsidR="00AF06D8" w:rsidRPr="00C223AB">
        <w:rPr>
          <w:rFonts w:ascii="Arial" w:hAnsi="Arial" w:cs="Arial"/>
        </w:rPr>
        <w:t xml:space="preserve"> lipoproteins </w:t>
      </w:r>
      <w:r w:rsidR="00E703D1" w:rsidRPr="00C223AB">
        <w:rPr>
          <w:rFonts w:ascii="Arial" w:hAnsi="Arial" w:cs="Arial"/>
        </w:rPr>
        <w:t>(TRL)</w:t>
      </w:r>
      <w:r w:rsidR="0075641B" w:rsidRPr="00C223AB">
        <w:rPr>
          <w:rFonts w:ascii="Arial" w:hAnsi="Arial" w:cs="Arial"/>
        </w:rPr>
        <w:t>,</w:t>
      </w:r>
      <w:r w:rsidR="009C018D" w:rsidRPr="00C223AB">
        <w:rPr>
          <w:rFonts w:ascii="Arial" w:hAnsi="Arial" w:cs="Arial"/>
        </w:rPr>
        <w:t xml:space="preserve"> mainly i</w:t>
      </w:r>
      <w:r w:rsidR="00E703D1" w:rsidRPr="00C223AB">
        <w:rPr>
          <w:rFonts w:ascii="Arial" w:hAnsi="Arial" w:cs="Arial"/>
        </w:rPr>
        <w:t xml:space="preserve">n very </w:t>
      </w:r>
      <w:r w:rsidR="001703C7" w:rsidRPr="00C223AB">
        <w:rPr>
          <w:rFonts w:ascii="Arial" w:hAnsi="Arial" w:cs="Arial"/>
        </w:rPr>
        <w:t xml:space="preserve">low </w:t>
      </w:r>
      <w:r w:rsidR="00E703D1" w:rsidRPr="00C223AB">
        <w:rPr>
          <w:rFonts w:ascii="Arial" w:hAnsi="Arial" w:cs="Arial"/>
        </w:rPr>
        <w:t>density lipoproteins (VLDL) and</w:t>
      </w:r>
      <w:r w:rsidRPr="00C223AB">
        <w:rPr>
          <w:rFonts w:ascii="Arial" w:hAnsi="Arial" w:cs="Arial"/>
        </w:rPr>
        <w:t xml:space="preserve"> to a lesser extent in</w:t>
      </w:r>
      <w:r w:rsidR="00E703D1" w:rsidRPr="00C223AB">
        <w:rPr>
          <w:rFonts w:ascii="Arial" w:hAnsi="Arial" w:cs="Arial"/>
        </w:rPr>
        <w:t xml:space="preserve"> intermed</w:t>
      </w:r>
      <w:r w:rsidR="00C14427" w:rsidRPr="00C223AB">
        <w:rPr>
          <w:rFonts w:ascii="Arial" w:hAnsi="Arial" w:cs="Arial"/>
        </w:rPr>
        <w:t>iate density lipoproteins (IDL)</w:t>
      </w:r>
      <w:r w:rsidR="00283AE8" w:rsidRPr="00C223AB">
        <w:rPr>
          <w:rFonts w:ascii="Arial" w:hAnsi="Arial" w:cs="Arial"/>
        </w:rPr>
        <w:t>.</w:t>
      </w:r>
      <w:r w:rsidR="00E47310" w:rsidRPr="00C223AB">
        <w:rPr>
          <w:rFonts w:ascii="Arial" w:hAnsi="Arial" w:cs="Arial"/>
        </w:rPr>
        <w:t xml:space="preserve"> </w:t>
      </w:r>
      <w:r w:rsidR="00E703D1" w:rsidRPr="00C223AB">
        <w:rPr>
          <w:rFonts w:ascii="Arial" w:hAnsi="Arial" w:cs="Arial"/>
        </w:rPr>
        <w:t xml:space="preserve"> </w:t>
      </w:r>
      <w:r w:rsidR="002C7052" w:rsidRPr="00C223AB">
        <w:rPr>
          <w:rFonts w:ascii="Arial" w:hAnsi="Arial" w:cs="Arial"/>
        </w:rPr>
        <w:t>Apolipoprotein C</w:t>
      </w:r>
      <w:r w:rsidR="001F6975" w:rsidRPr="00C223AB">
        <w:rPr>
          <w:rFonts w:ascii="Arial" w:hAnsi="Arial" w:cs="Arial"/>
        </w:rPr>
        <w:t>-III (</w:t>
      </w:r>
      <w:r w:rsidR="008C4738" w:rsidRPr="00C223AB">
        <w:rPr>
          <w:rFonts w:ascii="Arial" w:hAnsi="Arial" w:cs="Arial"/>
        </w:rPr>
        <w:t>a</w:t>
      </w:r>
      <w:r w:rsidR="001D0090" w:rsidRPr="00C223AB">
        <w:rPr>
          <w:rFonts w:ascii="Arial" w:hAnsi="Arial" w:cs="Arial"/>
        </w:rPr>
        <w:t>poC-III</w:t>
      </w:r>
      <w:r w:rsidR="001F6975" w:rsidRPr="00C223AB">
        <w:rPr>
          <w:rFonts w:ascii="Arial" w:hAnsi="Arial" w:cs="Arial"/>
        </w:rPr>
        <w:t>)</w:t>
      </w:r>
      <w:r w:rsidR="001D0090" w:rsidRPr="00C223AB">
        <w:rPr>
          <w:rFonts w:ascii="Arial" w:hAnsi="Arial" w:cs="Arial"/>
        </w:rPr>
        <w:t xml:space="preserve"> is</w:t>
      </w:r>
      <w:r w:rsidR="00E47310" w:rsidRPr="00C223AB">
        <w:rPr>
          <w:rFonts w:ascii="Arial" w:hAnsi="Arial" w:cs="Arial"/>
        </w:rPr>
        <w:t xml:space="preserve"> increasingly recognized as</w:t>
      </w:r>
      <w:r w:rsidR="001D0090" w:rsidRPr="00C223AB">
        <w:rPr>
          <w:rFonts w:ascii="Arial" w:hAnsi="Arial" w:cs="Arial"/>
        </w:rPr>
        <w:t xml:space="preserve"> a key regulator of TRL metabolism</w:t>
      </w:r>
      <w:r w:rsidR="001703C7" w:rsidRPr="00C223AB">
        <w:rPr>
          <w:rFonts w:ascii="Arial" w:hAnsi="Arial" w:cs="Arial"/>
        </w:rPr>
        <w:t xml:space="preserve"> in human subjects </w:t>
      </w:r>
      <w:r w:rsidR="009745D9" w:rsidRPr="00C223AB">
        <w:rPr>
          <w:rFonts w:ascii="Arial" w:hAnsi="Arial" w:cs="Arial"/>
        </w:rPr>
        <w:t xml:space="preserve">and mediates its effects </w:t>
      </w:r>
      <w:r w:rsidR="001D0090" w:rsidRPr="00C223AB">
        <w:rPr>
          <w:rFonts w:ascii="Arial" w:hAnsi="Arial" w:cs="Arial"/>
        </w:rPr>
        <w:t>by</w:t>
      </w:r>
      <w:r w:rsidR="001703C7" w:rsidRPr="00C223AB">
        <w:rPr>
          <w:rFonts w:ascii="Arial" w:hAnsi="Arial" w:cs="Arial"/>
        </w:rPr>
        <w:t xml:space="preserve"> both lipoprotein lipase</w:t>
      </w:r>
      <w:r w:rsidR="00DE668A" w:rsidRPr="00C223AB">
        <w:rPr>
          <w:rFonts w:ascii="Arial" w:hAnsi="Arial" w:cs="Arial"/>
        </w:rPr>
        <w:t xml:space="preserve"> (LPL)-</w:t>
      </w:r>
      <w:r w:rsidR="001703C7" w:rsidRPr="00C223AB">
        <w:rPr>
          <w:rFonts w:ascii="Arial" w:hAnsi="Arial" w:cs="Arial"/>
        </w:rPr>
        <w:t>dependent and</w:t>
      </w:r>
      <w:r w:rsidR="00DE668A" w:rsidRPr="00C223AB">
        <w:rPr>
          <w:rFonts w:ascii="Arial" w:hAnsi="Arial" w:cs="Arial"/>
        </w:rPr>
        <w:t xml:space="preserve"> LPL-</w:t>
      </w:r>
      <w:r w:rsidR="001703C7" w:rsidRPr="00C223AB">
        <w:rPr>
          <w:rFonts w:ascii="Arial" w:hAnsi="Arial" w:cs="Arial"/>
        </w:rPr>
        <w:t xml:space="preserve"> independent mechanisms.</w:t>
      </w:r>
      <w:r w:rsidR="00A0470F" w:rsidRPr="00C223AB">
        <w:rPr>
          <w:rFonts w:ascii="Arial" w:hAnsi="Arial" w:cs="Arial"/>
        </w:rPr>
        <w:fldChar w:fldCharType="begin" w:fldLock="1"/>
      </w:r>
      <w:r w:rsidR="00493189" w:rsidRPr="00C223AB">
        <w:rPr>
          <w:rFonts w:ascii="Arial" w:hAnsi="Arial" w:cs="Arial"/>
        </w:rPr>
        <w:instrText>ADDIN CSL_CITATION { "citationItems" : [ { "id" : "ITEM-1", "itemData" : { "DOI" : "10.1056/NEJMoa1400284", "ISSN" : "1533-4406", "PMID" : "25470695", "abstract" : "The familial chylomicronemia syndrome is a genetic disorder characterized by severe hypertriglyceridemia and recurrent pancreatitis due to a deficiency in lipoprotein lipase (LPL). Currently, there are no effective therapies except for extreme restriction in the consumption of dietary fat. Apolipoprotein C-III (APOC3) is known to inhibit LPL, although there is also evidence that APOC3 increases the level of plasma triglycerides through an LPL-independent mechanism. We administered an inhibitor of APOC3 messenger RNA (mRNA), called ISIS 304801, to treat three patients with the familial chylomicronemia syndrome and triglyceride levels ranging from 1406 to 2083 mg per deciliter (15.9 to 23.5 mmol per liter). After 13 weeks of study-drug administration, plasma APOC3 levels were reduced by 71 to 90% and triglyceride levels by 56 to 86%. During the study, all patients had a triglyceride level of less than 500 mg per deciliter (5.7 mmol per liter) with treatment. These data support the role of APOC3 as a key regulator of LPL-independent pathways of triglyceride metabolism.", "author" : [ { "dropping-particle" : "", "family" : "Gaudet", "given" : "Daniel", "non-dropping-particle" : "", "parse-names" : false, "suffix" : "" }, { "dropping-particle" : "", "family" : "Brisson", "given" : "Diane", "non-dropping-particle" : "", "parse-names" : false, "suffix" : "" }, { "dropping-particle" : "", "family" : "Tremblay", "given" : "Karine", "non-dropping-particle" : "", "parse-names" : false, "suffix" : "" }, { "dropping-particle" : "", "family" : "Alexander", "given" : "Veronica J", "non-dropping-particle" : "", "parse-names" : false, "suffix" : "" }, { "dropping-particle" : "", "family" : "Singleton", "given" : "Walter", "non-dropping-particle" : "", "parse-names" : false, "suffix" : "" }, { "dropping-particle" : "", "family" : "Hughes", "given" : "Steven G", "non-dropping-particle" : "", "parse-names" : false, "suffix" : "" }, { "dropping-particle" : "", "family" : "Geary", "given" : "Richard S", "non-dropping-particle" : "", "parse-names" : false, "suffix" : "" }, { "dropping-particle" : "", "family" : "Baker", "given" : "Brenda F", "non-dropping-particle" : "", "parse-names" : false, "suffix" : "" }, { "dropping-particle" : "", "family" : "Graham", "given" : "Mark J", "non-dropping-particle" : "", "parse-names" : false, "suffix" : "" }, { "dropping-particle" : "", "family" : "Crooke", "given" : "Rosanne M", "non-dropping-particle" : "", "parse-names" : false, "suffix" : "" }, { "dropping-particle" : "", "family" : "Witztum", "given" : "Joseph L", "non-dropping-particle" : "", "parse-names" : false, "suffix" : "" } ], "container-title" : "The New England journal of medicine", "id" : "ITEM-1", "issue" : "23", "issued" : { "date-parts" : [ [ "2014", "12", "4" ] ] }, "page" : "2200-6", "title" : "Targeting APOC3 in the familial chylomicronemia syndrome.", "type" : "article-journal", "volume" : "371" }, "uris" : [ "http://www.mendeley.com/documents/?uuid=79889d57-4922-4cc2-9795-80b5332d8521" ] }, { "id" : "ITEM-2", "itemData" : { "DOI" : "10.1056/NEJMoa1400283", "ISSN" : "1533-4406", "PMID" : "26222559", "abstract" : "BACKGROUND Apolipoprotein C-III (APOC3) is a key regulator of plasma triglyceride levels. Elevated triglyceride levels are associated with a risk of adverse cardiovascular events and pancreatitis. ISIS 304801 is a second-generation antisense inhibitor of APOC3 synthesis. METHODS We conducted a randomized, double-blind, placebo-controlled, dose-ranging, phase 2 study to evaluate ISIS 304801 in untreated patients with fasting triglyceride levels between 350 mg per deciliter (4.0 mmol per liter) and 2000 mg per deciliter (22.6 mmol per liter) (ISIS 304801 monotherapy cohort), as well as in patients receiving stable fibrate therapy who had fasting triglyceride levels between 225 mg per deciliter (2.5 mmol per liter) and 2000 mg per deciliter (ISIS 304801-fibrate cohort). Eligible patients were randomly assigned to receive either ISIS 304801, at doses ranging from 100 to 300 mg, or placebo, once weekly for 13 weeks. The primary outcome was the percentage change in APOC3 level from baseline. RESULTS A total of 57 patients were treated in the ISIS 304801 monotherapy cohort (41 received active agent, and 16 received placebo), and 28 patients were treated in the ISIS 304801-fibrate cohort (20 received active agent, and 8 received placebo). The mean (\u00b1SD) baseline triglyceride levels in the two cohorts were 581\u00b1291 mg per deciliter (6.6\u00b13.3 mmol per liter) and 376\u00b1188 mg per deciliter (4.2\u00b12.1 mmol per liter), respectively. Treatment with ISIS 304801 resulted in dose-dependent and prolonged decreases in plasma APOC3 levels when the drug was administered as a single agent (decreases of 40.0\u00b132.0% in the 100-mg group, 63.8\u00b122.3% in the 200-mg group, and 79.6\u00b19.3% in the 300-mg group, vs. an increase of 4.2\u00b141.7% in the placebo group) and when it was administered as an add-on to fibrates (decreases of 60.2\u00b112.5% in the 200-mg group and 70.9\u00b113.0% in the 300-mg group, vs. a decrease of 2.2\u00b125.2% in the placebo group). Concordant reductions of 31.3 to 70.9% were observed in triglyceride levels. No safety concerns were identified in this short-term study. CONCLUSIONS We found that treatment with ISIS 304801 was associated with significant lowering of triglyceride levels, among patients with a broad range of baseline levels, through selective antisense inhibition of APOC3 synthesis. (Funded by Isis Pharmaceuticals; ClinicalTrials.gov number, NCT01529424.).", "author" : [ { "dropping-particle" : "", "family" : "Gaudet", "given" : "Daniel", "non-dropping-particle" : "", "parse-names" : false, "suffix" : "" }, { "dropping-particle" : "", "family" : "Alexander", "given" : "Veronica J", "non-dropping-particle" : "", "parse-names" : false, "suffix" : "" }, { "dropping-particle" : "", "family" : "Baker", "given" : "Brenda F", "non-dropping-particle" : "", "parse-names" : false, "suffix" : "" }, { "dropping-particle" : "", "family" : "Brisson", "given" : "Diane", "non-dropping-particle" : "", "parse-names" : false, "suffix" : "" }, { "dropping-particle" : "", "family" : "Tremblay", "given" : "Karine", "non-dropping-particle" : "", "parse-names" : false, "suffix" : "" }, { "dropping-particle" : "", "family" : "Singleton", "given" : "Walter", "non-dropping-particle" : "", "parse-names" : false, "suffix" : "" }, { "dropping-particle" : "", "family" : "Geary", "given" : "Richard S", "non-dropping-particle" : "", "parse-names" : false, "suffix" : "" }, { "dropping-particle" : "", "family" : "Hughes", "given" : "Steven G", "non-dropping-particle" : "", "parse-names" : false, "suffix" : "" }, { "dropping-particle" : "", "family" : "Viney", "given" : "Nicholas J", "non-dropping-particle" : "", "parse-names" : false, "suffix" : "" }, { "dropping-particle" : "", "family" : "Graham", "given" : "Mark J", "non-dropping-particle" : "", "parse-names" : false, "suffix" : "" }, { "dropping-particle" : "", "family" : "Crooke", "given" : "Rosanne M", "non-dropping-particle" : "", "parse-names" : false, "suffix" : "" }, { "dropping-particle" : "", "family" : "Witztum", "given" : "Joseph L", "non-dropping-particle" : "", "parse-names" : false, "suffix" : "" }, { "dropping-particle" : "", "family" : "Brunzell", "given" : "John D", "non-dropping-particle" : "", "parse-names" : false, "suffix" : "" }, { "dropping-particle" : "", "family" : "Kastelein", "given" : "John J P", "non-dropping-particle" : "", "parse-names" : false, "suffix" : "" } ], "container-title" : "The New England journal of medicine", "id" : "ITEM-2", "issue" : "5", "issued" : { "date-parts" : [ [ "2015", "7", "30" ] ] }, "page" : "438-47", "title" : "Antisense Inhibition of Apolipoprotein C-III in Patients with Hypertriglyceridemia.", "type" : "article-journal", "volume" : "373" }, "uris" : [ "http://www.mendeley.com/documents/?uuid=ab25afbc-4809-46f7-9cb7-75e7e42b2d52" ] } ], "mendeley" : { "formattedCitation" : "&lt;sup&gt;4,5&lt;/sup&gt;", "plainTextFormattedCitation" : "4,5", "previouslyFormattedCitation" : "&lt;sup&gt;4,5&lt;/sup&gt;" }, "properties" : { "noteIndex" : 0 }, "schema" : "https://github.com/citation-style-language/schema/raw/master/csl-citation.json" }</w:instrText>
      </w:r>
      <w:r w:rsidR="00A0470F" w:rsidRPr="00C223AB">
        <w:rPr>
          <w:rFonts w:ascii="Arial" w:hAnsi="Arial" w:cs="Arial"/>
        </w:rPr>
        <w:fldChar w:fldCharType="separate"/>
      </w:r>
      <w:r w:rsidR="00493189" w:rsidRPr="00C223AB">
        <w:rPr>
          <w:rFonts w:ascii="Arial" w:hAnsi="Arial" w:cs="Arial"/>
          <w:noProof/>
          <w:vertAlign w:val="superscript"/>
        </w:rPr>
        <w:t>4,5</w:t>
      </w:r>
      <w:r w:rsidR="00A0470F" w:rsidRPr="00C223AB">
        <w:rPr>
          <w:rFonts w:ascii="Arial" w:hAnsi="Arial" w:cs="Arial"/>
        </w:rPr>
        <w:fldChar w:fldCharType="end"/>
      </w:r>
      <w:r w:rsidR="00A0470F" w:rsidRPr="00C223AB">
        <w:rPr>
          <w:rFonts w:ascii="Arial" w:hAnsi="Arial" w:cs="Arial"/>
        </w:rPr>
        <w:t xml:space="preserve"> </w:t>
      </w:r>
      <w:r w:rsidR="002C7052" w:rsidRPr="00C223AB">
        <w:rPr>
          <w:rFonts w:ascii="Arial" w:hAnsi="Arial" w:cs="Arial"/>
        </w:rPr>
        <w:t xml:space="preserve">ApoC-III has been shown to </w:t>
      </w:r>
      <w:r w:rsidR="00400809" w:rsidRPr="00C223AB">
        <w:rPr>
          <w:rFonts w:ascii="Arial" w:hAnsi="Arial" w:cs="Arial"/>
        </w:rPr>
        <w:t>inhibit</w:t>
      </w:r>
      <w:r w:rsidR="002C7052" w:rsidRPr="00C223AB">
        <w:rPr>
          <w:rFonts w:ascii="Arial" w:hAnsi="Arial" w:cs="Arial"/>
        </w:rPr>
        <w:t xml:space="preserve"> </w:t>
      </w:r>
      <w:r w:rsidR="00882FD6" w:rsidRPr="00C223AB">
        <w:rPr>
          <w:rFonts w:ascii="Arial" w:hAnsi="Arial" w:cs="Arial"/>
        </w:rPr>
        <w:t>LP</w:t>
      </w:r>
      <w:r w:rsidR="00400809" w:rsidRPr="00C223AB">
        <w:rPr>
          <w:rFonts w:ascii="Arial" w:hAnsi="Arial" w:cs="Arial"/>
        </w:rPr>
        <w:t xml:space="preserve">L mediated </w:t>
      </w:r>
      <w:r w:rsidR="00DE668A" w:rsidRPr="00C223AB">
        <w:rPr>
          <w:rFonts w:ascii="Arial" w:hAnsi="Arial" w:cs="Arial"/>
        </w:rPr>
        <w:t xml:space="preserve">hydrolysis of </w:t>
      </w:r>
      <w:r w:rsidR="009C018D" w:rsidRPr="00C223AB">
        <w:rPr>
          <w:rFonts w:ascii="Arial" w:hAnsi="Arial" w:cs="Arial"/>
        </w:rPr>
        <w:t>TG</w:t>
      </w:r>
      <w:r w:rsidR="00DE668A" w:rsidRPr="00C223AB">
        <w:rPr>
          <w:rFonts w:ascii="Arial" w:hAnsi="Arial" w:cs="Arial"/>
        </w:rPr>
        <w:t xml:space="preserve">s in TRL </w:t>
      </w:r>
      <w:r w:rsidR="00A16249" w:rsidRPr="00C223AB">
        <w:rPr>
          <w:rFonts w:ascii="Arial" w:hAnsi="Arial" w:cs="Arial"/>
        </w:rPr>
        <w:fldChar w:fldCharType="begin" w:fldLock="1"/>
      </w:r>
      <w:r w:rsidR="00493189" w:rsidRPr="00C223AB">
        <w:rPr>
          <w:rFonts w:ascii="Arial" w:hAnsi="Arial" w:cs="Arial"/>
        </w:rPr>
        <w:instrText>ADDIN CSL_CITATION { "citationItems" : [ { "id" : "ITEM-1", "itemData" : { "DOI" : "10.1172/JCI112713", "ISSN" : "0021-9738", "PMID" : "3095375", "abstract" : "Previous data suggest that apolipoprotein (apo) CIII may inhibit both triglyceride hydrolysis by lipoprotein lipase (LPL) and apo E-mediated uptake of triglyceride-rich lipoproteins by the liver. We studied apo B metabolism in very low density (VLDL), intermediate density (IDL), and low density lipoproteins (LDL) in two sisters with apo CIII-apo AI deficiency. The subjects had reduced levels of VLDL triglyceride, normal LDL cholesterol, and near absence of high density lipoprotein (HDL) cholesterol. Compartmental analysis of the kinetics of apo B metabolism after injection of 125I-VLDL and 131I-LDL revealed fractional catabolic rates (FCR) for VLDL apo B that were six to seven times faster than normal. Simultaneous injection of [3H]glycerol demonstrated rapid catabolism of VLDL triglyceride. VLDL apo B was rapidly and efficiently converted to IDL and LDL. The FCR for LDL apo B was normal. In vitro experiments indicated that, although sera from the apo CIII-apo-AI deficient patients were able to normally activate purified LPL, increasing volumes of these sera did not result in the progressive inhibition of LPL activity demonstrable with normal sera. Addition of purified apo CIII to the deficient sera resulted in 20-50% reductions in maximal LPL activity compared with levels of activity attained with the same volumes of the native, deficient sera. These in vitro studies, together with the in vivo results, indicate that in normal subjects apo CIII can inhibit the catabolism of triglyceride-rich lipoproteins by lipoprotein lipase.", "author" : [ { "dropping-particle" : "", "family" : "Ginsberg", "given" : "H N", "non-dropping-particle" : "", "parse-names" : false, "suffix" : "" }, { "dropping-particle" : "", "family" : "Le", "given" : "N A", "non-dropping-particle" : "", "parse-names" : false, "suffix" : "" }, { "dropping-particle" : "", "family" : "Goldberg", "given" : "I J", "non-dropping-particle" : "", "parse-names" : false, "suffix" : "" }, { "dropping-particle" : "", "family" : "Gibson", "given" : "J C", "non-dropping-particle" : "", "parse-names" : false, "suffix" : "" }, { "dropping-particle" : "", "family" : "Rubinstein", "given" : "A", "non-dropping-particle" : "", "parse-names" : false, "suffix" : "" }, { "dropping-particle" : "", "family" : "Wang-Iverson", "given" : "P", "non-dropping-particle" : "", "parse-names" : false, "suffix" : "" }, { "dropping-particle" : "", "family" : "Norum", "given" : "R", "non-dropping-particle" : "", "parse-names" : false, "suffix" : "" }, { "dropping-particle" : "V", "family" : "Brown", "given" : "W", "non-dropping-particle" : "", "parse-names" : false, "suffix" : "" } ], "container-title" : "The Journal of clinical investigation", "id" : "ITEM-1", "issue" : "5", "issued" : { "date-parts" : [ [ "1986", "11" ] ] }, "page" : "1287-95", "title" : "Apolipoprotein B metabolism in subjects with deficiency of apolipoproteins CIII and AI. Evidence that apolipoprotein CIII inhibits catabolism of triglyceride-rich lipoproteins by lipoprotein lipase in vivo.", "type" : "article-journal", "volume" : "78" }, "uris" : [ "http://www.mendeley.com/documents/?uuid=71decd5f-3bc3-438f-aba7-2b52259b4c8f" ] } ], "mendeley" : { "formattedCitation" : "&lt;sup&gt;6&lt;/sup&gt;", "plainTextFormattedCitation" : "6", "previouslyFormattedCitation" : "&lt;sup&gt;6&lt;/sup&gt;" }, "properties" : { "noteIndex" : 0 }, "schema" : "https://github.com/citation-style-language/schema/raw/master/csl-citation.json" }</w:instrText>
      </w:r>
      <w:r w:rsidR="00A16249" w:rsidRPr="00C223AB">
        <w:rPr>
          <w:rFonts w:ascii="Arial" w:hAnsi="Arial" w:cs="Arial"/>
        </w:rPr>
        <w:fldChar w:fldCharType="separate"/>
      </w:r>
      <w:r w:rsidR="00493189" w:rsidRPr="00C223AB">
        <w:rPr>
          <w:rFonts w:ascii="Arial" w:hAnsi="Arial" w:cs="Arial"/>
          <w:noProof/>
          <w:vertAlign w:val="superscript"/>
        </w:rPr>
        <w:t>6</w:t>
      </w:r>
      <w:r w:rsidR="00A16249" w:rsidRPr="00C223AB">
        <w:rPr>
          <w:rFonts w:ascii="Arial" w:hAnsi="Arial" w:cs="Arial"/>
        </w:rPr>
        <w:fldChar w:fldCharType="end"/>
      </w:r>
      <w:r w:rsidR="00CD119D" w:rsidRPr="00C223AB">
        <w:rPr>
          <w:rFonts w:ascii="Arial" w:hAnsi="Arial" w:cs="Arial"/>
        </w:rPr>
        <w:t xml:space="preserve"> </w:t>
      </w:r>
      <w:r w:rsidR="00A16249" w:rsidRPr="00C223AB">
        <w:rPr>
          <w:rFonts w:ascii="Arial" w:hAnsi="Arial" w:cs="Arial"/>
        </w:rPr>
        <w:t xml:space="preserve">and </w:t>
      </w:r>
      <w:r w:rsidR="006B7FCD" w:rsidRPr="00C223AB">
        <w:rPr>
          <w:rFonts w:ascii="Arial" w:hAnsi="Arial" w:cs="Arial"/>
        </w:rPr>
        <w:t xml:space="preserve">to </w:t>
      </w:r>
      <w:r w:rsidR="002C7052" w:rsidRPr="00C223AB">
        <w:rPr>
          <w:rFonts w:ascii="Arial" w:hAnsi="Arial" w:cs="Arial"/>
        </w:rPr>
        <w:t>r</w:t>
      </w:r>
      <w:r w:rsidR="00400809" w:rsidRPr="00C223AB">
        <w:rPr>
          <w:rFonts w:ascii="Arial" w:hAnsi="Arial" w:cs="Arial"/>
        </w:rPr>
        <w:t>educ</w:t>
      </w:r>
      <w:r w:rsidR="002C7052" w:rsidRPr="00C223AB">
        <w:rPr>
          <w:rFonts w:ascii="Arial" w:hAnsi="Arial" w:cs="Arial"/>
        </w:rPr>
        <w:t>e</w:t>
      </w:r>
      <w:r w:rsidR="00CA74E7" w:rsidRPr="00C223AB">
        <w:rPr>
          <w:rFonts w:ascii="Arial" w:hAnsi="Arial" w:cs="Arial"/>
        </w:rPr>
        <w:t xml:space="preserve"> </w:t>
      </w:r>
      <w:r w:rsidR="008C4738" w:rsidRPr="00C223AB">
        <w:rPr>
          <w:rFonts w:ascii="Arial" w:hAnsi="Arial" w:cs="Arial"/>
        </w:rPr>
        <w:t xml:space="preserve">hepatic </w:t>
      </w:r>
      <w:r w:rsidR="00CA74E7" w:rsidRPr="00C223AB">
        <w:rPr>
          <w:rFonts w:ascii="Arial" w:hAnsi="Arial" w:cs="Arial"/>
        </w:rPr>
        <w:t>TRL</w:t>
      </w:r>
      <w:r w:rsidR="009C018D" w:rsidRPr="00C223AB">
        <w:rPr>
          <w:rFonts w:ascii="Arial" w:hAnsi="Arial" w:cs="Arial"/>
        </w:rPr>
        <w:t xml:space="preserve"> </w:t>
      </w:r>
      <w:r w:rsidR="00882FD6" w:rsidRPr="00C223AB">
        <w:rPr>
          <w:rFonts w:ascii="Arial" w:hAnsi="Arial" w:cs="Arial"/>
        </w:rPr>
        <w:t>uptake</w:t>
      </w:r>
      <w:r w:rsidR="00493189" w:rsidRPr="00C223AB">
        <w:rPr>
          <w:rFonts w:ascii="Arial" w:hAnsi="Arial" w:cs="Arial"/>
        </w:rPr>
        <w:t>,</w:t>
      </w:r>
      <w:r w:rsidR="001B446E" w:rsidRPr="00C223AB">
        <w:rPr>
          <w:rFonts w:ascii="Arial" w:hAnsi="Arial" w:cs="Arial"/>
        </w:rPr>
        <w:fldChar w:fldCharType="begin" w:fldLock="1"/>
      </w:r>
      <w:r w:rsidR="00493189" w:rsidRPr="00C223AB">
        <w:rPr>
          <w:rFonts w:ascii="Arial" w:hAnsi="Arial" w:cs="Arial"/>
        </w:rPr>
        <w:instrText>ADDIN CSL_CITATION { "citationItems" : [ { "id" : "ITEM-1", "itemData" : { "ISSN" : "0021-9258", "PMID" : "1917954", "abstract" : "The mechanism of inhibition by apolipoprotein C of the uptake and degradation of triglyceride-rich lipoproteins from human plasma via the low density lipoprotein (LDL) receptor pathway was investigated in cultured human skin fibroblasts. Very low density lipoprotein (VLDL) density subfractions and intermediate density lipoprotein (IDL) with or without added exogenous recombinant apolipoprotein E-3 were used. Total and individual (C-I, C-II, C-III-1, and C-III-2) apoC molecules effectively inhibited apoE-3-mediated cell metabolism of the lipoproteins through the LDL receptor, with apoC-I being most effective. When the incubation was carried out with different amounts of exogenous apoE-3 and exogenous apoC, it was shown that the ratio of apoE-3 to apoC determined the uptake and degradation of VLDL. Excess apoE-3 overcame, at least in part, the inhibition by apoC. ApoC, in contrast, did not affect LDL metabolism. Neither apoA-I nor apoA-II, two apoproteins that do not readily associate with VLDL, had any effect on VLDL cell metabolism. The inhibition of VLDL and IDL metabolism cannot be fully explained by interference of association of exogenous apoE-3 with or displacement of endogenous apoE from the lipoproteins. IDL is a lipoprotein that contains both apoB-100 and apoE. By using monoclonal antibodies 4G3 and 1D7, which specifically block cell interaction by apoB-100 and apoE, respectively, it was possible to assess the effects of apoC on either apoprotein. ApoC dramatically depressed the interaction of IDL with the fibroblast receptor through apoE, but had only a moderate effect on apoB-100. The study thus demonstrates that apoC inhibits predominantly the apoE-3-dependent interaction of triglyceride-rich lipoproteins with the LDL receptor in cultured fibroblasts and that the mechanism of inhibition reflects association of apoC with the lipoproteins and specific concentration-dependent effects on apoE-3 at the lipoprotein surface.", "author" : [ { "dropping-particle" : "", "family" : "Sehayek", "given" : "E", "non-dropping-particle" : "", "parse-names" : false, "suffix" : "" }, { "dropping-particle" : "", "family" : "Eisenberg", "given" : "S", "non-dropping-particle" : "", "parse-names" : false, "suffix" : "" } ], "container-title" : "The Journal of biological chemistry", "id" : "ITEM-1", "issue" : "27", "issued" : { "date-parts" : [ [ "1991", "9", "25" ] ] }, "page" : "18259-67", "title" : "Mechanisms of inhibition by apolipoprotein C of apolipoprotein E-dependent cellular metabolism of human triglyceride-rich lipoproteins through the low density lipoprotein receptor pathway.", "type" : "article-journal", "volume" : "266" }, "uris" : [ "http://www.mendeley.com/documents/?uuid=878de573-113d-4d8f-ba4a-ee140a4e1509" ] } ], "mendeley" : { "formattedCitation" : "&lt;sup&gt;7&lt;/sup&gt;", "plainTextFormattedCitation" : "7", "previouslyFormattedCitation" : "&lt;sup&gt;7&lt;/sup&gt;" }, "properties" : { "noteIndex" : 0 }, "schema" : "https://github.com/citation-style-language/schema/raw/master/csl-citation.json" }</w:instrText>
      </w:r>
      <w:r w:rsidR="001B446E" w:rsidRPr="00C223AB">
        <w:rPr>
          <w:rFonts w:ascii="Arial" w:hAnsi="Arial" w:cs="Arial"/>
        </w:rPr>
        <w:fldChar w:fldCharType="separate"/>
      </w:r>
      <w:r w:rsidR="00493189" w:rsidRPr="00C223AB">
        <w:rPr>
          <w:rFonts w:ascii="Arial" w:hAnsi="Arial" w:cs="Arial"/>
          <w:noProof/>
          <w:vertAlign w:val="superscript"/>
        </w:rPr>
        <w:t>7</w:t>
      </w:r>
      <w:r w:rsidR="001B446E" w:rsidRPr="00C223AB">
        <w:rPr>
          <w:rFonts w:ascii="Arial" w:hAnsi="Arial" w:cs="Arial"/>
        </w:rPr>
        <w:fldChar w:fldCharType="end"/>
      </w:r>
      <w:r w:rsidR="001B446E" w:rsidRPr="00C223AB">
        <w:rPr>
          <w:rFonts w:ascii="Arial" w:hAnsi="Arial" w:cs="Arial"/>
        </w:rPr>
        <w:t xml:space="preserve"> </w:t>
      </w:r>
      <w:r w:rsidR="00493189" w:rsidRPr="00C223AB">
        <w:rPr>
          <w:rFonts w:ascii="Arial" w:hAnsi="Arial" w:cs="Arial"/>
        </w:rPr>
        <w:t xml:space="preserve"> in particular, those mediated by the LDL receptor and LRP1.</w:t>
      </w:r>
      <w:r w:rsidR="00493189" w:rsidRPr="00C223AB">
        <w:rPr>
          <w:rFonts w:ascii="Arial" w:hAnsi="Arial" w:cs="Arial"/>
        </w:rPr>
        <w:fldChar w:fldCharType="begin" w:fldLock="1"/>
      </w:r>
      <w:r w:rsidR="00B44858" w:rsidRPr="00C223AB">
        <w:rPr>
          <w:rFonts w:ascii="Arial" w:hAnsi="Arial" w:cs="Arial"/>
        </w:rPr>
        <w:instrText>ADDIN CSL_CITATION { "citationItems" : [ { "id" : "ITEM-1", "itemData" : { "DOI" : "10.1172/JCI86610", "ISSN" : "1558-8238", "PMID" : "27400128", "abstract" : "Hypertriglyceridemia is an independent risk factor for cardiovascular disease, and plasma triglycerides (TGs) correlate strongly with plasma apolipoprotein C-III (ApoC-III) levels. Antisense oligonucleotides (ASOs) for ApoC-III reduce plasma TGs in primates and mice, but the underlying mechanism of action remains controversial. We determined that a murine-specific ApoC-III-targeting ASO reduces fasting TG levels through a mechanism that is dependent on low-density lipoprotein receptors (LDLRs) and LDLR-related protein 1 (LRP1). ApoC-III ASO treatment lowered plasma TGs in mice lacking lipoprotein lipase (LPL), hepatic heparan sulfate proteoglycan (HSPG) receptors, LDLR, or LRP1 and in animals with combined deletion of the genes encoding HSPG receptors and LDLRs or LRP1. However, the ApoC-III ASO did not lower TG levels in mice lacking both LDLR and LRP1. LDLR and LRP1 were also required for ApoC-III ASO-induced reduction of plasma TGs in mice fed a high-fat diet, in postprandial clearance studies, and when ApoC-III-rich or ApoC-III-depleted lipoproteins were injected into mice. ASO reduction of ApoC-III had no effect on VLDL secretion, heparin-induced TG reduction, or uptake of lipids into heart and skeletal muscle. Our data indicate that ApoC-III inhibits turnover of TG-rich lipoproteins primarily through a hepatic clearance mechanism mediated by the LDLR/LRP1 axis.", "author" : [ { "dropping-particle" : "", "family" : "Gordts", "given" : "Philip L S M", "non-dropping-particle" : "", "parse-names" : false, "suffix" : "" }, { "dropping-particle" : "", "family" : "Nock", "given" : "Ryan", "non-dropping-particle" : "", "parse-names" : false, "suffix" : "" }, { "dropping-particle" : "", "family" : "Son", "given" : "Ni-Huiping", "non-dropping-particle" : "", "parse-names" : false, "suffix" : "" }, { "dropping-particle" : "", "family" : "Ramms", "given" : "Bastian", "non-dropping-particle" : "", "parse-names" : false, "suffix" : "" }, { "dropping-particle" : "", "family" : "Lew", "given" : "Irene", "non-dropping-particle" : "", "parse-names" : false, "suffix" : "" }, { "dropping-particle" : "", "family" : "Gonzales", "given" : "Jon C.", "non-dropping-particle" : "", "parse-names" : false, "suffix" : "" }, { "dropping-particle" : "", "family" : "Thacker", "given" : "Bryan E.", "non-dropping-particle" : "", "parse-names" : false, "suffix" : "" }, { "dropping-particle" : "", "family" : "Basu", "given" : "Debapriya", "non-dropping-particle" : "", "parse-names" : false, "suffix" : "" }, { "dropping-particle" : "", "family" : "Lee", "given" : "Richard G.", "non-dropping-particle" : "", "parse-names" : false, "suffix" : "" }, { "dropping-particle" : "", "family" : "Mullick", "given" : "Adam E", "non-dropping-particle" : "", "parse-names" : false, "suffix" : "" }, { "dropping-particle" : "", "family" : "Graham", "given" : "Mark J", "non-dropping-particle" : "", "parse-names" : false, "suffix" : "" }, { "dropping-particle" : "", "family" : "Goldberg", "given" : "Ira J", "non-dropping-particle" : "", "parse-names" : false, "suffix" : "" }, { "dropping-particle" : "", "family" : "Crooke", "given" : "Rosanne M", "non-dropping-particle" : "", "parse-names" : false, "suffix" : "" }, { "dropping-particle" : "", "family" : "Witztum", "given" : "Joseph L", "non-dropping-particle" : "", "parse-names" : false, "suffix" : "" }, { "dropping-particle" : "", "family" : "Esko", "given" : "Jeffrey D", "non-dropping-particle" : "", "parse-names" : false, "suffix" : "" } ], "container-title" : "The Journal of clinical investigation", "id" : "ITEM-1", "issue" : "8", "issued" : { "date-parts" : [ [ "2016", "8", "1" ] ] }, "page" : "2855-66", "title" : "ApoC-III inhibits clearance of triglyceride-rich lipoproteins through LDL family receptors.", "type" : "article-journal", "volume" : "126" }, "uris" : [ "http://www.mendeley.com/documents/?uuid=10ac2232-a0fd-4fac-87e2-9171e5ca2ae5" ] } ], "mendeley" : { "formattedCitation" : "&lt;sup&gt;8&lt;/sup&gt;", "plainTextFormattedCitation" : "8", "previouslyFormattedCitation" : "&lt;sup&gt;8&lt;/sup&gt;" }, "properties" : { "noteIndex" : 0 }, "schema" : "https://github.com/citation-style-language/schema/raw/master/csl-citation.json" }</w:instrText>
      </w:r>
      <w:r w:rsidR="00493189" w:rsidRPr="00C223AB">
        <w:rPr>
          <w:rFonts w:ascii="Arial" w:hAnsi="Arial" w:cs="Arial"/>
        </w:rPr>
        <w:fldChar w:fldCharType="separate"/>
      </w:r>
      <w:r w:rsidR="00493189" w:rsidRPr="00C223AB">
        <w:rPr>
          <w:rFonts w:ascii="Arial" w:hAnsi="Arial" w:cs="Arial"/>
          <w:noProof/>
          <w:vertAlign w:val="superscript"/>
        </w:rPr>
        <w:t>8</w:t>
      </w:r>
      <w:r w:rsidR="00493189" w:rsidRPr="00C223AB">
        <w:rPr>
          <w:rFonts w:ascii="Arial" w:hAnsi="Arial" w:cs="Arial"/>
        </w:rPr>
        <w:fldChar w:fldCharType="end"/>
      </w:r>
      <w:r w:rsidR="00493189" w:rsidRPr="00C223AB">
        <w:rPr>
          <w:rFonts w:ascii="Arial" w:hAnsi="Arial" w:cs="Arial"/>
        </w:rPr>
        <w:t xml:space="preserve"> </w:t>
      </w:r>
      <w:r w:rsidR="00882FD6" w:rsidRPr="00C223AB">
        <w:rPr>
          <w:rFonts w:ascii="Arial" w:hAnsi="Arial" w:cs="Arial"/>
        </w:rPr>
        <w:t>At higher concentrations</w:t>
      </w:r>
      <w:r w:rsidR="001F6975" w:rsidRPr="00C223AB">
        <w:rPr>
          <w:rFonts w:ascii="Arial" w:hAnsi="Arial" w:cs="Arial"/>
        </w:rPr>
        <w:t>,</w:t>
      </w:r>
      <w:r w:rsidR="00882FD6" w:rsidRPr="00C223AB">
        <w:rPr>
          <w:rFonts w:ascii="Arial" w:hAnsi="Arial" w:cs="Arial"/>
        </w:rPr>
        <w:t xml:space="preserve"> </w:t>
      </w:r>
      <w:r w:rsidR="002C7052" w:rsidRPr="00C223AB">
        <w:rPr>
          <w:rFonts w:ascii="Arial" w:hAnsi="Arial" w:cs="Arial"/>
        </w:rPr>
        <w:t>apoC-III</w:t>
      </w:r>
      <w:r w:rsidR="00882FD6" w:rsidRPr="00C223AB">
        <w:rPr>
          <w:rFonts w:ascii="Arial" w:hAnsi="Arial" w:cs="Arial"/>
        </w:rPr>
        <w:t xml:space="preserve"> also inhibit</w:t>
      </w:r>
      <w:r w:rsidR="00CA74E7" w:rsidRPr="00C223AB">
        <w:rPr>
          <w:rFonts w:ascii="Arial" w:hAnsi="Arial" w:cs="Arial"/>
        </w:rPr>
        <w:t>s</w:t>
      </w:r>
      <w:r w:rsidR="00882FD6" w:rsidRPr="00C223AB">
        <w:rPr>
          <w:rFonts w:ascii="Arial" w:hAnsi="Arial" w:cs="Arial"/>
        </w:rPr>
        <w:t xml:space="preserve"> hepatic lipase </w:t>
      </w:r>
      <w:r w:rsidR="00400809" w:rsidRPr="00C223AB">
        <w:rPr>
          <w:rFonts w:ascii="Arial" w:hAnsi="Arial" w:cs="Arial"/>
        </w:rPr>
        <w:t>activity</w:t>
      </w:r>
      <w:r w:rsidR="009C018D" w:rsidRPr="00C223AB">
        <w:rPr>
          <w:rFonts w:ascii="Arial" w:hAnsi="Arial" w:cs="Arial"/>
        </w:rPr>
        <w:t>,</w:t>
      </w:r>
      <w:r w:rsidR="00882FD6" w:rsidRPr="00C223AB">
        <w:rPr>
          <w:rFonts w:ascii="Arial" w:hAnsi="Arial" w:cs="Arial"/>
        </w:rPr>
        <w:t xml:space="preserve"> </w:t>
      </w:r>
      <w:r w:rsidR="008C6E3D" w:rsidRPr="00C223AB">
        <w:rPr>
          <w:rFonts w:ascii="Arial" w:hAnsi="Arial" w:cs="Arial"/>
        </w:rPr>
        <w:t>which results</w:t>
      </w:r>
      <w:r w:rsidR="00882FD6" w:rsidRPr="00C223AB">
        <w:rPr>
          <w:rFonts w:ascii="Arial" w:hAnsi="Arial" w:cs="Arial"/>
        </w:rPr>
        <w:t xml:space="preserve"> in reduced conversion of VLDL to IDL and LDL </w:t>
      </w:r>
      <w:r w:rsidR="008C4738" w:rsidRPr="00C223AB">
        <w:rPr>
          <w:rFonts w:ascii="Arial" w:hAnsi="Arial" w:cs="Arial"/>
        </w:rPr>
        <w:t>and also affects</w:t>
      </w:r>
      <w:r w:rsidR="00882FD6" w:rsidRPr="00C223AB">
        <w:rPr>
          <w:rFonts w:ascii="Arial" w:hAnsi="Arial" w:cs="Arial"/>
        </w:rPr>
        <w:t xml:space="preserve"> HDL remodeling.</w:t>
      </w:r>
      <w:r w:rsidR="0049772C" w:rsidRPr="00C223AB">
        <w:rPr>
          <w:rFonts w:ascii="Arial" w:hAnsi="Arial" w:cs="Arial"/>
        </w:rPr>
        <w:fldChar w:fldCharType="begin" w:fldLock="1"/>
      </w:r>
      <w:r w:rsidR="00B44858" w:rsidRPr="00C223AB">
        <w:rPr>
          <w:rFonts w:ascii="Arial" w:hAnsi="Arial" w:cs="Arial"/>
        </w:rPr>
        <w:instrText>ADDIN CSL_CITATION { "citationItems" : [ { "id" : "ITEM-1", "itemData" : { "DOI" : "10.1161/ATVBAHA.109.197830", "ISSN" : "1524-4636", "PMID" : "19910636", "abstract" : "OBJECTIVE We aimed to clarify the influence of apolipoprotein C-III (apoCIII) on human apolipoprotein B metabolism. METHODS AND RESULTS We studied the kinetics of 4 very-low-density lipoprotein (VLDL), intermediate-density lipoprotein (IDL), and low-density lipoprotein (LDL) types containing: (1) otherApos-CIII-: none of apoCIII, apoAII, apoCI, apoCII, or apoE; (2) otherApos+CIII-: no apoCIII but at least one of the others; (3) otherApos-CIII+: apoCIII, but not any others; and (4) otherApos+CIII+: apoCIII and at least one other. VLDL and IDL otherApos-CIII+ and otherApos-CIII- had similar rates of lipolytic conversion to smaller particles. However, light LDL otherApos-CIII+ compared with otherApos-CIII- had much faster conversion to dense LDL as did light LDL otherApos+CIII+ compared with otherApos+CIII-. VLDL and IDL otherApos-CIII+ had minimal direct removal from circulation, whereas VLDL and IDL otherApos+CIII-, rich in apoE, showed fast clearance. Lipoproteins in fraction otherApos+CIII+ also rich in apoE had very low clearance. CONCLUSIONS The results suggest that apoCIII strongly inhibits hepatic uptake of VLDL and IDL overriding the opposite influence of apoE when both are present. The presence of apoCIII on dense VLDL is not associated with slow conversion to IDL, a lipoprotein lipase-dependent process; but when on light LDL, apoCIII is associated with enhanced conversion to dense LDL, a process involving hepatic lipase.", "author" : [ { "dropping-particle" : "", "family" : "Mendivil", "given" : "Carlos O", "non-dropping-particle" : "", "parse-names" : false, "suffix" : "" }, { "dropping-particle" : "", "family" : "Zheng", "given" : "Chunyu", "non-dropping-particle" : "", "parse-names" : false, "suffix" : "" }, { "dropping-particle" : "", "family" : "Furtado", "given" : "Jeremy", "non-dropping-particle" : "", "parse-names" : false, "suffix" : "" }, { "dropping-particle" : "", "family" : "Lel", "given" : "Julian", "non-dropping-particle" : "", "parse-names" : false, "suffix" : "" }, { "dropping-particle" : "", "family" : "Sacks", "given" : "Frank M", "non-dropping-particle" : "", "parse-names" : false, "suffix" : "" } ], "container-title" : "Arteriosclerosis, thrombosis, and vascular biology", "id" : "ITEM-1", "issue" : "2", "issued" : { "date-parts" : [ [ "2010", "2" ] ] }, "page" : "239-45", "title" : "Metabolism of very-low-density lipoprotein and low-density lipoprotein containing apolipoprotein C-III and not other small apolipoproteins.", "type" : "article-journal", "volume" : "30" }, "uris" : [ "http://www.mendeley.com/documents/?uuid=790fc1a2-28fc-4460-b9a6-b43d981990e6" ] } ], "mendeley" : { "formattedCitation" : "&lt;sup&gt;9&lt;/sup&gt;", "plainTextFormattedCitation" : "9", "previouslyFormattedCitation" : "&lt;sup&gt;9&lt;/sup&gt;" }, "properties" : { "noteIndex" : 0 }, "schema" : "https://github.com/citation-style-language/schema/raw/master/csl-citation.json" }</w:instrText>
      </w:r>
      <w:r w:rsidR="0049772C" w:rsidRPr="00C223AB">
        <w:rPr>
          <w:rFonts w:ascii="Arial" w:hAnsi="Arial" w:cs="Arial"/>
        </w:rPr>
        <w:fldChar w:fldCharType="separate"/>
      </w:r>
      <w:r w:rsidR="00493189" w:rsidRPr="00C223AB">
        <w:rPr>
          <w:rFonts w:ascii="Arial" w:hAnsi="Arial" w:cs="Arial"/>
          <w:noProof/>
          <w:vertAlign w:val="superscript"/>
        </w:rPr>
        <w:t>9</w:t>
      </w:r>
      <w:r w:rsidR="0049772C" w:rsidRPr="00C223AB">
        <w:rPr>
          <w:rFonts w:ascii="Arial" w:hAnsi="Arial" w:cs="Arial"/>
        </w:rPr>
        <w:fldChar w:fldCharType="end"/>
      </w:r>
      <w:r w:rsidR="00882FD6" w:rsidRPr="00C223AB">
        <w:rPr>
          <w:rFonts w:ascii="Arial" w:hAnsi="Arial" w:cs="Arial"/>
        </w:rPr>
        <w:t xml:space="preserve"> </w:t>
      </w:r>
      <w:r w:rsidR="00E20775" w:rsidRPr="00C223AB">
        <w:rPr>
          <w:rFonts w:ascii="Arial" w:hAnsi="Arial" w:cs="Arial"/>
        </w:rPr>
        <w:t>Genetic</w:t>
      </w:r>
      <w:r w:rsidR="00211B49" w:rsidRPr="00C223AB">
        <w:rPr>
          <w:rFonts w:ascii="Arial" w:hAnsi="Arial" w:cs="Arial"/>
        </w:rPr>
        <w:t xml:space="preserve"> studies have shown that loss</w:t>
      </w:r>
      <w:r w:rsidR="008C4738" w:rsidRPr="00C223AB">
        <w:rPr>
          <w:rFonts w:ascii="Arial" w:hAnsi="Arial" w:cs="Arial"/>
        </w:rPr>
        <w:t>-</w:t>
      </w:r>
      <w:r w:rsidR="00211B49" w:rsidRPr="00C223AB">
        <w:rPr>
          <w:rFonts w:ascii="Arial" w:hAnsi="Arial" w:cs="Arial"/>
        </w:rPr>
        <w:t>of</w:t>
      </w:r>
      <w:r w:rsidR="008C4738" w:rsidRPr="00C223AB">
        <w:rPr>
          <w:rFonts w:ascii="Arial" w:hAnsi="Arial" w:cs="Arial"/>
        </w:rPr>
        <w:t>-</w:t>
      </w:r>
      <w:r w:rsidR="00211B49" w:rsidRPr="00C223AB">
        <w:rPr>
          <w:rFonts w:ascii="Arial" w:hAnsi="Arial" w:cs="Arial"/>
        </w:rPr>
        <w:t xml:space="preserve">function mutations in </w:t>
      </w:r>
      <w:r w:rsidR="00583796" w:rsidRPr="00C223AB">
        <w:rPr>
          <w:rFonts w:ascii="Arial" w:hAnsi="Arial" w:cs="Arial"/>
          <w:i/>
        </w:rPr>
        <w:t>APOC3</w:t>
      </w:r>
      <w:r w:rsidR="00211B49" w:rsidRPr="00C223AB">
        <w:rPr>
          <w:rFonts w:ascii="Arial" w:hAnsi="Arial" w:cs="Arial"/>
        </w:rPr>
        <w:t xml:space="preserve"> result in a favorable lipid profile characterized by reduced TG and VLDL levels.</w:t>
      </w:r>
      <w:r w:rsidR="0049772C" w:rsidRPr="00C223AB">
        <w:rPr>
          <w:rFonts w:ascii="Arial" w:hAnsi="Arial" w:cs="Arial"/>
        </w:rPr>
        <w:fldChar w:fldCharType="begin" w:fldLock="1"/>
      </w:r>
      <w:r w:rsidR="00B44858" w:rsidRPr="00C223AB">
        <w:rPr>
          <w:rFonts w:ascii="Arial" w:hAnsi="Arial" w:cs="Arial"/>
        </w:rPr>
        <w:instrText>ADDIN CSL_CITATION { "citationItems" : [ { "id" : "ITEM-1", "itemData" : { "DOI" : "10.1126/science.1161524", "ISSN" : "1095-9203", "PMID" : "19074352", "abstract" : "Apolipoprotein C-III (apoC-III) inhibits triglyceride hydrolysis and has been implicated in coronary artery disease. Through a genome-wide association study, we have found that about 5% of the Lancaster Amish are heterozygous carriers of a null mutation (R19X) in the gene encoding apoC-III (APOC3) and, as a result, express half the amount of apoC-III present in noncarriers. Mutation carriers compared with noncarriers had lower fasting and postprandial serum triglycerides, higher levels of HDL-cholesterol and lower levels of LDL-cholesterol. Subclinical atherosclerosis, as measured by coronary artery calcification, was less common in carriers than noncarriers, which suggests that lifelong deficiency of apoC-III has a cardioprotective effect.", "author" : [ { "dropping-particle" : "", "family" : "Pollin", "given" : "Toni I", "non-dropping-particle" : "", "parse-names" : false, "suffix" : "" }, { "dropping-particle" : "", "family" : "Damcott", "given" : "Coleen M", "non-dropping-particle" : "", "parse-names" : false, "suffix" : "" }, { "dropping-particle" : "", "family" : "Shen", "given" : "Haiqing", "non-dropping-particle" : "", "parse-names" : false, "suffix" : "" }, { "dropping-particle" : "", "family" : "Ott", "given" : "Sandra H", "non-dropping-particle" : "", "parse-names" : false, "suffix" : "" }, { "dropping-particle" : "", "family" : "Shelton", "given" : "John", "non-dropping-particle" : "", "parse-names" : false, "suffix" : "" }, { "dropping-particle" : "", "family" : "Horenstein", "given" : "Richard B", "non-dropping-particle" : "", "parse-names" : false, "suffix" : "" }, { "dropping-particle" : "", "family" : "Post", "given" : "Wendy", "non-dropping-particle" : "", "parse-names" : false, "suffix" : "" }, { "dropping-particle" : "", "family" : "McLenithan", "given" : "John C", "non-dropping-particle" : "", "parse-names" : false, "suffix" : "" }, { "dropping-particle" : "", "family" : "Bielak", "given" : "Lawrence F", "non-dropping-particle" : "", "parse-names" : false, "suffix" : "" }, { "dropping-particle" : "", "family" : "Peyser", "given" : "Patricia A", "non-dropping-particle" : "", "parse-names" : false, "suffix" : "" }, { "dropping-particle" : "", "family" : "Mitchell", "given" : "Braxton D", "non-dropping-particle" : "", "parse-names" : false, "suffix" : "" }, { "dropping-particle" : "", "family" : "Miller", "given" : "Michael", "non-dropping-particle" : "", "parse-names" : false, "suffix" : "" }, { "dropping-particle" : "", "family" : "O'Connell", "given" : "Jeffrey R", "non-dropping-particle" : "", "parse-names" : false, "suffix" : "" }, { "dropping-particle" : "", "family" : "Shuldiner", "given" : "Alan R", "non-dropping-particle" : "", "parse-names" : false, "suffix" : "" } ], "container-title" : "Science (New York, N.Y.)", "id" : "ITEM-1", "issue" : "5908", "issued" : { "date-parts" : [ [ "2008", "12", "12" ] ] }, "page" : "1702-5", "title" : "A null mutation in human APOC3 confers a favorable plasma lipid profile and apparent cardioprotection.", "type" : "article-journal", "volume" : "322" }, "uris" : [ "http://www.mendeley.com/documents/?uuid=3f3cb70a-3b45-491f-a9b0-1565bcadce73" ] } ], "mendeley" : { "formattedCitation" : "&lt;sup&gt;10&lt;/sup&gt;", "plainTextFormattedCitation" : "10", "previouslyFormattedCitation" : "&lt;sup&gt;10&lt;/sup&gt;" }, "properties" : { "noteIndex" : 0 }, "schema" : "https://github.com/citation-style-language/schema/raw/master/csl-citation.json" }</w:instrText>
      </w:r>
      <w:r w:rsidR="0049772C" w:rsidRPr="00C223AB">
        <w:rPr>
          <w:rFonts w:ascii="Arial" w:hAnsi="Arial" w:cs="Arial"/>
        </w:rPr>
        <w:fldChar w:fldCharType="separate"/>
      </w:r>
      <w:r w:rsidR="00493189" w:rsidRPr="00C223AB">
        <w:rPr>
          <w:rFonts w:ascii="Arial" w:hAnsi="Arial" w:cs="Arial"/>
          <w:noProof/>
          <w:vertAlign w:val="superscript"/>
        </w:rPr>
        <w:t>10</w:t>
      </w:r>
      <w:r w:rsidR="0049772C" w:rsidRPr="00C223AB">
        <w:rPr>
          <w:rFonts w:ascii="Arial" w:hAnsi="Arial" w:cs="Arial"/>
        </w:rPr>
        <w:fldChar w:fldCharType="end"/>
      </w:r>
      <w:r w:rsidR="00211B49" w:rsidRPr="00C223AB">
        <w:rPr>
          <w:rFonts w:ascii="Arial" w:hAnsi="Arial" w:cs="Arial"/>
        </w:rPr>
        <w:t xml:space="preserve"> </w:t>
      </w:r>
      <w:r w:rsidRPr="00C223AB">
        <w:rPr>
          <w:rFonts w:ascii="Arial" w:hAnsi="Arial" w:cs="Arial"/>
        </w:rPr>
        <w:t>A</w:t>
      </w:r>
      <w:r w:rsidR="008C6E3D" w:rsidRPr="00C223AB">
        <w:rPr>
          <w:rFonts w:ascii="Arial" w:hAnsi="Arial" w:cs="Arial"/>
        </w:rPr>
        <w:t>poC-III plasma levels are asso</w:t>
      </w:r>
      <w:r w:rsidR="001F6975" w:rsidRPr="00C223AB">
        <w:rPr>
          <w:rFonts w:ascii="Arial" w:hAnsi="Arial" w:cs="Arial"/>
        </w:rPr>
        <w:t>ciated with increased risk of CA</w:t>
      </w:r>
      <w:r w:rsidR="008C6E3D" w:rsidRPr="00C223AB">
        <w:rPr>
          <w:rFonts w:ascii="Arial" w:hAnsi="Arial" w:cs="Arial"/>
        </w:rPr>
        <w:t>D</w:t>
      </w:r>
      <w:r w:rsidR="0049772C" w:rsidRPr="00C223AB">
        <w:rPr>
          <w:rFonts w:ascii="Arial" w:hAnsi="Arial" w:cs="Arial"/>
        </w:rPr>
        <w:t xml:space="preserve"> </w:t>
      </w:r>
      <w:r w:rsidR="008C6E3D" w:rsidRPr="00C223AB">
        <w:rPr>
          <w:rFonts w:ascii="Arial" w:hAnsi="Arial" w:cs="Arial"/>
        </w:rPr>
        <w:t>and</w:t>
      </w:r>
      <w:r w:rsidR="00905A5C" w:rsidRPr="00C223AB">
        <w:rPr>
          <w:rFonts w:ascii="Arial" w:hAnsi="Arial" w:cs="Arial"/>
        </w:rPr>
        <w:t xml:space="preserve"> </w:t>
      </w:r>
      <w:r w:rsidR="00400809" w:rsidRPr="00C223AB">
        <w:rPr>
          <w:rFonts w:ascii="Arial" w:hAnsi="Arial" w:cs="Arial"/>
        </w:rPr>
        <w:t>Mendelian r</w:t>
      </w:r>
      <w:r w:rsidR="00211B49" w:rsidRPr="00C223AB">
        <w:rPr>
          <w:rFonts w:ascii="Arial" w:hAnsi="Arial" w:cs="Arial"/>
        </w:rPr>
        <w:t xml:space="preserve">andomization studies </w:t>
      </w:r>
      <w:r w:rsidR="00905A5C" w:rsidRPr="00C223AB">
        <w:rPr>
          <w:rFonts w:ascii="Arial" w:hAnsi="Arial" w:cs="Arial"/>
        </w:rPr>
        <w:t>corroborated</w:t>
      </w:r>
      <w:r w:rsidR="00CA74E7" w:rsidRPr="00C223AB">
        <w:rPr>
          <w:rFonts w:ascii="Arial" w:hAnsi="Arial" w:cs="Arial"/>
        </w:rPr>
        <w:t xml:space="preserve"> </w:t>
      </w:r>
      <w:r w:rsidR="00E47310" w:rsidRPr="00C223AB">
        <w:rPr>
          <w:rFonts w:ascii="Arial" w:hAnsi="Arial" w:cs="Arial"/>
        </w:rPr>
        <w:t>causality by directly linking genetic variation</w:t>
      </w:r>
      <w:r w:rsidR="00211B49" w:rsidRPr="00C223AB">
        <w:rPr>
          <w:rFonts w:ascii="Arial" w:hAnsi="Arial" w:cs="Arial"/>
        </w:rPr>
        <w:t xml:space="preserve"> in </w:t>
      </w:r>
      <w:r w:rsidR="00583796" w:rsidRPr="00C223AB">
        <w:rPr>
          <w:rFonts w:ascii="Arial" w:hAnsi="Arial" w:cs="Arial"/>
          <w:i/>
        </w:rPr>
        <w:t xml:space="preserve">APOC3 </w:t>
      </w:r>
      <w:r w:rsidR="001F6975" w:rsidRPr="00C223AB">
        <w:rPr>
          <w:rFonts w:ascii="Arial" w:hAnsi="Arial" w:cs="Arial"/>
        </w:rPr>
        <w:t>to CA</w:t>
      </w:r>
      <w:r w:rsidR="00BF53AE" w:rsidRPr="00C223AB">
        <w:rPr>
          <w:rFonts w:ascii="Arial" w:hAnsi="Arial" w:cs="Arial"/>
        </w:rPr>
        <w:t>D risk.</w:t>
      </w:r>
      <w:r w:rsidR="0049772C" w:rsidRPr="00C223AB">
        <w:rPr>
          <w:rFonts w:ascii="Arial" w:hAnsi="Arial" w:cs="Arial"/>
        </w:rPr>
        <w:fldChar w:fldCharType="begin" w:fldLock="1"/>
      </w:r>
      <w:r w:rsidR="006A2A45" w:rsidRPr="00C223AB">
        <w:rPr>
          <w:rFonts w:ascii="Arial" w:hAnsi="Arial" w:cs="Arial"/>
        </w:rPr>
        <w:instrText>ADDIN CSL_CITATION { "citationItems" : [ { "id" : "ITEM-1", "itemData" : { "DOI" : "10.1056/NEJMoa1308027", "ISSN" : "1533-4406", "PMID" : "24941082", "abstract" : "BACKGROUND High plasma levels of nonfasting triglycerides are associated with an increased risk of ischemic cardiovascular disease. Whether lifelong low levels of nonfasting triglycerides owing to mutations in the gene encoding apolipoprotein C3 (APOC3) are associated with a reduced risk of ischemic cardiovascular disease in the general population is unknown. METHODS Using data from 75,725 participants in two general-population studies, we first tested whether low levels of nonfasting triglycerides were associated with reduced risks of ischemic vascular disease and ischemic heart disease. Second, we tested whether loss-of-function mutations in APOC3, which were associated with reduced levels of nonfasting triglycerides, were also associated with reduced risks of ischemic vascular disease and ischemic heart disease. During follow-up, ischemic vascular disease developed in 10,797 participants, and ischemic heart disease developed in 7557 of these 10,797 participants. RESULTS Participants with nonfasting triglyceride levels of less than 1.00 mmol per liter (90 mg per deciliter) had a significantly lower incidence of cardiovascular disease than those with levels of 4.00 mmol per liter (350 mg per deciliter) or more (hazard ratio for ischemic vascular disease, 0.43; 95% confidence interval [CI], 0.35 to 0.54; hazard ratio for ischemic heart disease, 0.40; 95% CI, 0.31 to 0.52). Heterozygosity for loss-of-function mutations in APOC3, as compared with no APOC3 mutations, was associated with a mean reduction in nonfasting triglyceride levels of 44% (P&lt;0.001). The cumulative incidences of ischemic vascular disease and ischemic heart disease were reduced in heterozygotes as compared with noncarriers of APOC3 mutations (P=0.009 and P=0.05, respectively), with corresponding risk reductions of 41% (hazard ratio, 0.59; 95% CI, 0.41 to 0.86; P=0.007) and 36% (hazard ratio, 0.64; 95% CI, 0.41 to 0.99; P=0.04). CONCLUSIONS Loss-of-function mutations in APOC3 were associated with low levels of triglycerides and a reduced risk of ischemic cardiovascular disease. (Funded by the European Union and others.).", "author" : [ { "dropping-particle" : "", "family" : "J\u00f8rgensen", "given" : "Anders Berg", "non-dropping-particle" : "", "parse-names" : false, "suffix" : "" }, { "dropping-particle" : "", "family" : "Frikke-Schmidt", "given" : "Ruth", "non-dropping-particle" : "", "parse-names" : false, "suffix" : "" }, { "dropping-particle" : "", "family" : "Nordestgaard", "given" : "B\u00f8rge G", "non-dropping-particle" : "", "parse-names" : false, "suffix" : "" }, { "dropping-particle" : "", "family" : "Tybj\u00e6rg-Hansen", "given" : "Anne", "non-dropping-particle" : "", "parse-names" : false, "suffix" : "" } ], "container-title" : "The New England journal of medicine", "id" : "ITEM-1", "issue" : "1", "issued" : { "date-parts" : [ [ "2014", "7", "3" ] ] }, "page" : "32-41", "title" : "Loss-of-function mutations in APOC3 and risk of ischemic vascular disease.", "type" : "article-journal", "volume" : "371" }, "uris" : [ "http://www.mendeley.com/documents/?uuid=24aee9dc-cc28-4b31-8d38-01a3ff77d37a" ] }, { "id" : "ITEM-2", "itemData" : { "DOI" : "10.1056/NEJMoa1307095", "ISSN" : "1533-4406", "PMID" : "24941081", "abstract" : "BACKGROUND Plasma triglyceride levels are heritable and are correlated with the risk of coronary heart disease. Sequencing of the protein-coding regions of the human genome (the exome) has the potential to identify rare mutations that have a large effect on phenotype. METHODS We sequenced the protein-coding regions of 18,666 genes in each of 3734 participants of European or African ancestry in the Exome Sequencing Project. We conducted tests to determine whether rare mutations in coding sequence, individually or in aggregate within a gene, were associated with plasma triglyceride levels. For mutations associated with triglyceride levels, we subsequently evaluated their association with the risk of coronary heart disease in 110,970 persons. RESULTS An aggregate of rare mutations in the gene encoding apolipoprotein C3 (APOC3) was associated with lower plasma triglyceride levels. Among the four mutations that drove this result, three were loss-of-function mutations: a nonsense mutation (R19X) and two splice-site mutations (IVS2+1G\u2192A and IVS3+1G\u2192T). The fourth was a missense mutation (A43T). Approximately 1 in 150 persons in the study was a heterozygous carrier of at least one of these four mutations. Triglyceride levels in the carriers were 39% lower than levels in noncarriers (P&lt;1\u00d710(-20)), and circulating levels of APOC3 in carriers were 46% lower than levels in noncarriers (P=8\u00d710(-10)). The risk of coronary heart disease among 498 carriers of any rare APOC3 mutation was 40% lower than the risk among 110,472 noncarriers (odds ratio, 0.60; 95% confidence interval, 0.47 to 0.75; P=4\u00d710(-6)). CONCLUSIONS Rare mutations that disrupt APOC3 function were associated with lower levels of plasma triglycerides and APOC3. Carriers of these mutations were found to have a reduced risk of coronary heart disease. (Funded by the National Heart, Lung, and Blood Institute and others.).", "author" : [ { "dropping-particle" : "", "family" : "TG and HDL Working Group of the Exome Sequencing Project, National Heart, Lung", "given" : "and Blood Institute", "non-dropping-particle" : "", "parse-names" : false, "suffix" : "" }, { "dropping-particle" : "", "family" : "Crosby", "given" : "Jacy", "non-dropping-particle" : "", "parse-names" : false, "suffix" : "" }, { "dropping-particle" : "", "family" : "Peloso", "given" : "Gina M", "non-dropping-particle" : "", "parse-names" : false, "suffix" : "" }, { "dropping-particle" : "", "family" : "Auer", "given" : "Paul L", "non-dropping-particle" : "", "parse-names" : false, "suffix" : "" }, { "dropping-particle" : "", "family" : "Crosslin", "given" : "David R", "non-dropping-particle" : "", "parse-names" : false, "suffix" : "" }, { "dropping-particle" : "", "family" : "Stitziel", "given" : "Nathan O", "non-dropping-particle" : "", "parse-names" : false, "suffix" : "" }, { "dropping-particle" : "", "family" : "Lange", "given" : "Leslie A", "non-dropping-particle" : "", "parse-names" : false, "suffix" : "" }, { "dropping-particle" : "", "family" : "Lu", "given" : "Yingchang", "non-dropping-particle" : "", "parse-names" : false, "suffix" : "" }, { "dropping-particle" : "", "family" : "Tang", "given" : "Zheng-zheng", "non-dropping-particle" : "", "parse-names" : false, "suffix" : "" }, { "dropping-particle" : "", "family" : "Zhang", "given" : "He", "non-dropping-particle" : "", "parse-names" : false, "suffix" : "" }, { "dropping-particle" : "", "family" : "Hindy", "given" : "George", "non-dropping-particle" : "", "parse-names" : false, "suffix" : "" }, { "dropping-particle" : "", "family" : "Masca", "given" : "Nicholas", "non-dropping-particle" : "", "parse-names" : false, "suffix" : "" }, { "dropping-particle" : "", "family" : "Stirrups", "given" : "Kathleen", "non-dropping-particle" : "", "parse-names" : false, "suffix" : "" }, { "dropping-particle" : "", "family" : "Kanoni", "given" : "Stavroula", "non-dropping-particle" : "", "parse-names" : false, "suffix" : "" }, { "dropping-particle" : "", "family" : "Do", "given" : "Ron", "non-dropping-particle" : "", "parse-names" : false, "suffix" : "" }, { "dropping-particle" : "", "family" : "Jun", "given" : "Goo", "non-dropping-particle" : "", "parse-names" : false, "suffix" : "" }, { "dropping-particle" : "", "family" : "Hu", "given" : "Youna", "non-dropping-particle" : "", "parse-names" : false, "suffix" : "" }, { "dropping-particle" : "", "family" : "Kang", "given" : "Hyun Min", "non-dropping-particle" : "", "parse-names" : false, "suffix" : "" }, { "dropping-particle" : "", "family" : "Xue", "given" : "Chenyi", "non-dropping-particle" : "", "parse-names" : false, "suffix" : "" }, { "dropping-particle" : "", "family" : "Goel", "given" : "Anuj", "non-dropping-particle" : "", "parse-names" : false, "suffix" : "" }, { "dropping-particle" : "", "family" : "Farrall", "given" : "Martin", "non-dropping-particle" : "", "parse-names" : false, "suffix" : "" }, { "dropping-particle" : "", "family" : "Duga", "given" : "Stefano", "non-dropping-particle" : "", "parse-names" : false, "suffix" : "" }, { "dropping-particle" : "", "family" : "Merlini", "given" : "Pier Angelica", "non-dropping-particle" : "", "parse-names" : false, "suffix" : "" }, { "dropping-particle" : "", "family" : "Asselta", "given" : "Rosanna", "non-dropping-particle" : "", "parse-names" : false, "suffix" : "" }, { "dropping-particle" : "", "family" : "Girelli", "given" : "Domenico", "non-dropping-particle" : "", "parse-names" : false, "suffix" : "" }, { "dropping-particle" : "", "family" : "Olivieri", "given" : "Oliviero", "non-dropping-particle" : "", "parse-names" : false, "suffix" : "" }, { "dropping-particle" : "", "family" : "Martinelli", "given" : "Nicola", "non-dropping-particle" : "", "parse-names" : false, "suffix" : "" }, { "dropping-particle" : "", "family" : "Yin", "given" : "Wu", "non-dropping-particle" : "", "parse-names" : false, "suffix" : "" }, { "dropping-particle" : "", "family" : "Reilly", "given" : "Dermot", "non-dropping-particle" : "", "parse-names" : false, "suffix" : "" }, { "dropping-particle" : "", "family" : "Speliotes", "given" : "Elizabeth", "non-dropping-particle" : "", "parse-names" : false, "suffix" : "" }, { "dropping-particle" : "", "family" : "Fox", "given" : "Caroline S", "non-dropping-particle" : "", "parse-names" : false, "suffix" : "" }, { "dropping-particle" : "", "family" : "Hveem", "given" : "Kristian", "non-dropping-particle" : "", "parse-names" : false, "suffix" : "" }, { "dropping-particle" : "", "family" : "Holmen", "given" : "Oddgeir L", "non-dropping-particle" : "", "parse-names" : false, "suffix" : "" }, { "dropping-particle" : "", "family" : "Nikpay", "given" : "Majid", "non-dropping-particle" : "", "parse-names" : false, "suffix" : "" }, { "dropping-particle" : "", "family" : "Farlow", "given" : "Deborah N", "non-dropping-particle" : "", "parse-names" : false, "suffix" : "" }, { "dropping-particle" : "", "family" : "Assimes", "given" : "Themistocles L", "non-dropping-particle" : "", "parse-names" : false, "suffix" : "" }, { "dropping-particle" : "", "family" : "Franceschini", "given" : "Nora", "non-dropping-particle" : "", "parse-names" : false, "suffix" : "" }, { "dropping-particle" : "", "family" : "Robinson", "given" : "Jennifer", "non-dropping-particle" : "", "parse-names" : false, "suffix" : "" }, { "dropping-particle" : "", "family" : "North", "given" : "Kari E", "non-dropping-particle" : "", "parse-names" : false, "suffix" : "" }, { "dropping-particle" : "", "family" : "Martin", "given" : "Lisa W", "non-dropping-particle" : "", "parse-names" : false, "suffix" : "" }, { "dropping-particle" : "", "family" : "DePristo", "given" : "Mark", "non-dropping-particle" : "", "parse-names" : false, "suffix" : "" }, { "dropping-particle" : "", "family" : "Gupta", "given" : "Namrata", "non-dropping-particle" : "", "parse-names" : false, "suffix" : "" }, { "dropping-particle" : "", "family" : "Escher", "given" : "Stefan A", "non-dropping-particle" : "", "parse-names" : false, "suffix" : "" }, { "dropping-particle" : "", "family" : "Jansson", "given" : "Jan-H\u00e5kan", "non-dropping-particle" : "", "parse-names" : false, "suffix" : "" }, { "dropping-particle" : "", "family" : "Zuydam", "given" : "Natalie", "non-dropping-particle" : "Van", "parse-names" : false, "suffix" : "" }, { "dropping-particle" : "", "family" : "Palmer", "given" : "Colin N A", "non-dropping-particle" : "", "parse-names" : false, "suffix" : "" }, { "dropping-particle" : "", "family" : "Wareham", "given" : "Nicholas", "non-dropping-particle" : "", "parse-names" : false, "suffix" : "" }, { "dropping-particle" : "", "family" : "Koch", "given" : "Werner", "non-dropping-particle" : "", "parse-names" : false, "suffix" : "" }, { "dropping-particle" : "", "family" : "Meitinger", "given" : "Thomas", "non-dropping-particle" : "", "parse-names" : false, "suffix" : "" }, { "dropping-particle" : "", "family" : "Peters", "given" : "Annette", "non-dropping-particle" : "", "parse-names" : false, "suffix" : "" }, { "dropping-particle" : "", "family" : "Lieb", "given" : "Wolfgang", "non-dropping-particle" : "", "parse-names" : false, "suffix" : "" }, { "dropping-particle" : "", "family" : "Erbel", "given" : "Raimund", "non-dropping-particle" : "", "parse-names" : false, "suffix" : "" }, { "dropping-particle" : "", "family" : "Konig", "given" : "Inke R", "non-dropping-particle" : "", "parse-names" : false, "suffix" : "" }, { "dropping-particle" : "", "family" : "Kruppa", "given" : "Jochen", "non-dropping-particle" : "", "parse-names" : false, "suffix" : "" }, { "dropping-particle" : "", "family" : "Degenhardt", "given" : "Franziska", "non-dropping-particle" : "", "parse-names" : false, "suffix" : "" }, { "dropping-particle" : "", "family" : "Gottesman", "given" : "Omri", "non-dropping-particle" : "", "parse-names" : false, "suffix" : "" }, { "dropping-particle" : "", "family" : "Bottinger", "given" : "Erwin P", "non-dropping-particle" : "", "parse-names" : false, "suffix" : "" }, { "dropping-particle" : "", "family" : "O'Donnell", "given" : "Christopher J", "non-dropping-particle" : "", "parse-names" : false, "suffix" : "" }, { "dropping-particle" : "", "family" : "Psaty", "given" : "Bruce M", "non-dropping-particle" : "", "parse-names" : false, "suffix" : "" }, { "dropping-particle" : "", "family" : "Ballantyne", "given" : "Christie M", "non-dropping-particle" : "", "parse-names" : false, "suffix" : "" }, { "dropping-particle" : "", "family" : "Abecasis", "given" : "Goncalo", "non-dropping-particle" : "", "parse-names" : false, "suffix" : "" }, { "dropping-particle" : "", "family" : "Ordovas", "given" : "Jose M", "non-dropping-particle" : "", "parse-names" : false, "suffix" : "" }, { "dropping-particle" : "", "family" : "Melander", "given" : "Olle", "non-dropping-particle" : "", "parse-names" : false, "suffix" : "" }, { "dropping-particle" : "", "family" : "Watkins", "given" : "Hugh", "non-dropping-particle" : "", "parse-names" : false, "suffix" : "" }, { "dropping-particle" : "", "family" : "Orho-Melander", "given" : "Marju", "non-dropping-particle" : "", "parse-names" : false, "suffix" : "" }, { "dropping-particle" : "", "family" : "Ardissino", "given" : "Diego", "non-dropping-particle" : "", "parse-names" : false, "suffix" : "" }, { "dropping-particle" : "", "family" : "Loos", "given" : "Ruth J F", "non-dropping-particle" : "", "parse-names" : false, "suffix" : "" }, { "dropping-particle" : "", "family" : "McPherson", "given" : "Ruth", "non-dropping-particle" : "", "parse-names" : false, "suffix" : "" }, { "dropping-particle" : "", "family" : "Willer", "given" : "Cristen J", "non-dropping-particle" : "", "parse-names" : false, "suffix" : "" }, { "dropping-particle" : "", "family" : "Erdmann", "given" : "Jeanette", "non-dropping-particle" : "", "parse-names" : false, "suffix" : "" }, { "dropping-particle" : "", "family" : "Hall", "given" : "Alistair S", "non-dropping-particle" : "", "parse-names" : false, "suffix" : "" }, { "dropping-particle" : "", "family" : "Samani", "given" : "Nilesh J", "non-dropping-particle" : "", "parse-names" : false, "suffix" : "" }, { "dropping-particle" : "", "family" : "Deloukas", "given" : "Panos", "non-dropping-particle" : "", "parse-names" : false, "suffix" : "" }, { "dropping-particle" : "", "family" : "Schunkert", "given" : "Heribert", "non-dropping-particle" : "", "parse-names" : false, "suffix" : "" }, { "dropping-particle" : "", "family" : "Wilson", "given" : "James G", "non-dropping-particle" : "", "parse-names" : false, "suffix" : "" }, { "dropping-particle" : "", "family" : "Kooperberg", "given" : "Charles", "non-dropping-particle" : "", "parse-names" : false, "suffix" : "" }, { "dropping-particle" : "", "family" : "Rich", "given" : "Stephen S", "non-dropping-particle" : "", "parse-names" : false, "suffix" : "" }, { "dropping-particle" : "", "family" : "Tracy", "given" : "Russell P", "non-dropping-particle" : "", "parse-names" : false, "suffix" : "" }, { "dropping-particle" : "", "family" : "Lin", "given" : "Dan-Yu", "non-dropping-particle" : "", "parse-names" : false, "suffix" : "" }, { "dropping-particle" : "", "family" : "Altshuler", "given" : "David", "non-dropping-particle" : "", "parse-names" : false, "suffix" : "" }, { "dropping-particle" : "", "family" : "Gabriel", "given" : "Stacey", "non-dropping-particle" : "", "parse-names" : false, "suffix" : "" }, { "dropping-particle" : "", "family" : "Nickerson", "given" : "Deborah A", "non-dropping-particle" : "", "parse-names" : false, "suffix" : "" }, { "dropping-particle" : "", "family" : "Jarvik", "given" : "Gail P", "non-dropping-particle" : "", "parse-names" : false, "suffix" : "" }, { "dropping-particle" : "", "family" : "Cupples", "given" : "L Adrienne", "non-dropping-particle" : "", "parse-names" : false, "suffix" : "" }, { "dropping-particle" : "", "family" : "Reiner", "given" : "Alex P", "non-dropping-particle" : "", "parse-names" : false, "suffix" : "" }, { "dropping-particle" : "", "family" : "Boerwinkle", "given" : "Eric", "non-dropping-particle" : "", "parse-names" : false, "suffix" : "" }, { "dropping-particle" : "", "family" : "Kathiresan", "given" : "Sekar", "non-dropping-particle" : "", "parse-names" : false, "suffix" : "" } ], "container-title" : "The New England journal of medicine", "id" : "ITEM-2", "issue" : "1", "issued" : { "date-parts" : [ [ "2014", "7", "3" ] ] }, "page" : "22-31", "title" : "Loss-of-function mutations in APOC3, triglycerides, and coronary disease.", "type" : "article-journal", "volume" : "371" }, "uris" : [ "http://www.mendeley.com/documents/?uuid=4b651599-9841-4581-a276-bba6c7174b47" ] } ], "mendeley" : { "formattedCitation" : "&lt;sup&gt;11,12&lt;/sup&gt;", "plainTextFormattedCitation" : "11,12", "previouslyFormattedCitation" : "&lt;sup&gt;11,12&lt;/sup&gt;" }, "properties" : { "noteIndex" : 0 }, "schema" : "https://github.com/citation-style-language/schema/raw/master/csl-citation.json" }</w:instrText>
      </w:r>
      <w:r w:rsidR="0049772C" w:rsidRPr="00C223AB">
        <w:rPr>
          <w:rFonts w:ascii="Arial" w:hAnsi="Arial" w:cs="Arial"/>
        </w:rPr>
        <w:fldChar w:fldCharType="separate"/>
      </w:r>
      <w:r w:rsidR="00B44858" w:rsidRPr="00C223AB">
        <w:rPr>
          <w:rFonts w:ascii="Arial" w:hAnsi="Arial" w:cs="Arial"/>
          <w:noProof/>
          <w:vertAlign w:val="superscript"/>
        </w:rPr>
        <w:t>11,12</w:t>
      </w:r>
      <w:r w:rsidR="0049772C" w:rsidRPr="00C223AB">
        <w:rPr>
          <w:rFonts w:ascii="Arial" w:hAnsi="Arial" w:cs="Arial"/>
        </w:rPr>
        <w:fldChar w:fldCharType="end"/>
      </w:r>
      <w:r w:rsidR="0049772C" w:rsidRPr="00C223AB">
        <w:rPr>
          <w:rFonts w:ascii="Arial" w:hAnsi="Arial" w:cs="Arial"/>
        </w:rPr>
        <w:t xml:space="preserve"> </w:t>
      </w:r>
      <w:r w:rsidR="00905A5C" w:rsidRPr="00C223AB">
        <w:rPr>
          <w:rFonts w:ascii="Arial" w:hAnsi="Arial" w:cs="Arial"/>
        </w:rPr>
        <w:t>Collectively</w:t>
      </w:r>
      <w:r w:rsidR="009C018D" w:rsidRPr="00C223AB">
        <w:rPr>
          <w:rFonts w:ascii="Arial" w:hAnsi="Arial" w:cs="Arial"/>
        </w:rPr>
        <w:t>,</w:t>
      </w:r>
      <w:r w:rsidR="00905A5C" w:rsidRPr="00C223AB">
        <w:rPr>
          <w:rFonts w:ascii="Arial" w:hAnsi="Arial" w:cs="Arial"/>
        </w:rPr>
        <w:t xml:space="preserve"> these </w:t>
      </w:r>
      <w:r w:rsidR="00F025FA" w:rsidRPr="00C223AB">
        <w:rPr>
          <w:rFonts w:ascii="Arial" w:hAnsi="Arial" w:cs="Arial"/>
        </w:rPr>
        <w:t xml:space="preserve">findings have spurred </w:t>
      </w:r>
      <w:r w:rsidR="004567B3" w:rsidRPr="00C223AB">
        <w:rPr>
          <w:rFonts w:ascii="Arial" w:hAnsi="Arial" w:cs="Arial"/>
        </w:rPr>
        <w:t>t</w:t>
      </w:r>
      <w:r w:rsidR="00F025FA" w:rsidRPr="00C223AB">
        <w:rPr>
          <w:rFonts w:ascii="Arial" w:hAnsi="Arial" w:cs="Arial"/>
        </w:rPr>
        <w:t xml:space="preserve">he development of </w:t>
      </w:r>
      <w:r w:rsidR="002C7052" w:rsidRPr="00C223AB">
        <w:rPr>
          <w:rFonts w:ascii="Arial" w:hAnsi="Arial" w:cs="Arial"/>
        </w:rPr>
        <w:t>apoC-III</w:t>
      </w:r>
      <w:r w:rsidR="00F025FA" w:rsidRPr="00C223AB">
        <w:rPr>
          <w:rFonts w:ascii="Arial" w:hAnsi="Arial" w:cs="Arial"/>
        </w:rPr>
        <w:t xml:space="preserve"> </w:t>
      </w:r>
      <w:r w:rsidR="00CA74E7" w:rsidRPr="00C223AB">
        <w:rPr>
          <w:rFonts w:ascii="Arial" w:hAnsi="Arial" w:cs="Arial"/>
        </w:rPr>
        <w:t>lowering</w:t>
      </w:r>
      <w:r w:rsidR="00F025FA" w:rsidRPr="00C223AB">
        <w:rPr>
          <w:rFonts w:ascii="Arial" w:hAnsi="Arial" w:cs="Arial"/>
        </w:rPr>
        <w:t xml:space="preserve"> therap</w:t>
      </w:r>
      <w:r w:rsidR="00583796" w:rsidRPr="00C223AB">
        <w:rPr>
          <w:rFonts w:ascii="Arial" w:hAnsi="Arial" w:cs="Arial"/>
        </w:rPr>
        <w:t>ies</w:t>
      </w:r>
      <w:r w:rsidR="0075641B" w:rsidRPr="00C223AB">
        <w:rPr>
          <w:rFonts w:ascii="Arial" w:hAnsi="Arial" w:cs="Arial"/>
        </w:rPr>
        <w:t>,</w:t>
      </w:r>
      <w:r w:rsidR="00583796" w:rsidRPr="00C223AB">
        <w:rPr>
          <w:rFonts w:ascii="Arial" w:hAnsi="Arial" w:cs="Arial"/>
        </w:rPr>
        <w:t xml:space="preserve"> of which </w:t>
      </w:r>
      <w:r w:rsidR="00636C40" w:rsidRPr="00C223AB">
        <w:rPr>
          <w:rFonts w:ascii="Arial" w:hAnsi="Arial" w:cs="Arial"/>
        </w:rPr>
        <w:t xml:space="preserve">an </w:t>
      </w:r>
      <w:r w:rsidR="00CA74E7" w:rsidRPr="00C223AB">
        <w:rPr>
          <w:rFonts w:ascii="Arial" w:hAnsi="Arial" w:cs="Arial"/>
        </w:rPr>
        <w:t xml:space="preserve">antisense </w:t>
      </w:r>
      <w:r w:rsidR="00636C40" w:rsidRPr="00C223AB">
        <w:rPr>
          <w:rFonts w:ascii="Arial" w:hAnsi="Arial" w:cs="Arial"/>
        </w:rPr>
        <w:t xml:space="preserve">inhibitor of </w:t>
      </w:r>
      <w:r w:rsidR="00636C40" w:rsidRPr="00C223AB">
        <w:rPr>
          <w:rFonts w:ascii="Arial" w:hAnsi="Arial" w:cs="Arial"/>
          <w:i/>
        </w:rPr>
        <w:t>APOC3</w:t>
      </w:r>
      <w:r w:rsidR="00636C40" w:rsidRPr="00C223AB">
        <w:rPr>
          <w:rFonts w:ascii="Arial" w:hAnsi="Arial" w:cs="Arial"/>
        </w:rPr>
        <w:t xml:space="preserve"> messenger RNA </w:t>
      </w:r>
      <w:r w:rsidR="00F025FA" w:rsidRPr="00C223AB">
        <w:rPr>
          <w:rFonts w:ascii="Arial" w:hAnsi="Arial" w:cs="Arial"/>
        </w:rPr>
        <w:t xml:space="preserve">has </w:t>
      </w:r>
      <w:r w:rsidR="004567B3" w:rsidRPr="00C223AB">
        <w:rPr>
          <w:rFonts w:ascii="Arial" w:hAnsi="Arial" w:cs="Arial"/>
        </w:rPr>
        <w:t xml:space="preserve">been shown to potently reduce </w:t>
      </w:r>
      <w:r w:rsidR="00CA74E7" w:rsidRPr="00C223AB">
        <w:rPr>
          <w:rFonts w:ascii="Arial" w:hAnsi="Arial" w:cs="Arial"/>
        </w:rPr>
        <w:t xml:space="preserve">both </w:t>
      </w:r>
      <w:r w:rsidR="001703C7" w:rsidRPr="00C223AB">
        <w:rPr>
          <w:rFonts w:ascii="Arial" w:hAnsi="Arial" w:cs="Arial"/>
        </w:rPr>
        <w:t xml:space="preserve">plasma </w:t>
      </w:r>
      <w:r w:rsidR="002C7052" w:rsidRPr="00C223AB">
        <w:rPr>
          <w:rFonts w:ascii="Arial" w:hAnsi="Arial" w:cs="Arial"/>
        </w:rPr>
        <w:t>apoC-III</w:t>
      </w:r>
      <w:r w:rsidR="004567B3" w:rsidRPr="00C223AB">
        <w:rPr>
          <w:rFonts w:ascii="Arial" w:hAnsi="Arial" w:cs="Arial"/>
        </w:rPr>
        <w:t xml:space="preserve"> and TG levels.</w:t>
      </w:r>
      <w:r w:rsidR="0049772C" w:rsidRPr="00C223AB">
        <w:rPr>
          <w:rFonts w:ascii="Arial" w:hAnsi="Arial" w:cs="Arial"/>
        </w:rPr>
        <w:fldChar w:fldCharType="begin" w:fldLock="1"/>
      </w:r>
      <w:r w:rsidR="00493189" w:rsidRPr="00C223AB">
        <w:rPr>
          <w:rFonts w:ascii="Arial" w:hAnsi="Arial" w:cs="Arial"/>
        </w:rPr>
        <w:instrText>ADDIN CSL_CITATION { "citationItems" : [ { "id" : "ITEM-1", "itemData" : { "DOI" : "10.1056/NEJMoa1400283", "ISSN" : "1533-4406", "PMID" : "26222559", "abstract" : "BACKGROUND Apolipoprotein C-III (APOC3) is a key regulator of plasma triglyceride levels. Elevated triglyceride levels are associated with a risk of adverse cardiovascular events and pancreatitis. ISIS 304801 is a second-generation antisense inhibitor of APOC3 synthesis. METHODS We conducted a randomized, double-blind, placebo-controlled, dose-ranging, phase 2 study to evaluate ISIS 304801 in untreated patients with fasting triglyceride levels between 350 mg per deciliter (4.0 mmol per liter) and 2000 mg per deciliter (22.6 mmol per liter) (ISIS 304801 monotherapy cohort), as well as in patients receiving stable fibrate therapy who had fasting triglyceride levels between 225 mg per deciliter (2.5 mmol per liter) and 2000 mg per deciliter (ISIS 304801-fibrate cohort). Eligible patients were randomly assigned to receive either ISIS 304801, at doses ranging from 100 to 300 mg, or placebo, once weekly for 13 weeks. The primary outcome was the percentage change in APOC3 level from baseline. RESULTS A total of 57 patients were treated in the ISIS 304801 monotherapy cohort (41 received active agent, and 16 received placebo), and 28 patients were treated in the ISIS 304801-fibrate cohort (20 received active agent, and 8 received placebo). The mean (\u00b1SD) baseline triglyceride levels in the two cohorts were 581\u00b1291 mg per deciliter (6.6\u00b13.3 mmol per liter) and 376\u00b1188 mg per deciliter (4.2\u00b12.1 mmol per liter), respectively. Treatment with ISIS 304801 resulted in dose-dependent and prolonged decreases in plasma APOC3 levels when the drug was administered as a single agent (decreases of 40.0\u00b132.0% in the 100-mg group, 63.8\u00b122.3% in the 200-mg group, and 79.6\u00b19.3% in the 300-mg group, vs. an increase of 4.2\u00b141.7% in the placebo group) and when it was administered as an add-on to fibrates (decreases of 60.2\u00b112.5% in the 200-mg group and 70.9\u00b113.0% in the 300-mg group, vs. a decrease of 2.2\u00b125.2% in the placebo group). Concordant reductions of 31.3 to 70.9% were observed in triglyceride levels. No safety concerns were identified in this short-term study. CONCLUSIONS We found that treatment with ISIS 304801 was associated with significant lowering of triglyceride levels, among patients with a broad range of baseline levels, through selective antisense inhibition of APOC3 synthesis. (Funded by Isis Pharmaceuticals; ClinicalTrials.gov number, NCT01529424.).", "author" : [ { "dropping-particle" : "", "family" : "Gaudet", "given" : "Daniel", "non-dropping-particle" : "", "parse-names" : false, "suffix" : "" }, { "dropping-particle" : "", "family" : "Alexander", "given" : "Veronica J", "non-dropping-particle" : "", "parse-names" : false, "suffix" : "" }, { "dropping-particle" : "", "family" : "Baker", "given" : "Brenda F", "non-dropping-particle" : "", "parse-names" : false, "suffix" : "" }, { "dropping-particle" : "", "family" : "Brisson", "given" : "Diane", "non-dropping-particle" : "", "parse-names" : false, "suffix" : "" }, { "dropping-particle" : "", "family" : "Tremblay", "given" : "Karine", "non-dropping-particle" : "", "parse-names" : false, "suffix" : "" }, { "dropping-particle" : "", "family" : "Singleton", "given" : "Walter", "non-dropping-particle" : "", "parse-names" : false, "suffix" : "" }, { "dropping-particle" : "", "family" : "Geary", "given" : "Richard S", "non-dropping-particle" : "", "parse-names" : false, "suffix" : "" }, { "dropping-particle" : "", "family" : "Hughes", "given" : "Steven G", "non-dropping-particle" : "", "parse-names" : false, "suffix" : "" }, { "dropping-particle" : "", "family" : "Viney", "given" : "Nicholas J", "non-dropping-particle" : "", "parse-names" : false, "suffix" : "" }, { "dropping-particle" : "", "family" : "Graham", "given" : "Mark J", "non-dropping-particle" : "", "parse-names" : false, "suffix" : "" }, { "dropping-particle" : "", "family" : "Crooke", "given" : "Rosanne M", "non-dropping-particle" : "", "parse-names" : false, "suffix" : "" }, { "dropping-particle" : "", "family" : "Witztum", "given" : "Joseph L", "non-dropping-particle" : "", "parse-names" : false, "suffix" : "" }, { "dropping-particle" : "", "family" : "Brunzell", "given" : "John D", "non-dropping-particle" : "", "parse-names" : false, "suffix" : "" }, { "dropping-particle" : "", "family" : "Kastelein", "given" : "John J P", "non-dropping-particle" : "", "parse-names" : false, "suffix" : "" } ], "container-title" : "The New England journal of medicine", "id" : "ITEM-1", "issue" : "5", "issued" : { "date-parts" : [ [ "2015", "7", "30" ] ] }, "page" : "438-47", "title" : "Antisense Inhibition of Apolipoprotein C-III in Patients with Hypertriglyceridemia.", "type" : "article-journal", "volume" : "373" }, "uris" : [ "http://www.mendeley.com/documents/?uuid=ab25afbc-4809-46f7-9cb7-75e7e42b2d52" ] }, { "id" : "ITEM-2", "itemData" : { "DOI" : "10.1056/NEJMoa1400284", "ISSN" : "1533-4406", "PMID" : "25470695", "abstract" : "The familial chylomicronemia syndrome is a genetic disorder characterized by severe hypertriglyceridemia and recurrent pancreatitis due to a deficiency in lipoprotein lipase (LPL). Currently, there are no effective therapies except for extreme restriction in the consumption of dietary fat. Apolipoprotein C-III (APOC3) is known to inhibit LPL, although there is also evidence that APOC3 increases the level of plasma triglycerides through an LPL-independent mechanism. We administered an inhibitor of APOC3 messenger RNA (mRNA), called ISIS 304801, to treat three patients with the familial chylomicronemia syndrome and triglyceride levels ranging from 1406 to 2083 mg per deciliter (15.9 to 23.5 mmol per liter). After 13 weeks of study-drug administration, plasma APOC3 levels were reduced by 71 to 90% and triglyceride levels by 56 to 86%. During the study, all patients had a triglyceride level of less than 500 mg per deciliter (5.7 mmol per liter) with treatment. These data support the role of APOC3 as a key regulator of LPL-independent pathways of triglyceride metabolism.", "author" : [ { "dropping-particle" : "", "family" : "Gaudet", "given" : "Daniel", "non-dropping-particle" : "", "parse-names" : false, "suffix" : "" }, { "dropping-particle" : "", "family" : "Brisson", "given" : "Diane", "non-dropping-particle" : "", "parse-names" : false, "suffix" : "" }, { "dropping-particle" : "", "family" : "Tremblay", "given" : "Karine", "non-dropping-particle" : "", "parse-names" : false, "suffix" : "" }, { "dropping-particle" : "", "family" : "Alexander", "given" : "Veronica J", "non-dropping-particle" : "", "parse-names" : false, "suffix" : "" }, { "dropping-particle" : "", "family" : "Singleton", "given" : "Walter", "non-dropping-particle" : "", "parse-names" : false, "suffix" : "" }, { "dropping-particle" : "", "family" : "Hughes", "given" : "Steven G", "non-dropping-particle" : "", "parse-names" : false, "suffix" : "" }, { "dropping-particle" : "", "family" : "Geary", "given" : "Richard S", "non-dropping-particle" : "", "parse-names" : false, "suffix" : "" }, { "dropping-particle" : "", "family" : "Baker", "given" : "Brenda F", "non-dropping-particle" : "", "parse-names" : false, "suffix" : "" }, { "dropping-particle" : "", "family" : "Graham", "given" : "Mark J", "non-dropping-particle" : "", "parse-names" : false, "suffix" : "" }, { "dropping-particle" : "", "family" : "Crooke", "given" : "Rosanne M", "non-dropping-particle" : "", "parse-names" : false, "suffix" : "" }, { "dropping-particle" : "", "family" : "Witztum", "given" : "Joseph L", "non-dropping-particle" : "", "parse-names" : false, "suffix" : "" } ], "container-title" : "The New England journal of medicine", "id" : "ITEM-2", "issue" : "23", "issued" : { "date-parts" : [ [ "2014", "12", "4" ] ] }, "page" : "2200-6", "title" : "Targeting APOC3 in the familial chylomicronemia syndrome.", "type" : "article-journal", "volume" : "371" }, "uris" : [ "http://www.mendeley.com/documents/?uuid=79889d57-4922-4cc2-9795-80b5332d8521" ] } ], "mendeley" : { "formattedCitation" : "&lt;sup&gt;4,5&lt;/sup&gt;", "plainTextFormattedCitation" : "4,5", "previouslyFormattedCitation" : "&lt;sup&gt;4,5&lt;/sup&gt;" }, "properties" : { "noteIndex" : 0 }, "schema" : "https://github.com/citation-style-language/schema/raw/master/csl-citation.json" }</w:instrText>
      </w:r>
      <w:r w:rsidR="0049772C" w:rsidRPr="00C223AB">
        <w:rPr>
          <w:rFonts w:ascii="Arial" w:hAnsi="Arial" w:cs="Arial"/>
        </w:rPr>
        <w:fldChar w:fldCharType="separate"/>
      </w:r>
      <w:r w:rsidR="00493189" w:rsidRPr="00C223AB">
        <w:rPr>
          <w:rFonts w:ascii="Arial" w:hAnsi="Arial" w:cs="Arial"/>
          <w:noProof/>
          <w:vertAlign w:val="superscript"/>
        </w:rPr>
        <w:t>4,5</w:t>
      </w:r>
      <w:r w:rsidR="0049772C" w:rsidRPr="00C223AB">
        <w:rPr>
          <w:rFonts w:ascii="Arial" w:hAnsi="Arial" w:cs="Arial"/>
        </w:rPr>
        <w:fldChar w:fldCharType="end"/>
      </w:r>
      <w:r w:rsidR="0049772C" w:rsidRPr="00C223AB">
        <w:rPr>
          <w:rFonts w:ascii="Arial" w:hAnsi="Arial" w:cs="Arial"/>
        </w:rPr>
        <w:t xml:space="preserve"> </w:t>
      </w:r>
      <w:r w:rsidR="004567B3" w:rsidRPr="00C223AB">
        <w:rPr>
          <w:rFonts w:ascii="Arial" w:hAnsi="Arial" w:cs="Arial"/>
        </w:rPr>
        <w:t xml:space="preserve"> </w:t>
      </w:r>
    </w:p>
    <w:p w14:paraId="4C5980F2" w14:textId="56016D2E" w:rsidR="00001525" w:rsidRPr="00C223AB" w:rsidRDefault="00905A5C" w:rsidP="00C223AB">
      <w:pPr>
        <w:ind w:firstLine="708"/>
        <w:rPr>
          <w:rFonts w:ascii="Arial" w:hAnsi="Arial" w:cs="Arial"/>
        </w:rPr>
      </w:pPr>
      <w:r w:rsidRPr="00C223AB">
        <w:rPr>
          <w:rFonts w:ascii="Arial" w:hAnsi="Arial" w:cs="Arial"/>
        </w:rPr>
        <w:t>In view of the intricate relat</w:t>
      </w:r>
      <w:r w:rsidR="00BB7996" w:rsidRPr="00C223AB">
        <w:rPr>
          <w:rFonts w:ascii="Arial" w:hAnsi="Arial" w:cs="Arial"/>
        </w:rPr>
        <w:t>ion</w:t>
      </w:r>
      <w:r w:rsidR="0075641B" w:rsidRPr="00C223AB">
        <w:rPr>
          <w:rFonts w:ascii="Arial" w:hAnsi="Arial" w:cs="Arial"/>
        </w:rPr>
        <w:t>ship</w:t>
      </w:r>
      <w:r w:rsidR="00BB7996" w:rsidRPr="00C223AB">
        <w:rPr>
          <w:rFonts w:ascii="Arial" w:hAnsi="Arial" w:cs="Arial"/>
        </w:rPr>
        <w:t xml:space="preserve"> between </w:t>
      </w:r>
      <w:r w:rsidR="002C7052" w:rsidRPr="00C223AB">
        <w:rPr>
          <w:rFonts w:ascii="Arial" w:hAnsi="Arial" w:cs="Arial"/>
        </w:rPr>
        <w:t>apoC-III</w:t>
      </w:r>
      <w:r w:rsidRPr="00C223AB">
        <w:rPr>
          <w:rFonts w:ascii="Arial" w:hAnsi="Arial" w:cs="Arial"/>
        </w:rPr>
        <w:t xml:space="preserve"> and several pro-atherogenic lipoprotein fractions</w:t>
      </w:r>
      <w:r w:rsidR="00E47310" w:rsidRPr="00C223AB">
        <w:rPr>
          <w:rFonts w:ascii="Arial" w:hAnsi="Arial" w:cs="Arial"/>
        </w:rPr>
        <w:t xml:space="preserve"> and </w:t>
      </w:r>
      <w:r w:rsidR="0036605F" w:rsidRPr="00C223AB">
        <w:rPr>
          <w:rFonts w:ascii="Arial" w:hAnsi="Arial" w:cs="Arial"/>
        </w:rPr>
        <w:t xml:space="preserve">it’s </w:t>
      </w:r>
      <w:r w:rsidR="00E47310" w:rsidRPr="00C223AB">
        <w:rPr>
          <w:rFonts w:ascii="Arial" w:hAnsi="Arial" w:cs="Arial"/>
        </w:rPr>
        <w:t>recent implication in inflammatory pathways</w:t>
      </w:r>
      <w:r w:rsidR="00837E54" w:rsidRPr="00C223AB">
        <w:rPr>
          <w:rFonts w:ascii="Arial" w:hAnsi="Arial" w:cs="Arial"/>
        </w:rPr>
        <w:t>,</w:t>
      </w:r>
      <w:r w:rsidR="007F30AD" w:rsidRPr="00C223AB">
        <w:rPr>
          <w:rFonts w:ascii="Arial" w:hAnsi="Arial" w:cs="Arial"/>
        </w:rPr>
        <w:fldChar w:fldCharType="begin" w:fldLock="1"/>
      </w:r>
      <w:r w:rsidR="006A2A45" w:rsidRPr="00C223AB">
        <w:rPr>
          <w:rFonts w:ascii="Arial" w:hAnsi="Arial" w:cs="Arial"/>
        </w:rPr>
        <w:instrText>ADDIN CSL_CITATION { "citationItems" : [ { "id" : "ITEM-1", "itemData" : { "DOI" : "10.1093/eurheartj/ehs271", "ISSN" : "1522-9645", "PMID" : "22927557", "abstract" : "AIMS Activation of vascular endothelial cells (ECs) contributes importantly to inflammation and atherogenesis. We previously reported that apolipoprotein CIII (apoCIII), found abundantly on circulating triglyceride-rich lipoproteins, enhances adhesion of human monocytes to ECs in vitro. Statins may exert lipid-independent anti-inflammatory effects. The present study examined whether statins suppress apoCIII-induced EC activation in vitro and in vivo. METHODS AND RESULTS Physiologically relevant concentrations of purified human apoCIII enhanced attachment of the monocyte-like cell line THP-1 to human saphenous vein ECs (HSVECs) or human coronary artery ECs (HCAECs) under both static and laminar shear stress conditions. This process mainly depends on vascular cell adhesion molecule-1 (VCAM-1), as a blocking VCAM-1 antibody abolished apoCIII-induced monocyte adhesion. ApoCIII significantly increased VCAM-1 expression in HSVECs and HCAECs. Pre-treatment with statins suppressed apoCIII-induced VCAM-1 expression and monocyte adhesion, with two lipophilic statins (pitavastatin and atorvastatin) exhibiting inhibitory effects at lower concentration than those of hydrophilic pravastatin. Nuclear factor \u03baB (NF-\u03baB) mediated apoCIII-induced VCAM-1 expression, as demonstrated via loss-of-function experiments, and pitavastatin treatment suppressed NF-\u03baB activation. Furthermore, in the aorta of hypercholesterolaemic Ldlr(-/-) mice, pitavastatin administration in vivo suppressed VCAM-1 mRNA and protein, induced by apoCIII bolus injection. Similarly, in a subcutaneous dorsal air pouch mouse model of leucocyte recruitment, apoCIII injection induced F4/80+ monocyte and macrophage accumulation, whereas pitavastatin administration reduced this effect. CONCLUSIONS These findings further establish the direct role of apoCIII in atherogenesis and suggest that anti-inflammatory effects of statins could improve vascular disease in the population with elevated plasma apoCIII.", "author" : [ { "dropping-particle" : "", "family" : "Zheng", "given" : "Chunyu", "non-dropping-particle" : "", "parse-names" : false, "suffix" : "" }, { "dropping-particle" : "", "family" : "Azcutia", "given" : "Veronica", "non-dropping-particle" : "", "parse-names" : false, "suffix" : "" }, { "dropping-particle" : "", "family" : "Aikawa", "given" : "Elena", "non-dropping-particle" : "", "parse-names" : false, "suffix" : "" }, { "dropping-particle" : "", "family" : "Figueiredo", "given" : "Jose-Luiz", "non-dropping-particle" : "", "parse-names" : false, "suffix" : "" }, { "dropping-particle" : "", "family" : "Croce", "given" : "Kevin", "non-dropping-particle" : "", "parse-names" : false, "suffix" : "" }, { "dropping-particle" : "", "family" : "Sonoki", "given" : "Hiroyuki", "non-dropping-particle" : "", "parse-names" : false, "suffix" : "" }, { "dropping-particle" : "", "family" : "Sacks", "given" : "Frank M", "non-dropping-particle" : "", "parse-names" : false, "suffix" : "" }, { "dropping-particle" : "", "family" : "Luscinskas", "given" : "Francis W", "non-dropping-particle" : "", "parse-names" : false, "suffix" : "" }, { "dropping-particle" : "", "family" : "Aikawa", "given" : "Masanori", "non-dropping-particle" : "", "parse-names" : false, "suffix" : "" } ], "container-title" : "European heart journal", "id" : "ITEM-1", "issue" : "8", "issued" : { "date-parts" : [ [ "2013", "2" ] ] }, "page" : "615-24", "title" : "Statins suppress apolipoprotein CIII-induced vascular endothelial cell activation and monocyte adhesion.", "type" : "article-journal", "volume" : "34" }, "uris" : [ "http://www.mendeley.com/documents/?uuid=c6996bf4-10d9-42a9-a503-d8b6beb24c03", "http://www.mendeley.com/documents/?uuid=99e7f17a-f967-4bc0-adde-97a05907ecc3" ] } ], "mendeley" : { "formattedCitation" : "&lt;sup&gt;13&lt;/sup&gt;", "plainTextFormattedCitation" : "13", "previouslyFormattedCitation" : "&lt;sup&gt;13&lt;/sup&gt;" }, "properties" : { "noteIndex" : 0 }, "schema" : "https://github.com/citation-style-language/schema/raw/master/csl-citation.json" }</w:instrText>
      </w:r>
      <w:r w:rsidR="007F30AD" w:rsidRPr="00C223AB">
        <w:rPr>
          <w:rFonts w:ascii="Arial" w:hAnsi="Arial" w:cs="Arial"/>
        </w:rPr>
        <w:fldChar w:fldCharType="separate"/>
      </w:r>
      <w:r w:rsidR="00B44858" w:rsidRPr="00C223AB">
        <w:rPr>
          <w:rFonts w:ascii="Arial" w:hAnsi="Arial" w:cs="Arial"/>
          <w:noProof/>
          <w:vertAlign w:val="superscript"/>
        </w:rPr>
        <w:t>13</w:t>
      </w:r>
      <w:r w:rsidR="007F30AD" w:rsidRPr="00C223AB">
        <w:rPr>
          <w:rFonts w:ascii="Arial" w:hAnsi="Arial" w:cs="Arial"/>
        </w:rPr>
        <w:fldChar w:fldCharType="end"/>
      </w:r>
      <w:r w:rsidR="00DC3E7A" w:rsidRPr="00C223AB">
        <w:rPr>
          <w:rFonts w:ascii="Arial" w:hAnsi="Arial" w:cs="Arial"/>
        </w:rPr>
        <w:t xml:space="preserve"> </w:t>
      </w:r>
      <w:r w:rsidRPr="00C223AB">
        <w:rPr>
          <w:rFonts w:ascii="Arial" w:hAnsi="Arial" w:cs="Arial"/>
        </w:rPr>
        <w:t>it remains to be established wh</w:t>
      </w:r>
      <w:r w:rsidR="00EE6ADB" w:rsidRPr="00C223AB">
        <w:rPr>
          <w:rFonts w:ascii="Arial" w:hAnsi="Arial" w:cs="Arial"/>
        </w:rPr>
        <w:t>ich</w:t>
      </w:r>
      <w:r w:rsidRPr="00C223AB">
        <w:rPr>
          <w:rFonts w:ascii="Arial" w:hAnsi="Arial" w:cs="Arial"/>
        </w:rPr>
        <w:t xml:space="preserve"> </w:t>
      </w:r>
      <w:r w:rsidR="00E47310" w:rsidRPr="00C223AB">
        <w:rPr>
          <w:rFonts w:ascii="Arial" w:hAnsi="Arial" w:cs="Arial"/>
        </w:rPr>
        <w:t>factors</w:t>
      </w:r>
      <w:r w:rsidRPr="00C223AB">
        <w:rPr>
          <w:rFonts w:ascii="Arial" w:hAnsi="Arial" w:cs="Arial"/>
        </w:rPr>
        <w:t xml:space="preserve"> </w:t>
      </w:r>
      <w:r w:rsidR="00DC3E7A" w:rsidRPr="00C223AB">
        <w:rPr>
          <w:rFonts w:ascii="Arial" w:hAnsi="Arial" w:cs="Arial"/>
        </w:rPr>
        <w:t xml:space="preserve">mediate </w:t>
      </w:r>
      <w:r w:rsidRPr="00C223AB">
        <w:rPr>
          <w:rFonts w:ascii="Arial" w:hAnsi="Arial" w:cs="Arial"/>
        </w:rPr>
        <w:t xml:space="preserve">the detrimental impact of </w:t>
      </w:r>
      <w:r w:rsidR="0036605F" w:rsidRPr="00C223AB">
        <w:rPr>
          <w:rFonts w:ascii="Arial" w:hAnsi="Arial" w:cs="Arial"/>
        </w:rPr>
        <w:t xml:space="preserve">elevated </w:t>
      </w:r>
      <w:r w:rsidR="002C7052" w:rsidRPr="00C223AB">
        <w:rPr>
          <w:rFonts w:ascii="Arial" w:hAnsi="Arial" w:cs="Arial"/>
        </w:rPr>
        <w:t>apoC-III</w:t>
      </w:r>
      <w:r w:rsidR="00DC3E7A" w:rsidRPr="00C223AB">
        <w:rPr>
          <w:rFonts w:ascii="Arial" w:hAnsi="Arial" w:cs="Arial"/>
        </w:rPr>
        <w:t xml:space="preserve"> on C</w:t>
      </w:r>
      <w:r w:rsidR="001F6975" w:rsidRPr="00C223AB">
        <w:rPr>
          <w:rFonts w:ascii="Arial" w:hAnsi="Arial" w:cs="Arial"/>
        </w:rPr>
        <w:t>A</w:t>
      </w:r>
      <w:r w:rsidR="00DC3E7A" w:rsidRPr="00C223AB">
        <w:rPr>
          <w:rFonts w:ascii="Arial" w:hAnsi="Arial" w:cs="Arial"/>
        </w:rPr>
        <w:t>D risk</w:t>
      </w:r>
      <w:r w:rsidRPr="00C223AB">
        <w:rPr>
          <w:rFonts w:ascii="Arial" w:hAnsi="Arial" w:cs="Arial"/>
        </w:rPr>
        <w:t>.</w:t>
      </w:r>
      <w:r w:rsidR="00E553E6" w:rsidRPr="00C223AB">
        <w:rPr>
          <w:rFonts w:ascii="Arial" w:hAnsi="Arial" w:cs="Arial"/>
        </w:rPr>
        <w:t xml:space="preserve"> </w:t>
      </w:r>
      <w:r w:rsidR="000E3795" w:rsidRPr="00C223AB">
        <w:rPr>
          <w:rFonts w:ascii="Arial" w:hAnsi="Arial" w:cs="Arial"/>
        </w:rPr>
        <w:t>Therefore,</w:t>
      </w:r>
      <w:r w:rsidR="004E5216" w:rsidRPr="00C223AB">
        <w:rPr>
          <w:rFonts w:ascii="Arial" w:hAnsi="Arial" w:cs="Arial"/>
        </w:rPr>
        <w:t xml:space="preserve"> we </w:t>
      </w:r>
      <w:r w:rsidR="00001525" w:rsidRPr="00C223AB">
        <w:rPr>
          <w:rFonts w:ascii="Arial" w:hAnsi="Arial" w:cs="Arial"/>
        </w:rPr>
        <w:t>assess</w:t>
      </w:r>
      <w:r w:rsidR="001E6BA3" w:rsidRPr="00C223AB">
        <w:rPr>
          <w:rFonts w:ascii="Arial" w:hAnsi="Arial" w:cs="Arial"/>
        </w:rPr>
        <w:t>ed</w:t>
      </w:r>
      <w:r w:rsidR="00001525" w:rsidRPr="00C223AB">
        <w:rPr>
          <w:rFonts w:ascii="Arial" w:hAnsi="Arial" w:cs="Arial"/>
        </w:rPr>
        <w:t xml:space="preserve"> the association between </w:t>
      </w:r>
      <w:r w:rsidR="002C7052" w:rsidRPr="00C223AB">
        <w:rPr>
          <w:rFonts w:ascii="Arial" w:hAnsi="Arial" w:cs="Arial"/>
        </w:rPr>
        <w:t>apoC-III</w:t>
      </w:r>
      <w:r w:rsidR="00001525" w:rsidRPr="00C223AB">
        <w:rPr>
          <w:rFonts w:ascii="Arial" w:hAnsi="Arial" w:cs="Arial"/>
        </w:rPr>
        <w:t xml:space="preserve"> levels</w:t>
      </w:r>
      <w:r w:rsidR="00FF38C8" w:rsidRPr="00C223AB">
        <w:rPr>
          <w:rFonts w:ascii="Arial" w:hAnsi="Arial" w:cs="Arial"/>
        </w:rPr>
        <w:t>,</w:t>
      </w:r>
      <w:r w:rsidR="004E5216" w:rsidRPr="00C223AB">
        <w:rPr>
          <w:rFonts w:ascii="Arial" w:hAnsi="Arial" w:cs="Arial"/>
        </w:rPr>
        <w:t xml:space="preserve"> detailed </w:t>
      </w:r>
      <w:r w:rsidR="0036605F" w:rsidRPr="00C223AB">
        <w:rPr>
          <w:rFonts w:ascii="Arial" w:hAnsi="Arial" w:cs="Arial"/>
        </w:rPr>
        <w:t>lipoprotein analyses</w:t>
      </w:r>
      <w:r w:rsidR="007C00CA" w:rsidRPr="00C223AB">
        <w:rPr>
          <w:rFonts w:ascii="Arial" w:hAnsi="Arial" w:cs="Arial"/>
        </w:rPr>
        <w:t xml:space="preserve">, inflammatory markers </w:t>
      </w:r>
      <w:r w:rsidR="00001525" w:rsidRPr="00C223AB">
        <w:rPr>
          <w:rFonts w:ascii="Arial" w:hAnsi="Arial" w:cs="Arial"/>
        </w:rPr>
        <w:t xml:space="preserve">and </w:t>
      </w:r>
      <w:r w:rsidR="001F6975" w:rsidRPr="00C223AB">
        <w:rPr>
          <w:rFonts w:ascii="Arial" w:hAnsi="Arial" w:cs="Arial"/>
        </w:rPr>
        <w:t>CAD</w:t>
      </w:r>
      <w:r w:rsidR="003169D1" w:rsidRPr="00C223AB">
        <w:rPr>
          <w:rFonts w:ascii="Arial" w:hAnsi="Arial" w:cs="Arial"/>
        </w:rPr>
        <w:t xml:space="preserve"> </w:t>
      </w:r>
      <w:r w:rsidR="001F6975" w:rsidRPr="00C223AB">
        <w:rPr>
          <w:rFonts w:ascii="Arial" w:hAnsi="Arial" w:cs="Arial"/>
        </w:rPr>
        <w:t xml:space="preserve">risk </w:t>
      </w:r>
      <w:r w:rsidR="003169D1" w:rsidRPr="00C223AB">
        <w:rPr>
          <w:rFonts w:ascii="Arial" w:hAnsi="Arial" w:cs="Arial"/>
        </w:rPr>
        <w:t xml:space="preserve">in a </w:t>
      </w:r>
      <w:r w:rsidR="002C03CB" w:rsidRPr="00C223AB">
        <w:rPr>
          <w:rFonts w:ascii="Arial" w:hAnsi="Arial" w:cs="Arial"/>
        </w:rPr>
        <w:t xml:space="preserve">large </w:t>
      </w:r>
      <w:r w:rsidR="003169D1" w:rsidRPr="00C223AB">
        <w:rPr>
          <w:rFonts w:ascii="Arial" w:hAnsi="Arial" w:cs="Arial"/>
        </w:rPr>
        <w:t>p</w:t>
      </w:r>
      <w:r w:rsidR="002C03CB" w:rsidRPr="00C223AB">
        <w:rPr>
          <w:rFonts w:ascii="Arial" w:hAnsi="Arial" w:cs="Arial"/>
        </w:rPr>
        <w:t xml:space="preserve">rospective nested case-control </w:t>
      </w:r>
      <w:r w:rsidR="003169D1" w:rsidRPr="00C223AB">
        <w:rPr>
          <w:rFonts w:ascii="Arial" w:hAnsi="Arial" w:cs="Arial"/>
        </w:rPr>
        <w:t>study.</w:t>
      </w:r>
    </w:p>
    <w:p w14:paraId="6D77FB9F" w14:textId="77777777" w:rsidR="00014C49" w:rsidRPr="00C223AB" w:rsidRDefault="00014C49" w:rsidP="00C223AB">
      <w:pPr>
        <w:ind w:firstLine="708"/>
        <w:rPr>
          <w:rFonts w:ascii="Arial" w:hAnsi="Arial" w:cs="Arial"/>
        </w:rPr>
      </w:pPr>
    </w:p>
    <w:p w14:paraId="20B4B429" w14:textId="77777777" w:rsidR="00C67D5A" w:rsidRPr="00C223AB" w:rsidRDefault="00DB5A02" w:rsidP="00C223AB">
      <w:pPr>
        <w:rPr>
          <w:rFonts w:ascii="Arial" w:hAnsi="Arial" w:cs="Arial"/>
          <w:b/>
        </w:rPr>
      </w:pPr>
      <w:r w:rsidRPr="00C223AB">
        <w:rPr>
          <w:rFonts w:ascii="Arial" w:hAnsi="Arial" w:cs="Arial"/>
          <w:b/>
        </w:rPr>
        <w:t>Material and Methods</w:t>
      </w:r>
    </w:p>
    <w:p w14:paraId="560DF00A" w14:textId="3FCB9FFA" w:rsidR="00730717" w:rsidRPr="00C223AB" w:rsidRDefault="00730717" w:rsidP="00C223AB">
      <w:pPr>
        <w:rPr>
          <w:rFonts w:ascii="Arial" w:hAnsi="Arial" w:cs="Arial"/>
        </w:rPr>
      </w:pPr>
      <w:r w:rsidRPr="00C223AB">
        <w:rPr>
          <w:rFonts w:ascii="Arial" w:hAnsi="Arial" w:cs="Arial"/>
        </w:rPr>
        <w:t xml:space="preserve">Materials and Methods are available in the online-only </w:t>
      </w:r>
      <w:r w:rsidRPr="00EC4623">
        <w:rPr>
          <w:rFonts w:ascii="Arial" w:hAnsi="Arial" w:cs="Arial"/>
        </w:rPr>
        <w:t>Data Supplement</w:t>
      </w:r>
      <w:r w:rsidRPr="00C223AB">
        <w:rPr>
          <w:rFonts w:ascii="Arial" w:hAnsi="Arial" w:cs="Arial"/>
        </w:rPr>
        <w:t>.</w:t>
      </w:r>
    </w:p>
    <w:p w14:paraId="72ECBAE5" w14:textId="77777777" w:rsidR="002B24ED" w:rsidRPr="00C223AB" w:rsidRDefault="002B24ED" w:rsidP="00C223AB">
      <w:pPr>
        <w:rPr>
          <w:rFonts w:ascii="Arial" w:hAnsi="Arial" w:cs="Arial"/>
          <w:b/>
        </w:rPr>
      </w:pPr>
    </w:p>
    <w:p w14:paraId="3417C374" w14:textId="77777777" w:rsidR="00615EB2" w:rsidRPr="00C223AB" w:rsidRDefault="009E15BA" w:rsidP="00C223AB">
      <w:pPr>
        <w:rPr>
          <w:rFonts w:ascii="Arial" w:hAnsi="Arial" w:cs="Arial"/>
          <w:b/>
        </w:rPr>
      </w:pPr>
      <w:r w:rsidRPr="00C223AB">
        <w:rPr>
          <w:rFonts w:ascii="Arial" w:hAnsi="Arial" w:cs="Arial"/>
          <w:b/>
        </w:rPr>
        <w:t>Results</w:t>
      </w:r>
    </w:p>
    <w:p w14:paraId="0EB1F95C" w14:textId="3C5F5769" w:rsidR="003619A6" w:rsidRPr="00C223AB" w:rsidRDefault="00B522C0" w:rsidP="00C223AB">
      <w:pPr>
        <w:ind w:firstLine="708"/>
        <w:rPr>
          <w:rFonts w:ascii="Arial" w:hAnsi="Arial" w:cs="Arial"/>
          <w:b/>
        </w:rPr>
      </w:pPr>
      <w:r w:rsidRPr="00C223AB">
        <w:rPr>
          <w:rFonts w:ascii="Arial" w:hAnsi="Arial" w:cs="Arial"/>
        </w:rPr>
        <w:t xml:space="preserve">Plasma </w:t>
      </w:r>
      <w:r w:rsidR="002C7052" w:rsidRPr="00C223AB">
        <w:rPr>
          <w:rFonts w:ascii="Arial" w:hAnsi="Arial" w:cs="Arial"/>
        </w:rPr>
        <w:t>apoC-III</w:t>
      </w:r>
      <w:r w:rsidR="000E0AD2" w:rsidRPr="00C223AB">
        <w:rPr>
          <w:rFonts w:ascii="Arial" w:hAnsi="Arial" w:cs="Arial"/>
        </w:rPr>
        <w:t xml:space="preserve"> measurement</w:t>
      </w:r>
      <w:r w:rsidR="00931764" w:rsidRPr="00C223AB">
        <w:rPr>
          <w:rFonts w:ascii="Arial" w:hAnsi="Arial" w:cs="Arial"/>
        </w:rPr>
        <w:t>s were available for</w:t>
      </w:r>
      <w:r w:rsidR="00EA202F" w:rsidRPr="00C223AB">
        <w:rPr>
          <w:rFonts w:ascii="Arial" w:hAnsi="Arial" w:cs="Arial"/>
        </w:rPr>
        <w:t xml:space="preserve"> 2</w:t>
      </w:r>
      <w:r w:rsidR="0016139A" w:rsidRPr="00C223AB">
        <w:rPr>
          <w:rFonts w:ascii="Arial" w:hAnsi="Arial" w:cs="Arial"/>
        </w:rPr>
        <w:t>,</w:t>
      </w:r>
      <w:r w:rsidR="003534F0" w:rsidRPr="00C223AB">
        <w:rPr>
          <w:rFonts w:ascii="Arial" w:hAnsi="Arial" w:cs="Arial"/>
        </w:rPr>
        <w:t>711</w:t>
      </w:r>
      <w:r w:rsidR="00EA202F" w:rsidRPr="00C223AB">
        <w:rPr>
          <w:rFonts w:ascii="Arial" w:hAnsi="Arial" w:cs="Arial"/>
        </w:rPr>
        <w:t xml:space="preserve"> participants</w:t>
      </w:r>
      <w:r w:rsidR="00F7739D" w:rsidRPr="00C223AB">
        <w:rPr>
          <w:rFonts w:ascii="Arial" w:hAnsi="Arial" w:cs="Arial"/>
        </w:rPr>
        <w:t xml:space="preserve">; </w:t>
      </w:r>
      <w:r w:rsidR="00C829BF" w:rsidRPr="00C223AB">
        <w:rPr>
          <w:rFonts w:ascii="Arial" w:hAnsi="Arial" w:cs="Arial"/>
        </w:rPr>
        <w:t>832</w:t>
      </w:r>
      <w:r w:rsidR="00F7739D" w:rsidRPr="00C223AB">
        <w:rPr>
          <w:rFonts w:ascii="Arial" w:hAnsi="Arial" w:cs="Arial"/>
        </w:rPr>
        <w:t xml:space="preserve"> cases and </w:t>
      </w:r>
      <w:r w:rsidR="00C829BF" w:rsidRPr="00C223AB">
        <w:rPr>
          <w:rFonts w:ascii="Arial" w:hAnsi="Arial" w:cs="Arial"/>
        </w:rPr>
        <w:t>1</w:t>
      </w:r>
      <w:r w:rsidR="007F2221" w:rsidRPr="00C223AB">
        <w:rPr>
          <w:rFonts w:ascii="Arial" w:hAnsi="Arial" w:cs="Arial"/>
        </w:rPr>
        <w:t>,</w:t>
      </w:r>
      <w:r w:rsidR="00C829BF" w:rsidRPr="00C223AB">
        <w:rPr>
          <w:rFonts w:ascii="Arial" w:hAnsi="Arial" w:cs="Arial"/>
        </w:rPr>
        <w:t>879</w:t>
      </w:r>
      <w:r w:rsidR="00F7739D" w:rsidRPr="00C223AB">
        <w:rPr>
          <w:rFonts w:ascii="Arial" w:hAnsi="Arial" w:cs="Arial"/>
        </w:rPr>
        <w:t xml:space="preserve"> controls</w:t>
      </w:r>
      <w:r w:rsidR="00EA202F" w:rsidRPr="00C223AB">
        <w:rPr>
          <w:rFonts w:ascii="Arial" w:hAnsi="Arial" w:cs="Arial"/>
        </w:rPr>
        <w:t xml:space="preserve">. </w:t>
      </w:r>
      <w:r w:rsidR="0016139A" w:rsidRPr="00C223AB">
        <w:rPr>
          <w:rFonts w:ascii="Arial" w:hAnsi="Arial" w:cs="Arial"/>
        </w:rPr>
        <w:t>B</w:t>
      </w:r>
      <w:r w:rsidR="00F416F5" w:rsidRPr="00C223AB">
        <w:rPr>
          <w:rFonts w:ascii="Arial" w:hAnsi="Arial" w:cs="Arial"/>
        </w:rPr>
        <w:t xml:space="preserve">aseline characteristics for CAD cases and controls are </w:t>
      </w:r>
      <w:r w:rsidR="005D1E58" w:rsidRPr="00C223AB">
        <w:rPr>
          <w:rFonts w:ascii="Arial" w:hAnsi="Arial" w:cs="Arial"/>
        </w:rPr>
        <w:t xml:space="preserve">listed </w:t>
      </w:r>
      <w:r w:rsidR="00F416F5" w:rsidRPr="00C223AB">
        <w:rPr>
          <w:rFonts w:ascii="Arial" w:hAnsi="Arial" w:cs="Arial"/>
        </w:rPr>
        <w:t xml:space="preserve">in </w:t>
      </w:r>
      <w:r w:rsidR="00630E33" w:rsidRPr="00C223AB">
        <w:rPr>
          <w:rFonts w:ascii="Arial" w:hAnsi="Arial" w:cs="Arial"/>
          <w:b/>
        </w:rPr>
        <w:t xml:space="preserve">Table </w:t>
      </w:r>
      <w:r w:rsidR="006F113D" w:rsidRPr="00C223AB">
        <w:rPr>
          <w:rFonts w:ascii="Arial" w:hAnsi="Arial" w:cs="Arial"/>
          <w:b/>
        </w:rPr>
        <w:t>1</w:t>
      </w:r>
      <w:r w:rsidR="00F416F5" w:rsidRPr="00C223AB">
        <w:rPr>
          <w:rFonts w:ascii="Arial" w:hAnsi="Arial" w:cs="Arial"/>
          <w:b/>
        </w:rPr>
        <w:t>.</w:t>
      </w:r>
      <w:r w:rsidR="00F416F5" w:rsidRPr="00C223AB">
        <w:rPr>
          <w:rFonts w:ascii="Arial" w:hAnsi="Arial" w:cs="Arial"/>
        </w:rPr>
        <w:t xml:space="preserve"> </w:t>
      </w:r>
      <w:r w:rsidR="003540F2" w:rsidRPr="00C223AB">
        <w:rPr>
          <w:rFonts w:ascii="Arial" w:hAnsi="Arial" w:cs="Arial"/>
        </w:rPr>
        <w:t>Despite partial loss of matching</w:t>
      </w:r>
      <w:r w:rsidR="00A038E5" w:rsidRPr="00C223AB">
        <w:rPr>
          <w:rFonts w:ascii="Arial" w:hAnsi="Arial" w:cs="Arial"/>
        </w:rPr>
        <w:t xml:space="preserve"> due to plasma sample availability</w:t>
      </w:r>
      <w:r w:rsidR="003540F2" w:rsidRPr="00C223AB">
        <w:rPr>
          <w:rFonts w:ascii="Arial" w:hAnsi="Arial" w:cs="Arial"/>
        </w:rPr>
        <w:t>, a</w:t>
      </w:r>
      <w:r w:rsidR="009931AB" w:rsidRPr="00C223AB">
        <w:rPr>
          <w:rFonts w:ascii="Arial" w:hAnsi="Arial" w:cs="Arial"/>
        </w:rPr>
        <w:t xml:space="preserve">ge and </w:t>
      </w:r>
      <w:r w:rsidR="005726AC" w:rsidRPr="00C223AB">
        <w:rPr>
          <w:rFonts w:ascii="Arial" w:hAnsi="Arial" w:cs="Arial"/>
        </w:rPr>
        <w:t>sex</w:t>
      </w:r>
      <w:r w:rsidR="009931AB" w:rsidRPr="00C223AB">
        <w:rPr>
          <w:rFonts w:ascii="Arial" w:hAnsi="Arial" w:cs="Arial"/>
        </w:rPr>
        <w:t xml:space="preserve"> were similar between groups</w:t>
      </w:r>
      <w:r w:rsidR="003540F2" w:rsidRPr="00C223AB">
        <w:rPr>
          <w:rFonts w:ascii="Arial" w:hAnsi="Arial" w:cs="Arial"/>
        </w:rPr>
        <w:t>.</w:t>
      </w:r>
      <w:r w:rsidR="006D3FF5" w:rsidRPr="00C223AB">
        <w:rPr>
          <w:rFonts w:ascii="Arial" w:hAnsi="Arial" w:cs="Arial"/>
        </w:rPr>
        <w:t xml:space="preserve"> </w:t>
      </w:r>
      <w:r w:rsidR="00C11E84" w:rsidRPr="00C223AB">
        <w:rPr>
          <w:rFonts w:ascii="Arial" w:hAnsi="Arial" w:cs="Arial"/>
        </w:rPr>
        <w:t>T</w:t>
      </w:r>
      <w:r w:rsidR="008C6E3D" w:rsidRPr="00C223AB">
        <w:rPr>
          <w:rFonts w:ascii="Arial" w:hAnsi="Arial" w:cs="Arial"/>
        </w:rPr>
        <w:t>he prevalence of t</w:t>
      </w:r>
      <w:r w:rsidR="00C11E84" w:rsidRPr="00C223AB">
        <w:rPr>
          <w:rFonts w:ascii="Arial" w:hAnsi="Arial" w:cs="Arial"/>
        </w:rPr>
        <w:t>raditional cardiovascular risk factors w</w:t>
      </w:r>
      <w:r w:rsidR="005726AC" w:rsidRPr="00C223AB">
        <w:rPr>
          <w:rFonts w:ascii="Arial" w:hAnsi="Arial" w:cs="Arial"/>
        </w:rPr>
        <w:t>as</w:t>
      </w:r>
      <w:r w:rsidR="00C11E84" w:rsidRPr="00C223AB">
        <w:rPr>
          <w:rFonts w:ascii="Arial" w:hAnsi="Arial" w:cs="Arial"/>
        </w:rPr>
        <w:t xml:space="preserve"> </w:t>
      </w:r>
      <w:r w:rsidR="008C6E3D" w:rsidRPr="00C223AB">
        <w:rPr>
          <w:rFonts w:ascii="Arial" w:hAnsi="Arial" w:cs="Arial"/>
        </w:rPr>
        <w:t>higher</w:t>
      </w:r>
      <w:r w:rsidR="00C11E84" w:rsidRPr="00C223AB">
        <w:rPr>
          <w:rFonts w:ascii="Arial" w:hAnsi="Arial" w:cs="Arial"/>
        </w:rPr>
        <w:t xml:space="preserve"> in cases compared to controls: </w:t>
      </w:r>
      <w:r w:rsidR="006D3FF5" w:rsidRPr="00C223AB">
        <w:rPr>
          <w:rFonts w:ascii="Arial" w:hAnsi="Arial" w:cs="Arial"/>
        </w:rPr>
        <w:t xml:space="preserve">more active smokers, higher </w:t>
      </w:r>
      <w:r w:rsidR="00C11E84" w:rsidRPr="00C223AB">
        <w:rPr>
          <w:rFonts w:ascii="Arial" w:hAnsi="Arial" w:cs="Arial"/>
        </w:rPr>
        <w:t>BMI</w:t>
      </w:r>
      <w:r w:rsidR="009D40FA" w:rsidRPr="00C223AB">
        <w:rPr>
          <w:rFonts w:ascii="Arial" w:hAnsi="Arial" w:cs="Arial"/>
        </w:rPr>
        <w:t>,</w:t>
      </w:r>
      <w:r w:rsidR="00C11E84" w:rsidRPr="00C223AB">
        <w:rPr>
          <w:rFonts w:ascii="Arial" w:hAnsi="Arial" w:cs="Arial"/>
        </w:rPr>
        <w:t xml:space="preserve"> </w:t>
      </w:r>
      <w:r w:rsidR="006D3FF5" w:rsidRPr="00C223AB">
        <w:rPr>
          <w:rFonts w:ascii="Arial" w:hAnsi="Arial" w:cs="Arial"/>
        </w:rPr>
        <w:t xml:space="preserve">elevated </w:t>
      </w:r>
      <w:r w:rsidR="00C11E84" w:rsidRPr="00C223AB">
        <w:rPr>
          <w:rFonts w:ascii="Arial" w:hAnsi="Arial" w:cs="Arial"/>
        </w:rPr>
        <w:t>blood pressure</w:t>
      </w:r>
      <w:r w:rsidR="009D40FA" w:rsidRPr="00C223AB">
        <w:rPr>
          <w:rFonts w:ascii="Arial" w:hAnsi="Arial" w:cs="Arial"/>
        </w:rPr>
        <w:t>,</w:t>
      </w:r>
      <w:r w:rsidR="00C11E84" w:rsidRPr="00C223AB">
        <w:rPr>
          <w:rFonts w:ascii="Arial" w:hAnsi="Arial" w:cs="Arial"/>
        </w:rPr>
        <w:t xml:space="preserve"> total cholesterol</w:t>
      </w:r>
      <w:r w:rsidR="009D40FA" w:rsidRPr="00C223AB">
        <w:rPr>
          <w:rFonts w:ascii="Arial" w:hAnsi="Arial" w:cs="Arial"/>
        </w:rPr>
        <w:t>,</w:t>
      </w:r>
      <w:r w:rsidR="00C11E84" w:rsidRPr="00C223AB">
        <w:rPr>
          <w:rFonts w:ascii="Arial" w:hAnsi="Arial" w:cs="Arial"/>
        </w:rPr>
        <w:t xml:space="preserve"> LDL</w:t>
      </w:r>
      <w:r w:rsidR="006D3FF5" w:rsidRPr="00C223AB">
        <w:rPr>
          <w:rFonts w:ascii="Arial" w:hAnsi="Arial" w:cs="Arial"/>
        </w:rPr>
        <w:t>-</w:t>
      </w:r>
      <w:r w:rsidR="000A2B3C" w:rsidRPr="00C223AB">
        <w:rPr>
          <w:rFonts w:ascii="Arial" w:hAnsi="Arial" w:cs="Arial"/>
        </w:rPr>
        <w:t>C</w:t>
      </w:r>
      <w:r w:rsidR="006D3FF5" w:rsidRPr="00C223AB">
        <w:rPr>
          <w:rFonts w:ascii="Arial" w:hAnsi="Arial" w:cs="Arial"/>
        </w:rPr>
        <w:t>,</w:t>
      </w:r>
      <w:r w:rsidR="000A2B3C" w:rsidRPr="00C223AB">
        <w:rPr>
          <w:rFonts w:ascii="Arial" w:hAnsi="Arial" w:cs="Arial"/>
        </w:rPr>
        <w:t xml:space="preserve"> triglycerides</w:t>
      </w:r>
      <w:r w:rsidR="006D3FF5" w:rsidRPr="00C223AB">
        <w:rPr>
          <w:rFonts w:ascii="Arial" w:hAnsi="Arial" w:cs="Arial"/>
        </w:rPr>
        <w:t xml:space="preserve"> and apoB</w:t>
      </w:r>
      <w:r w:rsidR="00B95482" w:rsidRPr="00C223AB">
        <w:rPr>
          <w:rFonts w:ascii="Arial" w:hAnsi="Arial" w:cs="Arial"/>
        </w:rPr>
        <w:t xml:space="preserve"> levels</w:t>
      </w:r>
      <w:r w:rsidR="006D3FF5" w:rsidRPr="00C223AB">
        <w:rPr>
          <w:rFonts w:ascii="Arial" w:hAnsi="Arial" w:cs="Arial"/>
        </w:rPr>
        <w:t>, whereas</w:t>
      </w:r>
      <w:r w:rsidR="000A2B3C" w:rsidRPr="00C223AB">
        <w:rPr>
          <w:rFonts w:ascii="Arial" w:hAnsi="Arial" w:cs="Arial"/>
        </w:rPr>
        <w:t xml:space="preserve"> HDL</w:t>
      </w:r>
      <w:r w:rsidR="006D3FF5" w:rsidRPr="00C223AB">
        <w:rPr>
          <w:rFonts w:ascii="Arial" w:hAnsi="Arial" w:cs="Arial"/>
        </w:rPr>
        <w:t>-</w:t>
      </w:r>
      <w:r w:rsidR="000A2B3C" w:rsidRPr="00C223AB">
        <w:rPr>
          <w:rFonts w:ascii="Arial" w:hAnsi="Arial" w:cs="Arial"/>
        </w:rPr>
        <w:t xml:space="preserve">C </w:t>
      </w:r>
      <w:r w:rsidR="006D3FF5" w:rsidRPr="00C223AB">
        <w:rPr>
          <w:rFonts w:ascii="Arial" w:hAnsi="Arial" w:cs="Arial"/>
        </w:rPr>
        <w:t>and apoA</w:t>
      </w:r>
      <w:r w:rsidR="00C11E84" w:rsidRPr="00C223AB">
        <w:rPr>
          <w:rFonts w:ascii="Arial" w:hAnsi="Arial" w:cs="Arial"/>
        </w:rPr>
        <w:t>-</w:t>
      </w:r>
      <w:r w:rsidR="006D3FF5" w:rsidRPr="00C223AB">
        <w:rPr>
          <w:rFonts w:ascii="Arial" w:hAnsi="Arial" w:cs="Arial"/>
        </w:rPr>
        <w:t xml:space="preserve">I </w:t>
      </w:r>
      <w:r w:rsidR="00B95482" w:rsidRPr="00C223AB">
        <w:rPr>
          <w:rFonts w:ascii="Arial" w:hAnsi="Arial" w:cs="Arial"/>
        </w:rPr>
        <w:t xml:space="preserve">levels </w:t>
      </w:r>
      <w:r w:rsidR="006D3FF5" w:rsidRPr="00C223AB">
        <w:rPr>
          <w:rFonts w:ascii="Arial" w:hAnsi="Arial" w:cs="Arial"/>
        </w:rPr>
        <w:t>were</w:t>
      </w:r>
      <w:r w:rsidR="00C11E84" w:rsidRPr="00C223AB">
        <w:rPr>
          <w:rFonts w:ascii="Arial" w:hAnsi="Arial" w:cs="Arial"/>
        </w:rPr>
        <w:t xml:space="preserve"> lower</w:t>
      </w:r>
      <w:r w:rsidR="007C4DC9" w:rsidRPr="00C223AB">
        <w:rPr>
          <w:rFonts w:ascii="Arial" w:hAnsi="Arial" w:cs="Arial"/>
        </w:rPr>
        <w:t xml:space="preserve"> in cases</w:t>
      </w:r>
      <w:r w:rsidR="00C11E84" w:rsidRPr="00C223AB">
        <w:rPr>
          <w:rFonts w:ascii="Arial" w:hAnsi="Arial" w:cs="Arial"/>
        </w:rPr>
        <w:t xml:space="preserve">. </w:t>
      </w:r>
      <w:r w:rsidR="00CE5047" w:rsidRPr="00C223AB">
        <w:rPr>
          <w:rFonts w:ascii="Arial" w:hAnsi="Arial" w:cs="Arial"/>
        </w:rPr>
        <w:t>A</w:t>
      </w:r>
      <w:r w:rsidR="002C7052" w:rsidRPr="00C223AB">
        <w:rPr>
          <w:rFonts w:ascii="Arial" w:hAnsi="Arial" w:cs="Arial"/>
        </w:rPr>
        <w:t>poC-III</w:t>
      </w:r>
      <w:r w:rsidR="00C11E84" w:rsidRPr="00C223AB">
        <w:rPr>
          <w:rFonts w:ascii="Arial" w:hAnsi="Arial" w:cs="Arial"/>
        </w:rPr>
        <w:t xml:space="preserve"> levels were </w:t>
      </w:r>
      <w:r w:rsidR="00A038E5" w:rsidRPr="00C223AB">
        <w:rPr>
          <w:rFonts w:ascii="Arial" w:hAnsi="Arial" w:cs="Arial"/>
        </w:rPr>
        <w:t xml:space="preserve">indeed </w:t>
      </w:r>
      <w:r w:rsidR="00C11E84" w:rsidRPr="00C223AB">
        <w:rPr>
          <w:rFonts w:ascii="Arial" w:hAnsi="Arial" w:cs="Arial"/>
        </w:rPr>
        <w:t xml:space="preserve">higher in cases compared to controls. </w:t>
      </w:r>
      <w:r w:rsidR="00A55672" w:rsidRPr="00C223AB">
        <w:rPr>
          <w:rFonts w:ascii="Arial" w:hAnsi="Arial" w:cs="Arial"/>
          <w:b/>
        </w:rPr>
        <w:t>Figure</w:t>
      </w:r>
      <w:r w:rsidR="00B04A37" w:rsidRPr="00C223AB">
        <w:rPr>
          <w:rFonts w:ascii="Arial" w:hAnsi="Arial" w:cs="Arial"/>
          <w:b/>
        </w:rPr>
        <w:t xml:space="preserve"> </w:t>
      </w:r>
      <w:r w:rsidR="00DB071D" w:rsidRPr="00C223AB">
        <w:rPr>
          <w:rFonts w:ascii="Arial" w:hAnsi="Arial" w:cs="Arial"/>
          <w:b/>
        </w:rPr>
        <w:t>1</w:t>
      </w:r>
      <w:r w:rsidR="006F113D" w:rsidRPr="00C223AB">
        <w:rPr>
          <w:rFonts w:ascii="Arial" w:hAnsi="Arial" w:cs="Arial"/>
        </w:rPr>
        <w:t xml:space="preserve"> shows the distribution of</w:t>
      </w:r>
      <w:r w:rsidR="00DB071D" w:rsidRPr="00C223AB">
        <w:rPr>
          <w:rFonts w:ascii="Arial" w:hAnsi="Arial" w:cs="Arial"/>
        </w:rPr>
        <w:t xml:space="preserve"> apoC-III and </w:t>
      </w:r>
      <w:r w:rsidR="00F872AB" w:rsidRPr="00C223AB">
        <w:rPr>
          <w:rFonts w:ascii="Arial" w:hAnsi="Arial" w:cs="Arial"/>
        </w:rPr>
        <w:t>triglyceride levels</w:t>
      </w:r>
      <w:r w:rsidR="00DB071D" w:rsidRPr="00C223AB">
        <w:rPr>
          <w:rFonts w:ascii="Arial" w:hAnsi="Arial" w:cs="Arial"/>
        </w:rPr>
        <w:t xml:space="preserve"> </w:t>
      </w:r>
      <w:r w:rsidR="006F113D" w:rsidRPr="00C223AB">
        <w:rPr>
          <w:rFonts w:ascii="Arial" w:hAnsi="Arial" w:cs="Arial"/>
        </w:rPr>
        <w:t xml:space="preserve">among cases and </w:t>
      </w:r>
      <w:r w:rsidR="00991F34" w:rsidRPr="00C223AB">
        <w:rPr>
          <w:rFonts w:ascii="Arial" w:hAnsi="Arial" w:cs="Arial"/>
        </w:rPr>
        <w:t xml:space="preserve">controls, showing a shifted </w:t>
      </w:r>
      <w:r w:rsidR="006F113D" w:rsidRPr="00C223AB">
        <w:rPr>
          <w:rFonts w:ascii="Arial" w:hAnsi="Arial" w:cs="Arial"/>
        </w:rPr>
        <w:t xml:space="preserve">distribution towards higher apoC-III and </w:t>
      </w:r>
      <w:r w:rsidR="00F872AB" w:rsidRPr="00C223AB">
        <w:rPr>
          <w:rFonts w:ascii="Arial" w:hAnsi="Arial" w:cs="Arial"/>
        </w:rPr>
        <w:t>triglyceride</w:t>
      </w:r>
      <w:r w:rsidR="006F113D" w:rsidRPr="00C223AB">
        <w:rPr>
          <w:rFonts w:ascii="Arial" w:hAnsi="Arial" w:cs="Arial"/>
        </w:rPr>
        <w:t xml:space="preserve"> </w:t>
      </w:r>
      <w:r w:rsidR="00931764" w:rsidRPr="00C223AB">
        <w:rPr>
          <w:rFonts w:ascii="Arial" w:hAnsi="Arial" w:cs="Arial"/>
        </w:rPr>
        <w:t>levels among</w:t>
      </w:r>
      <w:r w:rsidR="006F113D" w:rsidRPr="00C223AB">
        <w:rPr>
          <w:rFonts w:ascii="Arial" w:hAnsi="Arial" w:cs="Arial"/>
        </w:rPr>
        <w:t xml:space="preserve"> cases. </w:t>
      </w:r>
    </w:p>
    <w:p w14:paraId="34DD3390" w14:textId="2081FA61" w:rsidR="008174C5" w:rsidRPr="00C223AB" w:rsidRDefault="006F113D" w:rsidP="00C223AB">
      <w:pPr>
        <w:ind w:firstLine="708"/>
        <w:rPr>
          <w:rFonts w:ascii="Arial" w:hAnsi="Arial" w:cs="Arial"/>
        </w:rPr>
      </w:pPr>
      <w:r w:rsidRPr="00C223AB">
        <w:rPr>
          <w:rFonts w:ascii="Arial" w:hAnsi="Arial" w:cs="Arial"/>
          <w:b/>
        </w:rPr>
        <w:t>Table 2</w:t>
      </w:r>
      <w:r w:rsidR="0093399B" w:rsidRPr="00C223AB">
        <w:rPr>
          <w:rFonts w:ascii="Arial" w:hAnsi="Arial" w:cs="Arial"/>
          <w:b/>
        </w:rPr>
        <w:t xml:space="preserve"> and Supplemental Table </w:t>
      </w:r>
      <w:r w:rsidR="000A2EEF" w:rsidRPr="00C223AB">
        <w:rPr>
          <w:rFonts w:ascii="Arial" w:hAnsi="Arial" w:cs="Arial"/>
          <w:b/>
        </w:rPr>
        <w:t>I</w:t>
      </w:r>
      <w:r w:rsidR="0093399B" w:rsidRPr="00C223AB">
        <w:rPr>
          <w:rFonts w:ascii="Arial" w:hAnsi="Arial" w:cs="Arial"/>
        </w:rPr>
        <w:t xml:space="preserve"> show</w:t>
      </w:r>
      <w:r w:rsidRPr="00C223AB">
        <w:rPr>
          <w:rFonts w:ascii="Arial" w:hAnsi="Arial" w:cs="Arial"/>
        </w:rPr>
        <w:t xml:space="preserve"> baseline characteristics according to apoC-III quintiles. </w:t>
      </w:r>
      <w:r w:rsidR="009931AB" w:rsidRPr="00C223AB">
        <w:rPr>
          <w:rFonts w:ascii="Arial" w:hAnsi="Arial" w:cs="Arial"/>
        </w:rPr>
        <w:t>Age was slightly lower and there</w:t>
      </w:r>
      <w:r w:rsidRPr="00C223AB">
        <w:rPr>
          <w:rFonts w:ascii="Arial" w:hAnsi="Arial" w:cs="Arial"/>
        </w:rPr>
        <w:t xml:space="preserve"> were fewer males in the highest quintile compared to the lowest. </w:t>
      </w:r>
      <w:r w:rsidR="00643577" w:rsidRPr="00C223AB">
        <w:rPr>
          <w:rFonts w:ascii="Arial" w:hAnsi="Arial" w:cs="Arial"/>
        </w:rPr>
        <w:t xml:space="preserve">For a complete </w:t>
      </w:r>
      <w:r w:rsidR="000A2EEF" w:rsidRPr="00C223AB">
        <w:rPr>
          <w:rFonts w:ascii="Arial" w:hAnsi="Arial" w:cs="Arial"/>
        </w:rPr>
        <w:t>overview, baseline</w:t>
      </w:r>
      <w:r w:rsidR="00643577" w:rsidRPr="00C223AB">
        <w:rPr>
          <w:rFonts w:ascii="Arial" w:hAnsi="Arial" w:cs="Arial"/>
        </w:rPr>
        <w:t xml:space="preserve"> characteristics for males and females separately are provided in</w:t>
      </w:r>
      <w:r w:rsidR="000A2EEF" w:rsidRPr="00C223AB">
        <w:rPr>
          <w:rFonts w:ascii="Arial" w:hAnsi="Arial" w:cs="Arial"/>
        </w:rPr>
        <w:t xml:space="preserve"> </w:t>
      </w:r>
      <w:r w:rsidR="000A2EEF" w:rsidRPr="00C223AB">
        <w:rPr>
          <w:rFonts w:ascii="Arial" w:hAnsi="Arial" w:cs="Arial"/>
          <w:b/>
        </w:rPr>
        <w:t>S</w:t>
      </w:r>
      <w:r w:rsidR="00073EF7" w:rsidRPr="00C223AB">
        <w:rPr>
          <w:rFonts w:ascii="Arial" w:hAnsi="Arial" w:cs="Arial"/>
          <w:b/>
        </w:rPr>
        <w:t>upplemental T</w:t>
      </w:r>
      <w:r w:rsidR="00643577" w:rsidRPr="00C223AB">
        <w:rPr>
          <w:rFonts w:ascii="Arial" w:hAnsi="Arial" w:cs="Arial"/>
          <w:b/>
        </w:rPr>
        <w:t xml:space="preserve">able </w:t>
      </w:r>
      <w:r w:rsidR="000A2EEF" w:rsidRPr="00C223AB">
        <w:rPr>
          <w:rFonts w:ascii="Arial" w:hAnsi="Arial" w:cs="Arial"/>
          <w:b/>
        </w:rPr>
        <w:t>II and III.</w:t>
      </w:r>
      <w:r w:rsidR="00643577" w:rsidRPr="00C223AB">
        <w:rPr>
          <w:rFonts w:ascii="Arial" w:hAnsi="Arial" w:cs="Arial"/>
        </w:rPr>
        <w:t xml:space="preserve"> </w:t>
      </w:r>
      <w:r w:rsidRPr="00C223AB">
        <w:rPr>
          <w:rFonts w:ascii="Arial" w:hAnsi="Arial" w:cs="Arial"/>
        </w:rPr>
        <w:t>Higher apoC-III levels were associated with increased BMI, use of lipid-lowering drug</w:t>
      </w:r>
      <w:r w:rsidR="00DE62A2" w:rsidRPr="00C223AB">
        <w:rPr>
          <w:rFonts w:ascii="Arial" w:hAnsi="Arial" w:cs="Arial"/>
        </w:rPr>
        <w:t>s</w:t>
      </w:r>
      <w:r w:rsidRPr="00C223AB">
        <w:rPr>
          <w:rFonts w:ascii="Arial" w:hAnsi="Arial" w:cs="Arial"/>
        </w:rPr>
        <w:t xml:space="preserve">, use of anti-hypertensive drugs and increased systolic and diastolic blood pressure. </w:t>
      </w:r>
      <w:r w:rsidR="006A29DB" w:rsidRPr="00C223AB">
        <w:rPr>
          <w:rFonts w:ascii="Arial" w:hAnsi="Arial" w:cs="Arial"/>
        </w:rPr>
        <w:t xml:space="preserve"> </w:t>
      </w:r>
      <w:r w:rsidR="00F872AB" w:rsidRPr="00C223AB">
        <w:rPr>
          <w:rFonts w:ascii="Arial" w:hAnsi="Arial" w:cs="Arial"/>
        </w:rPr>
        <w:t>T</w:t>
      </w:r>
      <w:r w:rsidR="008174C5" w:rsidRPr="00C223AB">
        <w:rPr>
          <w:rFonts w:ascii="Arial" w:hAnsi="Arial" w:cs="Arial"/>
        </w:rPr>
        <w:t>riglyceride levels were most profoundly associated with apoC-III quintiles</w:t>
      </w:r>
      <w:r w:rsidR="00015425" w:rsidRPr="00C223AB">
        <w:rPr>
          <w:rFonts w:ascii="Arial" w:hAnsi="Arial" w:cs="Arial"/>
        </w:rPr>
        <w:t>.</w:t>
      </w:r>
      <w:r w:rsidR="008174C5" w:rsidRPr="00C223AB">
        <w:rPr>
          <w:rFonts w:ascii="Arial" w:hAnsi="Arial" w:cs="Arial"/>
        </w:rPr>
        <w:t xml:space="preserve"> </w:t>
      </w:r>
    </w:p>
    <w:p w14:paraId="07C667A3" w14:textId="77777777" w:rsidR="00B44858" w:rsidRPr="00C223AB" w:rsidRDefault="00B44858" w:rsidP="00C223AB">
      <w:pPr>
        <w:rPr>
          <w:rFonts w:ascii="Arial" w:hAnsi="Arial" w:cs="Arial"/>
        </w:rPr>
      </w:pPr>
    </w:p>
    <w:p w14:paraId="56FC2F1C" w14:textId="77777777" w:rsidR="00146E42" w:rsidRPr="00C223AB" w:rsidRDefault="00146E42" w:rsidP="00C223AB">
      <w:pPr>
        <w:rPr>
          <w:rFonts w:ascii="Arial" w:hAnsi="Arial" w:cs="Arial"/>
          <w:b/>
          <w:i/>
        </w:rPr>
      </w:pPr>
      <w:r w:rsidRPr="00C223AB">
        <w:rPr>
          <w:rFonts w:ascii="Arial" w:hAnsi="Arial" w:cs="Arial"/>
          <w:b/>
          <w:i/>
        </w:rPr>
        <w:t>ApoC-III and lipid metabolism parameters</w:t>
      </w:r>
    </w:p>
    <w:p w14:paraId="23A83138" w14:textId="356F2472" w:rsidR="00146E42" w:rsidRPr="00C223AB" w:rsidRDefault="00146E42" w:rsidP="00C223AB">
      <w:pPr>
        <w:ind w:firstLine="708"/>
        <w:rPr>
          <w:rFonts w:ascii="Arial" w:hAnsi="Arial" w:cs="Arial"/>
        </w:rPr>
      </w:pPr>
      <w:r w:rsidRPr="00C223AB">
        <w:rPr>
          <w:rFonts w:ascii="Arial" w:hAnsi="Arial" w:cs="Arial"/>
        </w:rPr>
        <w:t>At baseline, apoC-III levels were correlated with total cholesterol (</w:t>
      </w:r>
      <w:r w:rsidRPr="00C223AB">
        <w:rPr>
          <w:rFonts w:ascii="Arial" w:hAnsi="Arial" w:cs="Arial"/>
          <w:i/>
        </w:rPr>
        <w:t>r</w:t>
      </w:r>
      <w:r w:rsidRPr="00C223AB">
        <w:rPr>
          <w:rFonts w:ascii="Arial" w:hAnsi="Arial" w:cs="Arial"/>
        </w:rPr>
        <w:t>=0.23, p&lt;0.001), LDL-C (</w:t>
      </w:r>
      <w:r w:rsidRPr="00C223AB">
        <w:rPr>
          <w:rFonts w:ascii="Arial" w:hAnsi="Arial" w:cs="Arial"/>
          <w:i/>
        </w:rPr>
        <w:t>r</w:t>
      </w:r>
      <w:r w:rsidRPr="00C223AB">
        <w:rPr>
          <w:rFonts w:ascii="Arial" w:hAnsi="Arial" w:cs="Arial"/>
        </w:rPr>
        <w:t>=0.13, p&lt;0.001)</w:t>
      </w:r>
      <w:r w:rsidR="00F872AB" w:rsidRPr="00C223AB">
        <w:rPr>
          <w:rFonts w:ascii="Arial" w:hAnsi="Arial" w:cs="Arial"/>
        </w:rPr>
        <w:t xml:space="preserve"> and</w:t>
      </w:r>
      <w:r w:rsidRPr="00C223AB">
        <w:rPr>
          <w:rFonts w:ascii="Arial" w:hAnsi="Arial" w:cs="Arial"/>
        </w:rPr>
        <w:t xml:space="preserve"> triglycerides (</w:t>
      </w:r>
      <w:r w:rsidRPr="00C223AB">
        <w:rPr>
          <w:rFonts w:ascii="Arial" w:hAnsi="Arial" w:cs="Arial"/>
          <w:i/>
        </w:rPr>
        <w:t>r</w:t>
      </w:r>
      <w:r w:rsidRPr="00C223AB">
        <w:rPr>
          <w:rFonts w:ascii="Arial" w:hAnsi="Arial" w:cs="Arial"/>
        </w:rPr>
        <w:t xml:space="preserve">=0.39, p&lt;0.001) </w:t>
      </w:r>
      <w:r w:rsidR="009B341F" w:rsidRPr="00C223AB">
        <w:rPr>
          <w:rFonts w:ascii="Arial" w:hAnsi="Arial" w:cs="Arial"/>
          <w:b/>
        </w:rPr>
        <w:t>Table 3</w:t>
      </w:r>
      <w:r w:rsidRPr="00C223AB">
        <w:rPr>
          <w:rFonts w:ascii="Arial" w:hAnsi="Arial" w:cs="Arial"/>
        </w:rPr>
        <w:t>). ApoC-III levels were correlated with VLDL particle number and size (</w:t>
      </w:r>
      <w:r w:rsidRPr="00C223AB">
        <w:rPr>
          <w:rFonts w:ascii="Arial" w:hAnsi="Arial" w:cs="Arial"/>
          <w:i/>
        </w:rPr>
        <w:t>r</w:t>
      </w:r>
      <w:r w:rsidRPr="00C223AB">
        <w:rPr>
          <w:rFonts w:ascii="Arial" w:hAnsi="Arial" w:cs="Arial"/>
        </w:rPr>
        <w:t xml:space="preserve">=0.24 and </w:t>
      </w:r>
      <w:r w:rsidRPr="00C223AB">
        <w:rPr>
          <w:rFonts w:ascii="Arial" w:hAnsi="Arial" w:cs="Arial"/>
          <w:i/>
        </w:rPr>
        <w:t>r</w:t>
      </w:r>
      <w:r w:rsidRPr="00C223AB">
        <w:rPr>
          <w:rFonts w:ascii="Arial" w:hAnsi="Arial" w:cs="Arial"/>
        </w:rPr>
        <w:t xml:space="preserve">=0.27, p&lt;0.001) as well as with large VLDL/chylomicron sized particle number (r= </w:t>
      </w:r>
      <w:r w:rsidR="00837E54" w:rsidRPr="00C223AB">
        <w:rPr>
          <w:rFonts w:ascii="Arial" w:hAnsi="Arial" w:cs="Arial"/>
        </w:rPr>
        <w:t>0.39, p&lt;</w:t>
      </w:r>
      <w:r w:rsidRPr="00C223AB">
        <w:rPr>
          <w:rFonts w:ascii="Arial" w:hAnsi="Arial" w:cs="Arial"/>
        </w:rPr>
        <w:t>0.001). There was also a positive correlation with I</w:t>
      </w:r>
      <w:r w:rsidR="00837E54" w:rsidRPr="00C223AB">
        <w:rPr>
          <w:rFonts w:ascii="Arial" w:hAnsi="Arial" w:cs="Arial"/>
        </w:rPr>
        <w:t>DL particle number (r=0.23, p&lt;</w:t>
      </w:r>
      <w:r w:rsidRPr="00C223AB">
        <w:rPr>
          <w:rFonts w:ascii="Arial" w:hAnsi="Arial" w:cs="Arial"/>
        </w:rPr>
        <w:t>0.001) and similarly, LDL particle number (r=0.26, p&lt; 0.001) and an inverse correlation with LDL particle size</w:t>
      </w:r>
      <w:r w:rsidRPr="00C223AB">
        <w:rPr>
          <w:rFonts w:ascii="Arial" w:hAnsi="Arial" w:cs="Arial"/>
          <w:i/>
        </w:rPr>
        <w:t xml:space="preserve"> (r</w:t>
      </w:r>
      <w:r w:rsidRPr="00C223AB">
        <w:rPr>
          <w:rFonts w:ascii="Arial" w:hAnsi="Arial" w:cs="Arial"/>
        </w:rPr>
        <w:t>=-0.22, p&lt;0.001). Similar correlations were found for LDL parameters measured by gradient gel-electrophoresis. Furthermore, apoC-III levels were positively correlated with apolipoprotein A-V levels (</w:t>
      </w:r>
      <w:r w:rsidRPr="00C223AB">
        <w:rPr>
          <w:rFonts w:ascii="Arial" w:hAnsi="Arial" w:cs="Arial"/>
          <w:i/>
        </w:rPr>
        <w:t>r</w:t>
      </w:r>
      <w:r w:rsidRPr="00C223AB">
        <w:rPr>
          <w:rFonts w:ascii="Arial" w:hAnsi="Arial" w:cs="Arial"/>
        </w:rPr>
        <w:t>=0.21, p&lt;0.001) and inversely correlated with LPL mass (</w:t>
      </w:r>
      <w:r w:rsidRPr="00C223AB">
        <w:rPr>
          <w:rFonts w:ascii="Arial" w:hAnsi="Arial" w:cs="Arial"/>
          <w:i/>
        </w:rPr>
        <w:t>r</w:t>
      </w:r>
      <w:r w:rsidRPr="00C223AB">
        <w:rPr>
          <w:rFonts w:ascii="Arial" w:hAnsi="Arial" w:cs="Arial"/>
        </w:rPr>
        <w:t>=-0.13, p&lt;0.001).</w:t>
      </w:r>
      <w:r w:rsidR="000A2EEF" w:rsidRPr="00C223AB">
        <w:rPr>
          <w:rFonts w:ascii="Arial" w:hAnsi="Arial" w:cs="Arial"/>
        </w:rPr>
        <w:t xml:space="preserve"> Sex-specific Spearman correlations for apoC-III and lipid and non-lipid variables are given in </w:t>
      </w:r>
      <w:r w:rsidR="000A2EEF" w:rsidRPr="00C223AB">
        <w:rPr>
          <w:rFonts w:ascii="Arial" w:hAnsi="Arial" w:cs="Arial"/>
          <w:b/>
        </w:rPr>
        <w:t>Supplemental Table IV</w:t>
      </w:r>
      <w:r w:rsidR="000A2EEF" w:rsidRPr="00C223AB">
        <w:rPr>
          <w:rFonts w:ascii="Arial" w:hAnsi="Arial" w:cs="Arial"/>
        </w:rPr>
        <w:t xml:space="preserve"> and are similar to the overall group. </w:t>
      </w:r>
    </w:p>
    <w:p w14:paraId="06750857" w14:textId="412E7EE6" w:rsidR="00146E42" w:rsidRPr="00C223AB" w:rsidRDefault="00146E42" w:rsidP="00C223AB">
      <w:pPr>
        <w:ind w:firstLine="708"/>
        <w:rPr>
          <w:rFonts w:ascii="Arial" w:hAnsi="Arial" w:cs="Arial"/>
        </w:rPr>
      </w:pPr>
      <w:r w:rsidRPr="00C223AB">
        <w:rPr>
          <w:rFonts w:ascii="Arial" w:hAnsi="Arial" w:cs="Arial"/>
        </w:rPr>
        <w:t>In line with the correlations with TG-related parameters, apoC-III levels were correlated with HDL particle number (</w:t>
      </w:r>
      <w:r w:rsidRPr="00C223AB">
        <w:rPr>
          <w:rFonts w:ascii="Arial" w:hAnsi="Arial" w:cs="Arial"/>
          <w:i/>
        </w:rPr>
        <w:t>r</w:t>
      </w:r>
      <w:r w:rsidRPr="00C223AB">
        <w:rPr>
          <w:rFonts w:ascii="Arial" w:hAnsi="Arial" w:cs="Arial"/>
        </w:rPr>
        <w:t>=0.20, p&lt;0.001) and inversely correlated with HDL particle size (</w:t>
      </w:r>
      <w:r w:rsidRPr="00C223AB">
        <w:rPr>
          <w:rFonts w:ascii="Arial" w:hAnsi="Arial" w:cs="Arial"/>
          <w:i/>
        </w:rPr>
        <w:t>r</w:t>
      </w:r>
      <w:r w:rsidRPr="00C223AB">
        <w:rPr>
          <w:rFonts w:ascii="Arial" w:hAnsi="Arial" w:cs="Arial"/>
        </w:rPr>
        <w:t>=-0.23, p&lt;0.001.) There was a weak positive correlation between apoC-III and cholesterol efflux capacity (</w:t>
      </w:r>
      <w:r w:rsidRPr="00C223AB">
        <w:rPr>
          <w:rFonts w:ascii="Arial" w:hAnsi="Arial" w:cs="Arial"/>
          <w:i/>
        </w:rPr>
        <w:t>r</w:t>
      </w:r>
      <w:r w:rsidRPr="00C223AB">
        <w:rPr>
          <w:rFonts w:ascii="Arial" w:hAnsi="Arial" w:cs="Arial"/>
        </w:rPr>
        <w:t>=0.08, p&lt;0.001), LCAT mass (</w:t>
      </w:r>
      <w:r w:rsidRPr="00C223AB">
        <w:rPr>
          <w:rFonts w:ascii="Arial" w:hAnsi="Arial" w:cs="Arial"/>
          <w:i/>
        </w:rPr>
        <w:t>r</w:t>
      </w:r>
      <w:r w:rsidRPr="00C223AB">
        <w:rPr>
          <w:rFonts w:ascii="Arial" w:hAnsi="Arial" w:cs="Arial"/>
        </w:rPr>
        <w:t>=0.13, p&lt;0.001) but no correlation with CETP mass (</w:t>
      </w:r>
      <w:r w:rsidRPr="00C223AB">
        <w:rPr>
          <w:rFonts w:ascii="Arial" w:hAnsi="Arial" w:cs="Arial"/>
          <w:i/>
        </w:rPr>
        <w:t>r</w:t>
      </w:r>
      <w:r w:rsidRPr="00C223AB">
        <w:rPr>
          <w:rFonts w:ascii="Arial" w:hAnsi="Arial" w:cs="Arial"/>
        </w:rPr>
        <w:t>=-0.01, p=0.64). Finally, apoC-III levels were weakly correlated with hsCRP levels (r=0.15, p&lt;0.001). All correlations were additionally tested in a linear regression model adjusted for age, sex, BMI, current smoking, systolic blood pressure, history of diabetes mellitus, lipid-lowering and anti-hypertensive drug use, which did not attenuate significance importantly</w:t>
      </w:r>
      <w:r w:rsidR="004D0950" w:rsidRPr="00C223AB">
        <w:rPr>
          <w:rFonts w:ascii="Arial" w:hAnsi="Arial" w:cs="Arial"/>
        </w:rPr>
        <w:t>.</w:t>
      </w:r>
      <w:r w:rsidR="00643577" w:rsidRPr="00C223AB">
        <w:rPr>
          <w:rFonts w:ascii="Arial" w:hAnsi="Arial" w:cs="Arial"/>
        </w:rPr>
        <w:t xml:space="preserve"> </w:t>
      </w:r>
    </w:p>
    <w:p w14:paraId="7483B151" w14:textId="05D09B54" w:rsidR="001273FD" w:rsidRPr="00C223AB" w:rsidRDefault="00AD37F0" w:rsidP="00C223AB">
      <w:pPr>
        <w:ind w:firstLine="708"/>
        <w:rPr>
          <w:rFonts w:ascii="Arial" w:hAnsi="Arial" w:cs="Arial"/>
        </w:rPr>
      </w:pPr>
      <w:r w:rsidRPr="00C223AB">
        <w:rPr>
          <w:rFonts w:ascii="Arial" w:hAnsi="Arial" w:cs="Arial"/>
        </w:rPr>
        <w:t xml:space="preserve">Further analysis of apoC-III levels by quintiles </w:t>
      </w:r>
      <w:r w:rsidR="00176F54" w:rsidRPr="00C223AB">
        <w:rPr>
          <w:rFonts w:ascii="Arial" w:hAnsi="Arial" w:cs="Arial"/>
        </w:rPr>
        <w:t xml:space="preserve">and lipoprotein particle numbers and size measured by NMR spectroscopy </w:t>
      </w:r>
      <w:r w:rsidRPr="00C223AB">
        <w:rPr>
          <w:rFonts w:ascii="Arial" w:hAnsi="Arial" w:cs="Arial"/>
        </w:rPr>
        <w:t xml:space="preserve">shows a progressive increase in </w:t>
      </w:r>
      <w:r w:rsidR="00176F54" w:rsidRPr="00C223AB">
        <w:rPr>
          <w:rFonts w:ascii="Arial" w:hAnsi="Arial" w:cs="Arial"/>
        </w:rPr>
        <w:t xml:space="preserve">all sizes of VLDL particles, IDL and small dense LDL, but </w:t>
      </w:r>
      <w:r w:rsidR="00AC6DA9" w:rsidRPr="00C223AB">
        <w:rPr>
          <w:rFonts w:ascii="Arial" w:hAnsi="Arial" w:cs="Arial"/>
        </w:rPr>
        <w:t>a decrease for large</w:t>
      </w:r>
      <w:r w:rsidR="00176F54" w:rsidRPr="00C223AB">
        <w:rPr>
          <w:rFonts w:ascii="Arial" w:hAnsi="Arial" w:cs="Arial"/>
        </w:rPr>
        <w:t xml:space="preserve"> LDL</w:t>
      </w:r>
      <w:r w:rsidR="008C7A52" w:rsidRPr="00C223AB">
        <w:rPr>
          <w:rFonts w:ascii="Arial" w:hAnsi="Arial" w:cs="Arial"/>
        </w:rPr>
        <w:t>,</w:t>
      </w:r>
      <w:r w:rsidR="00837E54" w:rsidRPr="00C223AB">
        <w:rPr>
          <w:rFonts w:ascii="Arial" w:hAnsi="Arial" w:cs="Arial"/>
        </w:rPr>
        <w:t xml:space="preserve"> all p&lt;0.001 for trend</w:t>
      </w:r>
      <w:r w:rsidR="00176F54" w:rsidRPr="00C223AB">
        <w:rPr>
          <w:rFonts w:ascii="Arial" w:hAnsi="Arial" w:cs="Arial"/>
        </w:rPr>
        <w:t xml:space="preserve"> </w:t>
      </w:r>
      <w:r w:rsidR="008B5891" w:rsidRPr="00C223AB">
        <w:rPr>
          <w:rFonts w:ascii="Arial" w:hAnsi="Arial" w:cs="Arial"/>
          <w:b/>
        </w:rPr>
        <w:t>Figure 2</w:t>
      </w:r>
      <w:r w:rsidR="00347665" w:rsidRPr="00C223AB">
        <w:rPr>
          <w:rFonts w:ascii="Arial" w:hAnsi="Arial" w:cs="Arial"/>
          <w:b/>
        </w:rPr>
        <w:t xml:space="preserve">, </w:t>
      </w:r>
      <w:r w:rsidR="00347665" w:rsidRPr="00C223AB">
        <w:rPr>
          <w:rFonts w:ascii="Arial" w:hAnsi="Arial" w:cs="Arial"/>
        </w:rPr>
        <w:t xml:space="preserve">detailed particle numbers and size per apoC-III quartile are provided in </w:t>
      </w:r>
      <w:r w:rsidR="00073EF7" w:rsidRPr="00C223AB">
        <w:rPr>
          <w:rFonts w:ascii="Arial" w:hAnsi="Arial" w:cs="Arial"/>
          <w:b/>
        </w:rPr>
        <w:t>Supplemental T</w:t>
      </w:r>
      <w:r w:rsidR="00347665" w:rsidRPr="00C223AB">
        <w:rPr>
          <w:rFonts w:ascii="Arial" w:hAnsi="Arial" w:cs="Arial"/>
          <w:b/>
        </w:rPr>
        <w:t xml:space="preserve">able </w:t>
      </w:r>
      <w:r w:rsidR="00073EF7" w:rsidRPr="00C223AB">
        <w:rPr>
          <w:rFonts w:ascii="Arial" w:hAnsi="Arial" w:cs="Arial"/>
          <w:b/>
        </w:rPr>
        <w:t>I</w:t>
      </w:r>
      <w:r w:rsidRPr="00C223AB">
        <w:rPr>
          <w:rFonts w:ascii="Arial" w:hAnsi="Arial" w:cs="Arial"/>
        </w:rPr>
        <w:t>.</w:t>
      </w:r>
      <w:r w:rsidR="00176F54" w:rsidRPr="00C223AB">
        <w:rPr>
          <w:rFonts w:ascii="Arial" w:hAnsi="Arial" w:cs="Arial"/>
        </w:rPr>
        <w:t xml:space="preserve"> </w:t>
      </w:r>
    </w:p>
    <w:p w14:paraId="15F6DE35" w14:textId="77777777" w:rsidR="0091657D" w:rsidRPr="00C223AB" w:rsidRDefault="0091657D" w:rsidP="00C223AB">
      <w:pPr>
        <w:rPr>
          <w:rFonts w:ascii="Arial" w:hAnsi="Arial" w:cs="Arial"/>
          <w:b/>
          <w:i/>
        </w:rPr>
      </w:pPr>
    </w:p>
    <w:p w14:paraId="3F698D28" w14:textId="7B365C3F" w:rsidR="003540F2" w:rsidRPr="00C223AB" w:rsidRDefault="003540F2" w:rsidP="00C223AB">
      <w:pPr>
        <w:rPr>
          <w:rFonts w:ascii="Arial" w:hAnsi="Arial" w:cs="Arial"/>
          <w:b/>
          <w:i/>
        </w:rPr>
      </w:pPr>
      <w:r w:rsidRPr="00C223AB">
        <w:rPr>
          <w:rFonts w:ascii="Arial" w:hAnsi="Arial" w:cs="Arial"/>
          <w:b/>
          <w:i/>
        </w:rPr>
        <w:t>ApoC-III levels and CAD</w:t>
      </w:r>
      <w:r w:rsidR="003E341E" w:rsidRPr="00C223AB">
        <w:rPr>
          <w:rFonts w:ascii="Arial" w:hAnsi="Arial" w:cs="Arial"/>
          <w:b/>
          <w:i/>
        </w:rPr>
        <w:t xml:space="preserve"> risk</w:t>
      </w:r>
      <w:r w:rsidRPr="00C223AB">
        <w:rPr>
          <w:rFonts w:ascii="Arial" w:hAnsi="Arial" w:cs="Arial"/>
          <w:b/>
          <w:i/>
        </w:rPr>
        <w:t xml:space="preserve"> </w:t>
      </w:r>
    </w:p>
    <w:p w14:paraId="4FD69AB2" w14:textId="17BCD812" w:rsidR="0092192A" w:rsidRPr="00C223AB" w:rsidRDefault="003540F2" w:rsidP="00C223AB">
      <w:pPr>
        <w:ind w:firstLine="708"/>
        <w:rPr>
          <w:rFonts w:ascii="Arial" w:hAnsi="Arial" w:cs="Arial"/>
        </w:rPr>
      </w:pPr>
      <w:r w:rsidRPr="00C223AB">
        <w:rPr>
          <w:rFonts w:ascii="Arial" w:hAnsi="Arial" w:cs="Arial"/>
        </w:rPr>
        <w:t>In a logistic regression analysis, adjusted for age and sex, the odds ratio for incident CAD was 1.91 [95%CI: 1.48-2.48] for highest quintile apoC-III compa</w:t>
      </w:r>
      <w:r w:rsidR="003E341E" w:rsidRPr="00C223AB">
        <w:rPr>
          <w:rFonts w:ascii="Arial" w:hAnsi="Arial" w:cs="Arial"/>
        </w:rPr>
        <w:t>red to lowest quintile</w:t>
      </w:r>
      <w:r w:rsidR="008C7A52" w:rsidRPr="00C223AB">
        <w:rPr>
          <w:rFonts w:ascii="Arial" w:hAnsi="Arial" w:cs="Arial"/>
        </w:rPr>
        <w:t xml:space="preserve">, </w:t>
      </w:r>
      <w:r w:rsidR="00630E33" w:rsidRPr="00C223AB">
        <w:rPr>
          <w:rFonts w:ascii="Arial" w:hAnsi="Arial" w:cs="Arial"/>
          <w:b/>
        </w:rPr>
        <w:t>F</w:t>
      </w:r>
      <w:r w:rsidR="003E341E" w:rsidRPr="00C223AB">
        <w:rPr>
          <w:rFonts w:ascii="Arial" w:hAnsi="Arial" w:cs="Arial"/>
          <w:b/>
        </w:rPr>
        <w:t xml:space="preserve">igure </w:t>
      </w:r>
      <w:r w:rsidR="008B5891" w:rsidRPr="00C223AB">
        <w:rPr>
          <w:rFonts w:ascii="Arial" w:hAnsi="Arial" w:cs="Arial"/>
          <w:b/>
        </w:rPr>
        <w:t>3</w:t>
      </w:r>
      <w:r w:rsidR="00073EF7" w:rsidRPr="00C223AB">
        <w:rPr>
          <w:rFonts w:ascii="Arial" w:hAnsi="Arial" w:cs="Arial"/>
          <w:b/>
        </w:rPr>
        <w:t xml:space="preserve"> and S</w:t>
      </w:r>
      <w:r w:rsidR="00347665" w:rsidRPr="00C223AB">
        <w:rPr>
          <w:rFonts w:ascii="Arial" w:hAnsi="Arial" w:cs="Arial"/>
          <w:b/>
        </w:rPr>
        <w:t xml:space="preserve">upplemental </w:t>
      </w:r>
      <w:r w:rsidR="00073EF7" w:rsidRPr="00C223AB">
        <w:rPr>
          <w:rFonts w:ascii="Arial" w:hAnsi="Arial" w:cs="Arial"/>
          <w:b/>
        </w:rPr>
        <w:t>T</w:t>
      </w:r>
      <w:r w:rsidR="00347665" w:rsidRPr="00C223AB">
        <w:rPr>
          <w:rFonts w:ascii="Arial" w:hAnsi="Arial" w:cs="Arial"/>
          <w:b/>
        </w:rPr>
        <w:t xml:space="preserve">able </w:t>
      </w:r>
      <w:r w:rsidR="00073EF7" w:rsidRPr="00C223AB">
        <w:rPr>
          <w:rFonts w:ascii="Arial" w:hAnsi="Arial" w:cs="Arial"/>
          <w:b/>
        </w:rPr>
        <w:t>V</w:t>
      </w:r>
      <w:r w:rsidR="00A1738D" w:rsidRPr="00C223AB">
        <w:rPr>
          <w:rFonts w:ascii="Arial" w:hAnsi="Arial" w:cs="Arial"/>
        </w:rPr>
        <w:t>. Following</w:t>
      </w:r>
      <w:r w:rsidRPr="00C223AB">
        <w:rPr>
          <w:rFonts w:ascii="Arial" w:hAnsi="Arial" w:cs="Arial"/>
        </w:rPr>
        <w:t xml:space="preserve"> adjustment for cardiovascular risk factors (age, sex, BMI, current smoking, diabetes mellitus, systolic blood pressure, lipid-lowering and anti-hypertensive drug use)</w:t>
      </w:r>
      <w:r w:rsidR="00A1738D" w:rsidRPr="00C223AB">
        <w:rPr>
          <w:rFonts w:ascii="Arial" w:hAnsi="Arial" w:cs="Arial"/>
        </w:rPr>
        <w:t>,</w:t>
      </w:r>
      <w:r w:rsidRPr="00C223AB">
        <w:rPr>
          <w:rFonts w:ascii="Arial" w:hAnsi="Arial" w:cs="Arial"/>
        </w:rPr>
        <w:t xml:space="preserve"> apoC-III levels remained significantly associate</w:t>
      </w:r>
      <w:r w:rsidR="003E341E" w:rsidRPr="00C223AB">
        <w:rPr>
          <w:rFonts w:ascii="Arial" w:hAnsi="Arial" w:cs="Arial"/>
        </w:rPr>
        <w:t>d with CAD risk, (odds ratio 1.47 95%CI 1.11-1.94</w:t>
      </w:r>
      <w:r w:rsidRPr="00C223AB">
        <w:rPr>
          <w:rFonts w:ascii="Arial" w:hAnsi="Arial" w:cs="Arial"/>
        </w:rPr>
        <w:t>)</w:t>
      </w:r>
      <w:r w:rsidR="00D5597F" w:rsidRPr="00C223AB">
        <w:rPr>
          <w:rFonts w:ascii="Arial" w:hAnsi="Arial" w:cs="Arial"/>
        </w:rPr>
        <w:t xml:space="preserve">. </w:t>
      </w:r>
      <w:r w:rsidR="0092192A" w:rsidRPr="00C223AB">
        <w:rPr>
          <w:rFonts w:ascii="Arial" w:hAnsi="Arial" w:cs="Arial"/>
        </w:rPr>
        <w:t xml:space="preserve">This association was attenuated </w:t>
      </w:r>
      <w:r w:rsidR="007A261D" w:rsidRPr="00C223AB">
        <w:rPr>
          <w:rFonts w:ascii="Arial" w:hAnsi="Arial" w:cs="Arial"/>
        </w:rPr>
        <w:t xml:space="preserve">but remained significant </w:t>
      </w:r>
      <w:r w:rsidR="0092192A" w:rsidRPr="00C223AB">
        <w:rPr>
          <w:rFonts w:ascii="Arial" w:hAnsi="Arial" w:cs="Arial"/>
        </w:rPr>
        <w:t>after further adjustment for LDL</w:t>
      </w:r>
      <w:r w:rsidR="00FA7932" w:rsidRPr="00C223AB">
        <w:rPr>
          <w:rFonts w:ascii="Arial" w:hAnsi="Arial" w:cs="Arial"/>
        </w:rPr>
        <w:t>-C</w:t>
      </w:r>
      <w:r w:rsidR="00631D84" w:rsidRPr="00C223AB">
        <w:rPr>
          <w:rFonts w:ascii="Arial" w:hAnsi="Arial" w:cs="Arial"/>
        </w:rPr>
        <w:t xml:space="preserve"> (odds ratio 1.35 95%CI 1.01-1.81) </w:t>
      </w:r>
      <w:r w:rsidR="0092192A" w:rsidRPr="00C223AB">
        <w:rPr>
          <w:rFonts w:ascii="Arial" w:hAnsi="Arial" w:cs="Arial"/>
        </w:rPr>
        <w:t>or HDL</w:t>
      </w:r>
      <w:r w:rsidR="00FA7932" w:rsidRPr="00C223AB">
        <w:rPr>
          <w:rFonts w:ascii="Arial" w:hAnsi="Arial" w:cs="Arial"/>
        </w:rPr>
        <w:t>-C</w:t>
      </w:r>
      <w:r w:rsidR="00631D84" w:rsidRPr="00C223AB">
        <w:rPr>
          <w:rFonts w:ascii="Arial" w:hAnsi="Arial" w:cs="Arial"/>
        </w:rPr>
        <w:t xml:space="preserve"> (odds ratio 1.41, 95%CI 1.05-1.88)</w:t>
      </w:r>
      <w:r w:rsidR="00630E33" w:rsidRPr="00C223AB">
        <w:rPr>
          <w:rFonts w:ascii="Arial" w:hAnsi="Arial" w:cs="Arial"/>
        </w:rPr>
        <w:t xml:space="preserve">, </w:t>
      </w:r>
      <w:r w:rsidR="007A261D" w:rsidRPr="00C223AB">
        <w:rPr>
          <w:rFonts w:ascii="Arial" w:hAnsi="Arial" w:cs="Arial"/>
        </w:rPr>
        <w:t xml:space="preserve">but lost significance </w:t>
      </w:r>
      <w:r w:rsidR="0092192A" w:rsidRPr="00C223AB">
        <w:rPr>
          <w:rFonts w:ascii="Arial" w:hAnsi="Arial" w:cs="Arial"/>
        </w:rPr>
        <w:t xml:space="preserve">after adjustment for triglycerides </w:t>
      </w:r>
      <w:r w:rsidR="00631D84" w:rsidRPr="00C223AB">
        <w:rPr>
          <w:rFonts w:ascii="Arial" w:hAnsi="Arial" w:cs="Arial"/>
        </w:rPr>
        <w:t>(odds ratio 1.17 95%CI 0.87-1.58</w:t>
      </w:r>
      <w:r w:rsidR="00CE7B43" w:rsidRPr="00C223AB">
        <w:rPr>
          <w:rFonts w:ascii="Arial" w:hAnsi="Arial" w:cs="Arial"/>
        </w:rPr>
        <w:t>)</w:t>
      </w:r>
      <w:r w:rsidR="00000832" w:rsidRPr="00C223AB">
        <w:rPr>
          <w:rFonts w:ascii="Arial" w:hAnsi="Arial" w:cs="Arial"/>
        </w:rPr>
        <w:t xml:space="preserve">, </w:t>
      </w:r>
      <w:r w:rsidR="00CE0C49" w:rsidRPr="00C223AB">
        <w:rPr>
          <w:rFonts w:ascii="Arial" w:hAnsi="Arial" w:cs="Arial"/>
          <w:b/>
        </w:rPr>
        <w:t>Table 4</w:t>
      </w:r>
      <w:r w:rsidR="00AF3798" w:rsidRPr="00C223AB">
        <w:rPr>
          <w:rFonts w:ascii="Arial" w:hAnsi="Arial" w:cs="Arial"/>
        </w:rPr>
        <w:t>.</w:t>
      </w:r>
      <w:r w:rsidR="00E624D5" w:rsidRPr="00C223AB">
        <w:rPr>
          <w:rFonts w:ascii="Arial" w:hAnsi="Arial" w:cs="Arial"/>
        </w:rPr>
        <w:t xml:space="preserve"> </w:t>
      </w:r>
    </w:p>
    <w:p w14:paraId="64519680" w14:textId="77777777" w:rsidR="00716903" w:rsidRDefault="00DA49AA" w:rsidP="00C223AB">
      <w:pPr>
        <w:rPr>
          <w:rFonts w:ascii="Arial" w:hAnsi="Arial" w:cs="Arial"/>
        </w:rPr>
      </w:pPr>
      <w:r w:rsidRPr="00C223AB">
        <w:rPr>
          <w:rFonts w:ascii="Arial" w:hAnsi="Arial" w:cs="Arial"/>
        </w:rPr>
        <w:t xml:space="preserve">In subgroup analysis, we found that apoC-III levels were not as strongly associated with CAD risk in subjects with LDL-C lower than the median compared to subjects with LDL-C over the median </w:t>
      </w:r>
      <w:r w:rsidRPr="006827A0">
        <w:rPr>
          <w:rFonts w:ascii="Arial" w:hAnsi="Arial" w:cs="Arial"/>
          <w:b/>
        </w:rPr>
        <w:t>(</w:t>
      </w:r>
      <w:r w:rsidR="00073EF7" w:rsidRPr="006827A0">
        <w:rPr>
          <w:rFonts w:ascii="Arial" w:hAnsi="Arial" w:cs="Arial"/>
          <w:b/>
        </w:rPr>
        <w:t>Supplemental Figure I</w:t>
      </w:r>
      <w:r w:rsidRPr="006827A0">
        <w:rPr>
          <w:rFonts w:ascii="Arial" w:hAnsi="Arial" w:cs="Arial"/>
          <w:b/>
        </w:rPr>
        <w:t xml:space="preserve">). </w:t>
      </w:r>
      <w:r w:rsidRPr="00C223AB">
        <w:rPr>
          <w:rFonts w:ascii="Arial" w:hAnsi="Arial" w:cs="Arial"/>
        </w:rPr>
        <w:t>Furthermore apoC-III levels were not significantly associated with CAD risk in subjects with trigly</w:t>
      </w:r>
      <w:r w:rsidR="00073EF7" w:rsidRPr="00C223AB">
        <w:rPr>
          <w:rFonts w:ascii="Arial" w:hAnsi="Arial" w:cs="Arial"/>
        </w:rPr>
        <w:t xml:space="preserve">cerides lower than the median </w:t>
      </w:r>
      <w:r w:rsidR="00073EF7" w:rsidRPr="006827A0">
        <w:rPr>
          <w:rFonts w:ascii="Arial" w:hAnsi="Arial" w:cs="Arial"/>
          <w:b/>
        </w:rPr>
        <w:t>(S</w:t>
      </w:r>
      <w:r w:rsidRPr="006827A0">
        <w:rPr>
          <w:rFonts w:ascii="Arial" w:hAnsi="Arial" w:cs="Arial"/>
          <w:b/>
        </w:rPr>
        <w:t xml:space="preserve">upplemental </w:t>
      </w:r>
      <w:r w:rsidR="00073EF7" w:rsidRPr="006827A0">
        <w:rPr>
          <w:rFonts w:ascii="Arial" w:hAnsi="Arial" w:cs="Arial"/>
          <w:b/>
        </w:rPr>
        <w:t>F</w:t>
      </w:r>
      <w:r w:rsidRPr="006827A0">
        <w:rPr>
          <w:rFonts w:ascii="Arial" w:hAnsi="Arial" w:cs="Arial"/>
          <w:b/>
        </w:rPr>
        <w:t xml:space="preserve">igure </w:t>
      </w:r>
      <w:r w:rsidR="00073EF7" w:rsidRPr="006827A0">
        <w:rPr>
          <w:rFonts w:ascii="Arial" w:hAnsi="Arial" w:cs="Arial"/>
          <w:b/>
        </w:rPr>
        <w:t>I</w:t>
      </w:r>
      <w:r w:rsidRPr="006827A0">
        <w:rPr>
          <w:rFonts w:ascii="Arial" w:hAnsi="Arial" w:cs="Arial"/>
          <w:b/>
        </w:rPr>
        <w:t xml:space="preserve"> and </w:t>
      </w:r>
      <w:r w:rsidR="00073EF7" w:rsidRPr="006827A0">
        <w:rPr>
          <w:rFonts w:ascii="Arial" w:hAnsi="Arial" w:cs="Arial"/>
          <w:b/>
        </w:rPr>
        <w:t>II</w:t>
      </w:r>
      <w:r w:rsidRPr="006827A0">
        <w:rPr>
          <w:rFonts w:ascii="Arial" w:hAnsi="Arial" w:cs="Arial"/>
          <w:b/>
        </w:rPr>
        <w:t>).</w:t>
      </w:r>
      <w:r w:rsidR="00643577" w:rsidRPr="00C223AB">
        <w:rPr>
          <w:rFonts w:ascii="Arial" w:hAnsi="Arial" w:cs="Arial"/>
        </w:rPr>
        <w:t xml:space="preserve"> There was no important difference in CAD risk between males and females. </w:t>
      </w:r>
      <w:r w:rsidR="0092192A" w:rsidRPr="00C223AB">
        <w:rPr>
          <w:rFonts w:ascii="Arial" w:hAnsi="Arial" w:cs="Arial"/>
        </w:rPr>
        <w:t xml:space="preserve"> </w:t>
      </w:r>
    </w:p>
    <w:p w14:paraId="2376E9B9" w14:textId="77777777" w:rsidR="00716903" w:rsidRDefault="00716903" w:rsidP="00C223AB">
      <w:pPr>
        <w:rPr>
          <w:rFonts w:ascii="Arial" w:hAnsi="Arial" w:cs="Arial"/>
        </w:rPr>
      </w:pPr>
    </w:p>
    <w:p w14:paraId="7FCF25AC" w14:textId="290798A0" w:rsidR="00EF4647" w:rsidRPr="00C223AB" w:rsidRDefault="002C7052" w:rsidP="00C223AB">
      <w:pPr>
        <w:rPr>
          <w:rFonts w:ascii="Arial" w:hAnsi="Arial" w:cs="Arial"/>
          <w:b/>
          <w:i/>
        </w:rPr>
      </w:pPr>
      <w:r w:rsidRPr="00C223AB">
        <w:rPr>
          <w:rFonts w:ascii="Arial" w:hAnsi="Arial" w:cs="Arial"/>
          <w:b/>
          <w:i/>
        </w:rPr>
        <w:t>A</w:t>
      </w:r>
      <w:r w:rsidR="00A04469" w:rsidRPr="00C223AB">
        <w:rPr>
          <w:rFonts w:ascii="Arial" w:hAnsi="Arial" w:cs="Arial"/>
          <w:b/>
          <w:i/>
        </w:rPr>
        <w:t>po</w:t>
      </w:r>
      <w:r w:rsidRPr="00C223AB">
        <w:rPr>
          <w:rFonts w:ascii="Arial" w:hAnsi="Arial" w:cs="Arial"/>
          <w:b/>
          <w:i/>
        </w:rPr>
        <w:t>C-III</w:t>
      </w:r>
      <w:r w:rsidR="00EF4647" w:rsidRPr="00C223AB">
        <w:rPr>
          <w:rFonts w:ascii="Arial" w:hAnsi="Arial" w:cs="Arial"/>
          <w:b/>
          <w:i/>
        </w:rPr>
        <w:t xml:space="preserve"> mediation analysis</w:t>
      </w:r>
    </w:p>
    <w:p w14:paraId="48E54732" w14:textId="57320B4F" w:rsidR="00FF36C1" w:rsidRPr="00C223AB" w:rsidRDefault="00FF36C1" w:rsidP="00C223AB">
      <w:pPr>
        <w:ind w:firstLine="708"/>
        <w:rPr>
          <w:rFonts w:ascii="Arial" w:hAnsi="Arial" w:cs="Arial"/>
        </w:rPr>
      </w:pPr>
      <w:r w:rsidRPr="00C223AB">
        <w:rPr>
          <w:rFonts w:ascii="Arial" w:hAnsi="Arial" w:cs="Arial"/>
        </w:rPr>
        <w:t>Next, we explored which of the lipoprotein subfractions explained part of the association between apoC-III and CAD ris</w:t>
      </w:r>
      <w:r w:rsidR="00930832" w:rsidRPr="00C223AB">
        <w:rPr>
          <w:rFonts w:ascii="Arial" w:hAnsi="Arial" w:cs="Arial"/>
        </w:rPr>
        <w:t>k</w:t>
      </w:r>
      <w:r w:rsidR="00837E54" w:rsidRPr="00C223AB">
        <w:rPr>
          <w:rFonts w:ascii="Arial" w:hAnsi="Arial" w:cs="Arial"/>
        </w:rPr>
        <w:t xml:space="preserve">, </w:t>
      </w:r>
      <w:r w:rsidR="00377B57" w:rsidRPr="00C223AB">
        <w:rPr>
          <w:rFonts w:ascii="Arial" w:hAnsi="Arial" w:cs="Arial"/>
          <w:b/>
        </w:rPr>
        <w:t>T</w:t>
      </w:r>
      <w:r w:rsidR="002321EB" w:rsidRPr="00C223AB">
        <w:rPr>
          <w:rFonts w:ascii="Arial" w:hAnsi="Arial" w:cs="Arial"/>
          <w:b/>
        </w:rPr>
        <w:t>able 4</w:t>
      </w:r>
      <w:r w:rsidR="002321EB" w:rsidRPr="00C223AB">
        <w:rPr>
          <w:rFonts w:ascii="Arial" w:hAnsi="Arial" w:cs="Arial"/>
        </w:rPr>
        <w:t xml:space="preserve">. </w:t>
      </w:r>
      <w:r w:rsidRPr="00C223AB">
        <w:rPr>
          <w:rFonts w:ascii="Arial" w:hAnsi="Arial" w:cs="Arial"/>
        </w:rPr>
        <w:t xml:space="preserve">We found that </w:t>
      </w:r>
      <w:r w:rsidR="003B4470" w:rsidRPr="00C223AB">
        <w:rPr>
          <w:rFonts w:ascii="Arial" w:hAnsi="Arial" w:cs="Arial"/>
        </w:rPr>
        <w:t xml:space="preserve">plasma </w:t>
      </w:r>
      <w:r w:rsidRPr="00C223AB">
        <w:rPr>
          <w:rFonts w:ascii="Arial" w:hAnsi="Arial" w:cs="Arial"/>
        </w:rPr>
        <w:lastRenderedPageBreak/>
        <w:t>triglyceride</w:t>
      </w:r>
      <w:r w:rsidR="00AA4B77" w:rsidRPr="00C223AB">
        <w:rPr>
          <w:rFonts w:ascii="Arial" w:hAnsi="Arial" w:cs="Arial"/>
        </w:rPr>
        <w:t xml:space="preserve"> level</w:t>
      </w:r>
      <w:r w:rsidRPr="00C223AB">
        <w:rPr>
          <w:rFonts w:ascii="Arial" w:hAnsi="Arial" w:cs="Arial"/>
        </w:rPr>
        <w:t xml:space="preserve">s </w:t>
      </w:r>
      <w:r w:rsidR="00556064" w:rsidRPr="00C223AB">
        <w:rPr>
          <w:rFonts w:ascii="Arial" w:hAnsi="Arial" w:cs="Arial"/>
        </w:rPr>
        <w:t>(</w:t>
      </w:r>
      <w:r w:rsidR="008F49E0" w:rsidRPr="00C223AB">
        <w:rPr>
          <w:rFonts w:ascii="Arial" w:hAnsi="Arial" w:cs="Arial"/>
        </w:rPr>
        <w:t>55</w:t>
      </w:r>
      <w:r w:rsidR="00556064" w:rsidRPr="00C223AB">
        <w:rPr>
          <w:rFonts w:ascii="Arial" w:hAnsi="Arial" w:cs="Arial"/>
        </w:rPr>
        <w:t xml:space="preserve">%) </w:t>
      </w:r>
      <w:r w:rsidRPr="00C223AB">
        <w:rPr>
          <w:rFonts w:ascii="Arial" w:hAnsi="Arial" w:cs="Arial"/>
        </w:rPr>
        <w:t>explained a major part of th</w:t>
      </w:r>
      <w:r w:rsidR="00F56C1B" w:rsidRPr="00C223AB">
        <w:rPr>
          <w:rFonts w:ascii="Arial" w:hAnsi="Arial" w:cs="Arial"/>
        </w:rPr>
        <w:t>e</w:t>
      </w:r>
      <w:r w:rsidRPr="00C223AB">
        <w:rPr>
          <w:rFonts w:ascii="Arial" w:hAnsi="Arial" w:cs="Arial"/>
        </w:rPr>
        <w:t xml:space="preserve"> association</w:t>
      </w:r>
      <w:r w:rsidR="00F56C1B" w:rsidRPr="00C223AB">
        <w:rPr>
          <w:rFonts w:ascii="Arial" w:hAnsi="Arial" w:cs="Arial"/>
        </w:rPr>
        <w:t xml:space="preserve"> between apoC-III and CAD risk</w:t>
      </w:r>
      <w:r w:rsidR="008F49E0" w:rsidRPr="00C223AB">
        <w:rPr>
          <w:rFonts w:ascii="Arial" w:hAnsi="Arial" w:cs="Arial"/>
        </w:rPr>
        <w:t>, followed by apoB levels (31%)</w:t>
      </w:r>
      <w:r w:rsidR="00AA4B77" w:rsidRPr="00C223AB">
        <w:rPr>
          <w:rFonts w:ascii="Arial" w:hAnsi="Arial" w:cs="Arial"/>
        </w:rPr>
        <w:t xml:space="preserve">. </w:t>
      </w:r>
      <w:r w:rsidR="003B4470" w:rsidRPr="00C223AB">
        <w:rPr>
          <w:rFonts w:ascii="Arial" w:hAnsi="Arial" w:cs="Arial"/>
        </w:rPr>
        <w:t xml:space="preserve">VLDL and </w:t>
      </w:r>
      <w:r w:rsidR="008F49E0" w:rsidRPr="00C223AB">
        <w:rPr>
          <w:rFonts w:ascii="Arial" w:hAnsi="Arial" w:cs="Arial"/>
        </w:rPr>
        <w:t>L</w:t>
      </w:r>
      <w:r w:rsidR="003B4470" w:rsidRPr="00C223AB">
        <w:rPr>
          <w:rFonts w:ascii="Arial" w:hAnsi="Arial" w:cs="Arial"/>
        </w:rPr>
        <w:t xml:space="preserve">DL particle numbers </w:t>
      </w:r>
      <w:r w:rsidR="008F49E0" w:rsidRPr="00C223AB">
        <w:rPr>
          <w:rFonts w:ascii="Arial" w:hAnsi="Arial" w:cs="Arial"/>
        </w:rPr>
        <w:t xml:space="preserve">both </w:t>
      </w:r>
      <w:r w:rsidR="003B4470" w:rsidRPr="00C223AB">
        <w:rPr>
          <w:rFonts w:ascii="Arial" w:hAnsi="Arial" w:cs="Arial"/>
        </w:rPr>
        <w:t xml:space="preserve">explained </w:t>
      </w:r>
      <w:r w:rsidR="008F49E0" w:rsidRPr="00C223AB">
        <w:rPr>
          <w:rFonts w:ascii="Arial" w:hAnsi="Arial" w:cs="Arial"/>
        </w:rPr>
        <w:t>24</w:t>
      </w:r>
      <w:r w:rsidR="003B4470" w:rsidRPr="00C223AB">
        <w:rPr>
          <w:rFonts w:ascii="Arial" w:hAnsi="Arial" w:cs="Arial"/>
        </w:rPr>
        <w:t>%</w:t>
      </w:r>
      <w:r w:rsidR="00DA4E47" w:rsidRPr="00C223AB">
        <w:rPr>
          <w:rFonts w:ascii="Arial" w:hAnsi="Arial" w:cs="Arial"/>
        </w:rPr>
        <w:t>,</w:t>
      </w:r>
      <w:r w:rsidR="003B4470" w:rsidRPr="00C223AB">
        <w:rPr>
          <w:rFonts w:ascii="Arial" w:hAnsi="Arial" w:cs="Arial"/>
        </w:rPr>
        <w:t xml:space="preserve"> of the association between apoC-III and CAD risk</w:t>
      </w:r>
      <w:r w:rsidR="008F49E0" w:rsidRPr="00C223AB">
        <w:rPr>
          <w:rFonts w:ascii="Arial" w:hAnsi="Arial" w:cs="Arial"/>
        </w:rPr>
        <w:t>,</w:t>
      </w:r>
      <w:r w:rsidR="002321EB" w:rsidRPr="00C223AB">
        <w:rPr>
          <w:rFonts w:ascii="Arial" w:hAnsi="Arial" w:cs="Arial"/>
        </w:rPr>
        <w:t xml:space="preserve"> and interestingly, </w:t>
      </w:r>
      <w:r w:rsidR="00612F59" w:rsidRPr="00C223AB">
        <w:rPr>
          <w:rFonts w:ascii="Arial" w:hAnsi="Arial" w:cs="Arial"/>
        </w:rPr>
        <w:t>the</w:t>
      </w:r>
      <w:r w:rsidR="002321EB" w:rsidRPr="00C223AB">
        <w:rPr>
          <w:rFonts w:ascii="Arial" w:hAnsi="Arial" w:cs="Arial"/>
        </w:rPr>
        <w:t xml:space="preserve"> association observed for LDL particles was fully attributable to small dense LDL particles</w:t>
      </w:r>
      <w:r w:rsidR="00F56C1B" w:rsidRPr="00C223AB">
        <w:rPr>
          <w:rFonts w:ascii="Arial" w:hAnsi="Arial" w:cs="Arial"/>
        </w:rPr>
        <w:t xml:space="preserve"> (</w:t>
      </w:r>
      <w:r w:rsidR="008F49E0" w:rsidRPr="00C223AB">
        <w:rPr>
          <w:rFonts w:ascii="Arial" w:hAnsi="Arial" w:cs="Arial"/>
        </w:rPr>
        <w:t>24</w:t>
      </w:r>
      <w:r w:rsidR="00F56C1B" w:rsidRPr="00C223AB">
        <w:rPr>
          <w:rFonts w:ascii="Arial" w:hAnsi="Arial" w:cs="Arial"/>
        </w:rPr>
        <w:t>%)</w:t>
      </w:r>
      <w:r w:rsidR="002321EB" w:rsidRPr="00C223AB">
        <w:rPr>
          <w:rFonts w:ascii="Arial" w:hAnsi="Arial" w:cs="Arial"/>
        </w:rPr>
        <w:t>, independent of large LDL particle numbers</w:t>
      </w:r>
      <w:r w:rsidR="00B80C21" w:rsidRPr="00C223AB">
        <w:rPr>
          <w:rFonts w:ascii="Arial" w:hAnsi="Arial" w:cs="Arial"/>
        </w:rPr>
        <w:t xml:space="preserve">. </w:t>
      </w:r>
      <w:r w:rsidR="00930832" w:rsidRPr="00C223AB">
        <w:rPr>
          <w:rFonts w:ascii="Arial" w:hAnsi="Arial" w:cs="Arial"/>
        </w:rPr>
        <w:t xml:space="preserve">Similar </w:t>
      </w:r>
      <w:r w:rsidR="0021142E" w:rsidRPr="00C223AB">
        <w:rPr>
          <w:rFonts w:ascii="Arial" w:hAnsi="Arial" w:cs="Arial"/>
        </w:rPr>
        <w:t xml:space="preserve">effect sizes </w:t>
      </w:r>
      <w:r w:rsidR="00930832" w:rsidRPr="00C223AB">
        <w:rPr>
          <w:rFonts w:ascii="Arial" w:hAnsi="Arial" w:cs="Arial"/>
        </w:rPr>
        <w:t xml:space="preserve">were found </w:t>
      </w:r>
      <w:r w:rsidR="00F56C1B" w:rsidRPr="00C223AB">
        <w:rPr>
          <w:rFonts w:ascii="Arial" w:hAnsi="Arial" w:cs="Arial"/>
        </w:rPr>
        <w:t xml:space="preserve">for </w:t>
      </w:r>
      <w:r w:rsidR="008C7A52" w:rsidRPr="00C223AB">
        <w:rPr>
          <w:rFonts w:ascii="Arial" w:hAnsi="Arial" w:cs="Arial"/>
        </w:rPr>
        <w:t>the</w:t>
      </w:r>
      <w:r w:rsidR="00930832" w:rsidRPr="00C223AB">
        <w:rPr>
          <w:rFonts w:ascii="Arial" w:hAnsi="Arial" w:cs="Arial"/>
        </w:rPr>
        <w:t xml:space="preserve"> multi-variable adjusted model</w:t>
      </w:r>
      <w:r w:rsidR="0021142E" w:rsidRPr="00C223AB">
        <w:rPr>
          <w:rFonts w:ascii="Arial" w:hAnsi="Arial" w:cs="Arial"/>
        </w:rPr>
        <w:t>, independent from BMI, smoking</w:t>
      </w:r>
      <w:r w:rsidR="003F49B3" w:rsidRPr="00C223AB">
        <w:rPr>
          <w:rFonts w:ascii="Arial" w:hAnsi="Arial" w:cs="Arial"/>
        </w:rPr>
        <w:t xml:space="preserve"> status, diabetes mellitus, systolic blood pressure and blood pressure lowering and lipid lowering drugs. Similar results were found for</w:t>
      </w:r>
      <w:r w:rsidR="004052FF" w:rsidRPr="00C223AB">
        <w:rPr>
          <w:rFonts w:ascii="Arial" w:hAnsi="Arial" w:cs="Arial"/>
        </w:rPr>
        <w:t xml:space="preserve"> the </w:t>
      </w:r>
      <w:r w:rsidR="003F49B3" w:rsidRPr="00C223AB">
        <w:rPr>
          <w:rFonts w:ascii="Arial" w:hAnsi="Arial" w:cs="Arial"/>
        </w:rPr>
        <w:t>difference and product method</w:t>
      </w:r>
      <w:r w:rsidR="004052FF" w:rsidRPr="00C223AB">
        <w:rPr>
          <w:rFonts w:ascii="Arial" w:hAnsi="Arial" w:cs="Arial"/>
        </w:rPr>
        <w:t xml:space="preserve"> and for apoC-III as a continuous variable</w:t>
      </w:r>
      <w:r w:rsidR="003F49B3" w:rsidRPr="00C223AB">
        <w:rPr>
          <w:rFonts w:ascii="Arial" w:hAnsi="Arial" w:cs="Arial"/>
        </w:rPr>
        <w:t xml:space="preserve"> </w:t>
      </w:r>
      <w:r w:rsidR="004052FF" w:rsidRPr="00C223AB">
        <w:rPr>
          <w:rFonts w:ascii="Arial" w:hAnsi="Arial" w:cs="Arial"/>
        </w:rPr>
        <w:t>(data are shown for difference method and apoC-III quintiles)</w:t>
      </w:r>
      <w:r w:rsidR="0091657D" w:rsidRPr="00C223AB">
        <w:rPr>
          <w:rFonts w:ascii="Arial" w:hAnsi="Arial" w:cs="Arial"/>
        </w:rPr>
        <w:t>.</w:t>
      </w:r>
      <w:r w:rsidR="00631729" w:rsidRPr="00C223AB">
        <w:rPr>
          <w:rFonts w:ascii="Arial" w:hAnsi="Arial" w:cs="Arial"/>
        </w:rPr>
        <w:fldChar w:fldCharType="begin" w:fldLock="1"/>
      </w:r>
      <w:r w:rsidR="006A2A45" w:rsidRPr="00C223AB">
        <w:rPr>
          <w:rFonts w:ascii="Arial" w:hAnsi="Arial" w:cs="Arial"/>
        </w:rPr>
        <w:instrText>ADDIN CSL_CITATION { "citationItems" : [ { "id" : "ITEM-1", "itemData" : { "DOI" : "10.1146/annurev-publhealth-032315-021402", "ISSN" : "1545-2093", "PMID" : "26653405", "abstract" : "This article provides an overview of recent developments in mediation analysis, that is, analyses used to assess the relative magnitude of different pathways and mechanisms by which an exposure may affect an outcome. Traditional approaches to mediation in the biomedical and social sciences are described. Attention is given to the confounding assumptions required for a causal interpretation of direct and indirect effect estimates. Methods from the causal inference literature to conduct mediation in the presence of exposure-mediator interactions, binary outcomes, binary mediators, and case-control study designs are presented. Sensitivity analysis techniques for unmeasured confounding and measurement error are introduced. Discussion is given to extensions to time-to-event outcomes and multiple mediators. Further flexible modeling strategies arising from the precise counterfactual definitions of direct and indirect effects are also described. The focus throughout is on methodology that is easily implementable in practice across a broad range of potential applications.", "author" : [ { "dropping-particle" : "", "family" : "VanderWeele", "given" : "Tyler J", "non-dropping-particle" : "", "parse-names" : false, "suffix" : "" } ], "container-title" : "Annual review of public health", "id" : "ITEM-1", "issued" : { "date-parts" : [ [ "2016", "3", "18" ] ] }, "page" : "17-32", "title" : "Mediation Analysis: A Practitioner's Guide.", "type" : "article-journal", "volume" : "37" }, "uris" : [ "http://www.mendeley.com/documents/?uuid=c582ec6a-c4fc-43e3-90a4-40a5bfb99efd" ] } ], "mendeley" : { "formattedCitation" : "&lt;sup&gt;14&lt;/sup&gt;", "plainTextFormattedCitation" : "14", "previouslyFormattedCitation" : "&lt;sup&gt;14&lt;/sup&gt;" }, "properties" : { "noteIndex" : 0 }, "schema" : "https://github.com/citation-style-language/schema/raw/master/csl-citation.json" }</w:instrText>
      </w:r>
      <w:r w:rsidR="00631729" w:rsidRPr="00C223AB">
        <w:rPr>
          <w:rFonts w:ascii="Arial" w:hAnsi="Arial" w:cs="Arial"/>
        </w:rPr>
        <w:fldChar w:fldCharType="separate"/>
      </w:r>
      <w:r w:rsidR="00B44858" w:rsidRPr="00C223AB">
        <w:rPr>
          <w:rFonts w:ascii="Arial" w:hAnsi="Arial" w:cs="Arial"/>
          <w:noProof/>
          <w:vertAlign w:val="superscript"/>
        </w:rPr>
        <w:t>14</w:t>
      </w:r>
      <w:r w:rsidR="00631729" w:rsidRPr="00C223AB">
        <w:rPr>
          <w:rFonts w:ascii="Arial" w:hAnsi="Arial" w:cs="Arial"/>
        </w:rPr>
        <w:fldChar w:fldCharType="end"/>
      </w:r>
    </w:p>
    <w:p w14:paraId="78E34216" w14:textId="77777777" w:rsidR="003A6D61" w:rsidRPr="00C223AB" w:rsidRDefault="003A6D61" w:rsidP="00C223AB">
      <w:pPr>
        <w:rPr>
          <w:rFonts w:ascii="Arial" w:hAnsi="Arial" w:cs="Arial"/>
        </w:rPr>
      </w:pPr>
    </w:p>
    <w:p w14:paraId="247318C8" w14:textId="77777777" w:rsidR="003A6D61" w:rsidRPr="00C223AB" w:rsidRDefault="003A6D61" w:rsidP="00C223AB">
      <w:pPr>
        <w:rPr>
          <w:rFonts w:ascii="Arial" w:hAnsi="Arial" w:cs="Arial"/>
          <w:b/>
          <w:i/>
        </w:rPr>
      </w:pPr>
      <w:r w:rsidRPr="00C223AB">
        <w:rPr>
          <w:rFonts w:ascii="Arial" w:hAnsi="Arial" w:cs="Arial"/>
          <w:b/>
          <w:i/>
        </w:rPr>
        <w:t xml:space="preserve">Triglyceride levels and calculated remnant cholesterol levels. </w:t>
      </w:r>
    </w:p>
    <w:p w14:paraId="6E8A7643" w14:textId="58582C36" w:rsidR="003A6D61" w:rsidRPr="00C223AB" w:rsidRDefault="003A6D61" w:rsidP="00716903">
      <w:pPr>
        <w:ind w:firstLine="708"/>
        <w:rPr>
          <w:rFonts w:ascii="Arial" w:hAnsi="Arial" w:cs="Arial"/>
        </w:rPr>
      </w:pPr>
      <w:r w:rsidRPr="00C223AB">
        <w:rPr>
          <w:rFonts w:ascii="Arial" w:hAnsi="Arial" w:cs="Arial"/>
        </w:rPr>
        <w:t>In recent literature, triglyceride levels are increasingly acknowledged as a biomarker for the cholesterol content of TRL</w:t>
      </w:r>
      <w:proofErr w:type="gramStart"/>
      <w:r w:rsidRPr="00C223AB">
        <w:rPr>
          <w:rFonts w:ascii="Arial" w:hAnsi="Arial" w:cs="Arial"/>
        </w:rPr>
        <w:t xml:space="preserve">, </w:t>
      </w:r>
      <w:r w:rsidR="00837E54" w:rsidRPr="00C223AB">
        <w:rPr>
          <w:rFonts w:ascii="Arial" w:hAnsi="Arial" w:cs="Arial"/>
        </w:rPr>
        <w:t xml:space="preserve"> known</w:t>
      </w:r>
      <w:proofErr w:type="gramEnd"/>
      <w:r w:rsidR="00837E54" w:rsidRPr="00C223AB">
        <w:rPr>
          <w:rFonts w:ascii="Arial" w:hAnsi="Arial" w:cs="Arial"/>
        </w:rPr>
        <w:t xml:space="preserve"> as remnant cholesterol, </w:t>
      </w:r>
      <w:r w:rsidRPr="00C223AB">
        <w:rPr>
          <w:rFonts w:ascii="Arial" w:hAnsi="Arial" w:cs="Arial"/>
        </w:rPr>
        <w:t>which is understood to be the relevant contributor to atherosclerosis</w:t>
      </w:r>
      <w:r w:rsidR="00837E54" w:rsidRPr="00C223AB">
        <w:rPr>
          <w:rFonts w:ascii="Arial" w:hAnsi="Arial" w:cs="Arial"/>
        </w:rPr>
        <w:t>.</w:t>
      </w:r>
      <w:r w:rsidR="008527C7" w:rsidRPr="00C223AB">
        <w:rPr>
          <w:rFonts w:ascii="Arial" w:hAnsi="Arial" w:cs="Arial"/>
        </w:rPr>
        <w:fldChar w:fldCharType="begin" w:fldLock="1"/>
      </w:r>
      <w:r w:rsidR="006A2A45" w:rsidRPr="00C223AB">
        <w:rPr>
          <w:rFonts w:ascii="Arial" w:hAnsi="Arial" w:cs="Arial"/>
        </w:rPr>
        <w:instrText>ADDIN CSL_CITATION { "citationItems" : [ { "id" : "ITEM-1", "itemData" : { "DOI" : "10.1161/CIRCULATIONAHA.113.003008", "ISSN" : "1524-4539", "PMID" : "23926208", "abstract" : "BACKGROUND Elevated nonfasting remnant cholesterol and low-density lipoprotein (LDL) cholesterol are causally associated with ischemic heart disease (IHD), but whether elevated nonfasting remnant cholesterol and LDL cholesterol both cause low-grade inflammation is currently unknown. METHODS AND RESULTS We studied 60 608 individuals from the Copenhagen General Population Study, the Copenhagen City Heart Study, and the Copenhagen Ischemic Heart Disease study, of whom 10 668 had IHD diagnosed between 1977 and 2011. We genotyped for variants affecting levels of nonfasting remnant cholesterol, LDL cholesterol, C-reactive protein by CRP alleles, and C-reactive protein by IL6R alleles. Using a multidirectional mendelian randomization design, we investigated possible causal associations between the lipoproteins and C-reactive protein and between the lipoproteins and IHD. A 1-mmol/L(39 mg/dL) higher level of nonfasting remnant cholesterol was associated observationally with a 37% (95% confidence interval, 35-39) higher C-reactive protein level and causally with a 28% (95% confidence interval, 10-48) higher level. For LDL cholesterol, a 1-mmol/L (39-mg/dL) higher level was associated observationally with a 7% (95% confidence interval, 6-7) higher C-reactive protein level, but we found no causal association. Likewise, higher levels of C-reactive protein did not associate causally with elevated nonfasting remnant cholesterol or LDL cholesterol. Finally, the causal risk ratio for IHD for a 1-mmol/L (39-mg/dL) higher level was 3.3 (95% confidence interval, 2.1-5.2) for nonfasting remnant cholesterol and 1.8 (95% confidence interval, 1.5-2.2) for LDL cholesterol. The causal associations for remnant cholesterol were present even in those without diabetes mellitus and obesity. CONCLUSIONS Elevated nonfasting remnant cholesterol is causally associated with low-grade inflammation and with IHD, whereas elevated LDL cholesterol is associated causally with IHD without inflammation.", "author" : [ { "dropping-particle" : "", "family" : "Varbo", "given" : "Anette", "non-dropping-particle" : "", "parse-names" : false, "suffix" : "" }, { "dropping-particle" : "", "family" : "Benn", "given" : "Marianne", "non-dropping-particle" : "", "parse-names" : false, "suffix" : "" }, { "dropping-particle" : "", "family" : "Tybj\u00e6rg-Hansen", "given" : "Anne", "non-dropping-particle" : "", "parse-names" : false, "suffix" : "" }, { "dropping-particle" : "", "family" : "Nordestgaard", "given" : "B\u00f8rge G", "non-dropping-particle" : "", "parse-names" : false, "suffix" : "" } ], "container-title" : "Circulation", "id" : "ITEM-1", "issue" : "12", "issued" : { "date-parts" : [ [ "2013", "9", "17" ] ] }, "page" : "1298-309", "title" : "Elevated remnant cholesterol causes both low-grade inflammation and ischemic heart disease, whereas elevated low-density lipoprotein cholesterol causes ischemic heart disease without inflammation.", "type" : "article-journal", "volume" : "128" }, "uris" : [ "http://www.mendeley.com/documents/?uuid=64d50299-e8d6-4ec9-817c-ee5a9f91e249" ] } ], "mendeley" : { "formattedCitation" : "&lt;sup&gt;15&lt;/sup&gt;", "plainTextFormattedCitation" : "15", "previouslyFormattedCitation" : "&lt;sup&gt;15&lt;/sup&gt;" }, "properties" : { "noteIndex" : 0 }, "schema" : "https://github.com/citation-style-language/schema/raw/master/csl-citation.json" }</w:instrText>
      </w:r>
      <w:r w:rsidR="008527C7" w:rsidRPr="00C223AB">
        <w:rPr>
          <w:rFonts w:ascii="Arial" w:hAnsi="Arial" w:cs="Arial"/>
        </w:rPr>
        <w:fldChar w:fldCharType="separate"/>
      </w:r>
      <w:r w:rsidR="00B44858" w:rsidRPr="00C223AB">
        <w:rPr>
          <w:rFonts w:ascii="Arial" w:hAnsi="Arial" w:cs="Arial"/>
          <w:noProof/>
          <w:vertAlign w:val="superscript"/>
        </w:rPr>
        <w:t>15</w:t>
      </w:r>
      <w:r w:rsidR="008527C7" w:rsidRPr="00C223AB">
        <w:rPr>
          <w:rFonts w:ascii="Arial" w:hAnsi="Arial" w:cs="Arial"/>
        </w:rPr>
        <w:fldChar w:fldCharType="end"/>
      </w:r>
      <w:r w:rsidRPr="00C223AB">
        <w:rPr>
          <w:rFonts w:ascii="Arial" w:hAnsi="Arial" w:cs="Arial"/>
        </w:rPr>
        <w:t xml:space="preserve"> As LDL-C in our study is calculated using the Friedewald formula both parameters are mathematically related, which is illustrated by the strong correlation between triglycerides and remnant cholesterol levels (R</w:t>
      </w:r>
      <w:r w:rsidRPr="00C223AB">
        <w:rPr>
          <w:rFonts w:ascii="Arial" w:hAnsi="Arial" w:cs="Arial"/>
          <w:vertAlign w:val="superscript"/>
        </w:rPr>
        <w:t>2</w:t>
      </w:r>
      <w:r w:rsidRPr="00C223AB">
        <w:rPr>
          <w:rFonts w:ascii="Arial" w:hAnsi="Arial" w:cs="Arial"/>
        </w:rPr>
        <w:t xml:space="preserve">=0.99, p&lt;0.001). However, to be as thorough and complete as possible in our analyses we did include remnant cholesterol and found identical associations for apoC-III and triglyceride or remnant cholesterol levels. </w:t>
      </w:r>
    </w:p>
    <w:p w14:paraId="28325248" w14:textId="77777777" w:rsidR="00E476A0" w:rsidRPr="00C223AB" w:rsidRDefault="00E476A0" w:rsidP="00C223AB">
      <w:pPr>
        <w:rPr>
          <w:rFonts w:ascii="Arial" w:hAnsi="Arial" w:cs="Arial"/>
        </w:rPr>
      </w:pPr>
    </w:p>
    <w:p w14:paraId="732F952B" w14:textId="77777777" w:rsidR="00873578" w:rsidRPr="00C223AB" w:rsidRDefault="00873578" w:rsidP="00C223AB">
      <w:pPr>
        <w:rPr>
          <w:rFonts w:ascii="Arial" w:hAnsi="Arial" w:cs="Arial"/>
        </w:rPr>
      </w:pPr>
      <w:r w:rsidRPr="00C223AB">
        <w:rPr>
          <w:rFonts w:ascii="Arial" w:hAnsi="Arial" w:cs="Arial"/>
          <w:b/>
        </w:rPr>
        <w:t>D</w:t>
      </w:r>
      <w:r w:rsidR="005302C5" w:rsidRPr="00C223AB">
        <w:rPr>
          <w:rFonts w:ascii="Arial" w:hAnsi="Arial" w:cs="Arial"/>
          <w:b/>
        </w:rPr>
        <w:t>iscussion</w:t>
      </w:r>
    </w:p>
    <w:p w14:paraId="037A7FCC" w14:textId="5FFBCD2A" w:rsidR="001C07C8" w:rsidRPr="00C223AB" w:rsidRDefault="00CE0763" w:rsidP="00C223AB">
      <w:pPr>
        <w:rPr>
          <w:rFonts w:ascii="Arial" w:hAnsi="Arial" w:cs="Arial"/>
        </w:rPr>
      </w:pPr>
      <w:r w:rsidRPr="00C223AB">
        <w:rPr>
          <w:rFonts w:ascii="Arial" w:hAnsi="Arial" w:cs="Arial"/>
        </w:rPr>
        <w:tab/>
      </w:r>
      <w:r w:rsidR="00372DC4" w:rsidRPr="00C223AB">
        <w:rPr>
          <w:rFonts w:ascii="Arial" w:hAnsi="Arial" w:cs="Arial"/>
        </w:rPr>
        <w:t xml:space="preserve">This large, prospective </w:t>
      </w:r>
      <w:r w:rsidR="009730D4" w:rsidRPr="00C223AB">
        <w:rPr>
          <w:rFonts w:ascii="Arial" w:hAnsi="Arial" w:cs="Arial"/>
        </w:rPr>
        <w:t xml:space="preserve">study </w:t>
      </w:r>
      <w:r w:rsidR="00372DC4" w:rsidRPr="00C223AB">
        <w:rPr>
          <w:rFonts w:ascii="Arial" w:hAnsi="Arial" w:cs="Arial"/>
        </w:rPr>
        <w:t>demonstrates that e</w:t>
      </w:r>
      <w:r w:rsidR="002830D9" w:rsidRPr="00C223AB">
        <w:rPr>
          <w:rFonts w:ascii="Arial" w:hAnsi="Arial" w:cs="Arial"/>
        </w:rPr>
        <w:t>levated a</w:t>
      </w:r>
      <w:r w:rsidR="00BA04DB" w:rsidRPr="00C223AB">
        <w:rPr>
          <w:rFonts w:ascii="Arial" w:hAnsi="Arial" w:cs="Arial"/>
        </w:rPr>
        <w:t xml:space="preserve">poC-III levels </w:t>
      </w:r>
      <w:r w:rsidR="006315C2" w:rsidRPr="00C223AB">
        <w:rPr>
          <w:rFonts w:ascii="Arial" w:hAnsi="Arial" w:cs="Arial"/>
        </w:rPr>
        <w:t>a</w:t>
      </w:r>
      <w:r w:rsidR="00BA04DB" w:rsidRPr="00C223AB">
        <w:rPr>
          <w:rFonts w:ascii="Arial" w:hAnsi="Arial" w:cs="Arial"/>
        </w:rPr>
        <w:t xml:space="preserve">re </w:t>
      </w:r>
      <w:r w:rsidR="00386969" w:rsidRPr="00C223AB">
        <w:rPr>
          <w:rFonts w:ascii="Arial" w:hAnsi="Arial" w:cs="Arial"/>
        </w:rPr>
        <w:t>associat</w:t>
      </w:r>
      <w:r w:rsidR="00BA04DB" w:rsidRPr="00C223AB">
        <w:rPr>
          <w:rFonts w:ascii="Arial" w:hAnsi="Arial" w:cs="Arial"/>
        </w:rPr>
        <w:t xml:space="preserve">ed with a significantly </w:t>
      </w:r>
      <w:r w:rsidR="006E04A6" w:rsidRPr="00C223AB">
        <w:rPr>
          <w:rFonts w:ascii="Arial" w:hAnsi="Arial" w:cs="Arial"/>
        </w:rPr>
        <w:t>increased</w:t>
      </w:r>
      <w:r w:rsidR="00BA04DB" w:rsidRPr="00C223AB">
        <w:rPr>
          <w:rFonts w:ascii="Arial" w:hAnsi="Arial" w:cs="Arial"/>
        </w:rPr>
        <w:t xml:space="preserve"> risk of CAD</w:t>
      </w:r>
      <w:r w:rsidR="009730D4" w:rsidRPr="00C223AB">
        <w:rPr>
          <w:rFonts w:ascii="Arial" w:hAnsi="Arial" w:cs="Arial"/>
        </w:rPr>
        <w:t xml:space="preserve">. Furthermore, the risk of elevated apoC-III levels </w:t>
      </w:r>
      <w:r w:rsidR="006315C2" w:rsidRPr="00C223AB">
        <w:rPr>
          <w:rFonts w:ascii="Arial" w:hAnsi="Arial" w:cs="Arial"/>
        </w:rPr>
        <w:t xml:space="preserve">was strongly </w:t>
      </w:r>
      <w:r w:rsidR="00DB271C" w:rsidRPr="00C223AB">
        <w:rPr>
          <w:rFonts w:ascii="Arial" w:hAnsi="Arial" w:cs="Arial"/>
        </w:rPr>
        <w:t xml:space="preserve">and </w:t>
      </w:r>
      <w:r w:rsidR="006315C2" w:rsidRPr="00C223AB">
        <w:rPr>
          <w:rFonts w:ascii="Arial" w:hAnsi="Arial" w:cs="Arial"/>
        </w:rPr>
        <w:t>quantitatively</w:t>
      </w:r>
      <w:r w:rsidR="00DE668A" w:rsidRPr="00C223AB">
        <w:rPr>
          <w:rFonts w:ascii="Arial" w:hAnsi="Arial" w:cs="Arial"/>
        </w:rPr>
        <w:t xml:space="preserve"> </w:t>
      </w:r>
      <w:r w:rsidR="0088157F" w:rsidRPr="00C223AB">
        <w:rPr>
          <w:rFonts w:ascii="Arial" w:hAnsi="Arial" w:cs="Arial"/>
        </w:rPr>
        <w:t>associated with</w:t>
      </w:r>
      <w:r w:rsidR="00DE668A" w:rsidRPr="00C223AB">
        <w:rPr>
          <w:rFonts w:ascii="Arial" w:hAnsi="Arial" w:cs="Arial"/>
        </w:rPr>
        <w:t xml:space="preserve"> several parameters of </w:t>
      </w:r>
      <w:r w:rsidR="0088157F" w:rsidRPr="00C223AB">
        <w:rPr>
          <w:rFonts w:ascii="Arial" w:hAnsi="Arial" w:cs="Arial"/>
        </w:rPr>
        <w:t>T</w:t>
      </w:r>
      <w:r w:rsidR="006315C2" w:rsidRPr="00C223AB">
        <w:rPr>
          <w:rFonts w:ascii="Arial" w:hAnsi="Arial" w:cs="Arial"/>
        </w:rPr>
        <w:t>RL</w:t>
      </w:r>
      <w:r w:rsidR="004041E3" w:rsidRPr="00C223AB">
        <w:rPr>
          <w:rFonts w:ascii="Arial" w:hAnsi="Arial" w:cs="Arial"/>
        </w:rPr>
        <w:t xml:space="preserve">, </w:t>
      </w:r>
      <w:r w:rsidR="0088157F" w:rsidRPr="00C223AB">
        <w:rPr>
          <w:rFonts w:ascii="Arial" w:hAnsi="Arial" w:cs="Arial"/>
        </w:rPr>
        <w:t>small LDL particles</w:t>
      </w:r>
      <w:r w:rsidR="004041E3" w:rsidRPr="00C223AB">
        <w:rPr>
          <w:rFonts w:ascii="Arial" w:hAnsi="Arial" w:cs="Arial"/>
        </w:rPr>
        <w:t xml:space="preserve"> and</w:t>
      </w:r>
      <w:r w:rsidR="00DE668A" w:rsidRPr="00C223AB">
        <w:rPr>
          <w:rFonts w:ascii="Arial" w:hAnsi="Arial" w:cs="Arial"/>
        </w:rPr>
        <w:t xml:space="preserve"> </w:t>
      </w:r>
      <w:r w:rsidR="00935499" w:rsidRPr="00C223AB">
        <w:rPr>
          <w:rFonts w:ascii="Arial" w:hAnsi="Arial" w:cs="Arial"/>
        </w:rPr>
        <w:t>inflammation</w:t>
      </w:r>
      <w:r w:rsidR="00DE668A" w:rsidRPr="00C223AB">
        <w:rPr>
          <w:rFonts w:ascii="Arial" w:hAnsi="Arial" w:cs="Arial"/>
        </w:rPr>
        <w:t xml:space="preserve">. </w:t>
      </w:r>
      <w:r w:rsidR="00DB271C" w:rsidRPr="00C223AB">
        <w:rPr>
          <w:rFonts w:ascii="Arial" w:hAnsi="Arial" w:cs="Arial"/>
        </w:rPr>
        <w:t>This</w:t>
      </w:r>
      <w:r w:rsidR="00372DC4" w:rsidRPr="00C223AB">
        <w:rPr>
          <w:rFonts w:ascii="Arial" w:hAnsi="Arial" w:cs="Arial"/>
        </w:rPr>
        <w:t xml:space="preserve"> study represents the largest study to date to substantiate the association between apoC-III plasma levels and CAD risk, in terms of total subjects studied </w:t>
      </w:r>
      <w:r w:rsidR="00935499" w:rsidRPr="00C223AB">
        <w:rPr>
          <w:rFonts w:ascii="Arial" w:hAnsi="Arial" w:cs="Arial"/>
        </w:rPr>
        <w:t>and</w:t>
      </w:r>
      <w:r w:rsidR="00372DC4" w:rsidRPr="00C223AB">
        <w:rPr>
          <w:rFonts w:ascii="Arial" w:hAnsi="Arial" w:cs="Arial"/>
        </w:rPr>
        <w:t xml:space="preserve"> CAD case numbers</w:t>
      </w:r>
      <w:r w:rsidR="00DB271C" w:rsidRPr="00C223AB">
        <w:rPr>
          <w:rFonts w:ascii="Arial" w:hAnsi="Arial" w:cs="Arial"/>
        </w:rPr>
        <w:t>,</w:t>
      </w:r>
      <w:r w:rsidR="00935499" w:rsidRPr="00C223AB">
        <w:rPr>
          <w:rFonts w:ascii="Arial" w:hAnsi="Arial" w:cs="Arial"/>
        </w:rPr>
        <w:t xml:space="preserve"> and </w:t>
      </w:r>
      <w:r w:rsidR="00DB271C" w:rsidRPr="00C223AB">
        <w:rPr>
          <w:rFonts w:ascii="Arial" w:hAnsi="Arial" w:cs="Arial"/>
        </w:rPr>
        <w:t xml:space="preserve">provides </w:t>
      </w:r>
      <w:r w:rsidR="00BC2F81" w:rsidRPr="00C223AB">
        <w:rPr>
          <w:rFonts w:ascii="Arial" w:hAnsi="Arial" w:cs="Arial"/>
        </w:rPr>
        <w:t>another level of epidemiologic</w:t>
      </w:r>
      <w:r w:rsidR="00DB271C" w:rsidRPr="00C223AB">
        <w:rPr>
          <w:rFonts w:ascii="Arial" w:hAnsi="Arial" w:cs="Arial"/>
        </w:rPr>
        <w:t xml:space="preserve"> </w:t>
      </w:r>
      <w:r w:rsidR="00BC2F81" w:rsidRPr="00C223AB">
        <w:rPr>
          <w:rFonts w:ascii="Arial" w:hAnsi="Arial" w:cs="Arial"/>
        </w:rPr>
        <w:t>evidence to support the genetic data of apoC</w:t>
      </w:r>
      <w:r w:rsidR="00B44858" w:rsidRPr="00C223AB">
        <w:rPr>
          <w:rFonts w:ascii="Arial" w:hAnsi="Arial" w:cs="Arial"/>
        </w:rPr>
        <w:t>-</w:t>
      </w:r>
      <w:r w:rsidR="00BC2F81" w:rsidRPr="00C223AB">
        <w:rPr>
          <w:rFonts w:ascii="Arial" w:hAnsi="Arial" w:cs="Arial"/>
        </w:rPr>
        <w:t>III as a potential target of therapy.</w:t>
      </w:r>
      <w:r w:rsidR="0087032D" w:rsidRPr="00C223AB">
        <w:rPr>
          <w:rFonts w:ascii="Arial" w:hAnsi="Arial" w:cs="Arial"/>
        </w:rPr>
        <w:fldChar w:fldCharType="begin" w:fldLock="1"/>
      </w:r>
      <w:r w:rsidR="00E47F0A" w:rsidRPr="00C223AB">
        <w:rPr>
          <w:rFonts w:ascii="Arial" w:hAnsi="Arial" w:cs="Arial"/>
        </w:rPr>
        <w:instrText>ADDIN CSL_CITATION { "citationItems" : [ { "id" : "ITEM-1", "itemData" : { "DOI" : "10.1056/NEJMoa1400283", "ISSN" : "1533-4406", "PMID" : "26222559", "abstract" : "BACKGROUND Apolipoprotein C-III (APOC3) is a key regulator of plasma triglyceride levels. Elevated triglyceride levels are associated with a risk of adverse cardiovascular events and pancreatitis. ISIS 304801 is a second-generation antisense inhibitor of APOC3 synthesis. METHODS We conducted a randomized, double-blind, placebo-controlled, dose-ranging, phase 2 study to evaluate ISIS 304801 in untreated patients with fasting triglyceride levels between 350 mg per deciliter (4.0 mmol per liter) and 2000 mg per deciliter (22.6 mmol per liter) (ISIS 304801 monotherapy cohort), as well as in patients receiving stable fibrate therapy who had fasting triglyceride levels between 225 mg per deciliter (2.5 mmol per liter) and 2000 mg per deciliter (ISIS 304801-fibrate cohort). Eligible patients were randomly assigned to receive either ISIS 304801, at doses ranging from 100 to 300 mg, or placebo, once weekly for 13 weeks. The primary outcome was the percentage change in APOC3 level from baseline. RESULTS A total of 57 patients were treated in the ISIS 304801 monotherapy cohort (41 received active agent, and 16 received placebo), and 28 patients were treated in the ISIS 304801-fibrate cohort (20 received active agent, and 8 received placebo). The mean (\u00b1SD) baseline triglyceride levels in the two cohorts were 581\u00b1291 mg per deciliter (6.6\u00b13.3 mmol per liter) and 376\u00b1188 mg per deciliter (4.2\u00b12.1 mmol per liter), respectively. Treatment with ISIS 304801 resulted in dose-dependent and prolonged decreases in plasma APOC3 levels when the drug was administered as a single agent (decreases of 40.0\u00b132.0% in the 100-mg group, 63.8\u00b122.3% in the 200-mg group, and 79.6\u00b19.3% in the 300-mg group, vs. an increase of 4.2\u00b141.7% in the placebo group) and when it was administered as an add-on to fibrates (decreases of 60.2\u00b112.5% in the 200-mg group and 70.9\u00b113.0% in the 300-mg group, vs. a decrease of 2.2\u00b125.2% in the placebo group). Concordant reductions of 31.3 to 70.9% were observed in triglyceride levels. No safety concerns were identified in this short-term study. CONCLUSIONS We found that treatment with ISIS 304801 was associated with significant lowering of triglyceride levels, among patients with a broad range of baseline levels, through selective antisense inhibition of APOC3 synthesis. (Funded by Isis Pharmaceuticals; ClinicalTrials.gov number, NCT01529424.).", "author" : [ { "dropping-particle" : "", "family" : "Gaudet", "given" : "Daniel", "non-dropping-particle" : "", "parse-names" : false, "suffix" : "" }, { "dropping-particle" : "", "family" : "Alexander", "given" : "Veronica J", "non-dropping-particle" : "", "parse-names" : false, "suffix" : "" }, { "dropping-particle" : "", "family" : "Baker", "given" : "Brenda F", "non-dropping-particle" : "", "parse-names" : false, "suffix" : "" }, { "dropping-particle" : "", "family" : "Brisson", "given" : "Diane", "non-dropping-particle" : "", "parse-names" : false, "suffix" : "" }, { "dropping-particle" : "", "family" : "Tremblay", "given" : "Karine", "non-dropping-particle" : "", "parse-names" : false, "suffix" : "" }, { "dropping-particle" : "", "family" : "Singleton", "given" : "Walter", "non-dropping-particle" : "", "parse-names" : false, "suffix" : "" }, { "dropping-particle" : "", "family" : "Geary", "given" : "Richard S", "non-dropping-particle" : "", "parse-names" : false, "suffix" : "" }, { "dropping-particle" : "", "family" : "Hughes", "given" : "Steven G", "non-dropping-particle" : "", "parse-names" : false, "suffix" : "" }, { "dropping-particle" : "", "family" : "Viney", "given" : "Nicholas J", "non-dropping-particle" : "", "parse-names" : false, "suffix" : "" }, { "dropping-particle" : "", "family" : "Graham", "given" : "Mark J", "non-dropping-particle" : "", "parse-names" : false, "suffix" : "" }, { "dropping-particle" : "", "family" : "Crooke", "given" : "Rosanne M", "non-dropping-particle" : "", "parse-names" : false, "suffix" : "" }, { "dropping-particle" : "", "family" : "Witztum", "given" : "Joseph L", "non-dropping-particle" : "", "parse-names" : false, "suffix" : "" }, { "dropping-particle" : "", "family" : "Brunzell", "given" : "John D", "non-dropping-particle" : "", "parse-names" : false, "suffix" : "" }, { "dropping-particle" : "", "family" : "Kastelein", "given" : "John J P", "non-dropping-particle" : "", "parse-names" : false, "suffix" : "" } ], "container-title" : "The New England journal of medicine", "id" : "ITEM-1", "issue" : "5", "issued" : { "date-parts" : [ [ "2015", "7", "30" ] ] }, "page" : "438-47", "title" : "Antisense Inhibition of Apolipoprotein C-III in Patients with Hypertriglyceridemia.", "type" : "article-journal", "volume" : "373" }, "uris" : [ "http://www.mendeley.com/documents/?uuid=ab25afbc-4809-46f7-9cb7-75e7e42b2d52" ] } ], "mendeley" : { "formattedCitation" : "&lt;sup&gt;5&lt;/sup&gt;", "plainTextFormattedCitation" : "5", "previouslyFormattedCitation" : "&lt;sup&gt;5&lt;/sup&gt;" }, "properties" : { "noteIndex" : 0 }, "schema" : "https://github.com/citation-style-language/schema/raw/master/csl-citation.json" }</w:instrText>
      </w:r>
      <w:r w:rsidR="0087032D" w:rsidRPr="00C223AB">
        <w:rPr>
          <w:rFonts w:ascii="Arial" w:hAnsi="Arial" w:cs="Arial"/>
        </w:rPr>
        <w:fldChar w:fldCharType="separate"/>
      </w:r>
      <w:r w:rsidR="0087032D" w:rsidRPr="00C223AB">
        <w:rPr>
          <w:rFonts w:ascii="Arial" w:hAnsi="Arial" w:cs="Arial"/>
          <w:noProof/>
          <w:vertAlign w:val="superscript"/>
        </w:rPr>
        <w:t>5</w:t>
      </w:r>
      <w:r w:rsidR="0087032D" w:rsidRPr="00C223AB">
        <w:rPr>
          <w:rFonts w:ascii="Arial" w:hAnsi="Arial" w:cs="Arial"/>
        </w:rPr>
        <w:fldChar w:fldCharType="end"/>
      </w:r>
    </w:p>
    <w:p w14:paraId="0D855B40" w14:textId="4B7EEC1C" w:rsidR="00226EBB" w:rsidRPr="00C223AB" w:rsidRDefault="00192464" w:rsidP="00C223AB">
      <w:pPr>
        <w:rPr>
          <w:rFonts w:ascii="Arial" w:hAnsi="Arial" w:cs="Arial"/>
          <w:vertAlign w:val="subscript"/>
        </w:rPr>
      </w:pPr>
      <w:r w:rsidRPr="00C223AB">
        <w:rPr>
          <w:rFonts w:ascii="Arial" w:hAnsi="Arial" w:cs="Arial"/>
        </w:rPr>
        <w:tab/>
      </w:r>
      <w:r w:rsidR="00013F7B" w:rsidRPr="00C223AB">
        <w:rPr>
          <w:rFonts w:ascii="Arial" w:hAnsi="Arial" w:cs="Arial"/>
        </w:rPr>
        <w:t xml:space="preserve">Our results are in line with previous reports that report </w:t>
      </w:r>
      <w:r w:rsidR="00E47F0A" w:rsidRPr="00C223AB">
        <w:rPr>
          <w:rFonts w:ascii="Arial" w:hAnsi="Arial" w:cs="Arial"/>
        </w:rPr>
        <w:t xml:space="preserve">on </w:t>
      </w:r>
      <w:r w:rsidR="00013F7B" w:rsidRPr="00C223AB">
        <w:rPr>
          <w:rFonts w:ascii="Arial" w:hAnsi="Arial" w:cs="Arial"/>
        </w:rPr>
        <w:t>the association of apoC-III with CAD risk</w:t>
      </w:r>
      <w:r w:rsidR="00E47F0A" w:rsidRPr="00C223AB">
        <w:rPr>
          <w:rFonts w:ascii="Arial" w:hAnsi="Arial" w:cs="Arial"/>
        </w:rPr>
        <w:fldChar w:fldCharType="begin" w:fldLock="1"/>
      </w:r>
      <w:r w:rsidR="00C223AB" w:rsidRPr="00C223AB">
        <w:rPr>
          <w:rFonts w:ascii="Arial" w:hAnsi="Arial" w:cs="Arial"/>
        </w:rPr>
        <w:instrText>ADDIN CSL_CITATION { "citationItems" : [ { "id" : "ITEM-1", "itemData" : { "DOI" : "10.1016/j.jacl.2015.05.002", "ISSN" : "19332874", "PMID" : "26228667", "abstract" : "BACKGROUND Apolipoprotein CIII (apoC-III) is an atherogenic protein found on HDL, VLDL and LDL. OBJECTIVE The objective of this study is to review the literature on the association of blood apoC-III level with cardiovascular events and the dose-response relationship for this association. METHODS AND RESULTS MEDLINE, EMBASE, BIOSIS, CINAHL, Clinicaltrials.gov, grey-literature sources, contact with investigators, and reference lists of studies, without language restrictions, were reviewed. Twelve studies (5 retrospective and 7 prospective) with a total of 3163 cases of cardiovascular events met inclusion criteria for this systematic review. The pooled standardized mean difference showed significantly higher levels of apoC-III in the non-HDL fraction of plasma (representing apoC-III in VLDL and LDL) in those with cardiovascular disease compared with controls; no difference for apoC-III levels in HDL; and, a trend toward higher total plasma apoC-III in the cases. Pooled risk estimates from the meta-analysis were 2.48 (1.48-4.32; non-HDL apoC-III), 1.09 (0.65-1.82; HDL apoC-III), and 1.33 (1.07-1.66; total apoC-III) for a cardiovascular event with a 5-mg/dL increase in apoC-III. CONCLUSIONS The current body of literature includes several methodologically sound studies that together provide consistent evidence for an association of cardiovascular events with blood apoC-III level in total plasma or in VLDL and LDL. More data are needed to determine importance of levels of apoC-III in specific lipoproteins for cardiovascular risk assessment and management and to elucidate the interaction between triglycerides and apoC-III in relation to risk of cardiovascular disease.", "author" : [ { "dropping-particle" : "", "family" : "Wyler von Ballmoos", "given" : "Moritz C", "non-dropping-particle" : "", "parse-names" : false, "suffix" : "" }, { "dropping-particle" : "", "family" : "Haring", "given" : "Bernhard", "non-dropping-particle" : "", "parse-names" : false, "suffix" : "" }, { "dropping-particle" : "", "family" : "Sacks", "given" : "Frank M", "non-dropping-particle" : "", "parse-names" : false, "suffix" : "" } ], "container-title" : "Journal of Clinical Lipidology", "id" : "ITEM-1", "issue" : "4", "issued" : { "date-parts" : [ [ "2015", "7" ] ] }, "page" : "498-510", "title" : "The risk of cardiovascular events with increased apolipoprotein CIII: A systematic review and meta-analysis", "type" : "article-journal", "volume" : "9" }, "uris" : [ "http://www.mendeley.com/documents/?uuid=84b4e34d-6b2a-48a0-87fc-2eb097410726" ] }, { "id" : "ITEM-2", "itemData" : { "DOI" : "10.1373/clinchem.2008.103234", "ISSN" : "1530-8561", "PMID" : "18556334", "abstract" : "BACKGROUND Hypertriglyceridemia is a cardiovascular risk factor. Apolipoprotein C-III (apoC-III) is an important determinant of the catabolic rate of triglyceride-rich lipoproteins. The aim of this study was to investigate the prognostic value of plasma apoC-III concentrations for cardiovascular mortality. METHODS We performed this prospective study in 2244 subjects (ages 49-77 years) who participated in the Hoorn Study. During a mean follow-up of 15 years, 504 individuals died: 231 of cardiovascular disease, 180 of cancer, and 93 of other causes. Cardiovascular disease risk factors and plasma apoC-III concentrations were measured at baseline. RESULTS The age- and sex-adjusted plasma apoC-III concentration was prospectively associated with cardiovascular mortality (P &lt; 0.001). After adjustment for traditional risk factors, including fasting triglycerides, the hazard ratio (95% CI) for cardiovascular death between the highest and the lowest quartile of apoC-III was 1.85 (1.02-3.38). High concentrations of apoC-III did not appear to be associated with noncardiovascular mortality. CONCLUSIONS In this general population cohort, a high apoC-III concentration in plasma, independently of fasting triglycerides and other traditional risk factors, predicts cardiovascular mortality.", "author" : [ { "dropping-particle" : "", "family" : "Scheffer", "given" : "Peter G", "non-dropping-particle" : "", "parse-names" : false, "suffix" : "" }, { "dropping-particle" : "", "family" : "Teerlink", "given" : "Tom", "non-dropping-particle" : "", "parse-names" : false, "suffix" : "" }, { "dropping-particle" : "", "family" : "Dekker", "given" : "Jacqueline M", "non-dropping-particle" : "", "parse-names" : false, "suffix" : "" }, { "dropping-particle" : "", "family" : "Bos", "given" : "Gri\u00ebt", "non-dropping-particle" : "", "parse-names" : false, "suffix" : "" }, { "dropping-particle" : "", "family" : "Nijpels", "given" : "Giel", "non-dropping-particle" : "", "parse-names" : false, "suffix" : "" }, { "dropping-particle" : "", "family" : "Diamant", "given" : "Michaela", "non-dropping-particle" : "", "parse-names" : false, "suffix" : "" }, { "dropping-particle" : "", "family" : "Kostense", "given" : "Piet J", "non-dropping-particle" : "", "parse-names" : false, "suffix" : "" }, { "dropping-particle" : "", "family" : "Stehouwer", "given" : "Coen D A", "non-dropping-particle" : "", "parse-names" : false, "suffix" : "" }, { "dropping-particle" : "", "family" : "Heine", "given" : "Robert J", "non-dropping-particle" : "", "parse-names" : false, "suffix" : "" } ], "container-title" : "Clinical chemistry", "id" : "ITEM-2", "issue" : "8", "issued" : { "date-parts" : [ [ "2008", "8" ] ] }, "page" : "1325-30", "title" : "Increased plasma apolipoprotein C-III concentration independently predicts cardiovascular mortality: the Hoorn Study.", "type" : "article-journal", "volume" : "54" }, "uris" : [ "http://www.mendeley.com/documents/?uuid=28640df5-ef0c-4689-815f-44fc10798e73" ] }, { "id" : "ITEM-3", "itemData" : { "DOI" : "10.1016/j.jacc.2016.11.065", "ISSN" : "1558-3597", "PMID" : "28209220", "abstract" : "BACKGROUND Routine apolipoprotein (apo) measurements for cardiovascular disease (CVD) are restricted to apoA-I and apoB. Here, the authors measured an unprecedented range of apolipoproteins in a prospective, population-based study and relate their plasma levels to risk of CVD. OBJECTIVES This study sought to measure apolipoproteins directly by mass spectrometry and compare their associations with incident CVD and to obtain a system-level understanding of the correlations of apolipoproteins with the plasma lipidome and proteome. METHODS Associations of 13 apolipoproteins, 135 lipid species, and 211 other plasma proteins with incident CVD (91 events), defined as stroke, myocardial infarction, or sudden cardiac death, were assessed prospectively over a 10-year period in the Bruneck Study (N = 688) using multiple-reaction monitoring mass spectrometry. Changes in apolipoprotein and lipid levels following treatment with volanesorsen, a second-generation antisense drug targeting apoC-III, were determined in 2 human intervention trials, one of which was randomized. RESULTS The apolipoproteins most significantly associated with incident CVD were apoC-II (hazard ratio per 1 SD [HR/SD]: 1.40; 95% confidence interval [CI]: 1.17 to 1.67), apoC-III (HR/SD: 1.38; 95% CI: 1.17 to 1.63), and apoE (HR/SD: 1.31; 95% CI: 1.13 to 1.52). Associations were independent of high-density lipoprotein (HDL) and non-HDL cholesterol, and extended to stroke and myocardial infarction. Lipidomic and proteomic profiles implicated these 3 very-low-density lipoprotein (VLDL)-associated apolipoproteins in de novo lipogenesis, glucose metabolism, complement activation, blood coagulation, and inflammation. Notably, apoC-II/apoC-III/apoE correlated with a pattern of lipid species previously linked to CVD risk. ApoC-III inhibition by volanesorsen reduced plasma levels of apoC-II, apoC-III, triacylglycerols, and diacylglycerols, and increased apoA-I, apoA-II, and apoM (all p &lt; 0.05 vs. placebo) without affecting apoB-100 (p = 0.73). CONCLUSIONS The strong associations of VLDL-associated apolipoproteins with incident CVD in the general community support the concept of targeting triacylglycerol-rich lipoproteins to reduce risk of CVD.", "author" : [ { "dropping-particle" : "", "family" : "Pechlaner", "given" : "Raimund", "non-dropping-particle" : "", "parse-names" : false, "suffix" : "" }, { "dropping-particle" : "", "family" : "Tsimikas", "given" : "Sotirios", "non-dropping-particle" : "", "parse-names" : false, "suffix" : "" }, { "dropping-particle" : "", "family" : "Yin", "given" : "Xiaoke", "non-dropping-particle" : "", "parse-names" : false, "suffix" : "" }, { "dropping-particle" : "", "family" : "Willeit", "given" : "Peter", "non-dropping-particle" : "", "parse-names" : false, "suffix" : "" }, { "dropping-particle" : "", "family" : "Baig", "given" : "Ferheen", "non-dropping-particle" : "", "parse-names" : false, "suffix" : "" }, { "dropping-particle" : "", "family" : "Santer", "given" : "Peter", "non-dropping-particle" : "", "parse-names" : false, "suffix" : "" }, { "dropping-particle" : "", "family" : "Oberhollenzer", "given" : "Friedrich", "non-dropping-particle" : "", "parse-names" : false, "suffix" : "" }, { "dropping-particle" : "", "family" : "Egger", "given" : "Georg", "non-dropping-particle" : "", "parse-names" : false, "suffix" : "" }, { "dropping-particle" : "", "family" : "Witztum", "given" : "Joseph L", "non-dropping-particle" : "", "parse-names" : false, "suffix" : "" }, { "dropping-particle" : "", "family" : "Alexander", "given" : "Veronica J", "non-dropping-particle" : "", "parse-names" : false, "suffix" : "" }, { "dropping-particle" : "", "family" : "Willeit", "given" : "Johann", "non-dropping-particle" : "", "parse-names" : false, "suffix" : "" }, { "dropping-particle" : "", "family" : "Kiechl", "given" : "Stefan", "non-dropping-particle" : "", "parse-names" : false, "suffix" : "" }, { "dropping-particle" : "", "family" : "Mayr", "given" : "Manuel", "non-dropping-particle" : "", "parse-names" : false, "suffix" : "" } ], "container-title" : "Journal of the American College of Cardiology", "id" : "ITEM-3", "issue" : "7", "issued" : { "date-parts" : [ [ "2017", "2", "21" ] ] }, "page" : "789-800", "title" : "Very-Low-Density Lipoprotein-Associated Apolipoproteins Predict Cardiovascular Events and Are Lowered by Inhibition of APOC-III.", "type" : "article-journal", "volume" : "69" }, "uris" : [ "http://www.mendeley.com/documents/?uuid=1c428931-e5e2-41e2-a507-c1b608f2858f" ] } ], "mendeley" : { "formattedCitation" : "&lt;sup&gt;16\u201318&lt;/sup&gt;", "plainTextFormattedCitation" : "16\u201318", "previouslyFormattedCitation" : "&lt;sup&gt;16,17&lt;/sup&gt;" }, "properties" : { "noteIndex" : 0 }, "schema" : "https://github.com/citation-style-language/schema/raw/master/csl-citation.json" }</w:instrText>
      </w:r>
      <w:r w:rsidR="00E47F0A" w:rsidRPr="00C223AB">
        <w:rPr>
          <w:rFonts w:ascii="Arial" w:hAnsi="Arial" w:cs="Arial"/>
        </w:rPr>
        <w:fldChar w:fldCharType="separate"/>
      </w:r>
      <w:r w:rsidR="00C223AB" w:rsidRPr="00C223AB">
        <w:rPr>
          <w:rFonts w:ascii="Arial" w:hAnsi="Arial" w:cs="Arial"/>
          <w:noProof/>
          <w:vertAlign w:val="superscript"/>
        </w:rPr>
        <w:t>16–18</w:t>
      </w:r>
      <w:r w:rsidR="00E47F0A" w:rsidRPr="00C223AB">
        <w:rPr>
          <w:rFonts w:ascii="Arial" w:hAnsi="Arial" w:cs="Arial"/>
        </w:rPr>
        <w:fldChar w:fldCharType="end"/>
      </w:r>
      <w:r w:rsidR="00013F7B" w:rsidRPr="00C223AB">
        <w:rPr>
          <w:rFonts w:ascii="Arial" w:hAnsi="Arial" w:cs="Arial"/>
        </w:rPr>
        <w:t xml:space="preserve">, and recently, with atherosclerotic burden in </w:t>
      </w:r>
      <w:r w:rsidR="00E47F0A" w:rsidRPr="00C223AB">
        <w:rPr>
          <w:rFonts w:ascii="Arial" w:hAnsi="Arial" w:cs="Arial"/>
        </w:rPr>
        <w:t>diabetics</w:t>
      </w:r>
      <w:r w:rsidR="00E47F0A" w:rsidRPr="00C223AB">
        <w:rPr>
          <w:rFonts w:ascii="Arial" w:hAnsi="Arial" w:cs="Arial"/>
        </w:rPr>
        <w:fldChar w:fldCharType="begin" w:fldLock="1"/>
      </w:r>
      <w:r w:rsidR="00C223AB" w:rsidRPr="00C223AB">
        <w:rPr>
          <w:rFonts w:ascii="Arial" w:hAnsi="Arial" w:cs="Arial"/>
        </w:rPr>
        <w:instrText>ADDIN CSL_CITATION { "citationItems" : [ { "id" : "ITEM-1", "itemData" : { "DOI" : "10.1161/ATVBAHA.115.305415", "ISSN" : "1524-4636", "PMID" : "26069232", "abstract" : "OBJECTIVE Triglyceride-rich lipoproteins have emerged as causal risk factors for developing coronary heart disease independent of low-density lipoprotein cholesterol levels. Apolipoprotein C-III (ApoC-III) modulates triglyceride-rich lipoprotein metabolism through inhibition of lipoprotein lipase and hepatic uptake of triglyceride-rich lipoproteins. Mutations causing loss-of-function of ApoC-III lower triglycerides and reduce coronary heart disease risk, suggestive of a causal role for ApoC-III. Little data exist about the relationship of ApoC-III, triglycerides, and atherosclerosis in patients with type 2 diabetes mellitus (T2DM). Here, we examined the relationships between plasma ApoC-III, triglycerides, and coronary artery calcification in patients with T2DM. APPROACH AND RESULTS Plasma ApoC-III levels were measured in a cross-sectional study of 1422 subjects with T2DM but without clinically manifest coronary heart disease. ApoC-III levels were positively associated with total cholesterol (Spearman r=0.36), triglycerides (r=0.59), low-density lipoprotein cholesterol (r=0.16), fasting glucose (r=0.16), and glycosylated hemoglobin (r=0.12; P&lt;0.0001 for all). In age, sex, and race-adjusted analysis, ApoC-III levels were positively associated with coronary artery calcification (Tobit regression ratio, 1.78; 95% confidence interval, 1.27-2.50 per SD increase in ApoC-III; P&lt;0.001). As expected for an intermediate mediator, these findings were attenuated when adjusted for both triglycerides (Tobit regression ratio, 1.43; 95% confidence interval, 0.94-2.18; P=0.086) and separately for very low-density lipoprotein cholesterol (Tobit regression ratio, 1.14; 95% confidence interval, 0.75-1.71; P=0.53). CONCLUSIONS In persons with T2DM, increased plasma ApoC-III is associated with higher triglycerides, less favorable cardiometabolic phenotypes, and higher coronary artery calcification, a measure of subclinical atherosclerosis. Therapeutic inhibition of ApoC-III may thus be a novel strategy for reducing plasma triglyceride-rich lipoproteins and cardiovascular risk in T2DM.", "author" : [ { "dropping-particle" : "", "family" : "Qamar", "given" : "Arman", "non-dropping-particle" : "", "parse-names" : false, "suffix" : "" }, { "dropping-particle" : "", "family" : "Khetarpal", "given" : "Sumeet A", "non-dropping-particle" : "", "parse-names" : false, "suffix" : "" }, { "dropping-particle" : "V", "family" : "Khera", "given" : "Amit", "non-dropping-particle" : "", "parse-names" : false, "suffix" : "" }, { "dropping-particle" : "", "family" : "Qasim", "given" : "Atif", "non-dropping-particle" : "", "parse-names" : false, "suffix" : "" }, { "dropping-particle" : "", "family" : "Rader", "given" : "Daniel J", "non-dropping-particle" : "", "parse-names" : false, "suffix" : "" }, { "dropping-particle" : "", "family" : "Reilly", "given" : "Muredach P", "non-dropping-particle" : "", "parse-names" : false, "suffix" : "" } ], "container-title" : "Arteriosclerosis, thrombosis, and vascular biology", "id" : "ITEM-1", "issue" : "8", "issued" : { "date-parts" : [ [ "2015", "8" ] ] }, "page" : "1880-8", "title" : "Plasma apolipoprotein C-III levels, triglycerides, and coronary artery calcification in type 2 diabetics.", "type" : "article-journal", "volume" : "35" }, "uris" : [ "http://www.mendeley.com/documents/?uuid=d4045b1f-5845-4685-a644-3c9bea7d791c" ] } ], "mendeley" : { "formattedCitation" : "&lt;sup&gt;19&lt;/sup&gt;", "plainTextFormattedCitation" : "19", "previouslyFormattedCitation" : "&lt;sup&gt;18&lt;/sup&gt;" }, "properties" : { "noteIndex" : 0 }, "schema" : "https://github.com/citation-style-language/schema/raw/master/csl-citation.json" }</w:instrText>
      </w:r>
      <w:r w:rsidR="00E47F0A" w:rsidRPr="00C223AB">
        <w:rPr>
          <w:rFonts w:ascii="Arial" w:hAnsi="Arial" w:cs="Arial"/>
        </w:rPr>
        <w:fldChar w:fldCharType="separate"/>
      </w:r>
      <w:r w:rsidR="00C223AB" w:rsidRPr="00C223AB">
        <w:rPr>
          <w:rFonts w:ascii="Arial" w:hAnsi="Arial" w:cs="Arial"/>
          <w:noProof/>
          <w:vertAlign w:val="superscript"/>
        </w:rPr>
        <w:t>19</w:t>
      </w:r>
      <w:r w:rsidR="00E47F0A" w:rsidRPr="00C223AB">
        <w:rPr>
          <w:rFonts w:ascii="Arial" w:hAnsi="Arial" w:cs="Arial"/>
        </w:rPr>
        <w:fldChar w:fldCharType="end"/>
      </w:r>
      <w:r w:rsidR="00E47F0A" w:rsidRPr="00C223AB">
        <w:rPr>
          <w:rFonts w:ascii="Arial" w:hAnsi="Arial" w:cs="Arial"/>
        </w:rPr>
        <w:t>. In those studies, apoC-III has</w:t>
      </w:r>
      <w:r w:rsidR="00DE668A" w:rsidRPr="00C223AB">
        <w:rPr>
          <w:rFonts w:ascii="Arial" w:hAnsi="Arial" w:cs="Arial"/>
        </w:rPr>
        <w:t xml:space="preserve"> been shown to correlate strongly with plasma TG levels in populations with a wide variation in absolute plasma TG levels.</w:t>
      </w:r>
      <w:r w:rsidR="00DA4E47" w:rsidRPr="00C223AB">
        <w:rPr>
          <w:rFonts w:ascii="Arial" w:hAnsi="Arial" w:cs="Arial"/>
        </w:rPr>
        <w:fldChar w:fldCharType="begin" w:fldLock="1"/>
      </w:r>
      <w:r w:rsidR="00E47F0A" w:rsidRPr="00C223AB">
        <w:rPr>
          <w:rFonts w:ascii="Arial" w:hAnsi="Arial" w:cs="Arial"/>
        </w:rPr>
        <w:instrText>ADDIN CSL_CITATION { "citationItems" : [ { "id" : "ITEM-1", "itemData" : { "DOI" : "10.1373/clinchem.2008.103234", "ISSN" : "1530-8561", "PMID" : "18556334", "abstract" : "BACKGROUND Hypertriglyceridemia is a cardiovascular risk factor. Apolipoprotein C-III (apoC-III) is an important determinant of the catabolic rate of triglyceride-rich lipoproteins. The aim of this study was to investigate the prognostic value of plasma apoC-III concentrations for cardiovascular mortality. METHODS We performed this prospective study in 2244 subjects (ages 49-77 years) who participated in the Hoorn Study. During a mean follow-up of 15 years, 504 individuals died: 231 of cardiovascular disease, 180 of cancer, and 93 of other causes. Cardiovascular disease risk factors and plasma apoC-III concentrations were measured at baseline. RESULTS The age- and sex-adjusted plasma apoC-III concentration was prospectively associated with cardiovascular mortality (P &lt; 0.001). After adjustment for traditional risk factors, including fasting triglycerides, the hazard ratio (95% CI) for cardiovascular death between the highest and the lowest quartile of apoC-III was 1.85 (1.02-3.38). High concentrations of apoC-III did not appear to be associated with noncardiovascular mortality. CONCLUSIONS In this general population cohort, a high apoC-III concentration in plasma, independently of fasting triglycerides and other traditional risk factors, predicts cardiovascular mortality.", "author" : [ { "dropping-particle" : "", "family" : "Scheffer", "given" : "Peter G", "non-dropping-particle" : "", "parse-names" : false, "suffix" : "" }, { "dropping-particle" : "", "family" : "Teerlink", "given" : "Tom", "non-dropping-particle" : "", "parse-names" : false, "suffix" : "" }, { "dropping-particle" : "", "family" : "Dekker", "given" : "Jacqueline M", "non-dropping-particle" : "", "parse-names" : false, "suffix" : "" }, { "dropping-particle" : "", "family" : "Bos", "given" : "Gri\u00ebt", "non-dropping-particle" : "", "parse-names" : false, "suffix" : "" }, { "dropping-particle" : "", "family" : "Nijpels", "given" : "Giel", "non-dropping-particle" : "", "parse-names" : false, "suffix" : "" }, { "dropping-particle" : "", "family" : "Diamant", "given" : "Michaela", "non-dropping-particle" : "", "parse-names" : false, "suffix" : "" }, { "dropping-particle" : "", "family" : "Kostense", "given" : "Piet J", "non-dropping-particle" : "", "parse-names" : false, "suffix" : "" }, { "dropping-particle" : "", "family" : "Stehouwer", "given" : "Coen D A", "non-dropping-particle" : "", "parse-names" : false, "suffix" : "" }, { "dropping-particle" : "", "family" : "Heine", "given" : "Robert J", "non-dropping-particle" : "", "parse-names" : false, "suffix" : "" } ], "container-title" : "Clinical chemistry", "id" : "ITEM-1", "issue" : "8", "issued" : { "date-parts" : [ [ "2008", "8" ] ] }, "page" : "1325-30", "title" : "Increased plasma apolipoprotein C-III concentration independently predicts cardiovascular mortality: the Hoorn Study.", "type" : "article-journal", "volume" : "54" }, "uris" : [ "http://www.mendeley.com/documents/?uuid=28640df5-ef0c-4689-815f-44fc10798e73" ] }, { "id" : "ITEM-2", "itemData" : { "DOI" : "10.1056/NEJMoa1400284", "ISSN" : "1533-4406", "PMID" : "25470695", "abstract" : "The familial chylomicronemia syndrome is a genetic disorder characterized by severe hypertriglyceridemia and recurrent pancreatitis due to a deficiency in lipoprotein lipase (LPL). Currently, there are no effective therapies except for extreme restriction in the consumption of dietary fat. Apolipoprotein C-III (APOC3) is known to inhibit LPL, although there is also evidence that APOC3 increases the level of plasma triglycerides through an LPL-independent mechanism. We administered an inhibitor of APOC3 messenger RNA (mRNA), called ISIS 304801, to treat three patients with the familial chylomicronemia syndrome and triglyceride levels ranging from 1406 to 2083 mg per deciliter (15.9 to 23.5 mmol per liter). After 13 weeks of study-drug administration, plasma APOC3 levels were reduced by 71 to 90% and triglyceride levels by 56 to 86%. During the study, all patients had a triglyceride level of less than 500 mg per deciliter (5.7 mmol per liter) with treatment. These data support the role of APOC3 as a key regulator of LPL-independent pathways of triglyceride metabolism.", "author" : [ { "dropping-particle" : "", "family" : "Gaudet", "given" : "Daniel", "non-dropping-particle" : "", "parse-names" : false, "suffix" : "" }, { "dropping-particle" : "", "family" : "Brisson", "given" : "Diane", "non-dropping-particle" : "", "parse-names" : false, "suffix" : "" }, { "dropping-particle" : "", "family" : "Tremblay", "given" : "Karine", "non-dropping-particle" : "", "parse-names" : false, "suffix" : "" }, { "dropping-particle" : "", "family" : "Alexander", "given" : "Veronica J", "non-dropping-particle" : "", "parse-names" : false, "suffix" : "" }, { "dropping-particle" : "", "family" : "Singleton", "given" : "Walter", "non-dropping-particle" : "", "parse-names" : false, "suffix" : "" }, { "dropping-particle" : "", "family" : "Hughes", "given" : "Steven G", "non-dropping-particle" : "", "parse-names" : false, "suffix" : "" }, { "dropping-particle" : "", "family" : "Geary", "given" : "Richard S", "non-dropping-particle" : "", "parse-names" : false, "suffix" : "" }, { "dropping-particle" : "", "family" : "Baker", "given" : "Brenda F", "non-dropping-particle" : "", "parse-names" : false, "suffix" : "" }, { "dropping-particle" : "", "family" : "Graham", "given" : "Mark J", "non-dropping-particle" : "", "parse-names" : false, "suffix" : "" }, { "dropping-particle" : "", "family" : "Crooke", "given" : "Rosanne M", "non-dropping-particle" : "", "parse-names" : false, "suffix" : "" }, { "dropping-particle" : "", "family" : "Witztum", "given" : "Joseph L", "non-dropping-particle" : "", "parse-names" : false, "suffix" : "" } ], "container-title" : "The New England journal of medicine", "id" : "ITEM-2", "issue" : "23", "issued" : { "date-parts" : [ [ "2014", "12", "4" ] ] }, "page" : "2200-6", "title" : "Targeting APOC3 in the familial chylomicronemia syndrome.", "type" : "article-journal", "volume" : "371" }, "uris" : [ "http://www.mendeley.com/documents/?uuid=79889d57-4922-4cc2-9795-80b5332d8521" ] }, { "id" : "ITEM-3", "itemData" : { "DOI" : "10.1056/NEJMoa1400283", "ISSN" : "1533-4406", "PMID" : "26222559", "abstract" : "BACKGROUND Apolipoprotein C-III (APOC3) is a key regulator of plasma triglyceride levels. Elevated triglyceride levels are associated with a risk of adverse cardiovascular events and pancreatitis. ISIS 304801 is a second-generation antisense inhibitor of APOC3 synthesis. METHODS We conducted a randomized, double-blind, placebo-controlled, dose-ranging, phase 2 study to evaluate ISIS 304801 in untreated patients with fasting triglyceride levels between 350 mg per deciliter (4.0 mmol per liter) and 2000 mg per deciliter (22.6 mmol per liter) (ISIS 304801 monotherapy cohort), as well as in patients receiving stable fibrate therapy who had fasting triglyceride levels between 225 mg per deciliter (2.5 mmol per liter) and 2000 mg per deciliter (ISIS 304801-fibrate cohort). Eligible patients were randomly assigned to receive either ISIS 304801, at doses ranging from 100 to 300 mg, or placebo, once weekly for 13 weeks. The primary outcome was the percentage change in APOC3 level from baseline. RESULTS A total of 57 patients were treated in the ISIS 304801 monotherapy cohort (41 received active agent, and 16 received placebo), and 28 patients were treated in the ISIS 304801-fibrate cohort (20 received active agent, and 8 received placebo). The mean (\u00b1SD) baseline triglyceride levels in the two cohorts were 581\u00b1291 mg per deciliter (6.6\u00b13.3 mmol per liter) and 376\u00b1188 mg per deciliter (4.2\u00b12.1 mmol per liter), respectively. Treatment with ISIS 304801 resulted in dose-dependent and prolonged decreases in plasma APOC3 levels when the drug was administered as a single agent (decreases of 40.0\u00b132.0% in the 100-mg group, 63.8\u00b122.3% in the 200-mg group, and 79.6\u00b19.3% in the 300-mg group, vs. an increase of 4.2\u00b141.7% in the placebo group) and when it was administered as an add-on to fibrates (decreases of 60.2\u00b112.5% in the 200-mg group and 70.9\u00b113.0% in the 300-mg group, vs. a decrease of 2.2\u00b125.2% in the placebo group). Concordant reductions of 31.3 to 70.9% were observed in triglyceride levels. No safety concerns were identified in this short-term study. CONCLUSIONS We found that treatment with ISIS 304801 was associated with significant lowering of triglyceride levels, among patients with a broad range of baseline levels, through selective antisense inhibition of APOC3 synthesis. (Funded by Isis Pharmaceuticals; ClinicalTrials.gov number, NCT01529424.).", "author" : [ { "dropping-particle" : "", "family" : "Gaudet", "given" : "Daniel", "non-dropping-particle" : "", "parse-names" : false, "suffix" : "" }, { "dropping-particle" : "", "family" : "Alexander", "given" : "Veronica J", "non-dropping-particle" : "", "parse-names" : false, "suffix" : "" }, { "dropping-particle" : "", "family" : "Baker", "given" : "Brenda F", "non-dropping-particle" : "", "parse-names" : false, "suffix" : "" }, { "dropping-particle" : "", "family" : "Brisson", "given" : "Diane", "non-dropping-particle" : "", "parse-names" : false, "suffix" : "" }, { "dropping-particle" : "", "family" : "Tremblay", "given" : "Karine", "non-dropping-particle" : "", "parse-names" : false, "suffix" : "" }, { "dropping-particle" : "", "family" : "Singleton", "given" : "Walter", "non-dropping-particle" : "", "parse-names" : false, "suffix" : "" }, { "dropping-particle" : "", "family" : "Geary", "given" : "Richard S", "non-dropping-particle" : "", "parse-names" : false, "suffix" : "" }, { "dropping-particle" : "", "family" : "Hughes", "given" : "Steven G", "non-dropping-particle" : "", "parse-names" : false, "suffix" : "" }, { "dropping-particle" : "", "family" : "Viney", "given" : "Nicholas J", "non-dropping-particle" : "", "parse-names" : false, "suffix" : "" }, { "dropping-particle" : "", "family" : "Graham", "given" : "Mark J", "non-dropping-particle" : "", "parse-names" : false, "suffix" : "" }, { "dropping-particle" : "", "family" : "Crooke", "given" : "Rosanne M", "non-dropping-particle" : "", "parse-names" : false, "suffix" : "" }, { "dropping-particle" : "", "family" : "Witztum", "given" : "Joseph L", "non-dropping-particle" : "", "parse-names" : false, "suffix" : "" }, { "dropping-particle" : "", "family" : "Brunzell", "given" : "John D", "non-dropping-particle" : "", "parse-names" : false, "suffix" : "" }, { "dropping-particle" : "", "family" : "Kastelein", "given" : "John J P", "non-dropping-particle" : "", "parse-names" : false, "suffix" : "" } ], "container-title" : "The New England journal of medicine", "id" : "ITEM-3", "issue" : "5", "issued" : { "date-parts" : [ [ "2015", "7", "30" ] ] }, "page" : "438-47", "title" : "Antisense Inhibition of Apolipoprotein C-III in Patients with Hypertriglyceridemia.", "type" : "article-journal", "volume" : "373" }, "uris" : [ "http://www.mendeley.com/documents/?uuid=ab25afbc-4809-46f7-9cb7-75e7e42b2d52" ] } ], "mendeley" : { "formattedCitation" : "&lt;sup&gt;4,5,17&lt;/sup&gt;", "plainTextFormattedCitation" : "4,5,17", "previouslyFormattedCitation" : "&lt;sup&gt;4,5,17&lt;/sup&gt;" }, "properties" : { "noteIndex" : 0 }, "schema" : "https://github.com/citation-style-language/schema/raw/master/csl-citation.json" }</w:instrText>
      </w:r>
      <w:r w:rsidR="00DA4E47" w:rsidRPr="00C223AB">
        <w:rPr>
          <w:rFonts w:ascii="Arial" w:hAnsi="Arial" w:cs="Arial"/>
        </w:rPr>
        <w:fldChar w:fldCharType="separate"/>
      </w:r>
      <w:r w:rsidR="00E47F0A" w:rsidRPr="00C223AB">
        <w:rPr>
          <w:rFonts w:ascii="Arial" w:hAnsi="Arial" w:cs="Arial"/>
          <w:noProof/>
          <w:vertAlign w:val="superscript"/>
        </w:rPr>
        <w:t>4,5,17</w:t>
      </w:r>
      <w:r w:rsidR="00DA4E47" w:rsidRPr="00C223AB">
        <w:rPr>
          <w:rFonts w:ascii="Arial" w:hAnsi="Arial" w:cs="Arial"/>
        </w:rPr>
        <w:fldChar w:fldCharType="end"/>
      </w:r>
      <w:r w:rsidR="00E30344" w:rsidRPr="00C223AB">
        <w:rPr>
          <w:rFonts w:ascii="Arial" w:hAnsi="Arial" w:cs="Arial"/>
        </w:rPr>
        <w:t xml:space="preserve"> In</w:t>
      </w:r>
      <w:r w:rsidR="00DE668A" w:rsidRPr="00C223AB">
        <w:rPr>
          <w:rFonts w:ascii="Arial" w:hAnsi="Arial" w:cs="Arial"/>
        </w:rPr>
        <w:t xml:space="preserve"> our </w:t>
      </w:r>
      <w:r w:rsidR="003A6D61" w:rsidRPr="00C223AB">
        <w:rPr>
          <w:rFonts w:ascii="Arial" w:hAnsi="Arial" w:cs="Arial"/>
        </w:rPr>
        <w:t xml:space="preserve">study, the correlation was </w:t>
      </w:r>
      <w:r w:rsidR="00DE668A" w:rsidRPr="00C223AB">
        <w:rPr>
          <w:rFonts w:ascii="Arial" w:hAnsi="Arial" w:cs="Arial"/>
        </w:rPr>
        <w:t xml:space="preserve">weaker, which perhaps can be explained by the relatively restricted range of TG values </w:t>
      </w:r>
      <w:r w:rsidR="00DA4E47" w:rsidRPr="00C223AB">
        <w:rPr>
          <w:rFonts w:ascii="Arial" w:hAnsi="Arial" w:cs="Arial"/>
        </w:rPr>
        <w:t xml:space="preserve">and low incidence of diabetes </w:t>
      </w:r>
      <w:r w:rsidR="00DE668A" w:rsidRPr="00C223AB">
        <w:rPr>
          <w:rFonts w:ascii="Arial" w:hAnsi="Arial" w:cs="Arial"/>
        </w:rPr>
        <w:t xml:space="preserve">observed in this normal population. Nevertheless, we found that subjects with higher apoC-III levels had </w:t>
      </w:r>
      <w:r w:rsidR="00970605" w:rsidRPr="00C223AB">
        <w:rPr>
          <w:rFonts w:ascii="Arial" w:hAnsi="Arial" w:cs="Arial"/>
        </w:rPr>
        <w:t xml:space="preserve">higher VLDL particle numbers and larger VLDL mean particle size </w:t>
      </w:r>
      <w:r w:rsidR="00B64628" w:rsidRPr="00C223AB">
        <w:rPr>
          <w:rFonts w:ascii="Arial" w:hAnsi="Arial" w:cs="Arial"/>
        </w:rPr>
        <w:t>as well as increased IDL particle numbers</w:t>
      </w:r>
      <w:r w:rsidR="00DE668A" w:rsidRPr="00C223AB">
        <w:rPr>
          <w:rFonts w:ascii="Arial" w:hAnsi="Arial" w:cs="Arial"/>
        </w:rPr>
        <w:t xml:space="preserve">. </w:t>
      </w:r>
      <w:r w:rsidR="00B64628" w:rsidRPr="00C223AB">
        <w:rPr>
          <w:rFonts w:ascii="Arial" w:hAnsi="Arial" w:cs="Arial"/>
        </w:rPr>
        <w:t xml:space="preserve"> </w:t>
      </w:r>
      <w:r w:rsidR="002830D9" w:rsidRPr="00C223AB">
        <w:rPr>
          <w:rFonts w:ascii="Arial" w:hAnsi="Arial" w:cs="Arial"/>
        </w:rPr>
        <w:t xml:space="preserve">Previous </w:t>
      </w:r>
      <w:r w:rsidR="00DE668A" w:rsidRPr="00C223AB">
        <w:rPr>
          <w:rFonts w:ascii="Arial" w:hAnsi="Arial" w:cs="Arial"/>
        </w:rPr>
        <w:t xml:space="preserve">tracer </w:t>
      </w:r>
      <w:r w:rsidR="002830D9" w:rsidRPr="00C223AB">
        <w:rPr>
          <w:rFonts w:ascii="Arial" w:hAnsi="Arial" w:cs="Arial"/>
        </w:rPr>
        <w:t>k</w:t>
      </w:r>
      <w:r w:rsidR="00DE486C" w:rsidRPr="00C223AB">
        <w:rPr>
          <w:rFonts w:ascii="Arial" w:hAnsi="Arial" w:cs="Arial"/>
        </w:rPr>
        <w:t>inetic studies</w:t>
      </w:r>
      <w:r w:rsidR="007B6DF0" w:rsidRPr="00C223AB">
        <w:rPr>
          <w:rFonts w:ascii="Arial" w:hAnsi="Arial" w:cs="Arial"/>
        </w:rPr>
        <w:fldChar w:fldCharType="begin" w:fldLock="1"/>
      </w:r>
      <w:r w:rsidR="00C223AB" w:rsidRPr="00C223AB">
        <w:rPr>
          <w:rFonts w:ascii="Arial" w:hAnsi="Arial" w:cs="Arial"/>
        </w:rPr>
        <w:instrText>ADDIN CSL_CITATION { "citationItems" : [ { "id" : "ITEM-1", "itemData" : { "DOI" : "10.1161/ATVBAHA.109.197830", "ISSN" : "1524-4636", "PMID" : "19910636", "abstract" : "OBJECTIVE We aimed to clarify the influence of apolipoprotein C-III (apoCIII) on human apolipoprotein B metabolism. METHODS AND RESULTS We studied the kinetics of 4 very-low-density lipoprotein (VLDL), intermediate-density lipoprotein (IDL), and low-density lipoprotein (LDL) types containing: (1) otherApos-CIII-: none of apoCIII, apoAII, apoCI, apoCII, or apoE; (2) otherApos+CIII-: no apoCIII but at least one of the others; (3) otherApos-CIII+: apoCIII, but not any others; and (4) otherApos+CIII+: apoCIII and at least one other. VLDL and IDL otherApos-CIII+ and otherApos-CIII- had similar rates of lipolytic conversion to smaller particles. However, light LDL otherApos-CIII+ compared with otherApos-CIII- had much faster conversion to dense LDL as did light LDL otherApos+CIII+ compared with otherApos+CIII-. VLDL and IDL otherApos-CIII+ had minimal direct removal from circulation, whereas VLDL and IDL otherApos+CIII-, rich in apoE, showed fast clearance. Lipoproteins in fraction otherApos+CIII+ also rich in apoE had very low clearance. CONCLUSIONS The results suggest that apoCIII strongly inhibits hepatic uptake of VLDL and IDL overriding the opposite influence of apoE when both are present. The presence of apoCIII on dense VLDL is not associated with slow conversion to IDL, a lipoprotein lipase-dependent process; but when on light LDL, apoCIII is associated with enhanced conversion to dense LDL, a process involving hepatic lipase.", "author" : [ { "dropping-particle" : "", "family" : "Mendivil", "given" : "Carlos O", "non-dropping-particle" : "", "parse-names" : false, "suffix" : "" }, { "dropping-particle" : "", "family" : "Zheng", "given" : "Chunyu", "non-dropping-particle" : "", "parse-names" : false, "suffix" : "" }, { "dropping-particle" : "", "family" : "Furtado", "given" : "Jeremy", "non-dropping-particle" : "", "parse-names" : false, "suffix" : "" }, { "dropping-particle" : "", "family" : "Lel", "given" : "Julian", "non-dropping-particle" : "", "parse-names" : false, "suffix" : "" }, { "dropping-particle" : "", "family" : "Sacks", "given" : "Frank M", "non-dropping-particle" : "", "parse-names" : false, "suffix" : "" } ], "container-title" : "Arteriosclerosis, thrombosis, and vascular biology", "id" : "ITEM-1", "issue" : "2", "issued" : { "date-parts" : [ [ "2010", "2" ] ] }, "page" : "239-45", "title" : "Metabolism of very-low-density lipoprotein and low-density lipoprotein containing apolipoprotein C-III and not other small apolipoproteins.", "type" : "article-journal", "volume" : "30" }, "uris" : [ "http://www.mendeley.com/documents/?uuid=790fc1a2-28fc-4460-b9a6-b43d981990e6" ] }, { "id" : "ITEM-2", "itemData" : { "DOI" : "10.1161/ATVBAHA.115.305614", "ISSN" : "1524-4636", "PMID" : "26315407", "abstract" : "OBJECTIVES Patients with obesity and diabetes mellitus have increased risk of cardiovascular disease. A major cause is an atherogenic dyslipidemia related primarily to elevated plasma concentrations of triglyceride-rich lipoproteins. The aim of this study was to clarify determinants of plasma triglyceride concentration. We focused on factors that predict the kinetics of very-low density lipoprotein 1 (VLDL1) triglycerides. APPROACH AND RESULTS A multicenter study using dual stable isotopes (deuterated leucine and glycerol) and multicompartmental modeling was performed to elucidate the kinetics of triglycerides and apoB in VLDL1 in 46 subjects with abdominal obesity and additional cardiometabolic risk factors. Results showed that plasma triglyceride concentrations were dependent on both the secretion rate (r=0.44, P&lt;0.01; r=0.45, P&lt;0.01) and fractional catabolism (r=0.49, P&lt;0.001; r=0.55, P&lt;0.001) of VLDL1-triglycerides and VLDL1-apoB. Liver fat mass was independently and directly associated with secretion rates of VLDL1-triglycerides (r=0.56, P&lt;0.001) and VLDL1-apoB (r=0.53, P&lt;0.001). Plasma apoC-III concentration was independently and inversely associated with the fractional catabolisms of VLDL1-triglycerides (r=0.48, P&lt;0.001) and VLDL1-apoB (r=0.51, P&lt;0.001). CONCLUSIONS Plasma triglyceride concentrations in abdominal obesity are determined by the kinetics of VLDL1 subspecies, catabolism being mainly dependent on apoC-III concentration and secretion on liver fat content. Reduction in liver fat and targeting apoC-III may be an effective approach for correcting triglyceride metabolism atherogenic dyslipidemia in obesity.", "author" : [ { "dropping-particle" : "", "family" : "Bor\u00e9n", "given" : "Jan", "non-dropping-particle" : "", "parse-names" : false, "suffix" : "" }, { "dropping-particle" : "", "family" : "Watts", "given" : "Gerald F", "non-dropping-particle" : "", "parse-names" : false, "suffix" : "" }, { "dropping-particle" : "", "family" : "Adiels", "given" : "Martin", "non-dropping-particle" : "", "parse-names" : false, "suffix" : "" }, { "dropping-particle" : "", "family" : "S\u00f6derlund", "given" : "Sanni", "non-dropping-particle" : "", "parse-names" : false, "suffix" : "" }, { "dropping-particle" : "", "family" : "Chan", "given" : "Dick C", "non-dropping-particle" : "", "parse-names" : false, "suffix" : "" }, { "dropping-particle" : "", "family" : "Hakkarainen", "given" : "Antti", "non-dropping-particle" : "", "parse-names" : false, "suffix" : "" }, { "dropping-particle" : "", "family" : "Lundbom", "given" : "Nina", "non-dropping-particle" : "", "parse-names" : false, "suffix" : "" }, { "dropping-particle" : "", "family" : "Matikainen", "given" : "Niina", "non-dropping-particle" : "", "parse-names" : false, "suffix" : "" }, { "dropping-particle" : "", "family" : "Kahri", "given" : "Juhani", "non-dropping-particle" : "", "parse-names" : false, "suffix" : "" }, { "dropping-particle" : "", "family" : "Verg\u00e8s", "given" : "Bruno", "non-dropping-particle" : "", "parse-names" : false, "suffix" : "" }, { "dropping-particle" : "", "family" : "Barrett", "given" : "P Hugh R", "non-dropping-particle" : "", "parse-names" : false, "suffix" : "" }, { "dropping-particle" : "", "family" : "Taskinen", "given" : "Marja-Riitta", "non-dropping-particle" : "", "parse-names" : false, "suffix" : "" } ], "container-title" : "Arteriosclerosis, thrombosis, and vascular biology", "id" : "ITEM-2", "issue" : "10", "issued" : { "date-parts" : [ [ "2015", "10" ] ] }, "page" : "2218-24", "title" : "Kinetic and Related Determinants of Plasma Triglyceride Concentration in Abdominal Obesity: Multicenter Tracer Kinetic Study.", "type" : "article-journal", "volume" : "35" }, "uris" : [ "http://www.mendeley.com/documents/?uuid=13f15858-8ea8-4f4d-bdde-50c90ba55b81" ] } ], "mendeley" : { "formattedCitation" : "&lt;sup&gt;9,20&lt;/sup&gt;", "plainTextFormattedCitation" : "9,20", "previouslyFormattedCitation" : "&lt;sup&gt;9,19&lt;/sup&gt;" }, "properties" : { "noteIndex" : 0 }, "schema" : "https://github.com/citation-style-language/schema/raw/master/csl-citation.json" }</w:instrText>
      </w:r>
      <w:r w:rsidR="007B6DF0" w:rsidRPr="00C223AB">
        <w:rPr>
          <w:rFonts w:ascii="Arial" w:hAnsi="Arial" w:cs="Arial"/>
        </w:rPr>
        <w:fldChar w:fldCharType="separate"/>
      </w:r>
      <w:r w:rsidR="00C223AB" w:rsidRPr="00C223AB">
        <w:rPr>
          <w:rFonts w:ascii="Arial" w:hAnsi="Arial" w:cs="Arial"/>
          <w:noProof/>
          <w:vertAlign w:val="superscript"/>
        </w:rPr>
        <w:t>9,20</w:t>
      </w:r>
      <w:r w:rsidR="007B6DF0" w:rsidRPr="00C223AB">
        <w:rPr>
          <w:rFonts w:ascii="Arial" w:hAnsi="Arial" w:cs="Arial"/>
        </w:rPr>
        <w:fldChar w:fldCharType="end"/>
      </w:r>
      <w:r w:rsidR="007B6DF0" w:rsidRPr="00C223AB">
        <w:rPr>
          <w:rFonts w:ascii="Arial" w:hAnsi="Arial" w:cs="Arial"/>
        </w:rPr>
        <w:t xml:space="preserve"> </w:t>
      </w:r>
      <w:r w:rsidR="00DE668A" w:rsidRPr="00C223AB">
        <w:rPr>
          <w:rFonts w:ascii="Arial" w:hAnsi="Arial" w:cs="Arial"/>
        </w:rPr>
        <w:t>support a role for apoC-III in inhibiting the rate of clearance of VLDL from plasma, which is suggested to be consistent with inhibition of LPL mediated hydrolysis and/or inhibition of hepatic uptake of TRL. In particular, the presence of apoC-III on light LDL was associated with en</w:t>
      </w:r>
      <w:r w:rsidR="007B6DF0" w:rsidRPr="00C223AB">
        <w:rPr>
          <w:rFonts w:ascii="Arial" w:hAnsi="Arial" w:cs="Arial"/>
        </w:rPr>
        <w:t>hanced conversion to dense LDL.</w:t>
      </w:r>
      <w:r w:rsidR="007B6DF0" w:rsidRPr="00C223AB">
        <w:rPr>
          <w:rFonts w:ascii="Arial" w:hAnsi="Arial" w:cs="Arial"/>
        </w:rPr>
        <w:fldChar w:fldCharType="begin" w:fldLock="1"/>
      </w:r>
      <w:r w:rsidR="00B44858" w:rsidRPr="00C223AB">
        <w:rPr>
          <w:rFonts w:ascii="Arial" w:hAnsi="Arial" w:cs="Arial"/>
        </w:rPr>
        <w:instrText>ADDIN CSL_CITATION { "citationItems" : [ { "id" : "ITEM-1", "itemData" : { "DOI" : "10.1161/ATVBAHA.109.197830", "ISSN" : "1524-4636", "PMID" : "19910636", "abstract" : "OBJECTIVE We aimed to clarify the influence of apolipoprotein C-III (apoCIII) on human apolipoprotein B metabolism. METHODS AND RESULTS We studied the kinetics of 4 very-low-density lipoprotein (VLDL), intermediate-density lipoprotein (IDL), and low-density lipoprotein (LDL) types containing: (1) otherApos-CIII-: none of apoCIII, apoAII, apoCI, apoCII, or apoE; (2) otherApos+CIII-: no apoCIII but at least one of the others; (3) otherApos-CIII+: apoCIII, but not any others; and (4) otherApos+CIII+: apoCIII and at least one other. VLDL and IDL otherApos-CIII+ and otherApos-CIII- had similar rates of lipolytic conversion to smaller particles. However, light LDL otherApos-CIII+ compared with otherApos-CIII- had much faster conversion to dense LDL as did light LDL otherApos+CIII+ compared with otherApos+CIII-. VLDL and IDL otherApos-CIII+ had minimal direct removal from circulation, whereas VLDL and IDL otherApos+CIII-, rich in apoE, showed fast clearance. Lipoproteins in fraction otherApos+CIII+ also rich in apoE had very low clearance. CONCLUSIONS The results suggest that apoCIII strongly inhibits hepatic uptake of VLDL and IDL overriding the opposite influence of apoE when both are present. The presence of apoCIII on dense VLDL is not associated with slow conversion to IDL, a lipoprotein lipase-dependent process; but when on light LDL, apoCIII is associated with enhanced conversion to dense LDL, a process involving hepatic lipase.", "author" : [ { "dropping-particle" : "", "family" : "Mendivil", "given" : "Carlos O", "non-dropping-particle" : "", "parse-names" : false, "suffix" : "" }, { "dropping-particle" : "", "family" : "Zheng", "given" : "Chunyu", "non-dropping-particle" : "", "parse-names" : false, "suffix" : "" }, { "dropping-particle" : "", "family" : "Furtado", "given" : "Jeremy", "non-dropping-particle" : "", "parse-names" : false, "suffix" : "" }, { "dropping-particle" : "", "family" : "Lel", "given" : "Julian", "non-dropping-particle" : "", "parse-names" : false, "suffix" : "" }, { "dropping-particle" : "", "family" : "Sacks", "given" : "Frank M", "non-dropping-particle" : "", "parse-names" : false, "suffix" : "" } ], "container-title" : "Arteriosclerosis, thrombosis, and vascular biology", "id" : "ITEM-1", "issue" : "2", "issued" : { "date-parts" : [ [ "2010", "2" ] ] }, "page" : "239-45", "title" : "Metabolism of very-low-density lipoprotein and low-density lipoprotein containing apolipoprotein C-III and not other small apolipoproteins.", "type" : "article-journal", "volume" : "30" }, "uris" : [ "http://www.mendeley.com/documents/?uuid=790fc1a2-28fc-4460-b9a6-b43d981990e6" ] } ], "mendeley" : { "formattedCitation" : "&lt;sup&gt;9&lt;/sup&gt;", "plainTextFormattedCitation" : "9", "previouslyFormattedCitation" : "&lt;sup&gt;9&lt;/sup&gt;" }, "properties" : { "noteIndex" : 0 }, "schema" : "https://github.com/citation-style-language/schema/raw/master/csl-citation.json" }</w:instrText>
      </w:r>
      <w:r w:rsidR="007B6DF0" w:rsidRPr="00C223AB">
        <w:rPr>
          <w:rFonts w:ascii="Arial" w:hAnsi="Arial" w:cs="Arial"/>
        </w:rPr>
        <w:fldChar w:fldCharType="separate"/>
      </w:r>
      <w:r w:rsidR="00493189" w:rsidRPr="00C223AB">
        <w:rPr>
          <w:rFonts w:ascii="Arial" w:hAnsi="Arial" w:cs="Arial"/>
          <w:noProof/>
          <w:vertAlign w:val="superscript"/>
        </w:rPr>
        <w:t>9</w:t>
      </w:r>
      <w:r w:rsidR="007B6DF0" w:rsidRPr="00C223AB">
        <w:rPr>
          <w:rFonts w:ascii="Arial" w:hAnsi="Arial" w:cs="Arial"/>
        </w:rPr>
        <w:fldChar w:fldCharType="end"/>
      </w:r>
      <w:r w:rsidR="007B6DF0" w:rsidRPr="00C223AB">
        <w:rPr>
          <w:rFonts w:ascii="Arial" w:hAnsi="Arial" w:cs="Arial"/>
        </w:rPr>
        <w:t xml:space="preserve"> </w:t>
      </w:r>
      <w:r w:rsidR="00DE668A" w:rsidRPr="00C223AB">
        <w:rPr>
          <w:rFonts w:ascii="Arial" w:hAnsi="Arial" w:cs="Arial"/>
        </w:rPr>
        <w:t xml:space="preserve">These latter observations are perhaps related to our observation that </w:t>
      </w:r>
      <w:r w:rsidR="00512317" w:rsidRPr="00C223AB">
        <w:rPr>
          <w:rFonts w:ascii="Arial" w:hAnsi="Arial" w:cs="Arial"/>
        </w:rPr>
        <w:t>high apoC-III levels are associated with a shift toward</w:t>
      </w:r>
      <w:r w:rsidR="00DF317E" w:rsidRPr="00C223AB">
        <w:rPr>
          <w:rFonts w:ascii="Arial" w:hAnsi="Arial" w:cs="Arial"/>
        </w:rPr>
        <w:t>s</w:t>
      </w:r>
      <w:r w:rsidR="00512317" w:rsidRPr="00C223AB">
        <w:rPr>
          <w:rFonts w:ascii="Arial" w:hAnsi="Arial" w:cs="Arial"/>
        </w:rPr>
        <w:t xml:space="preserve"> predominantly small dense LDL particles. </w:t>
      </w:r>
      <w:r w:rsidR="00DF317E" w:rsidRPr="00C223AB">
        <w:rPr>
          <w:rFonts w:ascii="Arial" w:hAnsi="Arial" w:cs="Arial"/>
        </w:rPr>
        <w:t xml:space="preserve"> </w:t>
      </w:r>
      <w:r w:rsidR="00842B44" w:rsidRPr="00C223AB">
        <w:rPr>
          <w:rFonts w:ascii="Arial" w:hAnsi="Arial" w:cs="Arial"/>
        </w:rPr>
        <w:t>Alternatively, i</w:t>
      </w:r>
      <w:r w:rsidR="007F2221" w:rsidRPr="00C223AB">
        <w:rPr>
          <w:rFonts w:ascii="Arial" w:hAnsi="Arial" w:cs="Arial"/>
        </w:rPr>
        <w:t xml:space="preserve">ncreased levels of </w:t>
      </w:r>
      <w:r w:rsidR="000B1A74" w:rsidRPr="00C223AB">
        <w:rPr>
          <w:rFonts w:ascii="Arial" w:hAnsi="Arial" w:cs="Arial"/>
        </w:rPr>
        <w:t xml:space="preserve">TRL particles in hypertriglyceridemia </w:t>
      </w:r>
      <w:r w:rsidR="00DE668A" w:rsidRPr="00C223AB">
        <w:rPr>
          <w:rFonts w:ascii="Arial" w:hAnsi="Arial" w:cs="Arial"/>
        </w:rPr>
        <w:t>increases the transfer of TG from VLDL to LDL in exchange for cholesteryl ester, mediated by C</w:t>
      </w:r>
      <w:r w:rsidR="000B1A74" w:rsidRPr="00C223AB">
        <w:rPr>
          <w:rFonts w:ascii="Arial" w:hAnsi="Arial" w:cs="Arial"/>
        </w:rPr>
        <w:t>ETP</w:t>
      </w:r>
      <w:r w:rsidR="00DE668A" w:rsidRPr="00C223AB">
        <w:rPr>
          <w:rFonts w:ascii="Arial" w:hAnsi="Arial" w:cs="Arial"/>
        </w:rPr>
        <w:t xml:space="preserve">, and in turn the TG enriched in LDL are hydrolyzed via hepatic lipase, further contributing to </w:t>
      </w:r>
      <w:r w:rsidR="000B1A74" w:rsidRPr="00C223AB">
        <w:rPr>
          <w:rFonts w:ascii="Arial" w:hAnsi="Arial" w:cs="Arial"/>
        </w:rPr>
        <w:t>small dense LDL.</w:t>
      </w:r>
      <w:r w:rsidR="000B1A74" w:rsidRPr="00C223AB">
        <w:rPr>
          <w:rFonts w:ascii="Arial" w:hAnsi="Arial" w:cs="Arial"/>
        </w:rPr>
        <w:fldChar w:fldCharType="begin" w:fldLock="1"/>
      </w:r>
      <w:r w:rsidR="00C223AB" w:rsidRPr="00C223AB">
        <w:rPr>
          <w:rFonts w:ascii="Arial" w:hAnsi="Arial" w:cs="Arial"/>
        </w:rPr>
        <w:instrText>ADDIN CSL_CITATION { "citationItems" : [ { "id" : "ITEM-1", "itemData" : { "DOI" : "10.1093/eurheartj/ehp399", "ISSN" : "0195-668X", "author" : [ { "dropping-particle" : "", "family" : "Chapman", "given" : "M John", "non-dropping-particle" : "", "parse-names" : false, "suffix" : "" }, { "dropping-particle" : "", "family" : "Goff", "given" : "W.", "non-dropping-particle" : "Le", "parse-names" : false, "suffix" : "" }, { "dropping-particle" : "", "family" : "Guerin", "given" : "Maryse", "non-dropping-particle" : "", "parse-names" : false, "suffix" : "" }, { "dropping-particle" : "", "family" : "Kontush", "given" : "Anatol", "non-dropping-particle" : "", "parse-names" : false, "suffix" : "" } ], "container-title" : "European Heart Journal", "id" : "ITEM-1", "issue" : "2", "issued" : { "date-parts" : [ [ "2010", "1", "2" ] ] }, "page" : "149-164", "title" : "Cholesteryl ester transfer protein: at the heart of the action of lipid-modulating therapy with statins, fibrates, niacin, and cholesteryl ester transfer protein inhibitors", "type" : "article-journal", "volume" : "31" }, "uris" : [ "http://www.mendeley.com/documents/?uuid=0256c616-03f1-4f3f-b827-1bd2c4fed421" ] } ], "mendeley" : { "formattedCitation" : "&lt;sup&gt;21&lt;/sup&gt;", "plainTextFormattedCitation" : "21", "previouslyFormattedCitation" : "&lt;sup&gt;20&lt;/sup&gt;" }, "properties" : { "noteIndex" : 0 }, "schema" : "https://github.com/citation-style-language/schema/raw/master/csl-citation.json" }</w:instrText>
      </w:r>
      <w:r w:rsidR="000B1A74" w:rsidRPr="00C223AB">
        <w:rPr>
          <w:rFonts w:ascii="Arial" w:hAnsi="Arial" w:cs="Arial"/>
        </w:rPr>
        <w:fldChar w:fldCharType="separate"/>
      </w:r>
      <w:r w:rsidR="00C223AB" w:rsidRPr="00C223AB">
        <w:rPr>
          <w:rFonts w:ascii="Arial" w:hAnsi="Arial" w:cs="Arial"/>
          <w:noProof/>
          <w:vertAlign w:val="superscript"/>
        </w:rPr>
        <w:t>21</w:t>
      </w:r>
      <w:r w:rsidR="000B1A74" w:rsidRPr="00C223AB">
        <w:rPr>
          <w:rFonts w:ascii="Arial" w:hAnsi="Arial" w:cs="Arial"/>
        </w:rPr>
        <w:fldChar w:fldCharType="end"/>
      </w:r>
      <w:r w:rsidR="000B1A74" w:rsidRPr="00C223AB">
        <w:rPr>
          <w:rFonts w:ascii="Arial" w:hAnsi="Arial" w:cs="Arial"/>
        </w:rPr>
        <w:t xml:space="preserve"> </w:t>
      </w:r>
      <w:r w:rsidR="008F2844" w:rsidRPr="00C223AB">
        <w:rPr>
          <w:rFonts w:ascii="Arial" w:hAnsi="Arial" w:cs="Arial"/>
        </w:rPr>
        <w:t xml:space="preserve">Similar findings were reported in a </w:t>
      </w:r>
      <w:r w:rsidR="006A2A45" w:rsidRPr="00C223AB">
        <w:rPr>
          <w:rFonts w:ascii="Arial" w:hAnsi="Arial" w:cs="Arial"/>
        </w:rPr>
        <w:t xml:space="preserve">smaller </w:t>
      </w:r>
      <w:r w:rsidR="008F2844" w:rsidRPr="00C223AB">
        <w:rPr>
          <w:rFonts w:ascii="Arial" w:hAnsi="Arial" w:cs="Arial"/>
        </w:rPr>
        <w:t>genetic study</w:t>
      </w:r>
      <w:r w:rsidR="00875175" w:rsidRPr="00C223AB">
        <w:rPr>
          <w:rFonts w:ascii="Arial" w:hAnsi="Arial" w:cs="Arial"/>
        </w:rPr>
        <w:t xml:space="preserve"> of loss-of-function </w:t>
      </w:r>
      <w:r w:rsidR="00875175" w:rsidRPr="00C223AB">
        <w:rPr>
          <w:rFonts w:ascii="Arial" w:hAnsi="Arial" w:cs="Arial"/>
          <w:i/>
        </w:rPr>
        <w:t xml:space="preserve">APOC3 </w:t>
      </w:r>
      <w:r w:rsidR="00875175" w:rsidRPr="00C223AB">
        <w:rPr>
          <w:rFonts w:ascii="Arial" w:hAnsi="Arial" w:cs="Arial"/>
        </w:rPr>
        <w:t xml:space="preserve">variants </w:t>
      </w:r>
      <w:r w:rsidR="008F2844" w:rsidRPr="00C223AB">
        <w:rPr>
          <w:rFonts w:ascii="Arial" w:hAnsi="Arial" w:cs="Arial"/>
        </w:rPr>
        <w:t xml:space="preserve">that </w:t>
      </w:r>
      <w:r w:rsidR="00875175" w:rsidRPr="00C223AB">
        <w:rPr>
          <w:rFonts w:ascii="Arial" w:hAnsi="Arial" w:cs="Arial"/>
        </w:rPr>
        <w:t xml:space="preserve">found </w:t>
      </w:r>
      <w:r w:rsidR="008F2844" w:rsidRPr="00C223AB">
        <w:rPr>
          <w:rFonts w:ascii="Arial" w:hAnsi="Arial" w:cs="Arial"/>
        </w:rPr>
        <w:t>a clear correlation with VLDL, IDL and LDL subfractions.</w:t>
      </w:r>
      <w:r w:rsidR="002F0B32" w:rsidRPr="00C223AB">
        <w:rPr>
          <w:rFonts w:ascii="Arial" w:hAnsi="Arial" w:cs="Arial"/>
        </w:rPr>
        <w:fldChar w:fldCharType="begin" w:fldLock="1"/>
      </w:r>
      <w:r w:rsidR="00B44858" w:rsidRPr="00C223AB">
        <w:rPr>
          <w:rFonts w:ascii="Arial" w:hAnsi="Arial" w:cs="Arial"/>
        </w:rPr>
        <w:instrText>ADDIN CSL_CITATION { "citationItems" : [ { "id" : "ITEM-1", "itemData" : { "DOI" : "10.1126/science.1161524", "ISSN" : "1095-9203", "PMID" : "19074352", "abstract" : "Apolipoprotein C-III (apoC-III) inhibits triglyceride hydrolysis and has been implicated in coronary artery disease. Through a genome-wide association study, we have found that about 5% of the Lancaster Amish are heterozygous carriers of a null mutation (R19X) in the gene encoding apoC-III (APOC3) and, as a result, express half the amount of apoC-III present in noncarriers. Mutation carriers compared with noncarriers had lower fasting and postprandial serum triglycerides, higher levels of HDL-cholesterol and lower levels of LDL-cholesterol. Subclinical atherosclerosis, as measured by coronary artery calcification, was less common in carriers than noncarriers, which suggests that lifelong deficiency of apoC-III has a cardioprotective effect.", "author" : [ { "dropping-particle" : "", "family" : "Pollin", "given" : "Toni I", "non-dropping-particle" : "", "parse-names" : false, "suffix" : "" }, { "dropping-particle" : "", "family" : "Damcott", "given" : "Coleen M", "non-dropping-particle" : "", "parse-names" : false, "suffix" : "" }, { "dropping-particle" : "", "family" : "Shen", "given" : "Haiqing", "non-dropping-particle" : "", "parse-names" : false, "suffix" : "" }, { "dropping-particle" : "", "family" : "Ott", "given" : "Sandra H", "non-dropping-particle" : "", "parse-names" : false, "suffix" : "" }, { "dropping-particle" : "", "family" : "Shelton", "given" : "John", "non-dropping-particle" : "", "parse-names" : false, "suffix" : "" }, { "dropping-particle" : "", "family" : "Horenstein", "given" : "Richard B", "non-dropping-particle" : "", "parse-names" : false, "suffix" : "" }, { "dropping-particle" : "", "family" : "Post", "given" : "Wendy", "non-dropping-particle" : "", "parse-names" : false, "suffix" : "" }, { "dropping-particle" : "", "family" : "McLenithan", "given" : "John C", "non-dropping-particle" : "", "parse-names" : false, "suffix" : "" }, { "dropping-particle" : "", "family" : "Bielak", "given" : "Lawrence F", "non-dropping-particle" : "", "parse-names" : false, "suffix" : "" }, { "dropping-particle" : "", "family" : "Peyser", "given" : "Patricia A", "non-dropping-particle" : "", "parse-names" : false, "suffix" : "" }, { "dropping-particle" : "", "family" : "Mitchell", "given" : "Braxton D", "non-dropping-particle" : "", "parse-names" : false, "suffix" : "" }, { "dropping-particle" : "", "family" : "Miller", "given" : "Michael", "non-dropping-particle" : "", "parse-names" : false, "suffix" : "" }, { "dropping-particle" : "", "family" : "O'Connell", "given" : "Jeffrey R", "non-dropping-particle" : "", "parse-names" : false, "suffix" : "" }, { "dropping-particle" : "", "family" : "Shuldiner", "given" : "Alan R", "non-dropping-particle" : "", "parse-names" : false, "suffix" : "" } ], "container-title" : "Science (New York, N.Y.)", "id" : "ITEM-1", "issue" : "5908", "issued" : { "date-parts" : [ [ "2008", "12", "12" ] ] }, "page" : "1702-5", "title" : "A null mutation in human APOC3 confers a favorable plasma lipid profile and apparent cardioprotection.", "type" : "article-journal", "volume" : "322" }, "uris" : [ "http://www.mendeley.com/documents/?uuid=3f3cb70a-3b45-491f-a9b0-1565bcadce73" ] } ], "mendeley" : { "formattedCitation" : "&lt;sup&gt;10&lt;/sup&gt;", "plainTextFormattedCitation" : "10", "previouslyFormattedCitation" : "&lt;sup&gt;10&lt;/sup&gt;" }, "properties" : { "noteIndex" : 0 }, "schema" : "https://github.com/citation-style-language/schema/raw/master/csl-citation.json" }</w:instrText>
      </w:r>
      <w:r w:rsidR="002F0B32" w:rsidRPr="00C223AB">
        <w:rPr>
          <w:rFonts w:ascii="Arial" w:hAnsi="Arial" w:cs="Arial"/>
        </w:rPr>
        <w:fldChar w:fldCharType="separate"/>
      </w:r>
      <w:r w:rsidR="00493189" w:rsidRPr="00C223AB">
        <w:rPr>
          <w:rFonts w:ascii="Arial" w:hAnsi="Arial" w:cs="Arial"/>
          <w:noProof/>
          <w:vertAlign w:val="superscript"/>
        </w:rPr>
        <w:t>10</w:t>
      </w:r>
      <w:r w:rsidR="002F0B32" w:rsidRPr="00C223AB">
        <w:rPr>
          <w:rFonts w:ascii="Arial" w:hAnsi="Arial" w:cs="Arial"/>
        </w:rPr>
        <w:fldChar w:fldCharType="end"/>
      </w:r>
    </w:p>
    <w:p w14:paraId="6E39A88E" w14:textId="40D7F5C3" w:rsidR="00DE668A" w:rsidRPr="00C223AB" w:rsidRDefault="005809B6" w:rsidP="00C223AB">
      <w:pPr>
        <w:ind w:firstLine="708"/>
        <w:rPr>
          <w:rFonts w:ascii="Arial" w:eastAsiaTheme="minorHAnsi" w:hAnsi="Arial" w:cs="Arial"/>
          <w:color w:val="000000"/>
          <w:sz w:val="18"/>
          <w:szCs w:val="18"/>
          <w:lang w:eastAsia="en-US"/>
        </w:rPr>
      </w:pPr>
      <w:r w:rsidRPr="00C223AB">
        <w:rPr>
          <w:rFonts w:ascii="Arial" w:hAnsi="Arial" w:cs="Arial"/>
        </w:rPr>
        <w:lastRenderedPageBreak/>
        <w:t>The mechanism linking apoC-III an</w:t>
      </w:r>
      <w:r w:rsidR="00CF0B64" w:rsidRPr="00C223AB">
        <w:rPr>
          <w:rFonts w:ascii="Arial" w:hAnsi="Arial" w:cs="Arial"/>
        </w:rPr>
        <w:t xml:space="preserve">d CAD risk is poorly understood. </w:t>
      </w:r>
      <w:r w:rsidR="00DE535C" w:rsidRPr="00C223AB">
        <w:rPr>
          <w:rFonts w:ascii="Arial" w:hAnsi="Arial" w:cs="Arial"/>
        </w:rPr>
        <w:t>T</w:t>
      </w:r>
      <w:r w:rsidR="004465C6" w:rsidRPr="00C223AB">
        <w:rPr>
          <w:rFonts w:ascii="Arial" w:hAnsi="Arial" w:cs="Arial"/>
        </w:rPr>
        <w:t xml:space="preserve">riglycerides </w:t>
      </w:r>
      <w:r w:rsidR="00DE668A" w:rsidRPr="00C223AB">
        <w:rPr>
          <w:rFonts w:ascii="Arial" w:hAnsi="Arial" w:cs="Arial"/>
        </w:rPr>
        <w:t xml:space="preserve">per se </w:t>
      </w:r>
      <w:r w:rsidR="004465C6" w:rsidRPr="00C223AB">
        <w:rPr>
          <w:rFonts w:ascii="Arial" w:hAnsi="Arial" w:cs="Arial"/>
        </w:rPr>
        <w:t xml:space="preserve">are unlikely causal in atherosclerosis </w:t>
      </w:r>
      <w:r w:rsidR="007301DF" w:rsidRPr="00C223AB">
        <w:rPr>
          <w:rFonts w:ascii="Arial" w:hAnsi="Arial" w:cs="Arial"/>
        </w:rPr>
        <w:t xml:space="preserve">development </w:t>
      </w:r>
      <w:r w:rsidR="004465C6" w:rsidRPr="00C223AB">
        <w:rPr>
          <w:rFonts w:ascii="Arial" w:hAnsi="Arial" w:cs="Arial"/>
        </w:rPr>
        <w:t xml:space="preserve">as </w:t>
      </w:r>
      <w:r w:rsidR="007301DF" w:rsidRPr="00C223AB">
        <w:rPr>
          <w:rFonts w:ascii="Arial" w:hAnsi="Arial" w:cs="Arial"/>
        </w:rPr>
        <w:t xml:space="preserve">TG’s </w:t>
      </w:r>
      <w:r w:rsidR="004465C6" w:rsidRPr="00C223AB">
        <w:rPr>
          <w:rFonts w:ascii="Arial" w:hAnsi="Arial" w:cs="Arial"/>
        </w:rPr>
        <w:t xml:space="preserve">can be degraded by most cell types and </w:t>
      </w:r>
      <w:r w:rsidR="00DE535C" w:rsidRPr="00C223AB">
        <w:rPr>
          <w:rFonts w:ascii="Arial" w:hAnsi="Arial" w:cs="Arial"/>
        </w:rPr>
        <w:t xml:space="preserve">do not accumulate </w:t>
      </w:r>
      <w:r w:rsidR="004465C6" w:rsidRPr="00C223AB">
        <w:rPr>
          <w:rFonts w:ascii="Arial" w:hAnsi="Arial" w:cs="Arial"/>
        </w:rPr>
        <w:t>in atherosclerotic plaque</w:t>
      </w:r>
      <w:r w:rsidR="00AB4558" w:rsidRPr="00C223AB">
        <w:rPr>
          <w:rFonts w:ascii="Arial" w:hAnsi="Arial" w:cs="Arial"/>
        </w:rPr>
        <w:t>s</w:t>
      </w:r>
      <w:r w:rsidR="00DE535C" w:rsidRPr="00C223AB">
        <w:rPr>
          <w:rFonts w:ascii="Arial" w:hAnsi="Arial" w:cs="Arial"/>
        </w:rPr>
        <w:t xml:space="preserve">. </w:t>
      </w:r>
      <w:r w:rsidR="00DE668A" w:rsidRPr="00C223AB">
        <w:rPr>
          <w:rFonts w:ascii="Arial" w:hAnsi="Arial" w:cs="Arial"/>
        </w:rPr>
        <w:t xml:space="preserve">However, VLDL and remnant lipoproteins, such as small VLDL and IDL do accumulate in </w:t>
      </w:r>
      <w:r w:rsidR="007B6D75" w:rsidRPr="00C223AB">
        <w:rPr>
          <w:rFonts w:ascii="Arial" w:hAnsi="Arial" w:cs="Arial"/>
        </w:rPr>
        <w:t>the arterial intima</w:t>
      </w:r>
      <w:r w:rsidR="00DE668A" w:rsidRPr="00C223AB">
        <w:rPr>
          <w:rFonts w:ascii="Arial" w:hAnsi="Arial" w:cs="Arial"/>
        </w:rPr>
        <w:t>, where up to 40% of particles consist of VLDL and VLDL remnant sized lipoproteins.</w:t>
      </w:r>
      <w:r w:rsidR="001E5046" w:rsidRPr="00C223AB">
        <w:rPr>
          <w:rFonts w:ascii="Arial" w:hAnsi="Arial" w:cs="Arial"/>
        </w:rPr>
        <w:fldChar w:fldCharType="begin" w:fldLock="1"/>
      </w:r>
      <w:r w:rsidR="00C223AB" w:rsidRPr="00C223AB">
        <w:rPr>
          <w:rFonts w:ascii="Arial" w:hAnsi="Arial" w:cs="Arial"/>
        </w:rPr>
        <w:instrText>ADDIN CSL_CITATION { "citationItems" : [ { "id" : "ITEM-1", "itemData" : { "ISSN" : "0741-5214", "PMID" : "2911145", "abstract" : "It is commonly believed that low-density lipoproteins (LDLs) carry cholesterol into the artery wall. In addition, some epidemiologic studies have suggested that triglyceride-rich lipoproteins, such as very-low-density lipoproteins (VLDLs), may be much less important than LDLs in atherogenesis. To determine if VLDLs or their metabolic remnants could have a direct role in the formation of atherosclerotic plaque, we examined lipoproteins isolated from endarterectomy specimens. Atherosclerotic plaque was obtained from eight subjects who underwent aortoiliac endarterectomy (4), aortic aneurysm repair (2), or visceral/renal endarterectomy (2). Plaques were washed extensively, minced, and incubated with a buffered saline solution. Lipoproteins were recovered from this solution via a selected-immunoaffinity column by means of a polyclonal antibody to human LDL (apolipoprotein B-100). Particle sizing from electron photomicrographs of negatively stained specimens indicated that 8% of the lipoprotein particles were the size of plasma VLDL (350 to 800 nm). Thirty-six percent were the size of plasma VLDL remnant particles (250 to 350 nm), and 56% were consistent in size with plasma LDL (175 to 250 nm). We conclude that VLDL- and VLDL remnant-sized particles appear to comprise a significant percentage of the lipoproteins found in human atherosclerotic plaque and could have a direct role in the atherosclerotic process.", "author" : [ { "dropping-particle" : "", "family" : "Rapp", "given" : "J H", "non-dropping-particle" : "", "parse-names" : false, "suffix" : "" }, { "dropping-particle" : "", "family" : "Harris", "given" : "H W", "non-dropping-particle" : "", "parse-names" : false, "suffix" : "" }, { "dropping-particle" : "", "family" : "Hamilton", "given" : "R L", "non-dropping-particle" : "", "parse-names" : false, "suffix" : "" }, { "dropping-particle" : "", "family" : "Krupski", "given" : "W C", "non-dropping-particle" : "", "parse-names" : false, "suffix" : "" }, { "dropping-particle" : "", "family" : "Reilly", "given" : "L M", "non-dropping-particle" : "", "parse-names" : false, "suffix" : "" }, { "dropping-particle" : "", "family" : "Ehrenfeld", "given" : "W K", "non-dropping-particle" : "", "parse-names" : false, "suffix" : "" }, { "dropping-particle" : "", "family" : "Stoney", "given" : "R J", "non-dropping-particle" : "", "parse-names" : false, "suffix" : "" }, { "dropping-particle" : "", "family" : "Goldstone", "given" : "J", "non-dropping-particle" : "", "parse-names" : false, "suffix" : "" }, { "dropping-particle" : "", "family" : "Kane", "given" : "J P", "non-dropping-particle" : "", "parse-names" : false, "suffix" : "" } ], "container-title" : "Journal of vascular surgery", "id" : "ITEM-1", "issue" : "1", "issued" : { "date-parts" : [ [ "1989", "1" ] ] }, "page" : "81-8", "title" : "Particle size distribution of lipoproteins from human atherosclerotic plaque: a preliminary report.", "type" : "article-journal", "volume" : "9" }, "uris" : [ "http://www.mendeley.com/documents/?uuid=74be296c-0a54-48b3-8b94-8ec9808edea2" ] } ], "mendeley" : { "formattedCitation" : "&lt;sup&gt;22&lt;/sup&gt;", "plainTextFormattedCitation" : "22", "previouslyFormattedCitation" : "&lt;sup&gt;21&lt;/sup&gt;" }, "properties" : { "noteIndex" : 0 }, "schema" : "https://github.com/citation-style-language/schema/raw/master/csl-citation.json" }</w:instrText>
      </w:r>
      <w:r w:rsidR="001E5046" w:rsidRPr="00C223AB">
        <w:rPr>
          <w:rFonts w:ascii="Arial" w:hAnsi="Arial" w:cs="Arial"/>
        </w:rPr>
        <w:fldChar w:fldCharType="separate"/>
      </w:r>
      <w:r w:rsidR="00C223AB" w:rsidRPr="00C223AB">
        <w:rPr>
          <w:rFonts w:ascii="Arial" w:hAnsi="Arial" w:cs="Arial"/>
          <w:noProof/>
          <w:vertAlign w:val="superscript"/>
        </w:rPr>
        <w:t>22</w:t>
      </w:r>
      <w:r w:rsidR="001E5046" w:rsidRPr="00C223AB">
        <w:rPr>
          <w:rFonts w:ascii="Arial" w:hAnsi="Arial" w:cs="Arial"/>
        </w:rPr>
        <w:fldChar w:fldCharType="end"/>
      </w:r>
      <w:r w:rsidR="00DE668A" w:rsidRPr="00C223AB">
        <w:rPr>
          <w:rFonts w:ascii="Arial" w:hAnsi="Arial" w:cs="Arial"/>
        </w:rPr>
        <w:t xml:space="preserve"> Macrophages within the arterial intima secrete LPL, which can further metabolize these TRL</w:t>
      </w:r>
      <w:r w:rsidR="001E5046" w:rsidRPr="00C223AB">
        <w:rPr>
          <w:rFonts w:ascii="Arial" w:hAnsi="Arial" w:cs="Arial"/>
        </w:rPr>
        <w:t>’s</w:t>
      </w:r>
      <w:r w:rsidR="00DE668A" w:rsidRPr="00C223AB">
        <w:rPr>
          <w:rFonts w:ascii="Arial" w:hAnsi="Arial" w:cs="Arial"/>
        </w:rPr>
        <w:t xml:space="preserve"> to even smaller remnants, which can then be taken up by macrophages</w:t>
      </w:r>
      <w:r w:rsidR="00CE0763" w:rsidRPr="00C223AB">
        <w:rPr>
          <w:rFonts w:ascii="Arial" w:hAnsi="Arial" w:cs="Arial"/>
        </w:rPr>
        <w:t>,</w:t>
      </w:r>
      <w:r w:rsidR="00DE668A" w:rsidRPr="00C223AB">
        <w:rPr>
          <w:rFonts w:ascii="Arial" w:hAnsi="Arial" w:cs="Arial"/>
        </w:rPr>
        <w:t xml:space="preserve"> delivering their cholesterol content and generating foam cells</w:t>
      </w:r>
      <w:r w:rsidR="001E5046" w:rsidRPr="00C223AB">
        <w:rPr>
          <w:rFonts w:ascii="Arial" w:hAnsi="Arial" w:cs="Arial"/>
        </w:rPr>
        <w:t>.</w:t>
      </w:r>
      <w:r w:rsidR="001E5046" w:rsidRPr="00C223AB">
        <w:rPr>
          <w:rFonts w:ascii="Arial" w:hAnsi="Arial" w:cs="Arial"/>
        </w:rPr>
        <w:fldChar w:fldCharType="begin" w:fldLock="1"/>
      </w:r>
      <w:r w:rsidR="00C223AB" w:rsidRPr="00C223AB">
        <w:rPr>
          <w:rFonts w:ascii="Arial" w:hAnsi="Arial" w:cs="Arial"/>
        </w:rPr>
        <w:instrText>ADDIN CSL_CITATION { "citationItems" : [ { "id" : "ITEM-1", "itemData" : { "ISSN" : "0027-8424", "PMID" : "1719546", "abstract" : "Lipoprotein lipase (LPL; EC 3.1.1.34) may promote atherogenesis by producing remnant lipoproteins on the endothelial surface and by acting on lipoproteins in the artery wall. In vitro, smooth muscle cells and macrophages synthesize LPL, but in human carotid lesions only a few smooth muscle cells were reported to contain LPL protein. Endothelial cells do not synthesize LPL in vitro, but in normal arteries intense immunostaining for LPL is present on the endothelium. We used Northern blot analysis, in situ hybridization, and immunocytochemistry of human and rabbit arteries to determine cellular distribution and the site of the synthesis of LPL in atherosclerotic lesions. Northern blot analysis showed that LPL mRNA was detectable in macrophage-derived foam cells isolated from arterial lesions of \"ballooned\" cholesterol-fed rabbits. In situ hybridization studies of atherosclerotic lesions with an antisense riboprobe showed a strong hybridization signal for LPL mRNA in some, but not all, lesion macrophages, which were mostly located in the subendothelial and edge areas of the lesions. Also, some smooth muscle cells in lesion areas also expressed LPL mRNA. Immunocytochemistry of frozen sections of rabbit lesions with a monoclonal antibody to human milk LPL showed intense staining for LPL protein in macrophage-rich intimal lesions. The results suggest that lesion macrophages and macrophage-derived foam cells express LPL mRNA and protein. Some smooth muscle cells in the lesion areas also synthesize LPL. These data are consistent with an important role for LPL in atherogenesis.", "author" : [ { "dropping-particle" : "", "family" : "Yl\u00e4-Herttuala", "given" : "S", "non-dropping-particle" : "", "parse-names" : false, "suffix" : "" }, { "dropping-particle" : "", "family" : "Lipton", "given" : "B A", "non-dropping-particle" : "", "parse-names" : false, "suffix" : "" }, { "dropping-particle" : "", "family" : "Rosenfeld", "given" : "M E", "non-dropping-particle" : "", "parse-names" : false, "suffix" : "" }, { "dropping-particle" : "", "family" : "Goldberg", "given" : "I J", "non-dropping-particle" : "", "parse-names" : false, "suffix" : "" }, { "dropping-particle" : "", "family" : "Steinberg", "given" : "D", "non-dropping-particle" : "", "parse-names" : false, "suffix" : "" }, { "dropping-particle" : "", "family" : "Witztum", "given" : "J L", "non-dropping-particle" : "", "parse-names" : false, "suffix" : "" } ], "container-title" : "Proceedings of the National Academy of Sciences of the United States of America", "id" : "ITEM-1", "issue" : "22", "issued" : { "date-parts" : [ [ "1991", "11", "15" ] ] }, "page" : "10143-7", "title" : "Macrophages and smooth muscle cells express lipoprotein lipase in human and rabbit atherosclerotic lesions.", "type" : "article-journal", "volume" : "88" }, "uris" : [ "http://www.mendeley.com/documents/?uuid=ef74cc08-7f29-403c-a5d2-8d117bad2d83" ] }, { "id" : "ITEM-2", "itemData" : { "ISSN" : "0021-9258", "PMID" : "6874679", "abstract" : "We have previously shown that cultured macrophages secrete lipoprotein lipase (LPL) into the culture medium. The purpose of these experiments was to determine the role of LPL in the uptake of very low density lipoproteins (VLDL). Both J774 cells and mouse peritoneal macrophages took up and degraded normotriglyceridemic VLDL in a saturable manner. Uptake of VLDL was effectively competed for by rabbit beta-VLDL, human VLDL, but not by native LDL or acetyl LDL. LPL activity accelerated saturable uptake of VLDL but was not a prerequisite for it. This was most clearly seen in experiments with apo-C-II-deficient VLDL. Although no hydrolysis of VLDL triglyceride occurred, saturable uptake and degradation of the C-II-deficient lipoprotein occurred. However, addition of apo-C-II enhanced saturable uptake. Normal VLDL also promoted cellular accumulation of both triglycerides and cholesteryl esters. Accumulation of triglyceride occurred by uptake of intact VLDL particles, by uptake of a triglyceride-depleted particle produced by the action of LPL, and by the direct uptake of free fatty acids generated by the activity of LPL. In turn, the latter process was influenced by the amount of albumin in the medium capable of being an acceptor for free fatty acids. Finally, we have shown that when albumin is present in the medium, the macrophage is capable of mobilizing most of its stored triglyceride over 24 h, even as its cholesteryl ester content remains constant. These studies may be relevant to the ability of VLDL to promote macrophage accumulation of cholesteryl ester, even as triglyceride accumulation is minimized.", "author" : [ { "dropping-particle" : "", "family" : "Lindqvist", "given" : "P", "non-dropping-particle" : "", "parse-names" : false, "suffix" : "" }, { "dropping-particle" : "", "family" : "Ostlund-Lindqvist", "given" : "A M", "non-dropping-particle" : "", "parse-names" : false, "suffix" : "" }, { "dropping-particle" : "", "family" : "Witztum", "given" : "J L", "non-dropping-particle" : "", "parse-names" : false, "suffix" : "" }, { "dropping-particle" : "", "family" : "Steinberg", "given" : "D", "non-dropping-particle" : "", "parse-names" : false, "suffix" : "" }, { "dropping-particle" : "", "family" : "Little", "given" : "J A", "non-dropping-particle" : "", "parse-names" : false, "suffix" : "" } ], "container-title" : "The Journal of biological chemistry", "id" : "ITEM-2", "issue" : "15", "issued" : { "date-parts" : [ [ "1983", "8", "10" ] ] }, "page" : "9086-92", "title" : "The role of lipoprotein lipase in the metabolism of triglyceride-rich lipoproteins by macrophages.", "type" : "article-journal", "volume" : "258" }, "uris" : [ "http://www.mendeley.com/documents/?uuid=d75c8b5d-ea43-4e81-a72a-df57b807c726" ] } ], "mendeley" : { "formattedCitation" : "&lt;sup&gt;23,24&lt;/sup&gt;", "plainTextFormattedCitation" : "23,24", "previouslyFormattedCitation" : "&lt;sup&gt;22,23&lt;/sup&gt;" }, "properties" : { "noteIndex" : 0 }, "schema" : "https://github.com/citation-style-language/schema/raw/master/csl-citation.json" }</w:instrText>
      </w:r>
      <w:r w:rsidR="001E5046" w:rsidRPr="00C223AB">
        <w:rPr>
          <w:rFonts w:ascii="Arial" w:hAnsi="Arial" w:cs="Arial"/>
        </w:rPr>
        <w:fldChar w:fldCharType="separate"/>
      </w:r>
      <w:r w:rsidR="00C223AB" w:rsidRPr="00C223AB">
        <w:rPr>
          <w:rFonts w:ascii="Arial" w:hAnsi="Arial" w:cs="Arial"/>
          <w:noProof/>
          <w:vertAlign w:val="superscript"/>
        </w:rPr>
        <w:t>23,24</w:t>
      </w:r>
      <w:r w:rsidR="001E5046" w:rsidRPr="00C223AB">
        <w:rPr>
          <w:rFonts w:ascii="Arial" w:hAnsi="Arial" w:cs="Arial"/>
        </w:rPr>
        <w:fldChar w:fldCharType="end"/>
      </w:r>
      <w:r w:rsidR="00DE668A" w:rsidRPr="00C223AB">
        <w:rPr>
          <w:rFonts w:ascii="Arial" w:hAnsi="Arial" w:cs="Arial"/>
        </w:rPr>
        <w:t xml:space="preserve">  </w:t>
      </w:r>
    </w:p>
    <w:p w14:paraId="7E84AC02" w14:textId="5588592F" w:rsidR="00930832" w:rsidRPr="00C223AB" w:rsidRDefault="00DE668A" w:rsidP="00C223AB">
      <w:pPr>
        <w:shd w:val="clear" w:color="auto" w:fill="FFFFFF"/>
        <w:ind w:firstLine="708"/>
        <w:rPr>
          <w:rFonts w:ascii="Arial" w:hAnsi="Arial" w:cs="Arial"/>
        </w:rPr>
      </w:pPr>
      <w:r w:rsidRPr="00C223AB">
        <w:rPr>
          <w:rFonts w:ascii="Arial" w:eastAsiaTheme="minorHAnsi" w:hAnsi="Arial" w:cs="Arial"/>
          <w:color w:val="000000"/>
          <w:lang w:eastAsia="en-US"/>
        </w:rPr>
        <w:t xml:space="preserve">Thus, </w:t>
      </w:r>
      <w:r w:rsidRPr="00C223AB">
        <w:rPr>
          <w:rFonts w:ascii="Arial" w:hAnsi="Arial" w:cs="Arial"/>
        </w:rPr>
        <w:t>h</w:t>
      </w:r>
      <w:r w:rsidR="00DE535C" w:rsidRPr="00C223AB">
        <w:rPr>
          <w:rFonts w:ascii="Arial" w:hAnsi="Arial" w:cs="Arial"/>
        </w:rPr>
        <w:t>ypertriglyceridemia</w:t>
      </w:r>
      <w:r w:rsidR="004465C6" w:rsidRPr="00C223AB">
        <w:rPr>
          <w:rFonts w:ascii="Arial" w:hAnsi="Arial" w:cs="Arial"/>
        </w:rPr>
        <w:t xml:space="preserve"> should be regarded as a mark</w:t>
      </w:r>
      <w:r w:rsidR="00DE535C" w:rsidRPr="00C223AB">
        <w:rPr>
          <w:rFonts w:ascii="Arial" w:hAnsi="Arial" w:cs="Arial"/>
        </w:rPr>
        <w:t xml:space="preserve">er of </w:t>
      </w:r>
      <w:r w:rsidRPr="00C223AB">
        <w:rPr>
          <w:rFonts w:ascii="Arial" w:hAnsi="Arial" w:cs="Arial"/>
        </w:rPr>
        <w:t xml:space="preserve">the </w:t>
      </w:r>
      <w:r w:rsidR="00DE535C" w:rsidRPr="00C223AB">
        <w:rPr>
          <w:rFonts w:ascii="Arial" w:hAnsi="Arial" w:cs="Arial"/>
        </w:rPr>
        <w:t>cholesterol content in TRLs</w:t>
      </w:r>
      <w:r w:rsidR="004465C6" w:rsidRPr="00C223AB">
        <w:rPr>
          <w:rFonts w:ascii="Arial" w:hAnsi="Arial" w:cs="Arial"/>
        </w:rPr>
        <w:t xml:space="preserve"> </w:t>
      </w:r>
      <w:r w:rsidR="00C60BAC" w:rsidRPr="00C223AB">
        <w:rPr>
          <w:rFonts w:ascii="Arial" w:hAnsi="Arial" w:cs="Arial"/>
        </w:rPr>
        <w:t>(VLDL + IDL)</w:t>
      </w:r>
      <w:r w:rsidR="004465C6" w:rsidRPr="00C223AB">
        <w:rPr>
          <w:rFonts w:ascii="Arial" w:hAnsi="Arial" w:cs="Arial"/>
        </w:rPr>
        <w:t xml:space="preserve">, so-called remnant-cholesterol. Indeed, </w:t>
      </w:r>
      <w:r w:rsidR="009A7B00" w:rsidRPr="00C223AB">
        <w:rPr>
          <w:rFonts w:ascii="Arial" w:hAnsi="Arial" w:cs="Arial"/>
        </w:rPr>
        <w:t>calculated remnant cholesterol and genetic variants determining remnant cholesterol levels are strongly associated with CAD</w:t>
      </w:r>
      <w:r w:rsidR="00842788" w:rsidRPr="00C223AB">
        <w:rPr>
          <w:rFonts w:ascii="Arial" w:hAnsi="Arial" w:cs="Arial"/>
        </w:rPr>
        <w:t xml:space="preserve"> risk</w:t>
      </w:r>
      <w:r w:rsidR="009A7B00" w:rsidRPr="00C223AB">
        <w:rPr>
          <w:rFonts w:ascii="Arial" w:hAnsi="Arial" w:cs="Arial"/>
        </w:rPr>
        <w:t>.</w:t>
      </w:r>
      <w:r w:rsidR="000C4D0B" w:rsidRPr="00C223AB">
        <w:rPr>
          <w:rFonts w:ascii="Arial" w:hAnsi="Arial" w:cs="Arial"/>
        </w:rPr>
        <w:fldChar w:fldCharType="begin" w:fldLock="1"/>
      </w:r>
      <w:r w:rsidR="006A2A45" w:rsidRPr="00C223AB">
        <w:rPr>
          <w:rFonts w:ascii="Arial" w:hAnsi="Arial" w:cs="Arial"/>
        </w:rPr>
        <w:instrText>ADDIN CSL_CITATION { "citationItems" : [ { "id" : "ITEM-1", "itemData" : { "DOI" : "10.1161/CIRCULATIONAHA.113.003008", "ISSN" : "1524-4539", "PMID" : "23926208", "abstract" : "BACKGROUND Elevated nonfasting remnant cholesterol and low-density lipoprotein (LDL) cholesterol are causally associated with ischemic heart disease (IHD), but whether elevated nonfasting remnant cholesterol and LDL cholesterol both cause low-grade inflammation is currently unknown. METHODS AND RESULTS We studied 60 608 individuals from the Copenhagen General Population Study, the Copenhagen City Heart Study, and the Copenhagen Ischemic Heart Disease study, of whom 10 668 had IHD diagnosed between 1977 and 2011. We genotyped for variants affecting levels of nonfasting remnant cholesterol, LDL cholesterol, C-reactive protein by CRP alleles, and C-reactive protein by IL6R alleles. Using a multidirectional mendelian randomization design, we investigated possible causal associations between the lipoproteins and C-reactive protein and between the lipoproteins and IHD. A 1-mmol/L(39 mg/dL) higher level of nonfasting remnant cholesterol was associated observationally with a 37% (95% confidence interval, 35-39) higher C-reactive protein level and causally with a 28% (95% confidence interval, 10-48) higher level. For LDL cholesterol, a 1-mmol/L (39-mg/dL) higher level was associated observationally with a 7% (95% confidence interval, 6-7) higher C-reactive protein level, but we found no causal association. Likewise, higher levels of C-reactive protein did not associate causally with elevated nonfasting remnant cholesterol or LDL cholesterol. Finally, the causal risk ratio for IHD for a 1-mmol/L (39-mg/dL) higher level was 3.3 (95% confidence interval, 2.1-5.2) for nonfasting remnant cholesterol and 1.8 (95% confidence interval, 1.5-2.2) for LDL cholesterol. The causal associations for remnant cholesterol were present even in those without diabetes mellitus and obesity. CONCLUSIONS Elevated nonfasting remnant cholesterol is causally associated with low-grade inflammation and with IHD, whereas elevated LDL cholesterol is associated causally with IHD without inflammation.", "author" : [ { "dropping-particle" : "", "family" : "Varbo", "given" : "Anette", "non-dropping-particle" : "", "parse-names" : false, "suffix" : "" }, { "dropping-particle" : "", "family" : "Benn", "given" : "Marianne", "non-dropping-particle" : "", "parse-names" : false, "suffix" : "" }, { "dropping-particle" : "", "family" : "Tybj\u00e6rg-Hansen", "given" : "Anne", "non-dropping-particle" : "", "parse-names" : false, "suffix" : "" }, { "dropping-particle" : "", "family" : "Nordestgaard", "given" : "B\u00f8rge G", "non-dropping-particle" : "", "parse-names" : false, "suffix" : "" } ], "container-title" : "Circulation", "id" : "ITEM-1", "issue" : "12", "issued" : { "date-parts" : [ [ "2013", "9", "17" ] ] }, "page" : "1298-309", "title" : "Elevated remnant cholesterol causes both low-grade inflammation and ischemic heart disease, whereas elevated low-density lipoprotein cholesterol causes ischemic heart disease without inflammation.", "type" : "article-journal", "volume" : "128" }, "uris" : [ "http://www.mendeley.com/documents/?uuid=64d50299-e8d6-4ec9-817c-ee5a9f91e249" ] } ], "mendeley" : { "formattedCitation" : "&lt;sup&gt;15&lt;/sup&gt;", "plainTextFormattedCitation" : "15", "previouslyFormattedCitation" : "&lt;sup&gt;15&lt;/sup&gt;" }, "properties" : { "noteIndex" : 0 }, "schema" : "https://github.com/citation-style-language/schema/raw/master/csl-citation.json" }</w:instrText>
      </w:r>
      <w:r w:rsidR="000C4D0B" w:rsidRPr="00C223AB">
        <w:rPr>
          <w:rFonts w:ascii="Arial" w:hAnsi="Arial" w:cs="Arial"/>
        </w:rPr>
        <w:fldChar w:fldCharType="separate"/>
      </w:r>
      <w:r w:rsidR="00B44858" w:rsidRPr="00C223AB">
        <w:rPr>
          <w:rFonts w:ascii="Arial" w:hAnsi="Arial" w:cs="Arial"/>
          <w:noProof/>
          <w:vertAlign w:val="superscript"/>
        </w:rPr>
        <w:t>15</w:t>
      </w:r>
      <w:r w:rsidR="000C4D0B" w:rsidRPr="00C223AB">
        <w:rPr>
          <w:rFonts w:ascii="Arial" w:hAnsi="Arial" w:cs="Arial"/>
        </w:rPr>
        <w:fldChar w:fldCharType="end"/>
      </w:r>
      <w:r w:rsidRPr="00C223AB">
        <w:rPr>
          <w:rFonts w:ascii="Arial" w:hAnsi="Arial" w:cs="Arial"/>
        </w:rPr>
        <w:t xml:space="preserve"> </w:t>
      </w:r>
      <w:r w:rsidR="00E9252C" w:rsidRPr="00C223AB">
        <w:rPr>
          <w:rFonts w:ascii="Arial" w:hAnsi="Arial" w:cs="Arial"/>
        </w:rPr>
        <w:t>Using</w:t>
      </w:r>
      <w:r w:rsidRPr="00C223AB">
        <w:rPr>
          <w:rFonts w:ascii="Arial" w:hAnsi="Arial" w:cs="Arial"/>
        </w:rPr>
        <w:t xml:space="preserve"> </w:t>
      </w:r>
      <w:r w:rsidR="00930832" w:rsidRPr="00C223AB">
        <w:rPr>
          <w:rFonts w:ascii="Arial" w:hAnsi="Arial" w:cs="Arial"/>
        </w:rPr>
        <w:t>mediation analysis</w:t>
      </w:r>
      <w:r w:rsidR="00E9252C" w:rsidRPr="00C223AB">
        <w:rPr>
          <w:rFonts w:ascii="Arial" w:hAnsi="Arial" w:cs="Arial"/>
        </w:rPr>
        <w:t xml:space="preserve"> in our study</w:t>
      </w:r>
      <w:r w:rsidR="00930832" w:rsidRPr="00C223AB">
        <w:rPr>
          <w:rFonts w:ascii="Arial" w:hAnsi="Arial" w:cs="Arial"/>
        </w:rPr>
        <w:t xml:space="preserve">, we found that a substantial part of the increased CAD risk associated with apoC-III levels could be attributed to the effect </w:t>
      </w:r>
      <w:r w:rsidR="000B2057" w:rsidRPr="00C223AB">
        <w:rPr>
          <w:rFonts w:ascii="Arial" w:hAnsi="Arial" w:cs="Arial"/>
        </w:rPr>
        <w:t xml:space="preserve">of </w:t>
      </w:r>
      <w:r w:rsidR="00B53739" w:rsidRPr="00C223AB">
        <w:rPr>
          <w:rFonts w:ascii="Arial" w:hAnsi="Arial" w:cs="Arial"/>
        </w:rPr>
        <w:t xml:space="preserve">TRL </w:t>
      </w:r>
      <w:r w:rsidR="00E9252C" w:rsidRPr="00C223AB">
        <w:rPr>
          <w:rFonts w:ascii="Arial" w:hAnsi="Arial" w:cs="Arial"/>
        </w:rPr>
        <w:t xml:space="preserve">‘remnant’ </w:t>
      </w:r>
      <w:r w:rsidR="00B53739" w:rsidRPr="00C223AB">
        <w:rPr>
          <w:rFonts w:ascii="Arial" w:hAnsi="Arial" w:cs="Arial"/>
        </w:rPr>
        <w:t xml:space="preserve">particle concentrations. </w:t>
      </w:r>
      <w:r w:rsidRPr="00C223AB">
        <w:rPr>
          <w:rFonts w:ascii="Arial" w:hAnsi="Arial" w:cs="Arial"/>
        </w:rPr>
        <w:t xml:space="preserve"> </w:t>
      </w:r>
      <w:r w:rsidR="007F2221" w:rsidRPr="00C223AB">
        <w:rPr>
          <w:rFonts w:ascii="Arial" w:hAnsi="Arial" w:cs="Arial"/>
        </w:rPr>
        <w:t xml:space="preserve">Despite the </w:t>
      </w:r>
      <w:r w:rsidRPr="00C223AB">
        <w:rPr>
          <w:rFonts w:ascii="Arial" w:hAnsi="Arial" w:cs="Arial"/>
        </w:rPr>
        <w:t xml:space="preserve">strong </w:t>
      </w:r>
      <w:r w:rsidR="007F2221" w:rsidRPr="00C223AB">
        <w:rPr>
          <w:rFonts w:ascii="Arial" w:hAnsi="Arial" w:cs="Arial"/>
        </w:rPr>
        <w:t>effect on TRL’s</w:t>
      </w:r>
      <w:r w:rsidR="006369D9" w:rsidRPr="00C223AB">
        <w:rPr>
          <w:rFonts w:ascii="Arial" w:hAnsi="Arial" w:cs="Arial"/>
        </w:rPr>
        <w:t>, part of the association of apoC-III and CAD risk could</w:t>
      </w:r>
      <w:r w:rsidRPr="00C223AB">
        <w:rPr>
          <w:rFonts w:ascii="Arial" w:hAnsi="Arial" w:cs="Arial"/>
        </w:rPr>
        <w:t xml:space="preserve"> also</w:t>
      </w:r>
      <w:r w:rsidR="006369D9" w:rsidRPr="00C223AB">
        <w:rPr>
          <w:rFonts w:ascii="Arial" w:hAnsi="Arial" w:cs="Arial"/>
        </w:rPr>
        <w:t xml:space="preserve"> be explained by </w:t>
      </w:r>
      <w:r w:rsidR="00B53739" w:rsidRPr="00C223AB">
        <w:rPr>
          <w:rFonts w:ascii="Arial" w:hAnsi="Arial" w:cs="Arial"/>
        </w:rPr>
        <w:t xml:space="preserve">the </w:t>
      </w:r>
      <w:r w:rsidR="006369D9" w:rsidRPr="00C223AB">
        <w:rPr>
          <w:rFonts w:ascii="Arial" w:hAnsi="Arial" w:cs="Arial"/>
        </w:rPr>
        <w:t>effect o</w:t>
      </w:r>
      <w:r w:rsidRPr="00C223AB">
        <w:rPr>
          <w:rFonts w:ascii="Arial" w:hAnsi="Arial" w:cs="Arial"/>
        </w:rPr>
        <w:t>f</w:t>
      </w:r>
      <w:r w:rsidR="006369D9" w:rsidRPr="00C223AB">
        <w:rPr>
          <w:rFonts w:ascii="Arial" w:hAnsi="Arial" w:cs="Arial"/>
        </w:rPr>
        <w:t xml:space="preserve"> LDL-particle concentration, which was fully attributable to small dense LDL particles</w:t>
      </w:r>
      <w:r w:rsidRPr="00C223AB">
        <w:rPr>
          <w:rFonts w:ascii="Arial" w:hAnsi="Arial" w:cs="Arial"/>
        </w:rPr>
        <w:t xml:space="preserve">, well known biomarkers of </w:t>
      </w:r>
      <w:r w:rsidR="007B78B4" w:rsidRPr="00C223AB">
        <w:rPr>
          <w:rFonts w:ascii="Arial" w:hAnsi="Arial" w:cs="Arial"/>
        </w:rPr>
        <w:t>increased CAD risk.</w:t>
      </w:r>
      <w:r w:rsidR="007B78B4" w:rsidRPr="00C223AB">
        <w:rPr>
          <w:rFonts w:ascii="Arial" w:hAnsi="Arial" w:cs="Arial"/>
        </w:rPr>
        <w:fldChar w:fldCharType="begin" w:fldLock="1"/>
      </w:r>
      <w:r w:rsidR="00C223AB" w:rsidRPr="00C223AB">
        <w:rPr>
          <w:rFonts w:ascii="Arial" w:hAnsi="Arial" w:cs="Arial"/>
        </w:rPr>
        <w:instrText>ADDIN CSL_CITATION { "citationItems" : [ { "id" : "ITEM-1", "itemData" : { "ISSN" : "0098-7484", "PMID" : "8782636", "abstract" : "OBJECTIVE To investigate the prospective association of low-density lipoprotein (LDL) particle diameter with the incidence of fatal and nonfatal coronary artery disease (CAD). DESIGN A nested case-control study. SETTING Cases and controls were identified from a population-based sample of men and women combining all of the 5 cross-sectional surveys conducted from 1979 to 1990 of the Stanford Five-City Project (FCP). PARTICIPANTS Incident CAD cases were identified through FCP surveillance between 1979 and 1992. Controls were matched by sex, 5-year age groups, survey time point, ethnicity, and FCP treatment condition. The sample included 124 matched pairs: 90 pairs of men and 34 pairs of women. MAIN OUTCOME MEASURES LDL peak particle diameter (LDL size) was determined by gradient gel electrophoresis on plasma samples collected during the cross-sectional surveys (stored at 70 degrees C for 5-15 years). Established CAD risk-factor data were available from FCP baseline measurements. RESULTS LDL size was smaller among CAD cases than controls (mean +/- SD) (26.17 +/- 1.00 nm vs 26.68 +/- 0.90 nm; P&lt;.001). The association was graded across control quintiles of LDL size. The significant case-control difference in LDL size was independent of levels of high-density lipoprotein cholesterol (HDL-C), non-HDL cholesterol (non-HDL-C), triglyceride, smoking, systolic blood pressure, and body mass index, but was not significant after adjusting for the ratio of total cholesterol (TC) to HDL-C (TC:HDL-C). Among all the physiological risk factors, LDL size was the best differentiator of CAD status in conditional logistic regression. However, when added to the physiological parameters above, the TC:HDL-C ratio was found to be a stronger independent predictor of CAD status. CONCLUSION LDL size was significantly smaller in CAD cases than in controls in a prospective, population-based study. These findings support other evidence of a role for small, dense LDL particles in the etiology of atherosclerosis.", "author" : [ { "dropping-particle" : "", "family" : "Gardner", "given" : "C D", "non-dropping-particle" : "", "parse-names" : false, "suffix" : "" }, { "dropping-particle" : "", "family" : "Fortmann", "given" : "S P", "non-dropping-particle" : "", "parse-names" : false, "suffix" : "" }, { "dropping-particle" : "", "family" : "Krauss", "given" : "R M", "non-dropping-particle" : "", "parse-names" : false, "suffix" : "" } ], "container-title" : "JAMA", "id" : "ITEM-1", "issue" : "11", "issued" : { "date-parts" : [ [ "1996", "9", "18" ] ] }, "page" : "875-81", "title" : "Association of small low-density lipoprotein particles with the incidence of coronary artery disease in men and women.", "type" : "article-journal", "volume" : "276" }, "uris" : [ "http://www.mendeley.com/documents/?uuid=62b4f50d-33bf-493a-b08c-381c6b886939" ] }, { "id" : "ITEM-2", "itemData" : { "DOI" : "10.1016/j.jacc.2006.09.043", "ISSN" : "1558-3597", "PMID" : "17276177", "abstract" : "OBJECTIVES We assessed relations of low-density lipoprotein (LDL) particle number (LDL-P) and LDL particle size as measured by nuclear magnetic resonance spectroscopy with LDL cholesterol (LDL-C) and the risk of future coronary artery disease (CAD). BACKGROUND Whereas LDL-C is an established risk factor for CAD, its discriminative power is limited. Measuring LDL-P and size may have stronger associations with CAD than LDL-C. METHODS A nested case-control study was performed in the prospective EPIC (European Prospective Investigation into Cancer and Nutrition)-Norfolk study, which comprises 25,663 subjects. Cases (n = 1,003) were individuals who developed CAD during 6 year follow-up. Control subjects (n = 1,885) were matched for age, gender, and enrollment time. Odds ratios (ORs) for future CAD were calculated, and we also evaluated whether LDL-P could improve the Framingham risk score (FRS) to predict CAD. RESULTS In univariate analyses, LDL-P (OR 2.00, 95% confidence interval [CI] 1.58 to 2.59) and non-high-density lipoprotein cholesterol (non-HDL-C) (OR 2.14, 95% CI 1.69 to 2.69) were more closely associated with CAD than LDL-C (OR 1.73, 95% CI 1.37 to 2.18). The additional value of LDL-P was lost after adjustment for HDL-C and triglyceride levels. Whereas LDL size was inversely related to CAD (OR 0.60, 95% CI 0.47 to 0.76), this relation was abolished upon adjustment for LDL-P. In a model adjusted for the FRS, LDL-P retained its association with CAD (p for trend 0.02). CONCLUSIONS In this large study of individuals with moderately elevated LDL-C, LDL-P was related to CAD on top of FRS as well as after adjusting for LDL-C. The additional value of LDL-P was comparable to non-HDL-C, and it was abolished after adjusting for triglycerides and HDL-C.", "author" : [ { "dropping-particle" : "", "family" : "Harchaoui", "given" : "Karim", "non-dropping-particle" : "El", "parse-names" : false, "suffix" : "" }, { "dropping-particle" : "", "family" : "Steeg", "given" : "Wim A", "non-dropping-particle" : "van der", "parse-names" : false, "suffix" : "" }, { "dropping-particle" : "", "family" : "Stroes", "given" : "Erik S G", "non-dropping-particle" : "", "parse-names" : false, "suffix" : "" }, { "dropping-particle" : "", "family" : "Kuivenhoven", "given" : "Jan Albert", "non-dropping-particle" : "", "parse-names" : false, "suffix" : "" }, { "dropping-particle" : "", "family" : "Otvos", "given" : "James D", "non-dropping-particle" : "", "parse-names" : false, "suffix" : "" }, { "dropping-particle" : "", "family" : "Wareham", "given" : "Nicholas J", "non-dropping-particle" : "", "parse-names" : false, "suffix" : "" }, { "dropping-particle" : "", "family" : "Hutten", "given" : "Barbara A", "non-dropping-particle" : "", "parse-names" : false, "suffix" : "" }, { "dropping-particle" : "", "family" : "Kastelein", "given" : "John J P", "non-dropping-particle" : "", "parse-names" : false, "suffix" : "" }, { "dropping-particle" : "", "family" : "Khaw", "given" : "Kay-Tee", "non-dropping-particle" : "", "parse-names" : false, "suffix" : "" }, { "dropping-particle" : "", "family" : "Boekholdt", "given" : "S Matthijs", "non-dropping-particle" : "", "parse-names" : false, "suffix" : "" } ], "container-title" : "Journal of the American College of Cardiology", "id" : "ITEM-2", "issue" : "5", "issued" : { "date-parts" : [ [ "2007", "2", "6" ] ] }, "page" : "547-53", "title" : "Value of low-density lipoprotein particle number and size as predictors of coronary artery disease in apparently healthy men and women: the EPIC-Norfolk Prospective Population Study.", "type" : "article-journal", "volume" : "49" }, "uris" : [ "http://www.mendeley.com/documents/?uuid=dbb4a5b8-ed39-487d-bd77-843e54348c84" ] } ], "mendeley" : { "formattedCitation" : "&lt;sup&gt;25,26&lt;/sup&gt;", "plainTextFormattedCitation" : "25,26", "previouslyFormattedCitation" : "&lt;sup&gt;24,25&lt;/sup&gt;" }, "properties" : { "noteIndex" : 0 }, "schema" : "https://github.com/citation-style-language/schema/raw/master/csl-citation.json" }</w:instrText>
      </w:r>
      <w:r w:rsidR="007B78B4" w:rsidRPr="00C223AB">
        <w:rPr>
          <w:rFonts w:ascii="Arial" w:hAnsi="Arial" w:cs="Arial"/>
        </w:rPr>
        <w:fldChar w:fldCharType="separate"/>
      </w:r>
      <w:r w:rsidR="00C223AB" w:rsidRPr="00C223AB">
        <w:rPr>
          <w:rFonts w:ascii="Arial" w:hAnsi="Arial" w:cs="Arial"/>
          <w:noProof/>
          <w:vertAlign w:val="superscript"/>
        </w:rPr>
        <w:t>25,26</w:t>
      </w:r>
      <w:r w:rsidR="007B78B4" w:rsidRPr="00C223AB">
        <w:rPr>
          <w:rFonts w:ascii="Arial" w:hAnsi="Arial" w:cs="Arial"/>
        </w:rPr>
        <w:fldChar w:fldCharType="end"/>
      </w:r>
    </w:p>
    <w:p w14:paraId="42C7D4FE" w14:textId="5CC81CAE" w:rsidR="00AE09ED" w:rsidRPr="00C223AB" w:rsidRDefault="007B78B4" w:rsidP="00C223AB">
      <w:pPr>
        <w:ind w:firstLine="708"/>
        <w:rPr>
          <w:rFonts w:ascii="Arial" w:hAnsi="Arial" w:cs="Arial"/>
        </w:rPr>
      </w:pPr>
      <w:r w:rsidRPr="00C223AB">
        <w:rPr>
          <w:rFonts w:ascii="Arial" w:hAnsi="Arial" w:cs="Arial"/>
        </w:rPr>
        <w:t>Last,</w:t>
      </w:r>
      <w:r w:rsidR="00E42AFC" w:rsidRPr="00C223AB">
        <w:rPr>
          <w:rFonts w:ascii="Arial" w:hAnsi="Arial" w:cs="Arial"/>
        </w:rPr>
        <w:t xml:space="preserve"> we show </w:t>
      </w:r>
      <w:r w:rsidR="002D0754" w:rsidRPr="00C223AB">
        <w:rPr>
          <w:rFonts w:ascii="Arial" w:hAnsi="Arial" w:cs="Arial"/>
        </w:rPr>
        <w:t>that apoC-III is correlated with higher</w:t>
      </w:r>
      <w:r w:rsidR="00E42AFC" w:rsidRPr="00C223AB">
        <w:rPr>
          <w:rFonts w:ascii="Arial" w:hAnsi="Arial" w:cs="Arial"/>
        </w:rPr>
        <w:t xml:space="preserve"> </w:t>
      </w:r>
      <w:r w:rsidR="00D15FD2" w:rsidRPr="00C223AB">
        <w:rPr>
          <w:rFonts w:ascii="Arial" w:hAnsi="Arial" w:cs="Arial"/>
        </w:rPr>
        <w:t>hs</w:t>
      </w:r>
      <w:r w:rsidR="00E42AFC" w:rsidRPr="00C223AB">
        <w:rPr>
          <w:rFonts w:ascii="Arial" w:hAnsi="Arial" w:cs="Arial"/>
        </w:rPr>
        <w:t xml:space="preserve">CRP levels in our study. </w:t>
      </w:r>
      <w:r w:rsidR="002D0754" w:rsidRPr="00C223AB">
        <w:rPr>
          <w:rFonts w:ascii="Arial" w:hAnsi="Arial" w:cs="Arial"/>
        </w:rPr>
        <w:t xml:space="preserve">Interestingly, </w:t>
      </w:r>
      <w:r w:rsidR="002D535F" w:rsidRPr="00C223AB">
        <w:rPr>
          <w:rFonts w:ascii="Arial" w:hAnsi="Arial" w:cs="Arial"/>
        </w:rPr>
        <w:t>elevated</w:t>
      </w:r>
      <w:r w:rsidR="002D0754" w:rsidRPr="00C223AB">
        <w:rPr>
          <w:rFonts w:ascii="Arial" w:hAnsi="Arial" w:cs="Arial"/>
        </w:rPr>
        <w:t xml:space="preserve"> remnant cholesterol levels</w:t>
      </w:r>
      <w:r w:rsidR="002D535F" w:rsidRPr="00C223AB">
        <w:rPr>
          <w:rFonts w:ascii="Arial" w:hAnsi="Arial" w:cs="Arial"/>
        </w:rPr>
        <w:t>, driven by genetics, are</w:t>
      </w:r>
      <w:r w:rsidR="002D0754" w:rsidRPr="00C223AB">
        <w:rPr>
          <w:rFonts w:ascii="Arial" w:hAnsi="Arial" w:cs="Arial"/>
        </w:rPr>
        <w:t xml:space="preserve"> also associated causally with low-grade inflammation.</w:t>
      </w:r>
      <w:r w:rsidR="002D0754" w:rsidRPr="00C223AB">
        <w:rPr>
          <w:rFonts w:ascii="Arial" w:hAnsi="Arial" w:cs="Arial"/>
        </w:rPr>
        <w:fldChar w:fldCharType="begin" w:fldLock="1"/>
      </w:r>
      <w:r w:rsidR="006A2A45" w:rsidRPr="00C223AB">
        <w:rPr>
          <w:rFonts w:ascii="Arial" w:hAnsi="Arial" w:cs="Arial"/>
        </w:rPr>
        <w:instrText>ADDIN CSL_CITATION { "citationItems" : [ { "id" : "ITEM-1", "itemData" : { "DOI" : "10.1161/CIRCULATIONAHA.113.003008", "ISSN" : "1524-4539", "PMID" : "23926208", "abstract" : "BACKGROUND Elevated nonfasting remnant cholesterol and low-density lipoprotein (LDL) cholesterol are causally associated with ischemic heart disease (IHD), but whether elevated nonfasting remnant cholesterol and LDL cholesterol both cause low-grade inflammation is currently unknown. METHODS AND RESULTS We studied 60 608 individuals from the Copenhagen General Population Study, the Copenhagen City Heart Study, and the Copenhagen Ischemic Heart Disease study, of whom 10 668 had IHD diagnosed between 1977 and 2011. We genotyped for variants affecting levels of nonfasting remnant cholesterol, LDL cholesterol, C-reactive protein by CRP alleles, and C-reactive protein by IL6R alleles. Using a multidirectional mendelian randomization design, we investigated possible causal associations between the lipoproteins and C-reactive protein and between the lipoproteins and IHD. A 1-mmol/L(39 mg/dL) higher level of nonfasting remnant cholesterol was associated observationally with a 37% (95% confidence interval, 35-39) higher C-reactive protein level and causally with a 28% (95% confidence interval, 10-48) higher level. For LDL cholesterol, a 1-mmol/L (39-mg/dL) higher level was associated observationally with a 7% (95% confidence interval, 6-7) higher C-reactive protein level, but we found no causal association. Likewise, higher levels of C-reactive protein did not associate causally with elevated nonfasting remnant cholesterol or LDL cholesterol. Finally, the causal risk ratio for IHD for a 1-mmol/L (39-mg/dL) higher level was 3.3 (95% confidence interval, 2.1-5.2) for nonfasting remnant cholesterol and 1.8 (95% confidence interval, 1.5-2.2) for LDL cholesterol. The causal associations for remnant cholesterol were present even in those without diabetes mellitus and obesity. CONCLUSIONS Elevated nonfasting remnant cholesterol is causally associated with low-grade inflammation and with IHD, whereas elevated LDL cholesterol is associated causally with IHD without inflammation.", "author" : [ { "dropping-particle" : "", "family" : "Varbo", "given" : "Anette", "non-dropping-particle" : "", "parse-names" : false, "suffix" : "" }, { "dropping-particle" : "", "family" : "Benn", "given" : "Marianne", "non-dropping-particle" : "", "parse-names" : false, "suffix" : "" }, { "dropping-particle" : "", "family" : "Tybj\u00e6rg-Hansen", "given" : "Anne", "non-dropping-particle" : "", "parse-names" : false, "suffix" : "" }, { "dropping-particle" : "", "family" : "Nordestgaard", "given" : "B\u00f8rge G", "non-dropping-particle" : "", "parse-names" : false, "suffix" : "" } ], "container-title" : "Circulation", "id" : "ITEM-1", "issue" : "12", "issued" : { "date-parts" : [ [ "2013", "9", "17" ] ] }, "page" : "1298-309", "title" : "Elevated remnant cholesterol causes both low-grade inflammation and ischemic heart disease, whereas elevated low-density lipoprotein cholesterol causes ischemic heart disease without inflammation.", "type" : "article-journal", "volume" : "128" }, "uris" : [ "http://www.mendeley.com/documents/?uuid=64d50299-e8d6-4ec9-817c-ee5a9f91e249" ] } ], "mendeley" : { "formattedCitation" : "&lt;sup&gt;15&lt;/sup&gt;", "plainTextFormattedCitation" : "15", "previouslyFormattedCitation" : "&lt;sup&gt;15&lt;/sup&gt;" }, "properties" : { "noteIndex" : 0 }, "schema" : "https://github.com/citation-style-language/schema/raw/master/csl-citation.json" }</w:instrText>
      </w:r>
      <w:r w:rsidR="002D0754" w:rsidRPr="00C223AB">
        <w:rPr>
          <w:rFonts w:ascii="Arial" w:hAnsi="Arial" w:cs="Arial"/>
        </w:rPr>
        <w:fldChar w:fldCharType="separate"/>
      </w:r>
      <w:r w:rsidR="00B44858" w:rsidRPr="00C223AB">
        <w:rPr>
          <w:rFonts w:ascii="Arial" w:hAnsi="Arial" w:cs="Arial"/>
          <w:noProof/>
          <w:vertAlign w:val="superscript"/>
        </w:rPr>
        <w:t>15</w:t>
      </w:r>
      <w:r w:rsidR="002D0754" w:rsidRPr="00C223AB">
        <w:rPr>
          <w:rFonts w:ascii="Arial" w:hAnsi="Arial" w:cs="Arial"/>
        </w:rPr>
        <w:fldChar w:fldCharType="end"/>
      </w:r>
      <w:r w:rsidR="00D15FD2" w:rsidRPr="00C223AB">
        <w:rPr>
          <w:rFonts w:ascii="Arial" w:hAnsi="Arial" w:cs="Arial"/>
        </w:rPr>
        <w:t xml:space="preserve"> </w:t>
      </w:r>
      <w:r w:rsidR="002D535F" w:rsidRPr="00C223AB">
        <w:rPr>
          <w:rFonts w:ascii="Arial" w:hAnsi="Arial" w:cs="Arial"/>
        </w:rPr>
        <w:t xml:space="preserve">Such a low-grade inflammatory state, as assessed by elevated </w:t>
      </w:r>
      <w:r w:rsidR="00D15FD2" w:rsidRPr="00C223AB">
        <w:rPr>
          <w:rFonts w:ascii="Arial" w:hAnsi="Arial" w:cs="Arial"/>
        </w:rPr>
        <w:t>hs</w:t>
      </w:r>
      <w:r w:rsidR="00E42AFC" w:rsidRPr="00C223AB">
        <w:rPr>
          <w:rFonts w:ascii="Arial" w:hAnsi="Arial" w:cs="Arial"/>
        </w:rPr>
        <w:t>CRP</w:t>
      </w:r>
      <w:r w:rsidR="002D535F" w:rsidRPr="00C223AB">
        <w:rPr>
          <w:rFonts w:ascii="Arial" w:hAnsi="Arial" w:cs="Arial"/>
        </w:rPr>
        <w:t>, is</w:t>
      </w:r>
      <w:r w:rsidR="00E42AFC" w:rsidRPr="00C223AB">
        <w:rPr>
          <w:rFonts w:ascii="Arial" w:hAnsi="Arial" w:cs="Arial"/>
        </w:rPr>
        <w:t xml:space="preserve"> </w:t>
      </w:r>
      <w:r w:rsidR="002D0754" w:rsidRPr="00C223AB">
        <w:rPr>
          <w:rFonts w:ascii="Arial" w:hAnsi="Arial" w:cs="Arial"/>
        </w:rPr>
        <w:t>asso</w:t>
      </w:r>
      <w:r w:rsidR="002F0B32" w:rsidRPr="00C223AB">
        <w:rPr>
          <w:rFonts w:ascii="Arial" w:hAnsi="Arial" w:cs="Arial"/>
        </w:rPr>
        <w:t>ciated with increased CAD risk.</w:t>
      </w:r>
      <w:r w:rsidR="002F0B32" w:rsidRPr="00C223AB">
        <w:rPr>
          <w:rFonts w:ascii="Arial" w:hAnsi="Arial" w:cs="Arial"/>
        </w:rPr>
        <w:fldChar w:fldCharType="begin" w:fldLock="1"/>
      </w:r>
      <w:r w:rsidR="00C223AB" w:rsidRPr="00C223AB">
        <w:rPr>
          <w:rFonts w:ascii="Arial" w:hAnsi="Arial" w:cs="Arial"/>
        </w:rPr>
        <w:instrText>ADDIN CSL_CITATION { "citationItems" : [ { "id" : "ITEM-1", "itemData" : { "DOI" : "10.1056/NEJMoa0807646", "ISSN" : "1533-4406", "PMID" : "18997196", "abstract" : "BACKGROUND Increased levels of the inflammatory biomarker high-sensitivity C-reactive protein predict cardiovascular events. Since statins lower levels of high-sensitivity C-reactive protein as well as cholesterol, we hypothesized that people with elevated high-sensitivity C-reactive protein levels but without hyperlipidemia might benefit from statin treatment. METHODS We randomly assigned 17,802 apparently healthy men and women with low-density lipoprotein (LDL) cholesterol levels of less than 130 mg per deciliter (3.4 mmol per liter) and high-sensitivity C-reactive protein levels of 2.0 mg per liter or higher to rosuvastatin, 20 mg daily, or placebo and followed them for the occurrence of the combined primary end point of myocardial infarction, stroke, arterial revascularization, hospitalization for unstable angina, or death from cardiovascular causes. RESULTS The trial was stopped after a median follow-up of 1.9 years (maximum, 5.0). Rosuvastatin reduced LDL cholesterol levels by 50% and high-sensitivity C-reactive protein levels by 37%. The rates of the primary end point were 0.77 and 1.36 per 100 person-years of follow-up in the rosuvastatin and placebo groups, respectively (hazard ratio for rosuvastatin, 0.56; 95% confidence interval [CI], 0.46 to 0.69; P&lt;0.00001), with corresponding rates of 0.17 and 0.37 for myocardial infarction (hazard ratio, 0.46; 95% CI, 0.30 to 0.70; P=0.0002), 0.18 and 0.34 for stroke (hazard ratio, 0.52; 95% CI, 0.34 to 0.79; P=0.002), 0.41 and 0.77 for revascularization or unstable angina (hazard ratio, 0.53; 95% CI, 0.40 to 0.70; P&lt;0.00001), 0.45 and 0.85 for the combined end point of myocardial infarction, stroke, or death from cardiovascular causes (hazard ratio, 0.53; 95% CI, 0.40 to 0.69; P&lt;0.00001), and 1.00 and 1.25 for death from any cause (hazard ratio, 0.80; 95% CI, 0.67 to 0.97; P=0.02). Consistent effects were observed in all subgroups evaluated. The rosuvastatin group did not have a significant increase in myopathy or cancer but did have a higher incidence of physician-reported diabetes. CONCLUSIONS In this trial of apparently healthy persons without hyperlipidemia but with elevated high-sensitivity C-reactive protein levels, rosuvastatin significantly reduced the incidence of major cardiovascular events. (ClinicalTrials.gov number, NCT00239681.)", "author" : [ { "dropping-particle" : "", "family" : "Ridker", "given" : "Paul M", "non-dropping-particle" : "", "parse-names" : false, "suffix" : "" }, { "dropping-particle" : "", "family" : "Danielson", "given" : "Eleanor", "non-dropping-particle" : "", "parse-names" : false, "suffix" : "" }, { "dropping-particle" : "", "family" : "Fonseca", "given" : "Francisco A H", "non-dropping-particle" : "", "parse-names" : false, "suffix" : "" }, { "dropping-particle" : "", "family" : "Genest", "given" : "Jacques", "non-dropping-particle" : "", "parse-names" : false, "suffix" : "" }, { "dropping-particle" : "", "family" : "Gotto", "given" : "Antonio M", "non-dropping-particle" : "", "parse-names" : false, "suffix" : "" }, { "dropping-particle" : "", "family" : "Kastelein", "given" : "John J P", "non-dropping-particle" : "", "parse-names" : false, "suffix" : "" }, { "dropping-particle" : "", "family" : "Koenig", "given" : "Wolfgang", "non-dropping-particle" : "", "parse-names" : false, "suffix" : "" }, { "dropping-particle" : "", "family" : "Libby", "given" : "Peter", "non-dropping-particle" : "", "parse-names" : false, "suffix" : "" }, { "dropping-particle" : "", "family" : "Lorenzatti", "given" : "Alberto J", "non-dropping-particle" : "", "parse-names" : false, "suffix" : "" }, { "dropping-particle" : "", "family" : "MacFadyen", "given" : "Jean G", "non-dropping-particle" : "", "parse-names" : false, "suffix" : "" }, { "dropping-particle" : "", "family" : "Nordestgaard", "given" : "B\u00f8rge G", "non-dropping-particle" : "", "parse-names" : false, "suffix" : "" }, { "dropping-particle" : "", "family" : "Shepherd", "given" : "James", "non-dropping-particle" : "", "parse-names" : false, "suffix" : "" }, { "dropping-particle" : "", "family" : "Willerson", "given" : "James T", "non-dropping-particle" : "", "parse-names" : false, "suffix" : "" }, { "dropping-particle" : "", "family" : "Glynn", "given" : "Robert J", "non-dropping-particle" : "", "parse-names" : false, "suffix" : "" }, { "dropping-particle" : "", "family" : "JUPITER Study Group", "given" : "", "non-dropping-particle" : "", "parse-names" : false, "suffix" : "" } ], "container-title" : "The New England journal of medicine", "id" : "ITEM-1", "issue" : "21", "issued" : { "date-parts" : [ [ "2008", "11", "20" ] ] }, "page" : "2195-207", "title" : "Rosuvastatin to prevent vascular events in men and women with elevated C-reactive protein.", "type" : "article-journal", "volume" : "359" }, "uris" : [ "http://www.mendeley.com/documents/?uuid=b5a05a7b-6615-438a-be34-2c06ed47de3e" ] } ], "mendeley" : { "formattedCitation" : "&lt;sup&gt;27&lt;/sup&gt;", "plainTextFormattedCitation" : "27", "previouslyFormattedCitation" : "&lt;sup&gt;26&lt;/sup&gt;" }, "properties" : { "noteIndex" : 0 }, "schema" : "https://github.com/citation-style-language/schema/raw/master/csl-citation.json" }</w:instrText>
      </w:r>
      <w:r w:rsidR="002F0B32" w:rsidRPr="00C223AB">
        <w:rPr>
          <w:rFonts w:ascii="Arial" w:hAnsi="Arial" w:cs="Arial"/>
        </w:rPr>
        <w:fldChar w:fldCharType="separate"/>
      </w:r>
      <w:r w:rsidR="00C223AB" w:rsidRPr="00C223AB">
        <w:rPr>
          <w:rFonts w:ascii="Arial" w:hAnsi="Arial" w:cs="Arial"/>
          <w:noProof/>
          <w:vertAlign w:val="superscript"/>
        </w:rPr>
        <w:t>27</w:t>
      </w:r>
      <w:r w:rsidR="002F0B32" w:rsidRPr="00C223AB">
        <w:rPr>
          <w:rFonts w:ascii="Arial" w:hAnsi="Arial" w:cs="Arial"/>
        </w:rPr>
        <w:fldChar w:fldCharType="end"/>
      </w:r>
      <w:r w:rsidR="00DE668A" w:rsidRPr="00C223AB">
        <w:rPr>
          <w:rFonts w:ascii="Arial" w:hAnsi="Arial" w:cs="Arial"/>
        </w:rPr>
        <w:t xml:space="preserve"> </w:t>
      </w:r>
    </w:p>
    <w:p w14:paraId="06FE2A8C" w14:textId="23F12F82" w:rsidR="00436AC5" w:rsidRPr="00C223AB" w:rsidRDefault="00294E7E" w:rsidP="00716903">
      <w:pPr>
        <w:widowControl w:val="0"/>
        <w:autoSpaceDE w:val="0"/>
        <w:autoSpaceDN w:val="0"/>
        <w:adjustRightInd w:val="0"/>
        <w:rPr>
          <w:rFonts w:ascii="Arial" w:hAnsi="Arial" w:cs="Arial"/>
        </w:rPr>
      </w:pPr>
      <w:r w:rsidRPr="00C223AB">
        <w:rPr>
          <w:rFonts w:ascii="Arial" w:hAnsi="Arial" w:cs="Arial"/>
        </w:rPr>
        <w:tab/>
      </w:r>
      <w:r w:rsidR="005D51AF" w:rsidRPr="00C223AB">
        <w:rPr>
          <w:rFonts w:ascii="Arial" w:hAnsi="Arial" w:cs="Arial"/>
        </w:rPr>
        <w:t xml:space="preserve">Although </w:t>
      </w:r>
      <w:r w:rsidR="00346F34" w:rsidRPr="00C223AB">
        <w:rPr>
          <w:rFonts w:ascii="Arial" w:hAnsi="Arial" w:cs="Arial"/>
        </w:rPr>
        <w:t xml:space="preserve">we show </w:t>
      </w:r>
      <w:r w:rsidR="00486D46" w:rsidRPr="00C223AB">
        <w:rPr>
          <w:rFonts w:ascii="Arial" w:hAnsi="Arial" w:cs="Arial"/>
        </w:rPr>
        <w:t>strong</w:t>
      </w:r>
      <w:r w:rsidR="005D51AF" w:rsidRPr="00C223AB">
        <w:rPr>
          <w:rFonts w:ascii="Arial" w:hAnsi="Arial" w:cs="Arial"/>
        </w:rPr>
        <w:t xml:space="preserve"> correlations between apoC-III levels, CAD risk and lipoprotein particle concentrations, </w:t>
      </w:r>
      <w:r w:rsidR="009A14DC" w:rsidRPr="00C223AB">
        <w:rPr>
          <w:rFonts w:ascii="Arial" w:hAnsi="Arial" w:cs="Arial"/>
        </w:rPr>
        <w:t>it should be stressed this</w:t>
      </w:r>
      <w:r w:rsidR="005D51AF" w:rsidRPr="00C223AB">
        <w:rPr>
          <w:rFonts w:ascii="Arial" w:hAnsi="Arial" w:cs="Arial"/>
        </w:rPr>
        <w:t xml:space="preserve"> does not </w:t>
      </w:r>
      <w:r w:rsidR="009A14DC" w:rsidRPr="00C223AB">
        <w:rPr>
          <w:rFonts w:ascii="Arial" w:hAnsi="Arial" w:cs="Arial"/>
        </w:rPr>
        <w:t xml:space="preserve">necessarily </w:t>
      </w:r>
      <w:r w:rsidR="005D51AF" w:rsidRPr="00C223AB">
        <w:rPr>
          <w:rFonts w:ascii="Arial" w:hAnsi="Arial" w:cs="Arial"/>
        </w:rPr>
        <w:t>imply causality and confirmation by</w:t>
      </w:r>
      <w:r w:rsidR="006369D9" w:rsidRPr="00C223AB">
        <w:rPr>
          <w:rFonts w:ascii="Arial" w:hAnsi="Arial" w:cs="Arial"/>
        </w:rPr>
        <w:t xml:space="preserve"> </w:t>
      </w:r>
      <w:r w:rsidR="005D51AF" w:rsidRPr="00C223AB">
        <w:rPr>
          <w:rFonts w:ascii="Arial" w:hAnsi="Arial" w:cs="Arial"/>
        </w:rPr>
        <w:t>intervention studies is warr</w:t>
      </w:r>
      <w:r w:rsidR="009A14DC" w:rsidRPr="00C223AB">
        <w:rPr>
          <w:rFonts w:ascii="Arial" w:hAnsi="Arial" w:cs="Arial"/>
        </w:rPr>
        <w:t>a</w:t>
      </w:r>
      <w:r w:rsidR="005D51AF" w:rsidRPr="00C223AB">
        <w:rPr>
          <w:rFonts w:ascii="Arial" w:hAnsi="Arial" w:cs="Arial"/>
        </w:rPr>
        <w:t>nted</w:t>
      </w:r>
      <w:r w:rsidR="009A14DC" w:rsidRPr="00C223AB">
        <w:rPr>
          <w:rFonts w:ascii="Arial" w:hAnsi="Arial" w:cs="Arial"/>
        </w:rPr>
        <w:t>.</w:t>
      </w:r>
      <w:r w:rsidR="005D51AF" w:rsidRPr="00C223AB">
        <w:rPr>
          <w:rFonts w:ascii="Arial" w:hAnsi="Arial" w:cs="Arial"/>
        </w:rPr>
        <w:t xml:space="preserve"> </w:t>
      </w:r>
      <w:r w:rsidR="007B78B4" w:rsidRPr="00C223AB">
        <w:rPr>
          <w:rFonts w:ascii="Arial" w:hAnsi="Arial" w:cs="Arial"/>
        </w:rPr>
        <w:t>However, we did adjust for BMI and o</w:t>
      </w:r>
      <w:r w:rsidR="004052FF" w:rsidRPr="00C223AB">
        <w:rPr>
          <w:rFonts w:ascii="Arial" w:hAnsi="Arial" w:cs="Arial"/>
        </w:rPr>
        <w:t>ther risk factors in our analyse</w:t>
      </w:r>
      <w:r w:rsidR="007B78B4" w:rsidRPr="00C223AB">
        <w:rPr>
          <w:rFonts w:ascii="Arial" w:hAnsi="Arial" w:cs="Arial"/>
        </w:rPr>
        <w:t xml:space="preserve">s and genetic studies of </w:t>
      </w:r>
      <w:r w:rsidR="007B78B4" w:rsidRPr="00C223AB">
        <w:rPr>
          <w:rFonts w:ascii="Arial" w:hAnsi="Arial" w:cs="Arial"/>
          <w:i/>
        </w:rPr>
        <w:t>APOC3</w:t>
      </w:r>
      <w:r w:rsidR="007B78B4" w:rsidRPr="00C223AB">
        <w:rPr>
          <w:rFonts w:ascii="Arial" w:hAnsi="Arial" w:cs="Arial"/>
        </w:rPr>
        <w:t xml:space="preserve"> loss-of function variants do support our findings on lipoprotein particles.</w:t>
      </w:r>
      <w:r w:rsidR="0071269C" w:rsidRPr="00C223AB">
        <w:rPr>
          <w:rFonts w:ascii="Arial" w:hAnsi="Arial" w:cs="Arial"/>
        </w:rPr>
        <w:fldChar w:fldCharType="begin" w:fldLock="1"/>
      </w:r>
      <w:r w:rsidR="00B44858" w:rsidRPr="00C223AB">
        <w:rPr>
          <w:rFonts w:ascii="Arial" w:hAnsi="Arial" w:cs="Arial"/>
        </w:rPr>
        <w:instrText>ADDIN CSL_CITATION { "citationItems" : [ { "id" : "ITEM-1", "itemData" : { "DOI" : "10.1126/science.1161524", "ISSN" : "1095-9203", "PMID" : "19074352", "abstract" : "Apolipoprotein C-III (apoC-III) inhibits triglyceride hydrolysis and has been implicated in coronary artery disease. Through a genome-wide association study, we have found that about 5% of the Lancaster Amish are heterozygous carriers of a null mutation (R19X) in the gene encoding apoC-III (APOC3) and, as a result, express half the amount of apoC-III present in noncarriers. Mutation carriers compared with noncarriers had lower fasting and postprandial serum triglycerides, higher levels of HDL-cholesterol and lower levels of LDL-cholesterol. Subclinical atherosclerosis, as measured by coronary artery calcification, was less common in carriers than noncarriers, which suggests that lifelong deficiency of apoC-III has a cardioprotective effect.", "author" : [ { "dropping-particle" : "", "family" : "Pollin", "given" : "Toni I", "non-dropping-particle" : "", "parse-names" : false, "suffix" : "" }, { "dropping-particle" : "", "family" : "Damcott", "given" : "Coleen M", "non-dropping-particle" : "", "parse-names" : false, "suffix" : "" }, { "dropping-particle" : "", "family" : "Shen", "given" : "Haiqing", "non-dropping-particle" : "", "parse-names" : false, "suffix" : "" }, { "dropping-particle" : "", "family" : "Ott", "given" : "Sandra H", "non-dropping-particle" : "", "parse-names" : false, "suffix" : "" }, { "dropping-particle" : "", "family" : "Shelton", "given" : "John", "non-dropping-particle" : "", "parse-names" : false, "suffix" : "" }, { "dropping-particle" : "", "family" : "Horenstein", "given" : "Richard B", "non-dropping-particle" : "", "parse-names" : false, "suffix" : "" }, { "dropping-particle" : "", "family" : "Post", "given" : "Wendy", "non-dropping-particle" : "", "parse-names" : false, "suffix" : "" }, { "dropping-particle" : "", "family" : "McLenithan", "given" : "John C", "non-dropping-particle" : "", "parse-names" : false, "suffix" : "" }, { "dropping-particle" : "", "family" : "Bielak", "given" : "Lawrence F", "non-dropping-particle" : "", "parse-names" : false, "suffix" : "" }, { "dropping-particle" : "", "family" : "Peyser", "given" : "Patricia A", "non-dropping-particle" : "", "parse-names" : false, "suffix" : "" }, { "dropping-particle" : "", "family" : "Mitchell", "given" : "Braxton D", "non-dropping-particle" : "", "parse-names" : false, "suffix" : "" }, { "dropping-particle" : "", "family" : "Miller", "given" : "Michael", "non-dropping-particle" : "", "parse-names" : false, "suffix" : "" }, { "dropping-particle" : "", "family" : "O'Connell", "given" : "Jeffrey R", "non-dropping-particle" : "", "parse-names" : false, "suffix" : "" }, { "dropping-particle" : "", "family" : "Shuldiner", "given" : "Alan R", "non-dropping-particle" : "", "parse-names" : false, "suffix" : "" } ], "container-title" : "Science (New York, N.Y.)", "id" : "ITEM-1", "issue" : "5908", "issued" : { "date-parts" : [ [ "2008", "12", "12" ] ] }, "page" : "1702-5", "title" : "A null mutation in human APOC3 confers a favorable plasma lipid profile and apparent cardioprotection.", "type" : "article-journal", "volume" : "322" }, "uris" : [ "http://www.mendeley.com/documents/?uuid=3f3cb70a-3b45-491f-a9b0-1565bcadce73" ] } ], "mendeley" : { "formattedCitation" : "&lt;sup&gt;10&lt;/sup&gt;", "plainTextFormattedCitation" : "10", "previouslyFormattedCitation" : "&lt;sup&gt;10&lt;/sup&gt;" }, "properties" : { "noteIndex" : 0 }, "schema" : "https://github.com/citation-style-language/schema/raw/master/csl-citation.json" }</w:instrText>
      </w:r>
      <w:r w:rsidR="0071269C" w:rsidRPr="00C223AB">
        <w:rPr>
          <w:rFonts w:ascii="Arial" w:hAnsi="Arial" w:cs="Arial"/>
        </w:rPr>
        <w:fldChar w:fldCharType="separate"/>
      </w:r>
      <w:r w:rsidR="00493189" w:rsidRPr="00C223AB">
        <w:rPr>
          <w:rFonts w:ascii="Arial" w:hAnsi="Arial" w:cs="Arial"/>
          <w:noProof/>
          <w:vertAlign w:val="superscript"/>
        </w:rPr>
        <w:t>10</w:t>
      </w:r>
      <w:r w:rsidR="0071269C" w:rsidRPr="00C223AB">
        <w:rPr>
          <w:rFonts w:ascii="Arial" w:hAnsi="Arial" w:cs="Arial"/>
        </w:rPr>
        <w:fldChar w:fldCharType="end"/>
      </w:r>
      <w:r w:rsidR="007B78B4" w:rsidRPr="00C223AB">
        <w:rPr>
          <w:rFonts w:ascii="Arial" w:hAnsi="Arial" w:cs="Arial"/>
        </w:rPr>
        <w:t xml:space="preserve"> </w:t>
      </w:r>
      <w:r w:rsidR="00A613D3" w:rsidRPr="00C223AB">
        <w:rPr>
          <w:rFonts w:ascii="Arial" w:hAnsi="Arial" w:cs="Arial"/>
        </w:rPr>
        <w:t>HbA1C levels were only available for 40% of the study cohort, and were therefore not included in the multivariable adjusted regression models. We did adju</w:t>
      </w:r>
      <w:r w:rsidR="00073EF7" w:rsidRPr="00C223AB">
        <w:rPr>
          <w:rFonts w:ascii="Arial" w:hAnsi="Arial" w:cs="Arial"/>
        </w:rPr>
        <w:t>st for diabetes status, but can</w:t>
      </w:r>
      <w:r w:rsidR="00A613D3" w:rsidRPr="00C223AB">
        <w:rPr>
          <w:rFonts w:ascii="Arial" w:hAnsi="Arial" w:cs="Arial"/>
        </w:rPr>
        <w:t>not rule out that the effect of apoC-III on glucose metabolism might be underestimated in our study.</w:t>
      </w:r>
    </w:p>
    <w:p w14:paraId="2DE39E24" w14:textId="5F34C34A" w:rsidR="00F7739D" w:rsidRPr="00C223AB" w:rsidRDefault="007E058C" w:rsidP="00C223AB">
      <w:pPr>
        <w:ind w:firstLine="708"/>
        <w:rPr>
          <w:rFonts w:ascii="Arial" w:hAnsi="Arial" w:cs="Arial"/>
        </w:rPr>
      </w:pPr>
      <w:r w:rsidRPr="00C223AB">
        <w:rPr>
          <w:rFonts w:ascii="Arial" w:hAnsi="Arial" w:cs="Arial"/>
        </w:rPr>
        <w:t>Currently, apoC-III targeted therapies are in development of which</w:t>
      </w:r>
      <w:r w:rsidR="0088157F" w:rsidRPr="00C223AB">
        <w:rPr>
          <w:rFonts w:ascii="Arial" w:hAnsi="Arial" w:cs="Arial"/>
        </w:rPr>
        <w:t xml:space="preserve"> the </w:t>
      </w:r>
      <w:r w:rsidR="003A6D61" w:rsidRPr="00C223AB">
        <w:rPr>
          <w:rFonts w:ascii="Arial" w:hAnsi="Arial" w:cs="Arial"/>
        </w:rPr>
        <w:t>second-generation</w:t>
      </w:r>
      <w:r w:rsidRPr="00C223AB">
        <w:rPr>
          <w:rFonts w:ascii="Arial" w:hAnsi="Arial" w:cs="Arial"/>
        </w:rPr>
        <w:t xml:space="preserve"> antisense </w:t>
      </w:r>
      <w:r w:rsidR="0088157F" w:rsidRPr="00C223AB">
        <w:rPr>
          <w:rFonts w:ascii="Arial" w:hAnsi="Arial" w:cs="Arial"/>
        </w:rPr>
        <w:t xml:space="preserve">oligonucleotide volanesorsen </w:t>
      </w:r>
      <w:r w:rsidRPr="00C223AB">
        <w:rPr>
          <w:rFonts w:ascii="Arial" w:hAnsi="Arial" w:cs="Arial"/>
        </w:rPr>
        <w:t xml:space="preserve">has shown the most promise to date. </w:t>
      </w:r>
      <w:r w:rsidR="00CA52DE" w:rsidRPr="00C223AB">
        <w:rPr>
          <w:rFonts w:ascii="Arial" w:hAnsi="Arial" w:cs="Arial"/>
        </w:rPr>
        <w:t>In 57 high TG patients</w:t>
      </w:r>
      <w:r w:rsidR="0088157F" w:rsidRPr="00C223AB">
        <w:rPr>
          <w:rFonts w:ascii="Arial" w:hAnsi="Arial" w:cs="Arial"/>
        </w:rPr>
        <w:t>,</w:t>
      </w:r>
      <w:r w:rsidR="00CA52DE" w:rsidRPr="00C223AB">
        <w:rPr>
          <w:rFonts w:ascii="Arial" w:hAnsi="Arial" w:cs="Arial"/>
        </w:rPr>
        <w:t xml:space="preserve"> </w:t>
      </w:r>
      <w:r w:rsidR="002D535F" w:rsidRPr="00C223AB">
        <w:rPr>
          <w:rFonts w:ascii="Arial" w:hAnsi="Arial" w:cs="Arial"/>
        </w:rPr>
        <w:t xml:space="preserve">300 mg of weekly </w:t>
      </w:r>
      <w:r w:rsidR="0088157F" w:rsidRPr="00C223AB">
        <w:rPr>
          <w:rFonts w:ascii="Arial" w:hAnsi="Arial" w:cs="Arial"/>
        </w:rPr>
        <w:t>volanesorsen</w:t>
      </w:r>
      <w:r w:rsidR="00E64A54" w:rsidRPr="00C223AB">
        <w:rPr>
          <w:rFonts w:ascii="Arial" w:hAnsi="Arial" w:cs="Arial"/>
        </w:rPr>
        <w:t xml:space="preserve"> </w:t>
      </w:r>
      <w:r w:rsidR="00CA52DE" w:rsidRPr="00C223AB">
        <w:rPr>
          <w:rFonts w:ascii="Arial" w:hAnsi="Arial" w:cs="Arial"/>
        </w:rPr>
        <w:t xml:space="preserve">resulted in apoC-III reductions up </w:t>
      </w:r>
      <w:r w:rsidR="00E64A54" w:rsidRPr="00C223AB">
        <w:rPr>
          <w:rFonts w:ascii="Arial" w:hAnsi="Arial" w:cs="Arial"/>
        </w:rPr>
        <w:t xml:space="preserve">to </w:t>
      </w:r>
      <w:r w:rsidR="00DE668A" w:rsidRPr="00C223AB">
        <w:rPr>
          <w:rFonts w:ascii="Arial" w:hAnsi="Arial" w:cs="Arial"/>
        </w:rPr>
        <w:t>~-80%</w:t>
      </w:r>
      <w:r w:rsidR="00C74F2B" w:rsidRPr="00C223AB">
        <w:rPr>
          <w:rFonts w:ascii="Arial" w:hAnsi="Arial" w:cs="Arial"/>
        </w:rPr>
        <w:t>,</w:t>
      </w:r>
      <w:r w:rsidR="00DE668A" w:rsidRPr="00C223AB">
        <w:rPr>
          <w:rFonts w:ascii="Arial" w:hAnsi="Arial" w:cs="Arial"/>
        </w:rPr>
        <w:t xml:space="preserve"> </w:t>
      </w:r>
      <w:r w:rsidR="00E64A54" w:rsidRPr="00C223AB">
        <w:rPr>
          <w:rFonts w:ascii="Arial" w:hAnsi="Arial" w:cs="Arial"/>
        </w:rPr>
        <w:t xml:space="preserve">which translated </w:t>
      </w:r>
      <w:r w:rsidR="00DE668A" w:rsidRPr="00C223AB">
        <w:rPr>
          <w:rFonts w:ascii="Arial" w:hAnsi="Arial" w:cs="Arial"/>
        </w:rPr>
        <w:t xml:space="preserve">to equally </w:t>
      </w:r>
      <w:r w:rsidR="002D535F" w:rsidRPr="00C223AB">
        <w:rPr>
          <w:rFonts w:ascii="Arial" w:hAnsi="Arial" w:cs="Arial"/>
        </w:rPr>
        <w:t xml:space="preserve">potent </w:t>
      </w:r>
      <w:r w:rsidR="00DE668A" w:rsidRPr="00C223AB">
        <w:rPr>
          <w:rFonts w:ascii="Arial" w:hAnsi="Arial" w:cs="Arial"/>
        </w:rPr>
        <w:t>l</w:t>
      </w:r>
      <w:r w:rsidR="00E64A54" w:rsidRPr="00C223AB">
        <w:rPr>
          <w:rFonts w:ascii="Arial" w:hAnsi="Arial" w:cs="Arial"/>
        </w:rPr>
        <w:t>owering</w:t>
      </w:r>
      <w:r w:rsidR="00DE668A" w:rsidRPr="00C223AB">
        <w:rPr>
          <w:rFonts w:ascii="Arial" w:hAnsi="Arial" w:cs="Arial"/>
        </w:rPr>
        <w:t xml:space="preserve"> of plasma TG </w:t>
      </w:r>
      <w:r w:rsidR="00E64A54" w:rsidRPr="00C223AB">
        <w:rPr>
          <w:rFonts w:ascii="Arial" w:hAnsi="Arial" w:cs="Arial"/>
        </w:rPr>
        <w:t>(up to -70.9%) and VLDL-C (up to -70%).</w:t>
      </w:r>
      <w:r w:rsidR="00CD08E8" w:rsidRPr="00C223AB">
        <w:rPr>
          <w:rFonts w:ascii="Arial" w:hAnsi="Arial" w:cs="Arial"/>
          <w:lang w:val="nl-NL"/>
        </w:rPr>
        <w:fldChar w:fldCharType="begin" w:fldLock="1"/>
      </w:r>
      <w:r w:rsidR="00493189" w:rsidRPr="00C223AB">
        <w:rPr>
          <w:rFonts w:ascii="Arial" w:hAnsi="Arial" w:cs="Arial"/>
        </w:rPr>
        <w:instrText>ADDIN CSL_CITATION { "citationItems" : [ { "id" : "ITEM-1", "itemData" : { "DOI" : "10.1056/NEJMoa1400283", "ISSN" : "1533-4406", "PMID" : "26222559", "abstract" : "BACKGROUND Apolipoprotein C-III (APOC3) is a key regulator of plasma triglyceride levels. Elevated triglyceride levels are associated with a risk of adverse cardiovascular events and pancreatitis. ISIS 304801 is a second-generation antisense inhibitor of APOC3 synthesis. METHODS We conducted a randomized, double-blind, placebo-controlled, dose-ranging, phase 2 study to evaluate ISIS 304801 in untreated patients with fasting triglyceride levels between 350 mg per deciliter (4.0 mmol per liter) and 2000 mg per deciliter (22.6 mmol per liter) (ISIS 304801 monotherapy cohort), as well as in patients receiving stable fibrate therapy who had fasting triglyceride levels between 225 mg per deciliter (2.5 mmol per liter) and 2000 mg per deciliter (ISIS 304801-fibrate cohort). Eligible patients were randomly assigned to receive either ISIS 304801, at doses ranging from 100 to 300 mg, or placebo, once weekly for 13 weeks. The primary outcome was the percentage change in APOC3 level from baseline. RESULTS A total of 57 patients were treated in the ISIS 304801 monotherapy cohort (41 received active agent, and 16 received placebo), and 28 patients were treated in the ISIS 304801-fibrate cohort (20 received active agent, and 8 received placebo). The mean (\u00b1SD) baseline triglyceride levels in the two cohorts were 581\u00b1291 mg per deciliter (6.6\u00b13.3 mmol per liter) and 376\u00b1188 mg per deciliter (4.2\u00b12.1 mmol per liter), respectively. Treatment with ISIS 304801 resulted in dose-dependent and prolonged decreases in plasma APOC3 levels when the drug was administered as a single agent (decreases of 40.0\u00b132.0% in the 100-mg group, 63.8\u00b122.3% in the 200-mg group, and 79.6\u00b19.3% in the 300-mg group, vs. an increase of 4.2\u00b141.7% in the placebo group) and when it was administered as an add-on to fibrates (decreases of 60.2\u00b112.5% in the 200-mg group and 70.9\u00b113.0% in the 300-mg group, vs. a decrease of 2.2\u00b125.2% in the placebo group). Concordant reductions of 31.3 to 70.9% were observed in triglyceride levels. No safety concerns were identified in this short-term study. CONCLUSIONS We found that treatment with ISIS 304801 was associated with significant lowering of triglyceride levels, among patients with a broad range of baseline levels, through selective antisense inhibition of APOC3 synthesis. (Funded by Isis Pharmaceuticals; ClinicalTrials.gov number, NCT01529424.).", "author" : [ { "dropping-particle" : "", "family" : "Gaudet", "given" : "Daniel", "non-dropping-particle" : "", "parse-names" : false, "suffix" : "" }, { "dropping-particle" : "", "family" : "Alexander", "given" : "Veronica J", "non-dropping-particle" : "", "parse-names" : false, "suffix" : "" }, { "dropping-particle" : "", "family" : "Baker", "given" : "Brenda F", "non-dropping-particle" : "", "parse-names" : false, "suffix" : "" }, { "dropping-particle" : "", "family" : "Brisson", "given" : "Diane", "non-dropping-particle" : "", "parse-names" : false, "suffix" : "" }, { "dropping-particle" : "", "family" : "Tremblay", "given" : "Karine", "non-dropping-particle" : "", "parse-names" : false, "suffix" : "" }, { "dropping-particle" : "", "family" : "Singleton", "given" : "Walter", "non-dropping-particle" : "", "parse-names" : false, "suffix" : "" }, { "dropping-particle" : "", "family" : "Geary", "given" : "Richard S", "non-dropping-particle" : "", "parse-names" : false, "suffix" : "" }, { "dropping-particle" : "", "family" : "Hughes", "given" : "Steven G", "non-dropping-particle" : "", "parse-names" : false, "suffix" : "" }, { "dropping-particle" : "", "family" : "Viney", "given" : "Nicholas J", "non-dropping-particle" : "", "parse-names" : false, "suffix" : "" }, { "dropping-particle" : "", "family" : "Graham", "given" : "Mark J", "non-dropping-particle" : "", "parse-names" : false, "suffix" : "" }, { "dropping-particle" : "", "family" : "Crooke", "given" : "Rosanne M", "non-dropping-particle" : "", "parse-names" : false, "suffix" : "" }, { "dropping-particle" : "", "family" : "Witztum", "given" : "Joseph L", "non-dropping-particle" : "", "parse-names" : false, "suffix" : "" }, { "dropping-particle" : "", "family" : "Brunzell", "given" : "John D", "non-dropping-particle" : "", "parse-names" : false, "suffix" : "" }, { "dropping-particle" : "", "family" : "Kastelein", "given" : "John J P", "non-dropping-particle" : "", "parse-names" : false, "suffix" : "" } ], "container-title" : "The New England journal of medicine", "id" : "ITEM-1", "issue" : "5", "issued" : { "date-parts" : [ [ "2015", "7", "30" ] ] }, "page" : "438-47", "title" : "Antisense Inhibition of Apolipoprotein C-III in Patients with Hypertriglyceridemia.", "type" : "article-journal", "volume" : "373" }, "uris" : [ "http://www.mendeley.com/documents/?uuid=ab25afbc-4809-46f7-9cb7-75e7e42b2d52" ] } ], "mendeley" : { "formattedCitation" : "&lt;sup&gt;5&lt;/sup&gt;", "plainTextFormattedCitation" : "5", "previouslyFormattedCitation" : "&lt;sup&gt;5&lt;/sup&gt;" }, "properties" : { "noteIndex" : 0 }, "schema" : "https://github.com/citation-style-language/schema/raw/master/csl-citation.json" }</w:instrText>
      </w:r>
      <w:r w:rsidR="00CD08E8" w:rsidRPr="00C223AB">
        <w:rPr>
          <w:rFonts w:ascii="Arial" w:hAnsi="Arial" w:cs="Arial"/>
          <w:lang w:val="nl-NL"/>
        </w:rPr>
        <w:fldChar w:fldCharType="separate"/>
      </w:r>
      <w:r w:rsidR="00493189" w:rsidRPr="00C223AB">
        <w:rPr>
          <w:rFonts w:ascii="Arial" w:hAnsi="Arial" w:cs="Arial"/>
          <w:noProof/>
          <w:vertAlign w:val="superscript"/>
        </w:rPr>
        <w:t>5</w:t>
      </w:r>
      <w:r w:rsidR="00CD08E8" w:rsidRPr="00C223AB">
        <w:rPr>
          <w:rFonts w:ascii="Arial" w:hAnsi="Arial" w:cs="Arial"/>
          <w:lang w:val="nl-NL"/>
        </w:rPr>
        <w:fldChar w:fldCharType="end"/>
      </w:r>
      <w:r w:rsidR="00E64A54" w:rsidRPr="00C223AB">
        <w:rPr>
          <w:rFonts w:ascii="Arial" w:hAnsi="Arial" w:cs="Arial"/>
        </w:rPr>
        <w:t xml:space="preserve"> </w:t>
      </w:r>
      <w:r w:rsidR="0094202B" w:rsidRPr="00C223AB">
        <w:rPr>
          <w:rFonts w:ascii="Arial" w:hAnsi="Arial" w:cs="Arial"/>
        </w:rPr>
        <w:t>The strong association between apoC</w:t>
      </w:r>
      <w:r w:rsidR="00DE668A" w:rsidRPr="00C223AB">
        <w:rPr>
          <w:rFonts w:ascii="Arial" w:hAnsi="Arial" w:cs="Arial"/>
        </w:rPr>
        <w:t>-</w:t>
      </w:r>
      <w:r w:rsidR="0094202B" w:rsidRPr="00C223AB">
        <w:rPr>
          <w:rFonts w:ascii="Arial" w:hAnsi="Arial" w:cs="Arial"/>
        </w:rPr>
        <w:t xml:space="preserve">III, TRLs and CAD in our study holds promise for the potential of these therapies to lower </w:t>
      </w:r>
      <w:r w:rsidR="002D535F" w:rsidRPr="00C223AB">
        <w:rPr>
          <w:rFonts w:ascii="Arial" w:hAnsi="Arial" w:cs="Arial"/>
        </w:rPr>
        <w:t>CAD risk</w:t>
      </w:r>
      <w:r w:rsidR="00DE668A" w:rsidRPr="00C223AB">
        <w:rPr>
          <w:rFonts w:ascii="Arial" w:hAnsi="Arial" w:cs="Arial"/>
        </w:rPr>
        <w:t xml:space="preserve">, which will need to be tested in future cardiovascular outcome trials. </w:t>
      </w:r>
      <w:r w:rsidR="00DA49AA" w:rsidRPr="00C223AB">
        <w:rPr>
          <w:rFonts w:ascii="Arial" w:hAnsi="Arial" w:cs="Arial"/>
        </w:rPr>
        <w:t xml:space="preserve">However, </w:t>
      </w:r>
      <w:r w:rsidR="00623AF4" w:rsidRPr="00C223AB">
        <w:rPr>
          <w:rFonts w:ascii="Arial" w:hAnsi="Arial" w:cs="Arial"/>
        </w:rPr>
        <w:t xml:space="preserve">our study also indicates that the association of apoC-III and CAD risk is not as strong in subjects with lower LDL-C, supporting LDL-C lowering therapies as the initial CAD risk modifying strategy, as is advocated in current guidelines. </w:t>
      </w:r>
    </w:p>
    <w:p w14:paraId="5527C408" w14:textId="77777777" w:rsidR="00764467" w:rsidRPr="00C223AB" w:rsidRDefault="00764467" w:rsidP="00C223AB">
      <w:pPr>
        <w:rPr>
          <w:rFonts w:ascii="Arial" w:hAnsi="Arial" w:cs="Arial"/>
          <w:b/>
        </w:rPr>
      </w:pPr>
    </w:p>
    <w:p w14:paraId="172E8D6A" w14:textId="77777777" w:rsidR="007E058C" w:rsidRPr="00C223AB" w:rsidRDefault="007E058C" w:rsidP="00C223AB">
      <w:pPr>
        <w:rPr>
          <w:rFonts w:ascii="Arial" w:hAnsi="Arial" w:cs="Arial"/>
          <w:b/>
        </w:rPr>
      </w:pPr>
      <w:r w:rsidRPr="00C223AB">
        <w:rPr>
          <w:rFonts w:ascii="Arial" w:hAnsi="Arial" w:cs="Arial"/>
          <w:b/>
        </w:rPr>
        <w:t>Conclusions</w:t>
      </w:r>
    </w:p>
    <w:p w14:paraId="6FF3D546" w14:textId="4BD2358D" w:rsidR="00E64A54" w:rsidRPr="00C223AB" w:rsidRDefault="00E64A54" w:rsidP="00C223AB">
      <w:pPr>
        <w:ind w:firstLine="708"/>
        <w:rPr>
          <w:rFonts w:ascii="Arial" w:hAnsi="Arial" w:cs="Arial"/>
        </w:rPr>
      </w:pPr>
      <w:r w:rsidRPr="00C223AB">
        <w:rPr>
          <w:rFonts w:ascii="Arial" w:hAnsi="Arial" w:cs="Arial"/>
        </w:rPr>
        <w:t xml:space="preserve">Our results </w:t>
      </w:r>
      <w:r w:rsidR="00F00832" w:rsidRPr="00C223AB">
        <w:rPr>
          <w:rFonts w:ascii="Arial" w:hAnsi="Arial" w:cs="Arial"/>
        </w:rPr>
        <w:t>demonstrate</w:t>
      </w:r>
      <w:r w:rsidRPr="00C223AB">
        <w:rPr>
          <w:rFonts w:ascii="Arial" w:hAnsi="Arial" w:cs="Arial"/>
        </w:rPr>
        <w:t xml:space="preserve"> the robust association of elevated </w:t>
      </w:r>
      <w:r w:rsidR="009A14DC" w:rsidRPr="00C223AB">
        <w:rPr>
          <w:rFonts w:ascii="Arial" w:hAnsi="Arial" w:cs="Arial"/>
        </w:rPr>
        <w:t xml:space="preserve">plasma </w:t>
      </w:r>
      <w:r w:rsidRPr="00C223AB">
        <w:rPr>
          <w:rFonts w:ascii="Arial" w:hAnsi="Arial" w:cs="Arial"/>
        </w:rPr>
        <w:t>apoC-III levels with CAD risk, independent of traditional cardiova</w:t>
      </w:r>
      <w:r w:rsidR="006369D9" w:rsidRPr="00C223AB">
        <w:rPr>
          <w:rFonts w:ascii="Arial" w:hAnsi="Arial" w:cs="Arial"/>
        </w:rPr>
        <w:t>sc</w:t>
      </w:r>
      <w:r w:rsidRPr="00C223AB">
        <w:rPr>
          <w:rFonts w:ascii="Arial" w:hAnsi="Arial" w:cs="Arial"/>
        </w:rPr>
        <w:t>ular disease risk</w:t>
      </w:r>
      <w:r w:rsidR="002D535F" w:rsidRPr="00C223AB">
        <w:rPr>
          <w:rFonts w:ascii="Arial" w:hAnsi="Arial" w:cs="Arial"/>
        </w:rPr>
        <w:t xml:space="preserve"> </w:t>
      </w:r>
      <w:r w:rsidRPr="00C223AB">
        <w:rPr>
          <w:rFonts w:ascii="Arial" w:hAnsi="Arial" w:cs="Arial"/>
        </w:rPr>
        <w:t xml:space="preserve">factors. </w:t>
      </w:r>
      <w:r w:rsidR="00F00832" w:rsidRPr="00C223AB">
        <w:rPr>
          <w:rFonts w:ascii="Arial" w:hAnsi="Arial" w:cs="Arial"/>
        </w:rPr>
        <w:t>Furthermore, w</w:t>
      </w:r>
      <w:r w:rsidRPr="00C223AB">
        <w:rPr>
          <w:rFonts w:ascii="Arial" w:hAnsi="Arial" w:cs="Arial"/>
        </w:rPr>
        <w:t>e show that elevated apoC-III levels are associated with an unfavorable lipoprotein profile, characterized by increased</w:t>
      </w:r>
      <w:r w:rsidR="005A035A" w:rsidRPr="00C223AB">
        <w:rPr>
          <w:rFonts w:ascii="Arial" w:hAnsi="Arial" w:cs="Arial"/>
        </w:rPr>
        <w:t xml:space="preserve"> VLDL and IDL particles, and a redistribution of LDL particles t</w:t>
      </w:r>
      <w:r w:rsidRPr="00C223AB">
        <w:rPr>
          <w:rFonts w:ascii="Arial" w:hAnsi="Arial" w:cs="Arial"/>
        </w:rPr>
        <w:t>owards increased small dense LDL particles</w:t>
      </w:r>
      <w:r w:rsidR="002D535F" w:rsidRPr="00C223AB">
        <w:rPr>
          <w:rFonts w:ascii="Arial" w:hAnsi="Arial" w:cs="Arial"/>
        </w:rPr>
        <w:t xml:space="preserve"> and low</w:t>
      </w:r>
      <w:r w:rsidR="00CE0763" w:rsidRPr="00C223AB">
        <w:rPr>
          <w:rFonts w:ascii="Arial" w:hAnsi="Arial" w:cs="Arial"/>
        </w:rPr>
        <w:t>-</w:t>
      </w:r>
      <w:r w:rsidR="002D535F" w:rsidRPr="00C223AB">
        <w:rPr>
          <w:rFonts w:ascii="Arial" w:hAnsi="Arial" w:cs="Arial"/>
        </w:rPr>
        <w:t>grade inflammation</w:t>
      </w:r>
      <w:r w:rsidRPr="00C223AB">
        <w:rPr>
          <w:rFonts w:ascii="Arial" w:hAnsi="Arial" w:cs="Arial"/>
        </w:rPr>
        <w:t xml:space="preserve">. Mediation analysis indicated that the </w:t>
      </w:r>
      <w:r w:rsidR="00DD5F9C" w:rsidRPr="00C223AB">
        <w:rPr>
          <w:rFonts w:ascii="Arial" w:hAnsi="Arial" w:cs="Arial"/>
        </w:rPr>
        <w:t xml:space="preserve">association </w:t>
      </w:r>
      <w:r w:rsidRPr="00C223AB">
        <w:rPr>
          <w:rFonts w:ascii="Arial" w:hAnsi="Arial" w:cs="Arial"/>
        </w:rPr>
        <w:lastRenderedPageBreak/>
        <w:t xml:space="preserve">between apoC-III and CAD risk </w:t>
      </w:r>
      <w:r w:rsidR="002D535F" w:rsidRPr="00C223AB">
        <w:rPr>
          <w:rFonts w:ascii="Arial" w:hAnsi="Arial" w:cs="Arial"/>
        </w:rPr>
        <w:t>is likely</w:t>
      </w:r>
      <w:r w:rsidRPr="00C223AB">
        <w:rPr>
          <w:rFonts w:ascii="Arial" w:hAnsi="Arial" w:cs="Arial"/>
        </w:rPr>
        <w:t xml:space="preserve"> </w:t>
      </w:r>
      <w:r w:rsidR="00DD5F9C" w:rsidRPr="00C223AB">
        <w:rPr>
          <w:rFonts w:ascii="Arial" w:hAnsi="Arial" w:cs="Arial"/>
        </w:rPr>
        <w:t>explained by</w:t>
      </w:r>
      <w:r w:rsidRPr="00C223AB">
        <w:rPr>
          <w:rFonts w:ascii="Arial" w:hAnsi="Arial" w:cs="Arial"/>
        </w:rPr>
        <w:t xml:space="preserve"> apoC</w:t>
      </w:r>
      <w:r w:rsidR="0046391C" w:rsidRPr="00C223AB">
        <w:rPr>
          <w:rFonts w:ascii="Arial" w:hAnsi="Arial" w:cs="Arial"/>
        </w:rPr>
        <w:t>-</w:t>
      </w:r>
      <w:r w:rsidRPr="00C223AB">
        <w:rPr>
          <w:rFonts w:ascii="Arial" w:hAnsi="Arial" w:cs="Arial"/>
        </w:rPr>
        <w:t>III’s association with TG-elevation (TG, VLDL and IDL particles)</w:t>
      </w:r>
      <w:r w:rsidR="002D535F" w:rsidRPr="00C223AB">
        <w:rPr>
          <w:rFonts w:ascii="Arial" w:hAnsi="Arial" w:cs="Arial"/>
        </w:rPr>
        <w:t xml:space="preserve"> and</w:t>
      </w:r>
      <w:r w:rsidRPr="00C223AB">
        <w:rPr>
          <w:rFonts w:ascii="Arial" w:hAnsi="Arial" w:cs="Arial"/>
        </w:rPr>
        <w:t xml:space="preserve"> small </w:t>
      </w:r>
      <w:r w:rsidR="009C43DA" w:rsidRPr="00C223AB">
        <w:rPr>
          <w:rFonts w:ascii="Arial" w:hAnsi="Arial" w:cs="Arial"/>
        </w:rPr>
        <w:t xml:space="preserve">dense </w:t>
      </w:r>
      <w:r w:rsidRPr="00C223AB">
        <w:rPr>
          <w:rFonts w:ascii="Arial" w:hAnsi="Arial" w:cs="Arial"/>
        </w:rPr>
        <w:t>LDL</w:t>
      </w:r>
      <w:r w:rsidR="002D535F" w:rsidRPr="00C223AB">
        <w:rPr>
          <w:rFonts w:ascii="Arial" w:hAnsi="Arial" w:cs="Arial"/>
        </w:rPr>
        <w:t>.</w:t>
      </w:r>
    </w:p>
    <w:p w14:paraId="7849E05A" w14:textId="77777777" w:rsidR="007E058C" w:rsidRPr="00C223AB" w:rsidRDefault="007E058C" w:rsidP="00C223AB">
      <w:pPr>
        <w:rPr>
          <w:rFonts w:ascii="Arial" w:hAnsi="Arial" w:cs="Arial"/>
        </w:rPr>
      </w:pPr>
    </w:p>
    <w:p w14:paraId="5746A0D6" w14:textId="302961F5" w:rsidR="002F667C" w:rsidRPr="00C223AB" w:rsidRDefault="002F667C" w:rsidP="00C223AB">
      <w:pPr>
        <w:rPr>
          <w:rFonts w:ascii="Arial" w:hAnsi="Arial" w:cs="Arial"/>
          <w:b/>
        </w:rPr>
      </w:pPr>
      <w:r w:rsidRPr="00C223AB">
        <w:rPr>
          <w:rFonts w:ascii="Arial" w:hAnsi="Arial" w:cs="Arial"/>
          <w:b/>
        </w:rPr>
        <w:t>Acknowledgements.</w:t>
      </w:r>
    </w:p>
    <w:p w14:paraId="70ED7DED" w14:textId="27EFEBEC" w:rsidR="00B44858" w:rsidRPr="00C223AB" w:rsidRDefault="00B44858" w:rsidP="00C223AB">
      <w:pPr>
        <w:ind w:firstLine="708"/>
        <w:rPr>
          <w:rFonts w:ascii="Arial" w:hAnsi="Arial" w:cs="Arial"/>
          <w:color w:val="000000"/>
        </w:rPr>
      </w:pPr>
      <w:r w:rsidRPr="00C223AB">
        <w:rPr>
          <w:rFonts w:ascii="Arial" w:hAnsi="Arial" w:cs="Arial"/>
        </w:rPr>
        <w:t xml:space="preserve">The authors wish to thank the participants and staff of the EPIC-Norfolk prospective population study. </w:t>
      </w:r>
    </w:p>
    <w:p w14:paraId="6DB2471A" w14:textId="77777777" w:rsidR="00B44858" w:rsidRPr="00C223AB" w:rsidRDefault="00B44858" w:rsidP="00C223AB">
      <w:pPr>
        <w:rPr>
          <w:rFonts w:ascii="Arial" w:hAnsi="Arial" w:cs="Arial"/>
          <w:color w:val="000000"/>
        </w:rPr>
      </w:pPr>
    </w:p>
    <w:p w14:paraId="61663A10" w14:textId="6204D027" w:rsidR="008D1D8E" w:rsidRPr="00C223AB" w:rsidRDefault="002F667C" w:rsidP="00C223AB">
      <w:pPr>
        <w:rPr>
          <w:rFonts w:ascii="Arial" w:hAnsi="Arial" w:cs="Arial"/>
          <w:b/>
        </w:rPr>
      </w:pPr>
      <w:r w:rsidRPr="00C223AB">
        <w:rPr>
          <w:rFonts w:ascii="Arial" w:hAnsi="Arial" w:cs="Arial"/>
          <w:b/>
        </w:rPr>
        <w:t>Sources of f</w:t>
      </w:r>
      <w:r w:rsidR="008D1D8E" w:rsidRPr="00C223AB">
        <w:rPr>
          <w:rFonts w:ascii="Arial" w:hAnsi="Arial" w:cs="Arial"/>
          <w:b/>
        </w:rPr>
        <w:t>unding</w:t>
      </w:r>
    </w:p>
    <w:p w14:paraId="7E69375E" w14:textId="0634D4EA" w:rsidR="00895737" w:rsidRPr="00C223AB" w:rsidRDefault="00895737" w:rsidP="00C223AB">
      <w:pPr>
        <w:ind w:firstLine="708"/>
        <w:rPr>
          <w:rFonts w:ascii="Arial" w:hAnsi="Arial" w:cs="Arial"/>
          <w:lang w:val="en-GB"/>
        </w:rPr>
      </w:pPr>
      <w:r w:rsidRPr="00C223AB">
        <w:rPr>
          <w:rFonts w:ascii="Arial" w:hAnsi="Arial" w:cs="Arial"/>
        </w:rPr>
        <w:t xml:space="preserve"> The EPIC-Norfolk Study is funded by Cancer Research UK grant number 14136 and the Medical Research Council grant number G1000143. </w:t>
      </w:r>
      <w:r w:rsidR="00E30344" w:rsidRPr="00C223AB">
        <w:rPr>
          <w:rFonts w:ascii="Arial" w:hAnsi="Arial" w:cs="Arial"/>
          <w:color w:val="000000"/>
        </w:rPr>
        <w:t>JJK</w:t>
      </w:r>
      <w:r w:rsidR="003A6D61" w:rsidRPr="00C223AB">
        <w:rPr>
          <w:rFonts w:ascii="Arial" w:hAnsi="Arial" w:cs="Arial"/>
          <w:color w:val="000000"/>
        </w:rPr>
        <w:t xml:space="preserve"> </w:t>
      </w:r>
      <w:r w:rsidR="00CC7FF0" w:rsidRPr="00C223AB">
        <w:rPr>
          <w:rFonts w:ascii="Arial" w:hAnsi="Arial" w:cs="Arial"/>
          <w:color w:val="000000"/>
        </w:rPr>
        <w:t>is a recipient of the Dutch Heart Foundation Lifetime Achievement Award (2010 )#</w:t>
      </w:r>
      <w:r w:rsidR="0071269C" w:rsidRPr="00C223AB">
        <w:rPr>
          <w:rFonts w:ascii="Arial" w:hAnsi="Arial" w:cs="Arial"/>
          <w:color w:val="262626"/>
        </w:rPr>
        <w:t xml:space="preserve"> 2010T082</w:t>
      </w:r>
      <w:r w:rsidR="00E30344" w:rsidRPr="00C223AB">
        <w:rPr>
          <w:rFonts w:ascii="Arial" w:hAnsi="Arial" w:cs="Arial"/>
          <w:color w:val="000000"/>
        </w:rPr>
        <w:t>.</w:t>
      </w:r>
      <w:r w:rsidR="002E75D2" w:rsidRPr="00C223AB">
        <w:rPr>
          <w:rFonts w:ascii="Arial" w:hAnsi="Arial" w:cs="Arial"/>
          <w:color w:val="000000"/>
        </w:rPr>
        <w:t xml:space="preserve"> </w:t>
      </w:r>
      <w:r w:rsidR="00E30344" w:rsidRPr="00C223AB">
        <w:rPr>
          <w:rFonts w:ascii="Arial" w:hAnsi="Arial" w:cs="Arial"/>
          <w:color w:val="000000"/>
        </w:rPr>
        <w:t>GKH</w:t>
      </w:r>
      <w:r w:rsidR="000F5C7A" w:rsidRPr="00C223AB">
        <w:rPr>
          <w:rFonts w:ascii="Arial" w:hAnsi="Arial" w:cs="Arial"/>
          <w:szCs w:val="20"/>
        </w:rPr>
        <w:t xml:space="preserve"> is holder of a Vidi grant [016.156.445] from the Netherlands Organisation for Scientific Research (NWO)</w:t>
      </w:r>
      <w:r w:rsidR="00E30344" w:rsidRPr="00C223AB">
        <w:rPr>
          <w:rFonts w:ascii="Arial" w:hAnsi="Arial" w:cs="Arial"/>
          <w:szCs w:val="20"/>
        </w:rPr>
        <w:t>.</w:t>
      </w:r>
      <w:r w:rsidR="000F5C7A" w:rsidRPr="00C223AB">
        <w:rPr>
          <w:rFonts w:ascii="Arial" w:hAnsi="Arial" w:cs="Arial"/>
          <w:szCs w:val="20"/>
        </w:rPr>
        <w:t xml:space="preserve"> </w:t>
      </w:r>
      <w:r w:rsidR="00E30344" w:rsidRPr="00C223AB">
        <w:rPr>
          <w:rFonts w:ascii="Arial" w:hAnsi="Arial" w:cs="Arial"/>
        </w:rPr>
        <w:t>ST and JLW</w:t>
      </w:r>
      <w:r w:rsidR="00ED60E2" w:rsidRPr="00C223AB">
        <w:rPr>
          <w:rFonts w:ascii="Arial" w:hAnsi="Arial" w:cs="Arial"/>
        </w:rPr>
        <w:t xml:space="preserve"> are supported by </w:t>
      </w:r>
      <w:r w:rsidR="00ED60E2" w:rsidRPr="00C223AB">
        <w:rPr>
          <w:rFonts w:ascii="Arial" w:hAnsi="Arial" w:cs="Arial"/>
          <w:bCs/>
        </w:rPr>
        <w:t>NIH grants R01-HL119828, P01-HL088093, P01 HL055798, R01-HL106579, R01-</w:t>
      </w:r>
      <w:r w:rsidR="006D26FA" w:rsidRPr="00C223AB">
        <w:rPr>
          <w:rFonts w:ascii="Arial" w:hAnsi="Arial" w:cs="Arial"/>
        </w:rPr>
        <w:t xml:space="preserve">HL078610, and R01-HL124174. This study was performed independently from IONIS pharmaceuticals and </w:t>
      </w:r>
      <w:r w:rsidR="009B4D8C" w:rsidRPr="00C223AB">
        <w:rPr>
          <w:rFonts w:ascii="Arial" w:hAnsi="Arial" w:cs="Arial"/>
        </w:rPr>
        <w:t xml:space="preserve">the authors </w:t>
      </w:r>
      <w:r w:rsidR="006D26FA" w:rsidRPr="00C223AB">
        <w:rPr>
          <w:rFonts w:ascii="Arial" w:hAnsi="Arial" w:cs="Arial"/>
        </w:rPr>
        <w:t>received no financial support from IONIS pharmaceuticals</w:t>
      </w:r>
      <w:r w:rsidR="009B4D8C" w:rsidRPr="00C223AB">
        <w:rPr>
          <w:rFonts w:ascii="Arial" w:hAnsi="Arial" w:cs="Arial"/>
        </w:rPr>
        <w:t xml:space="preserve"> for this study</w:t>
      </w:r>
      <w:r w:rsidR="006D26FA" w:rsidRPr="00C223AB">
        <w:rPr>
          <w:rFonts w:ascii="Arial" w:hAnsi="Arial" w:cs="Arial"/>
        </w:rPr>
        <w:t>.</w:t>
      </w:r>
    </w:p>
    <w:p w14:paraId="257E0D15" w14:textId="77777777" w:rsidR="00F00CBD" w:rsidRPr="00C223AB" w:rsidRDefault="00F00CBD" w:rsidP="00C223AB">
      <w:pPr>
        <w:rPr>
          <w:rFonts w:ascii="Arial" w:hAnsi="Arial" w:cs="Arial"/>
        </w:rPr>
      </w:pPr>
    </w:p>
    <w:p w14:paraId="6FC8A2E3" w14:textId="77777777" w:rsidR="00ED60E2" w:rsidRPr="00C223AB" w:rsidRDefault="00ED60E2" w:rsidP="00C223AB">
      <w:pPr>
        <w:rPr>
          <w:rFonts w:ascii="Arial" w:hAnsi="Arial" w:cs="Arial"/>
          <w:b/>
        </w:rPr>
      </w:pPr>
      <w:r w:rsidRPr="00C223AB">
        <w:rPr>
          <w:rFonts w:ascii="Arial" w:hAnsi="Arial" w:cs="Arial"/>
          <w:b/>
        </w:rPr>
        <w:t>Disclosures</w:t>
      </w:r>
    </w:p>
    <w:p w14:paraId="7F1DCA82" w14:textId="77777777" w:rsidR="00ED60E2" w:rsidRPr="00C223AB" w:rsidRDefault="00ED60E2" w:rsidP="00C223AB">
      <w:pPr>
        <w:ind w:firstLine="708"/>
        <w:rPr>
          <w:rFonts w:ascii="Arial" w:hAnsi="Arial" w:cs="Arial"/>
        </w:rPr>
      </w:pPr>
      <w:r w:rsidRPr="00C223AB">
        <w:rPr>
          <w:rFonts w:ascii="Arial" w:hAnsi="Arial" w:cs="Arial"/>
        </w:rPr>
        <w:t>ST and JLW are co-inventors and receive royalties from patents owned by the University of California San Diego on oxidation-specific antibodies. ST currently has a dual appointment at UCSD and as an employee of Ionis Pharmaceuticals. JLW is a consultant to Ionis Pharmaceuticals, Intercept, CymaBay and Prometheus.</w:t>
      </w:r>
    </w:p>
    <w:p w14:paraId="34EEDABC" w14:textId="77777777" w:rsidR="00ED60E2" w:rsidRPr="00C223AB" w:rsidRDefault="00ED60E2" w:rsidP="00C223AB">
      <w:pPr>
        <w:rPr>
          <w:rFonts w:ascii="Arial" w:hAnsi="Arial" w:cs="Arial"/>
          <w:b/>
        </w:rPr>
      </w:pPr>
      <w:r w:rsidRPr="00C223AB">
        <w:rPr>
          <w:rFonts w:ascii="Arial" w:hAnsi="Arial" w:cs="Arial"/>
          <w:b/>
        </w:rPr>
        <w:br w:type="page"/>
      </w:r>
    </w:p>
    <w:p w14:paraId="4A4A1B5D" w14:textId="77777777" w:rsidR="00A72144" w:rsidRPr="00C223AB" w:rsidRDefault="00F00CBD" w:rsidP="00C223AB">
      <w:pPr>
        <w:rPr>
          <w:rFonts w:ascii="Arial" w:hAnsi="Arial" w:cs="Arial"/>
          <w:b/>
        </w:rPr>
      </w:pPr>
      <w:r w:rsidRPr="00C223AB">
        <w:rPr>
          <w:rFonts w:ascii="Arial" w:hAnsi="Arial" w:cs="Arial"/>
          <w:b/>
        </w:rPr>
        <w:lastRenderedPageBreak/>
        <w:t>References</w:t>
      </w:r>
    </w:p>
    <w:p w14:paraId="18089A0D" w14:textId="77777777" w:rsidR="00F00CBD" w:rsidRPr="00C223AB" w:rsidRDefault="00F00CBD" w:rsidP="00C223AB">
      <w:pPr>
        <w:rPr>
          <w:rFonts w:ascii="Arial" w:hAnsi="Arial" w:cs="Arial"/>
        </w:rPr>
      </w:pPr>
    </w:p>
    <w:p w14:paraId="6655678B" w14:textId="2100C011" w:rsidR="00C223AB" w:rsidRPr="00C223AB" w:rsidRDefault="00A72144" w:rsidP="00C223AB">
      <w:pPr>
        <w:widowControl w:val="0"/>
        <w:autoSpaceDE w:val="0"/>
        <w:autoSpaceDN w:val="0"/>
        <w:adjustRightInd w:val="0"/>
        <w:ind w:left="640" w:hanging="640"/>
        <w:rPr>
          <w:rFonts w:ascii="Arial" w:hAnsi="Arial" w:cs="Arial"/>
          <w:noProof/>
        </w:rPr>
      </w:pPr>
      <w:r w:rsidRPr="00C223AB">
        <w:rPr>
          <w:rFonts w:ascii="Arial" w:hAnsi="Arial" w:cs="Arial"/>
          <w:lang w:val="nl-NL"/>
        </w:rPr>
        <w:fldChar w:fldCharType="begin" w:fldLock="1"/>
      </w:r>
      <w:r w:rsidRPr="00C223AB">
        <w:rPr>
          <w:rFonts w:ascii="Arial" w:hAnsi="Arial" w:cs="Arial"/>
          <w:lang w:val="nl-NL"/>
        </w:rPr>
        <w:instrText xml:space="preserve">ADDIN Mendeley Bibliography CSL_BIBLIOGRAPHY </w:instrText>
      </w:r>
      <w:r w:rsidRPr="00C223AB">
        <w:rPr>
          <w:rFonts w:ascii="Arial" w:hAnsi="Arial" w:cs="Arial"/>
          <w:lang w:val="nl-NL"/>
        </w:rPr>
        <w:fldChar w:fldCharType="separate"/>
      </w:r>
      <w:r w:rsidR="00C223AB" w:rsidRPr="00C223AB">
        <w:rPr>
          <w:rFonts w:ascii="Arial" w:hAnsi="Arial" w:cs="Arial"/>
          <w:noProof/>
        </w:rPr>
        <w:t xml:space="preserve">1. </w:t>
      </w:r>
      <w:r w:rsidR="00C223AB" w:rsidRPr="00C223AB">
        <w:rPr>
          <w:rFonts w:ascii="Arial" w:hAnsi="Arial" w:cs="Arial"/>
          <w:noProof/>
        </w:rPr>
        <w:tab/>
        <w:t>Sarwar N, Danesh J, Eiriksdottir G, Sigurdsson G, Wareham N, Bingham S, Boekholdt SM, Khaw K-T, Gudnason V. Triglycerides and the risk of coronary heart disease: 10,158 incident cases among 262,525 participants in 29 Western prospective studies.</w:t>
      </w:r>
      <w:r w:rsidR="00AC67A6">
        <w:rPr>
          <w:rFonts w:ascii="Arial" w:hAnsi="Arial" w:cs="Arial"/>
          <w:noProof/>
        </w:rPr>
        <w:t xml:space="preserve"> Circulation 2007;115</w:t>
      </w:r>
      <w:r w:rsidR="00C223AB" w:rsidRPr="00C223AB">
        <w:rPr>
          <w:rFonts w:ascii="Arial" w:hAnsi="Arial" w:cs="Arial"/>
          <w:noProof/>
        </w:rPr>
        <w:t xml:space="preserve">:450–8. </w:t>
      </w:r>
    </w:p>
    <w:p w14:paraId="75723C66" w14:textId="1D810CF1" w:rsidR="00C223AB" w:rsidRPr="00C223AB" w:rsidRDefault="00C223AB" w:rsidP="00C223AB">
      <w:pPr>
        <w:widowControl w:val="0"/>
        <w:autoSpaceDE w:val="0"/>
        <w:autoSpaceDN w:val="0"/>
        <w:adjustRightInd w:val="0"/>
        <w:ind w:left="640" w:hanging="640"/>
        <w:rPr>
          <w:rFonts w:ascii="Arial" w:hAnsi="Arial" w:cs="Arial"/>
          <w:noProof/>
        </w:rPr>
      </w:pPr>
      <w:r w:rsidRPr="00C223AB">
        <w:rPr>
          <w:rFonts w:ascii="Arial" w:hAnsi="Arial" w:cs="Arial"/>
          <w:noProof/>
        </w:rPr>
        <w:t xml:space="preserve">2. </w:t>
      </w:r>
      <w:r w:rsidRPr="00C223AB">
        <w:rPr>
          <w:rFonts w:ascii="Arial" w:hAnsi="Arial" w:cs="Arial"/>
          <w:noProof/>
        </w:rPr>
        <w:tab/>
        <w:t>Emerging Risk Factors Collaboration, Di Angelantonio E, Sarwar N, Perry P, Kaptoge S, Ray KK, Thompson A, Wood AM, Lewington S, Sattar N, Packard CJ, Collins R, Thompson SG, Danesh J. Major lipids, apolipoproteins, and risk of vas</w:t>
      </w:r>
      <w:r w:rsidR="00AC67A6">
        <w:rPr>
          <w:rFonts w:ascii="Arial" w:hAnsi="Arial" w:cs="Arial"/>
          <w:noProof/>
        </w:rPr>
        <w:t>cular disease. JAMA 2009;302</w:t>
      </w:r>
      <w:r w:rsidRPr="00C223AB">
        <w:rPr>
          <w:rFonts w:ascii="Arial" w:hAnsi="Arial" w:cs="Arial"/>
          <w:noProof/>
        </w:rPr>
        <w:t xml:space="preserve">:1993–2000. </w:t>
      </w:r>
    </w:p>
    <w:p w14:paraId="3A840D64" w14:textId="6EC188E6" w:rsidR="00C223AB" w:rsidRPr="00C223AB" w:rsidRDefault="00C223AB" w:rsidP="00C223AB">
      <w:pPr>
        <w:widowControl w:val="0"/>
        <w:autoSpaceDE w:val="0"/>
        <w:autoSpaceDN w:val="0"/>
        <w:adjustRightInd w:val="0"/>
        <w:ind w:left="640" w:hanging="640"/>
        <w:rPr>
          <w:rFonts w:ascii="Arial" w:hAnsi="Arial" w:cs="Arial"/>
          <w:noProof/>
        </w:rPr>
      </w:pPr>
      <w:r w:rsidRPr="00C223AB">
        <w:rPr>
          <w:rFonts w:ascii="Arial" w:hAnsi="Arial" w:cs="Arial"/>
          <w:noProof/>
        </w:rPr>
        <w:t xml:space="preserve">3. </w:t>
      </w:r>
      <w:r w:rsidRPr="00C223AB">
        <w:rPr>
          <w:rFonts w:ascii="Arial" w:hAnsi="Arial" w:cs="Arial"/>
          <w:noProof/>
        </w:rPr>
        <w:tab/>
        <w:t>Do R, Willer CJ, Schmidt EM, et al. Common variants associated with plasma triglycerides and risk for coronary arter</w:t>
      </w:r>
      <w:r w:rsidR="00AC67A6">
        <w:rPr>
          <w:rFonts w:ascii="Arial" w:hAnsi="Arial" w:cs="Arial"/>
          <w:noProof/>
        </w:rPr>
        <w:t>y disease. Nat Genet 2013;45</w:t>
      </w:r>
      <w:r w:rsidRPr="00C223AB">
        <w:rPr>
          <w:rFonts w:ascii="Arial" w:hAnsi="Arial" w:cs="Arial"/>
          <w:noProof/>
        </w:rPr>
        <w:t xml:space="preserve">:1345–52. </w:t>
      </w:r>
    </w:p>
    <w:p w14:paraId="77028460" w14:textId="56F7E104" w:rsidR="00C223AB" w:rsidRPr="00C223AB" w:rsidRDefault="00C223AB" w:rsidP="00C223AB">
      <w:pPr>
        <w:widowControl w:val="0"/>
        <w:autoSpaceDE w:val="0"/>
        <w:autoSpaceDN w:val="0"/>
        <w:adjustRightInd w:val="0"/>
        <w:ind w:left="640" w:hanging="640"/>
        <w:rPr>
          <w:rFonts w:ascii="Arial" w:hAnsi="Arial" w:cs="Arial"/>
          <w:noProof/>
        </w:rPr>
      </w:pPr>
      <w:r w:rsidRPr="00C223AB">
        <w:rPr>
          <w:rFonts w:ascii="Arial" w:hAnsi="Arial" w:cs="Arial"/>
          <w:noProof/>
        </w:rPr>
        <w:t xml:space="preserve">4. </w:t>
      </w:r>
      <w:r w:rsidRPr="00C223AB">
        <w:rPr>
          <w:rFonts w:ascii="Arial" w:hAnsi="Arial" w:cs="Arial"/>
          <w:noProof/>
        </w:rPr>
        <w:tab/>
        <w:t>Gaudet D, Brisson D, Tremblay K, Alexander VJ, Singleton W, Hughes SG, Geary RS, Baker BF, Graham MJ, Crooke RM, Witztum JL. Targeting APOC3 in the familial chylomicronemia syn</w:t>
      </w:r>
      <w:r w:rsidR="00AC67A6">
        <w:rPr>
          <w:rFonts w:ascii="Arial" w:hAnsi="Arial" w:cs="Arial"/>
          <w:noProof/>
        </w:rPr>
        <w:t>drome. N Engl J Med 2014;371</w:t>
      </w:r>
      <w:r w:rsidRPr="00C223AB">
        <w:rPr>
          <w:rFonts w:ascii="Arial" w:hAnsi="Arial" w:cs="Arial"/>
          <w:noProof/>
        </w:rPr>
        <w:t xml:space="preserve">:2200–6. </w:t>
      </w:r>
    </w:p>
    <w:p w14:paraId="369D48EB" w14:textId="16DD9E04" w:rsidR="00C223AB" w:rsidRPr="00C223AB" w:rsidRDefault="00C223AB" w:rsidP="00C223AB">
      <w:pPr>
        <w:widowControl w:val="0"/>
        <w:autoSpaceDE w:val="0"/>
        <w:autoSpaceDN w:val="0"/>
        <w:adjustRightInd w:val="0"/>
        <w:ind w:left="640" w:hanging="640"/>
        <w:rPr>
          <w:rFonts w:ascii="Arial" w:hAnsi="Arial" w:cs="Arial"/>
          <w:noProof/>
        </w:rPr>
      </w:pPr>
      <w:r w:rsidRPr="00C223AB">
        <w:rPr>
          <w:rFonts w:ascii="Arial" w:hAnsi="Arial" w:cs="Arial"/>
          <w:noProof/>
        </w:rPr>
        <w:t xml:space="preserve">5. </w:t>
      </w:r>
      <w:r w:rsidRPr="00C223AB">
        <w:rPr>
          <w:rFonts w:ascii="Arial" w:hAnsi="Arial" w:cs="Arial"/>
          <w:noProof/>
        </w:rPr>
        <w:tab/>
        <w:t>Gaudet D, Alexander VJ, Baker BF, Brisson D, Tremblay K, Singleton W, Geary RS, Hughes SG, Viney NJ, Graham MJ, Crooke RM, Witztum JL, Brunzell JD, Kastelein JJP. Antisense Inhibition of Apolipoprotein C-III in Patients with Hypertriglycer</w:t>
      </w:r>
      <w:r w:rsidR="00AC67A6">
        <w:rPr>
          <w:rFonts w:ascii="Arial" w:hAnsi="Arial" w:cs="Arial"/>
          <w:noProof/>
        </w:rPr>
        <w:t>idemia. N Engl J Med 2015;373</w:t>
      </w:r>
      <w:r w:rsidRPr="00C223AB">
        <w:rPr>
          <w:rFonts w:ascii="Arial" w:hAnsi="Arial" w:cs="Arial"/>
          <w:noProof/>
        </w:rPr>
        <w:t xml:space="preserve">:438–47. </w:t>
      </w:r>
    </w:p>
    <w:p w14:paraId="4B032488" w14:textId="5D52D65B" w:rsidR="00C223AB" w:rsidRPr="00C223AB" w:rsidRDefault="00C223AB" w:rsidP="00C223AB">
      <w:pPr>
        <w:widowControl w:val="0"/>
        <w:autoSpaceDE w:val="0"/>
        <w:autoSpaceDN w:val="0"/>
        <w:adjustRightInd w:val="0"/>
        <w:ind w:left="640" w:hanging="640"/>
        <w:rPr>
          <w:rFonts w:ascii="Arial" w:hAnsi="Arial" w:cs="Arial"/>
          <w:noProof/>
        </w:rPr>
      </w:pPr>
      <w:r w:rsidRPr="00C223AB">
        <w:rPr>
          <w:rFonts w:ascii="Arial" w:hAnsi="Arial" w:cs="Arial"/>
          <w:noProof/>
        </w:rPr>
        <w:t xml:space="preserve">6. </w:t>
      </w:r>
      <w:r w:rsidRPr="00C223AB">
        <w:rPr>
          <w:rFonts w:ascii="Arial" w:hAnsi="Arial" w:cs="Arial"/>
          <w:noProof/>
        </w:rPr>
        <w:tab/>
        <w:t>Ginsberg HN, Le NA, Goldberg IJ, Gibson JC, Rubinstein A, Wang-Iverson P, Norum R, Brown W V. Apolipoprotein B metabolism in subjects with deficiency of apolipoproteins CIII and AI. Evidence that apolipoprotein CIII inhibits catabolism of triglyceride-rich lipoproteins by lipoprotein lipase in</w:t>
      </w:r>
      <w:r w:rsidR="00AC67A6">
        <w:rPr>
          <w:rFonts w:ascii="Arial" w:hAnsi="Arial" w:cs="Arial"/>
          <w:noProof/>
        </w:rPr>
        <w:t xml:space="preserve"> vivo. J Clin Invest 1986;78</w:t>
      </w:r>
      <w:r w:rsidRPr="00C223AB">
        <w:rPr>
          <w:rFonts w:ascii="Arial" w:hAnsi="Arial" w:cs="Arial"/>
          <w:noProof/>
        </w:rPr>
        <w:t xml:space="preserve">:1287–95. </w:t>
      </w:r>
    </w:p>
    <w:p w14:paraId="529D41FB" w14:textId="7991E2FC" w:rsidR="00C223AB" w:rsidRPr="00C223AB" w:rsidRDefault="00C223AB" w:rsidP="00C223AB">
      <w:pPr>
        <w:widowControl w:val="0"/>
        <w:autoSpaceDE w:val="0"/>
        <w:autoSpaceDN w:val="0"/>
        <w:adjustRightInd w:val="0"/>
        <w:ind w:left="640" w:hanging="640"/>
        <w:rPr>
          <w:rFonts w:ascii="Arial" w:hAnsi="Arial" w:cs="Arial"/>
          <w:noProof/>
        </w:rPr>
      </w:pPr>
      <w:r w:rsidRPr="00C223AB">
        <w:rPr>
          <w:rFonts w:ascii="Arial" w:hAnsi="Arial" w:cs="Arial"/>
          <w:noProof/>
        </w:rPr>
        <w:t xml:space="preserve">7. </w:t>
      </w:r>
      <w:r w:rsidRPr="00C223AB">
        <w:rPr>
          <w:rFonts w:ascii="Arial" w:hAnsi="Arial" w:cs="Arial"/>
          <w:noProof/>
        </w:rPr>
        <w:tab/>
        <w:t>Sehayek E, Eisenberg S. Mechanisms of inhibition by apolipoprotein C of apolipoprotein E-dependent cellular metabolism of human triglyceride-rich lipoproteins through the low density lipoprotein receptor pathwa</w:t>
      </w:r>
      <w:r w:rsidR="00AC67A6">
        <w:rPr>
          <w:rFonts w:ascii="Arial" w:hAnsi="Arial" w:cs="Arial"/>
          <w:noProof/>
        </w:rPr>
        <w:t>y. J Biol Chem 1991;266</w:t>
      </w:r>
      <w:r w:rsidRPr="00C223AB">
        <w:rPr>
          <w:rFonts w:ascii="Arial" w:hAnsi="Arial" w:cs="Arial"/>
          <w:noProof/>
        </w:rPr>
        <w:t xml:space="preserve">:18259–67. </w:t>
      </w:r>
    </w:p>
    <w:p w14:paraId="75F92C72" w14:textId="47AF4600" w:rsidR="00C223AB" w:rsidRPr="00C223AB" w:rsidRDefault="00C223AB" w:rsidP="00C223AB">
      <w:pPr>
        <w:widowControl w:val="0"/>
        <w:autoSpaceDE w:val="0"/>
        <w:autoSpaceDN w:val="0"/>
        <w:adjustRightInd w:val="0"/>
        <w:ind w:left="640" w:hanging="640"/>
        <w:rPr>
          <w:rFonts w:ascii="Arial" w:hAnsi="Arial" w:cs="Arial"/>
          <w:noProof/>
        </w:rPr>
      </w:pPr>
      <w:r w:rsidRPr="00C223AB">
        <w:rPr>
          <w:rFonts w:ascii="Arial" w:hAnsi="Arial" w:cs="Arial"/>
          <w:noProof/>
        </w:rPr>
        <w:t xml:space="preserve">8. </w:t>
      </w:r>
      <w:r w:rsidRPr="00C223AB">
        <w:rPr>
          <w:rFonts w:ascii="Arial" w:hAnsi="Arial" w:cs="Arial"/>
          <w:noProof/>
        </w:rPr>
        <w:tab/>
        <w:t>Gordts PLSM, Nock R, Son N-H, Ramms B, Lew I, Gonzales JC, Thacker BE, Basu D, Lee RG, Mullick AE, Graham MJ, Goldberg IJ, Crooke RM, Witztum JL, Esko JD. ApoC-III inhibits clearance of triglyceride-rich lipoproteins through LDL family rece</w:t>
      </w:r>
      <w:r w:rsidR="00AC67A6">
        <w:rPr>
          <w:rFonts w:ascii="Arial" w:hAnsi="Arial" w:cs="Arial"/>
          <w:noProof/>
        </w:rPr>
        <w:t>ptors. J Clin Invest 2016;126</w:t>
      </w:r>
      <w:r w:rsidRPr="00C223AB">
        <w:rPr>
          <w:rFonts w:ascii="Arial" w:hAnsi="Arial" w:cs="Arial"/>
          <w:noProof/>
        </w:rPr>
        <w:t xml:space="preserve">:2855–66. </w:t>
      </w:r>
    </w:p>
    <w:p w14:paraId="732B11B0" w14:textId="4236FF4F" w:rsidR="00C223AB" w:rsidRPr="00C223AB" w:rsidRDefault="00C223AB" w:rsidP="00C223AB">
      <w:pPr>
        <w:widowControl w:val="0"/>
        <w:autoSpaceDE w:val="0"/>
        <w:autoSpaceDN w:val="0"/>
        <w:adjustRightInd w:val="0"/>
        <w:ind w:left="640" w:hanging="640"/>
        <w:rPr>
          <w:rFonts w:ascii="Arial" w:hAnsi="Arial" w:cs="Arial"/>
          <w:noProof/>
        </w:rPr>
      </w:pPr>
      <w:r w:rsidRPr="00C223AB">
        <w:rPr>
          <w:rFonts w:ascii="Arial" w:hAnsi="Arial" w:cs="Arial"/>
          <w:noProof/>
        </w:rPr>
        <w:t xml:space="preserve">9. </w:t>
      </w:r>
      <w:r w:rsidRPr="00C223AB">
        <w:rPr>
          <w:rFonts w:ascii="Arial" w:hAnsi="Arial" w:cs="Arial"/>
          <w:noProof/>
        </w:rPr>
        <w:tab/>
        <w:t>Mendivil CO, Zheng C, Furtado J, Lel J, Sacks FM. Metabolism of very-low-density lipoprotein and low-density lipoprotein containing apolipoprotein C-III and not other small apolipoproteins. Arterios</w:t>
      </w:r>
      <w:r w:rsidR="00AC67A6">
        <w:rPr>
          <w:rFonts w:ascii="Arial" w:hAnsi="Arial" w:cs="Arial"/>
          <w:noProof/>
        </w:rPr>
        <w:t>cler Thromb Vasc Biol 2010;30</w:t>
      </w:r>
      <w:r w:rsidRPr="00C223AB">
        <w:rPr>
          <w:rFonts w:ascii="Arial" w:hAnsi="Arial" w:cs="Arial"/>
          <w:noProof/>
        </w:rPr>
        <w:t xml:space="preserve">:239–45. </w:t>
      </w:r>
    </w:p>
    <w:p w14:paraId="56528BF1" w14:textId="76909C75" w:rsidR="00C223AB" w:rsidRPr="00C223AB" w:rsidRDefault="00C223AB" w:rsidP="00C223AB">
      <w:pPr>
        <w:widowControl w:val="0"/>
        <w:autoSpaceDE w:val="0"/>
        <w:autoSpaceDN w:val="0"/>
        <w:adjustRightInd w:val="0"/>
        <w:ind w:left="640" w:hanging="640"/>
        <w:rPr>
          <w:rFonts w:ascii="Arial" w:hAnsi="Arial" w:cs="Arial"/>
          <w:noProof/>
        </w:rPr>
      </w:pPr>
      <w:r w:rsidRPr="00C223AB">
        <w:rPr>
          <w:rFonts w:ascii="Arial" w:hAnsi="Arial" w:cs="Arial"/>
          <w:noProof/>
        </w:rPr>
        <w:t xml:space="preserve">10. </w:t>
      </w:r>
      <w:r w:rsidRPr="00C223AB">
        <w:rPr>
          <w:rFonts w:ascii="Arial" w:hAnsi="Arial" w:cs="Arial"/>
          <w:noProof/>
        </w:rPr>
        <w:tab/>
        <w:t>Pollin TI, Damcott CM, Shen H, Ott SH, Shelton J, Horenstein RB, Post W, McLenithan JC, Bielak LF, Peyser PA, Mitchell BD, Miller M, O’Connell JR, Shuldiner AR. A null mutation in human APOC3 confers a favorable plasma lipid profile and apparent cardiopr</w:t>
      </w:r>
      <w:r w:rsidR="00AC67A6">
        <w:rPr>
          <w:rFonts w:ascii="Arial" w:hAnsi="Arial" w:cs="Arial"/>
          <w:noProof/>
        </w:rPr>
        <w:t>otection. Science 2008;322</w:t>
      </w:r>
      <w:r w:rsidRPr="00C223AB">
        <w:rPr>
          <w:rFonts w:ascii="Arial" w:hAnsi="Arial" w:cs="Arial"/>
          <w:noProof/>
        </w:rPr>
        <w:t xml:space="preserve">:1702–5. </w:t>
      </w:r>
    </w:p>
    <w:p w14:paraId="37CF71E5" w14:textId="38AABD98" w:rsidR="00C223AB" w:rsidRPr="00C223AB" w:rsidRDefault="00C223AB" w:rsidP="00C223AB">
      <w:pPr>
        <w:widowControl w:val="0"/>
        <w:autoSpaceDE w:val="0"/>
        <w:autoSpaceDN w:val="0"/>
        <w:adjustRightInd w:val="0"/>
        <w:ind w:left="640" w:hanging="640"/>
        <w:rPr>
          <w:rFonts w:ascii="Arial" w:hAnsi="Arial" w:cs="Arial"/>
          <w:noProof/>
        </w:rPr>
      </w:pPr>
      <w:r w:rsidRPr="00C223AB">
        <w:rPr>
          <w:rFonts w:ascii="Arial" w:hAnsi="Arial" w:cs="Arial"/>
          <w:noProof/>
        </w:rPr>
        <w:t xml:space="preserve">11. </w:t>
      </w:r>
      <w:r w:rsidRPr="00C223AB">
        <w:rPr>
          <w:rFonts w:ascii="Arial" w:hAnsi="Arial" w:cs="Arial"/>
          <w:noProof/>
        </w:rPr>
        <w:tab/>
        <w:t>Jørgensen AB, Frikke-Schmidt R, Nordestgaard BG, Tybjærg-Hansen A. Loss-of-function mutations in APOC3 and risk of ischemic vascular disease. N Engl</w:t>
      </w:r>
      <w:r w:rsidR="00AC67A6">
        <w:rPr>
          <w:rFonts w:ascii="Arial" w:hAnsi="Arial" w:cs="Arial"/>
          <w:noProof/>
        </w:rPr>
        <w:t xml:space="preserve"> J Med 2014;371</w:t>
      </w:r>
      <w:r w:rsidRPr="00C223AB">
        <w:rPr>
          <w:rFonts w:ascii="Arial" w:hAnsi="Arial" w:cs="Arial"/>
          <w:noProof/>
        </w:rPr>
        <w:t xml:space="preserve">:32–41. </w:t>
      </w:r>
    </w:p>
    <w:p w14:paraId="2C5133C3" w14:textId="03D14D33" w:rsidR="00C223AB" w:rsidRPr="00C223AB" w:rsidRDefault="00C223AB" w:rsidP="00C223AB">
      <w:pPr>
        <w:widowControl w:val="0"/>
        <w:autoSpaceDE w:val="0"/>
        <w:autoSpaceDN w:val="0"/>
        <w:adjustRightInd w:val="0"/>
        <w:ind w:left="640" w:hanging="640"/>
        <w:rPr>
          <w:rFonts w:ascii="Arial" w:hAnsi="Arial" w:cs="Arial"/>
          <w:noProof/>
        </w:rPr>
      </w:pPr>
      <w:r w:rsidRPr="00C223AB">
        <w:rPr>
          <w:rFonts w:ascii="Arial" w:hAnsi="Arial" w:cs="Arial"/>
          <w:noProof/>
        </w:rPr>
        <w:t xml:space="preserve">12. </w:t>
      </w:r>
      <w:r w:rsidRPr="00C223AB">
        <w:rPr>
          <w:rFonts w:ascii="Arial" w:hAnsi="Arial" w:cs="Arial"/>
          <w:noProof/>
        </w:rPr>
        <w:tab/>
        <w:t>TG and HDL Working Group of the Exome Sequencing Project, Loss-of-function mutations in APOC3, triglycerides, and coronary d</w:t>
      </w:r>
      <w:r w:rsidR="00AC67A6">
        <w:rPr>
          <w:rFonts w:ascii="Arial" w:hAnsi="Arial" w:cs="Arial"/>
          <w:noProof/>
        </w:rPr>
        <w:t>isease. N Engl J Med 2014;371</w:t>
      </w:r>
      <w:r w:rsidRPr="00C223AB">
        <w:rPr>
          <w:rFonts w:ascii="Arial" w:hAnsi="Arial" w:cs="Arial"/>
          <w:noProof/>
        </w:rPr>
        <w:t xml:space="preserve">:22–31. </w:t>
      </w:r>
    </w:p>
    <w:p w14:paraId="423B83F3" w14:textId="3EB67EF2" w:rsidR="00C223AB" w:rsidRPr="00C223AB" w:rsidRDefault="00C223AB" w:rsidP="00C223AB">
      <w:pPr>
        <w:widowControl w:val="0"/>
        <w:autoSpaceDE w:val="0"/>
        <w:autoSpaceDN w:val="0"/>
        <w:adjustRightInd w:val="0"/>
        <w:ind w:left="640" w:hanging="640"/>
        <w:rPr>
          <w:rFonts w:ascii="Arial" w:hAnsi="Arial" w:cs="Arial"/>
          <w:noProof/>
        </w:rPr>
      </w:pPr>
      <w:r w:rsidRPr="00C223AB">
        <w:rPr>
          <w:rFonts w:ascii="Arial" w:hAnsi="Arial" w:cs="Arial"/>
          <w:noProof/>
        </w:rPr>
        <w:t xml:space="preserve">13. </w:t>
      </w:r>
      <w:r w:rsidRPr="00C223AB">
        <w:rPr>
          <w:rFonts w:ascii="Arial" w:hAnsi="Arial" w:cs="Arial"/>
          <w:noProof/>
        </w:rPr>
        <w:tab/>
        <w:t xml:space="preserve">Zheng C, Azcutia V, Aikawa E, Figueiredo J-L, Croce K, Sonoki H, Sacks FM, Luscinskas FW, Aikawa M. Statins suppress apolipoprotein CIII-induced vascular endothelial cell activation and monocyte </w:t>
      </w:r>
      <w:r w:rsidR="00AC67A6">
        <w:rPr>
          <w:rFonts w:ascii="Arial" w:hAnsi="Arial" w:cs="Arial"/>
          <w:noProof/>
        </w:rPr>
        <w:t>adhesion. Eur Heart J 2013;34</w:t>
      </w:r>
      <w:r w:rsidRPr="00C223AB">
        <w:rPr>
          <w:rFonts w:ascii="Arial" w:hAnsi="Arial" w:cs="Arial"/>
          <w:noProof/>
        </w:rPr>
        <w:t xml:space="preserve">:615–24. </w:t>
      </w:r>
    </w:p>
    <w:p w14:paraId="0041DF64" w14:textId="77777777" w:rsidR="00C223AB" w:rsidRPr="00C223AB" w:rsidRDefault="00C223AB" w:rsidP="00C223AB">
      <w:pPr>
        <w:widowControl w:val="0"/>
        <w:autoSpaceDE w:val="0"/>
        <w:autoSpaceDN w:val="0"/>
        <w:adjustRightInd w:val="0"/>
        <w:ind w:left="640" w:hanging="640"/>
        <w:rPr>
          <w:rFonts w:ascii="Arial" w:hAnsi="Arial" w:cs="Arial"/>
          <w:noProof/>
        </w:rPr>
      </w:pPr>
      <w:r w:rsidRPr="00C223AB">
        <w:rPr>
          <w:rFonts w:ascii="Arial" w:hAnsi="Arial" w:cs="Arial"/>
          <w:noProof/>
        </w:rPr>
        <w:lastRenderedPageBreak/>
        <w:t xml:space="preserve">14. </w:t>
      </w:r>
      <w:r w:rsidRPr="00C223AB">
        <w:rPr>
          <w:rFonts w:ascii="Arial" w:hAnsi="Arial" w:cs="Arial"/>
          <w:noProof/>
        </w:rPr>
        <w:tab/>
        <w:t xml:space="preserve">VanderWeele TJ. Mediation Analysis: A Practitioner’s Guide. Annu Rev Public Health 2016;37:17–32. </w:t>
      </w:r>
    </w:p>
    <w:p w14:paraId="7A23B832" w14:textId="3DCF951E" w:rsidR="00C223AB" w:rsidRPr="00C223AB" w:rsidRDefault="00C223AB" w:rsidP="00C223AB">
      <w:pPr>
        <w:widowControl w:val="0"/>
        <w:autoSpaceDE w:val="0"/>
        <w:autoSpaceDN w:val="0"/>
        <w:adjustRightInd w:val="0"/>
        <w:ind w:left="640" w:hanging="640"/>
        <w:rPr>
          <w:rFonts w:ascii="Arial" w:hAnsi="Arial" w:cs="Arial"/>
          <w:noProof/>
        </w:rPr>
      </w:pPr>
      <w:r w:rsidRPr="00C223AB">
        <w:rPr>
          <w:rFonts w:ascii="Arial" w:hAnsi="Arial" w:cs="Arial"/>
          <w:noProof/>
        </w:rPr>
        <w:t xml:space="preserve">15. </w:t>
      </w:r>
      <w:r w:rsidRPr="00C223AB">
        <w:rPr>
          <w:rFonts w:ascii="Arial" w:hAnsi="Arial" w:cs="Arial"/>
          <w:noProof/>
        </w:rPr>
        <w:tab/>
        <w:t>Varbo A, Benn M, Tybjærg-Hansen A, Nordestgaard BG. Elevated remnant cholesterol causes both low-grade inflammation and ischemic heart disease, whereas elevated low-density lipoprotein cholesterol causes ischemic heart disease without inflam</w:t>
      </w:r>
      <w:r w:rsidR="00AC67A6">
        <w:rPr>
          <w:rFonts w:ascii="Arial" w:hAnsi="Arial" w:cs="Arial"/>
          <w:noProof/>
        </w:rPr>
        <w:t>mation. Circulation 2013;128</w:t>
      </w:r>
      <w:r w:rsidRPr="00C223AB">
        <w:rPr>
          <w:rFonts w:ascii="Arial" w:hAnsi="Arial" w:cs="Arial"/>
          <w:noProof/>
        </w:rPr>
        <w:t xml:space="preserve">:1298–309. </w:t>
      </w:r>
    </w:p>
    <w:p w14:paraId="475E5133" w14:textId="769D23AD" w:rsidR="00C223AB" w:rsidRPr="00C223AB" w:rsidRDefault="00C223AB" w:rsidP="00C223AB">
      <w:pPr>
        <w:widowControl w:val="0"/>
        <w:autoSpaceDE w:val="0"/>
        <w:autoSpaceDN w:val="0"/>
        <w:adjustRightInd w:val="0"/>
        <w:ind w:left="640" w:hanging="640"/>
        <w:rPr>
          <w:rFonts w:ascii="Arial" w:hAnsi="Arial" w:cs="Arial"/>
          <w:noProof/>
        </w:rPr>
      </w:pPr>
      <w:r w:rsidRPr="00C223AB">
        <w:rPr>
          <w:rFonts w:ascii="Arial" w:hAnsi="Arial" w:cs="Arial"/>
          <w:noProof/>
        </w:rPr>
        <w:t xml:space="preserve">16. </w:t>
      </w:r>
      <w:r w:rsidRPr="00C223AB">
        <w:rPr>
          <w:rFonts w:ascii="Arial" w:hAnsi="Arial" w:cs="Arial"/>
          <w:noProof/>
        </w:rPr>
        <w:tab/>
        <w:t>Wyler von Ballmoos MC, Haring B, Sacks FM. The risk of cardiovascular events with increased apolipoprotein CIII: A systematic review and meta-an</w:t>
      </w:r>
      <w:r w:rsidR="00AC67A6">
        <w:rPr>
          <w:rFonts w:ascii="Arial" w:hAnsi="Arial" w:cs="Arial"/>
          <w:noProof/>
        </w:rPr>
        <w:t>alysis. J Clin Lipidol 2015;9</w:t>
      </w:r>
      <w:r w:rsidRPr="00C223AB">
        <w:rPr>
          <w:rFonts w:ascii="Arial" w:hAnsi="Arial" w:cs="Arial"/>
          <w:noProof/>
        </w:rPr>
        <w:t xml:space="preserve">:498–510. </w:t>
      </w:r>
    </w:p>
    <w:p w14:paraId="085DDD22" w14:textId="7E313424" w:rsidR="00C223AB" w:rsidRPr="00C223AB" w:rsidRDefault="00C223AB" w:rsidP="00C223AB">
      <w:pPr>
        <w:widowControl w:val="0"/>
        <w:autoSpaceDE w:val="0"/>
        <w:autoSpaceDN w:val="0"/>
        <w:adjustRightInd w:val="0"/>
        <w:ind w:left="640" w:hanging="640"/>
        <w:rPr>
          <w:rFonts w:ascii="Arial" w:hAnsi="Arial" w:cs="Arial"/>
          <w:noProof/>
        </w:rPr>
      </w:pPr>
      <w:r w:rsidRPr="00C223AB">
        <w:rPr>
          <w:rFonts w:ascii="Arial" w:hAnsi="Arial" w:cs="Arial"/>
          <w:noProof/>
        </w:rPr>
        <w:t xml:space="preserve">17. </w:t>
      </w:r>
      <w:r w:rsidRPr="00C223AB">
        <w:rPr>
          <w:rFonts w:ascii="Arial" w:hAnsi="Arial" w:cs="Arial"/>
          <w:noProof/>
        </w:rPr>
        <w:tab/>
        <w:t>Scheffer PG, Teerlink T, Dekker JM, Bos G, Nijpels G, Diamant M, Kostense PJ, Stehouwer CDA, Heine RJ. Increased plasma apolipoprotein C-III concentration independently predicts cardiovascular mortality: the H</w:t>
      </w:r>
      <w:r w:rsidR="00AC67A6">
        <w:rPr>
          <w:rFonts w:ascii="Arial" w:hAnsi="Arial" w:cs="Arial"/>
          <w:noProof/>
        </w:rPr>
        <w:t>oorn Study. Clin Chem 2008;54</w:t>
      </w:r>
      <w:r w:rsidRPr="00C223AB">
        <w:rPr>
          <w:rFonts w:ascii="Arial" w:hAnsi="Arial" w:cs="Arial"/>
          <w:noProof/>
        </w:rPr>
        <w:t xml:space="preserve">:1325–30. </w:t>
      </w:r>
    </w:p>
    <w:p w14:paraId="13F91F65" w14:textId="60B2F65A" w:rsidR="00C223AB" w:rsidRPr="00C223AB" w:rsidRDefault="00C223AB" w:rsidP="00C223AB">
      <w:pPr>
        <w:widowControl w:val="0"/>
        <w:autoSpaceDE w:val="0"/>
        <w:autoSpaceDN w:val="0"/>
        <w:adjustRightInd w:val="0"/>
        <w:ind w:left="640" w:hanging="640"/>
        <w:rPr>
          <w:rFonts w:ascii="Arial" w:hAnsi="Arial" w:cs="Arial"/>
          <w:noProof/>
        </w:rPr>
      </w:pPr>
      <w:r w:rsidRPr="00C223AB">
        <w:rPr>
          <w:rFonts w:ascii="Arial" w:hAnsi="Arial" w:cs="Arial"/>
          <w:noProof/>
        </w:rPr>
        <w:t xml:space="preserve">18. </w:t>
      </w:r>
      <w:r w:rsidRPr="00C223AB">
        <w:rPr>
          <w:rFonts w:ascii="Arial" w:hAnsi="Arial" w:cs="Arial"/>
          <w:noProof/>
        </w:rPr>
        <w:tab/>
        <w:t>Pechlaner R, Tsimikas S, Yin X, Willeit P, Baig F, Santer P, Oberhollenzer F, Egger G, Witztum JL, Alexander VJ, Willeit J, Kiechl S, Mayr M. Very-Low-Density Lipoprotein-Associated Apolipoproteins Predict Cardiovascular Events and Are Lowered by Inhibition of APOC-I</w:t>
      </w:r>
      <w:r w:rsidR="00AC67A6">
        <w:rPr>
          <w:rFonts w:ascii="Arial" w:hAnsi="Arial" w:cs="Arial"/>
          <w:noProof/>
        </w:rPr>
        <w:t>II. J Am Coll Cardiol 2017;69</w:t>
      </w:r>
      <w:r w:rsidRPr="00C223AB">
        <w:rPr>
          <w:rFonts w:ascii="Arial" w:hAnsi="Arial" w:cs="Arial"/>
          <w:noProof/>
        </w:rPr>
        <w:t xml:space="preserve">:789–800. </w:t>
      </w:r>
    </w:p>
    <w:p w14:paraId="57362874" w14:textId="743E4A6D" w:rsidR="00C223AB" w:rsidRPr="00C223AB" w:rsidRDefault="00C223AB" w:rsidP="00C223AB">
      <w:pPr>
        <w:widowControl w:val="0"/>
        <w:autoSpaceDE w:val="0"/>
        <w:autoSpaceDN w:val="0"/>
        <w:adjustRightInd w:val="0"/>
        <w:ind w:left="640" w:hanging="640"/>
        <w:rPr>
          <w:rFonts w:ascii="Arial" w:hAnsi="Arial" w:cs="Arial"/>
          <w:noProof/>
        </w:rPr>
      </w:pPr>
      <w:r w:rsidRPr="00C223AB">
        <w:rPr>
          <w:rFonts w:ascii="Arial" w:hAnsi="Arial" w:cs="Arial"/>
          <w:noProof/>
        </w:rPr>
        <w:t xml:space="preserve">19. </w:t>
      </w:r>
      <w:r w:rsidRPr="00C223AB">
        <w:rPr>
          <w:rFonts w:ascii="Arial" w:hAnsi="Arial" w:cs="Arial"/>
          <w:noProof/>
        </w:rPr>
        <w:tab/>
        <w:t>Qamar A, Khetarpal SA, Khera A V, Qasim A, Rader DJ, Reilly MP. Plasma apolipoprotein C-III levels, triglycerides, and coronary artery calcification in type 2 diabetics. Arterios</w:t>
      </w:r>
      <w:r w:rsidR="00AC67A6">
        <w:rPr>
          <w:rFonts w:ascii="Arial" w:hAnsi="Arial" w:cs="Arial"/>
          <w:noProof/>
        </w:rPr>
        <w:t>cler Thromb Vasc Biol 2015;35</w:t>
      </w:r>
      <w:r w:rsidRPr="00C223AB">
        <w:rPr>
          <w:rFonts w:ascii="Arial" w:hAnsi="Arial" w:cs="Arial"/>
          <w:noProof/>
        </w:rPr>
        <w:t xml:space="preserve">:1880–8. </w:t>
      </w:r>
    </w:p>
    <w:p w14:paraId="53BABDE9" w14:textId="481DD815" w:rsidR="00C223AB" w:rsidRPr="00C223AB" w:rsidRDefault="00C223AB" w:rsidP="00C223AB">
      <w:pPr>
        <w:widowControl w:val="0"/>
        <w:autoSpaceDE w:val="0"/>
        <w:autoSpaceDN w:val="0"/>
        <w:adjustRightInd w:val="0"/>
        <w:ind w:left="640" w:hanging="640"/>
        <w:rPr>
          <w:rFonts w:ascii="Arial" w:hAnsi="Arial" w:cs="Arial"/>
          <w:noProof/>
        </w:rPr>
      </w:pPr>
      <w:r w:rsidRPr="00C223AB">
        <w:rPr>
          <w:rFonts w:ascii="Arial" w:hAnsi="Arial" w:cs="Arial"/>
          <w:noProof/>
        </w:rPr>
        <w:t xml:space="preserve">20. </w:t>
      </w:r>
      <w:r w:rsidRPr="00C223AB">
        <w:rPr>
          <w:rFonts w:ascii="Arial" w:hAnsi="Arial" w:cs="Arial"/>
          <w:noProof/>
        </w:rPr>
        <w:tab/>
        <w:t>Borén J, Watts GF, Adiels M, Söderlund S, Chan DC, Hakkarainen A, Lundbom N, Matikainen N, Kahri J, Vergès B, Barrett PHR, Taskinen M-R. Kinetic and Related Determinants of Plasma Triglyceride Concentration in Abdominal Obesity: Multicenter Tracer Kinetic Study. Arterioscler Thromb Vasc Bio</w:t>
      </w:r>
      <w:r w:rsidR="00AC67A6">
        <w:rPr>
          <w:rFonts w:ascii="Arial" w:hAnsi="Arial" w:cs="Arial"/>
          <w:noProof/>
        </w:rPr>
        <w:t>l 2015;35</w:t>
      </w:r>
      <w:r w:rsidRPr="00C223AB">
        <w:rPr>
          <w:rFonts w:ascii="Arial" w:hAnsi="Arial" w:cs="Arial"/>
          <w:noProof/>
        </w:rPr>
        <w:t xml:space="preserve">:2218–24. </w:t>
      </w:r>
    </w:p>
    <w:p w14:paraId="3E147055" w14:textId="207B1F16" w:rsidR="00C223AB" w:rsidRPr="00C223AB" w:rsidRDefault="00C223AB" w:rsidP="00C223AB">
      <w:pPr>
        <w:widowControl w:val="0"/>
        <w:autoSpaceDE w:val="0"/>
        <w:autoSpaceDN w:val="0"/>
        <w:adjustRightInd w:val="0"/>
        <w:ind w:left="640" w:hanging="640"/>
        <w:rPr>
          <w:rFonts w:ascii="Arial" w:hAnsi="Arial" w:cs="Arial"/>
          <w:noProof/>
        </w:rPr>
      </w:pPr>
      <w:r w:rsidRPr="00C223AB">
        <w:rPr>
          <w:rFonts w:ascii="Arial" w:hAnsi="Arial" w:cs="Arial"/>
          <w:noProof/>
        </w:rPr>
        <w:t xml:space="preserve">21. </w:t>
      </w:r>
      <w:r w:rsidRPr="00C223AB">
        <w:rPr>
          <w:rFonts w:ascii="Arial" w:hAnsi="Arial" w:cs="Arial"/>
          <w:noProof/>
        </w:rPr>
        <w:tab/>
        <w:t>Chapman MJ, Le Goff W, Guerin M, Kontush A. Cholesteryl ester transfer protein: at the heart of the action of lipid-modulating therapy with statins, fibrates, niacin, and cholesteryl ester transfer protein in</w:t>
      </w:r>
      <w:r w:rsidR="00AC67A6">
        <w:rPr>
          <w:rFonts w:ascii="Arial" w:hAnsi="Arial" w:cs="Arial"/>
          <w:noProof/>
        </w:rPr>
        <w:t>hibitors. Eur Heart J 2010;31</w:t>
      </w:r>
      <w:r w:rsidRPr="00C223AB">
        <w:rPr>
          <w:rFonts w:ascii="Arial" w:hAnsi="Arial" w:cs="Arial"/>
          <w:noProof/>
        </w:rPr>
        <w:t xml:space="preserve">:149–64. </w:t>
      </w:r>
    </w:p>
    <w:p w14:paraId="31263ACE" w14:textId="596A8F57" w:rsidR="00C223AB" w:rsidRPr="00C223AB" w:rsidRDefault="00C223AB" w:rsidP="00C223AB">
      <w:pPr>
        <w:widowControl w:val="0"/>
        <w:autoSpaceDE w:val="0"/>
        <w:autoSpaceDN w:val="0"/>
        <w:adjustRightInd w:val="0"/>
        <w:ind w:left="640" w:hanging="640"/>
        <w:rPr>
          <w:rFonts w:ascii="Arial" w:hAnsi="Arial" w:cs="Arial"/>
          <w:noProof/>
        </w:rPr>
      </w:pPr>
      <w:r w:rsidRPr="00C223AB">
        <w:rPr>
          <w:rFonts w:ascii="Arial" w:hAnsi="Arial" w:cs="Arial"/>
          <w:noProof/>
        </w:rPr>
        <w:t xml:space="preserve">22. </w:t>
      </w:r>
      <w:r w:rsidRPr="00C223AB">
        <w:rPr>
          <w:rFonts w:ascii="Arial" w:hAnsi="Arial" w:cs="Arial"/>
          <w:noProof/>
        </w:rPr>
        <w:tab/>
        <w:t>Rapp JH, Harris HW, Hamilton RL, Krupski WC, Reilly LM, Ehrenfeld WK, Stoney RJ, Goldstone J, Kane JP. Particle size distribution of lipoproteins from human atherosclerotic plaque: a prelimina</w:t>
      </w:r>
      <w:r w:rsidR="00AC67A6">
        <w:rPr>
          <w:rFonts w:ascii="Arial" w:hAnsi="Arial" w:cs="Arial"/>
          <w:noProof/>
        </w:rPr>
        <w:t>ry report. J Vasc Surg 1989;9</w:t>
      </w:r>
      <w:r w:rsidRPr="00C223AB">
        <w:rPr>
          <w:rFonts w:ascii="Arial" w:hAnsi="Arial" w:cs="Arial"/>
          <w:noProof/>
        </w:rPr>
        <w:t xml:space="preserve">:81–8. </w:t>
      </w:r>
    </w:p>
    <w:p w14:paraId="22AAC715" w14:textId="5D1E3D74" w:rsidR="00C223AB" w:rsidRPr="00C223AB" w:rsidRDefault="00C223AB" w:rsidP="00C223AB">
      <w:pPr>
        <w:widowControl w:val="0"/>
        <w:autoSpaceDE w:val="0"/>
        <w:autoSpaceDN w:val="0"/>
        <w:adjustRightInd w:val="0"/>
        <w:ind w:left="640" w:hanging="640"/>
        <w:rPr>
          <w:rFonts w:ascii="Arial" w:hAnsi="Arial" w:cs="Arial"/>
          <w:noProof/>
        </w:rPr>
      </w:pPr>
      <w:r w:rsidRPr="00C223AB">
        <w:rPr>
          <w:rFonts w:ascii="Arial" w:hAnsi="Arial" w:cs="Arial"/>
          <w:noProof/>
        </w:rPr>
        <w:t xml:space="preserve">23. </w:t>
      </w:r>
      <w:r w:rsidRPr="00C223AB">
        <w:rPr>
          <w:rFonts w:ascii="Arial" w:hAnsi="Arial" w:cs="Arial"/>
          <w:noProof/>
        </w:rPr>
        <w:tab/>
        <w:t>Ylä-Herttuala S, Lipton BA, Rosenfeld ME, Goldberg IJ, Steinberg D, Witztum JL. Macrophages and smooth muscle cells express lipoprotein lipase in human and rabbit atherosclerotic lesions. Proc</w:t>
      </w:r>
      <w:r w:rsidR="00AC67A6">
        <w:rPr>
          <w:rFonts w:ascii="Arial" w:hAnsi="Arial" w:cs="Arial"/>
          <w:noProof/>
        </w:rPr>
        <w:t xml:space="preserve"> Natl Acad Sci U S A 1991;88</w:t>
      </w:r>
      <w:r w:rsidRPr="00C223AB">
        <w:rPr>
          <w:rFonts w:ascii="Arial" w:hAnsi="Arial" w:cs="Arial"/>
          <w:noProof/>
        </w:rPr>
        <w:t xml:space="preserve">:10143–7. </w:t>
      </w:r>
    </w:p>
    <w:p w14:paraId="0CA426BB" w14:textId="6873F7CA" w:rsidR="00C223AB" w:rsidRPr="00C223AB" w:rsidRDefault="00C223AB" w:rsidP="00C223AB">
      <w:pPr>
        <w:widowControl w:val="0"/>
        <w:autoSpaceDE w:val="0"/>
        <w:autoSpaceDN w:val="0"/>
        <w:adjustRightInd w:val="0"/>
        <w:ind w:left="640" w:hanging="640"/>
        <w:rPr>
          <w:rFonts w:ascii="Arial" w:hAnsi="Arial" w:cs="Arial"/>
          <w:noProof/>
        </w:rPr>
      </w:pPr>
      <w:r w:rsidRPr="00C223AB">
        <w:rPr>
          <w:rFonts w:ascii="Arial" w:hAnsi="Arial" w:cs="Arial"/>
          <w:noProof/>
        </w:rPr>
        <w:t xml:space="preserve">24. </w:t>
      </w:r>
      <w:r w:rsidRPr="00C223AB">
        <w:rPr>
          <w:rFonts w:ascii="Arial" w:hAnsi="Arial" w:cs="Arial"/>
          <w:noProof/>
        </w:rPr>
        <w:tab/>
        <w:t>Lindqvist P, Ostlund-Lindqvist AM, Witztum JL, Steinberg D, Little JA. The role of lipoprotein lipase in the metabolism of triglyceride-rich lipoproteins by macro</w:t>
      </w:r>
      <w:r w:rsidR="00AC67A6">
        <w:rPr>
          <w:rFonts w:ascii="Arial" w:hAnsi="Arial" w:cs="Arial"/>
          <w:noProof/>
        </w:rPr>
        <w:t>phages. J Biol Chem 1983;258</w:t>
      </w:r>
      <w:r w:rsidRPr="00C223AB">
        <w:rPr>
          <w:rFonts w:ascii="Arial" w:hAnsi="Arial" w:cs="Arial"/>
          <w:noProof/>
        </w:rPr>
        <w:t xml:space="preserve">:9086–92. </w:t>
      </w:r>
    </w:p>
    <w:p w14:paraId="106E8CF5" w14:textId="4B037FE5" w:rsidR="00C223AB" w:rsidRPr="00C223AB" w:rsidRDefault="00C223AB" w:rsidP="00C223AB">
      <w:pPr>
        <w:widowControl w:val="0"/>
        <w:autoSpaceDE w:val="0"/>
        <w:autoSpaceDN w:val="0"/>
        <w:adjustRightInd w:val="0"/>
        <w:ind w:left="640" w:hanging="640"/>
        <w:rPr>
          <w:rFonts w:ascii="Arial" w:hAnsi="Arial" w:cs="Arial"/>
          <w:noProof/>
        </w:rPr>
      </w:pPr>
      <w:r w:rsidRPr="00C223AB">
        <w:rPr>
          <w:rFonts w:ascii="Arial" w:hAnsi="Arial" w:cs="Arial"/>
          <w:noProof/>
        </w:rPr>
        <w:t xml:space="preserve">25. </w:t>
      </w:r>
      <w:r w:rsidRPr="00C223AB">
        <w:rPr>
          <w:rFonts w:ascii="Arial" w:hAnsi="Arial" w:cs="Arial"/>
          <w:noProof/>
        </w:rPr>
        <w:tab/>
        <w:t xml:space="preserve">Gardner CD, Fortmann SP, Krauss RM. Association of small low-density lipoprotein particles with the incidence of coronary artery disease in </w:t>
      </w:r>
      <w:r w:rsidR="00AC67A6">
        <w:rPr>
          <w:rFonts w:ascii="Arial" w:hAnsi="Arial" w:cs="Arial"/>
          <w:noProof/>
        </w:rPr>
        <w:t>men and women. JAMA 1996;276</w:t>
      </w:r>
      <w:r w:rsidRPr="00C223AB">
        <w:rPr>
          <w:rFonts w:ascii="Arial" w:hAnsi="Arial" w:cs="Arial"/>
          <w:noProof/>
        </w:rPr>
        <w:t xml:space="preserve">:875–81. </w:t>
      </w:r>
    </w:p>
    <w:p w14:paraId="7C224F3E" w14:textId="36D51D6D" w:rsidR="00C223AB" w:rsidRPr="00C223AB" w:rsidRDefault="00C223AB" w:rsidP="00C223AB">
      <w:pPr>
        <w:widowControl w:val="0"/>
        <w:autoSpaceDE w:val="0"/>
        <w:autoSpaceDN w:val="0"/>
        <w:adjustRightInd w:val="0"/>
        <w:ind w:left="640" w:hanging="640"/>
        <w:rPr>
          <w:rFonts w:ascii="Arial" w:hAnsi="Arial" w:cs="Arial"/>
          <w:noProof/>
        </w:rPr>
      </w:pPr>
      <w:r w:rsidRPr="00C223AB">
        <w:rPr>
          <w:rFonts w:ascii="Arial" w:hAnsi="Arial" w:cs="Arial"/>
          <w:noProof/>
        </w:rPr>
        <w:t xml:space="preserve">26. </w:t>
      </w:r>
      <w:r w:rsidRPr="00C223AB">
        <w:rPr>
          <w:rFonts w:ascii="Arial" w:hAnsi="Arial" w:cs="Arial"/>
          <w:noProof/>
        </w:rPr>
        <w:tab/>
        <w:t>El Harchaoui K, van der Steeg WA, Stroes ESG, Kuivenhoven JA, Otvos JD, Wareham NJ, Hutten BA, Kastelein JJP, Khaw K-T, Boekholdt SM. Value of low-density lipoprotein particle number and size as predictors of coronary artery disease in apparently healthy men and women: the EPIC-Norfolk Prospective Population Stu</w:t>
      </w:r>
      <w:r w:rsidR="00AC67A6">
        <w:rPr>
          <w:rFonts w:ascii="Arial" w:hAnsi="Arial" w:cs="Arial"/>
          <w:noProof/>
        </w:rPr>
        <w:t>dy. J Am Coll Cardiol 2007;49</w:t>
      </w:r>
      <w:r w:rsidRPr="00C223AB">
        <w:rPr>
          <w:rFonts w:ascii="Arial" w:hAnsi="Arial" w:cs="Arial"/>
          <w:noProof/>
        </w:rPr>
        <w:t xml:space="preserve">:547–53. </w:t>
      </w:r>
    </w:p>
    <w:p w14:paraId="4B46FF39" w14:textId="4CB41D4C" w:rsidR="00C223AB" w:rsidRPr="00C223AB" w:rsidRDefault="00C223AB" w:rsidP="00C223AB">
      <w:pPr>
        <w:widowControl w:val="0"/>
        <w:autoSpaceDE w:val="0"/>
        <w:autoSpaceDN w:val="0"/>
        <w:adjustRightInd w:val="0"/>
        <w:ind w:left="640" w:hanging="640"/>
        <w:rPr>
          <w:rFonts w:ascii="Arial" w:hAnsi="Arial" w:cs="Arial"/>
          <w:noProof/>
        </w:rPr>
      </w:pPr>
      <w:r w:rsidRPr="00C223AB">
        <w:rPr>
          <w:rFonts w:ascii="Arial" w:hAnsi="Arial" w:cs="Arial"/>
          <w:noProof/>
        </w:rPr>
        <w:t xml:space="preserve">27. </w:t>
      </w:r>
      <w:r w:rsidRPr="00C223AB">
        <w:rPr>
          <w:rFonts w:ascii="Arial" w:hAnsi="Arial" w:cs="Arial"/>
          <w:noProof/>
        </w:rPr>
        <w:tab/>
        <w:t xml:space="preserve">Ridker PM, Danielson E, Fonseca FAH, Genest J, Gotto AM, Kastelein JJP, Koenig W, Libby P, Lorenzatti AJ, MacFadyen JG, Nordestgaard BG, Shepherd J, Willerson JT, Glynn RJ, JUPITER Study Group. Rosuvastatin to </w:t>
      </w:r>
      <w:r w:rsidRPr="00C223AB">
        <w:rPr>
          <w:rFonts w:ascii="Arial" w:hAnsi="Arial" w:cs="Arial"/>
          <w:noProof/>
        </w:rPr>
        <w:lastRenderedPageBreak/>
        <w:t>prevent vascular events in men and women with elevated C-reactive protein. N Engl J Med 2008;</w:t>
      </w:r>
      <w:r w:rsidR="00AC67A6">
        <w:rPr>
          <w:rFonts w:ascii="Arial" w:hAnsi="Arial" w:cs="Arial"/>
          <w:noProof/>
        </w:rPr>
        <w:t>359</w:t>
      </w:r>
      <w:r w:rsidRPr="00C223AB">
        <w:rPr>
          <w:rFonts w:ascii="Arial" w:hAnsi="Arial" w:cs="Arial"/>
          <w:noProof/>
        </w:rPr>
        <w:t xml:space="preserve">:2195–207. </w:t>
      </w:r>
    </w:p>
    <w:p w14:paraId="126490BA" w14:textId="622C64C7" w:rsidR="009A23AC" w:rsidRPr="00C223AB" w:rsidRDefault="00A72144" w:rsidP="00C223AB">
      <w:pPr>
        <w:widowControl w:val="0"/>
        <w:autoSpaceDE w:val="0"/>
        <w:autoSpaceDN w:val="0"/>
        <w:adjustRightInd w:val="0"/>
        <w:ind w:left="640" w:hanging="640"/>
        <w:rPr>
          <w:rFonts w:ascii="Arial" w:hAnsi="Arial" w:cs="Arial"/>
        </w:rPr>
      </w:pPr>
      <w:r w:rsidRPr="00C223AB">
        <w:rPr>
          <w:rFonts w:ascii="Arial" w:hAnsi="Arial" w:cs="Arial"/>
          <w:lang w:val="nl-NL"/>
        </w:rPr>
        <w:fldChar w:fldCharType="end"/>
      </w:r>
    </w:p>
    <w:p w14:paraId="341C3AF8" w14:textId="77777777" w:rsidR="002454C1" w:rsidRPr="00C223AB" w:rsidRDefault="002454C1" w:rsidP="00C223AB">
      <w:pPr>
        <w:rPr>
          <w:rFonts w:ascii="Arial" w:hAnsi="Arial" w:cs="Arial"/>
          <w:b/>
        </w:rPr>
      </w:pPr>
    </w:p>
    <w:p w14:paraId="3A0EFEB5" w14:textId="77777777" w:rsidR="002454C1" w:rsidRPr="00C223AB" w:rsidRDefault="002454C1" w:rsidP="00C223AB">
      <w:pPr>
        <w:rPr>
          <w:rFonts w:ascii="Arial" w:hAnsi="Arial" w:cs="Arial"/>
          <w:b/>
        </w:rPr>
      </w:pPr>
      <w:r w:rsidRPr="00C223AB">
        <w:rPr>
          <w:rFonts w:ascii="Arial" w:hAnsi="Arial" w:cs="Arial"/>
          <w:b/>
        </w:rPr>
        <w:t>Highlights</w:t>
      </w:r>
    </w:p>
    <w:p w14:paraId="0DEAFE6D" w14:textId="77777777" w:rsidR="002454C1" w:rsidRPr="00C223AB" w:rsidRDefault="002454C1" w:rsidP="00C223AB">
      <w:pPr>
        <w:rPr>
          <w:rFonts w:ascii="Arial" w:hAnsi="Arial" w:cs="Arial"/>
          <w:b/>
        </w:rPr>
      </w:pPr>
    </w:p>
    <w:p w14:paraId="0B2F427D" w14:textId="77777777" w:rsidR="002454C1" w:rsidRPr="00C223AB" w:rsidRDefault="002454C1" w:rsidP="00C223AB">
      <w:pPr>
        <w:rPr>
          <w:rFonts w:ascii="Arial" w:hAnsi="Arial" w:cs="Arial"/>
          <w:b/>
        </w:rPr>
      </w:pPr>
    </w:p>
    <w:p w14:paraId="6284223E" w14:textId="77777777" w:rsidR="007324C1" w:rsidRPr="00C223AB" w:rsidRDefault="007324C1" w:rsidP="00C223AB">
      <w:pPr>
        <w:rPr>
          <w:rFonts w:ascii="Arial" w:hAnsi="Arial" w:cs="Arial"/>
        </w:rPr>
      </w:pPr>
      <w:r w:rsidRPr="00C223AB">
        <w:rPr>
          <w:rFonts w:ascii="Arial" w:hAnsi="Arial" w:cs="Arial"/>
        </w:rPr>
        <w:t xml:space="preserve">ApoC-III levels are significantly associated with coronary artery disease risk, independent from traditional cardiovascular risk factors. </w:t>
      </w:r>
    </w:p>
    <w:p w14:paraId="4B72DA3F" w14:textId="77777777" w:rsidR="007324C1" w:rsidRPr="00C223AB" w:rsidRDefault="007324C1" w:rsidP="00C223AB">
      <w:pPr>
        <w:rPr>
          <w:rFonts w:ascii="Arial" w:hAnsi="Arial" w:cs="Arial"/>
        </w:rPr>
      </w:pPr>
    </w:p>
    <w:p w14:paraId="4D62C786" w14:textId="13548B63" w:rsidR="007324C1" w:rsidRPr="00C223AB" w:rsidRDefault="007324C1" w:rsidP="00C223AB">
      <w:pPr>
        <w:rPr>
          <w:rFonts w:ascii="Arial" w:hAnsi="Arial" w:cs="Arial"/>
        </w:rPr>
      </w:pPr>
      <w:r w:rsidRPr="00C223AB">
        <w:rPr>
          <w:rFonts w:ascii="Arial" w:hAnsi="Arial" w:cs="Arial"/>
        </w:rPr>
        <w:t xml:space="preserve">This study represents the largest study to date to substantiate this association, in terms of total subjects studied and coronary artery disease case numbers </w:t>
      </w:r>
    </w:p>
    <w:p w14:paraId="00520719" w14:textId="77777777" w:rsidR="007324C1" w:rsidRPr="00C223AB" w:rsidRDefault="007324C1" w:rsidP="00C223AB">
      <w:pPr>
        <w:rPr>
          <w:rFonts w:ascii="Arial" w:hAnsi="Arial" w:cs="Arial"/>
        </w:rPr>
      </w:pPr>
    </w:p>
    <w:p w14:paraId="6893E66E" w14:textId="6B43388D" w:rsidR="007324C1" w:rsidRPr="00C223AB" w:rsidRDefault="007324C1" w:rsidP="00C223AB">
      <w:pPr>
        <w:rPr>
          <w:rFonts w:ascii="Arial" w:hAnsi="Arial" w:cs="Arial"/>
        </w:rPr>
      </w:pPr>
      <w:r w:rsidRPr="00C223AB">
        <w:rPr>
          <w:rFonts w:ascii="Arial" w:hAnsi="Arial" w:cs="Arial"/>
        </w:rPr>
        <w:t>Elevated levels of remnant lipoproteins, small dense LDL and low-grade inflammation may explain the association between apoC-III and coronary artery disease risk.</w:t>
      </w:r>
    </w:p>
    <w:p w14:paraId="0CDD58E9" w14:textId="5289763D" w:rsidR="007C2054" w:rsidRPr="00C223AB" w:rsidRDefault="007C2054" w:rsidP="00C223AB">
      <w:pPr>
        <w:rPr>
          <w:rFonts w:ascii="Arial" w:hAnsi="Arial" w:cs="Arial"/>
        </w:rPr>
      </w:pPr>
    </w:p>
    <w:p w14:paraId="2F16734D" w14:textId="77777777" w:rsidR="002454C1" w:rsidRPr="00C223AB" w:rsidRDefault="002454C1" w:rsidP="00C223AB">
      <w:pPr>
        <w:rPr>
          <w:rFonts w:ascii="Arial" w:hAnsi="Arial" w:cs="Arial"/>
          <w:b/>
        </w:rPr>
      </w:pPr>
    </w:p>
    <w:p w14:paraId="0B522C2A" w14:textId="77777777" w:rsidR="002454C1" w:rsidRPr="00C223AB" w:rsidRDefault="002454C1" w:rsidP="00C223AB">
      <w:pPr>
        <w:rPr>
          <w:rFonts w:ascii="Arial" w:hAnsi="Arial" w:cs="Arial"/>
          <w:b/>
        </w:rPr>
      </w:pPr>
    </w:p>
    <w:p w14:paraId="3710F794" w14:textId="6C4E2B96" w:rsidR="009A23AC" w:rsidRPr="00C223AB" w:rsidRDefault="009A23AC" w:rsidP="00C223AB">
      <w:pPr>
        <w:rPr>
          <w:rFonts w:ascii="Arial" w:hAnsi="Arial" w:cs="Arial"/>
          <w:b/>
        </w:rPr>
      </w:pPr>
      <w:r w:rsidRPr="00C223AB">
        <w:rPr>
          <w:rFonts w:ascii="Arial" w:hAnsi="Arial" w:cs="Arial"/>
          <w:b/>
        </w:rPr>
        <w:br w:type="page"/>
      </w:r>
    </w:p>
    <w:p w14:paraId="2224092B" w14:textId="77777777" w:rsidR="00346F34" w:rsidRPr="00C223AB" w:rsidRDefault="00A55672" w:rsidP="00C223AB">
      <w:pPr>
        <w:rPr>
          <w:rFonts w:ascii="Arial" w:hAnsi="Arial" w:cs="Arial"/>
          <w:b/>
        </w:rPr>
      </w:pPr>
      <w:r w:rsidRPr="00C223AB">
        <w:rPr>
          <w:rFonts w:ascii="Arial" w:hAnsi="Arial" w:cs="Arial"/>
          <w:b/>
          <w:lang w:val="nl-NL"/>
        </w:rPr>
        <w:lastRenderedPageBreak/>
        <w:t>Figure 1.</w:t>
      </w:r>
      <w:r w:rsidRPr="00C223AB">
        <w:rPr>
          <w:rFonts w:ascii="Arial" w:hAnsi="Arial" w:cs="Arial"/>
          <w:lang w:val="nl-NL"/>
        </w:rPr>
        <w:t xml:space="preserve"> </w:t>
      </w:r>
      <w:r w:rsidR="00510731" w:rsidRPr="00C223AB">
        <w:rPr>
          <w:rFonts w:ascii="Arial" w:hAnsi="Arial" w:cs="Arial"/>
          <w:b/>
        </w:rPr>
        <w:t xml:space="preserve"> </w:t>
      </w:r>
    </w:p>
    <w:p w14:paraId="6CA90241" w14:textId="0E9A553E" w:rsidR="00346F34" w:rsidRPr="00EF3B3C" w:rsidRDefault="00346F34" w:rsidP="00C223AB">
      <w:pPr>
        <w:rPr>
          <w:rFonts w:ascii="Arial" w:hAnsi="Arial" w:cs="Arial"/>
          <w:lang w:val="nl-NL"/>
        </w:rPr>
      </w:pPr>
      <w:r w:rsidRPr="00C223AB">
        <w:rPr>
          <w:rFonts w:ascii="Arial" w:hAnsi="Arial" w:cs="Arial"/>
          <w:lang w:val="nl-NL"/>
        </w:rPr>
        <w:t xml:space="preserve">Distribution of apoC-III in mg/dl (panel A) and triglycerides in mmol/l (panel B) as percentage of total cohort for cases </w:t>
      </w:r>
      <w:r w:rsidR="00EF3B3C">
        <w:rPr>
          <w:rFonts w:ascii="Arial" w:hAnsi="Arial" w:cs="Arial"/>
          <w:lang w:val="nl-NL"/>
        </w:rPr>
        <w:t>(n=832) and controls (n=1,879).</w:t>
      </w:r>
    </w:p>
    <w:p w14:paraId="5A82FC78" w14:textId="77777777" w:rsidR="00C223AB" w:rsidRDefault="00C223AB" w:rsidP="00C223AB">
      <w:pPr>
        <w:rPr>
          <w:rFonts w:ascii="Arial" w:hAnsi="Arial" w:cs="Arial"/>
          <w:b/>
        </w:rPr>
      </w:pPr>
    </w:p>
    <w:p w14:paraId="51C4E4C5" w14:textId="77777777" w:rsidR="00EF3B3C" w:rsidRPr="00C223AB" w:rsidRDefault="00EF3B3C" w:rsidP="00C223AB">
      <w:pPr>
        <w:rPr>
          <w:rFonts w:ascii="Arial" w:hAnsi="Arial" w:cs="Arial"/>
          <w:b/>
        </w:rPr>
      </w:pPr>
    </w:p>
    <w:p w14:paraId="7E5030E9" w14:textId="56D4C2DD" w:rsidR="00662E47" w:rsidRPr="00C223AB" w:rsidRDefault="0036018A" w:rsidP="00C223AB">
      <w:pPr>
        <w:rPr>
          <w:rFonts w:ascii="Arial" w:hAnsi="Arial" w:cs="Arial"/>
        </w:rPr>
      </w:pPr>
      <w:r w:rsidRPr="00C223AB">
        <w:rPr>
          <w:rFonts w:ascii="Arial" w:hAnsi="Arial" w:cs="Arial"/>
          <w:b/>
        </w:rPr>
        <w:t xml:space="preserve">Figure </w:t>
      </w:r>
      <w:r w:rsidR="008C7A52" w:rsidRPr="00C223AB">
        <w:rPr>
          <w:rFonts w:ascii="Arial" w:hAnsi="Arial" w:cs="Arial"/>
          <w:b/>
        </w:rPr>
        <w:t>2</w:t>
      </w:r>
      <w:r w:rsidR="00662E47" w:rsidRPr="00C223AB">
        <w:rPr>
          <w:rFonts w:ascii="Arial" w:hAnsi="Arial" w:cs="Arial"/>
          <w:b/>
        </w:rPr>
        <w:t>.</w:t>
      </w:r>
      <w:r w:rsidR="00662E47" w:rsidRPr="00C223AB">
        <w:rPr>
          <w:rFonts w:ascii="Arial" w:hAnsi="Arial" w:cs="Arial"/>
        </w:rPr>
        <w:t xml:space="preserve"> </w:t>
      </w:r>
    </w:p>
    <w:p w14:paraId="2F978F00" w14:textId="77777777" w:rsidR="001A7FE0" w:rsidRPr="00C223AB" w:rsidRDefault="001A7FE0" w:rsidP="00C223AB">
      <w:pPr>
        <w:rPr>
          <w:rFonts w:ascii="Arial" w:hAnsi="Arial" w:cs="Arial"/>
        </w:rPr>
      </w:pPr>
      <w:r w:rsidRPr="00C223AB">
        <w:rPr>
          <w:rFonts w:ascii="Arial" w:hAnsi="Arial" w:cs="Arial"/>
        </w:rPr>
        <w:t xml:space="preserve">Nuclear magnetic resonance spectroscopy measured lipoprotein subparticle numbers per apoC-III quintile. </w:t>
      </w:r>
    </w:p>
    <w:p w14:paraId="6455B216" w14:textId="77777777" w:rsidR="001A7FE0" w:rsidRPr="00C223AB" w:rsidRDefault="001A7FE0" w:rsidP="00C223AB">
      <w:pPr>
        <w:rPr>
          <w:rFonts w:ascii="Arial" w:hAnsi="Arial" w:cs="Arial"/>
        </w:rPr>
      </w:pPr>
    </w:p>
    <w:p w14:paraId="09892AB8" w14:textId="6E387D74" w:rsidR="00EF3B3C" w:rsidRDefault="001A7FE0" w:rsidP="00C223AB">
      <w:pPr>
        <w:rPr>
          <w:rFonts w:ascii="Arial" w:hAnsi="Arial" w:cs="Arial"/>
        </w:rPr>
      </w:pPr>
      <w:r w:rsidRPr="00C223AB">
        <w:rPr>
          <w:rFonts w:ascii="Arial" w:hAnsi="Arial" w:cs="Arial"/>
        </w:rPr>
        <w:t>Bars display mean particle numbers in nmol/l and corresponding 95% confidence interval. A. VLDL (small, medium, large/chylomicron) particle numbers, total bar height represents total VLDL particle number. B. IDL particle numbers per apoC-III quintile. C. LDL (small and large) particle number per apoC-III, total bar height represents total LDL particle number. P-value for tren</w:t>
      </w:r>
      <w:r w:rsidR="002F4216" w:rsidRPr="00C223AB">
        <w:rPr>
          <w:rFonts w:ascii="Arial" w:hAnsi="Arial" w:cs="Arial"/>
        </w:rPr>
        <w:t xml:space="preserve">d </w:t>
      </w:r>
      <w:r w:rsidR="0087032D" w:rsidRPr="00C223AB">
        <w:rPr>
          <w:rFonts w:ascii="Arial" w:hAnsi="Arial" w:cs="Arial"/>
        </w:rPr>
        <w:t xml:space="preserve">&lt; 0.001 </w:t>
      </w:r>
      <w:r w:rsidR="002F4216" w:rsidRPr="00C223AB">
        <w:rPr>
          <w:rFonts w:ascii="Arial" w:hAnsi="Arial" w:cs="Arial"/>
        </w:rPr>
        <w:t>for all (</w:t>
      </w:r>
      <w:proofErr w:type="gramStart"/>
      <w:r w:rsidR="002F4216" w:rsidRPr="00C223AB">
        <w:rPr>
          <w:rFonts w:ascii="Arial" w:hAnsi="Arial" w:cs="Arial"/>
        </w:rPr>
        <w:t>s</w:t>
      </w:r>
      <w:r w:rsidR="0087032D" w:rsidRPr="00C223AB">
        <w:rPr>
          <w:rFonts w:ascii="Arial" w:hAnsi="Arial" w:cs="Arial"/>
        </w:rPr>
        <w:t>ub)particle</w:t>
      </w:r>
      <w:proofErr w:type="gramEnd"/>
      <w:r w:rsidR="0087032D" w:rsidRPr="00C223AB">
        <w:rPr>
          <w:rFonts w:ascii="Arial" w:hAnsi="Arial" w:cs="Arial"/>
        </w:rPr>
        <w:t xml:space="preserve"> number associations.</w:t>
      </w:r>
    </w:p>
    <w:p w14:paraId="0831B638" w14:textId="77777777" w:rsidR="00EF3B3C" w:rsidRPr="00EF3B3C" w:rsidRDefault="00EF3B3C" w:rsidP="00C223AB">
      <w:pPr>
        <w:rPr>
          <w:rFonts w:ascii="Arial" w:hAnsi="Arial" w:cs="Arial"/>
        </w:rPr>
      </w:pPr>
    </w:p>
    <w:p w14:paraId="32B5CD11" w14:textId="77777777" w:rsidR="00C223AB" w:rsidRPr="00C223AB" w:rsidRDefault="00C223AB" w:rsidP="00C223AB">
      <w:pPr>
        <w:rPr>
          <w:rFonts w:ascii="Arial" w:hAnsi="Arial" w:cs="Arial"/>
          <w:b/>
        </w:rPr>
      </w:pPr>
    </w:p>
    <w:p w14:paraId="46106AA1" w14:textId="5497EAE5" w:rsidR="008B5891" w:rsidRPr="00C223AB" w:rsidRDefault="008B5891" w:rsidP="00C223AB">
      <w:pPr>
        <w:rPr>
          <w:rFonts w:ascii="Arial" w:hAnsi="Arial" w:cs="Arial"/>
        </w:rPr>
      </w:pPr>
      <w:r w:rsidRPr="00C223AB">
        <w:rPr>
          <w:rFonts w:ascii="Arial" w:hAnsi="Arial" w:cs="Arial"/>
          <w:b/>
        </w:rPr>
        <w:t>Figure 3.</w:t>
      </w:r>
      <w:r w:rsidRPr="00C223AB">
        <w:rPr>
          <w:rFonts w:ascii="Arial" w:hAnsi="Arial" w:cs="Arial"/>
        </w:rPr>
        <w:t xml:space="preserve"> </w:t>
      </w:r>
    </w:p>
    <w:p w14:paraId="72CE6346" w14:textId="77777777" w:rsidR="002F4216" w:rsidRPr="00C223AB" w:rsidRDefault="002F4216" w:rsidP="00C223AB">
      <w:pPr>
        <w:rPr>
          <w:rFonts w:ascii="Arial" w:hAnsi="Arial" w:cs="Arial"/>
        </w:rPr>
      </w:pPr>
      <w:r w:rsidRPr="00C223AB">
        <w:rPr>
          <w:rFonts w:ascii="Arial" w:hAnsi="Arial" w:cs="Arial"/>
        </w:rPr>
        <w:t xml:space="preserve">Association of apoC-III quintiles and incident coronary artery disease risk. </w:t>
      </w:r>
    </w:p>
    <w:p w14:paraId="72C36006" w14:textId="77777777" w:rsidR="002F4216" w:rsidRPr="00C223AB" w:rsidRDefault="002F4216" w:rsidP="00C223AB">
      <w:pPr>
        <w:rPr>
          <w:rFonts w:ascii="Arial" w:hAnsi="Arial" w:cs="Arial"/>
        </w:rPr>
      </w:pPr>
    </w:p>
    <w:p w14:paraId="0DE89C17" w14:textId="77777777" w:rsidR="002F4216" w:rsidRPr="00C223AB" w:rsidRDefault="002F4216" w:rsidP="00C223AB">
      <w:pPr>
        <w:rPr>
          <w:rFonts w:ascii="Arial" w:hAnsi="Arial" w:cs="Arial"/>
        </w:rPr>
      </w:pPr>
      <w:r w:rsidRPr="00C223AB">
        <w:rPr>
          <w:rFonts w:ascii="Arial" w:hAnsi="Arial" w:cs="Arial"/>
        </w:rPr>
        <w:t>Data are odds ratios and corresponding 95% confidence interval. Model 1(open diamond) is matched for age and sex, model 2 (black square) is adjusted for age, sex, BMI, current smoking, diabetes mellitus, use of blood-pressure lowering and lipid lowering drugs. Model 3 (open circle) is model 2 additionally adjusted for triglyceride levels. ApoC-III range for each quintile was Q1 &lt;3.27, Q2: 3.27-4.45, Q3: 4.45-5.79, Q4: 5.79-7.87, Q5 &gt;7.87 mg/dL.</w:t>
      </w:r>
    </w:p>
    <w:p w14:paraId="1C68C779" w14:textId="77777777" w:rsidR="002F4216" w:rsidRPr="00C223AB" w:rsidRDefault="002F4216" w:rsidP="00C223AB">
      <w:pPr>
        <w:rPr>
          <w:rFonts w:ascii="Arial" w:hAnsi="Arial" w:cs="Arial"/>
        </w:rPr>
      </w:pPr>
    </w:p>
    <w:p w14:paraId="0BB58977" w14:textId="7628252F" w:rsidR="008B5891" w:rsidRPr="00C223AB" w:rsidRDefault="008B5891" w:rsidP="00C223AB">
      <w:pPr>
        <w:rPr>
          <w:rFonts w:ascii="Arial" w:hAnsi="Arial" w:cs="Arial"/>
          <w:b/>
        </w:rPr>
      </w:pPr>
    </w:p>
    <w:p w14:paraId="654ECBA2" w14:textId="2A83423A" w:rsidR="002C0E6D" w:rsidRPr="00C223AB" w:rsidRDefault="002C0E6D" w:rsidP="00C223AB">
      <w:pPr>
        <w:rPr>
          <w:rFonts w:ascii="Arial" w:hAnsi="Arial" w:cs="Arial"/>
        </w:rPr>
      </w:pPr>
    </w:p>
    <w:p w14:paraId="089073E8" w14:textId="77777777" w:rsidR="003F49B3" w:rsidRPr="00C223AB" w:rsidRDefault="003F49B3" w:rsidP="00C223AB">
      <w:pPr>
        <w:rPr>
          <w:rFonts w:ascii="Arial" w:hAnsi="Arial" w:cs="Arial"/>
        </w:rPr>
        <w:sectPr w:rsidR="003F49B3" w:rsidRPr="00C223AB" w:rsidSect="00D853CB">
          <w:footerReference w:type="default" r:id="rId10"/>
          <w:pgSz w:w="11900" w:h="16840"/>
          <w:pgMar w:top="1440" w:right="1440" w:bottom="1440" w:left="1440" w:header="708" w:footer="708" w:gutter="0"/>
          <w:cols w:space="708"/>
          <w:docGrid w:linePitch="360"/>
        </w:sectPr>
      </w:pPr>
    </w:p>
    <w:p w14:paraId="6BE4A03D" w14:textId="77777777" w:rsidR="002A2A8C" w:rsidRPr="00C223AB" w:rsidRDefault="002A2A8C" w:rsidP="00C223AB">
      <w:pPr>
        <w:rPr>
          <w:rFonts w:ascii="Arial" w:hAnsi="Arial" w:cs="Arial"/>
        </w:rPr>
      </w:pPr>
      <w:r w:rsidRPr="00C223AB">
        <w:rPr>
          <w:rFonts w:ascii="Arial" w:hAnsi="Arial" w:cs="Arial"/>
          <w:b/>
        </w:rPr>
        <w:lastRenderedPageBreak/>
        <w:t>Table 1</w:t>
      </w:r>
      <w:r w:rsidR="004076A5" w:rsidRPr="00C223AB">
        <w:rPr>
          <w:rFonts w:ascii="Arial" w:hAnsi="Arial" w:cs="Arial"/>
        </w:rPr>
        <w:t xml:space="preserve">. </w:t>
      </w:r>
      <w:r w:rsidRPr="00C223AB">
        <w:rPr>
          <w:rFonts w:ascii="Arial" w:hAnsi="Arial" w:cs="Arial"/>
        </w:rPr>
        <w:t>Baseline characteristics of controls and cases.</w:t>
      </w:r>
    </w:p>
    <w:p w14:paraId="3CE43D65" w14:textId="77777777" w:rsidR="002A2A8C" w:rsidRPr="00C223AB" w:rsidRDefault="002A2A8C" w:rsidP="00C223AB">
      <w:pPr>
        <w:rPr>
          <w:rFonts w:ascii="Arial" w:hAnsi="Arial" w:cs="Arial"/>
        </w:rPr>
      </w:pPr>
    </w:p>
    <w:tbl>
      <w:tblPr>
        <w:tblW w:w="9621" w:type="dxa"/>
        <w:tblInd w:w="55" w:type="dxa"/>
        <w:tblCellMar>
          <w:left w:w="70" w:type="dxa"/>
          <w:right w:w="70" w:type="dxa"/>
        </w:tblCellMar>
        <w:tblLook w:val="04A0" w:firstRow="1" w:lastRow="0" w:firstColumn="1" w:lastColumn="0" w:noHBand="0" w:noVBand="1"/>
      </w:tblPr>
      <w:tblGrid>
        <w:gridCol w:w="1320"/>
        <w:gridCol w:w="2381"/>
        <w:gridCol w:w="2540"/>
        <w:gridCol w:w="2000"/>
        <w:gridCol w:w="1380"/>
      </w:tblGrid>
      <w:tr w:rsidR="003534F0" w:rsidRPr="00C223AB" w14:paraId="7E8366AA" w14:textId="77777777" w:rsidTr="00427AEC">
        <w:trPr>
          <w:trHeight w:val="300"/>
        </w:trPr>
        <w:tc>
          <w:tcPr>
            <w:tcW w:w="1320" w:type="dxa"/>
            <w:tcBorders>
              <w:top w:val="nil"/>
              <w:left w:val="nil"/>
              <w:bottom w:val="nil"/>
              <w:right w:val="nil"/>
            </w:tcBorders>
            <w:shd w:val="clear" w:color="auto" w:fill="auto"/>
            <w:noWrap/>
            <w:vAlign w:val="bottom"/>
            <w:hideMark/>
          </w:tcPr>
          <w:p w14:paraId="1B1421A3" w14:textId="77777777" w:rsidR="003534F0" w:rsidRPr="00C223AB" w:rsidRDefault="003534F0" w:rsidP="00C223AB">
            <w:pPr>
              <w:rPr>
                <w:rFonts w:ascii="Arial" w:eastAsia="Times New Roman" w:hAnsi="Arial" w:cs="Arial"/>
                <w:color w:val="000000"/>
                <w:lang w:val="en-GB"/>
              </w:rPr>
            </w:pPr>
          </w:p>
        </w:tc>
        <w:tc>
          <w:tcPr>
            <w:tcW w:w="2381" w:type="dxa"/>
            <w:tcBorders>
              <w:top w:val="nil"/>
              <w:left w:val="nil"/>
              <w:bottom w:val="nil"/>
              <w:right w:val="nil"/>
            </w:tcBorders>
            <w:shd w:val="clear" w:color="auto" w:fill="auto"/>
            <w:noWrap/>
            <w:vAlign w:val="bottom"/>
            <w:hideMark/>
          </w:tcPr>
          <w:p w14:paraId="6E5B2ACD" w14:textId="77777777" w:rsidR="003534F0" w:rsidRPr="00C223AB" w:rsidRDefault="003534F0" w:rsidP="00C223AB">
            <w:pPr>
              <w:ind w:left="720"/>
              <w:contextualSpacing/>
              <w:rPr>
                <w:rFonts w:ascii="Arial" w:eastAsia="Times New Roman" w:hAnsi="Arial" w:cs="Arial"/>
                <w:color w:val="000000"/>
                <w:lang w:val="en-GB"/>
              </w:rPr>
            </w:pPr>
          </w:p>
        </w:tc>
        <w:tc>
          <w:tcPr>
            <w:tcW w:w="2540" w:type="dxa"/>
            <w:tcBorders>
              <w:top w:val="nil"/>
              <w:left w:val="nil"/>
              <w:bottom w:val="nil"/>
              <w:right w:val="nil"/>
            </w:tcBorders>
            <w:shd w:val="clear" w:color="auto" w:fill="auto"/>
            <w:noWrap/>
            <w:vAlign w:val="bottom"/>
            <w:hideMark/>
          </w:tcPr>
          <w:p w14:paraId="3A85EA57" w14:textId="41A5E397" w:rsidR="003534F0" w:rsidRPr="00C223AB" w:rsidRDefault="003534F0" w:rsidP="00C223AB">
            <w:pPr>
              <w:rPr>
                <w:rFonts w:ascii="Arial" w:eastAsia="Times New Roman" w:hAnsi="Arial" w:cs="Arial"/>
                <w:color w:val="000000"/>
                <w:lang w:val="en-GB"/>
              </w:rPr>
            </w:pPr>
            <w:r w:rsidRPr="00C223AB">
              <w:rPr>
                <w:rFonts w:ascii="Arial" w:eastAsia="Times New Roman" w:hAnsi="Arial" w:cs="Arial"/>
                <w:color w:val="000000"/>
                <w:lang w:val="en-GB"/>
              </w:rPr>
              <w:t>Controls (n=1</w:t>
            </w:r>
            <w:r w:rsidR="00AF3798" w:rsidRPr="00C223AB">
              <w:rPr>
                <w:rFonts w:ascii="Arial" w:eastAsia="Times New Roman" w:hAnsi="Arial" w:cs="Arial"/>
                <w:color w:val="000000"/>
                <w:lang w:val="en-GB"/>
              </w:rPr>
              <w:t>,</w:t>
            </w:r>
            <w:r w:rsidRPr="00C223AB">
              <w:rPr>
                <w:rFonts w:ascii="Arial" w:eastAsia="Times New Roman" w:hAnsi="Arial" w:cs="Arial"/>
                <w:color w:val="000000"/>
                <w:lang w:val="en-GB"/>
              </w:rPr>
              <w:t>879)</w:t>
            </w:r>
          </w:p>
        </w:tc>
        <w:tc>
          <w:tcPr>
            <w:tcW w:w="2000" w:type="dxa"/>
            <w:tcBorders>
              <w:top w:val="nil"/>
              <w:left w:val="nil"/>
              <w:bottom w:val="nil"/>
              <w:right w:val="nil"/>
            </w:tcBorders>
            <w:shd w:val="clear" w:color="auto" w:fill="auto"/>
            <w:noWrap/>
            <w:vAlign w:val="bottom"/>
            <w:hideMark/>
          </w:tcPr>
          <w:p w14:paraId="3E7BECCA" w14:textId="77777777" w:rsidR="003534F0" w:rsidRPr="00C223AB" w:rsidRDefault="003534F0" w:rsidP="00C223AB">
            <w:pPr>
              <w:rPr>
                <w:rFonts w:ascii="Arial" w:eastAsia="Times New Roman" w:hAnsi="Arial" w:cs="Arial"/>
                <w:color w:val="000000"/>
                <w:lang w:val="en-GB"/>
              </w:rPr>
            </w:pPr>
            <w:r w:rsidRPr="00C223AB">
              <w:rPr>
                <w:rFonts w:ascii="Arial" w:eastAsia="Times New Roman" w:hAnsi="Arial" w:cs="Arial"/>
                <w:color w:val="000000"/>
                <w:lang w:val="en-GB"/>
              </w:rPr>
              <w:t>Cases (n=832)</w:t>
            </w:r>
          </w:p>
        </w:tc>
        <w:tc>
          <w:tcPr>
            <w:tcW w:w="1380" w:type="dxa"/>
            <w:tcBorders>
              <w:top w:val="nil"/>
              <w:left w:val="nil"/>
              <w:bottom w:val="nil"/>
              <w:right w:val="nil"/>
            </w:tcBorders>
            <w:shd w:val="clear" w:color="auto" w:fill="auto"/>
            <w:noWrap/>
            <w:vAlign w:val="bottom"/>
            <w:hideMark/>
          </w:tcPr>
          <w:p w14:paraId="3337CB6A" w14:textId="77777777" w:rsidR="003534F0" w:rsidRPr="00C223AB" w:rsidRDefault="003534F0" w:rsidP="00C223AB">
            <w:pPr>
              <w:rPr>
                <w:rFonts w:ascii="Arial" w:eastAsia="Times New Roman" w:hAnsi="Arial" w:cs="Arial"/>
                <w:color w:val="000000"/>
                <w:lang w:val="en-GB"/>
              </w:rPr>
            </w:pPr>
            <w:r w:rsidRPr="00C223AB">
              <w:rPr>
                <w:rFonts w:ascii="Arial" w:eastAsia="Times New Roman" w:hAnsi="Arial" w:cs="Arial"/>
                <w:color w:val="000000"/>
                <w:lang w:val="en-GB"/>
              </w:rPr>
              <w:t>p-value</w:t>
            </w:r>
          </w:p>
        </w:tc>
      </w:tr>
      <w:tr w:rsidR="003534F0" w:rsidRPr="00C223AB" w14:paraId="3701E80C" w14:textId="77777777" w:rsidTr="00427AEC">
        <w:trPr>
          <w:trHeight w:val="300"/>
        </w:trPr>
        <w:tc>
          <w:tcPr>
            <w:tcW w:w="1320" w:type="dxa"/>
            <w:tcBorders>
              <w:top w:val="nil"/>
              <w:left w:val="nil"/>
              <w:bottom w:val="nil"/>
              <w:right w:val="nil"/>
            </w:tcBorders>
            <w:shd w:val="clear" w:color="auto" w:fill="auto"/>
            <w:noWrap/>
            <w:vAlign w:val="bottom"/>
            <w:hideMark/>
          </w:tcPr>
          <w:p w14:paraId="12067AB3" w14:textId="77777777" w:rsidR="003534F0" w:rsidRPr="00C223AB" w:rsidRDefault="003534F0" w:rsidP="00C223AB">
            <w:pPr>
              <w:rPr>
                <w:rFonts w:ascii="Arial" w:eastAsia="Times New Roman" w:hAnsi="Arial" w:cs="Arial"/>
                <w:color w:val="000000"/>
                <w:lang w:val="en-GB"/>
              </w:rPr>
            </w:pPr>
          </w:p>
        </w:tc>
        <w:tc>
          <w:tcPr>
            <w:tcW w:w="2381" w:type="dxa"/>
            <w:tcBorders>
              <w:top w:val="nil"/>
              <w:left w:val="nil"/>
              <w:bottom w:val="nil"/>
              <w:right w:val="nil"/>
            </w:tcBorders>
            <w:shd w:val="clear" w:color="auto" w:fill="auto"/>
            <w:noWrap/>
            <w:vAlign w:val="bottom"/>
            <w:hideMark/>
          </w:tcPr>
          <w:p w14:paraId="1D9DF115" w14:textId="77777777" w:rsidR="003534F0" w:rsidRPr="00C223AB" w:rsidRDefault="003534F0" w:rsidP="00C223AB">
            <w:pPr>
              <w:ind w:left="720"/>
              <w:contextualSpacing/>
              <w:rPr>
                <w:rFonts w:ascii="Arial" w:eastAsia="Times New Roman" w:hAnsi="Arial" w:cs="Arial"/>
                <w:color w:val="000000"/>
                <w:lang w:val="en-GB"/>
              </w:rPr>
            </w:pPr>
          </w:p>
        </w:tc>
        <w:tc>
          <w:tcPr>
            <w:tcW w:w="2540" w:type="dxa"/>
            <w:tcBorders>
              <w:top w:val="nil"/>
              <w:left w:val="nil"/>
              <w:bottom w:val="nil"/>
              <w:right w:val="nil"/>
            </w:tcBorders>
            <w:shd w:val="clear" w:color="auto" w:fill="auto"/>
            <w:noWrap/>
            <w:vAlign w:val="bottom"/>
            <w:hideMark/>
          </w:tcPr>
          <w:p w14:paraId="4F36741E" w14:textId="77777777" w:rsidR="003534F0" w:rsidRPr="00C223AB" w:rsidRDefault="003534F0" w:rsidP="00C223AB">
            <w:pPr>
              <w:ind w:left="720"/>
              <w:contextualSpacing/>
              <w:rPr>
                <w:rFonts w:ascii="Arial" w:eastAsia="Times New Roman" w:hAnsi="Arial" w:cs="Arial"/>
                <w:color w:val="000000"/>
                <w:lang w:val="en-GB"/>
              </w:rPr>
            </w:pPr>
          </w:p>
        </w:tc>
        <w:tc>
          <w:tcPr>
            <w:tcW w:w="2000" w:type="dxa"/>
            <w:tcBorders>
              <w:top w:val="nil"/>
              <w:left w:val="nil"/>
              <w:bottom w:val="nil"/>
              <w:right w:val="nil"/>
            </w:tcBorders>
            <w:shd w:val="clear" w:color="auto" w:fill="auto"/>
            <w:noWrap/>
            <w:vAlign w:val="bottom"/>
            <w:hideMark/>
          </w:tcPr>
          <w:p w14:paraId="7711734B" w14:textId="77777777" w:rsidR="003534F0" w:rsidRPr="00C223AB" w:rsidRDefault="003534F0" w:rsidP="00C223AB">
            <w:pPr>
              <w:ind w:left="720"/>
              <w:contextualSpacing/>
              <w:rPr>
                <w:rFonts w:ascii="Arial" w:eastAsia="Times New Roman" w:hAnsi="Arial" w:cs="Arial"/>
                <w:color w:val="000000"/>
                <w:lang w:val="en-GB"/>
              </w:rPr>
            </w:pPr>
          </w:p>
        </w:tc>
        <w:tc>
          <w:tcPr>
            <w:tcW w:w="1380" w:type="dxa"/>
            <w:tcBorders>
              <w:top w:val="nil"/>
              <w:left w:val="nil"/>
              <w:bottom w:val="nil"/>
              <w:right w:val="nil"/>
            </w:tcBorders>
            <w:shd w:val="clear" w:color="auto" w:fill="auto"/>
            <w:noWrap/>
            <w:vAlign w:val="bottom"/>
            <w:hideMark/>
          </w:tcPr>
          <w:p w14:paraId="738100A0" w14:textId="77777777" w:rsidR="003534F0" w:rsidRPr="00C223AB" w:rsidRDefault="003534F0" w:rsidP="00C223AB">
            <w:pPr>
              <w:ind w:left="720"/>
              <w:contextualSpacing/>
              <w:rPr>
                <w:rFonts w:ascii="Arial" w:eastAsia="Times New Roman" w:hAnsi="Arial" w:cs="Arial"/>
                <w:color w:val="000000"/>
                <w:lang w:val="en-GB"/>
              </w:rPr>
            </w:pPr>
          </w:p>
        </w:tc>
      </w:tr>
      <w:tr w:rsidR="003534F0" w:rsidRPr="00C223AB" w14:paraId="3C4776F8" w14:textId="77777777" w:rsidTr="00427AEC">
        <w:trPr>
          <w:trHeight w:val="300"/>
        </w:trPr>
        <w:tc>
          <w:tcPr>
            <w:tcW w:w="3701" w:type="dxa"/>
            <w:gridSpan w:val="2"/>
            <w:tcBorders>
              <w:top w:val="nil"/>
              <w:left w:val="nil"/>
              <w:bottom w:val="nil"/>
              <w:right w:val="nil"/>
            </w:tcBorders>
            <w:shd w:val="clear" w:color="auto" w:fill="auto"/>
            <w:noWrap/>
            <w:vAlign w:val="bottom"/>
            <w:hideMark/>
          </w:tcPr>
          <w:p w14:paraId="5F2FD9D1" w14:textId="1B55B008" w:rsidR="003534F0" w:rsidRPr="00C223AB" w:rsidRDefault="003534F0" w:rsidP="00C223AB">
            <w:pPr>
              <w:rPr>
                <w:rFonts w:ascii="Arial" w:eastAsia="Times New Roman" w:hAnsi="Arial" w:cs="Arial"/>
                <w:color w:val="000000"/>
                <w:lang w:val="en-GB"/>
              </w:rPr>
            </w:pPr>
            <w:r w:rsidRPr="00C223AB">
              <w:rPr>
                <w:rFonts w:ascii="Arial" w:eastAsia="Times New Roman" w:hAnsi="Arial" w:cs="Arial"/>
                <w:color w:val="000000"/>
                <w:lang w:val="en-GB"/>
              </w:rPr>
              <w:t>ApoC</w:t>
            </w:r>
            <w:r w:rsidR="002926FD" w:rsidRPr="00C223AB">
              <w:rPr>
                <w:rFonts w:ascii="Arial" w:eastAsia="Times New Roman" w:hAnsi="Arial" w:cs="Arial"/>
                <w:color w:val="000000"/>
                <w:lang w:val="en-GB"/>
              </w:rPr>
              <w:t>-</w:t>
            </w:r>
            <w:r w:rsidRPr="00C223AB">
              <w:rPr>
                <w:rFonts w:ascii="Arial" w:eastAsia="Times New Roman" w:hAnsi="Arial" w:cs="Arial"/>
                <w:color w:val="000000"/>
                <w:lang w:val="en-GB"/>
              </w:rPr>
              <w:t>III, mg/d</w:t>
            </w:r>
            <w:r w:rsidR="000F5C7A" w:rsidRPr="00C223AB">
              <w:rPr>
                <w:rFonts w:ascii="Arial" w:eastAsia="Times New Roman" w:hAnsi="Arial" w:cs="Arial"/>
                <w:color w:val="000000"/>
                <w:lang w:val="en-GB"/>
              </w:rPr>
              <w:t>L</w:t>
            </w:r>
          </w:p>
        </w:tc>
        <w:tc>
          <w:tcPr>
            <w:tcW w:w="25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9C40F60" w14:textId="77777777" w:rsidR="003534F0" w:rsidRPr="00C223AB" w:rsidRDefault="003534F0" w:rsidP="00C223AB">
            <w:pPr>
              <w:rPr>
                <w:rFonts w:ascii="Arial" w:eastAsia="Times New Roman" w:hAnsi="Arial" w:cs="Arial"/>
                <w:color w:val="000000"/>
                <w:lang w:val="en-GB"/>
              </w:rPr>
            </w:pPr>
            <w:r w:rsidRPr="00C223AB">
              <w:rPr>
                <w:rFonts w:ascii="Arial" w:eastAsia="Times New Roman" w:hAnsi="Arial" w:cs="Arial"/>
                <w:color w:val="000000"/>
                <w:lang w:val="en-GB"/>
              </w:rPr>
              <w:t>4.8 (3.5-6.9)</w:t>
            </w:r>
          </w:p>
        </w:tc>
        <w:tc>
          <w:tcPr>
            <w:tcW w:w="2000" w:type="dxa"/>
            <w:tcBorders>
              <w:top w:val="single" w:sz="4" w:space="0" w:color="auto"/>
              <w:left w:val="nil"/>
              <w:bottom w:val="single" w:sz="4" w:space="0" w:color="auto"/>
              <w:right w:val="single" w:sz="4" w:space="0" w:color="auto"/>
            </w:tcBorders>
            <w:shd w:val="clear" w:color="auto" w:fill="auto"/>
            <w:noWrap/>
            <w:vAlign w:val="bottom"/>
            <w:hideMark/>
          </w:tcPr>
          <w:p w14:paraId="018EB7A9" w14:textId="77777777" w:rsidR="003534F0" w:rsidRPr="00C223AB" w:rsidRDefault="003534F0" w:rsidP="00C223AB">
            <w:pPr>
              <w:rPr>
                <w:rFonts w:ascii="Arial" w:eastAsia="Times New Roman" w:hAnsi="Arial" w:cs="Arial"/>
                <w:color w:val="000000"/>
                <w:lang w:val="en-GB"/>
              </w:rPr>
            </w:pPr>
            <w:r w:rsidRPr="00C223AB">
              <w:rPr>
                <w:rFonts w:ascii="Arial" w:eastAsia="Times New Roman" w:hAnsi="Arial" w:cs="Arial"/>
                <w:color w:val="000000"/>
                <w:lang w:val="en-GB"/>
              </w:rPr>
              <w:t>5.5 (3.8-7.9)</w:t>
            </w:r>
          </w:p>
        </w:tc>
        <w:tc>
          <w:tcPr>
            <w:tcW w:w="1380" w:type="dxa"/>
            <w:tcBorders>
              <w:top w:val="single" w:sz="4" w:space="0" w:color="auto"/>
              <w:left w:val="nil"/>
              <w:bottom w:val="single" w:sz="4" w:space="0" w:color="auto"/>
              <w:right w:val="single" w:sz="4" w:space="0" w:color="auto"/>
            </w:tcBorders>
            <w:shd w:val="clear" w:color="auto" w:fill="auto"/>
            <w:noWrap/>
            <w:vAlign w:val="bottom"/>
            <w:hideMark/>
          </w:tcPr>
          <w:p w14:paraId="5B288371" w14:textId="77777777" w:rsidR="003534F0" w:rsidRPr="00C223AB" w:rsidRDefault="003534F0" w:rsidP="00C223AB">
            <w:pPr>
              <w:rPr>
                <w:rFonts w:ascii="Arial" w:eastAsia="Times New Roman" w:hAnsi="Arial" w:cs="Arial"/>
                <w:color w:val="000000"/>
                <w:lang w:val="en-GB"/>
              </w:rPr>
            </w:pPr>
            <w:r w:rsidRPr="00C223AB">
              <w:rPr>
                <w:rFonts w:ascii="Arial" w:eastAsia="Times New Roman" w:hAnsi="Arial" w:cs="Arial"/>
                <w:color w:val="000000"/>
                <w:lang w:val="en-GB"/>
              </w:rPr>
              <w:t>&lt;0.001</w:t>
            </w:r>
          </w:p>
        </w:tc>
      </w:tr>
      <w:tr w:rsidR="003534F0" w:rsidRPr="00C223AB" w14:paraId="683DD1C4" w14:textId="77777777" w:rsidTr="00427AEC">
        <w:trPr>
          <w:trHeight w:val="300"/>
        </w:trPr>
        <w:tc>
          <w:tcPr>
            <w:tcW w:w="1320" w:type="dxa"/>
            <w:tcBorders>
              <w:top w:val="nil"/>
              <w:left w:val="nil"/>
              <w:bottom w:val="nil"/>
              <w:right w:val="nil"/>
            </w:tcBorders>
            <w:shd w:val="clear" w:color="auto" w:fill="auto"/>
            <w:noWrap/>
            <w:vAlign w:val="bottom"/>
            <w:hideMark/>
          </w:tcPr>
          <w:p w14:paraId="1CABE322" w14:textId="77777777" w:rsidR="003534F0" w:rsidRPr="00C223AB" w:rsidRDefault="003534F0" w:rsidP="00C223AB">
            <w:pPr>
              <w:rPr>
                <w:rFonts w:ascii="Arial" w:eastAsia="Times New Roman" w:hAnsi="Arial" w:cs="Arial"/>
                <w:color w:val="000000"/>
                <w:lang w:val="en-GB"/>
              </w:rPr>
            </w:pPr>
            <w:r w:rsidRPr="00C223AB">
              <w:rPr>
                <w:rFonts w:ascii="Arial" w:eastAsia="Times New Roman" w:hAnsi="Arial" w:cs="Arial"/>
                <w:color w:val="000000"/>
                <w:lang w:val="en-GB"/>
              </w:rPr>
              <w:t>Age, years</w:t>
            </w:r>
          </w:p>
        </w:tc>
        <w:tc>
          <w:tcPr>
            <w:tcW w:w="2381" w:type="dxa"/>
            <w:tcBorders>
              <w:top w:val="nil"/>
              <w:left w:val="nil"/>
              <w:bottom w:val="nil"/>
              <w:right w:val="nil"/>
            </w:tcBorders>
            <w:shd w:val="clear" w:color="auto" w:fill="auto"/>
            <w:noWrap/>
            <w:vAlign w:val="bottom"/>
            <w:hideMark/>
          </w:tcPr>
          <w:p w14:paraId="09355D6E" w14:textId="77777777" w:rsidR="003534F0" w:rsidRPr="00C223AB" w:rsidRDefault="003534F0" w:rsidP="00C223AB">
            <w:pPr>
              <w:ind w:left="720"/>
              <w:contextualSpacing/>
              <w:rPr>
                <w:rFonts w:ascii="Arial" w:eastAsia="Times New Roman" w:hAnsi="Arial" w:cs="Arial"/>
                <w:color w:val="000000"/>
                <w:lang w:val="en-GB"/>
              </w:rPr>
            </w:pPr>
          </w:p>
        </w:tc>
        <w:tc>
          <w:tcPr>
            <w:tcW w:w="2540" w:type="dxa"/>
            <w:tcBorders>
              <w:top w:val="nil"/>
              <w:left w:val="single" w:sz="4" w:space="0" w:color="auto"/>
              <w:bottom w:val="single" w:sz="4" w:space="0" w:color="auto"/>
              <w:right w:val="single" w:sz="4" w:space="0" w:color="auto"/>
            </w:tcBorders>
            <w:shd w:val="clear" w:color="auto" w:fill="auto"/>
            <w:noWrap/>
            <w:vAlign w:val="bottom"/>
            <w:hideMark/>
          </w:tcPr>
          <w:p w14:paraId="5F4E02C6" w14:textId="77777777" w:rsidR="003534F0" w:rsidRPr="00C223AB" w:rsidRDefault="003534F0" w:rsidP="00C223AB">
            <w:pPr>
              <w:rPr>
                <w:rFonts w:ascii="Arial" w:eastAsia="Times New Roman" w:hAnsi="Arial" w:cs="Arial"/>
                <w:color w:val="000000"/>
                <w:lang w:val="en-GB"/>
              </w:rPr>
            </w:pPr>
            <w:r w:rsidRPr="00C223AB">
              <w:rPr>
                <w:rFonts w:ascii="Arial" w:eastAsia="Times New Roman" w:hAnsi="Arial" w:cs="Arial"/>
                <w:color w:val="000000"/>
                <w:lang w:val="en-GB"/>
              </w:rPr>
              <w:t>65.3 ±7.7</w:t>
            </w:r>
          </w:p>
        </w:tc>
        <w:tc>
          <w:tcPr>
            <w:tcW w:w="2000" w:type="dxa"/>
            <w:tcBorders>
              <w:top w:val="nil"/>
              <w:left w:val="nil"/>
              <w:bottom w:val="single" w:sz="4" w:space="0" w:color="auto"/>
              <w:right w:val="single" w:sz="4" w:space="0" w:color="auto"/>
            </w:tcBorders>
            <w:shd w:val="clear" w:color="auto" w:fill="auto"/>
            <w:noWrap/>
            <w:vAlign w:val="bottom"/>
            <w:hideMark/>
          </w:tcPr>
          <w:p w14:paraId="4ECD6083" w14:textId="77777777" w:rsidR="003534F0" w:rsidRPr="00C223AB" w:rsidRDefault="003534F0" w:rsidP="00C223AB">
            <w:pPr>
              <w:rPr>
                <w:rFonts w:ascii="Arial" w:eastAsia="Times New Roman" w:hAnsi="Arial" w:cs="Arial"/>
                <w:color w:val="000000"/>
                <w:lang w:val="en-GB"/>
              </w:rPr>
            </w:pPr>
            <w:r w:rsidRPr="00C223AB">
              <w:rPr>
                <w:rFonts w:ascii="Arial" w:eastAsia="Times New Roman" w:hAnsi="Arial" w:cs="Arial"/>
                <w:color w:val="000000"/>
                <w:lang w:val="en-GB"/>
              </w:rPr>
              <w:t>65.6 ±7.7</w:t>
            </w:r>
          </w:p>
        </w:tc>
        <w:tc>
          <w:tcPr>
            <w:tcW w:w="1380" w:type="dxa"/>
            <w:tcBorders>
              <w:top w:val="nil"/>
              <w:left w:val="nil"/>
              <w:bottom w:val="single" w:sz="4" w:space="0" w:color="auto"/>
              <w:right w:val="single" w:sz="4" w:space="0" w:color="auto"/>
            </w:tcBorders>
            <w:shd w:val="clear" w:color="auto" w:fill="auto"/>
            <w:noWrap/>
            <w:vAlign w:val="bottom"/>
            <w:hideMark/>
          </w:tcPr>
          <w:p w14:paraId="37FC61B9" w14:textId="77777777" w:rsidR="003534F0" w:rsidRPr="00C223AB" w:rsidRDefault="003534F0" w:rsidP="00C223AB">
            <w:pPr>
              <w:rPr>
                <w:rFonts w:ascii="Arial" w:eastAsia="Times New Roman" w:hAnsi="Arial" w:cs="Arial"/>
                <w:color w:val="000000"/>
                <w:lang w:val="en-GB"/>
              </w:rPr>
            </w:pPr>
            <w:r w:rsidRPr="00C223AB">
              <w:rPr>
                <w:rFonts w:ascii="Arial" w:eastAsia="Times New Roman" w:hAnsi="Arial" w:cs="Arial"/>
                <w:color w:val="000000"/>
                <w:lang w:val="en-GB"/>
              </w:rPr>
              <w:t>0.46</w:t>
            </w:r>
          </w:p>
        </w:tc>
      </w:tr>
      <w:tr w:rsidR="003534F0" w:rsidRPr="00C223AB" w14:paraId="38B6631D" w14:textId="77777777" w:rsidTr="00427AEC">
        <w:trPr>
          <w:trHeight w:val="300"/>
        </w:trPr>
        <w:tc>
          <w:tcPr>
            <w:tcW w:w="3701" w:type="dxa"/>
            <w:gridSpan w:val="2"/>
            <w:tcBorders>
              <w:top w:val="nil"/>
              <w:left w:val="nil"/>
              <w:bottom w:val="nil"/>
              <w:right w:val="nil"/>
            </w:tcBorders>
            <w:shd w:val="clear" w:color="auto" w:fill="auto"/>
            <w:noWrap/>
            <w:vAlign w:val="bottom"/>
            <w:hideMark/>
          </w:tcPr>
          <w:p w14:paraId="26A54B0F" w14:textId="77777777" w:rsidR="003534F0" w:rsidRPr="00C223AB" w:rsidRDefault="002926FD" w:rsidP="00C223AB">
            <w:pPr>
              <w:rPr>
                <w:rFonts w:ascii="Arial" w:eastAsia="Times New Roman" w:hAnsi="Arial" w:cs="Arial"/>
                <w:color w:val="000000"/>
                <w:lang w:val="en-GB"/>
              </w:rPr>
            </w:pPr>
            <w:r w:rsidRPr="00C223AB">
              <w:rPr>
                <w:rFonts w:ascii="Arial" w:eastAsia="Times New Roman" w:hAnsi="Arial" w:cs="Arial"/>
                <w:color w:val="000000"/>
                <w:lang w:val="en-GB"/>
              </w:rPr>
              <w:t>Sex</w:t>
            </w:r>
            <w:r w:rsidR="003534F0" w:rsidRPr="00C223AB">
              <w:rPr>
                <w:rFonts w:ascii="Arial" w:eastAsia="Times New Roman" w:hAnsi="Arial" w:cs="Arial"/>
                <w:color w:val="000000"/>
                <w:lang w:val="en-GB"/>
              </w:rPr>
              <w:t>, male</w:t>
            </w:r>
          </w:p>
        </w:tc>
        <w:tc>
          <w:tcPr>
            <w:tcW w:w="2540" w:type="dxa"/>
            <w:tcBorders>
              <w:top w:val="nil"/>
              <w:left w:val="single" w:sz="4" w:space="0" w:color="auto"/>
              <w:bottom w:val="single" w:sz="4" w:space="0" w:color="auto"/>
              <w:right w:val="single" w:sz="4" w:space="0" w:color="auto"/>
            </w:tcBorders>
            <w:shd w:val="clear" w:color="auto" w:fill="auto"/>
            <w:noWrap/>
            <w:vAlign w:val="bottom"/>
            <w:hideMark/>
          </w:tcPr>
          <w:p w14:paraId="2E3D45C8" w14:textId="1D28BEE3" w:rsidR="003534F0" w:rsidRPr="00C223AB" w:rsidRDefault="006D26FA" w:rsidP="00C223AB">
            <w:pPr>
              <w:rPr>
                <w:rFonts w:ascii="Arial" w:eastAsia="Times New Roman" w:hAnsi="Arial" w:cs="Arial"/>
                <w:color w:val="000000"/>
                <w:lang w:val="en-GB"/>
              </w:rPr>
            </w:pPr>
            <w:r w:rsidRPr="00C223AB">
              <w:rPr>
                <w:rFonts w:ascii="Arial" w:eastAsia="Times New Roman" w:hAnsi="Arial" w:cs="Arial"/>
                <w:color w:val="000000"/>
                <w:lang w:val="en-GB"/>
              </w:rPr>
              <w:t xml:space="preserve"> 1174(62.5%)</w:t>
            </w:r>
          </w:p>
        </w:tc>
        <w:tc>
          <w:tcPr>
            <w:tcW w:w="2000" w:type="dxa"/>
            <w:tcBorders>
              <w:top w:val="nil"/>
              <w:left w:val="nil"/>
              <w:bottom w:val="single" w:sz="4" w:space="0" w:color="auto"/>
              <w:right w:val="single" w:sz="4" w:space="0" w:color="auto"/>
            </w:tcBorders>
            <w:shd w:val="clear" w:color="auto" w:fill="auto"/>
            <w:noWrap/>
            <w:vAlign w:val="bottom"/>
            <w:hideMark/>
          </w:tcPr>
          <w:p w14:paraId="7FAAE07F" w14:textId="3F2FCDE7" w:rsidR="003534F0" w:rsidRPr="00C223AB" w:rsidRDefault="006D26FA" w:rsidP="00C223AB">
            <w:pPr>
              <w:rPr>
                <w:rFonts w:ascii="Arial" w:eastAsia="Times New Roman" w:hAnsi="Arial" w:cs="Arial"/>
                <w:color w:val="000000"/>
                <w:lang w:val="en-GB"/>
              </w:rPr>
            </w:pPr>
            <w:r w:rsidRPr="00C223AB">
              <w:rPr>
                <w:rFonts w:ascii="Arial" w:eastAsia="Times New Roman" w:hAnsi="Arial" w:cs="Arial"/>
                <w:color w:val="000000"/>
                <w:lang w:val="en-GB"/>
              </w:rPr>
              <w:t>520 (62.5%)</w:t>
            </w:r>
          </w:p>
        </w:tc>
        <w:tc>
          <w:tcPr>
            <w:tcW w:w="1380" w:type="dxa"/>
            <w:tcBorders>
              <w:top w:val="nil"/>
              <w:left w:val="nil"/>
              <w:bottom w:val="single" w:sz="4" w:space="0" w:color="auto"/>
              <w:right w:val="single" w:sz="4" w:space="0" w:color="auto"/>
            </w:tcBorders>
            <w:shd w:val="clear" w:color="auto" w:fill="auto"/>
            <w:noWrap/>
            <w:vAlign w:val="bottom"/>
            <w:hideMark/>
          </w:tcPr>
          <w:p w14:paraId="597355FB" w14:textId="77777777" w:rsidR="003534F0" w:rsidRPr="00C223AB" w:rsidRDefault="003534F0" w:rsidP="00C223AB">
            <w:pPr>
              <w:rPr>
                <w:rFonts w:ascii="Arial" w:eastAsia="Times New Roman" w:hAnsi="Arial" w:cs="Arial"/>
                <w:color w:val="000000"/>
                <w:lang w:val="en-GB"/>
              </w:rPr>
            </w:pPr>
            <w:r w:rsidRPr="00C223AB">
              <w:rPr>
                <w:rFonts w:ascii="Arial" w:eastAsia="Times New Roman" w:hAnsi="Arial" w:cs="Arial"/>
                <w:color w:val="000000"/>
                <w:lang w:val="en-GB"/>
              </w:rPr>
              <w:t>0.99</w:t>
            </w:r>
          </w:p>
        </w:tc>
      </w:tr>
      <w:tr w:rsidR="003534F0" w:rsidRPr="00C223AB" w14:paraId="7C0288B6" w14:textId="77777777" w:rsidTr="00427AEC">
        <w:trPr>
          <w:trHeight w:val="300"/>
        </w:trPr>
        <w:tc>
          <w:tcPr>
            <w:tcW w:w="3701" w:type="dxa"/>
            <w:gridSpan w:val="2"/>
            <w:tcBorders>
              <w:top w:val="nil"/>
              <w:left w:val="nil"/>
              <w:bottom w:val="nil"/>
              <w:right w:val="nil"/>
            </w:tcBorders>
            <w:shd w:val="clear" w:color="auto" w:fill="auto"/>
            <w:noWrap/>
            <w:vAlign w:val="bottom"/>
            <w:hideMark/>
          </w:tcPr>
          <w:p w14:paraId="48051CB6" w14:textId="034C6E13" w:rsidR="003534F0" w:rsidRPr="00C223AB" w:rsidRDefault="003534F0" w:rsidP="00C223AB">
            <w:pPr>
              <w:rPr>
                <w:rFonts w:ascii="Arial" w:eastAsia="Times New Roman" w:hAnsi="Arial" w:cs="Arial"/>
                <w:color w:val="000000"/>
                <w:lang w:val="en-GB"/>
              </w:rPr>
            </w:pPr>
            <w:r w:rsidRPr="00C223AB">
              <w:rPr>
                <w:rFonts w:ascii="Arial" w:eastAsia="Times New Roman" w:hAnsi="Arial" w:cs="Arial"/>
                <w:color w:val="000000"/>
                <w:lang w:val="en-GB"/>
              </w:rPr>
              <w:t>Body mass index, kg/m2</w:t>
            </w:r>
          </w:p>
        </w:tc>
        <w:tc>
          <w:tcPr>
            <w:tcW w:w="2540" w:type="dxa"/>
            <w:tcBorders>
              <w:top w:val="nil"/>
              <w:left w:val="single" w:sz="4" w:space="0" w:color="auto"/>
              <w:bottom w:val="single" w:sz="4" w:space="0" w:color="auto"/>
              <w:right w:val="single" w:sz="4" w:space="0" w:color="auto"/>
            </w:tcBorders>
            <w:shd w:val="clear" w:color="auto" w:fill="auto"/>
            <w:noWrap/>
            <w:vAlign w:val="bottom"/>
            <w:hideMark/>
          </w:tcPr>
          <w:p w14:paraId="072B4F68" w14:textId="77777777" w:rsidR="003534F0" w:rsidRPr="00C223AB" w:rsidRDefault="003534F0" w:rsidP="00C223AB">
            <w:pPr>
              <w:rPr>
                <w:rFonts w:ascii="Arial" w:eastAsia="Times New Roman" w:hAnsi="Arial" w:cs="Arial"/>
                <w:color w:val="000000"/>
                <w:lang w:val="en-GB"/>
              </w:rPr>
            </w:pPr>
            <w:r w:rsidRPr="00C223AB">
              <w:rPr>
                <w:rFonts w:ascii="Arial" w:eastAsia="Times New Roman" w:hAnsi="Arial" w:cs="Arial"/>
                <w:color w:val="000000"/>
                <w:lang w:val="en-GB"/>
              </w:rPr>
              <w:t>26.3 ±3.5</w:t>
            </w:r>
          </w:p>
        </w:tc>
        <w:tc>
          <w:tcPr>
            <w:tcW w:w="2000" w:type="dxa"/>
            <w:tcBorders>
              <w:top w:val="nil"/>
              <w:left w:val="nil"/>
              <w:bottom w:val="single" w:sz="4" w:space="0" w:color="auto"/>
              <w:right w:val="single" w:sz="4" w:space="0" w:color="auto"/>
            </w:tcBorders>
            <w:shd w:val="clear" w:color="auto" w:fill="auto"/>
            <w:noWrap/>
            <w:vAlign w:val="bottom"/>
            <w:hideMark/>
          </w:tcPr>
          <w:p w14:paraId="239201BB" w14:textId="77777777" w:rsidR="003534F0" w:rsidRPr="00C223AB" w:rsidRDefault="003534F0" w:rsidP="00C223AB">
            <w:pPr>
              <w:rPr>
                <w:rFonts w:ascii="Arial" w:eastAsia="Times New Roman" w:hAnsi="Arial" w:cs="Arial"/>
                <w:color w:val="000000"/>
                <w:lang w:val="en-GB"/>
              </w:rPr>
            </w:pPr>
            <w:r w:rsidRPr="00C223AB">
              <w:rPr>
                <w:rFonts w:ascii="Arial" w:eastAsia="Times New Roman" w:hAnsi="Arial" w:cs="Arial"/>
                <w:color w:val="000000"/>
                <w:lang w:val="en-GB"/>
              </w:rPr>
              <w:t>27.3 ±3.8</w:t>
            </w:r>
          </w:p>
        </w:tc>
        <w:tc>
          <w:tcPr>
            <w:tcW w:w="1380" w:type="dxa"/>
            <w:tcBorders>
              <w:top w:val="nil"/>
              <w:left w:val="nil"/>
              <w:bottom w:val="single" w:sz="4" w:space="0" w:color="auto"/>
              <w:right w:val="single" w:sz="4" w:space="0" w:color="auto"/>
            </w:tcBorders>
            <w:shd w:val="clear" w:color="auto" w:fill="auto"/>
            <w:noWrap/>
            <w:vAlign w:val="bottom"/>
            <w:hideMark/>
          </w:tcPr>
          <w:p w14:paraId="33591835" w14:textId="77777777" w:rsidR="003534F0" w:rsidRPr="00C223AB" w:rsidRDefault="003534F0" w:rsidP="00C223AB">
            <w:pPr>
              <w:rPr>
                <w:rFonts w:ascii="Arial" w:eastAsia="Times New Roman" w:hAnsi="Arial" w:cs="Arial"/>
                <w:color w:val="000000"/>
                <w:lang w:val="en-GB"/>
              </w:rPr>
            </w:pPr>
            <w:r w:rsidRPr="00C223AB">
              <w:rPr>
                <w:rFonts w:ascii="Arial" w:eastAsia="Times New Roman" w:hAnsi="Arial" w:cs="Arial"/>
                <w:color w:val="000000"/>
                <w:lang w:val="en-GB"/>
              </w:rPr>
              <w:t>&lt;0.001</w:t>
            </w:r>
          </w:p>
        </w:tc>
      </w:tr>
      <w:tr w:rsidR="003534F0" w:rsidRPr="00C223AB" w14:paraId="6F86DC68" w14:textId="77777777" w:rsidTr="00427AEC">
        <w:trPr>
          <w:trHeight w:val="300"/>
        </w:trPr>
        <w:tc>
          <w:tcPr>
            <w:tcW w:w="3701" w:type="dxa"/>
            <w:gridSpan w:val="2"/>
            <w:tcBorders>
              <w:top w:val="nil"/>
              <w:left w:val="nil"/>
              <w:bottom w:val="nil"/>
              <w:right w:val="nil"/>
            </w:tcBorders>
            <w:shd w:val="clear" w:color="auto" w:fill="auto"/>
            <w:noWrap/>
            <w:vAlign w:val="bottom"/>
            <w:hideMark/>
          </w:tcPr>
          <w:p w14:paraId="084397B2" w14:textId="77777777" w:rsidR="003534F0" w:rsidRPr="00C223AB" w:rsidRDefault="003534F0" w:rsidP="00C223AB">
            <w:pPr>
              <w:rPr>
                <w:rFonts w:ascii="Arial" w:eastAsia="Times New Roman" w:hAnsi="Arial" w:cs="Arial"/>
                <w:color w:val="000000"/>
                <w:lang w:val="en-GB"/>
              </w:rPr>
            </w:pPr>
            <w:r w:rsidRPr="00C223AB">
              <w:rPr>
                <w:rFonts w:ascii="Arial" w:eastAsia="Times New Roman" w:hAnsi="Arial" w:cs="Arial"/>
                <w:color w:val="000000"/>
                <w:lang w:val="en-GB"/>
              </w:rPr>
              <w:t>Current smoking</w:t>
            </w:r>
          </w:p>
        </w:tc>
        <w:tc>
          <w:tcPr>
            <w:tcW w:w="2540" w:type="dxa"/>
            <w:tcBorders>
              <w:top w:val="nil"/>
              <w:left w:val="single" w:sz="4" w:space="0" w:color="auto"/>
              <w:bottom w:val="single" w:sz="4" w:space="0" w:color="auto"/>
              <w:right w:val="single" w:sz="4" w:space="0" w:color="auto"/>
            </w:tcBorders>
            <w:shd w:val="clear" w:color="auto" w:fill="auto"/>
            <w:noWrap/>
            <w:vAlign w:val="bottom"/>
            <w:hideMark/>
          </w:tcPr>
          <w:p w14:paraId="241F3898" w14:textId="27FADCAE" w:rsidR="003534F0" w:rsidRPr="00C223AB" w:rsidRDefault="006D26FA" w:rsidP="00C223AB">
            <w:pPr>
              <w:rPr>
                <w:rFonts w:ascii="Arial" w:eastAsia="Times New Roman" w:hAnsi="Arial" w:cs="Arial"/>
                <w:color w:val="000000"/>
                <w:lang w:val="en-GB"/>
              </w:rPr>
            </w:pPr>
            <w:r w:rsidRPr="00C223AB">
              <w:rPr>
                <w:rFonts w:ascii="Arial" w:eastAsia="Times New Roman" w:hAnsi="Arial" w:cs="Arial"/>
                <w:color w:val="000000"/>
                <w:lang w:val="en-GB"/>
              </w:rPr>
              <w:t>157 (8.4%)</w:t>
            </w:r>
          </w:p>
        </w:tc>
        <w:tc>
          <w:tcPr>
            <w:tcW w:w="2000" w:type="dxa"/>
            <w:tcBorders>
              <w:top w:val="nil"/>
              <w:left w:val="nil"/>
              <w:bottom w:val="single" w:sz="4" w:space="0" w:color="auto"/>
              <w:right w:val="single" w:sz="4" w:space="0" w:color="auto"/>
            </w:tcBorders>
            <w:shd w:val="clear" w:color="auto" w:fill="auto"/>
            <w:noWrap/>
            <w:vAlign w:val="bottom"/>
            <w:hideMark/>
          </w:tcPr>
          <w:p w14:paraId="5CCAEA25" w14:textId="5DF0B6CE" w:rsidR="003534F0" w:rsidRPr="00C223AB" w:rsidRDefault="006D26FA" w:rsidP="00C223AB">
            <w:pPr>
              <w:rPr>
                <w:rFonts w:ascii="Arial" w:eastAsia="Times New Roman" w:hAnsi="Arial" w:cs="Arial"/>
                <w:color w:val="000000"/>
                <w:lang w:val="en-GB"/>
              </w:rPr>
            </w:pPr>
            <w:r w:rsidRPr="00C223AB">
              <w:rPr>
                <w:rFonts w:ascii="Arial" w:eastAsia="Times New Roman" w:hAnsi="Arial" w:cs="Arial"/>
                <w:color w:val="000000"/>
                <w:lang w:val="en-GB"/>
              </w:rPr>
              <w:t>127(15.4%)</w:t>
            </w:r>
          </w:p>
        </w:tc>
        <w:tc>
          <w:tcPr>
            <w:tcW w:w="1380" w:type="dxa"/>
            <w:tcBorders>
              <w:top w:val="nil"/>
              <w:left w:val="nil"/>
              <w:bottom w:val="single" w:sz="4" w:space="0" w:color="auto"/>
              <w:right w:val="single" w:sz="4" w:space="0" w:color="auto"/>
            </w:tcBorders>
            <w:shd w:val="clear" w:color="auto" w:fill="auto"/>
            <w:noWrap/>
            <w:vAlign w:val="bottom"/>
            <w:hideMark/>
          </w:tcPr>
          <w:p w14:paraId="6F857FDB" w14:textId="77777777" w:rsidR="003534F0" w:rsidRPr="00C223AB" w:rsidRDefault="003534F0" w:rsidP="00C223AB">
            <w:pPr>
              <w:rPr>
                <w:rFonts w:ascii="Arial" w:eastAsia="Times New Roman" w:hAnsi="Arial" w:cs="Arial"/>
                <w:color w:val="000000"/>
                <w:lang w:val="en-GB"/>
              </w:rPr>
            </w:pPr>
            <w:r w:rsidRPr="00C223AB">
              <w:rPr>
                <w:rFonts w:ascii="Arial" w:eastAsia="Times New Roman" w:hAnsi="Arial" w:cs="Arial"/>
                <w:color w:val="000000"/>
                <w:lang w:val="en-GB"/>
              </w:rPr>
              <w:t>&lt;0.001</w:t>
            </w:r>
          </w:p>
        </w:tc>
      </w:tr>
      <w:tr w:rsidR="003534F0" w:rsidRPr="00C223AB" w14:paraId="3F568F9F" w14:textId="77777777" w:rsidTr="00427AEC">
        <w:trPr>
          <w:trHeight w:val="300"/>
        </w:trPr>
        <w:tc>
          <w:tcPr>
            <w:tcW w:w="3701" w:type="dxa"/>
            <w:gridSpan w:val="2"/>
            <w:tcBorders>
              <w:top w:val="nil"/>
              <w:left w:val="nil"/>
              <w:bottom w:val="nil"/>
              <w:right w:val="nil"/>
            </w:tcBorders>
            <w:shd w:val="clear" w:color="auto" w:fill="auto"/>
            <w:noWrap/>
            <w:vAlign w:val="bottom"/>
            <w:hideMark/>
          </w:tcPr>
          <w:p w14:paraId="23C278B2" w14:textId="77777777" w:rsidR="003534F0" w:rsidRPr="00C223AB" w:rsidRDefault="003534F0" w:rsidP="00C223AB">
            <w:pPr>
              <w:rPr>
                <w:rFonts w:ascii="Arial" w:eastAsia="Times New Roman" w:hAnsi="Arial" w:cs="Arial"/>
                <w:color w:val="000000"/>
                <w:lang w:val="en-GB"/>
              </w:rPr>
            </w:pPr>
            <w:r w:rsidRPr="00C223AB">
              <w:rPr>
                <w:rFonts w:ascii="Arial" w:eastAsia="Times New Roman" w:hAnsi="Arial" w:cs="Arial"/>
                <w:color w:val="000000"/>
                <w:lang w:val="en-GB"/>
              </w:rPr>
              <w:t>Systolic blood pressure, mmHg</w:t>
            </w:r>
          </w:p>
        </w:tc>
        <w:tc>
          <w:tcPr>
            <w:tcW w:w="2540" w:type="dxa"/>
            <w:tcBorders>
              <w:top w:val="nil"/>
              <w:left w:val="single" w:sz="4" w:space="0" w:color="auto"/>
              <w:bottom w:val="single" w:sz="4" w:space="0" w:color="auto"/>
              <w:right w:val="single" w:sz="4" w:space="0" w:color="auto"/>
            </w:tcBorders>
            <w:shd w:val="clear" w:color="auto" w:fill="auto"/>
            <w:noWrap/>
            <w:vAlign w:val="bottom"/>
            <w:hideMark/>
          </w:tcPr>
          <w:p w14:paraId="769D0254" w14:textId="77777777" w:rsidR="003534F0" w:rsidRPr="00C223AB" w:rsidRDefault="003534F0" w:rsidP="00C223AB">
            <w:pPr>
              <w:rPr>
                <w:rFonts w:ascii="Arial" w:eastAsia="Times New Roman" w:hAnsi="Arial" w:cs="Arial"/>
                <w:color w:val="000000"/>
                <w:lang w:val="en-GB"/>
              </w:rPr>
            </w:pPr>
            <w:r w:rsidRPr="00C223AB">
              <w:rPr>
                <w:rFonts w:ascii="Arial" w:eastAsia="Times New Roman" w:hAnsi="Arial" w:cs="Arial"/>
                <w:color w:val="000000"/>
                <w:lang w:val="en-GB"/>
              </w:rPr>
              <w:t>139 ±18</w:t>
            </w:r>
          </w:p>
        </w:tc>
        <w:tc>
          <w:tcPr>
            <w:tcW w:w="2000" w:type="dxa"/>
            <w:tcBorders>
              <w:top w:val="nil"/>
              <w:left w:val="nil"/>
              <w:bottom w:val="single" w:sz="4" w:space="0" w:color="auto"/>
              <w:right w:val="single" w:sz="4" w:space="0" w:color="auto"/>
            </w:tcBorders>
            <w:shd w:val="clear" w:color="auto" w:fill="auto"/>
            <w:noWrap/>
            <w:vAlign w:val="bottom"/>
            <w:hideMark/>
          </w:tcPr>
          <w:p w14:paraId="006F3D2A" w14:textId="77777777" w:rsidR="003534F0" w:rsidRPr="00C223AB" w:rsidRDefault="003534F0" w:rsidP="00C223AB">
            <w:pPr>
              <w:rPr>
                <w:rFonts w:ascii="Arial" w:eastAsia="Times New Roman" w:hAnsi="Arial" w:cs="Arial"/>
                <w:color w:val="000000"/>
                <w:lang w:val="en-GB"/>
              </w:rPr>
            </w:pPr>
            <w:r w:rsidRPr="00C223AB">
              <w:rPr>
                <w:rFonts w:ascii="Arial" w:eastAsia="Times New Roman" w:hAnsi="Arial" w:cs="Arial"/>
                <w:color w:val="000000"/>
                <w:lang w:val="en-GB"/>
              </w:rPr>
              <w:t>144 ±19</w:t>
            </w:r>
          </w:p>
        </w:tc>
        <w:tc>
          <w:tcPr>
            <w:tcW w:w="1380" w:type="dxa"/>
            <w:tcBorders>
              <w:top w:val="nil"/>
              <w:left w:val="nil"/>
              <w:bottom w:val="single" w:sz="4" w:space="0" w:color="auto"/>
              <w:right w:val="single" w:sz="4" w:space="0" w:color="auto"/>
            </w:tcBorders>
            <w:shd w:val="clear" w:color="auto" w:fill="auto"/>
            <w:noWrap/>
            <w:vAlign w:val="bottom"/>
            <w:hideMark/>
          </w:tcPr>
          <w:p w14:paraId="468A366B" w14:textId="77777777" w:rsidR="003534F0" w:rsidRPr="00C223AB" w:rsidRDefault="003534F0" w:rsidP="00C223AB">
            <w:pPr>
              <w:rPr>
                <w:rFonts w:ascii="Arial" w:eastAsia="Times New Roman" w:hAnsi="Arial" w:cs="Arial"/>
                <w:color w:val="000000"/>
                <w:lang w:val="en-GB"/>
              </w:rPr>
            </w:pPr>
            <w:r w:rsidRPr="00C223AB">
              <w:rPr>
                <w:rFonts w:ascii="Arial" w:eastAsia="Times New Roman" w:hAnsi="Arial" w:cs="Arial"/>
                <w:color w:val="000000"/>
                <w:lang w:val="en-GB"/>
              </w:rPr>
              <w:t>&lt;0.001</w:t>
            </w:r>
          </w:p>
        </w:tc>
      </w:tr>
      <w:tr w:rsidR="003534F0" w:rsidRPr="00C223AB" w14:paraId="648FE939" w14:textId="77777777" w:rsidTr="00427AEC">
        <w:trPr>
          <w:trHeight w:val="300"/>
        </w:trPr>
        <w:tc>
          <w:tcPr>
            <w:tcW w:w="3701" w:type="dxa"/>
            <w:gridSpan w:val="2"/>
            <w:tcBorders>
              <w:top w:val="nil"/>
              <w:left w:val="nil"/>
              <w:bottom w:val="nil"/>
              <w:right w:val="nil"/>
            </w:tcBorders>
            <w:shd w:val="clear" w:color="auto" w:fill="auto"/>
            <w:noWrap/>
            <w:vAlign w:val="bottom"/>
            <w:hideMark/>
          </w:tcPr>
          <w:p w14:paraId="76D0A984" w14:textId="77777777" w:rsidR="003534F0" w:rsidRPr="00C223AB" w:rsidRDefault="003534F0" w:rsidP="00C223AB">
            <w:pPr>
              <w:rPr>
                <w:rFonts w:ascii="Arial" w:eastAsia="Times New Roman" w:hAnsi="Arial" w:cs="Arial"/>
                <w:color w:val="000000"/>
                <w:lang w:val="en-GB"/>
              </w:rPr>
            </w:pPr>
            <w:r w:rsidRPr="00C223AB">
              <w:rPr>
                <w:rFonts w:ascii="Arial" w:eastAsia="Times New Roman" w:hAnsi="Arial" w:cs="Arial"/>
                <w:color w:val="000000"/>
                <w:lang w:val="en-GB"/>
              </w:rPr>
              <w:t>Diastolic blood pressure, mmHg</w:t>
            </w:r>
          </w:p>
        </w:tc>
        <w:tc>
          <w:tcPr>
            <w:tcW w:w="2540" w:type="dxa"/>
            <w:tcBorders>
              <w:top w:val="nil"/>
              <w:left w:val="single" w:sz="4" w:space="0" w:color="auto"/>
              <w:bottom w:val="single" w:sz="4" w:space="0" w:color="auto"/>
              <w:right w:val="single" w:sz="4" w:space="0" w:color="auto"/>
            </w:tcBorders>
            <w:shd w:val="clear" w:color="auto" w:fill="auto"/>
            <w:noWrap/>
            <w:vAlign w:val="bottom"/>
            <w:hideMark/>
          </w:tcPr>
          <w:p w14:paraId="3E04163A" w14:textId="77777777" w:rsidR="003534F0" w:rsidRPr="00C223AB" w:rsidRDefault="003534F0" w:rsidP="00C223AB">
            <w:pPr>
              <w:rPr>
                <w:rFonts w:ascii="Arial" w:eastAsia="Times New Roman" w:hAnsi="Arial" w:cs="Arial"/>
                <w:color w:val="000000"/>
                <w:lang w:val="en-GB"/>
              </w:rPr>
            </w:pPr>
            <w:r w:rsidRPr="00C223AB">
              <w:rPr>
                <w:rFonts w:ascii="Arial" w:eastAsia="Times New Roman" w:hAnsi="Arial" w:cs="Arial"/>
                <w:color w:val="000000"/>
                <w:lang w:val="en-GB"/>
              </w:rPr>
              <w:t>84 ±11</w:t>
            </w:r>
          </w:p>
        </w:tc>
        <w:tc>
          <w:tcPr>
            <w:tcW w:w="2000" w:type="dxa"/>
            <w:tcBorders>
              <w:top w:val="nil"/>
              <w:left w:val="nil"/>
              <w:bottom w:val="single" w:sz="4" w:space="0" w:color="auto"/>
              <w:right w:val="single" w:sz="4" w:space="0" w:color="auto"/>
            </w:tcBorders>
            <w:shd w:val="clear" w:color="auto" w:fill="auto"/>
            <w:noWrap/>
            <w:vAlign w:val="bottom"/>
            <w:hideMark/>
          </w:tcPr>
          <w:p w14:paraId="3DD590DA" w14:textId="77777777" w:rsidR="003534F0" w:rsidRPr="00C223AB" w:rsidRDefault="003534F0" w:rsidP="00C223AB">
            <w:pPr>
              <w:rPr>
                <w:rFonts w:ascii="Arial" w:eastAsia="Times New Roman" w:hAnsi="Arial" w:cs="Arial"/>
                <w:color w:val="000000"/>
                <w:lang w:val="en-GB"/>
              </w:rPr>
            </w:pPr>
            <w:r w:rsidRPr="00C223AB">
              <w:rPr>
                <w:rFonts w:ascii="Arial" w:eastAsia="Times New Roman" w:hAnsi="Arial" w:cs="Arial"/>
                <w:color w:val="000000"/>
                <w:lang w:val="en-GB"/>
              </w:rPr>
              <w:t>86 ±12</w:t>
            </w:r>
          </w:p>
        </w:tc>
        <w:tc>
          <w:tcPr>
            <w:tcW w:w="1380" w:type="dxa"/>
            <w:tcBorders>
              <w:top w:val="nil"/>
              <w:left w:val="nil"/>
              <w:bottom w:val="single" w:sz="4" w:space="0" w:color="auto"/>
              <w:right w:val="single" w:sz="4" w:space="0" w:color="auto"/>
            </w:tcBorders>
            <w:shd w:val="clear" w:color="auto" w:fill="auto"/>
            <w:noWrap/>
            <w:vAlign w:val="bottom"/>
            <w:hideMark/>
          </w:tcPr>
          <w:p w14:paraId="4522D69C" w14:textId="77777777" w:rsidR="003534F0" w:rsidRPr="00C223AB" w:rsidRDefault="003534F0" w:rsidP="00C223AB">
            <w:pPr>
              <w:rPr>
                <w:rFonts w:ascii="Arial" w:eastAsia="Times New Roman" w:hAnsi="Arial" w:cs="Arial"/>
                <w:color w:val="000000"/>
                <w:lang w:val="en-GB"/>
              </w:rPr>
            </w:pPr>
            <w:r w:rsidRPr="00C223AB">
              <w:rPr>
                <w:rFonts w:ascii="Arial" w:eastAsia="Times New Roman" w:hAnsi="Arial" w:cs="Arial"/>
                <w:color w:val="000000"/>
                <w:lang w:val="en-GB"/>
              </w:rPr>
              <w:t>&lt;0.001</w:t>
            </w:r>
          </w:p>
        </w:tc>
      </w:tr>
      <w:tr w:rsidR="003534F0" w:rsidRPr="00C223AB" w14:paraId="19F85343" w14:textId="77777777" w:rsidTr="00427AEC">
        <w:trPr>
          <w:trHeight w:val="300"/>
        </w:trPr>
        <w:tc>
          <w:tcPr>
            <w:tcW w:w="3701" w:type="dxa"/>
            <w:gridSpan w:val="2"/>
            <w:tcBorders>
              <w:top w:val="nil"/>
              <w:left w:val="nil"/>
              <w:bottom w:val="nil"/>
              <w:right w:val="nil"/>
            </w:tcBorders>
            <w:shd w:val="clear" w:color="auto" w:fill="auto"/>
            <w:noWrap/>
            <w:vAlign w:val="bottom"/>
            <w:hideMark/>
          </w:tcPr>
          <w:p w14:paraId="7FF325A4" w14:textId="77777777" w:rsidR="003534F0" w:rsidRPr="00C223AB" w:rsidRDefault="003534F0" w:rsidP="00C223AB">
            <w:pPr>
              <w:rPr>
                <w:rFonts w:ascii="Arial" w:eastAsia="Times New Roman" w:hAnsi="Arial" w:cs="Arial"/>
                <w:color w:val="000000"/>
                <w:lang w:val="en-GB"/>
              </w:rPr>
            </w:pPr>
            <w:r w:rsidRPr="00C223AB">
              <w:rPr>
                <w:rFonts w:ascii="Arial" w:eastAsia="Times New Roman" w:hAnsi="Arial" w:cs="Arial"/>
                <w:color w:val="000000"/>
                <w:lang w:val="en-GB"/>
              </w:rPr>
              <w:t xml:space="preserve">Diabetes </w:t>
            </w:r>
            <w:r w:rsidR="002926FD" w:rsidRPr="00C223AB">
              <w:rPr>
                <w:rFonts w:ascii="Arial" w:eastAsia="Times New Roman" w:hAnsi="Arial" w:cs="Arial"/>
                <w:color w:val="000000"/>
                <w:lang w:val="en-GB"/>
              </w:rPr>
              <w:t>m</w:t>
            </w:r>
            <w:r w:rsidRPr="00C223AB">
              <w:rPr>
                <w:rFonts w:ascii="Arial" w:eastAsia="Times New Roman" w:hAnsi="Arial" w:cs="Arial"/>
                <w:color w:val="000000"/>
                <w:lang w:val="en-GB"/>
              </w:rPr>
              <w:t>ellitus</w:t>
            </w:r>
          </w:p>
        </w:tc>
        <w:tc>
          <w:tcPr>
            <w:tcW w:w="2540" w:type="dxa"/>
            <w:tcBorders>
              <w:top w:val="nil"/>
              <w:left w:val="single" w:sz="4" w:space="0" w:color="auto"/>
              <w:bottom w:val="single" w:sz="4" w:space="0" w:color="auto"/>
              <w:right w:val="single" w:sz="4" w:space="0" w:color="auto"/>
            </w:tcBorders>
            <w:shd w:val="clear" w:color="auto" w:fill="auto"/>
            <w:noWrap/>
            <w:vAlign w:val="bottom"/>
            <w:hideMark/>
          </w:tcPr>
          <w:p w14:paraId="2DF80109" w14:textId="76A1F47E" w:rsidR="003534F0" w:rsidRPr="00C223AB" w:rsidRDefault="006D26FA" w:rsidP="00C223AB">
            <w:pPr>
              <w:rPr>
                <w:rFonts w:ascii="Arial" w:eastAsia="Times New Roman" w:hAnsi="Arial" w:cs="Arial"/>
                <w:color w:val="000000"/>
                <w:lang w:val="en-GB"/>
              </w:rPr>
            </w:pPr>
            <w:r w:rsidRPr="00C223AB">
              <w:rPr>
                <w:rFonts w:ascii="Arial" w:eastAsia="Times New Roman" w:hAnsi="Arial" w:cs="Arial"/>
                <w:color w:val="000000"/>
                <w:lang w:val="en-GB"/>
              </w:rPr>
              <w:t>33 (1.8%)</w:t>
            </w:r>
          </w:p>
        </w:tc>
        <w:tc>
          <w:tcPr>
            <w:tcW w:w="2000" w:type="dxa"/>
            <w:tcBorders>
              <w:top w:val="nil"/>
              <w:left w:val="nil"/>
              <w:bottom w:val="single" w:sz="4" w:space="0" w:color="auto"/>
              <w:right w:val="single" w:sz="4" w:space="0" w:color="auto"/>
            </w:tcBorders>
            <w:shd w:val="clear" w:color="auto" w:fill="auto"/>
            <w:noWrap/>
            <w:vAlign w:val="bottom"/>
            <w:hideMark/>
          </w:tcPr>
          <w:p w14:paraId="1E4C84DF" w14:textId="3E2D890C" w:rsidR="003534F0" w:rsidRPr="00C223AB" w:rsidRDefault="006D26FA" w:rsidP="00C223AB">
            <w:pPr>
              <w:rPr>
                <w:rFonts w:ascii="Arial" w:eastAsia="Times New Roman" w:hAnsi="Arial" w:cs="Arial"/>
                <w:color w:val="000000"/>
                <w:lang w:val="en-GB"/>
              </w:rPr>
            </w:pPr>
            <w:r w:rsidRPr="00C223AB">
              <w:rPr>
                <w:rFonts w:ascii="Arial" w:eastAsia="Times New Roman" w:hAnsi="Arial" w:cs="Arial"/>
                <w:color w:val="000000"/>
                <w:lang w:val="en-GB"/>
              </w:rPr>
              <w:t>57 (6.9%)</w:t>
            </w:r>
          </w:p>
        </w:tc>
        <w:tc>
          <w:tcPr>
            <w:tcW w:w="1380" w:type="dxa"/>
            <w:tcBorders>
              <w:top w:val="nil"/>
              <w:left w:val="nil"/>
              <w:bottom w:val="single" w:sz="4" w:space="0" w:color="auto"/>
              <w:right w:val="single" w:sz="4" w:space="0" w:color="auto"/>
            </w:tcBorders>
            <w:shd w:val="clear" w:color="auto" w:fill="auto"/>
            <w:noWrap/>
            <w:vAlign w:val="bottom"/>
            <w:hideMark/>
          </w:tcPr>
          <w:p w14:paraId="7892273D" w14:textId="77777777" w:rsidR="003534F0" w:rsidRPr="00C223AB" w:rsidRDefault="003534F0" w:rsidP="00C223AB">
            <w:pPr>
              <w:rPr>
                <w:rFonts w:ascii="Arial" w:eastAsia="Times New Roman" w:hAnsi="Arial" w:cs="Arial"/>
                <w:color w:val="000000"/>
                <w:lang w:val="en-GB"/>
              </w:rPr>
            </w:pPr>
            <w:r w:rsidRPr="00C223AB">
              <w:rPr>
                <w:rFonts w:ascii="Arial" w:eastAsia="Times New Roman" w:hAnsi="Arial" w:cs="Arial"/>
                <w:color w:val="000000"/>
                <w:lang w:val="en-GB"/>
              </w:rPr>
              <w:t>&lt;0.001</w:t>
            </w:r>
          </w:p>
        </w:tc>
      </w:tr>
      <w:tr w:rsidR="003534F0" w:rsidRPr="00C223AB" w14:paraId="0C25087B" w14:textId="77777777" w:rsidTr="00427AEC">
        <w:trPr>
          <w:trHeight w:val="300"/>
        </w:trPr>
        <w:tc>
          <w:tcPr>
            <w:tcW w:w="3701" w:type="dxa"/>
            <w:gridSpan w:val="2"/>
            <w:tcBorders>
              <w:top w:val="nil"/>
              <w:left w:val="nil"/>
              <w:bottom w:val="nil"/>
              <w:right w:val="nil"/>
            </w:tcBorders>
            <w:shd w:val="clear" w:color="auto" w:fill="auto"/>
            <w:noWrap/>
            <w:vAlign w:val="bottom"/>
            <w:hideMark/>
          </w:tcPr>
          <w:p w14:paraId="669EEDCE" w14:textId="77777777" w:rsidR="003534F0" w:rsidRPr="00C223AB" w:rsidRDefault="006B738C" w:rsidP="00C223AB">
            <w:pPr>
              <w:rPr>
                <w:rFonts w:ascii="Arial" w:eastAsia="Times New Roman" w:hAnsi="Arial" w:cs="Arial"/>
                <w:color w:val="000000"/>
                <w:lang w:val="en-GB"/>
              </w:rPr>
            </w:pPr>
            <w:r w:rsidRPr="00C223AB">
              <w:rPr>
                <w:rFonts w:ascii="Arial" w:eastAsia="Times New Roman" w:hAnsi="Arial" w:cs="Arial"/>
                <w:color w:val="000000"/>
                <w:lang w:val="en-GB"/>
              </w:rPr>
              <w:t>Li</w:t>
            </w:r>
            <w:r w:rsidR="003534F0" w:rsidRPr="00C223AB">
              <w:rPr>
                <w:rFonts w:ascii="Arial" w:eastAsia="Times New Roman" w:hAnsi="Arial" w:cs="Arial"/>
                <w:color w:val="000000"/>
                <w:lang w:val="en-GB"/>
              </w:rPr>
              <w:t>pid-lowering drugs</w:t>
            </w:r>
          </w:p>
        </w:tc>
        <w:tc>
          <w:tcPr>
            <w:tcW w:w="2540" w:type="dxa"/>
            <w:tcBorders>
              <w:top w:val="nil"/>
              <w:left w:val="single" w:sz="4" w:space="0" w:color="auto"/>
              <w:bottom w:val="single" w:sz="4" w:space="0" w:color="auto"/>
              <w:right w:val="single" w:sz="4" w:space="0" w:color="auto"/>
            </w:tcBorders>
            <w:shd w:val="clear" w:color="auto" w:fill="auto"/>
            <w:noWrap/>
            <w:vAlign w:val="bottom"/>
            <w:hideMark/>
          </w:tcPr>
          <w:p w14:paraId="7A15E813" w14:textId="73EF7430" w:rsidR="003534F0" w:rsidRPr="00C223AB" w:rsidRDefault="006D26FA" w:rsidP="00C223AB">
            <w:pPr>
              <w:rPr>
                <w:rFonts w:ascii="Arial" w:eastAsia="Times New Roman" w:hAnsi="Arial" w:cs="Arial"/>
                <w:color w:val="000000"/>
                <w:lang w:val="en-GB"/>
              </w:rPr>
            </w:pPr>
            <w:r w:rsidRPr="00C223AB">
              <w:rPr>
                <w:rFonts w:ascii="Arial" w:eastAsia="Times New Roman" w:hAnsi="Arial" w:cs="Arial"/>
                <w:color w:val="000000"/>
                <w:lang w:val="en-GB"/>
              </w:rPr>
              <w:t>20 (1.1%)</w:t>
            </w:r>
          </w:p>
        </w:tc>
        <w:tc>
          <w:tcPr>
            <w:tcW w:w="2000" w:type="dxa"/>
            <w:tcBorders>
              <w:top w:val="nil"/>
              <w:left w:val="nil"/>
              <w:bottom w:val="single" w:sz="4" w:space="0" w:color="auto"/>
              <w:right w:val="single" w:sz="4" w:space="0" w:color="auto"/>
            </w:tcBorders>
            <w:shd w:val="clear" w:color="auto" w:fill="auto"/>
            <w:noWrap/>
            <w:vAlign w:val="bottom"/>
            <w:hideMark/>
          </w:tcPr>
          <w:p w14:paraId="357524DA" w14:textId="444945AE" w:rsidR="003534F0" w:rsidRPr="00C223AB" w:rsidRDefault="006D26FA" w:rsidP="00C223AB">
            <w:pPr>
              <w:rPr>
                <w:rFonts w:ascii="Arial" w:eastAsia="Times New Roman" w:hAnsi="Arial" w:cs="Arial"/>
                <w:color w:val="000000"/>
                <w:lang w:val="en-GB"/>
              </w:rPr>
            </w:pPr>
            <w:r w:rsidRPr="00C223AB">
              <w:rPr>
                <w:rFonts w:ascii="Arial" w:eastAsia="Times New Roman" w:hAnsi="Arial" w:cs="Arial"/>
                <w:color w:val="000000"/>
                <w:lang w:val="en-GB"/>
              </w:rPr>
              <w:t>31 (3.7%)</w:t>
            </w:r>
          </w:p>
        </w:tc>
        <w:tc>
          <w:tcPr>
            <w:tcW w:w="1380" w:type="dxa"/>
            <w:tcBorders>
              <w:top w:val="nil"/>
              <w:left w:val="nil"/>
              <w:bottom w:val="single" w:sz="4" w:space="0" w:color="auto"/>
              <w:right w:val="single" w:sz="4" w:space="0" w:color="auto"/>
            </w:tcBorders>
            <w:shd w:val="clear" w:color="auto" w:fill="auto"/>
            <w:noWrap/>
            <w:vAlign w:val="bottom"/>
            <w:hideMark/>
          </w:tcPr>
          <w:p w14:paraId="6A139416" w14:textId="77777777" w:rsidR="003534F0" w:rsidRPr="00C223AB" w:rsidRDefault="003534F0" w:rsidP="00C223AB">
            <w:pPr>
              <w:rPr>
                <w:rFonts w:ascii="Arial" w:eastAsia="Times New Roman" w:hAnsi="Arial" w:cs="Arial"/>
                <w:color w:val="000000"/>
                <w:lang w:val="en-GB"/>
              </w:rPr>
            </w:pPr>
            <w:r w:rsidRPr="00C223AB">
              <w:rPr>
                <w:rFonts w:ascii="Arial" w:eastAsia="Times New Roman" w:hAnsi="Arial" w:cs="Arial"/>
                <w:color w:val="000000"/>
                <w:lang w:val="en-GB"/>
              </w:rPr>
              <w:t>&lt;0.001</w:t>
            </w:r>
          </w:p>
        </w:tc>
      </w:tr>
      <w:tr w:rsidR="003534F0" w:rsidRPr="00C223AB" w14:paraId="666A9FCD" w14:textId="77777777" w:rsidTr="00427AEC">
        <w:trPr>
          <w:trHeight w:val="300"/>
        </w:trPr>
        <w:tc>
          <w:tcPr>
            <w:tcW w:w="3701" w:type="dxa"/>
            <w:gridSpan w:val="2"/>
            <w:tcBorders>
              <w:top w:val="nil"/>
              <w:left w:val="nil"/>
              <w:bottom w:val="nil"/>
              <w:right w:val="nil"/>
            </w:tcBorders>
            <w:shd w:val="clear" w:color="auto" w:fill="auto"/>
            <w:noWrap/>
            <w:vAlign w:val="bottom"/>
            <w:hideMark/>
          </w:tcPr>
          <w:p w14:paraId="03C30D29" w14:textId="77777777" w:rsidR="003534F0" w:rsidRPr="00C223AB" w:rsidRDefault="006B738C" w:rsidP="00C223AB">
            <w:pPr>
              <w:rPr>
                <w:rFonts w:ascii="Arial" w:eastAsia="Times New Roman" w:hAnsi="Arial" w:cs="Arial"/>
                <w:color w:val="000000"/>
                <w:lang w:val="en-GB"/>
              </w:rPr>
            </w:pPr>
            <w:r w:rsidRPr="00C223AB">
              <w:rPr>
                <w:rFonts w:ascii="Arial" w:eastAsia="Times New Roman" w:hAnsi="Arial" w:cs="Arial"/>
                <w:color w:val="000000"/>
                <w:lang w:val="en-GB"/>
              </w:rPr>
              <w:t>A</w:t>
            </w:r>
            <w:r w:rsidR="003534F0" w:rsidRPr="00C223AB">
              <w:rPr>
                <w:rFonts w:ascii="Arial" w:eastAsia="Times New Roman" w:hAnsi="Arial" w:cs="Arial"/>
                <w:color w:val="000000"/>
                <w:lang w:val="en-GB"/>
              </w:rPr>
              <w:t>nti-hypertensive drugs</w:t>
            </w:r>
          </w:p>
        </w:tc>
        <w:tc>
          <w:tcPr>
            <w:tcW w:w="2540" w:type="dxa"/>
            <w:tcBorders>
              <w:top w:val="nil"/>
              <w:left w:val="single" w:sz="4" w:space="0" w:color="auto"/>
              <w:bottom w:val="single" w:sz="4" w:space="0" w:color="auto"/>
              <w:right w:val="single" w:sz="4" w:space="0" w:color="auto"/>
            </w:tcBorders>
            <w:shd w:val="clear" w:color="auto" w:fill="auto"/>
            <w:noWrap/>
            <w:vAlign w:val="bottom"/>
            <w:hideMark/>
          </w:tcPr>
          <w:p w14:paraId="6CDC9364" w14:textId="706E83AB" w:rsidR="003534F0" w:rsidRPr="00C223AB" w:rsidRDefault="006D26FA" w:rsidP="00C223AB">
            <w:pPr>
              <w:rPr>
                <w:rFonts w:ascii="Arial" w:eastAsia="Times New Roman" w:hAnsi="Arial" w:cs="Arial"/>
                <w:color w:val="000000"/>
                <w:lang w:val="en-GB"/>
              </w:rPr>
            </w:pPr>
            <w:r w:rsidRPr="00C223AB">
              <w:rPr>
                <w:rFonts w:ascii="Arial" w:eastAsia="Times New Roman" w:hAnsi="Arial" w:cs="Arial"/>
                <w:color w:val="000000"/>
                <w:lang w:val="en-GB"/>
              </w:rPr>
              <w:t>329 (17.5%)</w:t>
            </w:r>
          </w:p>
        </w:tc>
        <w:tc>
          <w:tcPr>
            <w:tcW w:w="2000" w:type="dxa"/>
            <w:tcBorders>
              <w:top w:val="nil"/>
              <w:left w:val="nil"/>
              <w:bottom w:val="single" w:sz="4" w:space="0" w:color="auto"/>
              <w:right w:val="single" w:sz="4" w:space="0" w:color="auto"/>
            </w:tcBorders>
            <w:shd w:val="clear" w:color="auto" w:fill="auto"/>
            <w:noWrap/>
            <w:vAlign w:val="bottom"/>
            <w:hideMark/>
          </w:tcPr>
          <w:p w14:paraId="650F57B1" w14:textId="5ABE2065" w:rsidR="003534F0" w:rsidRPr="00C223AB" w:rsidRDefault="006D26FA" w:rsidP="00C223AB">
            <w:pPr>
              <w:rPr>
                <w:rFonts w:ascii="Arial" w:eastAsia="Times New Roman" w:hAnsi="Arial" w:cs="Arial"/>
                <w:color w:val="000000"/>
                <w:lang w:val="en-GB"/>
              </w:rPr>
            </w:pPr>
            <w:r w:rsidRPr="00C223AB">
              <w:rPr>
                <w:rFonts w:ascii="Arial" w:eastAsia="Times New Roman" w:hAnsi="Arial" w:cs="Arial"/>
                <w:color w:val="000000"/>
                <w:lang w:val="en-GB"/>
              </w:rPr>
              <w:t>352(42.3%)</w:t>
            </w:r>
          </w:p>
        </w:tc>
        <w:tc>
          <w:tcPr>
            <w:tcW w:w="1380" w:type="dxa"/>
            <w:tcBorders>
              <w:top w:val="nil"/>
              <w:left w:val="nil"/>
              <w:bottom w:val="single" w:sz="4" w:space="0" w:color="auto"/>
              <w:right w:val="single" w:sz="4" w:space="0" w:color="auto"/>
            </w:tcBorders>
            <w:shd w:val="clear" w:color="auto" w:fill="auto"/>
            <w:noWrap/>
            <w:vAlign w:val="bottom"/>
            <w:hideMark/>
          </w:tcPr>
          <w:p w14:paraId="18A3FE97" w14:textId="77777777" w:rsidR="003534F0" w:rsidRPr="00C223AB" w:rsidRDefault="003534F0" w:rsidP="00C223AB">
            <w:pPr>
              <w:rPr>
                <w:rFonts w:ascii="Arial" w:eastAsia="Times New Roman" w:hAnsi="Arial" w:cs="Arial"/>
                <w:color w:val="000000"/>
                <w:lang w:val="en-GB"/>
              </w:rPr>
            </w:pPr>
            <w:r w:rsidRPr="00C223AB">
              <w:rPr>
                <w:rFonts w:ascii="Arial" w:eastAsia="Times New Roman" w:hAnsi="Arial" w:cs="Arial"/>
                <w:color w:val="000000"/>
                <w:lang w:val="en-GB"/>
              </w:rPr>
              <w:t>&lt;0.001</w:t>
            </w:r>
          </w:p>
        </w:tc>
      </w:tr>
      <w:tr w:rsidR="003534F0" w:rsidRPr="00C223AB" w14:paraId="4CB4F5E5" w14:textId="77777777" w:rsidTr="00427AEC">
        <w:trPr>
          <w:trHeight w:val="300"/>
        </w:trPr>
        <w:tc>
          <w:tcPr>
            <w:tcW w:w="1320" w:type="dxa"/>
            <w:tcBorders>
              <w:top w:val="nil"/>
              <w:left w:val="nil"/>
              <w:bottom w:val="nil"/>
              <w:right w:val="nil"/>
            </w:tcBorders>
            <w:shd w:val="clear" w:color="auto" w:fill="auto"/>
            <w:noWrap/>
            <w:vAlign w:val="bottom"/>
            <w:hideMark/>
          </w:tcPr>
          <w:p w14:paraId="2381571D" w14:textId="77777777" w:rsidR="003534F0" w:rsidRPr="00C223AB" w:rsidRDefault="003534F0" w:rsidP="00C223AB">
            <w:pPr>
              <w:rPr>
                <w:rFonts w:ascii="Arial" w:eastAsia="Times New Roman" w:hAnsi="Arial" w:cs="Arial"/>
                <w:color w:val="000000"/>
                <w:lang w:val="en-GB"/>
              </w:rPr>
            </w:pPr>
          </w:p>
        </w:tc>
        <w:tc>
          <w:tcPr>
            <w:tcW w:w="2381" w:type="dxa"/>
            <w:tcBorders>
              <w:top w:val="nil"/>
              <w:left w:val="nil"/>
              <w:bottom w:val="nil"/>
              <w:right w:val="nil"/>
            </w:tcBorders>
            <w:shd w:val="clear" w:color="auto" w:fill="auto"/>
            <w:noWrap/>
            <w:vAlign w:val="bottom"/>
            <w:hideMark/>
          </w:tcPr>
          <w:p w14:paraId="33F7ACA2" w14:textId="77777777" w:rsidR="003534F0" w:rsidRPr="00C223AB" w:rsidRDefault="003534F0" w:rsidP="00C223AB">
            <w:pPr>
              <w:ind w:left="720"/>
              <w:contextualSpacing/>
              <w:rPr>
                <w:rFonts w:ascii="Arial" w:eastAsia="Times New Roman" w:hAnsi="Arial" w:cs="Arial"/>
                <w:color w:val="000000"/>
                <w:lang w:val="en-GB"/>
              </w:rPr>
            </w:pPr>
          </w:p>
        </w:tc>
        <w:tc>
          <w:tcPr>
            <w:tcW w:w="2540" w:type="dxa"/>
            <w:tcBorders>
              <w:top w:val="nil"/>
              <w:left w:val="nil"/>
              <w:bottom w:val="nil"/>
              <w:right w:val="nil"/>
            </w:tcBorders>
            <w:shd w:val="clear" w:color="auto" w:fill="auto"/>
            <w:noWrap/>
            <w:vAlign w:val="bottom"/>
            <w:hideMark/>
          </w:tcPr>
          <w:p w14:paraId="3FA68610" w14:textId="77777777" w:rsidR="003534F0" w:rsidRPr="00C223AB" w:rsidRDefault="003534F0" w:rsidP="00C223AB">
            <w:pPr>
              <w:ind w:left="720"/>
              <w:contextualSpacing/>
              <w:rPr>
                <w:rFonts w:ascii="Arial" w:eastAsia="Times New Roman" w:hAnsi="Arial" w:cs="Arial"/>
                <w:color w:val="000000"/>
                <w:lang w:val="en-GB"/>
              </w:rPr>
            </w:pPr>
          </w:p>
        </w:tc>
        <w:tc>
          <w:tcPr>
            <w:tcW w:w="2000" w:type="dxa"/>
            <w:tcBorders>
              <w:top w:val="nil"/>
              <w:left w:val="nil"/>
              <w:bottom w:val="nil"/>
              <w:right w:val="nil"/>
            </w:tcBorders>
            <w:shd w:val="clear" w:color="auto" w:fill="auto"/>
            <w:noWrap/>
            <w:vAlign w:val="bottom"/>
            <w:hideMark/>
          </w:tcPr>
          <w:p w14:paraId="7271EB07" w14:textId="77777777" w:rsidR="003534F0" w:rsidRPr="00C223AB" w:rsidRDefault="003534F0" w:rsidP="00C223AB">
            <w:pPr>
              <w:ind w:left="720"/>
              <w:contextualSpacing/>
              <w:rPr>
                <w:rFonts w:ascii="Arial" w:eastAsia="Times New Roman" w:hAnsi="Arial" w:cs="Arial"/>
                <w:color w:val="000000"/>
                <w:lang w:val="en-GB"/>
              </w:rPr>
            </w:pPr>
          </w:p>
        </w:tc>
        <w:tc>
          <w:tcPr>
            <w:tcW w:w="1380" w:type="dxa"/>
            <w:tcBorders>
              <w:top w:val="nil"/>
              <w:left w:val="single" w:sz="4" w:space="0" w:color="auto"/>
              <w:bottom w:val="single" w:sz="4" w:space="0" w:color="auto"/>
              <w:right w:val="single" w:sz="4" w:space="0" w:color="auto"/>
            </w:tcBorders>
            <w:shd w:val="clear" w:color="auto" w:fill="auto"/>
            <w:noWrap/>
            <w:vAlign w:val="bottom"/>
            <w:hideMark/>
          </w:tcPr>
          <w:p w14:paraId="175255DE" w14:textId="77777777" w:rsidR="003534F0" w:rsidRPr="00C223AB" w:rsidRDefault="003534F0" w:rsidP="00C223AB">
            <w:pPr>
              <w:rPr>
                <w:rFonts w:ascii="Arial" w:eastAsia="Times New Roman" w:hAnsi="Arial" w:cs="Arial"/>
                <w:color w:val="000000"/>
                <w:lang w:val="en-GB"/>
              </w:rPr>
            </w:pPr>
            <w:r w:rsidRPr="00C223AB">
              <w:rPr>
                <w:rFonts w:ascii="Arial" w:eastAsia="Times New Roman" w:hAnsi="Arial" w:cs="Arial"/>
                <w:color w:val="000000"/>
                <w:lang w:val="en-GB"/>
              </w:rPr>
              <w:t> </w:t>
            </w:r>
          </w:p>
        </w:tc>
      </w:tr>
      <w:tr w:rsidR="003534F0" w:rsidRPr="00C223AB" w14:paraId="7D60D3B3" w14:textId="77777777" w:rsidTr="00427AEC">
        <w:trPr>
          <w:trHeight w:val="300"/>
        </w:trPr>
        <w:tc>
          <w:tcPr>
            <w:tcW w:w="3701" w:type="dxa"/>
            <w:gridSpan w:val="2"/>
            <w:tcBorders>
              <w:top w:val="nil"/>
              <w:left w:val="nil"/>
              <w:bottom w:val="nil"/>
              <w:right w:val="nil"/>
            </w:tcBorders>
            <w:shd w:val="clear" w:color="auto" w:fill="auto"/>
            <w:noWrap/>
            <w:vAlign w:val="bottom"/>
            <w:hideMark/>
          </w:tcPr>
          <w:p w14:paraId="554A40A2" w14:textId="77777777" w:rsidR="003534F0" w:rsidRPr="00C223AB" w:rsidRDefault="003534F0" w:rsidP="00C223AB">
            <w:pPr>
              <w:rPr>
                <w:rFonts w:ascii="Arial" w:eastAsia="Times New Roman" w:hAnsi="Arial" w:cs="Arial"/>
                <w:color w:val="000000"/>
                <w:lang w:val="en-GB"/>
              </w:rPr>
            </w:pPr>
            <w:r w:rsidRPr="00C223AB">
              <w:rPr>
                <w:rFonts w:ascii="Arial" w:eastAsia="Times New Roman" w:hAnsi="Arial" w:cs="Arial"/>
                <w:color w:val="000000"/>
                <w:lang w:val="en-GB"/>
              </w:rPr>
              <w:t>Total cholesterol, mmol/L</w:t>
            </w:r>
          </w:p>
        </w:tc>
        <w:tc>
          <w:tcPr>
            <w:tcW w:w="25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C9E7D04" w14:textId="77777777" w:rsidR="003534F0" w:rsidRPr="00C223AB" w:rsidRDefault="003534F0" w:rsidP="00C223AB">
            <w:pPr>
              <w:rPr>
                <w:rFonts w:ascii="Arial" w:eastAsia="Times New Roman" w:hAnsi="Arial" w:cs="Arial"/>
                <w:color w:val="000000"/>
                <w:lang w:val="en-GB"/>
              </w:rPr>
            </w:pPr>
            <w:r w:rsidRPr="00C223AB">
              <w:rPr>
                <w:rFonts w:ascii="Arial" w:eastAsia="Times New Roman" w:hAnsi="Arial" w:cs="Arial"/>
                <w:color w:val="000000"/>
                <w:lang w:val="en-GB"/>
              </w:rPr>
              <w:t>6.3 ±1.2</w:t>
            </w:r>
          </w:p>
        </w:tc>
        <w:tc>
          <w:tcPr>
            <w:tcW w:w="2000" w:type="dxa"/>
            <w:tcBorders>
              <w:top w:val="single" w:sz="4" w:space="0" w:color="auto"/>
              <w:left w:val="nil"/>
              <w:bottom w:val="single" w:sz="4" w:space="0" w:color="auto"/>
              <w:right w:val="single" w:sz="4" w:space="0" w:color="auto"/>
            </w:tcBorders>
            <w:shd w:val="clear" w:color="auto" w:fill="auto"/>
            <w:noWrap/>
            <w:vAlign w:val="bottom"/>
            <w:hideMark/>
          </w:tcPr>
          <w:p w14:paraId="072EC717" w14:textId="77777777" w:rsidR="003534F0" w:rsidRPr="00C223AB" w:rsidRDefault="003534F0" w:rsidP="00C223AB">
            <w:pPr>
              <w:rPr>
                <w:rFonts w:ascii="Arial" w:eastAsia="Times New Roman" w:hAnsi="Arial" w:cs="Arial"/>
                <w:color w:val="000000"/>
                <w:lang w:val="en-GB"/>
              </w:rPr>
            </w:pPr>
            <w:r w:rsidRPr="00C223AB">
              <w:rPr>
                <w:rFonts w:ascii="Arial" w:eastAsia="Times New Roman" w:hAnsi="Arial" w:cs="Arial"/>
                <w:color w:val="000000"/>
                <w:lang w:val="en-GB"/>
              </w:rPr>
              <w:t>6.5 ±1.2</w:t>
            </w:r>
          </w:p>
        </w:tc>
        <w:tc>
          <w:tcPr>
            <w:tcW w:w="1380" w:type="dxa"/>
            <w:tcBorders>
              <w:top w:val="nil"/>
              <w:left w:val="nil"/>
              <w:bottom w:val="single" w:sz="4" w:space="0" w:color="auto"/>
              <w:right w:val="single" w:sz="4" w:space="0" w:color="auto"/>
            </w:tcBorders>
            <w:shd w:val="clear" w:color="auto" w:fill="auto"/>
            <w:noWrap/>
            <w:vAlign w:val="bottom"/>
            <w:hideMark/>
          </w:tcPr>
          <w:p w14:paraId="28987F85" w14:textId="77777777" w:rsidR="003534F0" w:rsidRPr="00C223AB" w:rsidRDefault="003534F0" w:rsidP="00C223AB">
            <w:pPr>
              <w:rPr>
                <w:rFonts w:ascii="Arial" w:eastAsia="Times New Roman" w:hAnsi="Arial" w:cs="Arial"/>
                <w:color w:val="000000"/>
                <w:lang w:val="en-GB"/>
              </w:rPr>
            </w:pPr>
            <w:r w:rsidRPr="00C223AB">
              <w:rPr>
                <w:rFonts w:ascii="Arial" w:eastAsia="Times New Roman" w:hAnsi="Arial" w:cs="Arial"/>
                <w:color w:val="000000"/>
                <w:lang w:val="en-GB"/>
              </w:rPr>
              <w:t>&lt;0.001</w:t>
            </w:r>
          </w:p>
        </w:tc>
      </w:tr>
      <w:tr w:rsidR="003534F0" w:rsidRPr="00C223AB" w14:paraId="183B8B87" w14:textId="77777777" w:rsidTr="00427AEC">
        <w:trPr>
          <w:trHeight w:val="300"/>
        </w:trPr>
        <w:tc>
          <w:tcPr>
            <w:tcW w:w="3701" w:type="dxa"/>
            <w:gridSpan w:val="2"/>
            <w:tcBorders>
              <w:top w:val="nil"/>
              <w:left w:val="nil"/>
              <w:bottom w:val="nil"/>
              <w:right w:val="nil"/>
            </w:tcBorders>
            <w:shd w:val="clear" w:color="auto" w:fill="auto"/>
            <w:noWrap/>
            <w:vAlign w:val="bottom"/>
            <w:hideMark/>
          </w:tcPr>
          <w:p w14:paraId="06A677B0" w14:textId="77777777" w:rsidR="003534F0" w:rsidRPr="00C223AB" w:rsidRDefault="003534F0" w:rsidP="00C223AB">
            <w:pPr>
              <w:rPr>
                <w:rFonts w:ascii="Arial" w:eastAsia="Times New Roman" w:hAnsi="Arial" w:cs="Arial"/>
                <w:color w:val="000000"/>
                <w:lang w:val="en-GB"/>
              </w:rPr>
            </w:pPr>
            <w:r w:rsidRPr="00C223AB">
              <w:rPr>
                <w:rFonts w:ascii="Arial" w:eastAsia="Times New Roman" w:hAnsi="Arial" w:cs="Arial"/>
                <w:color w:val="000000"/>
                <w:lang w:val="en-GB"/>
              </w:rPr>
              <w:t>LDL cholesterol, mmol/L</w:t>
            </w:r>
          </w:p>
        </w:tc>
        <w:tc>
          <w:tcPr>
            <w:tcW w:w="2540" w:type="dxa"/>
            <w:tcBorders>
              <w:top w:val="nil"/>
              <w:left w:val="single" w:sz="4" w:space="0" w:color="auto"/>
              <w:bottom w:val="single" w:sz="4" w:space="0" w:color="auto"/>
              <w:right w:val="single" w:sz="4" w:space="0" w:color="auto"/>
            </w:tcBorders>
            <w:shd w:val="clear" w:color="auto" w:fill="auto"/>
            <w:noWrap/>
            <w:vAlign w:val="bottom"/>
            <w:hideMark/>
          </w:tcPr>
          <w:p w14:paraId="3B4A3F94" w14:textId="77777777" w:rsidR="003534F0" w:rsidRPr="00C223AB" w:rsidRDefault="003534F0" w:rsidP="00C223AB">
            <w:pPr>
              <w:rPr>
                <w:rFonts w:ascii="Arial" w:eastAsia="Times New Roman" w:hAnsi="Arial" w:cs="Arial"/>
                <w:color w:val="000000"/>
                <w:lang w:val="en-GB"/>
              </w:rPr>
            </w:pPr>
            <w:r w:rsidRPr="00C223AB">
              <w:rPr>
                <w:rFonts w:ascii="Arial" w:eastAsia="Times New Roman" w:hAnsi="Arial" w:cs="Arial"/>
                <w:color w:val="000000"/>
                <w:lang w:val="en-GB"/>
              </w:rPr>
              <w:t>4.1 ±1</w:t>
            </w:r>
            <w:r w:rsidR="00F60CC2" w:rsidRPr="00C223AB">
              <w:rPr>
                <w:rFonts w:ascii="Arial" w:eastAsia="Times New Roman" w:hAnsi="Arial" w:cs="Arial"/>
                <w:color w:val="000000"/>
                <w:lang w:val="en-GB"/>
              </w:rPr>
              <w:t>.0</w:t>
            </w:r>
          </w:p>
        </w:tc>
        <w:tc>
          <w:tcPr>
            <w:tcW w:w="2000" w:type="dxa"/>
            <w:tcBorders>
              <w:top w:val="nil"/>
              <w:left w:val="nil"/>
              <w:bottom w:val="single" w:sz="4" w:space="0" w:color="auto"/>
              <w:right w:val="single" w:sz="4" w:space="0" w:color="auto"/>
            </w:tcBorders>
            <w:shd w:val="clear" w:color="auto" w:fill="auto"/>
            <w:noWrap/>
            <w:vAlign w:val="bottom"/>
            <w:hideMark/>
          </w:tcPr>
          <w:p w14:paraId="2A75E3CA" w14:textId="77777777" w:rsidR="003534F0" w:rsidRPr="00C223AB" w:rsidRDefault="003534F0" w:rsidP="00C223AB">
            <w:pPr>
              <w:rPr>
                <w:rFonts w:ascii="Arial" w:eastAsia="Times New Roman" w:hAnsi="Arial" w:cs="Arial"/>
                <w:color w:val="000000"/>
                <w:lang w:val="en-GB"/>
              </w:rPr>
            </w:pPr>
            <w:r w:rsidRPr="00C223AB">
              <w:rPr>
                <w:rFonts w:ascii="Arial" w:eastAsia="Times New Roman" w:hAnsi="Arial" w:cs="Arial"/>
                <w:color w:val="000000"/>
                <w:lang w:val="en-GB"/>
              </w:rPr>
              <w:t>4.3 ±1</w:t>
            </w:r>
            <w:r w:rsidR="00F60CC2" w:rsidRPr="00C223AB">
              <w:rPr>
                <w:rFonts w:ascii="Arial" w:eastAsia="Times New Roman" w:hAnsi="Arial" w:cs="Arial"/>
                <w:color w:val="000000"/>
                <w:lang w:val="en-GB"/>
              </w:rPr>
              <w:t>.0</w:t>
            </w:r>
          </w:p>
        </w:tc>
        <w:tc>
          <w:tcPr>
            <w:tcW w:w="1380" w:type="dxa"/>
            <w:tcBorders>
              <w:top w:val="nil"/>
              <w:left w:val="nil"/>
              <w:bottom w:val="single" w:sz="4" w:space="0" w:color="auto"/>
              <w:right w:val="single" w:sz="4" w:space="0" w:color="auto"/>
            </w:tcBorders>
            <w:shd w:val="clear" w:color="auto" w:fill="auto"/>
            <w:noWrap/>
            <w:vAlign w:val="bottom"/>
            <w:hideMark/>
          </w:tcPr>
          <w:p w14:paraId="07B079C1" w14:textId="77777777" w:rsidR="003534F0" w:rsidRPr="00C223AB" w:rsidRDefault="003534F0" w:rsidP="00C223AB">
            <w:pPr>
              <w:rPr>
                <w:rFonts w:ascii="Arial" w:eastAsia="Times New Roman" w:hAnsi="Arial" w:cs="Arial"/>
                <w:color w:val="000000"/>
                <w:lang w:val="en-GB"/>
              </w:rPr>
            </w:pPr>
            <w:r w:rsidRPr="00C223AB">
              <w:rPr>
                <w:rFonts w:ascii="Arial" w:eastAsia="Times New Roman" w:hAnsi="Arial" w:cs="Arial"/>
                <w:color w:val="000000"/>
                <w:lang w:val="en-GB"/>
              </w:rPr>
              <w:t>&lt;0.001</w:t>
            </w:r>
          </w:p>
        </w:tc>
      </w:tr>
      <w:tr w:rsidR="003534F0" w:rsidRPr="00C223AB" w14:paraId="2AEFC91F" w14:textId="77777777" w:rsidTr="00427AEC">
        <w:trPr>
          <w:trHeight w:val="300"/>
        </w:trPr>
        <w:tc>
          <w:tcPr>
            <w:tcW w:w="3701" w:type="dxa"/>
            <w:gridSpan w:val="2"/>
            <w:tcBorders>
              <w:top w:val="nil"/>
              <w:left w:val="nil"/>
              <w:bottom w:val="nil"/>
              <w:right w:val="nil"/>
            </w:tcBorders>
            <w:shd w:val="clear" w:color="auto" w:fill="auto"/>
            <w:noWrap/>
            <w:vAlign w:val="bottom"/>
            <w:hideMark/>
          </w:tcPr>
          <w:p w14:paraId="3F64662D" w14:textId="77777777" w:rsidR="003534F0" w:rsidRPr="00C223AB" w:rsidRDefault="003534F0" w:rsidP="00C223AB">
            <w:pPr>
              <w:rPr>
                <w:rFonts w:ascii="Arial" w:eastAsia="Times New Roman" w:hAnsi="Arial" w:cs="Arial"/>
                <w:color w:val="000000"/>
                <w:lang w:val="en-GB"/>
              </w:rPr>
            </w:pPr>
            <w:r w:rsidRPr="00C223AB">
              <w:rPr>
                <w:rFonts w:ascii="Arial" w:eastAsia="Times New Roman" w:hAnsi="Arial" w:cs="Arial"/>
                <w:color w:val="000000"/>
                <w:lang w:val="en-GB"/>
              </w:rPr>
              <w:t>HDL cholesterol, mmol/L</w:t>
            </w:r>
          </w:p>
        </w:tc>
        <w:tc>
          <w:tcPr>
            <w:tcW w:w="2540" w:type="dxa"/>
            <w:tcBorders>
              <w:top w:val="nil"/>
              <w:left w:val="single" w:sz="4" w:space="0" w:color="auto"/>
              <w:bottom w:val="single" w:sz="4" w:space="0" w:color="auto"/>
              <w:right w:val="single" w:sz="4" w:space="0" w:color="auto"/>
            </w:tcBorders>
            <w:shd w:val="clear" w:color="auto" w:fill="auto"/>
            <w:noWrap/>
            <w:vAlign w:val="bottom"/>
            <w:hideMark/>
          </w:tcPr>
          <w:p w14:paraId="09B0A5AA" w14:textId="77777777" w:rsidR="003534F0" w:rsidRPr="00C223AB" w:rsidRDefault="003534F0" w:rsidP="00C223AB">
            <w:pPr>
              <w:rPr>
                <w:rFonts w:ascii="Arial" w:eastAsia="Times New Roman" w:hAnsi="Arial" w:cs="Arial"/>
                <w:color w:val="000000"/>
                <w:lang w:val="en-GB"/>
              </w:rPr>
            </w:pPr>
            <w:r w:rsidRPr="00C223AB">
              <w:rPr>
                <w:rFonts w:ascii="Arial" w:eastAsia="Times New Roman" w:hAnsi="Arial" w:cs="Arial"/>
                <w:color w:val="000000"/>
                <w:lang w:val="en-GB"/>
              </w:rPr>
              <w:t>1.4 ±0.4</w:t>
            </w:r>
          </w:p>
        </w:tc>
        <w:tc>
          <w:tcPr>
            <w:tcW w:w="2000" w:type="dxa"/>
            <w:tcBorders>
              <w:top w:val="nil"/>
              <w:left w:val="nil"/>
              <w:bottom w:val="single" w:sz="4" w:space="0" w:color="auto"/>
              <w:right w:val="single" w:sz="4" w:space="0" w:color="auto"/>
            </w:tcBorders>
            <w:shd w:val="clear" w:color="auto" w:fill="auto"/>
            <w:noWrap/>
            <w:vAlign w:val="bottom"/>
            <w:hideMark/>
          </w:tcPr>
          <w:p w14:paraId="58D03203" w14:textId="77777777" w:rsidR="003534F0" w:rsidRPr="00C223AB" w:rsidRDefault="003534F0" w:rsidP="00C223AB">
            <w:pPr>
              <w:rPr>
                <w:rFonts w:ascii="Arial" w:eastAsia="Times New Roman" w:hAnsi="Arial" w:cs="Arial"/>
                <w:color w:val="000000"/>
                <w:lang w:val="en-GB"/>
              </w:rPr>
            </w:pPr>
            <w:r w:rsidRPr="00C223AB">
              <w:rPr>
                <w:rFonts w:ascii="Arial" w:eastAsia="Times New Roman" w:hAnsi="Arial" w:cs="Arial"/>
                <w:color w:val="000000"/>
                <w:lang w:val="en-GB"/>
              </w:rPr>
              <w:t>1.3 ±0.4</w:t>
            </w:r>
          </w:p>
        </w:tc>
        <w:tc>
          <w:tcPr>
            <w:tcW w:w="1380" w:type="dxa"/>
            <w:tcBorders>
              <w:top w:val="nil"/>
              <w:left w:val="nil"/>
              <w:bottom w:val="single" w:sz="4" w:space="0" w:color="auto"/>
              <w:right w:val="single" w:sz="4" w:space="0" w:color="auto"/>
            </w:tcBorders>
            <w:shd w:val="clear" w:color="auto" w:fill="auto"/>
            <w:noWrap/>
            <w:vAlign w:val="bottom"/>
            <w:hideMark/>
          </w:tcPr>
          <w:p w14:paraId="461B9354" w14:textId="77777777" w:rsidR="003534F0" w:rsidRPr="00C223AB" w:rsidRDefault="003534F0" w:rsidP="00C223AB">
            <w:pPr>
              <w:rPr>
                <w:rFonts w:ascii="Arial" w:eastAsia="Times New Roman" w:hAnsi="Arial" w:cs="Arial"/>
                <w:color w:val="000000"/>
                <w:lang w:val="en-GB"/>
              </w:rPr>
            </w:pPr>
            <w:r w:rsidRPr="00C223AB">
              <w:rPr>
                <w:rFonts w:ascii="Arial" w:eastAsia="Times New Roman" w:hAnsi="Arial" w:cs="Arial"/>
                <w:color w:val="000000"/>
                <w:lang w:val="en-GB"/>
              </w:rPr>
              <w:t>&lt;0.001</w:t>
            </w:r>
          </w:p>
        </w:tc>
      </w:tr>
      <w:tr w:rsidR="003534F0" w:rsidRPr="00C223AB" w14:paraId="7E818006" w14:textId="77777777" w:rsidTr="00427AEC">
        <w:trPr>
          <w:trHeight w:val="300"/>
        </w:trPr>
        <w:tc>
          <w:tcPr>
            <w:tcW w:w="3701" w:type="dxa"/>
            <w:gridSpan w:val="2"/>
            <w:tcBorders>
              <w:top w:val="nil"/>
              <w:left w:val="nil"/>
              <w:bottom w:val="nil"/>
              <w:right w:val="nil"/>
            </w:tcBorders>
            <w:shd w:val="clear" w:color="auto" w:fill="auto"/>
            <w:noWrap/>
            <w:vAlign w:val="bottom"/>
            <w:hideMark/>
          </w:tcPr>
          <w:p w14:paraId="4C03684D" w14:textId="77777777" w:rsidR="003534F0" w:rsidRPr="00C223AB" w:rsidRDefault="003534F0" w:rsidP="00C223AB">
            <w:pPr>
              <w:rPr>
                <w:rFonts w:ascii="Arial" w:eastAsia="Times New Roman" w:hAnsi="Arial" w:cs="Arial"/>
                <w:color w:val="000000"/>
                <w:lang w:val="en-GB"/>
              </w:rPr>
            </w:pPr>
            <w:r w:rsidRPr="00C223AB">
              <w:rPr>
                <w:rFonts w:ascii="Arial" w:eastAsia="Times New Roman" w:hAnsi="Arial" w:cs="Arial"/>
                <w:color w:val="000000"/>
                <w:lang w:val="en-GB"/>
              </w:rPr>
              <w:t>Triglycerides, mmol/L</w:t>
            </w:r>
          </w:p>
        </w:tc>
        <w:tc>
          <w:tcPr>
            <w:tcW w:w="2540" w:type="dxa"/>
            <w:tcBorders>
              <w:top w:val="nil"/>
              <w:left w:val="single" w:sz="4" w:space="0" w:color="auto"/>
              <w:bottom w:val="single" w:sz="4" w:space="0" w:color="auto"/>
              <w:right w:val="single" w:sz="4" w:space="0" w:color="auto"/>
            </w:tcBorders>
            <w:shd w:val="clear" w:color="auto" w:fill="auto"/>
            <w:noWrap/>
            <w:vAlign w:val="bottom"/>
            <w:hideMark/>
          </w:tcPr>
          <w:p w14:paraId="39C53B19" w14:textId="77777777" w:rsidR="003534F0" w:rsidRPr="00C223AB" w:rsidRDefault="003534F0" w:rsidP="00C223AB">
            <w:pPr>
              <w:rPr>
                <w:rFonts w:ascii="Arial" w:eastAsia="Times New Roman" w:hAnsi="Arial" w:cs="Arial"/>
                <w:color w:val="000000"/>
                <w:lang w:val="en-GB"/>
              </w:rPr>
            </w:pPr>
            <w:r w:rsidRPr="00C223AB">
              <w:rPr>
                <w:rFonts w:ascii="Arial" w:eastAsia="Times New Roman" w:hAnsi="Arial" w:cs="Arial"/>
                <w:color w:val="000000"/>
                <w:lang w:val="en-GB"/>
              </w:rPr>
              <w:t>1.7 (1.2-2.3)</w:t>
            </w:r>
          </w:p>
        </w:tc>
        <w:tc>
          <w:tcPr>
            <w:tcW w:w="2000" w:type="dxa"/>
            <w:tcBorders>
              <w:top w:val="nil"/>
              <w:left w:val="nil"/>
              <w:bottom w:val="single" w:sz="4" w:space="0" w:color="auto"/>
              <w:right w:val="single" w:sz="4" w:space="0" w:color="auto"/>
            </w:tcBorders>
            <w:shd w:val="clear" w:color="auto" w:fill="auto"/>
            <w:noWrap/>
            <w:vAlign w:val="bottom"/>
            <w:hideMark/>
          </w:tcPr>
          <w:p w14:paraId="5E7901DA" w14:textId="2EC71D15" w:rsidR="003534F0" w:rsidRPr="00C223AB" w:rsidRDefault="003534F0" w:rsidP="00C223AB">
            <w:pPr>
              <w:rPr>
                <w:rFonts w:ascii="Arial" w:eastAsia="Times New Roman" w:hAnsi="Arial" w:cs="Arial"/>
                <w:color w:val="000000"/>
                <w:lang w:val="en-GB"/>
              </w:rPr>
            </w:pPr>
            <w:r w:rsidRPr="00C223AB">
              <w:rPr>
                <w:rFonts w:ascii="Arial" w:eastAsia="Times New Roman" w:hAnsi="Arial" w:cs="Arial"/>
                <w:color w:val="000000"/>
                <w:lang w:val="en-GB"/>
              </w:rPr>
              <w:t>2</w:t>
            </w:r>
            <w:r w:rsidR="0065579B" w:rsidRPr="00C223AB">
              <w:rPr>
                <w:rFonts w:ascii="Arial" w:eastAsia="Times New Roman" w:hAnsi="Arial" w:cs="Arial"/>
                <w:color w:val="000000"/>
                <w:lang w:val="en-GB"/>
              </w:rPr>
              <w:t>.0</w:t>
            </w:r>
            <w:r w:rsidRPr="00C223AB">
              <w:rPr>
                <w:rFonts w:ascii="Arial" w:eastAsia="Times New Roman" w:hAnsi="Arial" w:cs="Arial"/>
                <w:color w:val="000000"/>
                <w:lang w:val="en-GB"/>
              </w:rPr>
              <w:t xml:space="preserve"> (1.4-2.8)</w:t>
            </w:r>
          </w:p>
        </w:tc>
        <w:tc>
          <w:tcPr>
            <w:tcW w:w="1380" w:type="dxa"/>
            <w:tcBorders>
              <w:top w:val="nil"/>
              <w:left w:val="nil"/>
              <w:bottom w:val="single" w:sz="4" w:space="0" w:color="auto"/>
              <w:right w:val="single" w:sz="4" w:space="0" w:color="auto"/>
            </w:tcBorders>
            <w:shd w:val="clear" w:color="auto" w:fill="auto"/>
            <w:noWrap/>
            <w:vAlign w:val="bottom"/>
            <w:hideMark/>
          </w:tcPr>
          <w:p w14:paraId="6348E4E1" w14:textId="77777777" w:rsidR="003534F0" w:rsidRPr="00C223AB" w:rsidRDefault="003534F0" w:rsidP="00C223AB">
            <w:pPr>
              <w:rPr>
                <w:rFonts w:ascii="Arial" w:eastAsia="Times New Roman" w:hAnsi="Arial" w:cs="Arial"/>
                <w:color w:val="000000"/>
                <w:lang w:val="en-GB"/>
              </w:rPr>
            </w:pPr>
            <w:r w:rsidRPr="00C223AB">
              <w:rPr>
                <w:rFonts w:ascii="Arial" w:eastAsia="Times New Roman" w:hAnsi="Arial" w:cs="Arial"/>
                <w:color w:val="000000"/>
                <w:lang w:val="en-GB"/>
              </w:rPr>
              <w:t>&lt;0.001</w:t>
            </w:r>
          </w:p>
        </w:tc>
      </w:tr>
      <w:tr w:rsidR="004B02B9" w:rsidRPr="00C223AB" w14:paraId="0A3F5F34" w14:textId="77777777" w:rsidTr="00427AEC">
        <w:trPr>
          <w:trHeight w:val="300"/>
        </w:trPr>
        <w:tc>
          <w:tcPr>
            <w:tcW w:w="3701" w:type="dxa"/>
            <w:gridSpan w:val="2"/>
            <w:tcBorders>
              <w:top w:val="nil"/>
              <w:left w:val="nil"/>
              <w:bottom w:val="nil"/>
              <w:right w:val="nil"/>
            </w:tcBorders>
            <w:shd w:val="clear" w:color="auto" w:fill="auto"/>
            <w:noWrap/>
            <w:vAlign w:val="bottom"/>
          </w:tcPr>
          <w:p w14:paraId="54545162" w14:textId="7E920B91" w:rsidR="004B02B9" w:rsidRPr="00C223AB" w:rsidRDefault="004B02B9" w:rsidP="00C223AB">
            <w:pPr>
              <w:rPr>
                <w:rFonts w:ascii="Arial" w:eastAsia="Times New Roman" w:hAnsi="Arial" w:cs="Arial"/>
                <w:color w:val="000000"/>
                <w:lang w:val="en-GB"/>
              </w:rPr>
            </w:pPr>
            <w:r w:rsidRPr="00C223AB">
              <w:rPr>
                <w:rFonts w:ascii="Arial" w:eastAsia="Times New Roman" w:hAnsi="Arial" w:cs="Arial"/>
                <w:color w:val="000000"/>
                <w:lang w:val="en-GB"/>
              </w:rPr>
              <w:t>Remnant cholesterol, mmol/L</w:t>
            </w:r>
          </w:p>
        </w:tc>
        <w:tc>
          <w:tcPr>
            <w:tcW w:w="2540" w:type="dxa"/>
            <w:tcBorders>
              <w:top w:val="nil"/>
              <w:left w:val="single" w:sz="4" w:space="0" w:color="auto"/>
              <w:bottom w:val="single" w:sz="4" w:space="0" w:color="auto"/>
              <w:right w:val="single" w:sz="4" w:space="0" w:color="auto"/>
            </w:tcBorders>
            <w:shd w:val="clear" w:color="auto" w:fill="auto"/>
            <w:noWrap/>
            <w:vAlign w:val="bottom"/>
          </w:tcPr>
          <w:p w14:paraId="41C2EECC" w14:textId="43D2B48F" w:rsidR="004B02B9" w:rsidRPr="00C223AB" w:rsidRDefault="004B02B9" w:rsidP="00C223AB">
            <w:pPr>
              <w:rPr>
                <w:rFonts w:ascii="Arial" w:eastAsia="Times New Roman" w:hAnsi="Arial" w:cs="Arial"/>
                <w:color w:val="000000"/>
                <w:lang w:val="en-GB"/>
              </w:rPr>
            </w:pPr>
            <w:r w:rsidRPr="00C223AB">
              <w:rPr>
                <w:rFonts w:ascii="Arial" w:eastAsia="Times New Roman" w:hAnsi="Arial" w:cs="Arial"/>
                <w:color w:val="000000"/>
                <w:lang w:val="en-GB"/>
              </w:rPr>
              <w:t>0.7 (0.5-1.0)</w:t>
            </w:r>
          </w:p>
        </w:tc>
        <w:tc>
          <w:tcPr>
            <w:tcW w:w="2000" w:type="dxa"/>
            <w:tcBorders>
              <w:top w:val="nil"/>
              <w:left w:val="nil"/>
              <w:bottom w:val="single" w:sz="4" w:space="0" w:color="auto"/>
              <w:right w:val="single" w:sz="4" w:space="0" w:color="auto"/>
            </w:tcBorders>
            <w:shd w:val="clear" w:color="auto" w:fill="auto"/>
            <w:noWrap/>
            <w:vAlign w:val="bottom"/>
          </w:tcPr>
          <w:p w14:paraId="6E4FEBE9" w14:textId="0565A799" w:rsidR="004B02B9" w:rsidRPr="00C223AB" w:rsidRDefault="004B02B9" w:rsidP="00C223AB">
            <w:pPr>
              <w:rPr>
                <w:rFonts w:ascii="Arial" w:eastAsia="Times New Roman" w:hAnsi="Arial" w:cs="Arial"/>
                <w:color w:val="000000"/>
                <w:lang w:val="en-GB"/>
              </w:rPr>
            </w:pPr>
            <w:r w:rsidRPr="00C223AB">
              <w:rPr>
                <w:rFonts w:ascii="Arial" w:eastAsia="Times New Roman" w:hAnsi="Arial" w:cs="Arial"/>
                <w:color w:val="000000"/>
                <w:lang w:val="en-GB"/>
              </w:rPr>
              <w:t>0.8 (0.6-1.2)</w:t>
            </w:r>
          </w:p>
        </w:tc>
        <w:tc>
          <w:tcPr>
            <w:tcW w:w="1380" w:type="dxa"/>
            <w:tcBorders>
              <w:top w:val="nil"/>
              <w:left w:val="nil"/>
              <w:bottom w:val="single" w:sz="4" w:space="0" w:color="auto"/>
              <w:right w:val="single" w:sz="4" w:space="0" w:color="auto"/>
            </w:tcBorders>
            <w:shd w:val="clear" w:color="auto" w:fill="auto"/>
            <w:noWrap/>
            <w:vAlign w:val="bottom"/>
          </w:tcPr>
          <w:p w14:paraId="0B1A47C1" w14:textId="27DB3D4C" w:rsidR="004B02B9" w:rsidRPr="00C223AB" w:rsidRDefault="004B02B9" w:rsidP="00C223AB">
            <w:pPr>
              <w:rPr>
                <w:rFonts w:ascii="Arial" w:eastAsia="Times New Roman" w:hAnsi="Arial" w:cs="Arial"/>
                <w:color w:val="000000"/>
                <w:lang w:val="en-GB"/>
              </w:rPr>
            </w:pPr>
            <w:r w:rsidRPr="00C223AB">
              <w:rPr>
                <w:rFonts w:ascii="Arial" w:eastAsia="Times New Roman" w:hAnsi="Arial" w:cs="Arial"/>
                <w:color w:val="000000"/>
                <w:lang w:val="en-GB"/>
              </w:rPr>
              <w:t>&lt;0.001</w:t>
            </w:r>
          </w:p>
        </w:tc>
      </w:tr>
      <w:tr w:rsidR="004B02B9" w:rsidRPr="00C223AB" w14:paraId="78AC00EF" w14:textId="77777777" w:rsidTr="00427AEC">
        <w:trPr>
          <w:trHeight w:val="300"/>
        </w:trPr>
        <w:tc>
          <w:tcPr>
            <w:tcW w:w="3701" w:type="dxa"/>
            <w:gridSpan w:val="2"/>
            <w:tcBorders>
              <w:top w:val="nil"/>
              <w:left w:val="nil"/>
              <w:bottom w:val="nil"/>
              <w:right w:val="nil"/>
            </w:tcBorders>
            <w:shd w:val="clear" w:color="auto" w:fill="auto"/>
            <w:noWrap/>
            <w:vAlign w:val="bottom"/>
            <w:hideMark/>
          </w:tcPr>
          <w:p w14:paraId="491962C9" w14:textId="77777777" w:rsidR="004B02B9" w:rsidRPr="00C223AB" w:rsidRDefault="004B02B9" w:rsidP="00C223AB">
            <w:pPr>
              <w:rPr>
                <w:rFonts w:ascii="Arial" w:eastAsia="Times New Roman" w:hAnsi="Arial" w:cs="Arial"/>
                <w:color w:val="000000"/>
                <w:lang w:val="en-GB"/>
              </w:rPr>
            </w:pPr>
            <w:r w:rsidRPr="00C223AB">
              <w:rPr>
                <w:rFonts w:ascii="Arial" w:eastAsia="Times New Roman" w:hAnsi="Arial" w:cs="Arial"/>
                <w:color w:val="000000"/>
                <w:lang w:val="en-GB"/>
              </w:rPr>
              <w:t>Apolipoprotein A-I, mg/dL</w:t>
            </w:r>
          </w:p>
        </w:tc>
        <w:tc>
          <w:tcPr>
            <w:tcW w:w="2540" w:type="dxa"/>
            <w:tcBorders>
              <w:top w:val="nil"/>
              <w:left w:val="single" w:sz="4" w:space="0" w:color="auto"/>
              <w:bottom w:val="single" w:sz="4" w:space="0" w:color="auto"/>
              <w:right w:val="single" w:sz="4" w:space="0" w:color="auto"/>
            </w:tcBorders>
            <w:shd w:val="clear" w:color="auto" w:fill="auto"/>
            <w:noWrap/>
            <w:vAlign w:val="bottom"/>
            <w:hideMark/>
          </w:tcPr>
          <w:p w14:paraId="6DEF958E" w14:textId="77777777" w:rsidR="004B02B9" w:rsidRPr="00C223AB" w:rsidRDefault="004B02B9" w:rsidP="00C223AB">
            <w:pPr>
              <w:rPr>
                <w:rFonts w:ascii="Arial" w:eastAsia="Times New Roman" w:hAnsi="Arial" w:cs="Arial"/>
                <w:color w:val="000000"/>
                <w:lang w:val="en-GB"/>
              </w:rPr>
            </w:pPr>
            <w:r w:rsidRPr="00C223AB">
              <w:rPr>
                <w:rFonts w:ascii="Arial" w:eastAsia="Times New Roman" w:hAnsi="Arial" w:cs="Arial"/>
                <w:color w:val="000000"/>
                <w:lang w:val="en-GB"/>
              </w:rPr>
              <w:t>162.2 ±28.9</w:t>
            </w:r>
          </w:p>
        </w:tc>
        <w:tc>
          <w:tcPr>
            <w:tcW w:w="2000" w:type="dxa"/>
            <w:tcBorders>
              <w:top w:val="nil"/>
              <w:left w:val="nil"/>
              <w:bottom w:val="single" w:sz="4" w:space="0" w:color="auto"/>
              <w:right w:val="single" w:sz="4" w:space="0" w:color="auto"/>
            </w:tcBorders>
            <w:shd w:val="clear" w:color="auto" w:fill="auto"/>
            <w:noWrap/>
            <w:vAlign w:val="bottom"/>
            <w:hideMark/>
          </w:tcPr>
          <w:p w14:paraId="1B494EF1" w14:textId="77777777" w:rsidR="004B02B9" w:rsidRPr="00C223AB" w:rsidRDefault="004B02B9" w:rsidP="00C223AB">
            <w:pPr>
              <w:rPr>
                <w:rFonts w:ascii="Arial" w:eastAsia="Times New Roman" w:hAnsi="Arial" w:cs="Arial"/>
                <w:color w:val="000000"/>
                <w:lang w:val="en-GB"/>
              </w:rPr>
            </w:pPr>
            <w:r w:rsidRPr="00C223AB">
              <w:rPr>
                <w:rFonts w:ascii="Arial" w:eastAsia="Times New Roman" w:hAnsi="Arial" w:cs="Arial"/>
                <w:color w:val="000000"/>
                <w:lang w:val="en-GB"/>
              </w:rPr>
              <w:t>154.6 ±29.3</w:t>
            </w:r>
          </w:p>
        </w:tc>
        <w:tc>
          <w:tcPr>
            <w:tcW w:w="1380" w:type="dxa"/>
            <w:tcBorders>
              <w:top w:val="nil"/>
              <w:left w:val="nil"/>
              <w:bottom w:val="single" w:sz="4" w:space="0" w:color="auto"/>
              <w:right w:val="single" w:sz="4" w:space="0" w:color="auto"/>
            </w:tcBorders>
            <w:shd w:val="clear" w:color="auto" w:fill="auto"/>
            <w:noWrap/>
            <w:vAlign w:val="bottom"/>
            <w:hideMark/>
          </w:tcPr>
          <w:p w14:paraId="66662BD2" w14:textId="77777777" w:rsidR="004B02B9" w:rsidRPr="00C223AB" w:rsidRDefault="004B02B9" w:rsidP="00C223AB">
            <w:pPr>
              <w:rPr>
                <w:rFonts w:ascii="Arial" w:eastAsia="Times New Roman" w:hAnsi="Arial" w:cs="Arial"/>
                <w:color w:val="000000"/>
                <w:lang w:val="en-GB"/>
              </w:rPr>
            </w:pPr>
            <w:r w:rsidRPr="00C223AB">
              <w:rPr>
                <w:rFonts w:ascii="Arial" w:eastAsia="Times New Roman" w:hAnsi="Arial" w:cs="Arial"/>
                <w:color w:val="000000"/>
                <w:lang w:val="en-GB"/>
              </w:rPr>
              <w:t>&lt;0.001</w:t>
            </w:r>
          </w:p>
        </w:tc>
      </w:tr>
      <w:tr w:rsidR="004B02B9" w:rsidRPr="00C223AB" w14:paraId="3CEB2BC7" w14:textId="77777777" w:rsidTr="00E168EF">
        <w:trPr>
          <w:trHeight w:val="300"/>
        </w:trPr>
        <w:tc>
          <w:tcPr>
            <w:tcW w:w="3701" w:type="dxa"/>
            <w:gridSpan w:val="2"/>
            <w:tcBorders>
              <w:top w:val="nil"/>
              <w:left w:val="nil"/>
              <w:bottom w:val="nil"/>
              <w:right w:val="nil"/>
            </w:tcBorders>
            <w:shd w:val="clear" w:color="auto" w:fill="auto"/>
            <w:noWrap/>
            <w:vAlign w:val="bottom"/>
            <w:hideMark/>
          </w:tcPr>
          <w:p w14:paraId="79ACD55F" w14:textId="77777777" w:rsidR="004B02B9" w:rsidRPr="00C223AB" w:rsidRDefault="004B02B9" w:rsidP="00C223AB">
            <w:pPr>
              <w:rPr>
                <w:rFonts w:ascii="Arial" w:eastAsia="Times New Roman" w:hAnsi="Arial" w:cs="Arial"/>
                <w:color w:val="000000"/>
                <w:lang w:val="en-GB"/>
              </w:rPr>
            </w:pPr>
            <w:r w:rsidRPr="00C223AB">
              <w:rPr>
                <w:rFonts w:ascii="Arial" w:eastAsia="Times New Roman" w:hAnsi="Arial" w:cs="Arial"/>
                <w:color w:val="000000"/>
                <w:lang w:val="en-GB"/>
              </w:rPr>
              <w:t>Apolipoprotein B, mg/dL</w:t>
            </w:r>
          </w:p>
        </w:tc>
        <w:tc>
          <w:tcPr>
            <w:tcW w:w="2540" w:type="dxa"/>
            <w:tcBorders>
              <w:top w:val="nil"/>
              <w:left w:val="single" w:sz="4" w:space="0" w:color="auto"/>
              <w:bottom w:val="single" w:sz="4" w:space="0" w:color="auto"/>
              <w:right w:val="single" w:sz="4" w:space="0" w:color="auto"/>
            </w:tcBorders>
            <w:shd w:val="clear" w:color="auto" w:fill="auto"/>
            <w:noWrap/>
            <w:vAlign w:val="bottom"/>
            <w:hideMark/>
          </w:tcPr>
          <w:p w14:paraId="768283C9" w14:textId="77777777" w:rsidR="004B02B9" w:rsidRPr="00C223AB" w:rsidRDefault="004B02B9" w:rsidP="00C223AB">
            <w:pPr>
              <w:rPr>
                <w:rFonts w:ascii="Arial" w:eastAsia="Times New Roman" w:hAnsi="Arial" w:cs="Arial"/>
                <w:color w:val="000000"/>
                <w:lang w:val="en-GB"/>
              </w:rPr>
            </w:pPr>
            <w:r w:rsidRPr="00C223AB">
              <w:rPr>
                <w:rFonts w:ascii="Arial" w:eastAsia="Times New Roman" w:hAnsi="Arial" w:cs="Arial"/>
                <w:color w:val="000000"/>
                <w:lang w:val="en-GB"/>
              </w:rPr>
              <w:t>129.1 ±31.2</w:t>
            </w:r>
          </w:p>
        </w:tc>
        <w:tc>
          <w:tcPr>
            <w:tcW w:w="2000" w:type="dxa"/>
            <w:tcBorders>
              <w:top w:val="nil"/>
              <w:left w:val="nil"/>
              <w:bottom w:val="single" w:sz="4" w:space="0" w:color="auto"/>
              <w:right w:val="single" w:sz="4" w:space="0" w:color="auto"/>
            </w:tcBorders>
            <w:shd w:val="clear" w:color="auto" w:fill="auto"/>
            <w:noWrap/>
            <w:vAlign w:val="bottom"/>
            <w:hideMark/>
          </w:tcPr>
          <w:p w14:paraId="0806B3FA" w14:textId="77777777" w:rsidR="004B02B9" w:rsidRPr="00C223AB" w:rsidRDefault="004B02B9" w:rsidP="00C223AB">
            <w:pPr>
              <w:rPr>
                <w:rFonts w:ascii="Arial" w:eastAsia="Times New Roman" w:hAnsi="Arial" w:cs="Arial"/>
                <w:color w:val="000000"/>
                <w:lang w:val="en-GB"/>
              </w:rPr>
            </w:pPr>
            <w:r w:rsidRPr="00C223AB">
              <w:rPr>
                <w:rFonts w:ascii="Arial" w:eastAsia="Times New Roman" w:hAnsi="Arial" w:cs="Arial"/>
                <w:color w:val="000000"/>
                <w:lang w:val="en-GB"/>
              </w:rPr>
              <w:t>137.6 ±32.7</w:t>
            </w:r>
          </w:p>
        </w:tc>
        <w:tc>
          <w:tcPr>
            <w:tcW w:w="1380" w:type="dxa"/>
            <w:tcBorders>
              <w:top w:val="nil"/>
              <w:left w:val="nil"/>
              <w:bottom w:val="single" w:sz="4" w:space="0" w:color="auto"/>
              <w:right w:val="single" w:sz="4" w:space="0" w:color="auto"/>
            </w:tcBorders>
            <w:shd w:val="clear" w:color="auto" w:fill="auto"/>
            <w:noWrap/>
            <w:vAlign w:val="bottom"/>
            <w:hideMark/>
          </w:tcPr>
          <w:p w14:paraId="04333E56" w14:textId="77777777" w:rsidR="004B02B9" w:rsidRPr="00C223AB" w:rsidRDefault="004B02B9" w:rsidP="00C223AB">
            <w:pPr>
              <w:rPr>
                <w:rFonts w:ascii="Arial" w:eastAsia="Times New Roman" w:hAnsi="Arial" w:cs="Arial"/>
                <w:color w:val="000000"/>
                <w:lang w:val="en-GB"/>
              </w:rPr>
            </w:pPr>
            <w:r w:rsidRPr="00C223AB">
              <w:rPr>
                <w:rFonts w:ascii="Arial" w:eastAsia="Times New Roman" w:hAnsi="Arial" w:cs="Arial"/>
                <w:color w:val="000000"/>
                <w:lang w:val="en-GB"/>
              </w:rPr>
              <w:t>&lt;0.001</w:t>
            </w:r>
          </w:p>
        </w:tc>
      </w:tr>
      <w:tr w:rsidR="004B02B9" w:rsidRPr="00C223AB" w14:paraId="1B344E63" w14:textId="77777777" w:rsidTr="00E168EF">
        <w:trPr>
          <w:trHeight w:val="300"/>
        </w:trPr>
        <w:tc>
          <w:tcPr>
            <w:tcW w:w="3701" w:type="dxa"/>
            <w:gridSpan w:val="2"/>
            <w:tcBorders>
              <w:top w:val="nil"/>
              <w:left w:val="nil"/>
              <w:bottom w:val="nil"/>
              <w:right w:val="nil"/>
            </w:tcBorders>
            <w:shd w:val="clear" w:color="auto" w:fill="auto"/>
            <w:noWrap/>
            <w:vAlign w:val="bottom"/>
          </w:tcPr>
          <w:p w14:paraId="42DD5B50" w14:textId="3F357F56" w:rsidR="004B02B9" w:rsidRPr="00C223AB" w:rsidRDefault="004B02B9" w:rsidP="00C223AB">
            <w:pPr>
              <w:rPr>
                <w:rFonts w:ascii="Arial" w:eastAsia="Times New Roman" w:hAnsi="Arial" w:cs="Arial"/>
                <w:color w:val="000000"/>
                <w:lang w:val="en-GB"/>
              </w:rPr>
            </w:pPr>
            <w:r w:rsidRPr="00C223AB">
              <w:rPr>
                <w:rFonts w:ascii="Arial" w:eastAsia="Times New Roman" w:hAnsi="Arial" w:cs="Arial"/>
                <w:color w:val="000000"/>
                <w:lang w:val="en-GB"/>
              </w:rPr>
              <w:t>Lipoprotein(a), mg/dL</w:t>
            </w:r>
          </w:p>
        </w:tc>
        <w:tc>
          <w:tcPr>
            <w:tcW w:w="254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104F0B1" w14:textId="781E2E6C" w:rsidR="004B02B9" w:rsidRPr="00C223AB" w:rsidRDefault="004B02B9" w:rsidP="00C223AB">
            <w:pPr>
              <w:rPr>
                <w:rFonts w:ascii="Arial" w:eastAsia="Times New Roman" w:hAnsi="Arial" w:cs="Arial"/>
                <w:color w:val="000000"/>
                <w:lang w:val="en-GB"/>
              </w:rPr>
            </w:pPr>
            <w:r w:rsidRPr="00C223AB">
              <w:rPr>
                <w:rFonts w:ascii="Arial" w:eastAsia="Times New Roman" w:hAnsi="Arial" w:cs="Arial"/>
                <w:color w:val="000000"/>
                <w:lang w:val="en-GB"/>
              </w:rPr>
              <w:t>8.4 (6.4-13.6)</w:t>
            </w:r>
          </w:p>
        </w:tc>
        <w:tc>
          <w:tcPr>
            <w:tcW w:w="2000" w:type="dxa"/>
            <w:tcBorders>
              <w:top w:val="single" w:sz="4" w:space="0" w:color="auto"/>
              <w:left w:val="nil"/>
              <w:bottom w:val="single" w:sz="4" w:space="0" w:color="auto"/>
              <w:right w:val="single" w:sz="4" w:space="0" w:color="auto"/>
            </w:tcBorders>
            <w:shd w:val="clear" w:color="auto" w:fill="auto"/>
            <w:noWrap/>
            <w:vAlign w:val="bottom"/>
          </w:tcPr>
          <w:p w14:paraId="75928DF7" w14:textId="52EEF3E9" w:rsidR="004B02B9" w:rsidRPr="00C223AB" w:rsidRDefault="004B02B9" w:rsidP="00C223AB">
            <w:pPr>
              <w:rPr>
                <w:rFonts w:ascii="Arial" w:eastAsia="Times New Roman" w:hAnsi="Arial" w:cs="Arial"/>
                <w:color w:val="000000"/>
                <w:lang w:val="en-GB"/>
              </w:rPr>
            </w:pPr>
            <w:r w:rsidRPr="00C223AB">
              <w:rPr>
                <w:rFonts w:ascii="Arial" w:eastAsia="Times New Roman" w:hAnsi="Arial" w:cs="Arial"/>
                <w:color w:val="000000"/>
                <w:lang w:val="en-GB"/>
              </w:rPr>
              <w:t>9.5 (6.9-24.7)</w:t>
            </w:r>
          </w:p>
        </w:tc>
        <w:tc>
          <w:tcPr>
            <w:tcW w:w="1380" w:type="dxa"/>
            <w:tcBorders>
              <w:top w:val="single" w:sz="4" w:space="0" w:color="auto"/>
              <w:left w:val="nil"/>
              <w:bottom w:val="single" w:sz="4" w:space="0" w:color="auto"/>
              <w:right w:val="single" w:sz="4" w:space="0" w:color="auto"/>
            </w:tcBorders>
            <w:shd w:val="clear" w:color="auto" w:fill="auto"/>
            <w:noWrap/>
            <w:vAlign w:val="bottom"/>
          </w:tcPr>
          <w:p w14:paraId="125D2A81" w14:textId="7CF72240" w:rsidR="004B02B9" w:rsidRPr="00C223AB" w:rsidRDefault="004B02B9" w:rsidP="00C223AB">
            <w:pPr>
              <w:rPr>
                <w:rFonts w:ascii="Arial" w:eastAsia="Times New Roman" w:hAnsi="Arial" w:cs="Arial"/>
                <w:color w:val="000000"/>
                <w:lang w:val="en-GB"/>
              </w:rPr>
            </w:pPr>
            <w:r w:rsidRPr="00C223AB">
              <w:rPr>
                <w:rFonts w:ascii="Arial" w:eastAsia="Times New Roman" w:hAnsi="Arial" w:cs="Arial"/>
                <w:color w:val="000000"/>
                <w:lang w:val="en-GB"/>
              </w:rPr>
              <w:t>&lt;0.001</w:t>
            </w:r>
          </w:p>
        </w:tc>
      </w:tr>
    </w:tbl>
    <w:p w14:paraId="24FB5686" w14:textId="77777777" w:rsidR="002A2A8C" w:rsidRPr="00C223AB" w:rsidRDefault="002A2A8C" w:rsidP="00C223AB">
      <w:pPr>
        <w:rPr>
          <w:rFonts w:ascii="Arial" w:hAnsi="Arial" w:cs="Arial"/>
        </w:rPr>
      </w:pPr>
    </w:p>
    <w:p w14:paraId="5933155D" w14:textId="44B6C708" w:rsidR="002A2A8C" w:rsidRPr="00C223AB" w:rsidRDefault="000A5C1D" w:rsidP="00C223AB">
      <w:pPr>
        <w:rPr>
          <w:rFonts w:ascii="Arial" w:hAnsi="Arial" w:cs="Arial"/>
        </w:rPr>
      </w:pPr>
      <w:r w:rsidRPr="00C223AB">
        <w:rPr>
          <w:rFonts w:ascii="Arial" w:hAnsi="Arial" w:cs="Arial"/>
        </w:rPr>
        <w:t>Continuous variables with a normal distribution are reported as mean ±</w:t>
      </w:r>
      <w:r w:rsidR="006B738C" w:rsidRPr="00C223AB">
        <w:rPr>
          <w:rFonts w:ascii="Arial" w:hAnsi="Arial" w:cs="Arial"/>
        </w:rPr>
        <w:t xml:space="preserve"> standard deviation. Continuous variables with a non-normal distribution are reported as median (interquartile range). Dichotomous variables are reported as percentage of total cohort (number). P-</w:t>
      </w:r>
      <w:r w:rsidR="000E7460" w:rsidRPr="00C223AB">
        <w:rPr>
          <w:rFonts w:ascii="Arial" w:hAnsi="Arial" w:cs="Arial"/>
        </w:rPr>
        <w:t>v</w:t>
      </w:r>
      <w:r w:rsidR="006B738C" w:rsidRPr="00C223AB">
        <w:rPr>
          <w:rFonts w:ascii="Arial" w:hAnsi="Arial" w:cs="Arial"/>
        </w:rPr>
        <w:t>alues are for student</w:t>
      </w:r>
      <w:r w:rsidR="000E7460" w:rsidRPr="00C223AB">
        <w:rPr>
          <w:rFonts w:ascii="Arial" w:hAnsi="Arial" w:cs="Arial"/>
        </w:rPr>
        <w:t xml:space="preserve">’ </w:t>
      </w:r>
      <w:r w:rsidR="006B738C" w:rsidRPr="00C223AB">
        <w:rPr>
          <w:rFonts w:ascii="Arial" w:hAnsi="Arial" w:cs="Arial"/>
        </w:rPr>
        <w:t>s T-</w:t>
      </w:r>
      <w:r w:rsidR="000E7460" w:rsidRPr="00C223AB">
        <w:rPr>
          <w:rFonts w:ascii="Arial" w:hAnsi="Arial" w:cs="Arial"/>
        </w:rPr>
        <w:t>t</w:t>
      </w:r>
      <w:r w:rsidR="006B738C" w:rsidRPr="00C223AB">
        <w:rPr>
          <w:rFonts w:ascii="Arial" w:hAnsi="Arial" w:cs="Arial"/>
        </w:rPr>
        <w:t>est for continuous variables and X</w:t>
      </w:r>
      <w:r w:rsidR="006B738C" w:rsidRPr="00C223AB">
        <w:rPr>
          <w:rFonts w:ascii="Arial" w:hAnsi="Arial" w:cs="Arial"/>
          <w:vertAlign w:val="superscript"/>
        </w:rPr>
        <w:t>2</w:t>
      </w:r>
      <w:r w:rsidR="006B738C" w:rsidRPr="00C223AB">
        <w:rPr>
          <w:rFonts w:ascii="Arial" w:hAnsi="Arial" w:cs="Arial"/>
        </w:rPr>
        <w:t xml:space="preserve"> test for dichotomous variables. </w:t>
      </w:r>
    </w:p>
    <w:p w14:paraId="17C783F4" w14:textId="77777777" w:rsidR="002A2A8C" w:rsidRPr="00C223AB" w:rsidRDefault="002A2A8C" w:rsidP="00C223AB">
      <w:pPr>
        <w:rPr>
          <w:rFonts w:ascii="Arial" w:hAnsi="Arial" w:cs="Arial"/>
        </w:rPr>
      </w:pPr>
    </w:p>
    <w:p w14:paraId="5C1DE215" w14:textId="77777777" w:rsidR="002A2A8C" w:rsidRPr="00C223AB" w:rsidRDefault="002A2A8C" w:rsidP="00C223AB">
      <w:pPr>
        <w:rPr>
          <w:rFonts w:ascii="Arial" w:hAnsi="Arial" w:cs="Arial"/>
        </w:rPr>
      </w:pPr>
    </w:p>
    <w:p w14:paraId="2A65160C" w14:textId="77777777" w:rsidR="004076A5" w:rsidRPr="00C223AB" w:rsidRDefault="004076A5" w:rsidP="00C223AB">
      <w:pPr>
        <w:rPr>
          <w:rFonts w:ascii="Arial" w:hAnsi="Arial" w:cs="Arial"/>
        </w:rPr>
      </w:pPr>
    </w:p>
    <w:p w14:paraId="030B8CFA" w14:textId="77777777" w:rsidR="007C4DC9" w:rsidRPr="00C223AB" w:rsidRDefault="007C4DC9" w:rsidP="00C223AB">
      <w:pPr>
        <w:rPr>
          <w:rFonts w:ascii="Arial" w:hAnsi="Arial" w:cs="Arial"/>
        </w:rPr>
      </w:pPr>
      <w:r w:rsidRPr="00C223AB">
        <w:rPr>
          <w:rFonts w:ascii="Arial" w:hAnsi="Arial" w:cs="Arial"/>
          <w:b/>
        </w:rPr>
        <w:lastRenderedPageBreak/>
        <w:t xml:space="preserve">Table </w:t>
      </w:r>
      <w:r w:rsidR="002A2A8C" w:rsidRPr="00C223AB">
        <w:rPr>
          <w:rFonts w:ascii="Arial" w:hAnsi="Arial" w:cs="Arial"/>
          <w:b/>
        </w:rPr>
        <w:t>2</w:t>
      </w:r>
      <w:r w:rsidRPr="00C223AB">
        <w:rPr>
          <w:rFonts w:ascii="Arial" w:hAnsi="Arial" w:cs="Arial"/>
          <w:b/>
        </w:rPr>
        <w:t>.</w:t>
      </w:r>
      <w:r w:rsidRPr="00C223AB">
        <w:rPr>
          <w:rFonts w:ascii="Arial" w:hAnsi="Arial" w:cs="Arial"/>
        </w:rPr>
        <w:t xml:space="preserve"> Baseline characteristics per </w:t>
      </w:r>
      <w:r w:rsidR="00B40C02" w:rsidRPr="00C223AB">
        <w:rPr>
          <w:rFonts w:ascii="Arial" w:hAnsi="Arial" w:cs="Arial"/>
        </w:rPr>
        <w:t>apo</w:t>
      </w:r>
      <w:r w:rsidR="002C7052" w:rsidRPr="00C223AB">
        <w:rPr>
          <w:rFonts w:ascii="Arial" w:hAnsi="Arial" w:cs="Arial"/>
        </w:rPr>
        <w:t>C-III</w:t>
      </w:r>
      <w:r w:rsidR="004076A5" w:rsidRPr="00C223AB">
        <w:rPr>
          <w:rFonts w:ascii="Arial" w:hAnsi="Arial" w:cs="Arial"/>
        </w:rPr>
        <w:t xml:space="preserve"> quintile</w:t>
      </w:r>
      <w:r w:rsidRPr="00C223AB">
        <w:rPr>
          <w:rFonts w:ascii="Arial" w:hAnsi="Arial" w:cs="Arial"/>
        </w:rPr>
        <w:t xml:space="preserve">. </w:t>
      </w:r>
    </w:p>
    <w:tbl>
      <w:tblPr>
        <w:tblW w:w="14099" w:type="dxa"/>
        <w:tblInd w:w="55" w:type="dxa"/>
        <w:tblCellMar>
          <w:left w:w="70" w:type="dxa"/>
          <w:right w:w="70" w:type="dxa"/>
        </w:tblCellMar>
        <w:tblLook w:val="04A0" w:firstRow="1" w:lastRow="0" w:firstColumn="1" w:lastColumn="0" w:noHBand="0" w:noVBand="1"/>
      </w:tblPr>
      <w:tblGrid>
        <w:gridCol w:w="3559"/>
        <w:gridCol w:w="146"/>
        <w:gridCol w:w="1540"/>
        <w:gridCol w:w="1646"/>
        <w:gridCol w:w="1820"/>
        <w:gridCol w:w="1560"/>
        <w:gridCol w:w="1581"/>
        <w:gridCol w:w="919"/>
        <w:gridCol w:w="1328"/>
      </w:tblGrid>
      <w:tr w:rsidR="00615BC9" w:rsidRPr="00C223AB" w14:paraId="51759D9E" w14:textId="77777777" w:rsidTr="00357FB4">
        <w:trPr>
          <w:gridAfter w:val="1"/>
          <w:wAfter w:w="1328" w:type="dxa"/>
          <w:trHeight w:val="300"/>
        </w:trPr>
        <w:tc>
          <w:tcPr>
            <w:tcW w:w="3559" w:type="dxa"/>
            <w:tcBorders>
              <w:top w:val="nil"/>
              <w:left w:val="nil"/>
              <w:bottom w:val="nil"/>
              <w:right w:val="nil"/>
            </w:tcBorders>
            <w:shd w:val="clear" w:color="auto" w:fill="auto"/>
            <w:noWrap/>
            <w:vAlign w:val="bottom"/>
            <w:hideMark/>
          </w:tcPr>
          <w:p w14:paraId="6D2BF24A" w14:textId="77777777" w:rsidR="00615BC9" w:rsidRPr="00C223AB" w:rsidRDefault="00615BC9" w:rsidP="00C223AB">
            <w:pPr>
              <w:ind w:left="720"/>
              <w:contextualSpacing/>
              <w:rPr>
                <w:rFonts w:ascii="Arial" w:eastAsia="Times New Roman" w:hAnsi="Arial" w:cs="Arial"/>
                <w:color w:val="000000"/>
                <w:lang w:val="en-GB"/>
              </w:rPr>
            </w:pPr>
          </w:p>
        </w:tc>
        <w:tc>
          <w:tcPr>
            <w:tcW w:w="146" w:type="dxa"/>
            <w:tcBorders>
              <w:top w:val="nil"/>
              <w:left w:val="nil"/>
              <w:bottom w:val="nil"/>
              <w:right w:val="nil"/>
            </w:tcBorders>
            <w:shd w:val="clear" w:color="auto" w:fill="auto"/>
            <w:noWrap/>
            <w:vAlign w:val="bottom"/>
            <w:hideMark/>
          </w:tcPr>
          <w:p w14:paraId="49FAE5D0" w14:textId="77777777" w:rsidR="00615BC9" w:rsidRPr="00C223AB" w:rsidRDefault="00615BC9" w:rsidP="00C223AB">
            <w:pPr>
              <w:ind w:left="720"/>
              <w:contextualSpacing/>
              <w:rPr>
                <w:rFonts w:ascii="Arial" w:eastAsia="Times New Roman" w:hAnsi="Arial" w:cs="Arial"/>
                <w:color w:val="000000"/>
                <w:lang w:val="en-GB"/>
              </w:rPr>
            </w:pPr>
          </w:p>
        </w:tc>
        <w:tc>
          <w:tcPr>
            <w:tcW w:w="1540" w:type="dxa"/>
            <w:tcBorders>
              <w:top w:val="nil"/>
              <w:left w:val="nil"/>
              <w:bottom w:val="nil"/>
              <w:right w:val="nil"/>
            </w:tcBorders>
            <w:shd w:val="clear" w:color="auto" w:fill="auto"/>
            <w:noWrap/>
            <w:vAlign w:val="bottom"/>
            <w:hideMark/>
          </w:tcPr>
          <w:p w14:paraId="394F40BE" w14:textId="7466736A" w:rsidR="00615BC9" w:rsidRPr="00C223AB" w:rsidRDefault="00615BC9" w:rsidP="00C223AB">
            <w:pPr>
              <w:rPr>
                <w:rFonts w:ascii="Arial" w:eastAsia="Times New Roman" w:hAnsi="Arial" w:cs="Arial"/>
                <w:color w:val="000000"/>
                <w:lang w:val="en-GB"/>
              </w:rPr>
            </w:pPr>
            <w:r w:rsidRPr="00C223AB">
              <w:rPr>
                <w:rFonts w:ascii="Arial" w:eastAsia="Times New Roman" w:hAnsi="Arial" w:cs="Arial"/>
                <w:color w:val="000000"/>
                <w:lang w:val="en-GB"/>
              </w:rPr>
              <w:t>Q1</w:t>
            </w:r>
            <w:r w:rsidR="003815F3" w:rsidRPr="00C223AB">
              <w:rPr>
                <w:rFonts w:ascii="Arial" w:eastAsia="Times New Roman" w:hAnsi="Arial" w:cs="Arial"/>
                <w:color w:val="000000"/>
                <w:lang w:val="en-GB"/>
              </w:rPr>
              <w:t xml:space="preserve"> (n=559)</w:t>
            </w:r>
          </w:p>
        </w:tc>
        <w:tc>
          <w:tcPr>
            <w:tcW w:w="1646" w:type="dxa"/>
            <w:tcBorders>
              <w:top w:val="nil"/>
              <w:left w:val="nil"/>
              <w:bottom w:val="nil"/>
              <w:right w:val="nil"/>
            </w:tcBorders>
            <w:shd w:val="clear" w:color="auto" w:fill="auto"/>
            <w:noWrap/>
            <w:vAlign w:val="bottom"/>
            <w:hideMark/>
          </w:tcPr>
          <w:p w14:paraId="30738D3E" w14:textId="5E82BD2A" w:rsidR="00615BC9" w:rsidRPr="00C223AB" w:rsidRDefault="00615BC9" w:rsidP="00C223AB">
            <w:pPr>
              <w:rPr>
                <w:rFonts w:ascii="Arial" w:eastAsia="Times New Roman" w:hAnsi="Arial" w:cs="Arial"/>
                <w:color w:val="000000"/>
                <w:lang w:val="en-GB"/>
              </w:rPr>
            </w:pPr>
            <w:r w:rsidRPr="00C223AB">
              <w:rPr>
                <w:rFonts w:ascii="Arial" w:eastAsia="Times New Roman" w:hAnsi="Arial" w:cs="Arial"/>
                <w:color w:val="000000"/>
                <w:lang w:val="en-GB"/>
              </w:rPr>
              <w:t>Q2</w:t>
            </w:r>
            <w:r w:rsidR="003815F3" w:rsidRPr="00C223AB">
              <w:rPr>
                <w:rFonts w:ascii="Arial" w:eastAsia="Times New Roman" w:hAnsi="Arial" w:cs="Arial"/>
                <w:color w:val="000000"/>
                <w:lang w:val="en-GB"/>
              </w:rPr>
              <w:t xml:space="preserve"> (n=526)</w:t>
            </w:r>
          </w:p>
        </w:tc>
        <w:tc>
          <w:tcPr>
            <w:tcW w:w="1820" w:type="dxa"/>
            <w:tcBorders>
              <w:top w:val="nil"/>
              <w:left w:val="nil"/>
              <w:bottom w:val="nil"/>
              <w:right w:val="nil"/>
            </w:tcBorders>
            <w:shd w:val="clear" w:color="auto" w:fill="auto"/>
            <w:noWrap/>
            <w:vAlign w:val="bottom"/>
            <w:hideMark/>
          </w:tcPr>
          <w:p w14:paraId="5BFE63A8" w14:textId="2E9F6199" w:rsidR="00615BC9" w:rsidRPr="00C223AB" w:rsidRDefault="00615BC9" w:rsidP="00C223AB">
            <w:pPr>
              <w:rPr>
                <w:rFonts w:ascii="Arial" w:eastAsia="Times New Roman" w:hAnsi="Arial" w:cs="Arial"/>
                <w:color w:val="000000"/>
                <w:lang w:val="en-GB"/>
              </w:rPr>
            </w:pPr>
            <w:r w:rsidRPr="00C223AB">
              <w:rPr>
                <w:rFonts w:ascii="Arial" w:eastAsia="Times New Roman" w:hAnsi="Arial" w:cs="Arial"/>
                <w:color w:val="000000"/>
                <w:lang w:val="en-GB"/>
              </w:rPr>
              <w:t>Q3</w:t>
            </w:r>
            <w:r w:rsidR="003815F3" w:rsidRPr="00C223AB">
              <w:rPr>
                <w:rFonts w:ascii="Arial" w:eastAsia="Times New Roman" w:hAnsi="Arial" w:cs="Arial"/>
                <w:color w:val="000000"/>
                <w:lang w:val="en-GB"/>
              </w:rPr>
              <w:t xml:space="preserve"> (n=560)</w:t>
            </w:r>
          </w:p>
        </w:tc>
        <w:tc>
          <w:tcPr>
            <w:tcW w:w="1560" w:type="dxa"/>
            <w:tcBorders>
              <w:top w:val="nil"/>
              <w:left w:val="nil"/>
              <w:bottom w:val="nil"/>
              <w:right w:val="nil"/>
            </w:tcBorders>
            <w:shd w:val="clear" w:color="auto" w:fill="auto"/>
            <w:noWrap/>
            <w:vAlign w:val="bottom"/>
            <w:hideMark/>
          </w:tcPr>
          <w:p w14:paraId="4941FF98" w14:textId="27CCDF50" w:rsidR="00615BC9" w:rsidRPr="00C223AB" w:rsidRDefault="00615BC9" w:rsidP="00C223AB">
            <w:pPr>
              <w:rPr>
                <w:rFonts w:ascii="Arial" w:eastAsia="Times New Roman" w:hAnsi="Arial" w:cs="Arial"/>
                <w:color w:val="000000"/>
                <w:lang w:val="en-GB"/>
              </w:rPr>
            </w:pPr>
            <w:r w:rsidRPr="00C223AB">
              <w:rPr>
                <w:rFonts w:ascii="Arial" w:eastAsia="Times New Roman" w:hAnsi="Arial" w:cs="Arial"/>
                <w:color w:val="000000"/>
                <w:lang w:val="en-GB"/>
              </w:rPr>
              <w:t>Q4</w:t>
            </w:r>
            <w:r w:rsidR="003815F3" w:rsidRPr="00C223AB">
              <w:rPr>
                <w:rFonts w:ascii="Arial" w:eastAsia="Times New Roman" w:hAnsi="Arial" w:cs="Arial"/>
                <w:color w:val="000000"/>
                <w:lang w:val="en-GB"/>
              </w:rPr>
              <w:t xml:space="preserve"> (n=534)</w:t>
            </w:r>
          </w:p>
        </w:tc>
        <w:tc>
          <w:tcPr>
            <w:tcW w:w="1581" w:type="dxa"/>
            <w:tcBorders>
              <w:top w:val="nil"/>
              <w:left w:val="nil"/>
              <w:bottom w:val="nil"/>
              <w:right w:val="nil"/>
            </w:tcBorders>
            <w:shd w:val="clear" w:color="auto" w:fill="auto"/>
            <w:noWrap/>
            <w:vAlign w:val="bottom"/>
            <w:hideMark/>
          </w:tcPr>
          <w:p w14:paraId="03F742B7" w14:textId="73D00504" w:rsidR="00615BC9" w:rsidRPr="00C223AB" w:rsidRDefault="00615BC9" w:rsidP="00C223AB">
            <w:pPr>
              <w:rPr>
                <w:rFonts w:ascii="Arial" w:eastAsia="Times New Roman" w:hAnsi="Arial" w:cs="Arial"/>
                <w:color w:val="000000"/>
                <w:lang w:val="en-GB"/>
              </w:rPr>
            </w:pPr>
            <w:r w:rsidRPr="00C223AB">
              <w:rPr>
                <w:rFonts w:ascii="Arial" w:eastAsia="Times New Roman" w:hAnsi="Arial" w:cs="Arial"/>
                <w:color w:val="000000"/>
                <w:lang w:val="en-GB"/>
              </w:rPr>
              <w:t>Q5</w:t>
            </w:r>
            <w:r w:rsidR="003815F3" w:rsidRPr="00C223AB">
              <w:rPr>
                <w:rFonts w:ascii="Arial" w:eastAsia="Times New Roman" w:hAnsi="Arial" w:cs="Arial"/>
                <w:color w:val="000000"/>
                <w:lang w:val="en-GB"/>
              </w:rPr>
              <w:t xml:space="preserve"> (n=532)</w:t>
            </w:r>
          </w:p>
        </w:tc>
        <w:tc>
          <w:tcPr>
            <w:tcW w:w="919" w:type="dxa"/>
            <w:tcBorders>
              <w:top w:val="nil"/>
              <w:left w:val="nil"/>
              <w:bottom w:val="nil"/>
              <w:right w:val="nil"/>
            </w:tcBorders>
            <w:shd w:val="clear" w:color="auto" w:fill="auto"/>
            <w:noWrap/>
            <w:vAlign w:val="bottom"/>
            <w:hideMark/>
          </w:tcPr>
          <w:p w14:paraId="3FC70773" w14:textId="77777777" w:rsidR="00615BC9" w:rsidRPr="00C223AB" w:rsidRDefault="00615BC9" w:rsidP="00C223AB">
            <w:pPr>
              <w:rPr>
                <w:rFonts w:ascii="Arial" w:eastAsia="Times New Roman" w:hAnsi="Arial" w:cs="Arial"/>
                <w:color w:val="000000"/>
                <w:lang w:val="en-GB"/>
              </w:rPr>
            </w:pPr>
            <w:r w:rsidRPr="00C223AB">
              <w:rPr>
                <w:rFonts w:ascii="Arial" w:eastAsia="Times New Roman" w:hAnsi="Arial" w:cs="Arial"/>
                <w:color w:val="000000"/>
                <w:lang w:val="en-GB"/>
              </w:rPr>
              <w:t>P for trend</w:t>
            </w:r>
          </w:p>
        </w:tc>
      </w:tr>
      <w:tr w:rsidR="00615BC9" w:rsidRPr="00C223AB" w14:paraId="3CDD9ECF" w14:textId="77777777" w:rsidTr="00357FB4">
        <w:trPr>
          <w:gridAfter w:val="1"/>
          <w:wAfter w:w="1328" w:type="dxa"/>
          <w:trHeight w:val="300"/>
        </w:trPr>
        <w:tc>
          <w:tcPr>
            <w:tcW w:w="3559" w:type="dxa"/>
            <w:tcBorders>
              <w:top w:val="nil"/>
              <w:left w:val="nil"/>
              <w:bottom w:val="nil"/>
              <w:right w:val="nil"/>
            </w:tcBorders>
            <w:shd w:val="clear" w:color="auto" w:fill="auto"/>
            <w:noWrap/>
            <w:vAlign w:val="bottom"/>
            <w:hideMark/>
          </w:tcPr>
          <w:p w14:paraId="282CA43F" w14:textId="1AFB6372" w:rsidR="00615BC9" w:rsidRPr="00C223AB" w:rsidRDefault="00615BC9" w:rsidP="00C223AB">
            <w:pPr>
              <w:rPr>
                <w:rFonts w:ascii="Arial" w:eastAsia="Times New Roman" w:hAnsi="Arial" w:cs="Arial"/>
                <w:color w:val="000000"/>
                <w:lang w:val="en-GB"/>
              </w:rPr>
            </w:pPr>
            <w:r w:rsidRPr="00C223AB">
              <w:rPr>
                <w:rFonts w:ascii="Arial" w:eastAsia="Times New Roman" w:hAnsi="Arial" w:cs="Arial"/>
                <w:color w:val="000000"/>
                <w:lang w:val="en-GB"/>
              </w:rPr>
              <w:t>ApoC-III, mg/d</w:t>
            </w:r>
            <w:r w:rsidR="000F5C7A" w:rsidRPr="00C223AB">
              <w:rPr>
                <w:rFonts w:ascii="Arial" w:eastAsia="Times New Roman" w:hAnsi="Arial" w:cs="Arial"/>
                <w:color w:val="000000"/>
                <w:lang w:val="en-GB"/>
              </w:rPr>
              <w:t>L</w:t>
            </w:r>
          </w:p>
        </w:tc>
        <w:tc>
          <w:tcPr>
            <w:tcW w:w="146" w:type="dxa"/>
            <w:tcBorders>
              <w:top w:val="nil"/>
              <w:left w:val="nil"/>
              <w:bottom w:val="nil"/>
              <w:right w:val="nil"/>
            </w:tcBorders>
            <w:shd w:val="clear" w:color="auto" w:fill="auto"/>
            <w:noWrap/>
            <w:vAlign w:val="bottom"/>
            <w:hideMark/>
          </w:tcPr>
          <w:p w14:paraId="53A5C34D" w14:textId="77777777" w:rsidR="00615BC9" w:rsidRPr="00C223AB" w:rsidRDefault="00615BC9" w:rsidP="00C223AB">
            <w:pPr>
              <w:ind w:left="720"/>
              <w:contextualSpacing/>
              <w:rPr>
                <w:rFonts w:ascii="Arial" w:eastAsia="Times New Roman" w:hAnsi="Arial" w:cs="Arial"/>
                <w:color w:val="000000"/>
                <w:lang w:val="en-GB"/>
              </w:rPr>
            </w:pPr>
          </w:p>
        </w:tc>
        <w:tc>
          <w:tcPr>
            <w:tcW w:w="15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9424694" w14:textId="77777777" w:rsidR="00615BC9" w:rsidRPr="00C223AB" w:rsidRDefault="00615BC9" w:rsidP="00C223AB">
            <w:pPr>
              <w:ind w:left="427" w:hanging="427"/>
              <w:rPr>
                <w:rFonts w:ascii="Arial" w:eastAsia="Times New Roman" w:hAnsi="Arial" w:cs="Arial"/>
                <w:color w:val="000000"/>
                <w:lang w:val="en-GB"/>
              </w:rPr>
            </w:pPr>
            <w:r w:rsidRPr="00C223AB">
              <w:rPr>
                <w:rFonts w:ascii="Arial" w:eastAsia="Times New Roman" w:hAnsi="Arial" w:cs="Arial"/>
                <w:color w:val="000000"/>
                <w:lang w:val="en-GB"/>
              </w:rPr>
              <w:t>2.5 (1.8-2.9)</w:t>
            </w:r>
          </w:p>
        </w:tc>
        <w:tc>
          <w:tcPr>
            <w:tcW w:w="1646" w:type="dxa"/>
            <w:tcBorders>
              <w:top w:val="single" w:sz="4" w:space="0" w:color="auto"/>
              <w:left w:val="nil"/>
              <w:bottom w:val="single" w:sz="4" w:space="0" w:color="auto"/>
              <w:right w:val="single" w:sz="4" w:space="0" w:color="auto"/>
            </w:tcBorders>
            <w:shd w:val="clear" w:color="auto" w:fill="auto"/>
            <w:noWrap/>
            <w:vAlign w:val="bottom"/>
            <w:hideMark/>
          </w:tcPr>
          <w:p w14:paraId="1E9A5AEF" w14:textId="77777777" w:rsidR="00615BC9" w:rsidRPr="00C223AB" w:rsidRDefault="00615BC9" w:rsidP="00C223AB">
            <w:pPr>
              <w:rPr>
                <w:rFonts w:ascii="Arial" w:eastAsia="Times New Roman" w:hAnsi="Arial" w:cs="Arial"/>
                <w:color w:val="000000"/>
                <w:lang w:val="en-GB"/>
              </w:rPr>
            </w:pPr>
            <w:r w:rsidRPr="00C223AB">
              <w:rPr>
                <w:rFonts w:ascii="Arial" w:eastAsia="Times New Roman" w:hAnsi="Arial" w:cs="Arial"/>
                <w:color w:val="000000"/>
                <w:lang w:val="en-GB"/>
              </w:rPr>
              <w:t>3.9 (3.6-4.1)</w:t>
            </w:r>
          </w:p>
        </w:tc>
        <w:tc>
          <w:tcPr>
            <w:tcW w:w="1820" w:type="dxa"/>
            <w:tcBorders>
              <w:top w:val="single" w:sz="4" w:space="0" w:color="auto"/>
              <w:left w:val="nil"/>
              <w:bottom w:val="single" w:sz="4" w:space="0" w:color="auto"/>
              <w:right w:val="single" w:sz="4" w:space="0" w:color="auto"/>
            </w:tcBorders>
            <w:shd w:val="clear" w:color="auto" w:fill="auto"/>
            <w:noWrap/>
            <w:vAlign w:val="bottom"/>
            <w:hideMark/>
          </w:tcPr>
          <w:p w14:paraId="229F3B06" w14:textId="77777777" w:rsidR="00615BC9" w:rsidRPr="00C223AB" w:rsidRDefault="00615BC9" w:rsidP="00C223AB">
            <w:pPr>
              <w:rPr>
                <w:rFonts w:ascii="Arial" w:eastAsia="Times New Roman" w:hAnsi="Arial" w:cs="Arial"/>
                <w:color w:val="000000"/>
                <w:lang w:val="en-GB"/>
              </w:rPr>
            </w:pPr>
            <w:r w:rsidRPr="00C223AB">
              <w:rPr>
                <w:rFonts w:ascii="Arial" w:eastAsia="Times New Roman" w:hAnsi="Arial" w:cs="Arial"/>
                <w:color w:val="000000"/>
                <w:lang w:val="en-GB"/>
              </w:rPr>
              <w:t>5.1 (4.7-5.5)</w:t>
            </w:r>
          </w:p>
        </w:tc>
        <w:tc>
          <w:tcPr>
            <w:tcW w:w="1560" w:type="dxa"/>
            <w:tcBorders>
              <w:top w:val="single" w:sz="4" w:space="0" w:color="auto"/>
              <w:left w:val="nil"/>
              <w:bottom w:val="single" w:sz="4" w:space="0" w:color="auto"/>
              <w:right w:val="single" w:sz="4" w:space="0" w:color="auto"/>
            </w:tcBorders>
            <w:shd w:val="clear" w:color="auto" w:fill="auto"/>
            <w:noWrap/>
            <w:vAlign w:val="bottom"/>
            <w:hideMark/>
          </w:tcPr>
          <w:p w14:paraId="51A8117F" w14:textId="77777777" w:rsidR="00615BC9" w:rsidRPr="00C223AB" w:rsidRDefault="00615BC9" w:rsidP="00C223AB">
            <w:pPr>
              <w:rPr>
                <w:rFonts w:ascii="Arial" w:eastAsia="Times New Roman" w:hAnsi="Arial" w:cs="Arial"/>
                <w:color w:val="000000"/>
                <w:lang w:val="en-GB"/>
              </w:rPr>
            </w:pPr>
            <w:r w:rsidRPr="00C223AB">
              <w:rPr>
                <w:rFonts w:ascii="Arial" w:eastAsia="Times New Roman" w:hAnsi="Arial" w:cs="Arial"/>
                <w:color w:val="000000"/>
                <w:lang w:val="en-GB"/>
              </w:rPr>
              <w:t>6.7 (6.2-7.2)</w:t>
            </w:r>
          </w:p>
        </w:tc>
        <w:tc>
          <w:tcPr>
            <w:tcW w:w="1581" w:type="dxa"/>
            <w:tcBorders>
              <w:top w:val="single" w:sz="4" w:space="0" w:color="auto"/>
              <w:left w:val="nil"/>
              <w:bottom w:val="single" w:sz="4" w:space="0" w:color="auto"/>
              <w:right w:val="single" w:sz="4" w:space="0" w:color="auto"/>
            </w:tcBorders>
            <w:shd w:val="clear" w:color="auto" w:fill="auto"/>
            <w:noWrap/>
            <w:vAlign w:val="bottom"/>
            <w:hideMark/>
          </w:tcPr>
          <w:p w14:paraId="37B41772" w14:textId="77777777" w:rsidR="00615BC9" w:rsidRPr="00C223AB" w:rsidRDefault="00615BC9" w:rsidP="00C223AB">
            <w:pPr>
              <w:rPr>
                <w:rFonts w:ascii="Arial" w:eastAsia="Times New Roman" w:hAnsi="Arial" w:cs="Arial"/>
                <w:color w:val="000000"/>
                <w:lang w:val="en-GB"/>
              </w:rPr>
            </w:pPr>
            <w:r w:rsidRPr="00C223AB">
              <w:rPr>
                <w:rFonts w:ascii="Arial" w:eastAsia="Times New Roman" w:hAnsi="Arial" w:cs="Arial"/>
                <w:color w:val="000000"/>
                <w:lang w:val="en-GB"/>
              </w:rPr>
              <w:t>10.2 (8.8-11.9)</w:t>
            </w:r>
          </w:p>
        </w:tc>
        <w:tc>
          <w:tcPr>
            <w:tcW w:w="919" w:type="dxa"/>
            <w:tcBorders>
              <w:top w:val="single" w:sz="4" w:space="0" w:color="auto"/>
              <w:left w:val="nil"/>
              <w:bottom w:val="single" w:sz="4" w:space="0" w:color="auto"/>
              <w:right w:val="single" w:sz="4" w:space="0" w:color="auto"/>
            </w:tcBorders>
            <w:shd w:val="clear" w:color="auto" w:fill="auto"/>
            <w:noWrap/>
            <w:vAlign w:val="bottom"/>
            <w:hideMark/>
          </w:tcPr>
          <w:p w14:paraId="12F42FE2" w14:textId="77777777" w:rsidR="00615BC9" w:rsidRPr="00C223AB" w:rsidRDefault="00615BC9" w:rsidP="00C223AB">
            <w:pPr>
              <w:rPr>
                <w:rFonts w:ascii="Arial" w:eastAsia="Times New Roman" w:hAnsi="Arial" w:cs="Arial"/>
                <w:color w:val="000000"/>
                <w:lang w:val="en-GB"/>
              </w:rPr>
            </w:pPr>
            <w:r w:rsidRPr="00C223AB">
              <w:rPr>
                <w:rFonts w:ascii="Arial" w:eastAsia="Times New Roman" w:hAnsi="Arial" w:cs="Arial"/>
                <w:color w:val="000000"/>
                <w:lang w:val="en-GB"/>
              </w:rPr>
              <w:t>&lt;0.001</w:t>
            </w:r>
          </w:p>
        </w:tc>
      </w:tr>
      <w:tr w:rsidR="00615BC9" w:rsidRPr="00C223AB" w14:paraId="2C4F1056" w14:textId="77777777" w:rsidTr="00357FB4">
        <w:trPr>
          <w:gridAfter w:val="1"/>
          <w:wAfter w:w="1328" w:type="dxa"/>
          <w:trHeight w:val="300"/>
        </w:trPr>
        <w:tc>
          <w:tcPr>
            <w:tcW w:w="3559" w:type="dxa"/>
            <w:tcBorders>
              <w:top w:val="nil"/>
              <w:left w:val="nil"/>
              <w:bottom w:val="nil"/>
              <w:right w:val="nil"/>
            </w:tcBorders>
            <w:shd w:val="clear" w:color="auto" w:fill="auto"/>
            <w:noWrap/>
            <w:vAlign w:val="bottom"/>
            <w:hideMark/>
          </w:tcPr>
          <w:p w14:paraId="1D223D66" w14:textId="77777777" w:rsidR="00615BC9" w:rsidRPr="00C223AB" w:rsidRDefault="00615BC9" w:rsidP="00C223AB">
            <w:pPr>
              <w:rPr>
                <w:rFonts w:ascii="Arial" w:eastAsia="Times New Roman" w:hAnsi="Arial" w:cs="Arial"/>
                <w:color w:val="000000"/>
                <w:lang w:val="en-GB"/>
              </w:rPr>
            </w:pPr>
            <w:r w:rsidRPr="00C223AB">
              <w:rPr>
                <w:rFonts w:ascii="Arial" w:eastAsia="Times New Roman" w:hAnsi="Arial" w:cs="Arial"/>
                <w:color w:val="000000"/>
                <w:lang w:val="en-GB"/>
              </w:rPr>
              <w:t>Age, years</w:t>
            </w:r>
          </w:p>
        </w:tc>
        <w:tc>
          <w:tcPr>
            <w:tcW w:w="146" w:type="dxa"/>
            <w:tcBorders>
              <w:top w:val="nil"/>
              <w:left w:val="nil"/>
              <w:bottom w:val="nil"/>
              <w:right w:val="nil"/>
            </w:tcBorders>
            <w:shd w:val="clear" w:color="auto" w:fill="auto"/>
            <w:noWrap/>
            <w:vAlign w:val="bottom"/>
            <w:hideMark/>
          </w:tcPr>
          <w:p w14:paraId="459A2F7F" w14:textId="77777777" w:rsidR="00615BC9" w:rsidRPr="00C223AB" w:rsidRDefault="00615BC9" w:rsidP="00C223AB">
            <w:pPr>
              <w:ind w:left="720"/>
              <w:contextualSpacing/>
              <w:rPr>
                <w:rFonts w:ascii="Arial" w:eastAsia="Times New Roman" w:hAnsi="Arial" w:cs="Arial"/>
                <w:color w:val="000000"/>
                <w:lang w:val="en-GB"/>
              </w:rPr>
            </w:pPr>
          </w:p>
        </w:tc>
        <w:tc>
          <w:tcPr>
            <w:tcW w:w="1540" w:type="dxa"/>
            <w:tcBorders>
              <w:top w:val="nil"/>
              <w:left w:val="single" w:sz="4" w:space="0" w:color="auto"/>
              <w:bottom w:val="single" w:sz="4" w:space="0" w:color="auto"/>
              <w:right w:val="single" w:sz="4" w:space="0" w:color="auto"/>
            </w:tcBorders>
            <w:shd w:val="clear" w:color="auto" w:fill="auto"/>
            <w:noWrap/>
            <w:vAlign w:val="bottom"/>
            <w:hideMark/>
          </w:tcPr>
          <w:p w14:paraId="471CF2E1" w14:textId="77777777" w:rsidR="00615BC9" w:rsidRPr="00C223AB" w:rsidRDefault="00615BC9" w:rsidP="00C223AB">
            <w:pPr>
              <w:rPr>
                <w:rFonts w:ascii="Arial" w:eastAsia="Times New Roman" w:hAnsi="Arial" w:cs="Arial"/>
                <w:color w:val="000000"/>
                <w:lang w:val="en-GB"/>
              </w:rPr>
            </w:pPr>
            <w:r w:rsidRPr="00C223AB">
              <w:rPr>
                <w:rFonts w:ascii="Arial" w:eastAsia="Times New Roman" w:hAnsi="Arial" w:cs="Arial"/>
                <w:color w:val="000000"/>
                <w:lang w:val="en-GB"/>
              </w:rPr>
              <w:t>66.2 ±7.7</w:t>
            </w:r>
          </w:p>
        </w:tc>
        <w:tc>
          <w:tcPr>
            <w:tcW w:w="1646" w:type="dxa"/>
            <w:tcBorders>
              <w:top w:val="nil"/>
              <w:left w:val="nil"/>
              <w:bottom w:val="single" w:sz="4" w:space="0" w:color="auto"/>
              <w:right w:val="single" w:sz="4" w:space="0" w:color="auto"/>
            </w:tcBorders>
            <w:shd w:val="clear" w:color="auto" w:fill="auto"/>
            <w:noWrap/>
            <w:vAlign w:val="bottom"/>
            <w:hideMark/>
          </w:tcPr>
          <w:p w14:paraId="3C9E701D" w14:textId="77777777" w:rsidR="00615BC9" w:rsidRPr="00C223AB" w:rsidRDefault="00615BC9" w:rsidP="00C223AB">
            <w:pPr>
              <w:rPr>
                <w:rFonts w:ascii="Arial" w:eastAsia="Times New Roman" w:hAnsi="Arial" w:cs="Arial"/>
                <w:color w:val="000000"/>
                <w:lang w:val="en-GB"/>
              </w:rPr>
            </w:pPr>
            <w:r w:rsidRPr="00C223AB">
              <w:rPr>
                <w:rFonts w:ascii="Arial" w:eastAsia="Times New Roman" w:hAnsi="Arial" w:cs="Arial"/>
                <w:color w:val="000000"/>
                <w:lang w:val="en-GB"/>
              </w:rPr>
              <w:t>65.4 ±7.5</w:t>
            </w:r>
          </w:p>
        </w:tc>
        <w:tc>
          <w:tcPr>
            <w:tcW w:w="1820" w:type="dxa"/>
            <w:tcBorders>
              <w:top w:val="nil"/>
              <w:left w:val="nil"/>
              <w:bottom w:val="single" w:sz="4" w:space="0" w:color="auto"/>
              <w:right w:val="single" w:sz="4" w:space="0" w:color="auto"/>
            </w:tcBorders>
            <w:shd w:val="clear" w:color="auto" w:fill="auto"/>
            <w:noWrap/>
            <w:vAlign w:val="bottom"/>
            <w:hideMark/>
          </w:tcPr>
          <w:p w14:paraId="253FE23A" w14:textId="77777777" w:rsidR="00615BC9" w:rsidRPr="00C223AB" w:rsidRDefault="00615BC9" w:rsidP="00C223AB">
            <w:pPr>
              <w:rPr>
                <w:rFonts w:ascii="Arial" w:eastAsia="Times New Roman" w:hAnsi="Arial" w:cs="Arial"/>
                <w:color w:val="000000"/>
                <w:lang w:val="en-GB"/>
              </w:rPr>
            </w:pPr>
            <w:r w:rsidRPr="00C223AB">
              <w:rPr>
                <w:rFonts w:ascii="Arial" w:eastAsia="Times New Roman" w:hAnsi="Arial" w:cs="Arial"/>
                <w:color w:val="000000"/>
                <w:lang w:val="en-GB"/>
              </w:rPr>
              <w:t>64.8 ±8</w:t>
            </w:r>
          </w:p>
        </w:tc>
        <w:tc>
          <w:tcPr>
            <w:tcW w:w="1560" w:type="dxa"/>
            <w:tcBorders>
              <w:top w:val="nil"/>
              <w:left w:val="nil"/>
              <w:bottom w:val="single" w:sz="4" w:space="0" w:color="auto"/>
              <w:right w:val="single" w:sz="4" w:space="0" w:color="auto"/>
            </w:tcBorders>
            <w:shd w:val="clear" w:color="auto" w:fill="auto"/>
            <w:noWrap/>
            <w:vAlign w:val="bottom"/>
            <w:hideMark/>
          </w:tcPr>
          <w:p w14:paraId="1ED68ECF" w14:textId="77777777" w:rsidR="00615BC9" w:rsidRPr="00C223AB" w:rsidRDefault="00615BC9" w:rsidP="00C223AB">
            <w:pPr>
              <w:rPr>
                <w:rFonts w:ascii="Arial" w:eastAsia="Times New Roman" w:hAnsi="Arial" w:cs="Arial"/>
                <w:color w:val="000000"/>
                <w:lang w:val="en-GB"/>
              </w:rPr>
            </w:pPr>
            <w:r w:rsidRPr="00C223AB">
              <w:rPr>
                <w:rFonts w:ascii="Arial" w:eastAsia="Times New Roman" w:hAnsi="Arial" w:cs="Arial"/>
                <w:color w:val="000000"/>
                <w:lang w:val="en-GB"/>
              </w:rPr>
              <w:t>65.2 ±7.7</w:t>
            </w:r>
          </w:p>
        </w:tc>
        <w:tc>
          <w:tcPr>
            <w:tcW w:w="1581" w:type="dxa"/>
            <w:tcBorders>
              <w:top w:val="nil"/>
              <w:left w:val="nil"/>
              <w:bottom w:val="single" w:sz="4" w:space="0" w:color="auto"/>
              <w:right w:val="single" w:sz="4" w:space="0" w:color="auto"/>
            </w:tcBorders>
            <w:shd w:val="clear" w:color="auto" w:fill="auto"/>
            <w:noWrap/>
            <w:vAlign w:val="bottom"/>
            <w:hideMark/>
          </w:tcPr>
          <w:p w14:paraId="28315678" w14:textId="77777777" w:rsidR="00615BC9" w:rsidRPr="00C223AB" w:rsidRDefault="00615BC9" w:rsidP="00C223AB">
            <w:pPr>
              <w:rPr>
                <w:rFonts w:ascii="Arial" w:eastAsia="Times New Roman" w:hAnsi="Arial" w:cs="Arial"/>
                <w:color w:val="000000"/>
                <w:lang w:val="en-GB"/>
              </w:rPr>
            </w:pPr>
            <w:r w:rsidRPr="00C223AB">
              <w:rPr>
                <w:rFonts w:ascii="Arial" w:eastAsia="Times New Roman" w:hAnsi="Arial" w:cs="Arial"/>
                <w:color w:val="000000"/>
                <w:lang w:val="en-GB"/>
              </w:rPr>
              <w:t>65.3 ±7.6</w:t>
            </w:r>
          </w:p>
        </w:tc>
        <w:tc>
          <w:tcPr>
            <w:tcW w:w="919" w:type="dxa"/>
            <w:tcBorders>
              <w:top w:val="nil"/>
              <w:left w:val="nil"/>
              <w:bottom w:val="single" w:sz="4" w:space="0" w:color="auto"/>
              <w:right w:val="single" w:sz="4" w:space="0" w:color="auto"/>
            </w:tcBorders>
            <w:shd w:val="clear" w:color="auto" w:fill="auto"/>
            <w:noWrap/>
            <w:vAlign w:val="bottom"/>
            <w:hideMark/>
          </w:tcPr>
          <w:p w14:paraId="07CF0713" w14:textId="77777777" w:rsidR="00615BC9" w:rsidRPr="00C223AB" w:rsidRDefault="00615BC9" w:rsidP="00C223AB">
            <w:pPr>
              <w:rPr>
                <w:rFonts w:ascii="Arial" w:eastAsia="Times New Roman" w:hAnsi="Arial" w:cs="Arial"/>
                <w:color w:val="000000"/>
                <w:lang w:val="en-GB"/>
              </w:rPr>
            </w:pPr>
            <w:r w:rsidRPr="00C223AB">
              <w:rPr>
                <w:rFonts w:ascii="Arial" w:eastAsia="Times New Roman" w:hAnsi="Arial" w:cs="Arial"/>
                <w:color w:val="000000"/>
                <w:lang w:val="en-GB"/>
              </w:rPr>
              <w:t>&lt;0.05</w:t>
            </w:r>
          </w:p>
        </w:tc>
      </w:tr>
      <w:tr w:rsidR="00615BC9" w:rsidRPr="00C223AB" w14:paraId="39E90281" w14:textId="77777777" w:rsidTr="00357FB4">
        <w:trPr>
          <w:gridAfter w:val="1"/>
          <w:wAfter w:w="1328" w:type="dxa"/>
          <w:trHeight w:val="300"/>
        </w:trPr>
        <w:tc>
          <w:tcPr>
            <w:tcW w:w="3559" w:type="dxa"/>
            <w:tcBorders>
              <w:top w:val="nil"/>
              <w:left w:val="nil"/>
              <w:bottom w:val="nil"/>
              <w:right w:val="nil"/>
            </w:tcBorders>
            <w:shd w:val="clear" w:color="auto" w:fill="auto"/>
            <w:noWrap/>
            <w:vAlign w:val="bottom"/>
            <w:hideMark/>
          </w:tcPr>
          <w:p w14:paraId="70328210" w14:textId="77777777" w:rsidR="00615BC9" w:rsidRPr="00C223AB" w:rsidRDefault="00615BC9" w:rsidP="00C223AB">
            <w:pPr>
              <w:rPr>
                <w:rFonts w:ascii="Arial" w:eastAsia="Times New Roman" w:hAnsi="Arial" w:cs="Arial"/>
                <w:color w:val="000000"/>
                <w:lang w:val="en-GB"/>
              </w:rPr>
            </w:pPr>
            <w:r w:rsidRPr="00C223AB">
              <w:rPr>
                <w:rFonts w:ascii="Arial" w:eastAsia="Times New Roman" w:hAnsi="Arial" w:cs="Arial"/>
                <w:color w:val="000000"/>
                <w:lang w:val="en-GB"/>
              </w:rPr>
              <w:t>Sex, male</w:t>
            </w:r>
          </w:p>
        </w:tc>
        <w:tc>
          <w:tcPr>
            <w:tcW w:w="146" w:type="dxa"/>
            <w:tcBorders>
              <w:top w:val="nil"/>
              <w:left w:val="nil"/>
              <w:bottom w:val="nil"/>
              <w:right w:val="nil"/>
            </w:tcBorders>
            <w:shd w:val="clear" w:color="auto" w:fill="auto"/>
            <w:noWrap/>
            <w:vAlign w:val="bottom"/>
            <w:hideMark/>
          </w:tcPr>
          <w:p w14:paraId="5CB4A34F" w14:textId="77777777" w:rsidR="00615BC9" w:rsidRPr="00C223AB" w:rsidRDefault="00615BC9" w:rsidP="00C223AB">
            <w:pPr>
              <w:ind w:left="720"/>
              <w:contextualSpacing/>
              <w:rPr>
                <w:rFonts w:ascii="Arial" w:eastAsia="Times New Roman" w:hAnsi="Arial" w:cs="Arial"/>
                <w:color w:val="000000"/>
                <w:lang w:val="en-GB"/>
              </w:rPr>
            </w:pPr>
          </w:p>
        </w:tc>
        <w:tc>
          <w:tcPr>
            <w:tcW w:w="1540" w:type="dxa"/>
            <w:tcBorders>
              <w:top w:val="nil"/>
              <w:left w:val="single" w:sz="4" w:space="0" w:color="auto"/>
              <w:bottom w:val="single" w:sz="4" w:space="0" w:color="auto"/>
              <w:right w:val="single" w:sz="4" w:space="0" w:color="auto"/>
            </w:tcBorders>
            <w:shd w:val="clear" w:color="auto" w:fill="auto"/>
            <w:noWrap/>
            <w:vAlign w:val="bottom"/>
            <w:hideMark/>
          </w:tcPr>
          <w:p w14:paraId="18EA0583" w14:textId="4AEDA479" w:rsidR="00615BC9" w:rsidRPr="00C223AB" w:rsidRDefault="006D26FA" w:rsidP="00C223AB">
            <w:pPr>
              <w:rPr>
                <w:rFonts w:ascii="Arial" w:eastAsia="Times New Roman" w:hAnsi="Arial" w:cs="Arial"/>
                <w:color w:val="000000"/>
                <w:lang w:val="en-GB"/>
              </w:rPr>
            </w:pPr>
            <w:r w:rsidRPr="00C223AB">
              <w:rPr>
                <w:rFonts w:ascii="Arial" w:eastAsia="Times New Roman" w:hAnsi="Arial" w:cs="Arial"/>
                <w:color w:val="000000"/>
                <w:lang w:val="en-GB"/>
              </w:rPr>
              <w:t>374 (66.9%)</w:t>
            </w:r>
          </w:p>
        </w:tc>
        <w:tc>
          <w:tcPr>
            <w:tcW w:w="1646" w:type="dxa"/>
            <w:tcBorders>
              <w:top w:val="nil"/>
              <w:left w:val="nil"/>
              <w:bottom w:val="single" w:sz="4" w:space="0" w:color="auto"/>
              <w:right w:val="single" w:sz="4" w:space="0" w:color="auto"/>
            </w:tcBorders>
            <w:shd w:val="clear" w:color="auto" w:fill="auto"/>
            <w:noWrap/>
            <w:vAlign w:val="bottom"/>
            <w:hideMark/>
          </w:tcPr>
          <w:p w14:paraId="64E23713" w14:textId="19CB915F" w:rsidR="00615BC9" w:rsidRPr="00C223AB" w:rsidRDefault="006D26FA" w:rsidP="00C223AB">
            <w:pPr>
              <w:rPr>
                <w:rFonts w:ascii="Arial" w:eastAsia="Times New Roman" w:hAnsi="Arial" w:cs="Arial"/>
                <w:color w:val="000000"/>
                <w:lang w:val="en-GB"/>
              </w:rPr>
            </w:pPr>
            <w:r w:rsidRPr="00C223AB">
              <w:rPr>
                <w:rFonts w:ascii="Arial" w:eastAsia="Times New Roman" w:hAnsi="Arial" w:cs="Arial"/>
                <w:color w:val="000000"/>
                <w:lang w:val="en-GB"/>
              </w:rPr>
              <w:t>346 (65.8%)</w:t>
            </w:r>
          </w:p>
        </w:tc>
        <w:tc>
          <w:tcPr>
            <w:tcW w:w="1820" w:type="dxa"/>
            <w:tcBorders>
              <w:top w:val="nil"/>
              <w:left w:val="nil"/>
              <w:bottom w:val="single" w:sz="4" w:space="0" w:color="auto"/>
              <w:right w:val="single" w:sz="4" w:space="0" w:color="auto"/>
            </w:tcBorders>
            <w:shd w:val="clear" w:color="auto" w:fill="auto"/>
            <w:noWrap/>
            <w:vAlign w:val="bottom"/>
            <w:hideMark/>
          </w:tcPr>
          <w:p w14:paraId="5567AE7D" w14:textId="3194B411" w:rsidR="00615BC9" w:rsidRPr="00C223AB" w:rsidRDefault="006D26FA" w:rsidP="00C223AB">
            <w:pPr>
              <w:rPr>
                <w:rFonts w:ascii="Arial" w:eastAsia="Times New Roman" w:hAnsi="Arial" w:cs="Arial"/>
                <w:color w:val="000000"/>
                <w:lang w:val="en-GB"/>
              </w:rPr>
            </w:pPr>
            <w:r w:rsidRPr="00C223AB">
              <w:rPr>
                <w:rFonts w:ascii="Arial" w:eastAsia="Times New Roman" w:hAnsi="Arial" w:cs="Arial"/>
                <w:color w:val="000000"/>
                <w:lang w:val="en-GB"/>
              </w:rPr>
              <w:t>341(60.9%)</w:t>
            </w:r>
          </w:p>
        </w:tc>
        <w:tc>
          <w:tcPr>
            <w:tcW w:w="1560" w:type="dxa"/>
            <w:tcBorders>
              <w:top w:val="nil"/>
              <w:left w:val="nil"/>
              <w:bottom w:val="single" w:sz="4" w:space="0" w:color="auto"/>
              <w:right w:val="single" w:sz="4" w:space="0" w:color="auto"/>
            </w:tcBorders>
            <w:shd w:val="clear" w:color="auto" w:fill="auto"/>
            <w:noWrap/>
            <w:vAlign w:val="bottom"/>
            <w:hideMark/>
          </w:tcPr>
          <w:p w14:paraId="059DE268" w14:textId="30CCBFC0" w:rsidR="00615BC9" w:rsidRPr="00C223AB" w:rsidRDefault="006D26FA" w:rsidP="00C223AB">
            <w:pPr>
              <w:rPr>
                <w:rFonts w:ascii="Arial" w:eastAsia="Times New Roman" w:hAnsi="Arial" w:cs="Arial"/>
                <w:color w:val="000000"/>
                <w:lang w:val="en-GB"/>
              </w:rPr>
            </w:pPr>
            <w:r w:rsidRPr="00C223AB">
              <w:rPr>
                <w:rFonts w:ascii="Arial" w:eastAsia="Times New Roman" w:hAnsi="Arial" w:cs="Arial"/>
                <w:color w:val="000000"/>
                <w:lang w:val="en-GB"/>
              </w:rPr>
              <w:t>325(60.9%)</w:t>
            </w:r>
          </w:p>
        </w:tc>
        <w:tc>
          <w:tcPr>
            <w:tcW w:w="1581" w:type="dxa"/>
            <w:tcBorders>
              <w:top w:val="nil"/>
              <w:left w:val="nil"/>
              <w:bottom w:val="single" w:sz="4" w:space="0" w:color="auto"/>
              <w:right w:val="single" w:sz="4" w:space="0" w:color="auto"/>
            </w:tcBorders>
            <w:shd w:val="clear" w:color="auto" w:fill="auto"/>
            <w:noWrap/>
            <w:vAlign w:val="bottom"/>
            <w:hideMark/>
          </w:tcPr>
          <w:p w14:paraId="15035FF7" w14:textId="211172FF" w:rsidR="00615BC9" w:rsidRPr="00C223AB" w:rsidRDefault="006D26FA" w:rsidP="00C223AB">
            <w:pPr>
              <w:rPr>
                <w:rFonts w:ascii="Arial" w:eastAsia="Times New Roman" w:hAnsi="Arial" w:cs="Arial"/>
                <w:color w:val="000000"/>
                <w:lang w:val="en-GB"/>
              </w:rPr>
            </w:pPr>
            <w:r w:rsidRPr="00C223AB">
              <w:rPr>
                <w:rFonts w:ascii="Arial" w:eastAsia="Times New Roman" w:hAnsi="Arial" w:cs="Arial"/>
                <w:color w:val="000000"/>
                <w:lang w:val="en-GB"/>
              </w:rPr>
              <w:t>308(57.9%)</w:t>
            </w:r>
          </w:p>
        </w:tc>
        <w:tc>
          <w:tcPr>
            <w:tcW w:w="919" w:type="dxa"/>
            <w:tcBorders>
              <w:top w:val="nil"/>
              <w:left w:val="nil"/>
              <w:bottom w:val="single" w:sz="4" w:space="0" w:color="auto"/>
              <w:right w:val="single" w:sz="4" w:space="0" w:color="auto"/>
            </w:tcBorders>
            <w:shd w:val="clear" w:color="auto" w:fill="auto"/>
            <w:noWrap/>
            <w:vAlign w:val="bottom"/>
            <w:hideMark/>
          </w:tcPr>
          <w:p w14:paraId="3D853257" w14:textId="77777777" w:rsidR="00615BC9" w:rsidRPr="00C223AB" w:rsidRDefault="00615BC9" w:rsidP="00C223AB">
            <w:pPr>
              <w:rPr>
                <w:rFonts w:ascii="Arial" w:eastAsia="Times New Roman" w:hAnsi="Arial" w:cs="Arial"/>
                <w:color w:val="000000"/>
                <w:lang w:val="en-GB"/>
              </w:rPr>
            </w:pPr>
            <w:r w:rsidRPr="00C223AB">
              <w:rPr>
                <w:rFonts w:ascii="Arial" w:eastAsia="Times New Roman" w:hAnsi="Arial" w:cs="Arial"/>
                <w:color w:val="000000"/>
                <w:lang w:val="en-GB"/>
              </w:rPr>
              <w:t>&lt;0.01</w:t>
            </w:r>
          </w:p>
        </w:tc>
      </w:tr>
      <w:tr w:rsidR="00615BC9" w:rsidRPr="00C223AB" w14:paraId="5B3761D2" w14:textId="77777777" w:rsidTr="00357FB4">
        <w:trPr>
          <w:gridAfter w:val="1"/>
          <w:wAfter w:w="1328" w:type="dxa"/>
          <w:trHeight w:val="300"/>
        </w:trPr>
        <w:tc>
          <w:tcPr>
            <w:tcW w:w="3559" w:type="dxa"/>
            <w:tcBorders>
              <w:top w:val="nil"/>
              <w:left w:val="nil"/>
              <w:bottom w:val="nil"/>
              <w:right w:val="nil"/>
            </w:tcBorders>
            <w:shd w:val="clear" w:color="auto" w:fill="auto"/>
            <w:noWrap/>
            <w:vAlign w:val="bottom"/>
            <w:hideMark/>
          </w:tcPr>
          <w:p w14:paraId="3B11F2F8" w14:textId="0E61CD13" w:rsidR="00615BC9" w:rsidRPr="00C223AB" w:rsidRDefault="00615BC9" w:rsidP="00C223AB">
            <w:pPr>
              <w:rPr>
                <w:rFonts w:ascii="Arial" w:eastAsia="Times New Roman" w:hAnsi="Arial" w:cs="Arial"/>
                <w:color w:val="000000"/>
                <w:lang w:val="en-GB"/>
              </w:rPr>
            </w:pPr>
            <w:r w:rsidRPr="00C223AB">
              <w:rPr>
                <w:rFonts w:ascii="Arial" w:eastAsia="Times New Roman" w:hAnsi="Arial" w:cs="Arial"/>
                <w:color w:val="000000"/>
                <w:lang w:val="en-GB"/>
              </w:rPr>
              <w:t>Body mass index, kg/m2</w:t>
            </w:r>
          </w:p>
        </w:tc>
        <w:tc>
          <w:tcPr>
            <w:tcW w:w="146" w:type="dxa"/>
            <w:tcBorders>
              <w:top w:val="nil"/>
              <w:left w:val="nil"/>
              <w:bottom w:val="nil"/>
              <w:right w:val="nil"/>
            </w:tcBorders>
            <w:shd w:val="clear" w:color="auto" w:fill="auto"/>
            <w:noWrap/>
            <w:vAlign w:val="bottom"/>
            <w:hideMark/>
          </w:tcPr>
          <w:p w14:paraId="3AA2E158" w14:textId="77777777" w:rsidR="00615BC9" w:rsidRPr="00C223AB" w:rsidRDefault="00615BC9" w:rsidP="00C223AB">
            <w:pPr>
              <w:ind w:left="720"/>
              <w:contextualSpacing/>
              <w:rPr>
                <w:rFonts w:ascii="Arial" w:eastAsia="Times New Roman" w:hAnsi="Arial" w:cs="Arial"/>
                <w:color w:val="000000"/>
                <w:lang w:val="en-GB"/>
              </w:rPr>
            </w:pPr>
          </w:p>
        </w:tc>
        <w:tc>
          <w:tcPr>
            <w:tcW w:w="1540" w:type="dxa"/>
            <w:tcBorders>
              <w:top w:val="nil"/>
              <w:left w:val="single" w:sz="4" w:space="0" w:color="auto"/>
              <w:bottom w:val="single" w:sz="4" w:space="0" w:color="auto"/>
              <w:right w:val="single" w:sz="4" w:space="0" w:color="auto"/>
            </w:tcBorders>
            <w:shd w:val="clear" w:color="auto" w:fill="auto"/>
            <w:noWrap/>
            <w:vAlign w:val="bottom"/>
            <w:hideMark/>
          </w:tcPr>
          <w:p w14:paraId="15ABD13A" w14:textId="77777777" w:rsidR="00615BC9" w:rsidRPr="00C223AB" w:rsidRDefault="00615BC9" w:rsidP="00C223AB">
            <w:pPr>
              <w:rPr>
                <w:rFonts w:ascii="Arial" w:eastAsia="Times New Roman" w:hAnsi="Arial" w:cs="Arial"/>
                <w:color w:val="000000"/>
                <w:lang w:val="en-GB"/>
              </w:rPr>
            </w:pPr>
            <w:r w:rsidRPr="00C223AB">
              <w:rPr>
                <w:rFonts w:ascii="Arial" w:eastAsia="Times New Roman" w:hAnsi="Arial" w:cs="Arial"/>
                <w:color w:val="000000"/>
                <w:lang w:val="en-GB"/>
              </w:rPr>
              <w:t>26 ±3.5</w:t>
            </w:r>
          </w:p>
        </w:tc>
        <w:tc>
          <w:tcPr>
            <w:tcW w:w="1646" w:type="dxa"/>
            <w:tcBorders>
              <w:top w:val="nil"/>
              <w:left w:val="nil"/>
              <w:bottom w:val="single" w:sz="4" w:space="0" w:color="auto"/>
              <w:right w:val="single" w:sz="4" w:space="0" w:color="auto"/>
            </w:tcBorders>
            <w:shd w:val="clear" w:color="auto" w:fill="auto"/>
            <w:noWrap/>
            <w:vAlign w:val="bottom"/>
            <w:hideMark/>
          </w:tcPr>
          <w:p w14:paraId="7B8652E4" w14:textId="77777777" w:rsidR="00615BC9" w:rsidRPr="00C223AB" w:rsidRDefault="00615BC9" w:rsidP="00C223AB">
            <w:pPr>
              <w:rPr>
                <w:rFonts w:ascii="Arial" w:eastAsia="Times New Roman" w:hAnsi="Arial" w:cs="Arial"/>
                <w:color w:val="000000"/>
                <w:lang w:val="en-GB"/>
              </w:rPr>
            </w:pPr>
            <w:r w:rsidRPr="00C223AB">
              <w:rPr>
                <w:rFonts w:ascii="Arial" w:eastAsia="Times New Roman" w:hAnsi="Arial" w:cs="Arial"/>
                <w:color w:val="000000"/>
                <w:lang w:val="en-GB"/>
              </w:rPr>
              <w:t>25.7 ±3.1</w:t>
            </w:r>
          </w:p>
        </w:tc>
        <w:tc>
          <w:tcPr>
            <w:tcW w:w="1820" w:type="dxa"/>
            <w:tcBorders>
              <w:top w:val="nil"/>
              <w:left w:val="nil"/>
              <w:bottom w:val="single" w:sz="4" w:space="0" w:color="auto"/>
              <w:right w:val="single" w:sz="4" w:space="0" w:color="auto"/>
            </w:tcBorders>
            <w:shd w:val="clear" w:color="auto" w:fill="auto"/>
            <w:noWrap/>
            <w:vAlign w:val="bottom"/>
            <w:hideMark/>
          </w:tcPr>
          <w:p w14:paraId="6B26F733" w14:textId="77777777" w:rsidR="00615BC9" w:rsidRPr="00C223AB" w:rsidRDefault="00615BC9" w:rsidP="00C223AB">
            <w:pPr>
              <w:rPr>
                <w:rFonts w:ascii="Arial" w:eastAsia="Times New Roman" w:hAnsi="Arial" w:cs="Arial"/>
                <w:color w:val="000000"/>
                <w:lang w:val="en-GB"/>
              </w:rPr>
            </w:pPr>
            <w:r w:rsidRPr="00C223AB">
              <w:rPr>
                <w:rFonts w:ascii="Arial" w:eastAsia="Times New Roman" w:hAnsi="Arial" w:cs="Arial"/>
                <w:color w:val="000000"/>
                <w:lang w:val="en-GB"/>
              </w:rPr>
              <w:t>26.7 ±3.7</w:t>
            </w:r>
          </w:p>
        </w:tc>
        <w:tc>
          <w:tcPr>
            <w:tcW w:w="1560" w:type="dxa"/>
            <w:tcBorders>
              <w:top w:val="nil"/>
              <w:left w:val="nil"/>
              <w:bottom w:val="single" w:sz="4" w:space="0" w:color="auto"/>
              <w:right w:val="single" w:sz="4" w:space="0" w:color="auto"/>
            </w:tcBorders>
            <w:shd w:val="clear" w:color="auto" w:fill="auto"/>
            <w:noWrap/>
            <w:vAlign w:val="bottom"/>
            <w:hideMark/>
          </w:tcPr>
          <w:p w14:paraId="50E661D4" w14:textId="77777777" w:rsidR="00615BC9" w:rsidRPr="00C223AB" w:rsidRDefault="00615BC9" w:rsidP="00C223AB">
            <w:pPr>
              <w:rPr>
                <w:rFonts w:ascii="Arial" w:eastAsia="Times New Roman" w:hAnsi="Arial" w:cs="Arial"/>
                <w:color w:val="000000"/>
                <w:lang w:val="en-GB"/>
              </w:rPr>
            </w:pPr>
            <w:r w:rsidRPr="00C223AB">
              <w:rPr>
                <w:rFonts w:ascii="Arial" w:eastAsia="Times New Roman" w:hAnsi="Arial" w:cs="Arial"/>
                <w:color w:val="000000"/>
                <w:lang w:val="en-GB"/>
              </w:rPr>
              <w:t>27 ±3.6</w:t>
            </w:r>
          </w:p>
        </w:tc>
        <w:tc>
          <w:tcPr>
            <w:tcW w:w="1581" w:type="dxa"/>
            <w:tcBorders>
              <w:top w:val="nil"/>
              <w:left w:val="nil"/>
              <w:bottom w:val="single" w:sz="4" w:space="0" w:color="auto"/>
              <w:right w:val="single" w:sz="4" w:space="0" w:color="auto"/>
            </w:tcBorders>
            <w:shd w:val="clear" w:color="auto" w:fill="auto"/>
            <w:noWrap/>
            <w:vAlign w:val="bottom"/>
            <w:hideMark/>
          </w:tcPr>
          <w:p w14:paraId="3143D70F" w14:textId="77777777" w:rsidR="00615BC9" w:rsidRPr="00C223AB" w:rsidRDefault="00615BC9" w:rsidP="00C223AB">
            <w:pPr>
              <w:rPr>
                <w:rFonts w:ascii="Arial" w:eastAsia="Times New Roman" w:hAnsi="Arial" w:cs="Arial"/>
                <w:color w:val="000000"/>
                <w:lang w:val="en-GB"/>
              </w:rPr>
            </w:pPr>
            <w:r w:rsidRPr="00C223AB">
              <w:rPr>
                <w:rFonts w:ascii="Arial" w:eastAsia="Times New Roman" w:hAnsi="Arial" w:cs="Arial"/>
                <w:color w:val="000000"/>
                <w:lang w:val="en-GB"/>
              </w:rPr>
              <w:t>27.5 ±4</w:t>
            </w:r>
          </w:p>
        </w:tc>
        <w:tc>
          <w:tcPr>
            <w:tcW w:w="919" w:type="dxa"/>
            <w:tcBorders>
              <w:top w:val="nil"/>
              <w:left w:val="nil"/>
              <w:bottom w:val="single" w:sz="4" w:space="0" w:color="auto"/>
              <w:right w:val="single" w:sz="4" w:space="0" w:color="auto"/>
            </w:tcBorders>
            <w:shd w:val="clear" w:color="auto" w:fill="auto"/>
            <w:noWrap/>
            <w:vAlign w:val="bottom"/>
            <w:hideMark/>
          </w:tcPr>
          <w:p w14:paraId="129E3A83" w14:textId="77777777" w:rsidR="00615BC9" w:rsidRPr="00C223AB" w:rsidRDefault="00615BC9" w:rsidP="00C223AB">
            <w:pPr>
              <w:rPr>
                <w:rFonts w:ascii="Arial" w:eastAsia="Times New Roman" w:hAnsi="Arial" w:cs="Arial"/>
                <w:color w:val="000000"/>
                <w:lang w:val="en-GB"/>
              </w:rPr>
            </w:pPr>
            <w:r w:rsidRPr="00C223AB">
              <w:rPr>
                <w:rFonts w:ascii="Arial" w:eastAsia="Times New Roman" w:hAnsi="Arial" w:cs="Arial"/>
                <w:color w:val="000000"/>
                <w:lang w:val="en-GB"/>
              </w:rPr>
              <w:t>&lt;0.001</w:t>
            </w:r>
          </w:p>
        </w:tc>
      </w:tr>
      <w:tr w:rsidR="00615BC9" w:rsidRPr="00C223AB" w14:paraId="1861C0EE" w14:textId="77777777" w:rsidTr="006827A0">
        <w:trPr>
          <w:gridAfter w:val="1"/>
          <w:wAfter w:w="1328" w:type="dxa"/>
          <w:trHeight w:val="300"/>
        </w:trPr>
        <w:tc>
          <w:tcPr>
            <w:tcW w:w="3559" w:type="dxa"/>
            <w:tcBorders>
              <w:top w:val="nil"/>
              <w:left w:val="nil"/>
              <w:bottom w:val="nil"/>
              <w:right w:val="nil"/>
            </w:tcBorders>
            <w:shd w:val="clear" w:color="auto" w:fill="auto"/>
            <w:noWrap/>
            <w:vAlign w:val="bottom"/>
            <w:hideMark/>
          </w:tcPr>
          <w:p w14:paraId="76B091E6" w14:textId="77777777" w:rsidR="00615BC9" w:rsidRPr="00C223AB" w:rsidRDefault="00615BC9" w:rsidP="00C223AB">
            <w:pPr>
              <w:rPr>
                <w:rFonts w:ascii="Arial" w:eastAsia="Times New Roman" w:hAnsi="Arial" w:cs="Arial"/>
                <w:color w:val="000000"/>
                <w:lang w:val="en-GB"/>
              </w:rPr>
            </w:pPr>
            <w:r w:rsidRPr="00C223AB">
              <w:rPr>
                <w:rFonts w:ascii="Arial" w:eastAsia="Times New Roman" w:hAnsi="Arial" w:cs="Arial"/>
                <w:color w:val="000000"/>
                <w:lang w:val="en-GB"/>
              </w:rPr>
              <w:t>Current smoking</w:t>
            </w:r>
          </w:p>
        </w:tc>
        <w:tc>
          <w:tcPr>
            <w:tcW w:w="146" w:type="dxa"/>
            <w:tcBorders>
              <w:top w:val="nil"/>
              <w:left w:val="nil"/>
              <w:bottom w:val="nil"/>
              <w:right w:val="nil"/>
            </w:tcBorders>
            <w:shd w:val="clear" w:color="auto" w:fill="auto"/>
            <w:noWrap/>
            <w:vAlign w:val="bottom"/>
            <w:hideMark/>
          </w:tcPr>
          <w:p w14:paraId="6EDA11DF" w14:textId="77777777" w:rsidR="00615BC9" w:rsidRPr="00C223AB" w:rsidRDefault="00615BC9" w:rsidP="00C223AB">
            <w:pPr>
              <w:ind w:left="720"/>
              <w:contextualSpacing/>
              <w:rPr>
                <w:rFonts w:ascii="Arial" w:eastAsia="Times New Roman" w:hAnsi="Arial" w:cs="Arial"/>
                <w:color w:val="000000"/>
                <w:lang w:val="en-GB"/>
              </w:rPr>
            </w:pPr>
          </w:p>
        </w:tc>
        <w:tc>
          <w:tcPr>
            <w:tcW w:w="1540" w:type="dxa"/>
            <w:tcBorders>
              <w:top w:val="nil"/>
              <w:left w:val="single" w:sz="4" w:space="0" w:color="auto"/>
              <w:bottom w:val="single" w:sz="4" w:space="0" w:color="auto"/>
              <w:right w:val="single" w:sz="4" w:space="0" w:color="auto"/>
            </w:tcBorders>
            <w:shd w:val="clear" w:color="auto" w:fill="auto"/>
            <w:noWrap/>
            <w:vAlign w:val="bottom"/>
          </w:tcPr>
          <w:p w14:paraId="3EEC98D0" w14:textId="357561E6" w:rsidR="00615BC9" w:rsidRPr="00C223AB" w:rsidRDefault="006D26FA" w:rsidP="00C223AB">
            <w:pPr>
              <w:rPr>
                <w:rFonts w:ascii="Arial" w:eastAsia="Times New Roman" w:hAnsi="Arial" w:cs="Arial"/>
                <w:color w:val="000000"/>
                <w:lang w:val="en-GB"/>
              </w:rPr>
            </w:pPr>
            <w:r w:rsidRPr="00C223AB">
              <w:rPr>
                <w:rFonts w:ascii="Arial" w:eastAsia="Times New Roman" w:hAnsi="Arial" w:cs="Arial"/>
                <w:color w:val="000000"/>
                <w:lang w:val="en-GB"/>
              </w:rPr>
              <w:t>51(9.2%)</w:t>
            </w:r>
          </w:p>
        </w:tc>
        <w:tc>
          <w:tcPr>
            <w:tcW w:w="1646" w:type="dxa"/>
            <w:tcBorders>
              <w:top w:val="nil"/>
              <w:left w:val="nil"/>
              <w:bottom w:val="single" w:sz="4" w:space="0" w:color="auto"/>
              <w:right w:val="single" w:sz="4" w:space="0" w:color="auto"/>
            </w:tcBorders>
            <w:shd w:val="clear" w:color="auto" w:fill="auto"/>
            <w:noWrap/>
            <w:vAlign w:val="bottom"/>
          </w:tcPr>
          <w:p w14:paraId="15AF46B2" w14:textId="73399669" w:rsidR="00615BC9" w:rsidRPr="00C223AB" w:rsidRDefault="006D26FA" w:rsidP="00C223AB">
            <w:pPr>
              <w:rPr>
                <w:rFonts w:ascii="Arial" w:eastAsia="Times New Roman" w:hAnsi="Arial" w:cs="Arial"/>
                <w:color w:val="000000"/>
                <w:lang w:val="en-GB"/>
              </w:rPr>
            </w:pPr>
            <w:r w:rsidRPr="00C223AB">
              <w:rPr>
                <w:rFonts w:ascii="Arial" w:eastAsia="Times New Roman" w:hAnsi="Arial" w:cs="Arial"/>
                <w:color w:val="000000"/>
                <w:lang w:val="en-GB"/>
              </w:rPr>
              <w:t>53(9.2%)</w:t>
            </w:r>
          </w:p>
        </w:tc>
        <w:tc>
          <w:tcPr>
            <w:tcW w:w="1820" w:type="dxa"/>
            <w:tcBorders>
              <w:top w:val="nil"/>
              <w:left w:val="nil"/>
              <w:bottom w:val="single" w:sz="4" w:space="0" w:color="auto"/>
              <w:right w:val="single" w:sz="4" w:space="0" w:color="auto"/>
            </w:tcBorders>
            <w:shd w:val="clear" w:color="auto" w:fill="auto"/>
            <w:noWrap/>
            <w:vAlign w:val="bottom"/>
          </w:tcPr>
          <w:p w14:paraId="0037DA0F" w14:textId="034C1C88" w:rsidR="00615BC9" w:rsidRPr="00C223AB" w:rsidRDefault="006D26FA" w:rsidP="00C223AB">
            <w:pPr>
              <w:rPr>
                <w:rFonts w:ascii="Arial" w:eastAsia="Times New Roman" w:hAnsi="Arial" w:cs="Arial"/>
                <w:color w:val="000000"/>
                <w:lang w:val="en-GB"/>
              </w:rPr>
            </w:pPr>
            <w:r w:rsidRPr="00C223AB">
              <w:rPr>
                <w:rFonts w:ascii="Arial" w:eastAsia="Times New Roman" w:hAnsi="Arial" w:cs="Arial"/>
                <w:color w:val="000000"/>
                <w:lang w:val="en-GB"/>
              </w:rPr>
              <w:t>57(10.3%)</w:t>
            </w:r>
          </w:p>
        </w:tc>
        <w:tc>
          <w:tcPr>
            <w:tcW w:w="1560" w:type="dxa"/>
            <w:tcBorders>
              <w:top w:val="nil"/>
              <w:left w:val="nil"/>
              <w:bottom w:val="single" w:sz="4" w:space="0" w:color="auto"/>
              <w:right w:val="single" w:sz="4" w:space="0" w:color="auto"/>
            </w:tcBorders>
            <w:shd w:val="clear" w:color="auto" w:fill="auto"/>
            <w:noWrap/>
            <w:vAlign w:val="bottom"/>
          </w:tcPr>
          <w:p w14:paraId="79B5182F" w14:textId="19EF2D8E" w:rsidR="00615BC9" w:rsidRPr="00C223AB" w:rsidRDefault="006D26FA" w:rsidP="00C223AB">
            <w:pPr>
              <w:rPr>
                <w:rFonts w:ascii="Arial" w:eastAsia="Times New Roman" w:hAnsi="Arial" w:cs="Arial"/>
                <w:color w:val="000000"/>
                <w:lang w:val="en-GB"/>
              </w:rPr>
            </w:pPr>
            <w:r w:rsidRPr="00C223AB">
              <w:rPr>
                <w:rFonts w:ascii="Arial" w:eastAsia="Times New Roman" w:hAnsi="Arial" w:cs="Arial"/>
                <w:color w:val="000000"/>
                <w:lang w:val="en-GB"/>
              </w:rPr>
              <w:t>62(11.7%)</w:t>
            </w:r>
          </w:p>
        </w:tc>
        <w:tc>
          <w:tcPr>
            <w:tcW w:w="1581" w:type="dxa"/>
            <w:tcBorders>
              <w:top w:val="nil"/>
              <w:left w:val="nil"/>
              <w:bottom w:val="single" w:sz="4" w:space="0" w:color="auto"/>
              <w:right w:val="single" w:sz="4" w:space="0" w:color="auto"/>
            </w:tcBorders>
            <w:shd w:val="clear" w:color="auto" w:fill="auto"/>
            <w:noWrap/>
            <w:vAlign w:val="bottom"/>
          </w:tcPr>
          <w:p w14:paraId="336DBFC2" w14:textId="07B35125" w:rsidR="00615BC9" w:rsidRPr="00C223AB" w:rsidRDefault="006D26FA" w:rsidP="00C223AB">
            <w:pPr>
              <w:rPr>
                <w:rFonts w:ascii="Arial" w:eastAsia="Times New Roman" w:hAnsi="Arial" w:cs="Arial"/>
                <w:color w:val="000000"/>
                <w:lang w:val="en-GB"/>
              </w:rPr>
            </w:pPr>
            <w:r w:rsidRPr="00C223AB">
              <w:rPr>
                <w:rFonts w:ascii="Arial" w:eastAsia="Times New Roman" w:hAnsi="Arial" w:cs="Arial"/>
                <w:color w:val="000000"/>
                <w:lang w:val="en-GB"/>
              </w:rPr>
              <w:t>61(11.6%)</w:t>
            </w:r>
          </w:p>
        </w:tc>
        <w:tc>
          <w:tcPr>
            <w:tcW w:w="919" w:type="dxa"/>
            <w:tcBorders>
              <w:top w:val="nil"/>
              <w:left w:val="nil"/>
              <w:bottom w:val="single" w:sz="4" w:space="0" w:color="auto"/>
              <w:right w:val="single" w:sz="4" w:space="0" w:color="auto"/>
            </w:tcBorders>
            <w:shd w:val="clear" w:color="auto" w:fill="auto"/>
            <w:noWrap/>
            <w:vAlign w:val="bottom"/>
            <w:hideMark/>
          </w:tcPr>
          <w:p w14:paraId="146240EF" w14:textId="77777777" w:rsidR="00615BC9" w:rsidRPr="00C223AB" w:rsidRDefault="00615BC9" w:rsidP="00C223AB">
            <w:pPr>
              <w:rPr>
                <w:rFonts w:ascii="Arial" w:eastAsia="Times New Roman" w:hAnsi="Arial" w:cs="Arial"/>
                <w:color w:val="000000"/>
                <w:lang w:val="en-GB"/>
              </w:rPr>
            </w:pPr>
            <w:r w:rsidRPr="00C223AB">
              <w:rPr>
                <w:rFonts w:ascii="Arial" w:eastAsia="Times New Roman" w:hAnsi="Arial" w:cs="Arial"/>
                <w:color w:val="000000"/>
                <w:lang w:val="en-GB"/>
              </w:rPr>
              <w:t>0.13</w:t>
            </w:r>
          </w:p>
        </w:tc>
      </w:tr>
      <w:tr w:rsidR="00615BC9" w:rsidRPr="00C223AB" w14:paraId="22D4F4E2" w14:textId="77777777" w:rsidTr="00357FB4">
        <w:trPr>
          <w:gridAfter w:val="1"/>
          <w:wAfter w:w="1328" w:type="dxa"/>
          <w:trHeight w:val="300"/>
        </w:trPr>
        <w:tc>
          <w:tcPr>
            <w:tcW w:w="3559" w:type="dxa"/>
            <w:tcBorders>
              <w:top w:val="nil"/>
              <w:left w:val="nil"/>
              <w:bottom w:val="nil"/>
              <w:right w:val="nil"/>
            </w:tcBorders>
            <w:shd w:val="clear" w:color="auto" w:fill="auto"/>
            <w:noWrap/>
            <w:vAlign w:val="bottom"/>
            <w:hideMark/>
          </w:tcPr>
          <w:p w14:paraId="79333576" w14:textId="77777777" w:rsidR="00615BC9" w:rsidRPr="00C223AB" w:rsidRDefault="00615BC9" w:rsidP="00C223AB">
            <w:pPr>
              <w:rPr>
                <w:rFonts w:ascii="Arial" w:eastAsia="Times New Roman" w:hAnsi="Arial" w:cs="Arial"/>
                <w:color w:val="000000"/>
                <w:lang w:val="en-GB"/>
              </w:rPr>
            </w:pPr>
            <w:r w:rsidRPr="00C223AB">
              <w:rPr>
                <w:rFonts w:ascii="Arial" w:eastAsia="Times New Roman" w:hAnsi="Arial" w:cs="Arial"/>
                <w:color w:val="000000"/>
                <w:lang w:val="en-GB"/>
              </w:rPr>
              <w:t>Systolic blood pressure, mmHg</w:t>
            </w:r>
          </w:p>
        </w:tc>
        <w:tc>
          <w:tcPr>
            <w:tcW w:w="146" w:type="dxa"/>
            <w:tcBorders>
              <w:top w:val="nil"/>
              <w:left w:val="nil"/>
              <w:bottom w:val="nil"/>
              <w:right w:val="nil"/>
            </w:tcBorders>
            <w:shd w:val="clear" w:color="auto" w:fill="auto"/>
            <w:noWrap/>
            <w:vAlign w:val="bottom"/>
            <w:hideMark/>
          </w:tcPr>
          <w:p w14:paraId="3C96E940" w14:textId="77777777" w:rsidR="00615BC9" w:rsidRPr="00C223AB" w:rsidRDefault="00615BC9" w:rsidP="00C223AB">
            <w:pPr>
              <w:ind w:left="720"/>
              <w:contextualSpacing/>
              <w:rPr>
                <w:rFonts w:ascii="Arial" w:eastAsia="Times New Roman" w:hAnsi="Arial" w:cs="Arial"/>
                <w:color w:val="000000"/>
                <w:lang w:val="en-GB"/>
              </w:rPr>
            </w:pPr>
          </w:p>
        </w:tc>
        <w:tc>
          <w:tcPr>
            <w:tcW w:w="1540" w:type="dxa"/>
            <w:tcBorders>
              <w:top w:val="nil"/>
              <w:left w:val="single" w:sz="4" w:space="0" w:color="auto"/>
              <w:bottom w:val="single" w:sz="4" w:space="0" w:color="auto"/>
              <w:right w:val="single" w:sz="4" w:space="0" w:color="auto"/>
            </w:tcBorders>
            <w:shd w:val="clear" w:color="auto" w:fill="auto"/>
            <w:noWrap/>
            <w:vAlign w:val="bottom"/>
            <w:hideMark/>
          </w:tcPr>
          <w:p w14:paraId="047F1FFC" w14:textId="77777777" w:rsidR="00615BC9" w:rsidRPr="00C223AB" w:rsidRDefault="00615BC9" w:rsidP="00C223AB">
            <w:pPr>
              <w:rPr>
                <w:rFonts w:ascii="Arial" w:eastAsia="Times New Roman" w:hAnsi="Arial" w:cs="Arial"/>
                <w:color w:val="000000"/>
                <w:lang w:val="en-GB"/>
              </w:rPr>
            </w:pPr>
            <w:r w:rsidRPr="00C223AB">
              <w:rPr>
                <w:rFonts w:ascii="Arial" w:eastAsia="Times New Roman" w:hAnsi="Arial" w:cs="Arial"/>
                <w:color w:val="000000"/>
                <w:lang w:val="en-GB"/>
              </w:rPr>
              <w:t>140 ±18</w:t>
            </w:r>
          </w:p>
        </w:tc>
        <w:tc>
          <w:tcPr>
            <w:tcW w:w="1646" w:type="dxa"/>
            <w:tcBorders>
              <w:top w:val="nil"/>
              <w:left w:val="nil"/>
              <w:bottom w:val="single" w:sz="4" w:space="0" w:color="auto"/>
              <w:right w:val="single" w:sz="4" w:space="0" w:color="auto"/>
            </w:tcBorders>
            <w:shd w:val="clear" w:color="auto" w:fill="auto"/>
            <w:noWrap/>
            <w:vAlign w:val="bottom"/>
            <w:hideMark/>
          </w:tcPr>
          <w:p w14:paraId="1BFAB0F5" w14:textId="77777777" w:rsidR="00615BC9" w:rsidRPr="00C223AB" w:rsidRDefault="00615BC9" w:rsidP="00C223AB">
            <w:pPr>
              <w:rPr>
                <w:rFonts w:ascii="Arial" w:eastAsia="Times New Roman" w:hAnsi="Arial" w:cs="Arial"/>
                <w:color w:val="000000"/>
                <w:lang w:val="en-GB"/>
              </w:rPr>
            </w:pPr>
            <w:r w:rsidRPr="00C223AB">
              <w:rPr>
                <w:rFonts w:ascii="Arial" w:eastAsia="Times New Roman" w:hAnsi="Arial" w:cs="Arial"/>
                <w:color w:val="000000"/>
                <w:lang w:val="en-GB"/>
              </w:rPr>
              <w:t>138 ±18</w:t>
            </w:r>
          </w:p>
        </w:tc>
        <w:tc>
          <w:tcPr>
            <w:tcW w:w="1820" w:type="dxa"/>
            <w:tcBorders>
              <w:top w:val="nil"/>
              <w:left w:val="nil"/>
              <w:bottom w:val="single" w:sz="4" w:space="0" w:color="auto"/>
              <w:right w:val="single" w:sz="4" w:space="0" w:color="auto"/>
            </w:tcBorders>
            <w:shd w:val="clear" w:color="auto" w:fill="auto"/>
            <w:noWrap/>
            <w:vAlign w:val="bottom"/>
            <w:hideMark/>
          </w:tcPr>
          <w:p w14:paraId="7B63797F" w14:textId="77777777" w:rsidR="00615BC9" w:rsidRPr="00C223AB" w:rsidRDefault="00615BC9" w:rsidP="00C223AB">
            <w:pPr>
              <w:rPr>
                <w:rFonts w:ascii="Arial" w:eastAsia="Times New Roman" w:hAnsi="Arial" w:cs="Arial"/>
                <w:color w:val="000000"/>
                <w:lang w:val="en-GB"/>
              </w:rPr>
            </w:pPr>
            <w:r w:rsidRPr="00C223AB">
              <w:rPr>
                <w:rFonts w:ascii="Arial" w:eastAsia="Times New Roman" w:hAnsi="Arial" w:cs="Arial"/>
                <w:color w:val="000000"/>
                <w:lang w:val="en-GB"/>
              </w:rPr>
              <w:t>140 ±19</w:t>
            </w:r>
          </w:p>
        </w:tc>
        <w:tc>
          <w:tcPr>
            <w:tcW w:w="1560" w:type="dxa"/>
            <w:tcBorders>
              <w:top w:val="nil"/>
              <w:left w:val="nil"/>
              <w:bottom w:val="single" w:sz="4" w:space="0" w:color="auto"/>
              <w:right w:val="single" w:sz="4" w:space="0" w:color="auto"/>
            </w:tcBorders>
            <w:shd w:val="clear" w:color="auto" w:fill="auto"/>
            <w:noWrap/>
            <w:vAlign w:val="bottom"/>
            <w:hideMark/>
          </w:tcPr>
          <w:p w14:paraId="3238FCD1" w14:textId="77777777" w:rsidR="00615BC9" w:rsidRPr="00C223AB" w:rsidRDefault="00615BC9" w:rsidP="00C223AB">
            <w:pPr>
              <w:rPr>
                <w:rFonts w:ascii="Arial" w:eastAsia="Times New Roman" w:hAnsi="Arial" w:cs="Arial"/>
                <w:color w:val="000000"/>
                <w:lang w:val="en-GB"/>
              </w:rPr>
            </w:pPr>
            <w:r w:rsidRPr="00C223AB">
              <w:rPr>
                <w:rFonts w:ascii="Arial" w:eastAsia="Times New Roman" w:hAnsi="Arial" w:cs="Arial"/>
                <w:color w:val="000000"/>
                <w:lang w:val="en-GB"/>
              </w:rPr>
              <w:t>140 ±18</w:t>
            </w:r>
          </w:p>
        </w:tc>
        <w:tc>
          <w:tcPr>
            <w:tcW w:w="1581" w:type="dxa"/>
            <w:tcBorders>
              <w:top w:val="nil"/>
              <w:left w:val="nil"/>
              <w:bottom w:val="single" w:sz="4" w:space="0" w:color="auto"/>
              <w:right w:val="single" w:sz="4" w:space="0" w:color="auto"/>
            </w:tcBorders>
            <w:shd w:val="clear" w:color="auto" w:fill="auto"/>
            <w:noWrap/>
            <w:vAlign w:val="bottom"/>
            <w:hideMark/>
          </w:tcPr>
          <w:p w14:paraId="4F47A52F" w14:textId="77777777" w:rsidR="00615BC9" w:rsidRPr="00C223AB" w:rsidRDefault="00615BC9" w:rsidP="00C223AB">
            <w:pPr>
              <w:rPr>
                <w:rFonts w:ascii="Arial" w:eastAsia="Times New Roman" w:hAnsi="Arial" w:cs="Arial"/>
                <w:color w:val="000000"/>
                <w:lang w:val="en-GB"/>
              </w:rPr>
            </w:pPr>
            <w:r w:rsidRPr="00C223AB">
              <w:rPr>
                <w:rFonts w:ascii="Arial" w:eastAsia="Times New Roman" w:hAnsi="Arial" w:cs="Arial"/>
                <w:color w:val="000000"/>
                <w:lang w:val="en-GB"/>
              </w:rPr>
              <w:t>143 ±18</w:t>
            </w:r>
          </w:p>
        </w:tc>
        <w:tc>
          <w:tcPr>
            <w:tcW w:w="919" w:type="dxa"/>
            <w:tcBorders>
              <w:top w:val="nil"/>
              <w:left w:val="nil"/>
              <w:bottom w:val="single" w:sz="4" w:space="0" w:color="auto"/>
              <w:right w:val="single" w:sz="4" w:space="0" w:color="auto"/>
            </w:tcBorders>
            <w:shd w:val="clear" w:color="auto" w:fill="auto"/>
            <w:noWrap/>
            <w:vAlign w:val="bottom"/>
            <w:hideMark/>
          </w:tcPr>
          <w:p w14:paraId="0A98CBF4" w14:textId="77777777" w:rsidR="00615BC9" w:rsidRPr="00C223AB" w:rsidRDefault="00615BC9" w:rsidP="00C223AB">
            <w:pPr>
              <w:rPr>
                <w:rFonts w:ascii="Arial" w:eastAsia="Times New Roman" w:hAnsi="Arial" w:cs="Arial"/>
                <w:color w:val="000000"/>
                <w:lang w:val="en-GB"/>
              </w:rPr>
            </w:pPr>
            <w:r w:rsidRPr="00C223AB">
              <w:rPr>
                <w:rFonts w:ascii="Arial" w:eastAsia="Times New Roman" w:hAnsi="Arial" w:cs="Arial"/>
                <w:color w:val="000000"/>
                <w:lang w:val="en-GB"/>
              </w:rPr>
              <w:t>&lt;0.001</w:t>
            </w:r>
          </w:p>
        </w:tc>
      </w:tr>
      <w:tr w:rsidR="00615BC9" w:rsidRPr="00C223AB" w14:paraId="3A43BF5E" w14:textId="77777777" w:rsidTr="00357FB4">
        <w:trPr>
          <w:gridAfter w:val="1"/>
          <w:wAfter w:w="1328" w:type="dxa"/>
          <w:trHeight w:val="300"/>
        </w:trPr>
        <w:tc>
          <w:tcPr>
            <w:tcW w:w="3559" w:type="dxa"/>
            <w:tcBorders>
              <w:top w:val="nil"/>
              <w:left w:val="nil"/>
              <w:bottom w:val="nil"/>
              <w:right w:val="nil"/>
            </w:tcBorders>
            <w:shd w:val="clear" w:color="auto" w:fill="auto"/>
            <w:noWrap/>
            <w:vAlign w:val="bottom"/>
            <w:hideMark/>
          </w:tcPr>
          <w:p w14:paraId="5EC34024" w14:textId="77777777" w:rsidR="00615BC9" w:rsidRPr="00C223AB" w:rsidRDefault="00615BC9" w:rsidP="00C223AB">
            <w:pPr>
              <w:rPr>
                <w:rFonts w:ascii="Arial" w:eastAsia="Times New Roman" w:hAnsi="Arial" w:cs="Arial"/>
                <w:color w:val="000000"/>
                <w:lang w:val="en-GB"/>
              </w:rPr>
            </w:pPr>
            <w:r w:rsidRPr="00C223AB">
              <w:rPr>
                <w:rFonts w:ascii="Arial" w:eastAsia="Times New Roman" w:hAnsi="Arial" w:cs="Arial"/>
                <w:color w:val="000000"/>
                <w:lang w:val="en-GB"/>
              </w:rPr>
              <w:t>Diastolic blood pressure, mmHg</w:t>
            </w:r>
          </w:p>
        </w:tc>
        <w:tc>
          <w:tcPr>
            <w:tcW w:w="146" w:type="dxa"/>
            <w:tcBorders>
              <w:top w:val="nil"/>
              <w:left w:val="nil"/>
              <w:bottom w:val="nil"/>
              <w:right w:val="nil"/>
            </w:tcBorders>
            <w:shd w:val="clear" w:color="auto" w:fill="auto"/>
            <w:noWrap/>
            <w:vAlign w:val="bottom"/>
            <w:hideMark/>
          </w:tcPr>
          <w:p w14:paraId="03808E35" w14:textId="77777777" w:rsidR="00615BC9" w:rsidRPr="00C223AB" w:rsidRDefault="00615BC9" w:rsidP="00C223AB">
            <w:pPr>
              <w:ind w:left="720"/>
              <w:contextualSpacing/>
              <w:rPr>
                <w:rFonts w:ascii="Arial" w:eastAsia="Times New Roman" w:hAnsi="Arial" w:cs="Arial"/>
                <w:color w:val="000000"/>
                <w:lang w:val="en-GB"/>
              </w:rPr>
            </w:pPr>
          </w:p>
        </w:tc>
        <w:tc>
          <w:tcPr>
            <w:tcW w:w="1540" w:type="dxa"/>
            <w:tcBorders>
              <w:top w:val="nil"/>
              <w:left w:val="single" w:sz="4" w:space="0" w:color="auto"/>
              <w:bottom w:val="single" w:sz="4" w:space="0" w:color="auto"/>
              <w:right w:val="single" w:sz="4" w:space="0" w:color="auto"/>
            </w:tcBorders>
            <w:shd w:val="clear" w:color="auto" w:fill="auto"/>
            <w:noWrap/>
            <w:vAlign w:val="bottom"/>
            <w:hideMark/>
          </w:tcPr>
          <w:p w14:paraId="75DC34A8" w14:textId="77777777" w:rsidR="00615BC9" w:rsidRPr="00C223AB" w:rsidRDefault="00615BC9" w:rsidP="00C223AB">
            <w:pPr>
              <w:rPr>
                <w:rFonts w:ascii="Arial" w:eastAsia="Times New Roman" w:hAnsi="Arial" w:cs="Arial"/>
                <w:color w:val="000000"/>
                <w:lang w:val="en-GB"/>
              </w:rPr>
            </w:pPr>
            <w:r w:rsidRPr="00C223AB">
              <w:rPr>
                <w:rFonts w:ascii="Arial" w:eastAsia="Times New Roman" w:hAnsi="Arial" w:cs="Arial"/>
                <w:color w:val="000000"/>
                <w:lang w:val="en-GB"/>
              </w:rPr>
              <w:t>83 ±11.1</w:t>
            </w:r>
          </w:p>
        </w:tc>
        <w:tc>
          <w:tcPr>
            <w:tcW w:w="1646" w:type="dxa"/>
            <w:tcBorders>
              <w:top w:val="nil"/>
              <w:left w:val="nil"/>
              <w:bottom w:val="single" w:sz="4" w:space="0" w:color="auto"/>
              <w:right w:val="single" w:sz="4" w:space="0" w:color="auto"/>
            </w:tcBorders>
            <w:shd w:val="clear" w:color="auto" w:fill="auto"/>
            <w:noWrap/>
            <w:vAlign w:val="bottom"/>
            <w:hideMark/>
          </w:tcPr>
          <w:p w14:paraId="1BDD1415" w14:textId="77777777" w:rsidR="00615BC9" w:rsidRPr="00C223AB" w:rsidRDefault="00615BC9" w:rsidP="00C223AB">
            <w:pPr>
              <w:rPr>
                <w:rFonts w:ascii="Arial" w:eastAsia="Times New Roman" w:hAnsi="Arial" w:cs="Arial"/>
                <w:color w:val="000000"/>
                <w:lang w:val="en-GB"/>
              </w:rPr>
            </w:pPr>
            <w:r w:rsidRPr="00C223AB">
              <w:rPr>
                <w:rFonts w:ascii="Arial" w:eastAsia="Times New Roman" w:hAnsi="Arial" w:cs="Arial"/>
                <w:color w:val="000000"/>
                <w:lang w:val="en-GB"/>
              </w:rPr>
              <w:t>83 ±11.5</w:t>
            </w:r>
          </w:p>
        </w:tc>
        <w:tc>
          <w:tcPr>
            <w:tcW w:w="1820" w:type="dxa"/>
            <w:tcBorders>
              <w:top w:val="nil"/>
              <w:left w:val="nil"/>
              <w:bottom w:val="single" w:sz="4" w:space="0" w:color="auto"/>
              <w:right w:val="single" w:sz="4" w:space="0" w:color="auto"/>
            </w:tcBorders>
            <w:shd w:val="clear" w:color="auto" w:fill="auto"/>
            <w:noWrap/>
            <w:vAlign w:val="bottom"/>
            <w:hideMark/>
          </w:tcPr>
          <w:p w14:paraId="0B5837A2" w14:textId="77777777" w:rsidR="00615BC9" w:rsidRPr="00C223AB" w:rsidRDefault="00615BC9" w:rsidP="00C223AB">
            <w:pPr>
              <w:rPr>
                <w:rFonts w:ascii="Arial" w:eastAsia="Times New Roman" w:hAnsi="Arial" w:cs="Arial"/>
                <w:color w:val="000000"/>
                <w:lang w:val="en-GB"/>
              </w:rPr>
            </w:pPr>
            <w:r w:rsidRPr="00C223AB">
              <w:rPr>
                <w:rFonts w:ascii="Arial" w:eastAsia="Times New Roman" w:hAnsi="Arial" w:cs="Arial"/>
                <w:color w:val="000000"/>
                <w:lang w:val="en-GB"/>
              </w:rPr>
              <w:t>84 ±11.8</w:t>
            </w:r>
          </w:p>
        </w:tc>
        <w:tc>
          <w:tcPr>
            <w:tcW w:w="1560" w:type="dxa"/>
            <w:tcBorders>
              <w:top w:val="nil"/>
              <w:left w:val="nil"/>
              <w:bottom w:val="single" w:sz="4" w:space="0" w:color="auto"/>
              <w:right w:val="single" w:sz="4" w:space="0" w:color="auto"/>
            </w:tcBorders>
            <w:shd w:val="clear" w:color="auto" w:fill="auto"/>
            <w:noWrap/>
            <w:vAlign w:val="bottom"/>
            <w:hideMark/>
          </w:tcPr>
          <w:p w14:paraId="525AF8B3" w14:textId="77777777" w:rsidR="00615BC9" w:rsidRPr="00C223AB" w:rsidRDefault="00615BC9" w:rsidP="00C223AB">
            <w:pPr>
              <w:rPr>
                <w:rFonts w:ascii="Arial" w:eastAsia="Times New Roman" w:hAnsi="Arial" w:cs="Arial"/>
                <w:color w:val="000000"/>
                <w:lang w:val="en-GB"/>
              </w:rPr>
            </w:pPr>
            <w:r w:rsidRPr="00C223AB">
              <w:rPr>
                <w:rFonts w:ascii="Arial" w:eastAsia="Times New Roman" w:hAnsi="Arial" w:cs="Arial"/>
                <w:color w:val="000000"/>
                <w:lang w:val="en-GB"/>
              </w:rPr>
              <w:t>84 ±10.9</w:t>
            </w:r>
          </w:p>
        </w:tc>
        <w:tc>
          <w:tcPr>
            <w:tcW w:w="1581" w:type="dxa"/>
            <w:tcBorders>
              <w:top w:val="nil"/>
              <w:left w:val="nil"/>
              <w:bottom w:val="single" w:sz="4" w:space="0" w:color="auto"/>
              <w:right w:val="single" w:sz="4" w:space="0" w:color="auto"/>
            </w:tcBorders>
            <w:shd w:val="clear" w:color="auto" w:fill="auto"/>
            <w:noWrap/>
            <w:vAlign w:val="bottom"/>
            <w:hideMark/>
          </w:tcPr>
          <w:p w14:paraId="0703C35F" w14:textId="77777777" w:rsidR="00615BC9" w:rsidRPr="00C223AB" w:rsidRDefault="00615BC9" w:rsidP="00C223AB">
            <w:pPr>
              <w:rPr>
                <w:rFonts w:ascii="Arial" w:eastAsia="Times New Roman" w:hAnsi="Arial" w:cs="Arial"/>
                <w:color w:val="000000"/>
                <w:lang w:val="en-GB"/>
              </w:rPr>
            </w:pPr>
            <w:r w:rsidRPr="00C223AB">
              <w:rPr>
                <w:rFonts w:ascii="Arial" w:eastAsia="Times New Roman" w:hAnsi="Arial" w:cs="Arial"/>
                <w:color w:val="000000"/>
                <w:lang w:val="en-GB"/>
              </w:rPr>
              <w:t>86 ±10.8</w:t>
            </w:r>
          </w:p>
        </w:tc>
        <w:tc>
          <w:tcPr>
            <w:tcW w:w="919" w:type="dxa"/>
            <w:tcBorders>
              <w:top w:val="nil"/>
              <w:left w:val="nil"/>
              <w:bottom w:val="single" w:sz="4" w:space="0" w:color="auto"/>
              <w:right w:val="single" w:sz="4" w:space="0" w:color="auto"/>
            </w:tcBorders>
            <w:shd w:val="clear" w:color="auto" w:fill="auto"/>
            <w:noWrap/>
            <w:vAlign w:val="bottom"/>
            <w:hideMark/>
          </w:tcPr>
          <w:p w14:paraId="366ACCE8" w14:textId="77777777" w:rsidR="00615BC9" w:rsidRPr="00C223AB" w:rsidRDefault="00615BC9" w:rsidP="00C223AB">
            <w:pPr>
              <w:rPr>
                <w:rFonts w:ascii="Arial" w:eastAsia="Times New Roman" w:hAnsi="Arial" w:cs="Arial"/>
                <w:color w:val="000000"/>
                <w:lang w:val="en-GB"/>
              </w:rPr>
            </w:pPr>
            <w:r w:rsidRPr="00C223AB">
              <w:rPr>
                <w:rFonts w:ascii="Arial" w:eastAsia="Times New Roman" w:hAnsi="Arial" w:cs="Arial"/>
                <w:color w:val="000000"/>
                <w:lang w:val="en-GB"/>
              </w:rPr>
              <w:t>&lt;0.001</w:t>
            </w:r>
          </w:p>
        </w:tc>
      </w:tr>
      <w:tr w:rsidR="00615BC9" w:rsidRPr="00C223AB" w14:paraId="236746D6" w14:textId="77777777" w:rsidTr="006827A0">
        <w:trPr>
          <w:gridAfter w:val="1"/>
          <w:wAfter w:w="1328" w:type="dxa"/>
          <w:trHeight w:val="300"/>
        </w:trPr>
        <w:tc>
          <w:tcPr>
            <w:tcW w:w="3559" w:type="dxa"/>
            <w:tcBorders>
              <w:top w:val="nil"/>
              <w:left w:val="nil"/>
              <w:bottom w:val="nil"/>
              <w:right w:val="nil"/>
            </w:tcBorders>
            <w:shd w:val="clear" w:color="auto" w:fill="auto"/>
            <w:noWrap/>
            <w:vAlign w:val="bottom"/>
            <w:hideMark/>
          </w:tcPr>
          <w:p w14:paraId="54113FE1" w14:textId="77777777" w:rsidR="00615BC9" w:rsidRPr="00C223AB" w:rsidRDefault="00615BC9" w:rsidP="00C223AB">
            <w:pPr>
              <w:rPr>
                <w:rFonts w:ascii="Arial" w:eastAsia="Times New Roman" w:hAnsi="Arial" w:cs="Arial"/>
                <w:color w:val="000000"/>
                <w:lang w:val="en-GB"/>
              </w:rPr>
            </w:pPr>
            <w:r w:rsidRPr="00C223AB">
              <w:rPr>
                <w:rFonts w:ascii="Arial" w:eastAsia="Times New Roman" w:hAnsi="Arial" w:cs="Arial"/>
                <w:color w:val="000000"/>
                <w:lang w:val="en-GB"/>
              </w:rPr>
              <w:t>Diabetes Mellitus</w:t>
            </w:r>
          </w:p>
        </w:tc>
        <w:tc>
          <w:tcPr>
            <w:tcW w:w="146" w:type="dxa"/>
            <w:tcBorders>
              <w:top w:val="nil"/>
              <w:left w:val="nil"/>
              <w:bottom w:val="nil"/>
              <w:right w:val="nil"/>
            </w:tcBorders>
            <w:shd w:val="clear" w:color="auto" w:fill="auto"/>
            <w:noWrap/>
            <w:vAlign w:val="bottom"/>
            <w:hideMark/>
          </w:tcPr>
          <w:p w14:paraId="34CC8690" w14:textId="77777777" w:rsidR="00615BC9" w:rsidRPr="00C223AB" w:rsidRDefault="00615BC9" w:rsidP="00C223AB">
            <w:pPr>
              <w:ind w:left="720"/>
              <w:contextualSpacing/>
              <w:rPr>
                <w:rFonts w:ascii="Arial" w:eastAsia="Times New Roman" w:hAnsi="Arial" w:cs="Arial"/>
                <w:color w:val="000000"/>
                <w:lang w:val="en-GB"/>
              </w:rPr>
            </w:pPr>
          </w:p>
        </w:tc>
        <w:tc>
          <w:tcPr>
            <w:tcW w:w="1540" w:type="dxa"/>
            <w:tcBorders>
              <w:top w:val="nil"/>
              <w:left w:val="single" w:sz="4" w:space="0" w:color="auto"/>
              <w:bottom w:val="single" w:sz="4" w:space="0" w:color="auto"/>
              <w:right w:val="single" w:sz="4" w:space="0" w:color="auto"/>
            </w:tcBorders>
            <w:shd w:val="clear" w:color="auto" w:fill="auto"/>
            <w:noWrap/>
            <w:vAlign w:val="bottom"/>
          </w:tcPr>
          <w:p w14:paraId="25530467" w14:textId="053CB789" w:rsidR="00615BC9" w:rsidRPr="00C223AB" w:rsidRDefault="006D26FA" w:rsidP="00C223AB">
            <w:pPr>
              <w:rPr>
                <w:rFonts w:ascii="Arial" w:eastAsia="Times New Roman" w:hAnsi="Arial" w:cs="Arial"/>
                <w:color w:val="000000"/>
                <w:lang w:val="en-GB"/>
              </w:rPr>
            </w:pPr>
            <w:r w:rsidRPr="00C223AB">
              <w:rPr>
                <w:rFonts w:ascii="Arial" w:eastAsia="Times New Roman" w:hAnsi="Arial" w:cs="Arial"/>
                <w:color w:val="000000"/>
                <w:lang w:val="en-GB"/>
              </w:rPr>
              <w:t>18(3.2%)</w:t>
            </w:r>
          </w:p>
        </w:tc>
        <w:tc>
          <w:tcPr>
            <w:tcW w:w="1646" w:type="dxa"/>
            <w:tcBorders>
              <w:top w:val="nil"/>
              <w:left w:val="nil"/>
              <w:bottom w:val="single" w:sz="4" w:space="0" w:color="auto"/>
              <w:right w:val="single" w:sz="4" w:space="0" w:color="auto"/>
            </w:tcBorders>
            <w:shd w:val="clear" w:color="auto" w:fill="auto"/>
            <w:noWrap/>
            <w:vAlign w:val="bottom"/>
          </w:tcPr>
          <w:p w14:paraId="7CDC9ED5" w14:textId="0559B400" w:rsidR="00615BC9" w:rsidRPr="00C223AB" w:rsidRDefault="006D26FA" w:rsidP="00C223AB">
            <w:pPr>
              <w:rPr>
                <w:rFonts w:ascii="Arial" w:eastAsia="Times New Roman" w:hAnsi="Arial" w:cs="Arial"/>
                <w:color w:val="000000"/>
                <w:lang w:val="en-GB"/>
              </w:rPr>
            </w:pPr>
            <w:r w:rsidRPr="00C223AB">
              <w:rPr>
                <w:rFonts w:ascii="Arial" w:eastAsia="Times New Roman" w:hAnsi="Arial" w:cs="Arial"/>
                <w:color w:val="000000"/>
                <w:lang w:val="en-GB"/>
              </w:rPr>
              <w:t>17(3.2%)</w:t>
            </w:r>
          </w:p>
        </w:tc>
        <w:tc>
          <w:tcPr>
            <w:tcW w:w="1820" w:type="dxa"/>
            <w:tcBorders>
              <w:top w:val="nil"/>
              <w:left w:val="nil"/>
              <w:bottom w:val="single" w:sz="4" w:space="0" w:color="auto"/>
              <w:right w:val="single" w:sz="4" w:space="0" w:color="auto"/>
            </w:tcBorders>
            <w:shd w:val="clear" w:color="auto" w:fill="auto"/>
            <w:noWrap/>
            <w:vAlign w:val="bottom"/>
          </w:tcPr>
          <w:p w14:paraId="36C65328" w14:textId="5D5B2470" w:rsidR="00615BC9" w:rsidRPr="00C223AB" w:rsidRDefault="006D26FA" w:rsidP="00C223AB">
            <w:pPr>
              <w:rPr>
                <w:rFonts w:ascii="Arial" w:eastAsia="Times New Roman" w:hAnsi="Arial" w:cs="Arial"/>
                <w:color w:val="000000"/>
                <w:lang w:val="en-GB"/>
              </w:rPr>
            </w:pPr>
            <w:r w:rsidRPr="00C223AB">
              <w:rPr>
                <w:rFonts w:ascii="Arial" w:eastAsia="Times New Roman" w:hAnsi="Arial" w:cs="Arial"/>
                <w:color w:val="000000"/>
                <w:lang w:val="en-GB"/>
              </w:rPr>
              <w:t>19(3.4%)</w:t>
            </w:r>
          </w:p>
        </w:tc>
        <w:tc>
          <w:tcPr>
            <w:tcW w:w="1560" w:type="dxa"/>
            <w:tcBorders>
              <w:top w:val="nil"/>
              <w:left w:val="nil"/>
              <w:bottom w:val="single" w:sz="4" w:space="0" w:color="auto"/>
              <w:right w:val="single" w:sz="4" w:space="0" w:color="auto"/>
            </w:tcBorders>
            <w:shd w:val="clear" w:color="auto" w:fill="auto"/>
            <w:noWrap/>
            <w:vAlign w:val="bottom"/>
          </w:tcPr>
          <w:p w14:paraId="7170F015" w14:textId="0C91BE9F" w:rsidR="00615BC9" w:rsidRPr="00C223AB" w:rsidRDefault="006D26FA" w:rsidP="00C223AB">
            <w:pPr>
              <w:rPr>
                <w:rFonts w:ascii="Arial" w:eastAsia="Times New Roman" w:hAnsi="Arial" w:cs="Arial"/>
                <w:color w:val="000000"/>
                <w:lang w:val="en-GB"/>
              </w:rPr>
            </w:pPr>
            <w:r w:rsidRPr="00C223AB">
              <w:rPr>
                <w:rFonts w:ascii="Arial" w:eastAsia="Times New Roman" w:hAnsi="Arial" w:cs="Arial"/>
                <w:color w:val="000000"/>
                <w:lang w:val="en-GB"/>
              </w:rPr>
              <w:t>13(2.4%)_</w:t>
            </w:r>
          </w:p>
        </w:tc>
        <w:tc>
          <w:tcPr>
            <w:tcW w:w="1581" w:type="dxa"/>
            <w:tcBorders>
              <w:top w:val="nil"/>
              <w:left w:val="nil"/>
              <w:bottom w:val="single" w:sz="4" w:space="0" w:color="auto"/>
              <w:right w:val="single" w:sz="4" w:space="0" w:color="auto"/>
            </w:tcBorders>
            <w:shd w:val="clear" w:color="auto" w:fill="auto"/>
            <w:noWrap/>
            <w:vAlign w:val="bottom"/>
          </w:tcPr>
          <w:p w14:paraId="14B74B92" w14:textId="4E4A9CBF" w:rsidR="00615BC9" w:rsidRPr="00C223AB" w:rsidRDefault="006D26FA" w:rsidP="00C223AB">
            <w:pPr>
              <w:rPr>
                <w:rFonts w:ascii="Arial" w:eastAsia="Times New Roman" w:hAnsi="Arial" w:cs="Arial"/>
                <w:color w:val="000000"/>
                <w:lang w:val="en-GB"/>
              </w:rPr>
            </w:pPr>
            <w:r w:rsidRPr="00C223AB">
              <w:rPr>
                <w:rFonts w:ascii="Arial" w:eastAsia="Times New Roman" w:hAnsi="Arial" w:cs="Arial"/>
                <w:color w:val="000000"/>
                <w:lang w:val="en-GB"/>
              </w:rPr>
              <w:t>23(4.3%)</w:t>
            </w:r>
          </w:p>
        </w:tc>
        <w:tc>
          <w:tcPr>
            <w:tcW w:w="919" w:type="dxa"/>
            <w:tcBorders>
              <w:top w:val="nil"/>
              <w:left w:val="nil"/>
              <w:bottom w:val="single" w:sz="4" w:space="0" w:color="auto"/>
              <w:right w:val="single" w:sz="4" w:space="0" w:color="auto"/>
            </w:tcBorders>
            <w:shd w:val="clear" w:color="auto" w:fill="auto"/>
            <w:noWrap/>
            <w:vAlign w:val="bottom"/>
            <w:hideMark/>
          </w:tcPr>
          <w:p w14:paraId="56DACFEB" w14:textId="77777777" w:rsidR="00615BC9" w:rsidRPr="00C223AB" w:rsidRDefault="00615BC9" w:rsidP="00C223AB">
            <w:pPr>
              <w:rPr>
                <w:rFonts w:ascii="Arial" w:eastAsia="Times New Roman" w:hAnsi="Arial" w:cs="Arial"/>
                <w:color w:val="000000"/>
                <w:lang w:val="en-GB"/>
              </w:rPr>
            </w:pPr>
            <w:r w:rsidRPr="00C223AB">
              <w:rPr>
                <w:rFonts w:ascii="Arial" w:eastAsia="Times New Roman" w:hAnsi="Arial" w:cs="Arial"/>
                <w:color w:val="000000"/>
                <w:lang w:val="en-GB"/>
              </w:rPr>
              <w:t>0.56</w:t>
            </w:r>
          </w:p>
        </w:tc>
      </w:tr>
      <w:tr w:rsidR="00615BC9" w:rsidRPr="00C223AB" w14:paraId="4BE9A7AF" w14:textId="77777777" w:rsidTr="006827A0">
        <w:trPr>
          <w:gridAfter w:val="1"/>
          <w:wAfter w:w="1328" w:type="dxa"/>
          <w:trHeight w:val="300"/>
        </w:trPr>
        <w:tc>
          <w:tcPr>
            <w:tcW w:w="3559" w:type="dxa"/>
            <w:tcBorders>
              <w:top w:val="nil"/>
              <w:left w:val="nil"/>
              <w:bottom w:val="nil"/>
              <w:right w:val="nil"/>
            </w:tcBorders>
            <w:shd w:val="clear" w:color="auto" w:fill="auto"/>
            <w:noWrap/>
            <w:vAlign w:val="bottom"/>
            <w:hideMark/>
          </w:tcPr>
          <w:p w14:paraId="4C1538C3" w14:textId="77777777" w:rsidR="00615BC9" w:rsidRPr="00C223AB" w:rsidRDefault="00615BC9" w:rsidP="00C223AB">
            <w:pPr>
              <w:rPr>
                <w:rFonts w:ascii="Arial" w:eastAsia="Times New Roman" w:hAnsi="Arial" w:cs="Arial"/>
                <w:color w:val="000000"/>
                <w:lang w:val="en-GB"/>
              </w:rPr>
            </w:pPr>
            <w:r w:rsidRPr="00C223AB">
              <w:rPr>
                <w:rFonts w:ascii="Arial" w:eastAsia="Times New Roman" w:hAnsi="Arial" w:cs="Arial"/>
                <w:color w:val="000000"/>
                <w:lang w:val="en-GB"/>
              </w:rPr>
              <w:t>Lipid-lowering drugs</w:t>
            </w:r>
          </w:p>
        </w:tc>
        <w:tc>
          <w:tcPr>
            <w:tcW w:w="146" w:type="dxa"/>
            <w:tcBorders>
              <w:top w:val="nil"/>
              <w:left w:val="nil"/>
              <w:bottom w:val="nil"/>
              <w:right w:val="nil"/>
            </w:tcBorders>
            <w:shd w:val="clear" w:color="auto" w:fill="auto"/>
            <w:noWrap/>
            <w:vAlign w:val="bottom"/>
            <w:hideMark/>
          </w:tcPr>
          <w:p w14:paraId="652F7372" w14:textId="77777777" w:rsidR="00615BC9" w:rsidRPr="00C223AB" w:rsidRDefault="00615BC9" w:rsidP="00C223AB">
            <w:pPr>
              <w:ind w:left="720"/>
              <w:contextualSpacing/>
              <w:rPr>
                <w:rFonts w:ascii="Arial" w:eastAsia="Times New Roman" w:hAnsi="Arial" w:cs="Arial"/>
                <w:color w:val="000000"/>
                <w:lang w:val="en-GB"/>
              </w:rPr>
            </w:pPr>
          </w:p>
        </w:tc>
        <w:tc>
          <w:tcPr>
            <w:tcW w:w="1540" w:type="dxa"/>
            <w:tcBorders>
              <w:top w:val="nil"/>
              <w:left w:val="single" w:sz="4" w:space="0" w:color="auto"/>
              <w:bottom w:val="single" w:sz="4" w:space="0" w:color="auto"/>
              <w:right w:val="single" w:sz="4" w:space="0" w:color="auto"/>
            </w:tcBorders>
            <w:shd w:val="clear" w:color="auto" w:fill="auto"/>
            <w:noWrap/>
            <w:vAlign w:val="bottom"/>
          </w:tcPr>
          <w:p w14:paraId="686CB7C0" w14:textId="1F6C3410" w:rsidR="00615BC9" w:rsidRPr="00C223AB" w:rsidRDefault="006D26FA" w:rsidP="00C223AB">
            <w:pPr>
              <w:rPr>
                <w:rFonts w:ascii="Arial" w:eastAsia="Times New Roman" w:hAnsi="Arial" w:cs="Arial"/>
                <w:color w:val="000000"/>
                <w:lang w:val="en-GB"/>
              </w:rPr>
            </w:pPr>
            <w:r w:rsidRPr="00C223AB">
              <w:rPr>
                <w:rFonts w:ascii="Arial" w:eastAsia="Times New Roman" w:hAnsi="Arial" w:cs="Arial"/>
                <w:color w:val="000000"/>
                <w:lang w:val="en-GB"/>
              </w:rPr>
              <w:t>4(0.7%)</w:t>
            </w:r>
          </w:p>
        </w:tc>
        <w:tc>
          <w:tcPr>
            <w:tcW w:w="1646" w:type="dxa"/>
            <w:tcBorders>
              <w:top w:val="nil"/>
              <w:left w:val="nil"/>
              <w:bottom w:val="single" w:sz="4" w:space="0" w:color="auto"/>
              <w:right w:val="single" w:sz="4" w:space="0" w:color="auto"/>
            </w:tcBorders>
            <w:shd w:val="clear" w:color="auto" w:fill="auto"/>
            <w:noWrap/>
            <w:vAlign w:val="bottom"/>
          </w:tcPr>
          <w:p w14:paraId="2DD22AB3" w14:textId="15161A23" w:rsidR="00615BC9" w:rsidRPr="00C223AB" w:rsidRDefault="006D26FA" w:rsidP="00C223AB">
            <w:pPr>
              <w:rPr>
                <w:rFonts w:ascii="Arial" w:eastAsia="Times New Roman" w:hAnsi="Arial" w:cs="Arial"/>
                <w:color w:val="000000"/>
                <w:lang w:val="en-GB"/>
              </w:rPr>
            </w:pPr>
            <w:r w:rsidRPr="00C223AB">
              <w:rPr>
                <w:rFonts w:ascii="Arial" w:eastAsia="Times New Roman" w:hAnsi="Arial" w:cs="Arial"/>
                <w:color w:val="000000"/>
                <w:lang w:val="en-GB"/>
              </w:rPr>
              <w:t>6(1.1%)</w:t>
            </w:r>
          </w:p>
        </w:tc>
        <w:tc>
          <w:tcPr>
            <w:tcW w:w="1820" w:type="dxa"/>
            <w:tcBorders>
              <w:top w:val="nil"/>
              <w:left w:val="nil"/>
              <w:bottom w:val="single" w:sz="4" w:space="0" w:color="auto"/>
              <w:right w:val="single" w:sz="4" w:space="0" w:color="auto"/>
            </w:tcBorders>
            <w:shd w:val="clear" w:color="auto" w:fill="auto"/>
            <w:noWrap/>
            <w:vAlign w:val="bottom"/>
          </w:tcPr>
          <w:p w14:paraId="72BCE8B8" w14:textId="0BF57FC5" w:rsidR="00615BC9" w:rsidRPr="00C223AB" w:rsidRDefault="006D26FA" w:rsidP="00C223AB">
            <w:pPr>
              <w:rPr>
                <w:rFonts w:ascii="Arial" w:eastAsia="Times New Roman" w:hAnsi="Arial" w:cs="Arial"/>
                <w:color w:val="000000"/>
                <w:lang w:val="en-GB"/>
              </w:rPr>
            </w:pPr>
            <w:r w:rsidRPr="00C223AB">
              <w:rPr>
                <w:rFonts w:ascii="Arial" w:eastAsia="Times New Roman" w:hAnsi="Arial" w:cs="Arial"/>
                <w:color w:val="000000"/>
                <w:lang w:val="en-GB"/>
              </w:rPr>
              <w:t>8(1.4%)</w:t>
            </w:r>
          </w:p>
        </w:tc>
        <w:tc>
          <w:tcPr>
            <w:tcW w:w="1560" w:type="dxa"/>
            <w:tcBorders>
              <w:top w:val="nil"/>
              <w:left w:val="nil"/>
              <w:bottom w:val="single" w:sz="4" w:space="0" w:color="auto"/>
              <w:right w:val="single" w:sz="4" w:space="0" w:color="auto"/>
            </w:tcBorders>
            <w:shd w:val="clear" w:color="auto" w:fill="auto"/>
            <w:noWrap/>
            <w:vAlign w:val="bottom"/>
          </w:tcPr>
          <w:p w14:paraId="5438D6ED" w14:textId="64334DE1" w:rsidR="00615BC9" w:rsidRPr="00C223AB" w:rsidRDefault="006D26FA" w:rsidP="00C223AB">
            <w:pPr>
              <w:rPr>
                <w:rFonts w:ascii="Arial" w:eastAsia="Times New Roman" w:hAnsi="Arial" w:cs="Arial"/>
                <w:color w:val="000000"/>
                <w:lang w:val="en-GB"/>
              </w:rPr>
            </w:pPr>
            <w:r w:rsidRPr="00C223AB">
              <w:rPr>
                <w:rFonts w:ascii="Arial" w:eastAsia="Times New Roman" w:hAnsi="Arial" w:cs="Arial"/>
                <w:color w:val="000000"/>
                <w:lang w:val="en-GB"/>
              </w:rPr>
              <w:t>15(2.8%)</w:t>
            </w:r>
          </w:p>
        </w:tc>
        <w:tc>
          <w:tcPr>
            <w:tcW w:w="1581" w:type="dxa"/>
            <w:tcBorders>
              <w:top w:val="nil"/>
              <w:left w:val="nil"/>
              <w:bottom w:val="single" w:sz="4" w:space="0" w:color="auto"/>
              <w:right w:val="single" w:sz="4" w:space="0" w:color="auto"/>
            </w:tcBorders>
            <w:shd w:val="clear" w:color="auto" w:fill="auto"/>
            <w:noWrap/>
            <w:vAlign w:val="bottom"/>
          </w:tcPr>
          <w:p w14:paraId="239A1425" w14:textId="1F3F9C1D" w:rsidR="00615BC9" w:rsidRPr="00C223AB" w:rsidRDefault="006D26FA" w:rsidP="00C223AB">
            <w:pPr>
              <w:rPr>
                <w:rFonts w:ascii="Arial" w:eastAsia="Times New Roman" w:hAnsi="Arial" w:cs="Arial"/>
                <w:color w:val="000000"/>
                <w:lang w:val="en-GB"/>
              </w:rPr>
            </w:pPr>
            <w:r w:rsidRPr="00C223AB">
              <w:rPr>
                <w:rFonts w:ascii="Arial" w:eastAsia="Times New Roman" w:hAnsi="Arial" w:cs="Arial"/>
                <w:color w:val="000000"/>
                <w:lang w:val="en-GB"/>
              </w:rPr>
              <w:t>18(3.4%)</w:t>
            </w:r>
          </w:p>
        </w:tc>
        <w:tc>
          <w:tcPr>
            <w:tcW w:w="919" w:type="dxa"/>
            <w:tcBorders>
              <w:top w:val="nil"/>
              <w:left w:val="nil"/>
              <w:bottom w:val="single" w:sz="4" w:space="0" w:color="auto"/>
              <w:right w:val="single" w:sz="4" w:space="0" w:color="auto"/>
            </w:tcBorders>
            <w:shd w:val="clear" w:color="auto" w:fill="auto"/>
            <w:noWrap/>
            <w:vAlign w:val="bottom"/>
            <w:hideMark/>
          </w:tcPr>
          <w:p w14:paraId="6903A54F" w14:textId="77777777" w:rsidR="00615BC9" w:rsidRPr="00C223AB" w:rsidRDefault="00615BC9" w:rsidP="00C223AB">
            <w:pPr>
              <w:rPr>
                <w:rFonts w:ascii="Arial" w:eastAsia="Times New Roman" w:hAnsi="Arial" w:cs="Arial"/>
                <w:color w:val="000000"/>
                <w:lang w:val="en-GB"/>
              </w:rPr>
            </w:pPr>
            <w:r w:rsidRPr="00C223AB">
              <w:rPr>
                <w:rFonts w:ascii="Arial" w:eastAsia="Times New Roman" w:hAnsi="Arial" w:cs="Arial"/>
                <w:color w:val="000000"/>
                <w:lang w:val="en-GB"/>
              </w:rPr>
              <w:t>&lt;0.01</w:t>
            </w:r>
          </w:p>
        </w:tc>
      </w:tr>
      <w:tr w:rsidR="00615BC9" w:rsidRPr="00C223AB" w14:paraId="4B42581B" w14:textId="77777777" w:rsidTr="006827A0">
        <w:trPr>
          <w:gridAfter w:val="1"/>
          <w:wAfter w:w="1328" w:type="dxa"/>
          <w:trHeight w:val="300"/>
        </w:trPr>
        <w:tc>
          <w:tcPr>
            <w:tcW w:w="3559" w:type="dxa"/>
            <w:tcBorders>
              <w:top w:val="nil"/>
              <w:left w:val="nil"/>
              <w:bottom w:val="nil"/>
              <w:right w:val="nil"/>
            </w:tcBorders>
            <w:shd w:val="clear" w:color="auto" w:fill="auto"/>
            <w:noWrap/>
            <w:vAlign w:val="bottom"/>
            <w:hideMark/>
          </w:tcPr>
          <w:p w14:paraId="5DD2B233" w14:textId="77777777" w:rsidR="00615BC9" w:rsidRPr="00C223AB" w:rsidRDefault="00615BC9" w:rsidP="00C223AB">
            <w:pPr>
              <w:rPr>
                <w:rFonts w:ascii="Arial" w:eastAsia="Times New Roman" w:hAnsi="Arial" w:cs="Arial"/>
                <w:color w:val="000000"/>
                <w:lang w:val="en-GB"/>
              </w:rPr>
            </w:pPr>
            <w:r w:rsidRPr="00C223AB">
              <w:rPr>
                <w:rFonts w:ascii="Arial" w:eastAsia="Times New Roman" w:hAnsi="Arial" w:cs="Arial"/>
                <w:color w:val="000000"/>
                <w:lang w:val="en-GB"/>
              </w:rPr>
              <w:t>Anti-hypertensive drugs</w:t>
            </w:r>
          </w:p>
        </w:tc>
        <w:tc>
          <w:tcPr>
            <w:tcW w:w="146" w:type="dxa"/>
            <w:tcBorders>
              <w:top w:val="nil"/>
              <w:left w:val="nil"/>
              <w:bottom w:val="nil"/>
              <w:right w:val="nil"/>
            </w:tcBorders>
            <w:shd w:val="clear" w:color="auto" w:fill="auto"/>
            <w:noWrap/>
            <w:vAlign w:val="bottom"/>
            <w:hideMark/>
          </w:tcPr>
          <w:p w14:paraId="770B2F42" w14:textId="77777777" w:rsidR="00615BC9" w:rsidRPr="00C223AB" w:rsidRDefault="00615BC9" w:rsidP="00C223AB">
            <w:pPr>
              <w:ind w:left="720"/>
              <w:contextualSpacing/>
              <w:rPr>
                <w:rFonts w:ascii="Arial" w:eastAsia="Times New Roman" w:hAnsi="Arial" w:cs="Arial"/>
                <w:color w:val="000000"/>
                <w:lang w:val="en-GB"/>
              </w:rPr>
            </w:pPr>
          </w:p>
        </w:tc>
        <w:tc>
          <w:tcPr>
            <w:tcW w:w="1540" w:type="dxa"/>
            <w:tcBorders>
              <w:top w:val="nil"/>
              <w:left w:val="single" w:sz="4" w:space="0" w:color="auto"/>
              <w:bottom w:val="single" w:sz="4" w:space="0" w:color="auto"/>
              <w:right w:val="single" w:sz="4" w:space="0" w:color="auto"/>
            </w:tcBorders>
            <w:shd w:val="clear" w:color="auto" w:fill="auto"/>
            <w:noWrap/>
            <w:vAlign w:val="bottom"/>
          </w:tcPr>
          <w:p w14:paraId="0320E3ED" w14:textId="6654C32C" w:rsidR="00615BC9" w:rsidRPr="00C223AB" w:rsidRDefault="006D26FA" w:rsidP="00C223AB">
            <w:pPr>
              <w:rPr>
                <w:rFonts w:ascii="Arial" w:eastAsia="Times New Roman" w:hAnsi="Arial" w:cs="Arial"/>
                <w:color w:val="000000"/>
                <w:lang w:val="en-GB"/>
              </w:rPr>
            </w:pPr>
            <w:r w:rsidRPr="00C223AB">
              <w:rPr>
                <w:rFonts w:ascii="Arial" w:eastAsia="Times New Roman" w:hAnsi="Arial" w:cs="Arial"/>
                <w:color w:val="000000"/>
                <w:lang w:val="en-GB"/>
              </w:rPr>
              <w:t>114(20.4%)</w:t>
            </w:r>
          </w:p>
        </w:tc>
        <w:tc>
          <w:tcPr>
            <w:tcW w:w="1646" w:type="dxa"/>
            <w:tcBorders>
              <w:top w:val="nil"/>
              <w:left w:val="nil"/>
              <w:bottom w:val="single" w:sz="4" w:space="0" w:color="auto"/>
              <w:right w:val="single" w:sz="4" w:space="0" w:color="auto"/>
            </w:tcBorders>
            <w:shd w:val="clear" w:color="auto" w:fill="auto"/>
            <w:noWrap/>
            <w:vAlign w:val="bottom"/>
          </w:tcPr>
          <w:p w14:paraId="1FD4B2C6" w14:textId="5CD0697E" w:rsidR="00615BC9" w:rsidRPr="00C223AB" w:rsidRDefault="006D26FA" w:rsidP="00C223AB">
            <w:pPr>
              <w:rPr>
                <w:rFonts w:ascii="Arial" w:eastAsia="Times New Roman" w:hAnsi="Arial" w:cs="Arial"/>
                <w:color w:val="000000"/>
                <w:lang w:val="en-GB"/>
              </w:rPr>
            </w:pPr>
            <w:r w:rsidRPr="00C223AB">
              <w:rPr>
                <w:rFonts w:ascii="Arial" w:eastAsia="Times New Roman" w:hAnsi="Arial" w:cs="Arial"/>
                <w:color w:val="000000"/>
                <w:lang w:val="en-GB"/>
              </w:rPr>
              <w:t>114(21.7%)</w:t>
            </w:r>
          </w:p>
        </w:tc>
        <w:tc>
          <w:tcPr>
            <w:tcW w:w="1820" w:type="dxa"/>
            <w:tcBorders>
              <w:top w:val="nil"/>
              <w:left w:val="nil"/>
              <w:bottom w:val="single" w:sz="4" w:space="0" w:color="auto"/>
              <w:right w:val="single" w:sz="4" w:space="0" w:color="auto"/>
            </w:tcBorders>
            <w:shd w:val="clear" w:color="auto" w:fill="auto"/>
            <w:noWrap/>
            <w:vAlign w:val="bottom"/>
          </w:tcPr>
          <w:p w14:paraId="3DDB07D6" w14:textId="426BDFF0" w:rsidR="00615BC9" w:rsidRPr="00C223AB" w:rsidRDefault="006D26FA" w:rsidP="00C223AB">
            <w:pPr>
              <w:rPr>
                <w:rFonts w:ascii="Arial" w:eastAsia="Times New Roman" w:hAnsi="Arial" w:cs="Arial"/>
                <w:color w:val="000000"/>
                <w:lang w:val="en-GB"/>
              </w:rPr>
            </w:pPr>
            <w:r w:rsidRPr="00C223AB">
              <w:rPr>
                <w:rFonts w:ascii="Arial" w:eastAsia="Times New Roman" w:hAnsi="Arial" w:cs="Arial"/>
                <w:color w:val="000000"/>
                <w:lang w:val="en-GB"/>
              </w:rPr>
              <w:t>128(22.9%)</w:t>
            </w:r>
          </w:p>
        </w:tc>
        <w:tc>
          <w:tcPr>
            <w:tcW w:w="1560" w:type="dxa"/>
            <w:tcBorders>
              <w:top w:val="nil"/>
              <w:left w:val="nil"/>
              <w:bottom w:val="single" w:sz="4" w:space="0" w:color="auto"/>
              <w:right w:val="single" w:sz="4" w:space="0" w:color="auto"/>
            </w:tcBorders>
            <w:shd w:val="clear" w:color="auto" w:fill="auto"/>
            <w:noWrap/>
            <w:vAlign w:val="bottom"/>
          </w:tcPr>
          <w:p w14:paraId="16C8662D" w14:textId="3F7AD9DF" w:rsidR="00615BC9" w:rsidRPr="00C223AB" w:rsidRDefault="006D26FA" w:rsidP="00C223AB">
            <w:pPr>
              <w:rPr>
                <w:rFonts w:ascii="Arial" w:eastAsia="Times New Roman" w:hAnsi="Arial" w:cs="Arial"/>
                <w:color w:val="000000"/>
                <w:lang w:val="en-GB"/>
              </w:rPr>
            </w:pPr>
            <w:r w:rsidRPr="00C223AB">
              <w:rPr>
                <w:rFonts w:ascii="Arial" w:eastAsia="Times New Roman" w:hAnsi="Arial" w:cs="Arial"/>
                <w:color w:val="000000"/>
                <w:lang w:val="en-GB"/>
              </w:rPr>
              <w:t>155(29%)</w:t>
            </w:r>
          </w:p>
        </w:tc>
        <w:tc>
          <w:tcPr>
            <w:tcW w:w="1581" w:type="dxa"/>
            <w:tcBorders>
              <w:top w:val="nil"/>
              <w:left w:val="nil"/>
              <w:bottom w:val="single" w:sz="4" w:space="0" w:color="auto"/>
              <w:right w:val="single" w:sz="4" w:space="0" w:color="auto"/>
            </w:tcBorders>
            <w:shd w:val="clear" w:color="auto" w:fill="auto"/>
            <w:noWrap/>
            <w:vAlign w:val="bottom"/>
          </w:tcPr>
          <w:p w14:paraId="21048020" w14:textId="67051820" w:rsidR="00615BC9" w:rsidRPr="00C223AB" w:rsidRDefault="006D26FA" w:rsidP="00C223AB">
            <w:pPr>
              <w:rPr>
                <w:rFonts w:ascii="Arial" w:eastAsia="Times New Roman" w:hAnsi="Arial" w:cs="Arial"/>
                <w:color w:val="000000"/>
                <w:lang w:val="en-GB"/>
              </w:rPr>
            </w:pPr>
            <w:r w:rsidRPr="00C223AB">
              <w:rPr>
                <w:rFonts w:ascii="Arial" w:eastAsia="Times New Roman" w:hAnsi="Arial" w:cs="Arial"/>
                <w:color w:val="000000"/>
                <w:lang w:val="en-GB"/>
              </w:rPr>
              <w:t>170(32%)</w:t>
            </w:r>
          </w:p>
        </w:tc>
        <w:tc>
          <w:tcPr>
            <w:tcW w:w="919" w:type="dxa"/>
            <w:tcBorders>
              <w:top w:val="nil"/>
              <w:left w:val="nil"/>
              <w:bottom w:val="single" w:sz="4" w:space="0" w:color="auto"/>
              <w:right w:val="single" w:sz="4" w:space="0" w:color="auto"/>
            </w:tcBorders>
            <w:shd w:val="clear" w:color="auto" w:fill="auto"/>
            <w:noWrap/>
            <w:vAlign w:val="bottom"/>
            <w:hideMark/>
          </w:tcPr>
          <w:p w14:paraId="44B412CF" w14:textId="77777777" w:rsidR="00615BC9" w:rsidRPr="00C223AB" w:rsidRDefault="00615BC9" w:rsidP="00C223AB">
            <w:pPr>
              <w:rPr>
                <w:rFonts w:ascii="Arial" w:eastAsia="Times New Roman" w:hAnsi="Arial" w:cs="Arial"/>
                <w:color w:val="000000"/>
                <w:lang w:val="en-GB"/>
              </w:rPr>
            </w:pPr>
            <w:r w:rsidRPr="00C223AB">
              <w:rPr>
                <w:rFonts w:ascii="Arial" w:eastAsia="Times New Roman" w:hAnsi="Arial" w:cs="Arial"/>
                <w:color w:val="000000"/>
                <w:lang w:val="en-GB"/>
              </w:rPr>
              <w:t>&lt;0.001</w:t>
            </w:r>
          </w:p>
        </w:tc>
      </w:tr>
      <w:tr w:rsidR="00615BC9" w:rsidRPr="00C223AB" w14:paraId="38CD0B1E" w14:textId="77777777" w:rsidTr="00357FB4">
        <w:trPr>
          <w:gridAfter w:val="1"/>
          <w:wAfter w:w="1328" w:type="dxa"/>
          <w:trHeight w:val="300"/>
        </w:trPr>
        <w:tc>
          <w:tcPr>
            <w:tcW w:w="3559" w:type="dxa"/>
            <w:tcBorders>
              <w:top w:val="nil"/>
              <w:left w:val="nil"/>
              <w:bottom w:val="nil"/>
              <w:right w:val="nil"/>
            </w:tcBorders>
            <w:shd w:val="clear" w:color="auto" w:fill="auto"/>
            <w:noWrap/>
            <w:vAlign w:val="bottom"/>
            <w:hideMark/>
          </w:tcPr>
          <w:p w14:paraId="4B3AD388" w14:textId="77777777" w:rsidR="00615BC9" w:rsidRPr="00C223AB" w:rsidRDefault="00615BC9" w:rsidP="00C223AB">
            <w:pPr>
              <w:ind w:left="720"/>
              <w:contextualSpacing/>
              <w:rPr>
                <w:rFonts w:ascii="Arial" w:eastAsia="Times New Roman" w:hAnsi="Arial" w:cs="Arial"/>
                <w:color w:val="000000"/>
                <w:lang w:val="en-GB"/>
              </w:rPr>
            </w:pPr>
          </w:p>
        </w:tc>
        <w:tc>
          <w:tcPr>
            <w:tcW w:w="146" w:type="dxa"/>
            <w:tcBorders>
              <w:top w:val="nil"/>
              <w:left w:val="nil"/>
              <w:bottom w:val="nil"/>
              <w:right w:val="nil"/>
            </w:tcBorders>
            <w:shd w:val="clear" w:color="auto" w:fill="auto"/>
            <w:noWrap/>
            <w:vAlign w:val="bottom"/>
            <w:hideMark/>
          </w:tcPr>
          <w:p w14:paraId="2AD1EC70" w14:textId="77777777" w:rsidR="00615BC9" w:rsidRPr="00C223AB" w:rsidRDefault="00615BC9" w:rsidP="00C223AB">
            <w:pPr>
              <w:ind w:left="720"/>
              <w:contextualSpacing/>
              <w:rPr>
                <w:rFonts w:ascii="Arial" w:eastAsia="Times New Roman" w:hAnsi="Arial" w:cs="Arial"/>
                <w:color w:val="000000"/>
                <w:lang w:val="en-GB"/>
              </w:rPr>
            </w:pPr>
          </w:p>
        </w:tc>
        <w:tc>
          <w:tcPr>
            <w:tcW w:w="1540" w:type="dxa"/>
            <w:tcBorders>
              <w:top w:val="nil"/>
              <w:left w:val="single" w:sz="4" w:space="0" w:color="auto"/>
              <w:bottom w:val="single" w:sz="4" w:space="0" w:color="auto"/>
              <w:right w:val="single" w:sz="4" w:space="0" w:color="auto"/>
            </w:tcBorders>
            <w:shd w:val="clear" w:color="auto" w:fill="auto"/>
            <w:noWrap/>
            <w:vAlign w:val="bottom"/>
            <w:hideMark/>
          </w:tcPr>
          <w:p w14:paraId="52684AF8" w14:textId="77777777" w:rsidR="00615BC9" w:rsidRPr="00C223AB" w:rsidRDefault="00615BC9" w:rsidP="00C223AB">
            <w:pPr>
              <w:rPr>
                <w:rFonts w:ascii="Arial" w:eastAsia="Times New Roman" w:hAnsi="Arial" w:cs="Arial"/>
                <w:color w:val="000000"/>
                <w:lang w:val="en-GB"/>
              </w:rPr>
            </w:pPr>
            <w:r w:rsidRPr="00C223AB">
              <w:rPr>
                <w:rFonts w:ascii="Arial" w:eastAsia="Times New Roman" w:hAnsi="Arial" w:cs="Arial"/>
                <w:color w:val="000000"/>
                <w:lang w:val="en-GB"/>
              </w:rPr>
              <w:t> </w:t>
            </w:r>
          </w:p>
        </w:tc>
        <w:tc>
          <w:tcPr>
            <w:tcW w:w="1646" w:type="dxa"/>
            <w:tcBorders>
              <w:top w:val="nil"/>
              <w:left w:val="nil"/>
              <w:bottom w:val="single" w:sz="4" w:space="0" w:color="auto"/>
              <w:right w:val="single" w:sz="4" w:space="0" w:color="auto"/>
            </w:tcBorders>
            <w:shd w:val="clear" w:color="auto" w:fill="auto"/>
            <w:noWrap/>
            <w:vAlign w:val="bottom"/>
            <w:hideMark/>
          </w:tcPr>
          <w:p w14:paraId="0610F479" w14:textId="77777777" w:rsidR="00615BC9" w:rsidRPr="00C223AB" w:rsidRDefault="00615BC9" w:rsidP="00C223AB">
            <w:pPr>
              <w:rPr>
                <w:rFonts w:ascii="Arial" w:eastAsia="Times New Roman" w:hAnsi="Arial" w:cs="Arial"/>
                <w:color w:val="000000"/>
                <w:lang w:val="en-GB"/>
              </w:rPr>
            </w:pPr>
            <w:r w:rsidRPr="00C223AB">
              <w:rPr>
                <w:rFonts w:ascii="Arial" w:eastAsia="Times New Roman" w:hAnsi="Arial" w:cs="Arial"/>
                <w:color w:val="000000"/>
                <w:lang w:val="en-GB"/>
              </w:rPr>
              <w:t> </w:t>
            </w:r>
          </w:p>
        </w:tc>
        <w:tc>
          <w:tcPr>
            <w:tcW w:w="1820" w:type="dxa"/>
            <w:tcBorders>
              <w:top w:val="nil"/>
              <w:left w:val="nil"/>
              <w:bottom w:val="single" w:sz="4" w:space="0" w:color="auto"/>
              <w:right w:val="single" w:sz="4" w:space="0" w:color="auto"/>
            </w:tcBorders>
            <w:shd w:val="clear" w:color="auto" w:fill="auto"/>
            <w:noWrap/>
            <w:vAlign w:val="bottom"/>
            <w:hideMark/>
          </w:tcPr>
          <w:p w14:paraId="537F7A68" w14:textId="77777777" w:rsidR="00615BC9" w:rsidRPr="00C223AB" w:rsidRDefault="00615BC9" w:rsidP="00C223AB">
            <w:pPr>
              <w:rPr>
                <w:rFonts w:ascii="Arial" w:eastAsia="Times New Roman" w:hAnsi="Arial" w:cs="Arial"/>
                <w:color w:val="000000"/>
                <w:lang w:val="en-GB"/>
              </w:rPr>
            </w:pPr>
            <w:r w:rsidRPr="00C223AB">
              <w:rPr>
                <w:rFonts w:ascii="Arial" w:eastAsia="Times New Roman" w:hAnsi="Arial" w:cs="Arial"/>
                <w:color w:val="000000"/>
                <w:lang w:val="en-GB"/>
              </w:rPr>
              <w:t> </w:t>
            </w:r>
          </w:p>
        </w:tc>
        <w:tc>
          <w:tcPr>
            <w:tcW w:w="1560" w:type="dxa"/>
            <w:tcBorders>
              <w:top w:val="nil"/>
              <w:left w:val="nil"/>
              <w:bottom w:val="single" w:sz="4" w:space="0" w:color="auto"/>
              <w:right w:val="single" w:sz="4" w:space="0" w:color="auto"/>
            </w:tcBorders>
            <w:shd w:val="clear" w:color="auto" w:fill="auto"/>
            <w:noWrap/>
            <w:vAlign w:val="bottom"/>
            <w:hideMark/>
          </w:tcPr>
          <w:p w14:paraId="5C87C750" w14:textId="77777777" w:rsidR="00615BC9" w:rsidRPr="00C223AB" w:rsidRDefault="00615BC9" w:rsidP="00C223AB">
            <w:pPr>
              <w:rPr>
                <w:rFonts w:ascii="Arial" w:eastAsia="Times New Roman" w:hAnsi="Arial" w:cs="Arial"/>
                <w:color w:val="000000"/>
                <w:lang w:val="en-GB"/>
              </w:rPr>
            </w:pPr>
            <w:r w:rsidRPr="00C223AB">
              <w:rPr>
                <w:rFonts w:ascii="Arial" w:eastAsia="Times New Roman" w:hAnsi="Arial" w:cs="Arial"/>
                <w:color w:val="000000"/>
                <w:lang w:val="en-GB"/>
              </w:rPr>
              <w:t> </w:t>
            </w:r>
          </w:p>
        </w:tc>
        <w:tc>
          <w:tcPr>
            <w:tcW w:w="1581" w:type="dxa"/>
            <w:tcBorders>
              <w:top w:val="nil"/>
              <w:left w:val="nil"/>
              <w:bottom w:val="single" w:sz="4" w:space="0" w:color="auto"/>
              <w:right w:val="single" w:sz="4" w:space="0" w:color="auto"/>
            </w:tcBorders>
            <w:shd w:val="clear" w:color="auto" w:fill="auto"/>
            <w:noWrap/>
            <w:vAlign w:val="bottom"/>
            <w:hideMark/>
          </w:tcPr>
          <w:p w14:paraId="5FF6389A" w14:textId="77777777" w:rsidR="00615BC9" w:rsidRPr="00C223AB" w:rsidRDefault="00615BC9" w:rsidP="00C223AB">
            <w:pPr>
              <w:rPr>
                <w:rFonts w:ascii="Arial" w:eastAsia="Times New Roman" w:hAnsi="Arial" w:cs="Arial"/>
                <w:color w:val="000000"/>
                <w:lang w:val="en-GB"/>
              </w:rPr>
            </w:pPr>
            <w:r w:rsidRPr="00C223AB">
              <w:rPr>
                <w:rFonts w:ascii="Arial" w:eastAsia="Times New Roman" w:hAnsi="Arial" w:cs="Arial"/>
                <w:color w:val="000000"/>
                <w:lang w:val="en-GB"/>
              </w:rPr>
              <w:t> </w:t>
            </w:r>
          </w:p>
        </w:tc>
        <w:tc>
          <w:tcPr>
            <w:tcW w:w="919" w:type="dxa"/>
            <w:tcBorders>
              <w:top w:val="nil"/>
              <w:left w:val="nil"/>
              <w:bottom w:val="single" w:sz="4" w:space="0" w:color="auto"/>
              <w:right w:val="single" w:sz="4" w:space="0" w:color="auto"/>
            </w:tcBorders>
            <w:shd w:val="clear" w:color="auto" w:fill="auto"/>
            <w:noWrap/>
            <w:vAlign w:val="bottom"/>
            <w:hideMark/>
          </w:tcPr>
          <w:p w14:paraId="03E66568" w14:textId="77777777" w:rsidR="00615BC9" w:rsidRPr="00C223AB" w:rsidRDefault="00615BC9" w:rsidP="00C223AB">
            <w:pPr>
              <w:rPr>
                <w:rFonts w:ascii="Arial" w:eastAsia="Times New Roman" w:hAnsi="Arial" w:cs="Arial"/>
                <w:color w:val="000000"/>
                <w:lang w:val="en-GB"/>
              </w:rPr>
            </w:pPr>
            <w:r w:rsidRPr="00C223AB">
              <w:rPr>
                <w:rFonts w:ascii="Arial" w:eastAsia="Times New Roman" w:hAnsi="Arial" w:cs="Arial"/>
                <w:color w:val="000000"/>
                <w:lang w:val="en-GB"/>
              </w:rPr>
              <w:t> </w:t>
            </w:r>
          </w:p>
        </w:tc>
      </w:tr>
      <w:tr w:rsidR="00615BC9" w:rsidRPr="00C223AB" w14:paraId="23DD41CE" w14:textId="77777777" w:rsidTr="00357FB4">
        <w:trPr>
          <w:gridAfter w:val="1"/>
          <w:wAfter w:w="1328" w:type="dxa"/>
          <w:trHeight w:val="300"/>
        </w:trPr>
        <w:tc>
          <w:tcPr>
            <w:tcW w:w="3559" w:type="dxa"/>
            <w:tcBorders>
              <w:top w:val="nil"/>
              <w:left w:val="nil"/>
              <w:bottom w:val="nil"/>
              <w:right w:val="nil"/>
            </w:tcBorders>
            <w:shd w:val="clear" w:color="auto" w:fill="auto"/>
            <w:noWrap/>
            <w:vAlign w:val="bottom"/>
            <w:hideMark/>
          </w:tcPr>
          <w:p w14:paraId="2D304A8D" w14:textId="04A70553" w:rsidR="00615BC9" w:rsidRPr="00C223AB" w:rsidRDefault="00615BC9" w:rsidP="00C223AB">
            <w:pPr>
              <w:rPr>
                <w:rFonts w:ascii="Arial" w:eastAsia="Times New Roman" w:hAnsi="Arial" w:cs="Arial"/>
                <w:color w:val="000000"/>
                <w:lang w:val="en-GB"/>
              </w:rPr>
            </w:pPr>
            <w:r w:rsidRPr="00C223AB">
              <w:rPr>
                <w:rFonts w:ascii="Arial" w:eastAsia="Times New Roman" w:hAnsi="Arial" w:cs="Arial"/>
                <w:color w:val="000000"/>
                <w:lang w:val="en-GB"/>
              </w:rPr>
              <w:t>Total cholesterol, mmol/</w:t>
            </w:r>
            <w:r w:rsidR="000F5C7A" w:rsidRPr="00C223AB">
              <w:rPr>
                <w:rFonts w:ascii="Arial" w:eastAsia="Times New Roman" w:hAnsi="Arial" w:cs="Arial"/>
                <w:color w:val="000000"/>
                <w:lang w:val="en-GB"/>
              </w:rPr>
              <w:t>L</w:t>
            </w:r>
          </w:p>
        </w:tc>
        <w:tc>
          <w:tcPr>
            <w:tcW w:w="146" w:type="dxa"/>
            <w:tcBorders>
              <w:top w:val="nil"/>
              <w:left w:val="nil"/>
              <w:bottom w:val="nil"/>
              <w:right w:val="nil"/>
            </w:tcBorders>
            <w:shd w:val="clear" w:color="auto" w:fill="auto"/>
            <w:noWrap/>
            <w:vAlign w:val="bottom"/>
            <w:hideMark/>
          </w:tcPr>
          <w:p w14:paraId="30A8D618" w14:textId="77777777" w:rsidR="00615BC9" w:rsidRPr="00C223AB" w:rsidRDefault="00615BC9" w:rsidP="00C223AB">
            <w:pPr>
              <w:ind w:left="720"/>
              <w:contextualSpacing/>
              <w:rPr>
                <w:rFonts w:ascii="Arial" w:eastAsia="Times New Roman" w:hAnsi="Arial" w:cs="Arial"/>
                <w:color w:val="000000"/>
                <w:lang w:val="en-GB"/>
              </w:rPr>
            </w:pPr>
          </w:p>
        </w:tc>
        <w:tc>
          <w:tcPr>
            <w:tcW w:w="1540" w:type="dxa"/>
            <w:tcBorders>
              <w:top w:val="nil"/>
              <w:left w:val="single" w:sz="4" w:space="0" w:color="auto"/>
              <w:bottom w:val="single" w:sz="4" w:space="0" w:color="auto"/>
              <w:right w:val="single" w:sz="4" w:space="0" w:color="auto"/>
            </w:tcBorders>
            <w:shd w:val="clear" w:color="auto" w:fill="auto"/>
            <w:noWrap/>
            <w:vAlign w:val="bottom"/>
            <w:hideMark/>
          </w:tcPr>
          <w:p w14:paraId="582A2C83" w14:textId="678AF6BA" w:rsidR="00615BC9" w:rsidRPr="00C223AB" w:rsidRDefault="00615BC9" w:rsidP="00C223AB">
            <w:pPr>
              <w:rPr>
                <w:rFonts w:ascii="Arial" w:eastAsia="Times New Roman" w:hAnsi="Arial" w:cs="Arial"/>
                <w:color w:val="000000"/>
                <w:lang w:val="en-GB"/>
              </w:rPr>
            </w:pPr>
            <w:r w:rsidRPr="00C223AB">
              <w:rPr>
                <w:rFonts w:ascii="Arial" w:eastAsia="Times New Roman" w:hAnsi="Arial" w:cs="Arial"/>
                <w:color w:val="000000"/>
                <w:lang w:val="en-GB"/>
              </w:rPr>
              <w:t>6</w:t>
            </w:r>
            <w:r w:rsidR="00514CD8" w:rsidRPr="00C223AB">
              <w:rPr>
                <w:rFonts w:ascii="Arial" w:eastAsia="Times New Roman" w:hAnsi="Arial" w:cs="Arial"/>
                <w:color w:val="000000"/>
                <w:lang w:val="en-GB"/>
              </w:rPr>
              <w:t>.0</w:t>
            </w:r>
            <w:r w:rsidRPr="00C223AB">
              <w:rPr>
                <w:rFonts w:ascii="Arial" w:eastAsia="Times New Roman" w:hAnsi="Arial" w:cs="Arial"/>
                <w:color w:val="000000"/>
                <w:lang w:val="en-GB"/>
              </w:rPr>
              <w:t xml:space="preserve"> ±1.1</w:t>
            </w:r>
          </w:p>
        </w:tc>
        <w:tc>
          <w:tcPr>
            <w:tcW w:w="1646" w:type="dxa"/>
            <w:tcBorders>
              <w:top w:val="nil"/>
              <w:left w:val="nil"/>
              <w:bottom w:val="single" w:sz="4" w:space="0" w:color="auto"/>
              <w:right w:val="single" w:sz="4" w:space="0" w:color="auto"/>
            </w:tcBorders>
            <w:shd w:val="clear" w:color="auto" w:fill="auto"/>
            <w:noWrap/>
            <w:vAlign w:val="bottom"/>
            <w:hideMark/>
          </w:tcPr>
          <w:p w14:paraId="64FA769A" w14:textId="77777777" w:rsidR="00615BC9" w:rsidRPr="00C223AB" w:rsidRDefault="00615BC9" w:rsidP="00C223AB">
            <w:pPr>
              <w:rPr>
                <w:rFonts w:ascii="Arial" w:eastAsia="Times New Roman" w:hAnsi="Arial" w:cs="Arial"/>
                <w:color w:val="000000"/>
                <w:lang w:val="en-GB"/>
              </w:rPr>
            </w:pPr>
            <w:r w:rsidRPr="00C223AB">
              <w:rPr>
                <w:rFonts w:ascii="Arial" w:eastAsia="Times New Roman" w:hAnsi="Arial" w:cs="Arial"/>
                <w:color w:val="000000"/>
                <w:lang w:val="en-GB"/>
              </w:rPr>
              <w:t>6.2 ±1.1</w:t>
            </w:r>
          </w:p>
        </w:tc>
        <w:tc>
          <w:tcPr>
            <w:tcW w:w="1820" w:type="dxa"/>
            <w:tcBorders>
              <w:top w:val="nil"/>
              <w:left w:val="nil"/>
              <w:bottom w:val="single" w:sz="4" w:space="0" w:color="auto"/>
              <w:right w:val="single" w:sz="4" w:space="0" w:color="auto"/>
            </w:tcBorders>
            <w:shd w:val="clear" w:color="auto" w:fill="auto"/>
            <w:noWrap/>
            <w:vAlign w:val="bottom"/>
            <w:hideMark/>
          </w:tcPr>
          <w:p w14:paraId="77A4EA0D" w14:textId="77777777" w:rsidR="00615BC9" w:rsidRPr="00C223AB" w:rsidRDefault="00615BC9" w:rsidP="00C223AB">
            <w:pPr>
              <w:rPr>
                <w:rFonts w:ascii="Arial" w:eastAsia="Times New Roman" w:hAnsi="Arial" w:cs="Arial"/>
                <w:color w:val="000000"/>
                <w:lang w:val="en-GB"/>
              </w:rPr>
            </w:pPr>
            <w:r w:rsidRPr="00C223AB">
              <w:rPr>
                <w:rFonts w:ascii="Arial" w:eastAsia="Times New Roman" w:hAnsi="Arial" w:cs="Arial"/>
                <w:color w:val="000000"/>
                <w:lang w:val="en-GB"/>
              </w:rPr>
              <w:t>6.2 ±1</w:t>
            </w:r>
          </w:p>
        </w:tc>
        <w:tc>
          <w:tcPr>
            <w:tcW w:w="1560" w:type="dxa"/>
            <w:tcBorders>
              <w:top w:val="nil"/>
              <w:left w:val="nil"/>
              <w:bottom w:val="single" w:sz="4" w:space="0" w:color="auto"/>
              <w:right w:val="single" w:sz="4" w:space="0" w:color="auto"/>
            </w:tcBorders>
            <w:shd w:val="clear" w:color="auto" w:fill="auto"/>
            <w:noWrap/>
            <w:vAlign w:val="bottom"/>
            <w:hideMark/>
          </w:tcPr>
          <w:p w14:paraId="0CB3FB72" w14:textId="77777777" w:rsidR="00615BC9" w:rsidRPr="00C223AB" w:rsidRDefault="00615BC9" w:rsidP="00C223AB">
            <w:pPr>
              <w:rPr>
                <w:rFonts w:ascii="Arial" w:eastAsia="Times New Roman" w:hAnsi="Arial" w:cs="Arial"/>
                <w:color w:val="000000"/>
                <w:lang w:val="en-GB"/>
              </w:rPr>
            </w:pPr>
            <w:r w:rsidRPr="00C223AB">
              <w:rPr>
                <w:rFonts w:ascii="Arial" w:eastAsia="Times New Roman" w:hAnsi="Arial" w:cs="Arial"/>
                <w:color w:val="000000"/>
                <w:lang w:val="en-GB"/>
              </w:rPr>
              <w:t>6.5 ±1.1</w:t>
            </w:r>
          </w:p>
        </w:tc>
        <w:tc>
          <w:tcPr>
            <w:tcW w:w="1581" w:type="dxa"/>
            <w:tcBorders>
              <w:top w:val="nil"/>
              <w:left w:val="nil"/>
              <w:bottom w:val="single" w:sz="4" w:space="0" w:color="auto"/>
              <w:right w:val="single" w:sz="4" w:space="0" w:color="auto"/>
            </w:tcBorders>
            <w:shd w:val="clear" w:color="auto" w:fill="auto"/>
            <w:noWrap/>
            <w:vAlign w:val="bottom"/>
            <w:hideMark/>
          </w:tcPr>
          <w:p w14:paraId="6FC20EAA" w14:textId="77777777" w:rsidR="00615BC9" w:rsidRPr="00C223AB" w:rsidRDefault="00615BC9" w:rsidP="00C223AB">
            <w:pPr>
              <w:rPr>
                <w:rFonts w:ascii="Arial" w:eastAsia="Times New Roman" w:hAnsi="Arial" w:cs="Arial"/>
                <w:color w:val="000000"/>
                <w:lang w:val="en-GB"/>
              </w:rPr>
            </w:pPr>
            <w:r w:rsidRPr="00C223AB">
              <w:rPr>
                <w:rFonts w:ascii="Arial" w:eastAsia="Times New Roman" w:hAnsi="Arial" w:cs="Arial"/>
                <w:color w:val="000000"/>
                <w:lang w:val="en-GB"/>
              </w:rPr>
              <w:t>6.8 ±1.4</w:t>
            </w:r>
          </w:p>
        </w:tc>
        <w:tc>
          <w:tcPr>
            <w:tcW w:w="919" w:type="dxa"/>
            <w:tcBorders>
              <w:top w:val="nil"/>
              <w:left w:val="nil"/>
              <w:bottom w:val="single" w:sz="4" w:space="0" w:color="auto"/>
              <w:right w:val="single" w:sz="4" w:space="0" w:color="auto"/>
            </w:tcBorders>
            <w:shd w:val="clear" w:color="auto" w:fill="auto"/>
            <w:noWrap/>
            <w:vAlign w:val="bottom"/>
            <w:hideMark/>
          </w:tcPr>
          <w:p w14:paraId="02B99030" w14:textId="77777777" w:rsidR="00615BC9" w:rsidRPr="00C223AB" w:rsidRDefault="00615BC9" w:rsidP="00C223AB">
            <w:pPr>
              <w:rPr>
                <w:rFonts w:ascii="Arial" w:eastAsia="Times New Roman" w:hAnsi="Arial" w:cs="Arial"/>
                <w:color w:val="000000"/>
                <w:lang w:val="en-GB"/>
              </w:rPr>
            </w:pPr>
            <w:r w:rsidRPr="00C223AB">
              <w:rPr>
                <w:rFonts w:ascii="Arial" w:eastAsia="Times New Roman" w:hAnsi="Arial" w:cs="Arial"/>
                <w:color w:val="000000"/>
                <w:lang w:val="en-GB"/>
              </w:rPr>
              <w:t>&lt;0.001</w:t>
            </w:r>
          </w:p>
        </w:tc>
      </w:tr>
      <w:tr w:rsidR="00615BC9" w:rsidRPr="00C223AB" w14:paraId="6A4368C3" w14:textId="77777777" w:rsidTr="00357FB4">
        <w:trPr>
          <w:gridAfter w:val="1"/>
          <w:wAfter w:w="1328" w:type="dxa"/>
          <w:trHeight w:val="300"/>
        </w:trPr>
        <w:tc>
          <w:tcPr>
            <w:tcW w:w="3559" w:type="dxa"/>
            <w:tcBorders>
              <w:top w:val="nil"/>
              <w:left w:val="nil"/>
              <w:bottom w:val="nil"/>
              <w:right w:val="nil"/>
            </w:tcBorders>
            <w:shd w:val="clear" w:color="auto" w:fill="auto"/>
            <w:noWrap/>
            <w:vAlign w:val="bottom"/>
            <w:hideMark/>
          </w:tcPr>
          <w:p w14:paraId="7A32306F" w14:textId="5E4701ED" w:rsidR="00615BC9" w:rsidRPr="00C223AB" w:rsidRDefault="00615BC9" w:rsidP="00C223AB">
            <w:pPr>
              <w:rPr>
                <w:rFonts w:ascii="Arial" w:eastAsia="Times New Roman" w:hAnsi="Arial" w:cs="Arial"/>
                <w:color w:val="000000"/>
                <w:lang w:val="en-GB"/>
              </w:rPr>
            </w:pPr>
            <w:r w:rsidRPr="00C223AB">
              <w:rPr>
                <w:rFonts w:ascii="Arial" w:eastAsia="Times New Roman" w:hAnsi="Arial" w:cs="Arial"/>
                <w:color w:val="000000"/>
                <w:lang w:val="en-GB"/>
              </w:rPr>
              <w:t>LDL cholesterol, mmol/</w:t>
            </w:r>
            <w:r w:rsidR="000F5C7A" w:rsidRPr="00C223AB">
              <w:rPr>
                <w:rFonts w:ascii="Arial" w:eastAsia="Times New Roman" w:hAnsi="Arial" w:cs="Arial"/>
                <w:color w:val="000000"/>
                <w:lang w:val="en-GB"/>
              </w:rPr>
              <w:t>L</w:t>
            </w:r>
          </w:p>
        </w:tc>
        <w:tc>
          <w:tcPr>
            <w:tcW w:w="146" w:type="dxa"/>
            <w:tcBorders>
              <w:top w:val="nil"/>
              <w:left w:val="nil"/>
              <w:bottom w:val="nil"/>
              <w:right w:val="nil"/>
            </w:tcBorders>
            <w:shd w:val="clear" w:color="auto" w:fill="auto"/>
            <w:noWrap/>
            <w:vAlign w:val="bottom"/>
            <w:hideMark/>
          </w:tcPr>
          <w:p w14:paraId="727916CB" w14:textId="77777777" w:rsidR="00615BC9" w:rsidRPr="00C223AB" w:rsidRDefault="00615BC9" w:rsidP="00C223AB">
            <w:pPr>
              <w:ind w:left="720"/>
              <w:contextualSpacing/>
              <w:rPr>
                <w:rFonts w:ascii="Arial" w:eastAsia="Times New Roman" w:hAnsi="Arial" w:cs="Arial"/>
                <w:color w:val="000000"/>
                <w:lang w:val="en-GB"/>
              </w:rPr>
            </w:pPr>
          </w:p>
        </w:tc>
        <w:tc>
          <w:tcPr>
            <w:tcW w:w="1540" w:type="dxa"/>
            <w:tcBorders>
              <w:top w:val="nil"/>
              <w:left w:val="single" w:sz="4" w:space="0" w:color="auto"/>
              <w:bottom w:val="single" w:sz="4" w:space="0" w:color="auto"/>
              <w:right w:val="single" w:sz="4" w:space="0" w:color="auto"/>
            </w:tcBorders>
            <w:shd w:val="clear" w:color="auto" w:fill="auto"/>
            <w:noWrap/>
            <w:vAlign w:val="bottom"/>
            <w:hideMark/>
          </w:tcPr>
          <w:p w14:paraId="2A6C6F58" w14:textId="77777777" w:rsidR="00615BC9" w:rsidRPr="00C223AB" w:rsidRDefault="00615BC9" w:rsidP="00C223AB">
            <w:pPr>
              <w:rPr>
                <w:rFonts w:ascii="Arial" w:eastAsia="Times New Roman" w:hAnsi="Arial" w:cs="Arial"/>
                <w:color w:val="000000"/>
                <w:lang w:val="en-GB"/>
              </w:rPr>
            </w:pPr>
            <w:r w:rsidRPr="00C223AB">
              <w:rPr>
                <w:rFonts w:ascii="Arial" w:eastAsia="Times New Roman" w:hAnsi="Arial" w:cs="Arial"/>
                <w:color w:val="000000"/>
                <w:lang w:val="en-GB"/>
              </w:rPr>
              <w:t>3.9 ±1</w:t>
            </w:r>
          </w:p>
        </w:tc>
        <w:tc>
          <w:tcPr>
            <w:tcW w:w="1646" w:type="dxa"/>
            <w:tcBorders>
              <w:top w:val="nil"/>
              <w:left w:val="nil"/>
              <w:bottom w:val="single" w:sz="4" w:space="0" w:color="auto"/>
              <w:right w:val="single" w:sz="4" w:space="0" w:color="auto"/>
            </w:tcBorders>
            <w:shd w:val="clear" w:color="auto" w:fill="auto"/>
            <w:noWrap/>
            <w:vAlign w:val="bottom"/>
            <w:hideMark/>
          </w:tcPr>
          <w:p w14:paraId="1CF857B7" w14:textId="77777777" w:rsidR="00615BC9" w:rsidRPr="00C223AB" w:rsidRDefault="00615BC9" w:rsidP="00C223AB">
            <w:pPr>
              <w:rPr>
                <w:rFonts w:ascii="Arial" w:eastAsia="Times New Roman" w:hAnsi="Arial" w:cs="Arial"/>
                <w:color w:val="000000"/>
                <w:lang w:val="en-GB"/>
              </w:rPr>
            </w:pPr>
            <w:r w:rsidRPr="00C223AB">
              <w:rPr>
                <w:rFonts w:ascii="Arial" w:eastAsia="Times New Roman" w:hAnsi="Arial" w:cs="Arial"/>
                <w:color w:val="000000"/>
                <w:lang w:val="en-GB"/>
              </w:rPr>
              <w:t>4.1 ±1</w:t>
            </w:r>
          </w:p>
        </w:tc>
        <w:tc>
          <w:tcPr>
            <w:tcW w:w="1820" w:type="dxa"/>
            <w:tcBorders>
              <w:top w:val="nil"/>
              <w:left w:val="nil"/>
              <w:bottom w:val="single" w:sz="4" w:space="0" w:color="auto"/>
              <w:right w:val="single" w:sz="4" w:space="0" w:color="auto"/>
            </w:tcBorders>
            <w:shd w:val="clear" w:color="auto" w:fill="auto"/>
            <w:noWrap/>
            <w:vAlign w:val="bottom"/>
            <w:hideMark/>
          </w:tcPr>
          <w:p w14:paraId="7E49CBA9" w14:textId="77777777" w:rsidR="00615BC9" w:rsidRPr="00C223AB" w:rsidRDefault="00615BC9" w:rsidP="00C223AB">
            <w:pPr>
              <w:rPr>
                <w:rFonts w:ascii="Arial" w:eastAsia="Times New Roman" w:hAnsi="Arial" w:cs="Arial"/>
                <w:color w:val="000000"/>
                <w:lang w:val="en-GB"/>
              </w:rPr>
            </w:pPr>
            <w:r w:rsidRPr="00C223AB">
              <w:rPr>
                <w:rFonts w:ascii="Arial" w:eastAsia="Times New Roman" w:hAnsi="Arial" w:cs="Arial"/>
                <w:color w:val="000000"/>
                <w:lang w:val="en-GB"/>
              </w:rPr>
              <w:t>4.1 ±1</w:t>
            </w:r>
          </w:p>
        </w:tc>
        <w:tc>
          <w:tcPr>
            <w:tcW w:w="1560" w:type="dxa"/>
            <w:tcBorders>
              <w:top w:val="nil"/>
              <w:left w:val="nil"/>
              <w:bottom w:val="single" w:sz="4" w:space="0" w:color="auto"/>
              <w:right w:val="single" w:sz="4" w:space="0" w:color="auto"/>
            </w:tcBorders>
            <w:shd w:val="clear" w:color="auto" w:fill="auto"/>
            <w:noWrap/>
            <w:vAlign w:val="bottom"/>
            <w:hideMark/>
          </w:tcPr>
          <w:p w14:paraId="70171DD5" w14:textId="77777777" w:rsidR="00615BC9" w:rsidRPr="00C223AB" w:rsidRDefault="00615BC9" w:rsidP="00C223AB">
            <w:pPr>
              <w:rPr>
                <w:rFonts w:ascii="Arial" w:eastAsia="Times New Roman" w:hAnsi="Arial" w:cs="Arial"/>
                <w:color w:val="000000"/>
                <w:lang w:val="en-GB"/>
              </w:rPr>
            </w:pPr>
            <w:r w:rsidRPr="00C223AB">
              <w:rPr>
                <w:rFonts w:ascii="Arial" w:eastAsia="Times New Roman" w:hAnsi="Arial" w:cs="Arial"/>
                <w:color w:val="000000"/>
                <w:lang w:val="en-GB"/>
              </w:rPr>
              <w:t>4.2 ±1</w:t>
            </w:r>
          </w:p>
        </w:tc>
        <w:tc>
          <w:tcPr>
            <w:tcW w:w="1581" w:type="dxa"/>
            <w:tcBorders>
              <w:top w:val="nil"/>
              <w:left w:val="nil"/>
              <w:bottom w:val="single" w:sz="4" w:space="0" w:color="auto"/>
              <w:right w:val="single" w:sz="4" w:space="0" w:color="auto"/>
            </w:tcBorders>
            <w:shd w:val="clear" w:color="auto" w:fill="auto"/>
            <w:noWrap/>
            <w:vAlign w:val="bottom"/>
            <w:hideMark/>
          </w:tcPr>
          <w:p w14:paraId="41E075EE" w14:textId="77777777" w:rsidR="00615BC9" w:rsidRPr="00C223AB" w:rsidRDefault="00615BC9" w:rsidP="00C223AB">
            <w:pPr>
              <w:rPr>
                <w:rFonts w:ascii="Arial" w:eastAsia="Times New Roman" w:hAnsi="Arial" w:cs="Arial"/>
                <w:color w:val="000000"/>
                <w:lang w:val="en-GB"/>
              </w:rPr>
            </w:pPr>
            <w:r w:rsidRPr="00C223AB">
              <w:rPr>
                <w:rFonts w:ascii="Arial" w:eastAsia="Times New Roman" w:hAnsi="Arial" w:cs="Arial"/>
                <w:color w:val="000000"/>
                <w:lang w:val="en-GB"/>
              </w:rPr>
              <w:t>4.3 ±1.1</w:t>
            </w:r>
          </w:p>
        </w:tc>
        <w:tc>
          <w:tcPr>
            <w:tcW w:w="919" w:type="dxa"/>
            <w:tcBorders>
              <w:top w:val="nil"/>
              <w:left w:val="nil"/>
              <w:bottom w:val="single" w:sz="4" w:space="0" w:color="auto"/>
              <w:right w:val="single" w:sz="4" w:space="0" w:color="auto"/>
            </w:tcBorders>
            <w:shd w:val="clear" w:color="auto" w:fill="auto"/>
            <w:noWrap/>
            <w:vAlign w:val="bottom"/>
            <w:hideMark/>
          </w:tcPr>
          <w:p w14:paraId="5B19078C" w14:textId="77777777" w:rsidR="00615BC9" w:rsidRPr="00C223AB" w:rsidRDefault="00615BC9" w:rsidP="00C223AB">
            <w:pPr>
              <w:rPr>
                <w:rFonts w:ascii="Arial" w:eastAsia="Times New Roman" w:hAnsi="Arial" w:cs="Arial"/>
                <w:color w:val="000000"/>
                <w:lang w:val="en-GB"/>
              </w:rPr>
            </w:pPr>
            <w:r w:rsidRPr="00C223AB">
              <w:rPr>
                <w:rFonts w:ascii="Arial" w:eastAsia="Times New Roman" w:hAnsi="Arial" w:cs="Arial"/>
                <w:color w:val="000000"/>
                <w:lang w:val="en-GB"/>
              </w:rPr>
              <w:t>&lt;0.001</w:t>
            </w:r>
          </w:p>
        </w:tc>
      </w:tr>
      <w:tr w:rsidR="00615BC9" w:rsidRPr="00C223AB" w14:paraId="1F37D063" w14:textId="77777777" w:rsidTr="00357FB4">
        <w:trPr>
          <w:gridAfter w:val="1"/>
          <w:wAfter w:w="1328" w:type="dxa"/>
          <w:trHeight w:val="300"/>
        </w:trPr>
        <w:tc>
          <w:tcPr>
            <w:tcW w:w="3559" w:type="dxa"/>
            <w:tcBorders>
              <w:top w:val="nil"/>
              <w:left w:val="nil"/>
              <w:bottom w:val="nil"/>
              <w:right w:val="nil"/>
            </w:tcBorders>
            <w:shd w:val="clear" w:color="auto" w:fill="auto"/>
            <w:noWrap/>
            <w:vAlign w:val="bottom"/>
            <w:hideMark/>
          </w:tcPr>
          <w:p w14:paraId="3716F80D" w14:textId="5E71484B" w:rsidR="00615BC9" w:rsidRPr="00C223AB" w:rsidRDefault="00615BC9" w:rsidP="00C223AB">
            <w:pPr>
              <w:rPr>
                <w:rFonts w:ascii="Arial" w:eastAsia="Times New Roman" w:hAnsi="Arial" w:cs="Arial"/>
                <w:color w:val="000000"/>
                <w:lang w:val="en-GB"/>
              </w:rPr>
            </w:pPr>
            <w:r w:rsidRPr="00C223AB">
              <w:rPr>
                <w:rFonts w:ascii="Arial" w:eastAsia="Times New Roman" w:hAnsi="Arial" w:cs="Arial"/>
                <w:color w:val="000000"/>
                <w:lang w:val="en-GB"/>
              </w:rPr>
              <w:t>HDL cholesterol, mmol/</w:t>
            </w:r>
            <w:r w:rsidR="000F5C7A" w:rsidRPr="00C223AB">
              <w:rPr>
                <w:rFonts w:ascii="Arial" w:eastAsia="Times New Roman" w:hAnsi="Arial" w:cs="Arial"/>
                <w:color w:val="000000"/>
                <w:lang w:val="en-GB"/>
              </w:rPr>
              <w:t>L</w:t>
            </w:r>
          </w:p>
        </w:tc>
        <w:tc>
          <w:tcPr>
            <w:tcW w:w="146" w:type="dxa"/>
            <w:tcBorders>
              <w:top w:val="nil"/>
              <w:left w:val="nil"/>
              <w:bottom w:val="nil"/>
              <w:right w:val="nil"/>
            </w:tcBorders>
            <w:shd w:val="clear" w:color="auto" w:fill="auto"/>
            <w:noWrap/>
            <w:vAlign w:val="bottom"/>
            <w:hideMark/>
          </w:tcPr>
          <w:p w14:paraId="0736E431" w14:textId="77777777" w:rsidR="00615BC9" w:rsidRPr="00C223AB" w:rsidRDefault="00615BC9" w:rsidP="00C223AB">
            <w:pPr>
              <w:ind w:left="720"/>
              <w:contextualSpacing/>
              <w:rPr>
                <w:rFonts w:ascii="Arial" w:eastAsia="Times New Roman" w:hAnsi="Arial" w:cs="Arial"/>
                <w:color w:val="000000"/>
                <w:lang w:val="en-GB"/>
              </w:rPr>
            </w:pPr>
          </w:p>
        </w:tc>
        <w:tc>
          <w:tcPr>
            <w:tcW w:w="1540" w:type="dxa"/>
            <w:tcBorders>
              <w:top w:val="nil"/>
              <w:left w:val="single" w:sz="4" w:space="0" w:color="auto"/>
              <w:bottom w:val="single" w:sz="4" w:space="0" w:color="auto"/>
              <w:right w:val="single" w:sz="4" w:space="0" w:color="auto"/>
            </w:tcBorders>
            <w:shd w:val="clear" w:color="auto" w:fill="auto"/>
            <w:noWrap/>
            <w:vAlign w:val="bottom"/>
            <w:hideMark/>
          </w:tcPr>
          <w:p w14:paraId="5FDCDAA1" w14:textId="77777777" w:rsidR="00615BC9" w:rsidRPr="00C223AB" w:rsidRDefault="00615BC9" w:rsidP="00C223AB">
            <w:pPr>
              <w:rPr>
                <w:rFonts w:ascii="Arial" w:eastAsia="Times New Roman" w:hAnsi="Arial" w:cs="Arial"/>
                <w:color w:val="000000"/>
                <w:lang w:val="en-GB"/>
              </w:rPr>
            </w:pPr>
            <w:r w:rsidRPr="00C223AB">
              <w:rPr>
                <w:rFonts w:ascii="Arial" w:eastAsia="Times New Roman" w:hAnsi="Arial" w:cs="Arial"/>
                <w:color w:val="000000"/>
                <w:lang w:val="en-GB"/>
              </w:rPr>
              <w:t>1.4 ±0.4</w:t>
            </w:r>
          </w:p>
        </w:tc>
        <w:tc>
          <w:tcPr>
            <w:tcW w:w="1646" w:type="dxa"/>
            <w:tcBorders>
              <w:top w:val="nil"/>
              <w:left w:val="nil"/>
              <w:bottom w:val="single" w:sz="4" w:space="0" w:color="auto"/>
              <w:right w:val="single" w:sz="4" w:space="0" w:color="auto"/>
            </w:tcBorders>
            <w:shd w:val="clear" w:color="auto" w:fill="auto"/>
            <w:noWrap/>
            <w:vAlign w:val="bottom"/>
            <w:hideMark/>
          </w:tcPr>
          <w:p w14:paraId="36BC407C" w14:textId="77777777" w:rsidR="00615BC9" w:rsidRPr="00C223AB" w:rsidRDefault="00615BC9" w:rsidP="00C223AB">
            <w:pPr>
              <w:rPr>
                <w:rFonts w:ascii="Arial" w:eastAsia="Times New Roman" w:hAnsi="Arial" w:cs="Arial"/>
                <w:color w:val="000000"/>
                <w:lang w:val="en-GB"/>
              </w:rPr>
            </w:pPr>
            <w:r w:rsidRPr="00C223AB">
              <w:rPr>
                <w:rFonts w:ascii="Arial" w:eastAsia="Times New Roman" w:hAnsi="Arial" w:cs="Arial"/>
                <w:color w:val="000000"/>
                <w:lang w:val="en-GB"/>
              </w:rPr>
              <w:t>1.4 ±0.4</w:t>
            </w:r>
          </w:p>
        </w:tc>
        <w:tc>
          <w:tcPr>
            <w:tcW w:w="1820" w:type="dxa"/>
            <w:tcBorders>
              <w:top w:val="nil"/>
              <w:left w:val="nil"/>
              <w:bottom w:val="single" w:sz="4" w:space="0" w:color="auto"/>
              <w:right w:val="single" w:sz="4" w:space="0" w:color="auto"/>
            </w:tcBorders>
            <w:shd w:val="clear" w:color="auto" w:fill="auto"/>
            <w:noWrap/>
            <w:vAlign w:val="bottom"/>
            <w:hideMark/>
          </w:tcPr>
          <w:p w14:paraId="6F02A165" w14:textId="77777777" w:rsidR="00615BC9" w:rsidRPr="00C223AB" w:rsidRDefault="00615BC9" w:rsidP="00C223AB">
            <w:pPr>
              <w:rPr>
                <w:rFonts w:ascii="Arial" w:eastAsia="Times New Roman" w:hAnsi="Arial" w:cs="Arial"/>
                <w:color w:val="000000"/>
                <w:lang w:val="en-GB"/>
              </w:rPr>
            </w:pPr>
            <w:r w:rsidRPr="00C223AB">
              <w:rPr>
                <w:rFonts w:ascii="Arial" w:eastAsia="Times New Roman" w:hAnsi="Arial" w:cs="Arial"/>
                <w:color w:val="000000"/>
                <w:lang w:val="en-GB"/>
              </w:rPr>
              <w:t>1.3 ±0.4</w:t>
            </w:r>
          </w:p>
        </w:tc>
        <w:tc>
          <w:tcPr>
            <w:tcW w:w="1560" w:type="dxa"/>
            <w:tcBorders>
              <w:top w:val="nil"/>
              <w:left w:val="nil"/>
              <w:bottom w:val="single" w:sz="4" w:space="0" w:color="auto"/>
              <w:right w:val="single" w:sz="4" w:space="0" w:color="auto"/>
            </w:tcBorders>
            <w:shd w:val="clear" w:color="auto" w:fill="auto"/>
            <w:noWrap/>
            <w:vAlign w:val="bottom"/>
            <w:hideMark/>
          </w:tcPr>
          <w:p w14:paraId="52F6A36A" w14:textId="77777777" w:rsidR="00615BC9" w:rsidRPr="00C223AB" w:rsidRDefault="00615BC9" w:rsidP="00C223AB">
            <w:pPr>
              <w:rPr>
                <w:rFonts w:ascii="Arial" w:eastAsia="Times New Roman" w:hAnsi="Arial" w:cs="Arial"/>
                <w:color w:val="000000"/>
                <w:lang w:val="en-GB"/>
              </w:rPr>
            </w:pPr>
            <w:r w:rsidRPr="00C223AB">
              <w:rPr>
                <w:rFonts w:ascii="Arial" w:eastAsia="Times New Roman" w:hAnsi="Arial" w:cs="Arial"/>
                <w:color w:val="000000"/>
                <w:lang w:val="en-GB"/>
              </w:rPr>
              <w:t>1.3 ±0.4</w:t>
            </w:r>
          </w:p>
        </w:tc>
        <w:tc>
          <w:tcPr>
            <w:tcW w:w="1581" w:type="dxa"/>
            <w:tcBorders>
              <w:top w:val="nil"/>
              <w:left w:val="nil"/>
              <w:bottom w:val="single" w:sz="4" w:space="0" w:color="auto"/>
              <w:right w:val="single" w:sz="4" w:space="0" w:color="auto"/>
            </w:tcBorders>
            <w:shd w:val="clear" w:color="auto" w:fill="auto"/>
            <w:noWrap/>
            <w:vAlign w:val="bottom"/>
            <w:hideMark/>
          </w:tcPr>
          <w:p w14:paraId="5AE7FFEF" w14:textId="77777777" w:rsidR="00615BC9" w:rsidRPr="00C223AB" w:rsidRDefault="00615BC9" w:rsidP="00C223AB">
            <w:pPr>
              <w:rPr>
                <w:rFonts w:ascii="Arial" w:eastAsia="Times New Roman" w:hAnsi="Arial" w:cs="Arial"/>
                <w:color w:val="000000"/>
                <w:lang w:val="en-GB"/>
              </w:rPr>
            </w:pPr>
            <w:r w:rsidRPr="00C223AB">
              <w:rPr>
                <w:rFonts w:ascii="Arial" w:eastAsia="Times New Roman" w:hAnsi="Arial" w:cs="Arial"/>
                <w:color w:val="000000"/>
                <w:lang w:val="en-GB"/>
              </w:rPr>
              <w:t>1.3 ±0.4</w:t>
            </w:r>
          </w:p>
        </w:tc>
        <w:tc>
          <w:tcPr>
            <w:tcW w:w="919" w:type="dxa"/>
            <w:tcBorders>
              <w:top w:val="nil"/>
              <w:left w:val="nil"/>
              <w:bottom w:val="single" w:sz="4" w:space="0" w:color="auto"/>
              <w:right w:val="single" w:sz="4" w:space="0" w:color="auto"/>
            </w:tcBorders>
            <w:shd w:val="clear" w:color="auto" w:fill="auto"/>
            <w:noWrap/>
            <w:vAlign w:val="bottom"/>
            <w:hideMark/>
          </w:tcPr>
          <w:p w14:paraId="11525948" w14:textId="77777777" w:rsidR="00615BC9" w:rsidRPr="00C223AB" w:rsidRDefault="00615BC9" w:rsidP="00C223AB">
            <w:pPr>
              <w:rPr>
                <w:rFonts w:ascii="Arial" w:eastAsia="Times New Roman" w:hAnsi="Arial" w:cs="Arial"/>
                <w:color w:val="000000"/>
                <w:lang w:val="en-GB"/>
              </w:rPr>
            </w:pPr>
            <w:r w:rsidRPr="00C223AB">
              <w:rPr>
                <w:rFonts w:ascii="Arial" w:eastAsia="Times New Roman" w:hAnsi="Arial" w:cs="Arial"/>
                <w:color w:val="000000"/>
                <w:lang w:val="en-GB"/>
              </w:rPr>
              <w:t>&lt;0.01</w:t>
            </w:r>
          </w:p>
        </w:tc>
      </w:tr>
      <w:tr w:rsidR="00615BC9" w:rsidRPr="00C223AB" w14:paraId="06F0ED55" w14:textId="77777777" w:rsidTr="00357FB4">
        <w:trPr>
          <w:gridAfter w:val="1"/>
          <w:wAfter w:w="1328" w:type="dxa"/>
          <w:trHeight w:val="300"/>
        </w:trPr>
        <w:tc>
          <w:tcPr>
            <w:tcW w:w="3559" w:type="dxa"/>
            <w:tcBorders>
              <w:top w:val="nil"/>
              <w:left w:val="nil"/>
              <w:bottom w:val="nil"/>
              <w:right w:val="nil"/>
            </w:tcBorders>
            <w:shd w:val="clear" w:color="auto" w:fill="auto"/>
            <w:noWrap/>
            <w:vAlign w:val="bottom"/>
            <w:hideMark/>
          </w:tcPr>
          <w:p w14:paraId="3B422667" w14:textId="562E759C" w:rsidR="00615BC9" w:rsidRPr="00C223AB" w:rsidRDefault="00615BC9" w:rsidP="00C223AB">
            <w:pPr>
              <w:rPr>
                <w:rFonts w:ascii="Arial" w:eastAsia="Times New Roman" w:hAnsi="Arial" w:cs="Arial"/>
                <w:color w:val="000000"/>
                <w:lang w:val="en-GB"/>
              </w:rPr>
            </w:pPr>
            <w:r w:rsidRPr="00C223AB">
              <w:rPr>
                <w:rFonts w:ascii="Arial" w:eastAsia="Times New Roman" w:hAnsi="Arial" w:cs="Arial"/>
                <w:color w:val="000000"/>
                <w:lang w:val="en-GB"/>
              </w:rPr>
              <w:t>Triglycerides, mmol/</w:t>
            </w:r>
            <w:r w:rsidR="000F5C7A" w:rsidRPr="00C223AB">
              <w:rPr>
                <w:rFonts w:ascii="Arial" w:eastAsia="Times New Roman" w:hAnsi="Arial" w:cs="Arial"/>
                <w:color w:val="000000"/>
                <w:lang w:val="en-GB"/>
              </w:rPr>
              <w:t>L</w:t>
            </w:r>
          </w:p>
        </w:tc>
        <w:tc>
          <w:tcPr>
            <w:tcW w:w="146" w:type="dxa"/>
            <w:tcBorders>
              <w:top w:val="nil"/>
              <w:left w:val="nil"/>
              <w:bottom w:val="nil"/>
              <w:right w:val="nil"/>
            </w:tcBorders>
            <w:shd w:val="clear" w:color="auto" w:fill="auto"/>
            <w:noWrap/>
            <w:vAlign w:val="bottom"/>
            <w:hideMark/>
          </w:tcPr>
          <w:p w14:paraId="73C81F59" w14:textId="77777777" w:rsidR="00615BC9" w:rsidRPr="00C223AB" w:rsidRDefault="00615BC9" w:rsidP="00C223AB">
            <w:pPr>
              <w:ind w:left="720"/>
              <w:contextualSpacing/>
              <w:rPr>
                <w:rFonts w:ascii="Arial" w:eastAsia="Times New Roman" w:hAnsi="Arial" w:cs="Arial"/>
                <w:color w:val="000000"/>
                <w:lang w:val="en-GB"/>
              </w:rPr>
            </w:pPr>
          </w:p>
        </w:tc>
        <w:tc>
          <w:tcPr>
            <w:tcW w:w="1540" w:type="dxa"/>
            <w:tcBorders>
              <w:top w:val="nil"/>
              <w:left w:val="single" w:sz="4" w:space="0" w:color="auto"/>
              <w:bottom w:val="single" w:sz="4" w:space="0" w:color="auto"/>
              <w:right w:val="single" w:sz="4" w:space="0" w:color="auto"/>
            </w:tcBorders>
            <w:shd w:val="clear" w:color="auto" w:fill="auto"/>
            <w:noWrap/>
            <w:vAlign w:val="bottom"/>
            <w:hideMark/>
          </w:tcPr>
          <w:p w14:paraId="5F6782AE" w14:textId="77777777" w:rsidR="00615BC9" w:rsidRPr="00C223AB" w:rsidRDefault="00615BC9" w:rsidP="00C223AB">
            <w:pPr>
              <w:rPr>
                <w:rFonts w:ascii="Arial" w:eastAsia="Times New Roman" w:hAnsi="Arial" w:cs="Arial"/>
                <w:color w:val="000000"/>
                <w:lang w:val="en-GB"/>
              </w:rPr>
            </w:pPr>
            <w:r w:rsidRPr="00C223AB">
              <w:rPr>
                <w:rFonts w:ascii="Arial" w:eastAsia="Times New Roman" w:hAnsi="Arial" w:cs="Arial"/>
                <w:color w:val="000000"/>
                <w:lang w:val="en-GB"/>
              </w:rPr>
              <w:t>1.4 (1-1.8)</w:t>
            </w:r>
          </w:p>
        </w:tc>
        <w:tc>
          <w:tcPr>
            <w:tcW w:w="1646" w:type="dxa"/>
            <w:tcBorders>
              <w:top w:val="nil"/>
              <w:left w:val="nil"/>
              <w:bottom w:val="single" w:sz="4" w:space="0" w:color="auto"/>
              <w:right w:val="single" w:sz="4" w:space="0" w:color="auto"/>
            </w:tcBorders>
            <w:shd w:val="clear" w:color="auto" w:fill="auto"/>
            <w:noWrap/>
            <w:vAlign w:val="bottom"/>
            <w:hideMark/>
          </w:tcPr>
          <w:p w14:paraId="210D360A" w14:textId="77777777" w:rsidR="00615BC9" w:rsidRPr="00C223AB" w:rsidRDefault="00615BC9" w:rsidP="00C223AB">
            <w:pPr>
              <w:rPr>
                <w:rFonts w:ascii="Arial" w:eastAsia="Times New Roman" w:hAnsi="Arial" w:cs="Arial"/>
                <w:color w:val="000000"/>
                <w:lang w:val="en-GB"/>
              </w:rPr>
            </w:pPr>
            <w:r w:rsidRPr="00C223AB">
              <w:rPr>
                <w:rFonts w:ascii="Arial" w:eastAsia="Times New Roman" w:hAnsi="Arial" w:cs="Arial"/>
                <w:color w:val="000000"/>
                <w:lang w:val="en-GB"/>
              </w:rPr>
              <w:t>1.5 (1.2-2)</w:t>
            </w:r>
          </w:p>
        </w:tc>
        <w:tc>
          <w:tcPr>
            <w:tcW w:w="1820" w:type="dxa"/>
            <w:tcBorders>
              <w:top w:val="nil"/>
              <w:left w:val="nil"/>
              <w:bottom w:val="single" w:sz="4" w:space="0" w:color="auto"/>
              <w:right w:val="single" w:sz="4" w:space="0" w:color="auto"/>
            </w:tcBorders>
            <w:shd w:val="clear" w:color="auto" w:fill="auto"/>
            <w:noWrap/>
            <w:vAlign w:val="bottom"/>
            <w:hideMark/>
          </w:tcPr>
          <w:p w14:paraId="12DED588" w14:textId="77777777" w:rsidR="00615BC9" w:rsidRPr="00C223AB" w:rsidRDefault="00615BC9" w:rsidP="00C223AB">
            <w:pPr>
              <w:rPr>
                <w:rFonts w:ascii="Arial" w:eastAsia="Times New Roman" w:hAnsi="Arial" w:cs="Arial"/>
                <w:color w:val="000000"/>
                <w:lang w:val="en-GB"/>
              </w:rPr>
            </w:pPr>
            <w:r w:rsidRPr="00C223AB">
              <w:rPr>
                <w:rFonts w:ascii="Arial" w:eastAsia="Times New Roman" w:hAnsi="Arial" w:cs="Arial"/>
                <w:color w:val="000000"/>
                <w:lang w:val="en-GB"/>
              </w:rPr>
              <w:t>1.7 (1.2-2.3)</w:t>
            </w:r>
          </w:p>
        </w:tc>
        <w:tc>
          <w:tcPr>
            <w:tcW w:w="1560" w:type="dxa"/>
            <w:tcBorders>
              <w:top w:val="nil"/>
              <w:left w:val="nil"/>
              <w:bottom w:val="single" w:sz="4" w:space="0" w:color="auto"/>
              <w:right w:val="single" w:sz="4" w:space="0" w:color="auto"/>
            </w:tcBorders>
            <w:shd w:val="clear" w:color="auto" w:fill="auto"/>
            <w:noWrap/>
            <w:vAlign w:val="bottom"/>
            <w:hideMark/>
          </w:tcPr>
          <w:p w14:paraId="09B28938" w14:textId="77777777" w:rsidR="00615BC9" w:rsidRPr="00C223AB" w:rsidRDefault="00615BC9" w:rsidP="00C223AB">
            <w:pPr>
              <w:rPr>
                <w:rFonts w:ascii="Arial" w:eastAsia="Times New Roman" w:hAnsi="Arial" w:cs="Arial"/>
                <w:color w:val="000000"/>
                <w:lang w:val="en-GB"/>
              </w:rPr>
            </w:pPr>
            <w:r w:rsidRPr="00C223AB">
              <w:rPr>
                <w:rFonts w:ascii="Arial" w:eastAsia="Times New Roman" w:hAnsi="Arial" w:cs="Arial"/>
                <w:color w:val="000000"/>
                <w:lang w:val="en-GB"/>
              </w:rPr>
              <w:t>1.9 (1.4-2.7)</w:t>
            </w:r>
          </w:p>
        </w:tc>
        <w:tc>
          <w:tcPr>
            <w:tcW w:w="1581" w:type="dxa"/>
            <w:tcBorders>
              <w:top w:val="nil"/>
              <w:left w:val="nil"/>
              <w:bottom w:val="single" w:sz="4" w:space="0" w:color="auto"/>
              <w:right w:val="single" w:sz="4" w:space="0" w:color="auto"/>
            </w:tcBorders>
            <w:shd w:val="clear" w:color="auto" w:fill="auto"/>
            <w:noWrap/>
            <w:vAlign w:val="bottom"/>
            <w:hideMark/>
          </w:tcPr>
          <w:p w14:paraId="2146CF69" w14:textId="77777777" w:rsidR="00615BC9" w:rsidRPr="00C223AB" w:rsidRDefault="00615BC9" w:rsidP="00C223AB">
            <w:pPr>
              <w:rPr>
                <w:rFonts w:ascii="Arial" w:eastAsia="Times New Roman" w:hAnsi="Arial" w:cs="Arial"/>
                <w:color w:val="000000"/>
                <w:lang w:val="en-GB"/>
              </w:rPr>
            </w:pPr>
            <w:r w:rsidRPr="00C223AB">
              <w:rPr>
                <w:rFonts w:ascii="Arial" w:eastAsia="Times New Roman" w:hAnsi="Arial" w:cs="Arial"/>
                <w:color w:val="000000"/>
                <w:lang w:val="en-GB"/>
              </w:rPr>
              <w:t>2.5 (1.8-3.4)</w:t>
            </w:r>
          </w:p>
        </w:tc>
        <w:tc>
          <w:tcPr>
            <w:tcW w:w="919" w:type="dxa"/>
            <w:tcBorders>
              <w:top w:val="nil"/>
              <w:left w:val="nil"/>
              <w:bottom w:val="single" w:sz="4" w:space="0" w:color="auto"/>
              <w:right w:val="single" w:sz="4" w:space="0" w:color="auto"/>
            </w:tcBorders>
            <w:shd w:val="clear" w:color="auto" w:fill="auto"/>
            <w:noWrap/>
            <w:vAlign w:val="bottom"/>
            <w:hideMark/>
          </w:tcPr>
          <w:p w14:paraId="348FAD1C" w14:textId="77777777" w:rsidR="00615BC9" w:rsidRPr="00C223AB" w:rsidRDefault="00615BC9" w:rsidP="00C223AB">
            <w:pPr>
              <w:rPr>
                <w:rFonts w:ascii="Arial" w:eastAsia="Times New Roman" w:hAnsi="Arial" w:cs="Arial"/>
                <w:color w:val="000000"/>
                <w:lang w:val="en-GB"/>
              </w:rPr>
            </w:pPr>
            <w:r w:rsidRPr="00C223AB">
              <w:rPr>
                <w:rFonts w:ascii="Arial" w:eastAsia="Times New Roman" w:hAnsi="Arial" w:cs="Arial"/>
                <w:color w:val="000000"/>
                <w:lang w:val="en-GB"/>
              </w:rPr>
              <w:t>&lt;0.001</w:t>
            </w:r>
          </w:p>
        </w:tc>
      </w:tr>
      <w:tr w:rsidR="004B02B9" w:rsidRPr="00C223AB" w14:paraId="77B78C0F" w14:textId="77777777" w:rsidTr="00357FB4">
        <w:trPr>
          <w:gridAfter w:val="1"/>
          <w:wAfter w:w="1328" w:type="dxa"/>
          <w:trHeight w:val="300"/>
        </w:trPr>
        <w:tc>
          <w:tcPr>
            <w:tcW w:w="3559" w:type="dxa"/>
            <w:tcBorders>
              <w:top w:val="nil"/>
              <w:left w:val="nil"/>
              <w:bottom w:val="nil"/>
              <w:right w:val="nil"/>
            </w:tcBorders>
            <w:shd w:val="clear" w:color="auto" w:fill="auto"/>
            <w:noWrap/>
            <w:vAlign w:val="bottom"/>
          </w:tcPr>
          <w:p w14:paraId="5BE7AF8A" w14:textId="3767C301" w:rsidR="004B02B9" w:rsidRPr="00C223AB" w:rsidRDefault="004B02B9" w:rsidP="00C223AB">
            <w:pPr>
              <w:rPr>
                <w:rFonts w:ascii="Arial" w:eastAsia="Times New Roman" w:hAnsi="Arial" w:cs="Arial"/>
                <w:color w:val="000000"/>
                <w:lang w:val="en-GB"/>
              </w:rPr>
            </w:pPr>
            <w:r w:rsidRPr="00C223AB">
              <w:rPr>
                <w:rFonts w:ascii="Arial" w:eastAsia="Times New Roman" w:hAnsi="Arial" w:cs="Arial"/>
                <w:color w:val="000000"/>
                <w:lang w:val="en-GB"/>
              </w:rPr>
              <w:t>Remnant cholesterol, mmol/L</w:t>
            </w:r>
          </w:p>
        </w:tc>
        <w:tc>
          <w:tcPr>
            <w:tcW w:w="146" w:type="dxa"/>
            <w:tcBorders>
              <w:top w:val="nil"/>
              <w:left w:val="nil"/>
              <w:bottom w:val="nil"/>
              <w:right w:val="nil"/>
            </w:tcBorders>
            <w:shd w:val="clear" w:color="auto" w:fill="auto"/>
            <w:noWrap/>
            <w:vAlign w:val="bottom"/>
          </w:tcPr>
          <w:p w14:paraId="62461DAB" w14:textId="77777777" w:rsidR="004B02B9" w:rsidRPr="00C223AB" w:rsidRDefault="004B02B9" w:rsidP="00C223AB">
            <w:pPr>
              <w:ind w:left="720"/>
              <w:contextualSpacing/>
              <w:rPr>
                <w:rFonts w:ascii="Arial" w:eastAsia="Times New Roman" w:hAnsi="Arial" w:cs="Arial"/>
                <w:color w:val="000000"/>
                <w:lang w:val="en-GB"/>
              </w:rPr>
            </w:pPr>
          </w:p>
        </w:tc>
        <w:tc>
          <w:tcPr>
            <w:tcW w:w="1540" w:type="dxa"/>
            <w:tcBorders>
              <w:top w:val="nil"/>
              <w:left w:val="single" w:sz="4" w:space="0" w:color="auto"/>
              <w:bottom w:val="single" w:sz="4" w:space="0" w:color="auto"/>
              <w:right w:val="single" w:sz="4" w:space="0" w:color="auto"/>
            </w:tcBorders>
            <w:shd w:val="clear" w:color="auto" w:fill="auto"/>
            <w:noWrap/>
            <w:vAlign w:val="bottom"/>
          </w:tcPr>
          <w:p w14:paraId="36ED0F79" w14:textId="22B0CB71" w:rsidR="004B02B9" w:rsidRPr="00C223AB" w:rsidRDefault="004B02B9" w:rsidP="00C223AB">
            <w:pPr>
              <w:rPr>
                <w:rFonts w:ascii="Arial" w:eastAsia="Times New Roman" w:hAnsi="Arial" w:cs="Arial"/>
                <w:color w:val="000000"/>
                <w:lang w:val="en-GB"/>
              </w:rPr>
            </w:pPr>
            <w:r w:rsidRPr="00C223AB">
              <w:rPr>
                <w:rFonts w:ascii="Arial" w:eastAsia="Times New Roman" w:hAnsi="Arial" w:cs="Arial"/>
                <w:color w:val="000000"/>
                <w:lang w:val="en-GB"/>
              </w:rPr>
              <w:t>0.6 (0.5-0.8)</w:t>
            </w:r>
          </w:p>
        </w:tc>
        <w:tc>
          <w:tcPr>
            <w:tcW w:w="1646" w:type="dxa"/>
            <w:tcBorders>
              <w:top w:val="nil"/>
              <w:left w:val="nil"/>
              <w:bottom w:val="single" w:sz="4" w:space="0" w:color="auto"/>
              <w:right w:val="single" w:sz="4" w:space="0" w:color="auto"/>
            </w:tcBorders>
            <w:shd w:val="clear" w:color="auto" w:fill="auto"/>
            <w:noWrap/>
            <w:vAlign w:val="bottom"/>
          </w:tcPr>
          <w:p w14:paraId="3F777371" w14:textId="73796BDD" w:rsidR="004B02B9" w:rsidRPr="00C223AB" w:rsidRDefault="004B02B9" w:rsidP="00C223AB">
            <w:pPr>
              <w:rPr>
                <w:rFonts w:ascii="Arial" w:eastAsia="Times New Roman" w:hAnsi="Arial" w:cs="Arial"/>
                <w:color w:val="000000"/>
                <w:lang w:val="en-GB"/>
              </w:rPr>
            </w:pPr>
            <w:r w:rsidRPr="00C223AB">
              <w:rPr>
                <w:rFonts w:ascii="Arial" w:eastAsia="Times New Roman" w:hAnsi="Arial" w:cs="Arial"/>
                <w:color w:val="000000"/>
                <w:lang w:val="en-GB"/>
              </w:rPr>
              <w:t>0.7 (0.5-0.9)</w:t>
            </w:r>
          </w:p>
        </w:tc>
        <w:tc>
          <w:tcPr>
            <w:tcW w:w="1820" w:type="dxa"/>
            <w:tcBorders>
              <w:top w:val="nil"/>
              <w:left w:val="nil"/>
              <w:bottom w:val="single" w:sz="4" w:space="0" w:color="auto"/>
              <w:right w:val="single" w:sz="4" w:space="0" w:color="auto"/>
            </w:tcBorders>
            <w:shd w:val="clear" w:color="auto" w:fill="auto"/>
            <w:noWrap/>
            <w:vAlign w:val="bottom"/>
          </w:tcPr>
          <w:p w14:paraId="649491C3" w14:textId="142BF7DF" w:rsidR="004B02B9" w:rsidRPr="00C223AB" w:rsidRDefault="004B02B9" w:rsidP="00C223AB">
            <w:pPr>
              <w:rPr>
                <w:rFonts w:ascii="Arial" w:eastAsia="Times New Roman" w:hAnsi="Arial" w:cs="Arial"/>
                <w:color w:val="000000"/>
                <w:lang w:val="en-GB"/>
              </w:rPr>
            </w:pPr>
            <w:r w:rsidRPr="00C223AB">
              <w:rPr>
                <w:rFonts w:ascii="Arial" w:eastAsia="Times New Roman" w:hAnsi="Arial" w:cs="Arial"/>
                <w:color w:val="000000"/>
                <w:lang w:val="en-GB"/>
              </w:rPr>
              <w:t>0.8 (0.6-1.0)</w:t>
            </w:r>
          </w:p>
        </w:tc>
        <w:tc>
          <w:tcPr>
            <w:tcW w:w="1560" w:type="dxa"/>
            <w:tcBorders>
              <w:top w:val="nil"/>
              <w:left w:val="nil"/>
              <w:bottom w:val="single" w:sz="4" w:space="0" w:color="auto"/>
              <w:right w:val="single" w:sz="4" w:space="0" w:color="auto"/>
            </w:tcBorders>
            <w:shd w:val="clear" w:color="auto" w:fill="auto"/>
            <w:noWrap/>
            <w:vAlign w:val="bottom"/>
          </w:tcPr>
          <w:p w14:paraId="32A8CC45" w14:textId="75D0DFC7" w:rsidR="004B02B9" w:rsidRPr="00C223AB" w:rsidRDefault="004B02B9" w:rsidP="00C223AB">
            <w:pPr>
              <w:rPr>
                <w:rFonts w:ascii="Arial" w:eastAsia="Times New Roman" w:hAnsi="Arial" w:cs="Arial"/>
                <w:color w:val="000000"/>
                <w:lang w:val="en-GB"/>
              </w:rPr>
            </w:pPr>
            <w:r w:rsidRPr="00C223AB">
              <w:rPr>
                <w:rFonts w:ascii="Arial" w:eastAsia="Times New Roman" w:hAnsi="Arial" w:cs="Arial"/>
                <w:color w:val="000000"/>
                <w:lang w:val="en-GB"/>
              </w:rPr>
              <w:t>0.8 (0.6-1.2)</w:t>
            </w:r>
          </w:p>
        </w:tc>
        <w:tc>
          <w:tcPr>
            <w:tcW w:w="1581" w:type="dxa"/>
            <w:tcBorders>
              <w:top w:val="nil"/>
              <w:left w:val="nil"/>
              <w:bottom w:val="single" w:sz="4" w:space="0" w:color="auto"/>
              <w:right w:val="single" w:sz="4" w:space="0" w:color="auto"/>
            </w:tcBorders>
            <w:shd w:val="clear" w:color="auto" w:fill="auto"/>
            <w:noWrap/>
            <w:vAlign w:val="bottom"/>
          </w:tcPr>
          <w:p w14:paraId="10B13229" w14:textId="6925D737" w:rsidR="004B02B9" w:rsidRPr="00C223AB" w:rsidRDefault="004B02B9" w:rsidP="00C223AB">
            <w:pPr>
              <w:rPr>
                <w:rFonts w:ascii="Arial" w:eastAsia="Times New Roman" w:hAnsi="Arial" w:cs="Arial"/>
                <w:color w:val="000000"/>
                <w:lang w:val="en-GB"/>
              </w:rPr>
            </w:pPr>
            <w:r w:rsidRPr="00C223AB">
              <w:rPr>
                <w:rFonts w:ascii="Arial" w:eastAsia="Times New Roman" w:hAnsi="Arial" w:cs="Arial"/>
                <w:color w:val="000000"/>
                <w:lang w:val="en-GB"/>
              </w:rPr>
              <w:t>1.1 (0.8-1.4)</w:t>
            </w:r>
          </w:p>
        </w:tc>
        <w:tc>
          <w:tcPr>
            <w:tcW w:w="919" w:type="dxa"/>
            <w:tcBorders>
              <w:top w:val="nil"/>
              <w:left w:val="nil"/>
              <w:bottom w:val="single" w:sz="4" w:space="0" w:color="auto"/>
              <w:right w:val="single" w:sz="4" w:space="0" w:color="auto"/>
            </w:tcBorders>
            <w:shd w:val="clear" w:color="auto" w:fill="auto"/>
            <w:noWrap/>
            <w:vAlign w:val="bottom"/>
          </w:tcPr>
          <w:p w14:paraId="78DE001F" w14:textId="6BBE57FB" w:rsidR="004B02B9" w:rsidRPr="00C223AB" w:rsidRDefault="004B02B9" w:rsidP="00C223AB">
            <w:pPr>
              <w:rPr>
                <w:rFonts w:ascii="Arial" w:eastAsia="Times New Roman" w:hAnsi="Arial" w:cs="Arial"/>
                <w:color w:val="000000"/>
                <w:lang w:val="en-GB"/>
              </w:rPr>
            </w:pPr>
            <w:r w:rsidRPr="00C223AB">
              <w:rPr>
                <w:rFonts w:ascii="Arial" w:eastAsia="Times New Roman" w:hAnsi="Arial" w:cs="Arial"/>
                <w:color w:val="000000"/>
                <w:lang w:val="en-GB"/>
              </w:rPr>
              <w:t>&lt;0.001</w:t>
            </w:r>
          </w:p>
        </w:tc>
      </w:tr>
      <w:tr w:rsidR="004B02B9" w:rsidRPr="00C223AB" w14:paraId="136FBC82" w14:textId="77777777" w:rsidTr="00357FB4">
        <w:trPr>
          <w:gridAfter w:val="1"/>
          <w:wAfter w:w="1328" w:type="dxa"/>
          <w:trHeight w:val="300"/>
        </w:trPr>
        <w:tc>
          <w:tcPr>
            <w:tcW w:w="3559" w:type="dxa"/>
            <w:tcBorders>
              <w:top w:val="nil"/>
              <w:left w:val="nil"/>
              <w:bottom w:val="nil"/>
              <w:right w:val="nil"/>
            </w:tcBorders>
            <w:shd w:val="clear" w:color="auto" w:fill="auto"/>
            <w:noWrap/>
            <w:vAlign w:val="bottom"/>
            <w:hideMark/>
          </w:tcPr>
          <w:p w14:paraId="63CD8768" w14:textId="77777777" w:rsidR="004B02B9" w:rsidRPr="00C223AB" w:rsidRDefault="004B02B9" w:rsidP="00C223AB">
            <w:pPr>
              <w:rPr>
                <w:rFonts w:ascii="Arial" w:eastAsia="Times New Roman" w:hAnsi="Arial" w:cs="Arial"/>
                <w:color w:val="000000"/>
                <w:lang w:val="en-GB"/>
              </w:rPr>
            </w:pPr>
            <w:r w:rsidRPr="00C223AB">
              <w:rPr>
                <w:rFonts w:ascii="Arial" w:eastAsia="Times New Roman" w:hAnsi="Arial" w:cs="Arial"/>
                <w:color w:val="000000"/>
                <w:lang w:val="en-GB"/>
              </w:rPr>
              <w:t>Apolipoprotein A-I, mg/dL</w:t>
            </w:r>
          </w:p>
        </w:tc>
        <w:tc>
          <w:tcPr>
            <w:tcW w:w="146" w:type="dxa"/>
            <w:tcBorders>
              <w:top w:val="nil"/>
              <w:left w:val="nil"/>
              <w:bottom w:val="nil"/>
              <w:right w:val="nil"/>
            </w:tcBorders>
            <w:shd w:val="clear" w:color="auto" w:fill="auto"/>
            <w:noWrap/>
            <w:vAlign w:val="bottom"/>
            <w:hideMark/>
          </w:tcPr>
          <w:p w14:paraId="5ED07D17" w14:textId="77777777" w:rsidR="004B02B9" w:rsidRPr="00C223AB" w:rsidRDefault="004B02B9" w:rsidP="00C223AB">
            <w:pPr>
              <w:ind w:left="720"/>
              <w:contextualSpacing/>
              <w:rPr>
                <w:rFonts w:ascii="Arial" w:eastAsia="Times New Roman" w:hAnsi="Arial" w:cs="Arial"/>
                <w:color w:val="000000"/>
                <w:lang w:val="en-GB"/>
              </w:rPr>
            </w:pPr>
          </w:p>
        </w:tc>
        <w:tc>
          <w:tcPr>
            <w:tcW w:w="1540" w:type="dxa"/>
            <w:tcBorders>
              <w:top w:val="nil"/>
              <w:left w:val="single" w:sz="4" w:space="0" w:color="auto"/>
              <w:bottom w:val="single" w:sz="4" w:space="0" w:color="auto"/>
              <w:right w:val="single" w:sz="4" w:space="0" w:color="auto"/>
            </w:tcBorders>
            <w:shd w:val="clear" w:color="auto" w:fill="auto"/>
            <w:noWrap/>
            <w:vAlign w:val="bottom"/>
            <w:hideMark/>
          </w:tcPr>
          <w:p w14:paraId="7F5BD32A" w14:textId="77777777" w:rsidR="004B02B9" w:rsidRPr="00C223AB" w:rsidRDefault="004B02B9" w:rsidP="00C223AB">
            <w:pPr>
              <w:rPr>
                <w:rFonts w:ascii="Arial" w:eastAsia="Times New Roman" w:hAnsi="Arial" w:cs="Arial"/>
                <w:color w:val="000000"/>
                <w:lang w:val="en-GB"/>
              </w:rPr>
            </w:pPr>
            <w:r w:rsidRPr="00C223AB">
              <w:rPr>
                <w:rFonts w:ascii="Arial" w:eastAsia="Times New Roman" w:hAnsi="Arial" w:cs="Arial"/>
                <w:color w:val="000000"/>
                <w:lang w:val="en-GB"/>
              </w:rPr>
              <w:t>160.7 ±29.6</w:t>
            </w:r>
          </w:p>
        </w:tc>
        <w:tc>
          <w:tcPr>
            <w:tcW w:w="1646" w:type="dxa"/>
            <w:tcBorders>
              <w:top w:val="nil"/>
              <w:left w:val="nil"/>
              <w:bottom w:val="single" w:sz="4" w:space="0" w:color="auto"/>
              <w:right w:val="single" w:sz="4" w:space="0" w:color="auto"/>
            </w:tcBorders>
            <w:shd w:val="clear" w:color="auto" w:fill="auto"/>
            <w:noWrap/>
            <w:vAlign w:val="bottom"/>
            <w:hideMark/>
          </w:tcPr>
          <w:p w14:paraId="00C0DD1C" w14:textId="77777777" w:rsidR="004B02B9" w:rsidRPr="00C223AB" w:rsidRDefault="004B02B9" w:rsidP="00C223AB">
            <w:pPr>
              <w:rPr>
                <w:rFonts w:ascii="Arial" w:eastAsia="Times New Roman" w:hAnsi="Arial" w:cs="Arial"/>
                <w:color w:val="000000"/>
                <w:lang w:val="en-GB"/>
              </w:rPr>
            </w:pPr>
            <w:r w:rsidRPr="00C223AB">
              <w:rPr>
                <w:rFonts w:ascii="Arial" w:eastAsia="Times New Roman" w:hAnsi="Arial" w:cs="Arial"/>
                <w:color w:val="000000"/>
                <w:lang w:val="en-GB"/>
              </w:rPr>
              <w:t>158.9 ±29.9</w:t>
            </w:r>
          </w:p>
        </w:tc>
        <w:tc>
          <w:tcPr>
            <w:tcW w:w="1820" w:type="dxa"/>
            <w:tcBorders>
              <w:top w:val="nil"/>
              <w:left w:val="nil"/>
              <w:bottom w:val="single" w:sz="4" w:space="0" w:color="auto"/>
              <w:right w:val="single" w:sz="4" w:space="0" w:color="auto"/>
            </w:tcBorders>
            <w:shd w:val="clear" w:color="auto" w:fill="auto"/>
            <w:noWrap/>
            <w:vAlign w:val="bottom"/>
            <w:hideMark/>
          </w:tcPr>
          <w:p w14:paraId="01EF2F8D" w14:textId="77777777" w:rsidR="004B02B9" w:rsidRPr="00C223AB" w:rsidRDefault="004B02B9" w:rsidP="00C223AB">
            <w:pPr>
              <w:rPr>
                <w:rFonts w:ascii="Arial" w:eastAsia="Times New Roman" w:hAnsi="Arial" w:cs="Arial"/>
                <w:color w:val="000000"/>
                <w:lang w:val="en-GB"/>
              </w:rPr>
            </w:pPr>
            <w:r w:rsidRPr="00C223AB">
              <w:rPr>
                <w:rFonts w:ascii="Arial" w:eastAsia="Times New Roman" w:hAnsi="Arial" w:cs="Arial"/>
                <w:color w:val="000000"/>
                <w:lang w:val="en-GB"/>
              </w:rPr>
              <w:t>159.8 ±29.5</w:t>
            </w:r>
          </w:p>
        </w:tc>
        <w:tc>
          <w:tcPr>
            <w:tcW w:w="1560" w:type="dxa"/>
            <w:tcBorders>
              <w:top w:val="nil"/>
              <w:left w:val="nil"/>
              <w:bottom w:val="single" w:sz="4" w:space="0" w:color="auto"/>
              <w:right w:val="single" w:sz="4" w:space="0" w:color="auto"/>
            </w:tcBorders>
            <w:shd w:val="clear" w:color="auto" w:fill="auto"/>
            <w:noWrap/>
            <w:vAlign w:val="bottom"/>
            <w:hideMark/>
          </w:tcPr>
          <w:p w14:paraId="4FFFE66D" w14:textId="77777777" w:rsidR="004B02B9" w:rsidRPr="00C223AB" w:rsidRDefault="004B02B9" w:rsidP="00C223AB">
            <w:pPr>
              <w:rPr>
                <w:rFonts w:ascii="Arial" w:eastAsia="Times New Roman" w:hAnsi="Arial" w:cs="Arial"/>
                <w:color w:val="000000"/>
                <w:lang w:val="en-GB"/>
              </w:rPr>
            </w:pPr>
            <w:r w:rsidRPr="00C223AB">
              <w:rPr>
                <w:rFonts w:ascii="Arial" w:eastAsia="Times New Roman" w:hAnsi="Arial" w:cs="Arial"/>
                <w:color w:val="000000"/>
                <w:lang w:val="en-GB"/>
              </w:rPr>
              <w:t>160.9 ±28.1</w:t>
            </w:r>
          </w:p>
        </w:tc>
        <w:tc>
          <w:tcPr>
            <w:tcW w:w="1581" w:type="dxa"/>
            <w:tcBorders>
              <w:top w:val="nil"/>
              <w:left w:val="nil"/>
              <w:bottom w:val="single" w:sz="4" w:space="0" w:color="auto"/>
              <w:right w:val="single" w:sz="4" w:space="0" w:color="auto"/>
            </w:tcBorders>
            <w:shd w:val="clear" w:color="auto" w:fill="auto"/>
            <w:noWrap/>
            <w:vAlign w:val="bottom"/>
            <w:hideMark/>
          </w:tcPr>
          <w:p w14:paraId="2737BD66" w14:textId="77777777" w:rsidR="004B02B9" w:rsidRPr="00C223AB" w:rsidRDefault="004B02B9" w:rsidP="00C223AB">
            <w:pPr>
              <w:rPr>
                <w:rFonts w:ascii="Arial" w:eastAsia="Times New Roman" w:hAnsi="Arial" w:cs="Arial"/>
                <w:color w:val="000000"/>
                <w:lang w:val="en-GB"/>
              </w:rPr>
            </w:pPr>
            <w:r w:rsidRPr="00C223AB">
              <w:rPr>
                <w:rFonts w:ascii="Arial" w:eastAsia="Times New Roman" w:hAnsi="Arial" w:cs="Arial"/>
                <w:color w:val="000000"/>
                <w:lang w:val="en-GB"/>
              </w:rPr>
              <w:t>159.4 ±29.1</w:t>
            </w:r>
          </w:p>
        </w:tc>
        <w:tc>
          <w:tcPr>
            <w:tcW w:w="919" w:type="dxa"/>
            <w:tcBorders>
              <w:top w:val="nil"/>
              <w:left w:val="nil"/>
              <w:bottom w:val="single" w:sz="4" w:space="0" w:color="auto"/>
              <w:right w:val="single" w:sz="4" w:space="0" w:color="auto"/>
            </w:tcBorders>
            <w:shd w:val="clear" w:color="auto" w:fill="auto"/>
            <w:noWrap/>
            <w:vAlign w:val="bottom"/>
            <w:hideMark/>
          </w:tcPr>
          <w:p w14:paraId="2069BC76" w14:textId="77777777" w:rsidR="004B02B9" w:rsidRPr="00C223AB" w:rsidRDefault="004B02B9" w:rsidP="00C223AB">
            <w:pPr>
              <w:rPr>
                <w:rFonts w:ascii="Arial" w:eastAsia="Times New Roman" w:hAnsi="Arial" w:cs="Arial"/>
                <w:color w:val="000000"/>
                <w:lang w:val="en-GB"/>
              </w:rPr>
            </w:pPr>
            <w:r w:rsidRPr="00C223AB">
              <w:rPr>
                <w:rFonts w:ascii="Arial" w:eastAsia="Times New Roman" w:hAnsi="Arial" w:cs="Arial"/>
                <w:color w:val="000000"/>
                <w:lang w:val="en-GB"/>
              </w:rPr>
              <w:t>0.90</w:t>
            </w:r>
          </w:p>
        </w:tc>
      </w:tr>
      <w:tr w:rsidR="004B02B9" w:rsidRPr="00C223AB" w14:paraId="4C38AB7F" w14:textId="77777777" w:rsidTr="00357FB4">
        <w:trPr>
          <w:gridAfter w:val="1"/>
          <w:wAfter w:w="1328" w:type="dxa"/>
          <w:trHeight w:val="300"/>
        </w:trPr>
        <w:tc>
          <w:tcPr>
            <w:tcW w:w="3559" w:type="dxa"/>
            <w:tcBorders>
              <w:top w:val="nil"/>
              <w:left w:val="nil"/>
              <w:bottom w:val="nil"/>
              <w:right w:val="nil"/>
            </w:tcBorders>
            <w:shd w:val="clear" w:color="auto" w:fill="auto"/>
            <w:noWrap/>
            <w:vAlign w:val="bottom"/>
            <w:hideMark/>
          </w:tcPr>
          <w:p w14:paraId="409F7F33" w14:textId="77777777" w:rsidR="004B02B9" w:rsidRPr="00C223AB" w:rsidRDefault="004B02B9" w:rsidP="00C223AB">
            <w:pPr>
              <w:rPr>
                <w:rFonts w:ascii="Arial" w:eastAsia="Times New Roman" w:hAnsi="Arial" w:cs="Arial"/>
                <w:color w:val="000000"/>
                <w:lang w:val="en-GB"/>
              </w:rPr>
            </w:pPr>
            <w:r w:rsidRPr="00C223AB">
              <w:rPr>
                <w:rFonts w:ascii="Arial" w:eastAsia="Times New Roman" w:hAnsi="Arial" w:cs="Arial"/>
                <w:color w:val="000000"/>
                <w:lang w:val="en-GB"/>
              </w:rPr>
              <w:t>Apolipoprotein B, mg/dL</w:t>
            </w:r>
          </w:p>
        </w:tc>
        <w:tc>
          <w:tcPr>
            <w:tcW w:w="146" w:type="dxa"/>
            <w:tcBorders>
              <w:top w:val="nil"/>
              <w:left w:val="nil"/>
              <w:bottom w:val="nil"/>
              <w:right w:val="nil"/>
            </w:tcBorders>
            <w:shd w:val="clear" w:color="auto" w:fill="auto"/>
            <w:noWrap/>
            <w:vAlign w:val="bottom"/>
            <w:hideMark/>
          </w:tcPr>
          <w:p w14:paraId="41DF954E" w14:textId="77777777" w:rsidR="004B02B9" w:rsidRPr="00C223AB" w:rsidRDefault="004B02B9" w:rsidP="00C223AB">
            <w:pPr>
              <w:ind w:left="720"/>
              <w:contextualSpacing/>
              <w:rPr>
                <w:rFonts w:ascii="Arial" w:eastAsia="Times New Roman" w:hAnsi="Arial" w:cs="Arial"/>
                <w:color w:val="000000"/>
                <w:lang w:val="en-GB"/>
              </w:rPr>
            </w:pPr>
          </w:p>
        </w:tc>
        <w:tc>
          <w:tcPr>
            <w:tcW w:w="1540" w:type="dxa"/>
            <w:tcBorders>
              <w:top w:val="nil"/>
              <w:left w:val="single" w:sz="4" w:space="0" w:color="auto"/>
              <w:bottom w:val="single" w:sz="4" w:space="0" w:color="auto"/>
              <w:right w:val="single" w:sz="4" w:space="0" w:color="auto"/>
            </w:tcBorders>
            <w:shd w:val="clear" w:color="auto" w:fill="auto"/>
            <w:noWrap/>
            <w:vAlign w:val="bottom"/>
            <w:hideMark/>
          </w:tcPr>
          <w:p w14:paraId="396F99A4" w14:textId="77777777" w:rsidR="004B02B9" w:rsidRPr="00C223AB" w:rsidRDefault="004B02B9" w:rsidP="00C223AB">
            <w:pPr>
              <w:rPr>
                <w:rFonts w:ascii="Arial" w:eastAsia="Times New Roman" w:hAnsi="Arial" w:cs="Arial"/>
                <w:color w:val="000000"/>
                <w:lang w:val="en-GB"/>
              </w:rPr>
            </w:pPr>
            <w:r w:rsidRPr="00C223AB">
              <w:rPr>
                <w:rFonts w:ascii="Arial" w:eastAsia="Times New Roman" w:hAnsi="Arial" w:cs="Arial"/>
                <w:color w:val="000000"/>
                <w:lang w:val="en-GB"/>
              </w:rPr>
              <w:t>119.7 ±29.1</w:t>
            </w:r>
          </w:p>
        </w:tc>
        <w:tc>
          <w:tcPr>
            <w:tcW w:w="1646" w:type="dxa"/>
            <w:tcBorders>
              <w:top w:val="nil"/>
              <w:left w:val="nil"/>
              <w:bottom w:val="single" w:sz="4" w:space="0" w:color="auto"/>
              <w:right w:val="single" w:sz="4" w:space="0" w:color="auto"/>
            </w:tcBorders>
            <w:shd w:val="clear" w:color="auto" w:fill="auto"/>
            <w:noWrap/>
            <w:vAlign w:val="bottom"/>
            <w:hideMark/>
          </w:tcPr>
          <w:p w14:paraId="09660D49" w14:textId="77777777" w:rsidR="004B02B9" w:rsidRPr="00C223AB" w:rsidRDefault="004B02B9" w:rsidP="00C223AB">
            <w:pPr>
              <w:rPr>
                <w:rFonts w:ascii="Arial" w:eastAsia="Times New Roman" w:hAnsi="Arial" w:cs="Arial"/>
                <w:color w:val="000000"/>
                <w:lang w:val="en-GB"/>
              </w:rPr>
            </w:pPr>
            <w:r w:rsidRPr="00C223AB">
              <w:rPr>
                <w:rFonts w:ascii="Arial" w:eastAsia="Times New Roman" w:hAnsi="Arial" w:cs="Arial"/>
                <w:color w:val="000000"/>
                <w:lang w:val="en-GB"/>
              </w:rPr>
              <w:t>129.7 ±30</w:t>
            </w:r>
          </w:p>
        </w:tc>
        <w:tc>
          <w:tcPr>
            <w:tcW w:w="1820" w:type="dxa"/>
            <w:tcBorders>
              <w:top w:val="nil"/>
              <w:left w:val="nil"/>
              <w:bottom w:val="single" w:sz="4" w:space="0" w:color="auto"/>
              <w:right w:val="single" w:sz="4" w:space="0" w:color="auto"/>
            </w:tcBorders>
            <w:shd w:val="clear" w:color="auto" w:fill="auto"/>
            <w:noWrap/>
            <w:vAlign w:val="bottom"/>
            <w:hideMark/>
          </w:tcPr>
          <w:p w14:paraId="2B1861CB" w14:textId="77777777" w:rsidR="004B02B9" w:rsidRPr="00C223AB" w:rsidRDefault="004B02B9" w:rsidP="00C223AB">
            <w:pPr>
              <w:rPr>
                <w:rFonts w:ascii="Arial" w:eastAsia="Times New Roman" w:hAnsi="Arial" w:cs="Arial"/>
                <w:color w:val="000000"/>
                <w:lang w:val="en-GB"/>
              </w:rPr>
            </w:pPr>
            <w:r w:rsidRPr="00C223AB">
              <w:rPr>
                <w:rFonts w:ascii="Arial" w:eastAsia="Times New Roman" w:hAnsi="Arial" w:cs="Arial"/>
                <w:color w:val="000000"/>
                <w:lang w:val="en-GB"/>
              </w:rPr>
              <w:t>129.2 ±29</w:t>
            </w:r>
          </w:p>
        </w:tc>
        <w:tc>
          <w:tcPr>
            <w:tcW w:w="1560" w:type="dxa"/>
            <w:tcBorders>
              <w:top w:val="nil"/>
              <w:left w:val="nil"/>
              <w:bottom w:val="single" w:sz="4" w:space="0" w:color="auto"/>
              <w:right w:val="single" w:sz="4" w:space="0" w:color="auto"/>
            </w:tcBorders>
            <w:shd w:val="clear" w:color="auto" w:fill="auto"/>
            <w:noWrap/>
            <w:vAlign w:val="bottom"/>
            <w:hideMark/>
          </w:tcPr>
          <w:p w14:paraId="616C6C08" w14:textId="77777777" w:rsidR="004B02B9" w:rsidRPr="00C223AB" w:rsidRDefault="004B02B9" w:rsidP="00C223AB">
            <w:pPr>
              <w:rPr>
                <w:rFonts w:ascii="Arial" w:eastAsia="Times New Roman" w:hAnsi="Arial" w:cs="Arial"/>
                <w:color w:val="000000"/>
                <w:lang w:val="en-GB"/>
              </w:rPr>
            </w:pPr>
            <w:r w:rsidRPr="00C223AB">
              <w:rPr>
                <w:rFonts w:ascii="Arial" w:eastAsia="Times New Roman" w:hAnsi="Arial" w:cs="Arial"/>
                <w:color w:val="000000"/>
                <w:lang w:val="en-GB"/>
              </w:rPr>
              <w:t>136.1 ±31.4</w:t>
            </w:r>
          </w:p>
        </w:tc>
        <w:tc>
          <w:tcPr>
            <w:tcW w:w="1581" w:type="dxa"/>
            <w:tcBorders>
              <w:top w:val="nil"/>
              <w:left w:val="nil"/>
              <w:bottom w:val="single" w:sz="4" w:space="0" w:color="auto"/>
              <w:right w:val="single" w:sz="4" w:space="0" w:color="auto"/>
            </w:tcBorders>
            <w:shd w:val="clear" w:color="auto" w:fill="auto"/>
            <w:noWrap/>
            <w:vAlign w:val="bottom"/>
            <w:hideMark/>
          </w:tcPr>
          <w:p w14:paraId="17794D18" w14:textId="77777777" w:rsidR="004B02B9" w:rsidRPr="00C223AB" w:rsidRDefault="004B02B9" w:rsidP="00C223AB">
            <w:pPr>
              <w:rPr>
                <w:rFonts w:ascii="Arial" w:eastAsia="Times New Roman" w:hAnsi="Arial" w:cs="Arial"/>
                <w:color w:val="000000"/>
                <w:lang w:val="en-GB"/>
              </w:rPr>
            </w:pPr>
            <w:r w:rsidRPr="00C223AB">
              <w:rPr>
                <w:rFonts w:ascii="Arial" w:eastAsia="Times New Roman" w:hAnsi="Arial" w:cs="Arial"/>
                <w:color w:val="000000"/>
                <w:lang w:val="en-GB"/>
              </w:rPr>
              <w:t>145.2 ±34.6</w:t>
            </w:r>
          </w:p>
        </w:tc>
        <w:tc>
          <w:tcPr>
            <w:tcW w:w="919" w:type="dxa"/>
            <w:tcBorders>
              <w:top w:val="nil"/>
              <w:left w:val="nil"/>
              <w:bottom w:val="single" w:sz="4" w:space="0" w:color="auto"/>
              <w:right w:val="single" w:sz="4" w:space="0" w:color="auto"/>
            </w:tcBorders>
            <w:shd w:val="clear" w:color="auto" w:fill="auto"/>
            <w:noWrap/>
            <w:vAlign w:val="bottom"/>
            <w:hideMark/>
          </w:tcPr>
          <w:p w14:paraId="238F518F" w14:textId="77777777" w:rsidR="004B02B9" w:rsidRPr="00C223AB" w:rsidRDefault="004B02B9" w:rsidP="00C223AB">
            <w:pPr>
              <w:rPr>
                <w:rFonts w:ascii="Arial" w:eastAsia="Times New Roman" w:hAnsi="Arial" w:cs="Arial"/>
                <w:color w:val="000000"/>
                <w:lang w:val="en-GB"/>
              </w:rPr>
            </w:pPr>
            <w:r w:rsidRPr="00C223AB">
              <w:rPr>
                <w:rFonts w:ascii="Arial" w:eastAsia="Times New Roman" w:hAnsi="Arial" w:cs="Arial"/>
                <w:color w:val="000000"/>
                <w:lang w:val="en-GB"/>
              </w:rPr>
              <w:t>&lt;0.001</w:t>
            </w:r>
          </w:p>
        </w:tc>
      </w:tr>
      <w:tr w:rsidR="004B02B9" w:rsidRPr="00C223AB" w14:paraId="7D648E7A" w14:textId="77777777" w:rsidTr="00357FB4">
        <w:trPr>
          <w:gridAfter w:val="1"/>
          <w:wAfter w:w="1328" w:type="dxa"/>
          <w:trHeight w:val="300"/>
        </w:trPr>
        <w:tc>
          <w:tcPr>
            <w:tcW w:w="3559" w:type="dxa"/>
            <w:tcBorders>
              <w:top w:val="nil"/>
              <w:left w:val="nil"/>
              <w:bottom w:val="nil"/>
              <w:right w:val="nil"/>
            </w:tcBorders>
            <w:shd w:val="clear" w:color="auto" w:fill="auto"/>
            <w:noWrap/>
            <w:vAlign w:val="bottom"/>
            <w:hideMark/>
          </w:tcPr>
          <w:p w14:paraId="35180B18" w14:textId="77777777" w:rsidR="004B02B9" w:rsidRPr="00C223AB" w:rsidRDefault="004B02B9" w:rsidP="00C223AB">
            <w:pPr>
              <w:rPr>
                <w:rFonts w:ascii="Arial" w:eastAsia="Times New Roman" w:hAnsi="Arial" w:cs="Arial"/>
                <w:color w:val="000000"/>
                <w:lang w:val="en-GB"/>
              </w:rPr>
            </w:pPr>
            <w:r w:rsidRPr="00C223AB">
              <w:rPr>
                <w:rFonts w:ascii="Arial" w:eastAsia="Times New Roman" w:hAnsi="Arial" w:cs="Arial"/>
                <w:color w:val="000000"/>
                <w:lang w:val="en-GB"/>
              </w:rPr>
              <w:t>Lipoprotein(a), mg/dL</w:t>
            </w:r>
          </w:p>
        </w:tc>
        <w:tc>
          <w:tcPr>
            <w:tcW w:w="146" w:type="dxa"/>
            <w:tcBorders>
              <w:top w:val="nil"/>
              <w:left w:val="nil"/>
              <w:bottom w:val="nil"/>
              <w:right w:val="nil"/>
            </w:tcBorders>
            <w:shd w:val="clear" w:color="auto" w:fill="auto"/>
            <w:noWrap/>
            <w:vAlign w:val="bottom"/>
            <w:hideMark/>
          </w:tcPr>
          <w:p w14:paraId="766E5708" w14:textId="77777777" w:rsidR="004B02B9" w:rsidRPr="00C223AB" w:rsidRDefault="004B02B9" w:rsidP="00C223AB">
            <w:pPr>
              <w:tabs>
                <w:tab w:val="center" w:pos="4513"/>
                <w:tab w:val="right" w:pos="9026"/>
              </w:tabs>
              <w:ind w:left="720"/>
              <w:contextualSpacing/>
              <w:rPr>
                <w:rFonts w:ascii="Arial" w:eastAsia="Times New Roman" w:hAnsi="Arial" w:cs="Arial"/>
                <w:color w:val="000000"/>
                <w:highlight w:val="yellow"/>
                <w:lang w:val="en-GB"/>
              </w:rPr>
            </w:pPr>
          </w:p>
        </w:tc>
        <w:tc>
          <w:tcPr>
            <w:tcW w:w="1540" w:type="dxa"/>
            <w:tcBorders>
              <w:top w:val="nil"/>
              <w:left w:val="single" w:sz="4" w:space="0" w:color="auto"/>
              <w:bottom w:val="single" w:sz="4" w:space="0" w:color="auto"/>
              <w:right w:val="single" w:sz="4" w:space="0" w:color="auto"/>
            </w:tcBorders>
            <w:shd w:val="clear" w:color="auto" w:fill="auto"/>
            <w:noWrap/>
            <w:vAlign w:val="bottom"/>
            <w:hideMark/>
          </w:tcPr>
          <w:p w14:paraId="020DBA68" w14:textId="2A4AD57A" w:rsidR="004B02B9" w:rsidRPr="00C223AB" w:rsidRDefault="004B02B9" w:rsidP="00C223AB">
            <w:pPr>
              <w:rPr>
                <w:rFonts w:ascii="Arial" w:eastAsia="Times New Roman" w:hAnsi="Arial" w:cs="Arial"/>
                <w:color w:val="000000"/>
                <w:highlight w:val="yellow"/>
                <w:lang w:val="en-GB"/>
              </w:rPr>
            </w:pPr>
            <w:r w:rsidRPr="00C223AB">
              <w:rPr>
                <w:rFonts w:ascii="Arial" w:eastAsia="Times New Roman" w:hAnsi="Arial" w:cs="Arial"/>
                <w:color w:val="000000"/>
                <w:lang w:val="en-GB"/>
              </w:rPr>
              <w:t>8.2 (6.5-14.4)</w:t>
            </w:r>
          </w:p>
        </w:tc>
        <w:tc>
          <w:tcPr>
            <w:tcW w:w="1646" w:type="dxa"/>
            <w:tcBorders>
              <w:top w:val="nil"/>
              <w:left w:val="nil"/>
              <w:bottom w:val="single" w:sz="4" w:space="0" w:color="auto"/>
              <w:right w:val="single" w:sz="4" w:space="0" w:color="auto"/>
            </w:tcBorders>
            <w:shd w:val="clear" w:color="auto" w:fill="auto"/>
            <w:noWrap/>
            <w:vAlign w:val="bottom"/>
            <w:hideMark/>
          </w:tcPr>
          <w:p w14:paraId="63B4DBDB" w14:textId="77777777" w:rsidR="004B02B9" w:rsidRPr="00C223AB" w:rsidRDefault="004B02B9" w:rsidP="00C223AB">
            <w:pPr>
              <w:rPr>
                <w:rFonts w:ascii="Arial" w:eastAsia="Times New Roman" w:hAnsi="Arial" w:cs="Arial"/>
                <w:color w:val="000000"/>
                <w:lang w:val="en-GB"/>
              </w:rPr>
            </w:pPr>
            <w:r w:rsidRPr="00C223AB">
              <w:rPr>
                <w:rFonts w:ascii="Arial" w:eastAsia="Times New Roman" w:hAnsi="Arial" w:cs="Arial"/>
                <w:color w:val="000000"/>
                <w:lang w:val="en-GB"/>
              </w:rPr>
              <w:t>8.9 (6.7-16.4)</w:t>
            </w:r>
          </w:p>
        </w:tc>
        <w:tc>
          <w:tcPr>
            <w:tcW w:w="1820" w:type="dxa"/>
            <w:tcBorders>
              <w:top w:val="nil"/>
              <w:left w:val="nil"/>
              <w:bottom w:val="single" w:sz="4" w:space="0" w:color="auto"/>
              <w:right w:val="single" w:sz="4" w:space="0" w:color="auto"/>
            </w:tcBorders>
            <w:shd w:val="clear" w:color="auto" w:fill="auto"/>
            <w:noWrap/>
            <w:vAlign w:val="bottom"/>
            <w:hideMark/>
          </w:tcPr>
          <w:p w14:paraId="2C63439E" w14:textId="77777777" w:rsidR="004B02B9" w:rsidRPr="00C223AB" w:rsidRDefault="004B02B9" w:rsidP="00C223AB">
            <w:pPr>
              <w:rPr>
                <w:rFonts w:ascii="Arial" w:eastAsia="Times New Roman" w:hAnsi="Arial" w:cs="Arial"/>
                <w:color w:val="000000"/>
                <w:lang w:val="en-GB"/>
              </w:rPr>
            </w:pPr>
            <w:r w:rsidRPr="00C223AB">
              <w:rPr>
                <w:rFonts w:ascii="Arial" w:eastAsia="Times New Roman" w:hAnsi="Arial" w:cs="Arial"/>
                <w:color w:val="000000"/>
                <w:lang w:val="en-GB"/>
              </w:rPr>
              <w:t>8.8 (6.7-18.7)</w:t>
            </w:r>
          </w:p>
        </w:tc>
        <w:tc>
          <w:tcPr>
            <w:tcW w:w="1560" w:type="dxa"/>
            <w:tcBorders>
              <w:top w:val="nil"/>
              <w:left w:val="nil"/>
              <w:bottom w:val="single" w:sz="4" w:space="0" w:color="auto"/>
              <w:right w:val="single" w:sz="4" w:space="0" w:color="auto"/>
            </w:tcBorders>
            <w:shd w:val="clear" w:color="auto" w:fill="auto"/>
            <w:noWrap/>
            <w:vAlign w:val="bottom"/>
            <w:hideMark/>
          </w:tcPr>
          <w:p w14:paraId="7725D3D2" w14:textId="77777777" w:rsidR="004B02B9" w:rsidRPr="00C223AB" w:rsidRDefault="004B02B9" w:rsidP="00C223AB">
            <w:pPr>
              <w:rPr>
                <w:rFonts w:ascii="Arial" w:eastAsia="Times New Roman" w:hAnsi="Arial" w:cs="Arial"/>
                <w:color w:val="000000"/>
                <w:lang w:val="en-GB"/>
              </w:rPr>
            </w:pPr>
            <w:r w:rsidRPr="00C223AB">
              <w:rPr>
                <w:rFonts w:ascii="Arial" w:eastAsia="Times New Roman" w:hAnsi="Arial" w:cs="Arial"/>
                <w:color w:val="000000"/>
                <w:lang w:val="en-GB"/>
              </w:rPr>
              <w:t>8.6 (6.5-14.3)</w:t>
            </w:r>
          </w:p>
        </w:tc>
        <w:tc>
          <w:tcPr>
            <w:tcW w:w="1581" w:type="dxa"/>
            <w:tcBorders>
              <w:top w:val="nil"/>
              <w:left w:val="nil"/>
              <w:bottom w:val="single" w:sz="4" w:space="0" w:color="auto"/>
              <w:right w:val="single" w:sz="4" w:space="0" w:color="auto"/>
            </w:tcBorders>
            <w:shd w:val="clear" w:color="auto" w:fill="auto"/>
            <w:noWrap/>
            <w:vAlign w:val="bottom"/>
            <w:hideMark/>
          </w:tcPr>
          <w:p w14:paraId="013C0DD0" w14:textId="77777777" w:rsidR="004B02B9" w:rsidRPr="00C223AB" w:rsidRDefault="004B02B9" w:rsidP="00C223AB">
            <w:pPr>
              <w:rPr>
                <w:rFonts w:ascii="Arial" w:eastAsia="Times New Roman" w:hAnsi="Arial" w:cs="Arial"/>
                <w:color w:val="000000"/>
                <w:lang w:val="en-GB"/>
              </w:rPr>
            </w:pPr>
            <w:r w:rsidRPr="00C223AB">
              <w:rPr>
                <w:rFonts w:ascii="Arial" w:eastAsia="Times New Roman" w:hAnsi="Arial" w:cs="Arial"/>
                <w:color w:val="000000"/>
                <w:lang w:val="en-GB"/>
              </w:rPr>
              <w:t>8.7 (6.4-18.9)</w:t>
            </w:r>
          </w:p>
        </w:tc>
        <w:tc>
          <w:tcPr>
            <w:tcW w:w="919" w:type="dxa"/>
            <w:tcBorders>
              <w:top w:val="nil"/>
              <w:left w:val="nil"/>
              <w:bottom w:val="single" w:sz="4" w:space="0" w:color="auto"/>
              <w:right w:val="single" w:sz="4" w:space="0" w:color="auto"/>
            </w:tcBorders>
            <w:shd w:val="clear" w:color="auto" w:fill="auto"/>
            <w:noWrap/>
            <w:vAlign w:val="bottom"/>
            <w:hideMark/>
          </w:tcPr>
          <w:p w14:paraId="77EA950A" w14:textId="338BE636" w:rsidR="004B02B9" w:rsidRPr="00C223AB" w:rsidRDefault="004B02B9" w:rsidP="00C223AB">
            <w:pPr>
              <w:rPr>
                <w:rFonts w:ascii="Arial" w:eastAsia="Times New Roman" w:hAnsi="Arial" w:cs="Arial"/>
                <w:color w:val="000000"/>
                <w:lang w:val="en-GB"/>
              </w:rPr>
            </w:pPr>
            <w:r w:rsidRPr="00C223AB">
              <w:rPr>
                <w:rFonts w:ascii="Arial" w:eastAsia="Times New Roman" w:hAnsi="Arial" w:cs="Arial"/>
                <w:color w:val="000000"/>
                <w:lang w:val="en-GB"/>
              </w:rPr>
              <w:t> 0.31</w:t>
            </w:r>
          </w:p>
        </w:tc>
      </w:tr>
      <w:tr w:rsidR="004B02B9" w:rsidRPr="00C223AB" w14:paraId="6F161D1D" w14:textId="77777777" w:rsidTr="00357FB4">
        <w:trPr>
          <w:trHeight w:val="300"/>
        </w:trPr>
        <w:tc>
          <w:tcPr>
            <w:tcW w:w="3559" w:type="dxa"/>
            <w:tcBorders>
              <w:top w:val="nil"/>
              <w:left w:val="nil"/>
              <w:bottom w:val="nil"/>
              <w:right w:val="nil"/>
            </w:tcBorders>
            <w:shd w:val="clear" w:color="auto" w:fill="auto"/>
            <w:noWrap/>
            <w:vAlign w:val="bottom"/>
            <w:hideMark/>
          </w:tcPr>
          <w:p w14:paraId="15BACEA4" w14:textId="77777777" w:rsidR="004B02B9" w:rsidRPr="00C223AB" w:rsidRDefault="004B02B9" w:rsidP="00C223AB">
            <w:pPr>
              <w:ind w:left="720"/>
              <w:contextualSpacing/>
              <w:rPr>
                <w:rFonts w:ascii="Arial" w:eastAsia="Times New Roman" w:hAnsi="Arial" w:cs="Arial"/>
                <w:color w:val="000000"/>
                <w:lang w:val="en-GB"/>
              </w:rPr>
            </w:pPr>
          </w:p>
        </w:tc>
        <w:tc>
          <w:tcPr>
            <w:tcW w:w="146" w:type="dxa"/>
            <w:tcBorders>
              <w:top w:val="nil"/>
              <w:left w:val="nil"/>
              <w:bottom w:val="nil"/>
              <w:right w:val="nil"/>
            </w:tcBorders>
            <w:shd w:val="clear" w:color="auto" w:fill="auto"/>
            <w:noWrap/>
            <w:vAlign w:val="bottom"/>
            <w:hideMark/>
          </w:tcPr>
          <w:p w14:paraId="3A9627D8" w14:textId="77777777" w:rsidR="004B02B9" w:rsidRPr="00C223AB" w:rsidRDefault="004B02B9" w:rsidP="00C223AB">
            <w:pPr>
              <w:ind w:left="720"/>
              <w:contextualSpacing/>
              <w:rPr>
                <w:rFonts w:ascii="Arial" w:eastAsia="Times New Roman" w:hAnsi="Arial" w:cs="Arial"/>
                <w:color w:val="000000"/>
                <w:lang w:val="en-GB"/>
              </w:rPr>
            </w:pPr>
          </w:p>
        </w:tc>
        <w:tc>
          <w:tcPr>
            <w:tcW w:w="1540" w:type="dxa"/>
            <w:tcBorders>
              <w:top w:val="nil"/>
              <w:left w:val="nil"/>
              <w:bottom w:val="nil"/>
              <w:right w:val="nil"/>
            </w:tcBorders>
            <w:shd w:val="clear" w:color="auto" w:fill="auto"/>
            <w:noWrap/>
            <w:vAlign w:val="bottom"/>
            <w:hideMark/>
          </w:tcPr>
          <w:p w14:paraId="2D836123" w14:textId="77777777" w:rsidR="004B02B9" w:rsidRPr="00C223AB" w:rsidRDefault="004B02B9" w:rsidP="00C223AB">
            <w:pPr>
              <w:ind w:left="720"/>
              <w:contextualSpacing/>
              <w:rPr>
                <w:rFonts w:ascii="Arial" w:eastAsia="Times New Roman" w:hAnsi="Arial" w:cs="Arial"/>
                <w:color w:val="000000"/>
                <w:lang w:val="en-GB"/>
              </w:rPr>
            </w:pPr>
          </w:p>
        </w:tc>
        <w:tc>
          <w:tcPr>
            <w:tcW w:w="1646" w:type="dxa"/>
            <w:tcBorders>
              <w:top w:val="nil"/>
              <w:left w:val="nil"/>
              <w:bottom w:val="nil"/>
              <w:right w:val="nil"/>
            </w:tcBorders>
            <w:shd w:val="clear" w:color="auto" w:fill="auto"/>
            <w:noWrap/>
            <w:vAlign w:val="bottom"/>
            <w:hideMark/>
          </w:tcPr>
          <w:p w14:paraId="24324320" w14:textId="77777777" w:rsidR="004B02B9" w:rsidRPr="00C223AB" w:rsidRDefault="004B02B9" w:rsidP="00C223AB">
            <w:pPr>
              <w:ind w:left="720"/>
              <w:contextualSpacing/>
              <w:rPr>
                <w:rFonts w:ascii="Arial" w:eastAsia="Times New Roman" w:hAnsi="Arial" w:cs="Arial"/>
                <w:color w:val="000000"/>
                <w:lang w:val="en-GB"/>
              </w:rPr>
            </w:pPr>
          </w:p>
        </w:tc>
        <w:tc>
          <w:tcPr>
            <w:tcW w:w="1820" w:type="dxa"/>
            <w:tcBorders>
              <w:top w:val="nil"/>
              <w:left w:val="nil"/>
              <w:bottom w:val="nil"/>
              <w:right w:val="nil"/>
            </w:tcBorders>
            <w:shd w:val="clear" w:color="auto" w:fill="auto"/>
            <w:noWrap/>
            <w:vAlign w:val="bottom"/>
            <w:hideMark/>
          </w:tcPr>
          <w:p w14:paraId="3745DA13" w14:textId="77777777" w:rsidR="004B02B9" w:rsidRPr="00C223AB" w:rsidRDefault="004B02B9" w:rsidP="00C223AB">
            <w:pPr>
              <w:ind w:left="720"/>
              <w:contextualSpacing/>
              <w:rPr>
                <w:rFonts w:ascii="Arial" w:eastAsia="Times New Roman" w:hAnsi="Arial" w:cs="Arial"/>
                <w:color w:val="000000"/>
                <w:lang w:val="en-GB"/>
              </w:rPr>
            </w:pPr>
          </w:p>
        </w:tc>
        <w:tc>
          <w:tcPr>
            <w:tcW w:w="1560" w:type="dxa"/>
            <w:tcBorders>
              <w:top w:val="nil"/>
              <w:left w:val="nil"/>
              <w:bottom w:val="nil"/>
              <w:right w:val="nil"/>
            </w:tcBorders>
            <w:shd w:val="clear" w:color="auto" w:fill="auto"/>
            <w:noWrap/>
            <w:vAlign w:val="bottom"/>
            <w:hideMark/>
          </w:tcPr>
          <w:p w14:paraId="0DCBCE44" w14:textId="77777777" w:rsidR="004B02B9" w:rsidRPr="00C223AB" w:rsidRDefault="004B02B9" w:rsidP="00C223AB">
            <w:pPr>
              <w:ind w:left="720"/>
              <w:contextualSpacing/>
              <w:rPr>
                <w:rFonts w:ascii="Arial" w:eastAsia="Times New Roman" w:hAnsi="Arial" w:cs="Arial"/>
                <w:color w:val="000000"/>
                <w:lang w:val="en-GB"/>
              </w:rPr>
            </w:pPr>
          </w:p>
        </w:tc>
        <w:tc>
          <w:tcPr>
            <w:tcW w:w="1581" w:type="dxa"/>
            <w:tcBorders>
              <w:top w:val="nil"/>
              <w:left w:val="nil"/>
              <w:bottom w:val="nil"/>
              <w:right w:val="nil"/>
            </w:tcBorders>
            <w:shd w:val="clear" w:color="auto" w:fill="auto"/>
            <w:noWrap/>
            <w:vAlign w:val="bottom"/>
            <w:hideMark/>
          </w:tcPr>
          <w:p w14:paraId="5EB4C57E" w14:textId="77777777" w:rsidR="004B02B9" w:rsidRPr="00C223AB" w:rsidRDefault="004B02B9" w:rsidP="00C223AB">
            <w:pPr>
              <w:ind w:left="720"/>
              <w:contextualSpacing/>
              <w:rPr>
                <w:rFonts w:ascii="Arial" w:eastAsia="Times New Roman" w:hAnsi="Arial" w:cs="Arial"/>
                <w:color w:val="000000"/>
                <w:lang w:val="en-GB"/>
              </w:rPr>
            </w:pPr>
          </w:p>
        </w:tc>
        <w:tc>
          <w:tcPr>
            <w:tcW w:w="919" w:type="dxa"/>
            <w:tcBorders>
              <w:top w:val="nil"/>
              <w:left w:val="nil"/>
              <w:bottom w:val="nil"/>
              <w:right w:val="nil"/>
            </w:tcBorders>
            <w:shd w:val="clear" w:color="auto" w:fill="auto"/>
            <w:noWrap/>
            <w:vAlign w:val="bottom"/>
            <w:hideMark/>
          </w:tcPr>
          <w:p w14:paraId="580954DA" w14:textId="77777777" w:rsidR="004B02B9" w:rsidRPr="00C223AB" w:rsidRDefault="004B02B9" w:rsidP="00C223AB">
            <w:pPr>
              <w:ind w:left="720"/>
              <w:contextualSpacing/>
              <w:rPr>
                <w:rFonts w:ascii="Arial" w:eastAsia="Times New Roman" w:hAnsi="Arial" w:cs="Arial"/>
                <w:color w:val="000000"/>
                <w:lang w:val="en-GB"/>
              </w:rPr>
            </w:pPr>
          </w:p>
        </w:tc>
        <w:tc>
          <w:tcPr>
            <w:tcW w:w="1328" w:type="dxa"/>
            <w:tcBorders>
              <w:top w:val="nil"/>
              <w:left w:val="nil"/>
              <w:bottom w:val="nil"/>
              <w:right w:val="nil"/>
            </w:tcBorders>
            <w:shd w:val="clear" w:color="auto" w:fill="auto"/>
            <w:noWrap/>
            <w:vAlign w:val="bottom"/>
            <w:hideMark/>
          </w:tcPr>
          <w:p w14:paraId="7909267A" w14:textId="77777777" w:rsidR="004B02B9" w:rsidRPr="00C223AB" w:rsidRDefault="004B02B9" w:rsidP="00C223AB">
            <w:pPr>
              <w:ind w:left="720"/>
              <w:contextualSpacing/>
              <w:rPr>
                <w:rFonts w:ascii="Arial" w:eastAsia="Times New Roman" w:hAnsi="Arial" w:cs="Arial"/>
                <w:color w:val="000000"/>
                <w:lang w:val="en-GB"/>
              </w:rPr>
            </w:pPr>
          </w:p>
        </w:tc>
      </w:tr>
    </w:tbl>
    <w:p w14:paraId="3E67D90C" w14:textId="77777777" w:rsidR="00FA3B78" w:rsidRPr="00C223AB" w:rsidRDefault="00FA3B78" w:rsidP="00C223AB">
      <w:pPr>
        <w:rPr>
          <w:rFonts w:ascii="Arial" w:hAnsi="Arial" w:cs="Arial"/>
        </w:rPr>
      </w:pPr>
    </w:p>
    <w:p w14:paraId="30FE7069" w14:textId="74ADA599" w:rsidR="006B738C" w:rsidRPr="00C223AB" w:rsidRDefault="006B738C" w:rsidP="00C223AB">
      <w:pPr>
        <w:rPr>
          <w:rFonts w:ascii="Arial" w:hAnsi="Arial" w:cs="Arial"/>
        </w:rPr>
      </w:pPr>
      <w:r w:rsidRPr="00C223AB">
        <w:rPr>
          <w:rFonts w:ascii="Arial" w:hAnsi="Arial" w:cs="Arial"/>
        </w:rPr>
        <w:t>Continuous variables with a normal distribution are reported as mean ± standard deviation. Continuous variables with a non-normal distribution are reported as median (interquartile range). Dichotomous variables are reported as perce</w:t>
      </w:r>
      <w:r w:rsidR="00615BC9" w:rsidRPr="00C223AB">
        <w:rPr>
          <w:rFonts w:ascii="Arial" w:hAnsi="Arial" w:cs="Arial"/>
        </w:rPr>
        <w:t>ntage of total cohort (number).</w:t>
      </w:r>
      <w:r w:rsidRPr="00C223AB">
        <w:rPr>
          <w:rFonts w:ascii="Arial" w:hAnsi="Arial" w:cs="Arial"/>
        </w:rPr>
        <w:t xml:space="preserve"> </w:t>
      </w:r>
      <w:r w:rsidR="00AF3798" w:rsidRPr="00C223AB">
        <w:rPr>
          <w:rFonts w:ascii="Arial" w:hAnsi="Arial" w:cs="Arial"/>
        </w:rPr>
        <w:t>ApoC-III range for each quintile was Q1 &lt;3.27, Q2: 3.27-4.45, Q3: 4.45-5.79, Q4: 5.79-7.87, Q5 &gt;7.87 mg/dL.</w:t>
      </w:r>
    </w:p>
    <w:p w14:paraId="70DACAD4" w14:textId="77777777" w:rsidR="001D3989" w:rsidRPr="00C223AB" w:rsidRDefault="001D3989" w:rsidP="00C223AB">
      <w:pPr>
        <w:rPr>
          <w:rFonts w:ascii="Arial" w:hAnsi="Arial" w:cs="Arial"/>
        </w:rPr>
      </w:pPr>
    </w:p>
    <w:p w14:paraId="39E98848" w14:textId="77777777" w:rsidR="00E42E57" w:rsidRPr="00C223AB" w:rsidRDefault="00E42E57" w:rsidP="00C223AB">
      <w:pPr>
        <w:rPr>
          <w:rFonts w:ascii="Arial" w:hAnsi="Arial" w:cs="Arial"/>
        </w:rPr>
      </w:pPr>
    </w:p>
    <w:tbl>
      <w:tblPr>
        <w:tblW w:w="14089" w:type="dxa"/>
        <w:tblInd w:w="133" w:type="dxa"/>
        <w:tblLook w:val="04A0" w:firstRow="1" w:lastRow="0" w:firstColumn="1" w:lastColumn="0" w:noHBand="0" w:noVBand="1"/>
      </w:tblPr>
      <w:tblGrid>
        <w:gridCol w:w="10983"/>
        <w:gridCol w:w="872"/>
        <w:gridCol w:w="229"/>
        <w:gridCol w:w="1069"/>
        <w:gridCol w:w="936"/>
      </w:tblGrid>
      <w:tr w:rsidR="00B611B3" w:rsidRPr="00C223AB" w14:paraId="4AB516A1" w14:textId="77777777" w:rsidTr="004B02B9">
        <w:trPr>
          <w:trHeight w:val="255"/>
        </w:trPr>
        <w:tc>
          <w:tcPr>
            <w:tcW w:w="10983" w:type="dxa"/>
            <w:tcBorders>
              <w:top w:val="nil"/>
              <w:left w:val="nil"/>
              <w:bottom w:val="nil"/>
              <w:right w:val="nil"/>
            </w:tcBorders>
            <w:shd w:val="clear" w:color="auto" w:fill="auto"/>
            <w:noWrap/>
            <w:vAlign w:val="bottom"/>
            <w:hideMark/>
          </w:tcPr>
          <w:p w14:paraId="1191D4B2" w14:textId="497B74D7" w:rsidR="00BF3F65" w:rsidRDefault="00BF3F65" w:rsidP="00C223AB">
            <w:pPr>
              <w:rPr>
                <w:rFonts w:ascii="Arial" w:eastAsia="Times New Roman" w:hAnsi="Arial" w:cs="Arial"/>
                <w:color w:val="000000"/>
                <w:lang w:val="en-GB" w:eastAsia="en-GB"/>
              </w:rPr>
            </w:pPr>
            <w:r w:rsidRPr="00C223AB">
              <w:rPr>
                <w:rFonts w:ascii="Arial" w:eastAsia="Times New Roman" w:hAnsi="Arial" w:cs="Arial"/>
                <w:b/>
                <w:color w:val="000000"/>
                <w:lang w:val="en-GB" w:eastAsia="en-GB"/>
              </w:rPr>
              <w:t>Table 3.</w:t>
            </w:r>
            <w:r w:rsidRPr="00C223AB">
              <w:rPr>
                <w:rFonts w:ascii="Arial" w:eastAsia="Times New Roman" w:hAnsi="Arial" w:cs="Arial"/>
                <w:color w:val="000000"/>
                <w:lang w:val="en-GB" w:eastAsia="en-GB"/>
              </w:rPr>
              <w:t xml:space="preserve"> </w:t>
            </w:r>
            <w:r w:rsidR="00073EF7" w:rsidRPr="00C223AB">
              <w:rPr>
                <w:rFonts w:ascii="Arial" w:eastAsia="Times New Roman" w:hAnsi="Arial" w:cs="Arial"/>
                <w:color w:val="000000"/>
                <w:lang w:val="en-GB" w:eastAsia="en-GB"/>
              </w:rPr>
              <w:t>Spearman c</w:t>
            </w:r>
            <w:r w:rsidRPr="00C223AB">
              <w:rPr>
                <w:rFonts w:ascii="Arial" w:eastAsia="Times New Roman" w:hAnsi="Arial" w:cs="Arial"/>
                <w:color w:val="000000"/>
                <w:lang w:val="en-GB" w:eastAsia="en-GB"/>
              </w:rPr>
              <w:t>orrelation</w:t>
            </w:r>
            <w:r w:rsidR="00450DC6" w:rsidRPr="00C223AB">
              <w:rPr>
                <w:rFonts w:ascii="Arial" w:eastAsia="Times New Roman" w:hAnsi="Arial" w:cs="Arial"/>
                <w:color w:val="000000"/>
                <w:lang w:val="en-GB" w:eastAsia="en-GB"/>
              </w:rPr>
              <w:t xml:space="preserve"> </w:t>
            </w:r>
            <w:r w:rsidR="00073EF7" w:rsidRPr="00C223AB">
              <w:rPr>
                <w:rFonts w:ascii="Arial" w:eastAsia="Times New Roman" w:hAnsi="Arial" w:cs="Arial"/>
                <w:color w:val="000000"/>
                <w:lang w:val="en-GB" w:eastAsia="en-GB"/>
              </w:rPr>
              <w:t xml:space="preserve">coefficients and p-values </w:t>
            </w:r>
            <w:r w:rsidR="00450DC6" w:rsidRPr="00C223AB">
              <w:rPr>
                <w:rFonts w:ascii="Arial" w:eastAsia="Times New Roman" w:hAnsi="Arial" w:cs="Arial"/>
                <w:color w:val="000000"/>
                <w:lang w:val="en-GB" w:eastAsia="en-GB"/>
              </w:rPr>
              <w:t>of</w:t>
            </w:r>
            <w:r w:rsidRPr="00C223AB">
              <w:rPr>
                <w:rFonts w:ascii="Arial" w:eastAsia="Times New Roman" w:hAnsi="Arial" w:cs="Arial"/>
                <w:color w:val="000000"/>
                <w:lang w:val="en-GB" w:eastAsia="en-GB"/>
              </w:rPr>
              <w:t xml:space="preserve"> apoC-III levels with lipid and non-lipid parameters.</w:t>
            </w:r>
          </w:p>
          <w:p w14:paraId="1D842983" w14:textId="77777777" w:rsidR="003F3B35" w:rsidRPr="00C223AB" w:rsidRDefault="003F3B35" w:rsidP="00C223AB">
            <w:pPr>
              <w:rPr>
                <w:rFonts w:ascii="Arial" w:eastAsia="Times New Roman" w:hAnsi="Arial" w:cs="Arial"/>
                <w:color w:val="000000"/>
                <w:lang w:val="en-GB" w:eastAsia="en-GB"/>
              </w:rPr>
            </w:pPr>
          </w:p>
          <w:tbl>
            <w:tblPr>
              <w:tblW w:w="9018" w:type="dxa"/>
              <w:tblCellMar>
                <w:left w:w="70" w:type="dxa"/>
                <w:right w:w="70" w:type="dxa"/>
              </w:tblCellMar>
              <w:tblLook w:val="04A0" w:firstRow="1" w:lastRow="0" w:firstColumn="1" w:lastColumn="0" w:noHBand="0" w:noVBand="1"/>
            </w:tblPr>
            <w:tblGrid>
              <w:gridCol w:w="3920"/>
              <w:gridCol w:w="2260"/>
              <w:gridCol w:w="1419"/>
              <w:gridCol w:w="1419"/>
            </w:tblGrid>
            <w:tr w:rsidR="003F3B35" w:rsidRPr="00C223AB" w14:paraId="1454C032" w14:textId="4AB52403" w:rsidTr="003F3B35">
              <w:trPr>
                <w:trHeight w:val="600"/>
              </w:trPr>
              <w:tc>
                <w:tcPr>
                  <w:tcW w:w="3920" w:type="dxa"/>
                  <w:tcBorders>
                    <w:top w:val="nil"/>
                    <w:left w:val="nil"/>
                    <w:bottom w:val="nil"/>
                    <w:right w:val="nil"/>
                  </w:tcBorders>
                  <w:shd w:val="clear" w:color="auto" w:fill="auto"/>
                  <w:noWrap/>
                  <w:vAlign w:val="bottom"/>
                  <w:hideMark/>
                </w:tcPr>
                <w:p w14:paraId="229969FD" w14:textId="77777777" w:rsidR="003F3B35" w:rsidRPr="00C223AB" w:rsidRDefault="003F3B35" w:rsidP="00C223AB">
                  <w:pPr>
                    <w:rPr>
                      <w:rFonts w:ascii="Arial" w:eastAsia="Times New Roman" w:hAnsi="Arial" w:cs="Arial"/>
                      <w:b/>
                      <w:bCs/>
                      <w:color w:val="000000"/>
                      <w:lang w:val="en-GB"/>
                    </w:rPr>
                  </w:pPr>
                  <w:r w:rsidRPr="00C223AB">
                    <w:rPr>
                      <w:rFonts w:ascii="Arial" w:eastAsia="Times New Roman" w:hAnsi="Arial" w:cs="Arial"/>
                      <w:b/>
                      <w:bCs/>
                      <w:color w:val="000000"/>
                      <w:lang w:val="en-GB"/>
                    </w:rPr>
                    <w:t>Lipids</w:t>
                  </w:r>
                </w:p>
              </w:tc>
              <w:tc>
                <w:tcPr>
                  <w:tcW w:w="2260" w:type="dxa"/>
                  <w:tcBorders>
                    <w:top w:val="nil"/>
                    <w:left w:val="nil"/>
                    <w:bottom w:val="nil"/>
                    <w:right w:val="nil"/>
                  </w:tcBorders>
                  <w:shd w:val="clear" w:color="auto" w:fill="auto"/>
                  <w:vAlign w:val="bottom"/>
                  <w:hideMark/>
                </w:tcPr>
                <w:p w14:paraId="7283C0A9" w14:textId="77777777" w:rsidR="003F3B35" w:rsidRPr="00C223AB" w:rsidRDefault="003F3B35" w:rsidP="00C223AB">
                  <w:pPr>
                    <w:rPr>
                      <w:rFonts w:ascii="Arial" w:eastAsia="Times New Roman" w:hAnsi="Arial" w:cs="Arial"/>
                      <w:color w:val="000000"/>
                      <w:lang w:val="en-GB"/>
                    </w:rPr>
                  </w:pPr>
                  <w:r w:rsidRPr="00C223AB">
                    <w:rPr>
                      <w:rFonts w:ascii="Arial" w:eastAsia="Times New Roman" w:hAnsi="Arial" w:cs="Arial"/>
                      <w:color w:val="000000"/>
                      <w:lang w:val="en-GB"/>
                    </w:rPr>
                    <w:t>Spearman correlation</w:t>
                  </w:r>
                  <w:r w:rsidRPr="00C223AB">
                    <w:rPr>
                      <w:rFonts w:ascii="Arial" w:eastAsia="Times New Roman" w:hAnsi="Arial" w:cs="Arial"/>
                      <w:color w:val="000000"/>
                      <w:lang w:val="en-GB"/>
                    </w:rPr>
                    <w:br/>
                    <w:t xml:space="preserve"> coefficient</w:t>
                  </w:r>
                </w:p>
              </w:tc>
              <w:tc>
                <w:tcPr>
                  <w:tcW w:w="1419" w:type="dxa"/>
                  <w:tcBorders>
                    <w:top w:val="nil"/>
                    <w:left w:val="nil"/>
                    <w:bottom w:val="nil"/>
                    <w:right w:val="nil"/>
                  </w:tcBorders>
                  <w:shd w:val="clear" w:color="auto" w:fill="auto"/>
                  <w:noWrap/>
                  <w:vAlign w:val="bottom"/>
                  <w:hideMark/>
                </w:tcPr>
                <w:p w14:paraId="4383049C" w14:textId="77777777" w:rsidR="003F3B35" w:rsidRPr="00C223AB" w:rsidRDefault="003F3B35" w:rsidP="00C223AB">
                  <w:pPr>
                    <w:rPr>
                      <w:rFonts w:ascii="Arial" w:eastAsia="Times New Roman" w:hAnsi="Arial" w:cs="Arial"/>
                      <w:color w:val="000000"/>
                      <w:lang w:val="en-GB"/>
                    </w:rPr>
                  </w:pPr>
                  <w:r w:rsidRPr="00C223AB">
                    <w:rPr>
                      <w:rFonts w:ascii="Arial" w:eastAsia="Times New Roman" w:hAnsi="Arial" w:cs="Arial"/>
                      <w:color w:val="000000"/>
                      <w:lang w:val="en-GB"/>
                    </w:rPr>
                    <w:t>P-Value</w:t>
                  </w:r>
                </w:p>
              </w:tc>
              <w:tc>
                <w:tcPr>
                  <w:tcW w:w="1419" w:type="dxa"/>
                  <w:tcBorders>
                    <w:top w:val="nil"/>
                    <w:left w:val="nil"/>
                    <w:bottom w:val="nil"/>
                    <w:right w:val="nil"/>
                  </w:tcBorders>
                </w:tcPr>
                <w:p w14:paraId="223356D1" w14:textId="1C00606E" w:rsidR="003F3B35" w:rsidRDefault="003F3B35" w:rsidP="00C223AB">
                  <w:pPr>
                    <w:rPr>
                      <w:rFonts w:ascii="Arial" w:eastAsia="Times New Roman" w:hAnsi="Arial" w:cs="Arial"/>
                      <w:color w:val="000000"/>
                      <w:lang w:val="en-GB"/>
                    </w:rPr>
                  </w:pPr>
                </w:p>
                <w:p w14:paraId="55802923" w14:textId="30B70100" w:rsidR="003F3B35" w:rsidRDefault="003F3B35" w:rsidP="003F3B35">
                  <w:pPr>
                    <w:rPr>
                      <w:rFonts w:ascii="Arial" w:eastAsia="Times New Roman" w:hAnsi="Arial" w:cs="Arial"/>
                      <w:lang w:val="en-GB"/>
                    </w:rPr>
                  </w:pPr>
                </w:p>
                <w:p w14:paraId="77AE3C4E" w14:textId="724C7E55" w:rsidR="003F3B35" w:rsidRPr="003F3B35" w:rsidRDefault="003F3B35" w:rsidP="003F3B35">
                  <w:pPr>
                    <w:rPr>
                      <w:rFonts w:ascii="Arial" w:eastAsia="Times New Roman" w:hAnsi="Arial" w:cs="Arial"/>
                      <w:lang w:val="en-GB"/>
                    </w:rPr>
                  </w:pPr>
                  <w:r>
                    <w:rPr>
                      <w:rFonts w:ascii="Arial" w:eastAsia="Times New Roman" w:hAnsi="Arial" w:cs="Arial"/>
                      <w:lang w:val="en-GB"/>
                    </w:rPr>
                    <w:t>Subjects (N)</w:t>
                  </w:r>
                </w:p>
              </w:tc>
            </w:tr>
            <w:tr w:rsidR="003F3B35" w:rsidRPr="00C223AB" w14:paraId="41D407BB" w14:textId="26964D98" w:rsidTr="003F3B35">
              <w:trPr>
                <w:trHeight w:val="300"/>
              </w:trPr>
              <w:tc>
                <w:tcPr>
                  <w:tcW w:w="39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25E0ABE" w14:textId="079A69C1" w:rsidR="003F3B35" w:rsidRPr="00C223AB" w:rsidRDefault="003F3B35" w:rsidP="00C223AB">
                  <w:pPr>
                    <w:rPr>
                      <w:rFonts w:ascii="Arial" w:eastAsia="Times New Roman" w:hAnsi="Arial" w:cs="Arial"/>
                      <w:color w:val="000000"/>
                      <w:lang w:val="en-GB"/>
                    </w:rPr>
                  </w:pPr>
                  <w:r w:rsidRPr="00C223AB">
                    <w:rPr>
                      <w:rFonts w:ascii="Arial" w:eastAsia="Times New Roman" w:hAnsi="Arial" w:cs="Arial"/>
                      <w:color w:val="000000"/>
                      <w:lang w:val="en-GB"/>
                    </w:rPr>
                    <w:t>Total cholesterol, mmol/L</w:t>
                  </w:r>
                </w:p>
              </w:tc>
              <w:tc>
                <w:tcPr>
                  <w:tcW w:w="2260" w:type="dxa"/>
                  <w:tcBorders>
                    <w:top w:val="single" w:sz="4" w:space="0" w:color="auto"/>
                    <w:left w:val="nil"/>
                    <w:bottom w:val="single" w:sz="4" w:space="0" w:color="auto"/>
                    <w:right w:val="single" w:sz="4" w:space="0" w:color="auto"/>
                  </w:tcBorders>
                  <w:shd w:val="clear" w:color="auto" w:fill="auto"/>
                  <w:noWrap/>
                  <w:vAlign w:val="bottom"/>
                  <w:hideMark/>
                </w:tcPr>
                <w:p w14:paraId="3CCEE6ED" w14:textId="77777777" w:rsidR="003F3B35" w:rsidRPr="00C223AB" w:rsidRDefault="003F3B35" w:rsidP="00C223AB">
                  <w:pPr>
                    <w:rPr>
                      <w:rFonts w:ascii="Arial" w:eastAsia="Times New Roman" w:hAnsi="Arial" w:cs="Arial"/>
                      <w:color w:val="000000"/>
                      <w:lang w:val="en-GB"/>
                    </w:rPr>
                  </w:pPr>
                  <w:r w:rsidRPr="00C223AB">
                    <w:rPr>
                      <w:rFonts w:ascii="Arial" w:eastAsia="Times New Roman" w:hAnsi="Arial" w:cs="Arial"/>
                      <w:color w:val="000000"/>
                      <w:lang w:val="en-GB"/>
                    </w:rPr>
                    <w:t>0.23</w:t>
                  </w:r>
                </w:p>
              </w:tc>
              <w:tc>
                <w:tcPr>
                  <w:tcW w:w="1419" w:type="dxa"/>
                  <w:tcBorders>
                    <w:top w:val="single" w:sz="4" w:space="0" w:color="auto"/>
                    <w:left w:val="nil"/>
                    <w:bottom w:val="single" w:sz="4" w:space="0" w:color="auto"/>
                    <w:right w:val="single" w:sz="4" w:space="0" w:color="auto"/>
                  </w:tcBorders>
                  <w:shd w:val="clear" w:color="auto" w:fill="auto"/>
                  <w:noWrap/>
                  <w:vAlign w:val="bottom"/>
                  <w:hideMark/>
                </w:tcPr>
                <w:p w14:paraId="687DEC02" w14:textId="77777777" w:rsidR="003F3B35" w:rsidRPr="00C223AB" w:rsidRDefault="003F3B35" w:rsidP="00C223AB">
                  <w:pPr>
                    <w:rPr>
                      <w:rFonts w:ascii="Arial" w:eastAsia="Times New Roman" w:hAnsi="Arial" w:cs="Arial"/>
                      <w:color w:val="000000"/>
                      <w:lang w:val="en-GB"/>
                    </w:rPr>
                  </w:pPr>
                  <w:r w:rsidRPr="00C223AB">
                    <w:rPr>
                      <w:rFonts w:ascii="Arial" w:eastAsia="Times New Roman" w:hAnsi="Arial" w:cs="Arial"/>
                      <w:color w:val="000000"/>
                      <w:lang w:val="en-GB"/>
                    </w:rPr>
                    <w:t>&lt;0.001</w:t>
                  </w:r>
                </w:p>
              </w:tc>
              <w:tc>
                <w:tcPr>
                  <w:tcW w:w="1419" w:type="dxa"/>
                  <w:tcBorders>
                    <w:top w:val="single" w:sz="4" w:space="0" w:color="auto"/>
                    <w:left w:val="nil"/>
                    <w:bottom w:val="single" w:sz="4" w:space="0" w:color="auto"/>
                    <w:right w:val="single" w:sz="4" w:space="0" w:color="auto"/>
                  </w:tcBorders>
                </w:tcPr>
                <w:p w14:paraId="6F2B8680" w14:textId="14DBD48B" w:rsidR="003F3B35" w:rsidRPr="00C223AB" w:rsidRDefault="003F3B35" w:rsidP="00C223AB">
                  <w:pPr>
                    <w:rPr>
                      <w:rFonts w:ascii="Arial" w:eastAsia="Times New Roman" w:hAnsi="Arial" w:cs="Arial"/>
                      <w:color w:val="000000"/>
                      <w:lang w:val="en-GB"/>
                    </w:rPr>
                  </w:pPr>
                  <w:r>
                    <w:rPr>
                      <w:rFonts w:ascii="Arial" w:eastAsia="Times New Roman" w:hAnsi="Arial" w:cs="Arial"/>
                      <w:color w:val="000000"/>
                      <w:lang w:val="en-GB"/>
                    </w:rPr>
                    <w:t>2680</w:t>
                  </w:r>
                </w:p>
              </w:tc>
            </w:tr>
            <w:tr w:rsidR="003F3B35" w:rsidRPr="00C223AB" w14:paraId="28BCC50C" w14:textId="73D3C4DF" w:rsidTr="003F3B35">
              <w:trPr>
                <w:trHeight w:val="300"/>
              </w:trPr>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7E396633" w14:textId="73D49B16" w:rsidR="003F3B35" w:rsidRPr="00C223AB" w:rsidRDefault="003F3B35" w:rsidP="00C223AB">
                  <w:pPr>
                    <w:rPr>
                      <w:rFonts w:ascii="Arial" w:eastAsia="Times New Roman" w:hAnsi="Arial" w:cs="Arial"/>
                      <w:color w:val="000000"/>
                      <w:lang w:val="en-GB"/>
                    </w:rPr>
                  </w:pPr>
                  <w:r w:rsidRPr="00C223AB">
                    <w:rPr>
                      <w:rFonts w:ascii="Arial" w:eastAsia="Times New Roman" w:hAnsi="Arial" w:cs="Arial"/>
                      <w:color w:val="000000"/>
                      <w:lang w:val="en-GB"/>
                    </w:rPr>
                    <w:t>LDL cholesterol, mmol/L</w:t>
                  </w:r>
                </w:p>
              </w:tc>
              <w:tc>
                <w:tcPr>
                  <w:tcW w:w="2260" w:type="dxa"/>
                  <w:tcBorders>
                    <w:top w:val="nil"/>
                    <w:left w:val="nil"/>
                    <w:bottom w:val="single" w:sz="4" w:space="0" w:color="auto"/>
                    <w:right w:val="single" w:sz="4" w:space="0" w:color="auto"/>
                  </w:tcBorders>
                  <w:shd w:val="clear" w:color="auto" w:fill="auto"/>
                  <w:noWrap/>
                  <w:vAlign w:val="bottom"/>
                  <w:hideMark/>
                </w:tcPr>
                <w:p w14:paraId="7B12A77D" w14:textId="77777777" w:rsidR="003F3B35" w:rsidRPr="00C223AB" w:rsidRDefault="003F3B35" w:rsidP="00C223AB">
                  <w:pPr>
                    <w:rPr>
                      <w:rFonts w:ascii="Arial" w:eastAsia="Times New Roman" w:hAnsi="Arial" w:cs="Arial"/>
                      <w:color w:val="000000"/>
                      <w:lang w:val="en-GB"/>
                    </w:rPr>
                  </w:pPr>
                  <w:r w:rsidRPr="00C223AB">
                    <w:rPr>
                      <w:rFonts w:ascii="Arial" w:eastAsia="Times New Roman" w:hAnsi="Arial" w:cs="Arial"/>
                      <w:color w:val="000000"/>
                      <w:lang w:val="en-GB"/>
                    </w:rPr>
                    <w:t>0.13</w:t>
                  </w:r>
                </w:p>
              </w:tc>
              <w:tc>
                <w:tcPr>
                  <w:tcW w:w="1419" w:type="dxa"/>
                  <w:tcBorders>
                    <w:top w:val="nil"/>
                    <w:left w:val="nil"/>
                    <w:bottom w:val="single" w:sz="4" w:space="0" w:color="auto"/>
                    <w:right w:val="single" w:sz="4" w:space="0" w:color="auto"/>
                  </w:tcBorders>
                  <w:shd w:val="clear" w:color="auto" w:fill="auto"/>
                  <w:noWrap/>
                  <w:vAlign w:val="bottom"/>
                  <w:hideMark/>
                </w:tcPr>
                <w:p w14:paraId="15B05515" w14:textId="77777777" w:rsidR="003F3B35" w:rsidRPr="00C223AB" w:rsidRDefault="003F3B35" w:rsidP="00C223AB">
                  <w:pPr>
                    <w:rPr>
                      <w:rFonts w:ascii="Arial" w:eastAsia="Times New Roman" w:hAnsi="Arial" w:cs="Arial"/>
                      <w:color w:val="000000"/>
                      <w:lang w:val="en-GB"/>
                    </w:rPr>
                  </w:pPr>
                  <w:r w:rsidRPr="00C223AB">
                    <w:rPr>
                      <w:rFonts w:ascii="Arial" w:eastAsia="Times New Roman" w:hAnsi="Arial" w:cs="Arial"/>
                      <w:color w:val="000000"/>
                      <w:lang w:val="en-GB"/>
                    </w:rPr>
                    <w:t>&lt;0.001</w:t>
                  </w:r>
                </w:p>
              </w:tc>
              <w:tc>
                <w:tcPr>
                  <w:tcW w:w="1419" w:type="dxa"/>
                  <w:tcBorders>
                    <w:top w:val="nil"/>
                    <w:left w:val="nil"/>
                    <w:bottom w:val="single" w:sz="4" w:space="0" w:color="auto"/>
                    <w:right w:val="single" w:sz="4" w:space="0" w:color="auto"/>
                  </w:tcBorders>
                </w:tcPr>
                <w:p w14:paraId="1E34A044" w14:textId="50759A78" w:rsidR="003F3B35" w:rsidRPr="00C223AB" w:rsidRDefault="003F3B35" w:rsidP="00C223AB">
                  <w:pPr>
                    <w:rPr>
                      <w:rFonts w:ascii="Arial" w:eastAsia="Times New Roman" w:hAnsi="Arial" w:cs="Arial"/>
                      <w:color w:val="000000"/>
                      <w:lang w:val="en-GB"/>
                    </w:rPr>
                  </w:pPr>
                  <w:r>
                    <w:rPr>
                      <w:rFonts w:ascii="Arial" w:eastAsia="Times New Roman" w:hAnsi="Arial" w:cs="Arial"/>
                      <w:color w:val="000000"/>
                      <w:lang w:val="en-GB"/>
                    </w:rPr>
                    <w:t>2560</w:t>
                  </w:r>
                </w:p>
              </w:tc>
            </w:tr>
            <w:tr w:rsidR="003F3B35" w:rsidRPr="00C223AB" w14:paraId="71E6CF8F" w14:textId="63F510EA" w:rsidTr="003F3B35">
              <w:trPr>
                <w:trHeight w:val="300"/>
              </w:trPr>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6CE01C99" w14:textId="69093A75" w:rsidR="003F3B35" w:rsidRPr="00C223AB" w:rsidRDefault="003F3B35" w:rsidP="00C223AB">
                  <w:pPr>
                    <w:rPr>
                      <w:rFonts w:ascii="Arial" w:eastAsia="Times New Roman" w:hAnsi="Arial" w:cs="Arial"/>
                      <w:color w:val="000000"/>
                      <w:lang w:val="en-GB"/>
                    </w:rPr>
                  </w:pPr>
                  <w:r w:rsidRPr="00C223AB">
                    <w:rPr>
                      <w:rFonts w:ascii="Arial" w:eastAsia="Times New Roman" w:hAnsi="Arial" w:cs="Arial"/>
                      <w:color w:val="000000"/>
                      <w:lang w:val="en-GB"/>
                    </w:rPr>
                    <w:t>HDL cholesterol, mmol/L</w:t>
                  </w:r>
                </w:p>
              </w:tc>
              <w:tc>
                <w:tcPr>
                  <w:tcW w:w="2260" w:type="dxa"/>
                  <w:tcBorders>
                    <w:top w:val="nil"/>
                    <w:left w:val="nil"/>
                    <w:bottom w:val="single" w:sz="4" w:space="0" w:color="auto"/>
                    <w:right w:val="single" w:sz="4" w:space="0" w:color="auto"/>
                  </w:tcBorders>
                  <w:shd w:val="clear" w:color="auto" w:fill="auto"/>
                  <w:noWrap/>
                  <w:vAlign w:val="bottom"/>
                  <w:hideMark/>
                </w:tcPr>
                <w:p w14:paraId="6CB5FF1C" w14:textId="77777777" w:rsidR="003F3B35" w:rsidRPr="00C223AB" w:rsidRDefault="003F3B35" w:rsidP="00C223AB">
                  <w:pPr>
                    <w:rPr>
                      <w:rFonts w:ascii="Arial" w:eastAsia="Times New Roman" w:hAnsi="Arial" w:cs="Arial"/>
                      <w:color w:val="000000"/>
                      <w:lang w:val="en-GB"/>
                    </w:rPr>
                  </w:pPr>
                  <w:r w:rsidRPr="00C223AB">
                    <w:rPr>
                      <w:rFonts w:ascii="Arial" w:eastAsia="Times New Roman" w:hAnsi="Arial" w:cs="Arial"/>
                      <w:color w:val="000000"/>
                      <w:lang w:val="en-GB"/>
                    </w:rPr>
                    <w:t>-0.05</w:t>
                  </w:r>
                </w:p>
              </w:tc>
              <w:tc>
                <w:tcPr>
                  <w:tcW w:w="1419" w:type="dxa"/>
                  <w:tcBorders>
                    <w:top w:val="nil"/>
                    <w:left w:val="nil"/>
                    <w:bottom w:val="single" w:sz="4" w:space="0" w:color="auto"/>
                    <w:right w:val="single" w:sz="4" w:space="0" w:color="auto"/>
                  </w:tcBorders>
                  <w:shd w:val="clear" w:color="auto" w:fill="auto"/>
                  <w:noWrap/>
                  <w:vAlign w:val="bottom"/>
                  <w:hideMark/>
                </w:tcPr>
                <w:p w14:paraId="1D08B3CF" w14:textId="77777777" w:rsidR="003F3B35" w:rsidRPr="00C223AB" w:rsidRDefault="003F3B35" w:rsidP="00C223AB">
                  <w:pPr>
                    <w:rPr>
                      <w:rFonts w:ascii="Arial" w:eastAsia="Times New Roman" w:hAnsi="Arial" w:cs="Arial"/>
                      <w:color w:val="000000"/>
                      <w:lang w:val="en-GB"/>
                    </w:rPr>
                  </w:pPr>
                  <w:r w:rsidRPr="00C223AB">
                    <w:rPr>
                      <w:rFonts w:ascii="Arial" w:eastAsia="Times New Roman" w:hAnsi="Arial" w:cs="Arial"/>
                      <w:color w:val="000000"/>
                      <w:lang w:val="en-GB"/>
                    </w:rPr>
                    <w:t>&lt;0.001</w:t>
                  </w:r>
                </w:p>
              </w:tc>
              <w:tc>
                <w:tcPr>
                  <w:tcW w:w="1419" w:type="dxa"/>
                  <w:tcBorders>
                    <w:top w:val="nil"/>
                    <w:left w:val="nil"/>
                    <w:bottom w:val="single" w:sz="4" w:space="0" w:color="auto"/>
                    <w:right w:val="single" w:sz="4" w:space="0" w:color="auto"/>
                  </w:tcBorders>
                </w:tcPr>
                <w:p w14:paraId="4B96D466" w14:textId="4AB3D81B" w:rsidR="003F3B35" w:rsidRPr="00C223AB" w:rsidRDefault="003F3B35" w:rsidP="00C223AB">
                  <w:pPr>
                    <w:rPr>
                      <w:rFonts w:ascii="Arial" w:eastAsia="Times New Roman" w:hAnsi="Arial" w:cs="Arial"/>
                      <w:color w:val="000000"/>
                      <w:lang w:val="en-GB"/>
                    </w:rPr>
                  </w:pPr>
                  <w:r>
                    <w:rPr>
                      <w:rFonts w:ascii="Arial" w:eastAsia="Times New Roman" w:hAnsi="Arial" w:cs="Arial"/>
                      <w:color w:val="000000"/>
                      <w:lang w:val="en-GB"/>
                    </w:rPr>
                    <w:t>2559</w:t>
                  </w:r>
                </w:p>
              </w:tc>
            </w:tr>
            <w:tr w:rsidR="003F3B35" w:rsidRPr="00C223AB" w14:paraId="0FBEDD65" w14:textId="745F1C67" w:rsidTr="003F3B35">
              <w:trPr>
                <w:trHeight w:val="300"/>
              </w:trPr>
              <w:tc>
                <w:tcPr>
                  <w:tcW w:w="3920" w:type="dxa"/>
                  <w:tcBorders>
                    <w:top w:val="nil"/>
                    <w:left w:val="single" w:sz="4" w:space="0" w:color="auto"/>
                    <w:bottom w:val="single" w:sz="4" w:space="0" w:color="auto"/>
                    <w:right w:val="single" w:sz="4" w:space="0" w:color="auto"/>
                  </w:tcBorders>
                  <w:shd w:val="clear" w:color="auto" w:fill="auto"/>
                  <w:noWrap/>
                  <w:vAlign w:val="bottom"/>
                </w:tcPr>
                <w:p w14:paraId="769CC4D0" w14:textId="67532EC1" w:rsidR="003F3B35" w:rsidRPr="00C223AB" w:rsidRDefault="003F3B35" w:rsidP="00C223AB">
                  <w:pPr>
                    <w:rPr>
                      <w:rFonts w:ascii="Arial" w:eastAsia="Times New Roman" w:hAnsi="Arial" w:cs="Arial"/>
                      <w:color w:val="000000"/>
                      <w:lang w:val="en-GB"/>
                    </w:rPr>
                  </w:pPr>
                  <w:r w:rsidRPr="00C223AB">
                    <w:rPr>
                      <w:rFonts w:ascii="Arial" w:eastAsia="Times New Roman" w:hAnsi="Arial" w:cs="Arial"/>
                      <w:color w:val="000000"/>
                      <w:lang w:val="en-GB"/>
                    </w:rPr>
                    <w:t>Triglycerides, mmol/L</w:t>
                  </w:r>
                </w:p>
              </w:tc>
              <w:tc>
                <w:tcPr>
                  <w:tcW w:w="2260" w:type="dxa"/>
                  <w:tcBorders>
                    <w:top w:val="nil"/>
                    <w:left w:val="nil"/>
                    <w:bottom w:val="single" w:sz="4" w:space="0" w:color="auto"/>
                    <w:right w:val="single" w:sz="4" w:space="0" w:color="auto"/>
                  </w:tcBorders>
                  <w:shd w:val="clear" w:color="auto" w:fill="auto"/>
                  <w:noWrap/>
                  <w:vAlign w:val="bottom"/>
                </w:tcPr>
                <w:p w14:paraId="77375246" w14:textId="300CF6F8" w:rsidR="003F3B35" w:rsidRPr="00C223AB" w:rsidRDefault="003F3B35" w:rsidP="00C223AB">
                  <w:pPr>
                    <w:rPr>
                      <w:rFonts w:ascii="Arial" w:eastAsia="Times New Roman" w:hAnsi="Arial" w:cs="Arial"/>
                      <w:color w:val="000000"/>
                      <w:lang w:val="en-GB"/>
                    </w:rPr>
                  </w:pPr>
                  <w:r w:rsidRPr="00C223AB">
                    <w:rPr>
                      <w:rFonts w:ascii="Arial" w:eastAsia="Times New Roman" w:hAnsi="Arial" w:cs="Arial"/>
                      <w:color w:val="000000"/>
                      <w:lang w:val="en-GB"/>
                    </w:rPr>
                    <w:t>0.39</w:t>
                  </w:r>
                </w:p>
              </w:tc>
              <w:tc>
                <w:tcPr>
                  <w:tcW w:w="1419" w:type="dxa"/>
                  <w:tcBorders>
                    <w:top w:val="nil"/>
                    <w:left w:val="nil"/>
                    <w:bottom w:val="single" w:sz="4" w:space="0" w:color="auto"/>
                    <w:right w:val="single" w:sz="4" w:space="0" w:color="auto"/>
                  </w:tcBorders>
                  <w:shd w:val="clear" w:color="auto" w:fill="auto"/>
                  <w:noWrap/>
                  <w:vAlign w:val="bottom"/>
                </w:tcPr>
                <w:p w14:paraId="205C4B3B" w14:textId="7C6B5F62" w:rsidR="003F3B35" w:rsidRPr="00C223AB" w:rsidRDefault="003F3B35" w:rsidP="00C223AB">
                  <w:pPr>
                    <w:rPr>
                      <w:rFonts w:ascii="Arial" w:eastAsia="Times New Roman" w:hAnsi="Arial" w:cs="Arial"/>
                      <w:color w:val="000000"/>
                      <w:lang w:val="en-GB"/>
                    </w:rPr>
                  </w:pPr>
                  <w:r w:rsidRPr="00C223AB">
                    <w:rPr>
                      <w:rFonts w:ascii="Arial" w:eastAsia="Times New Roman" w:hAnsi="Arial" w:cs="Arial"/>
                      <w:color w:val="000000"/>
                      <w:lang w:val="en-GB"/>
                    </w:rPr>
                    <w:t>&lt;0.001</w:t>
                  </w:r>
                </w:p>
              </w:tc>
              <w:tc>
                <w:tcPr>
                  <w:tcW w:w="1419" w:type="dxa"/>
                  <w:tcBorders>
                    <w:top w:val="nil"/>
                    <w:left w:val="nil"/>
                    <w:bottom w:val="single" w:sz="4" w:space="0" w:color="auto"/>
                    <w:right w:val="single" w:sz="4" w:space="0" w:color="auto"/>
                  </w:tcBorders>
                </w:tcPr>
                <w:p w14:paraId="7FD182F7" w14:textId="7076522E" w:rsidR="003F3B35" w:rsidRPr="00C223AB" w:rsidRDefault="003F3B35" w:rsidP="00C223AB">
                  <w:pPr>
                    <w:rPr>
                      <w:rFonts w:ascii="Arial" w:eastAsia="Times New Roman" w:hAnsi="Arial" w:cs="Arial"/>
                      <w:color w:val="000000"/>
                      <w:lang w:val="en-GB"/>
                    </w:rPr>
                  </w:pPr>
                  <w:r>
                    <w:rPr>
                      <w:rFonts w:ascii="Arial" w:eastAsia="Times New Roman" w:hAnsi="Arial" w:cs="Arial"/>
                      <w:color w:val="000000"/>
                      <w:lang w:val="en-GB"/>
                    </w:rPr>
                    <w:t>2669</w:t>
                  </w:r>
                </w:p>
              </w:tc>
            </w:tr>
            <w:tr w:rsidR="003F3B35" w:rsidRPr="00C223AB" w14:paraId="7B22F58B" w14:textId="239A3F22" w:rsidTr="003F3B35">
              <w:trPr>
                <w:trHeight w:val="300"/>
              </w:trPr>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749C7CBC" w14:textId="77777777" w:rsidR="003F3B35" w:rsidRPr="00C223AB" w:rsidRDefault="003F3B35" w:rsidP="00C223AB">
                  <w:pPr>
                    <w:rPr>
                      <w:rFonts w:ascii="Arial" w:eastAsia="Times New Roman" w:hAnsi="Arial" w:cs="Arial"/>
                      <w:color w:val="000000"/>
                      <w:lang w:val="en-GB"/>
                    </w:rPr>
                  </w:pPr>
                  <w:r w:rsidRPr="00C223AB">
                    <w:rPr>
                      <w:rFonts w:ascii="Arial" w:eastAsia="Times New Roman" w:hAnsi="Arial" w:cs="Arial"/>
                      <w:color w:val="000000"/>
                      <w:lang w:val="en-GB"/>
                    </w:rPr>
                    <w:t>Apolipoprotein A1, mg/dL</w:t>
                  </w:r>
                </w:p>
              </w:tc>
              <w:tc>
                <w:tcPr>
                  <w:tcW w:w="2260" w:type="dxa"/>
                  <w:tcBorders>
                    <w:top w:val="nil"/>
                    <w:left w:val="nil"/>
                    <w:bottom w:val="single" w:sz="4" w:space="0" w:color="auto"/>
                    <w:right w:val="single" w:sz="4" w:space="0" w:color="auto"/>
                  </w:tcBorders>
                  <w:shd w:val="clear" w:color="auto" w:fill="auto"/>
                  <w:noWrap/>
                  <w:vAlign w:val="bottom"/>
                  <w:hideMark/>
                </w:tcPr>
                <w:p w14:paraId="326A1FA0" w14:textId="77777777" w:rsidR="003F3B35" w:rsidRPr="00C223AB" w:rsidRDefault="003F3B35" w:rsidP="00C223AB">
                  <w:pPr>
                    <w:rPr>
                      <w:rFonts w:ascii="Arial" w:eastAsia="Times New Roman" w:hAnsi="Arial" w:cs="Arial"/>
                      <w:color w:val="000000"/>
                      <w:lang w:val="en-GB"/>
                    </w:rPr>
                  </w:pPr>
                  <w:r w:rsidRPr="00C223AB">
                    <w:rPr>
                      <w:rFonts w:ascii="Arial" w:eastAsia="Times New Roman" w:hAnsi="Arial" w:cs="Arial"/>
                      <w:color w:val="000000"/>
                      <w:lang w:val="en-GB"/>
                    </w:rPr>
                    <w:t>-0.01</w:t>
                  </w:r>
                </w:p>
              </w:tc>
              <w:tc>
                <w:tcPr>
                  <w:tcW w:w="1419" w:type="dxa"/>
                  <w:tcBorders>
                    <w:top w:val="nil"/>
                    <w:left w:val="nil"/>
                    <w:bottom w:val="single" w:sz="4" w:space="0" w:color="auto"/>
                    <w:right w:val="single" w:sz="4" w:space="0" w:color="auto"/>
                  </w:tcBorders>
                  <w:shd w:val="clear" w:color="auto" w:fill="auto"/>
                  <w:noWrap/>
                  <w:vAlign w:val="bottom"/>
                  <w:hideMark/>
                </w:tcPr>
                <w:p w14:paraId="2C4C032F" w14:textId="77777777" w:rsidR="003F3B35" w:rsidRPr="00C223AB" w:rsidRDefault="003F3B35" w:rsidP="00C223AB">
                  <w:pPr>
                    <w:rPr>
                      <w:rFonts w:ascii="Arial" w:eastAsia="Times New Roman" w:hAnsi="Arial" w:cs="Arial"/>
                      <w:color w:val="000000"/>
                      <w:lang w:val="en-GB"/>
                    </w:rPr>
                  </w:pPr>
                  <w:r w:rsidRPr="00C223AB">
                    <w:rPr>
                      <w:rFonts w:ascii="Arial" w:eastAsia="Times New Roman" w:hAnsi="Arial" w:cs="Arial"/>
                      <w:color w:val="000000"/>
                      <w:lang w:val="en-GB"/>
                    </w:rPr>
                    <w:t>0.73</w:t>
                  </w:r>
                </w:p>
              </w:tc>
              <w:tc>
                <w:tcPr>
                  <w:tcW w:w="1419" w:type="dxa"/>
                  <w:tcBorders>
                    <w:top w:val="nil"/>
                    <w:left w:val="nil"/>
                    <w:bottom w:val="single" w:sz="4" w:space="0" w:color="auto"/>
                    <w:right w:val="single" w:sz="4" w:space="0" w:color="auto"/>
                  </w:tcBorders>
                </w:tcPr>
                <w:p w14:paraId="6F74C980" w14:textId="063BAEC4" w:rsidR="003F3B35" w:rsidRPr="00C223AB" w:rsidRDefault="003F3B35" w:rsidP="00C223AB">
                  <w:pPr>
                    <w:rPr>
                      <w:rFonts w:ascii="Arial" w:eastAsia="Times New Roman" w:hAnsi="Arial" w:cs="Arial"/>
                      <w:color w:val="000000"/>
                      <w:lang w:val="en-GB"/>
                    </w:rPr>
                  </w:pPr>
                  <w:r>
                    <w:rPr>
                      <w:rFonts w:ascii="Arial" w:eastAsia="Times New Roman" w:hAnsi="Arial" w:cs="Arial"/>
                      <w:color w:val="000000"/>
                      <w:lang w:val="en-GB"/>
                    </w:rPr>
                    <w:t>2289</w:t>
                  </w:r>
                </w:p>
              </w:tc>
            </w:tr>
            <w:tr w:rsidR="003F3B35" w:rsidRPr="00C223AB" w14:paraId="585E0643" w14:textId="6E631EA5" w:rsidTr="003F3B35">
              <w:trPr>
                <w:trHeight w:val="300"/>
              </w:trPr>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0732BCAD" w14:textId="77777777" w:rsidR="003F3B35" w:rsidRPr="00C223AB" w:rsidRDefault="003F3B35" w:rsidP="00C223AB">
                  <w:pPr>
                    <w:rPr>
                      <w:rFonts w:ascii="Arial" w:eastAsia="Times New Roman" w:hAnsi="Arial" w:cs="Arial"/>
                      <w:color w:val="000000"/>
                      <w:lang w:val="en-GB"/>
                    </w:rPr>
                  </w:pPr>
                  <w:r w:rsidRPr="00C223AB">
                    <w:rPr>
                      <w:rFonts w:ascii="Arial" w:eastAsia="Times New Roman" w:hAnsi="Arial" w:cs="Arial"/>
                      <w:color w:val="000000"/>
                      <w:lang w:val="en-GB"/>
                    </w:rPr>
                    <w:t>Apolipoprotein B, mg/dL</w:t>
                  </w:r>
                </w:p>
              </w:tc>
              <w:tc>
                <w:tcPr>
                  <w:tcW w:w="2260" w:type="dxa"/>
                  <w:tcBorders>
                    <w:top w:val="nil"/>
                    <w:left w:val="nil"/>
                    <w:bottom w:val="single" w:sz="4" w:space="0" w:color="auto"/>
                    <w:right w:val="single" w:sz="4" w:space="0" w:color="auto"/>
                  </w:tcBorders>
                  <w:shd w:val="clear" w:color="auto" w:fill="auto"/>
                  <w:noWrap/>
                  <w:vAlign w:val="bottom"/>
                  <w:hideMark/>
                </w:tcPr>
                <w:p w14:paraId="407CF0F8" w14:textId="77777777" w:rsidR="003F3B35" w:rsidRPr="00C223AB" w:rsidRDefault="003F3B35" w:rsidP="00C223AB">
                  <w:pPr>
                    <w:rPr>
                      <w:rFonts w:ascii="Arial" w:eastAsia="Times New Roman" w:hAnsi="Arial" w:cs="Arial"/>
                      <w:color w:val="000000"/>
                      <w:lang w:val="en-GB"/>
                    </w:rPr>
                  </w:pPr>
                  <w:r w:rsidRPr="00C223AB">
                    <w:rPr>
                      <w:rFonts w:ascii="Arial" w:eastAsia="Times New Roman" w:hAnsi="Arial" w:cs="Arial"/>
                      <w:color w:val="000000"/>
                      <w:lang w:val="en-GB"/>
                    </w:rPr>
                    <w:t>0.26</w:t>
                  </w:r>
                </w:p>
              </w:tc>
              <w:tc>
                <w:tcPr>
                  <w:tcW w:w="1419" w:type="dxa"/>
                  <w:tcBorders>
                    <w:top w:val="nil"/>
                    <w:left w:val="nil"/>
                    <w:bottom w:val="single" w:sz="4" w:space="0" w:color="auto"/>
                    <w:right w:val="single" w:sz="4" w:space="0" w:color="auto"/>
                  </w:tcBorders>
                  <w:shd w:val="clear" w:color="auto" w:fill="auto"/>
                  <w:noWrap/>
                  <w:vAlign w:val="bottom"/>
                  <w:hideMark/>
                </w:tcPr>
                <w:p w14:paraId="143535CF" w14:textId="77777777" w:rsidR="003F3B35" w:rsidRPr="00C223AB" w:rsidRDefault="003F3B35" w:rsidP="00C223AB">
                  <w:pPr>
                    <w:rPr>
                      <w:rFonts w:ascii="Arial" w:eastAsia="Times New Roman" w:hAnsi="Arial" w:cs="Arial"/>
                      <w:color w:val="000000"/>
                      <w:lang w:val="en-GB"/>
                    </w:rPr>
                  </w:pPr>
                  <w:r w:rsidRPr="00C223AB">
                    <w:rPr>
                      <w:rFonts w:ascii="Arial" w:eastAsia="Times New Roman" w:hAnsi="Arial" w:cs="Arial"/>
                      <w:color w:val="000000"/>
                      <w:lang w:val="en-GB"/>
                    </w:rPr>
                    <w:t>&lt;0.001</w:t>
                  </w:r>
                </w:p>
              </w:tc>
              <w:tc>
                <w:tcPr>
                  <w:tcW w:w="1419" w:type="dxa"/>
                  <w:tcBorders>
                    <w:top w:val="nil"/>
                    <w:left w:val="nil"/>
                    <w:bottom w:val="single" w:sz="4" w:space="0" w:color="auto"/>
                    <w:right w:val="single" w:sz="4" w:space="0" w:color="auto"/>
                  </w:tcBorders>
                </w:tcPr>
                <w:p w14:paraId="6B9B968D" w14:textId="3AAC5904" w:rsidR="003F3B35" w:rsidRPr="00C223AB" w:rsidRDefault="003F3B35" w:rsidP="00C223AB">
                  <w:pPr>
                    <w:rPr>
                      <w:rFonts w:ascii="Arial" w:eastAsia="Times New Roman" w:hAnsi="Arial" w:cs="Arial"/>
                      <w:color w:val="000000"/>
                      <w:lang w:val="en-GB"/>
                    </w:rPr>
                  </w:pPr>
                  <w:r>
                    <w:rPr>
                      <w:rFonts w:ascii="Arial" w:eastAsia="Times New Roman" w:hAnsi="Arial" w:cs="Arial"/>
                      <w:color w:val="000000"/>
                      <w:lang w:val="en-GB"/>
                    </w:rPr>
                    <w:t>2457</w:t>
                  </w:r>
                </w:p>
              </w:tc>
            </w:tr>
            <w:tr w:rsidR="003F3B35" w:rsidRPr="00C223AB" w14:paraId="322F15EE" w14:textId="4AEB8DBE" w:rsidTr="003F3B35">
              <w:trPr>
                <w:trHeight w:val="300"/>
              </w:trPr>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2A231DCB" w14:textId="77777777" w:rsidR="003F3B35" w:rsidRPr="00C223AB" w:rsidRDefault="003F3B35" w:rsidP="00C223AB">
                  <w:pPr>
                    <w:rPr>
                      <w:rFonts w:ascii="Arial" w:eastAsia="Times New Roman" w:hAnsi="Arial" w:cs="Arial"/>
                      <w:color w:val="000000"/>
                      <w:lang w:val="en-GB"/>
                    </w:rPr>
                  </w:pPr>
                  <w:proofErr w:type="gramStart"/>
                  <w:r w:rsidRPr="00C223AB">
                    <w:rPr>
                      <w:rFonts w:ascii="Arial" w:eastAsia="Times New Roman" w:hAnsi="Arial" w:cs="Arial"/>
                      <w:color w:val="000000"/>
                      <w:lang w:val="en-GB"/>
                    </w:rPr>
                    <w:t>Lipoprotein(</w:t>
                  </w:r>
                  <w:proofErr w:type="gramEnd"/>
                  <w:r w:rsidRPr="00C223AB">
                    <w:rPr>
                      <w:rFonts w:ascii="Arial" w:eastAsia="Times New Roman" w:hAnsi="Arial" w:cs="Arial"/>
                      <w:color w:val="000000"/>
                      <w:lang w:val="en-GB"/>
                    </w:rPr>
                    <w:t>a), mg/dL</w:t>
                  </w:r>
                </w:p>
              </w:tc>
              <w:tc>
                <w:tcPr>
                  <w:tcW w:w="2260" w:type="dxa"/>
                  <w:tcBorders>
                    <w:top w:val="nil"/>
                    <w:left w:val="nil"/>
                    <w:bottom w:val="single" w:sz="4" w:space="0" w:color="auto"/>
                    <w:right w:val="single" w:sz="4" w:space="0" w:color="auto"/>
                  </w:tcBorders>
                  <w:shd w:val="clear" w:color="auto" w:fill="auto"/>
                  <w:noWrap/>
                  <w:vAlign w:val="bottom"/>
                  <w:hideMark/>
                </w:tcPr>
                <w:p w14:paraId="203ACC57" w14:textId="77777777" w:rsidR="003F3B35" w:rsidRPr="00C223AB" w:rsidRDefault="003F3B35" w:rsidP="00C223AB">
                  <w:pPr>
                    <w:rPr>
                      <w:rFonts w:ascii="Arial" w:eastAsia="Times New Roman" w:hAnsi="Arial" w:cs="Arial"/>
                      <w:color w:val="000000"/>
                      <w:lang w:val="en-GB"/>
                    </w:rPr>
                  </w:pPr>
                  <w:r w:rsidRPr="00C223AB">
                    <w:rPr>
                      <w:rFonts w:ascii="Arial" w:eastAsia="Times New Roman" w:hAnsi="Arial" w:cs="Arial"/>
                      <w:color w:val="000000"/>
                      <w:lang w:val="en-GB"/>
                    </w:rPr>
                    <w:t>0.01</w:t>
                  </w:r>
                </w:p>
              </w:tc>
              <w:tc>
                <w:tcPr>
                  <w:tcW w:w="1419" w:type="dxa"/>
                  <w:tcBorders>
                    <w:top w:val="nil"/>
                    <w:left w:val="nil"/>
                    <w:bottom w:val="single" w:sz="4" w:space="0" w:color="auto"/>
                    <w:right w:val="single" w:sz="4" w:space="0" w:color="auto"/>
                  </w:tcBorders>
                  <w:shd w:val="clear" w:color="auto" w:fill="auto"/>
                  <w:noWrap/>
                  <w:vAlign w:val="bottom"/>
                  <w:hideMark/>
                </w:tcPr>
                <w:p w14:paraId="0ABDE60C" w14:textId="77777777" w:rsidR="003F3B35" w:rsidRPr="00C223AB" w:rsidRDefault="003F3B35" w:rsidP="00C223AB">
                  <w:pPr>
                    <w:rPr>
                      <w:rFonts w:ascii="Arial" w:eastAsia="Times New Roman" w:hAnsi="Arial" w:cs="Arial"/>
                      <w:color w:val="000000"/>
                      <w:lang w:val="en-GB"/>
                    </w:rPr>
                  </w:pPr>
                  <w:r w:rsidRPr="00C223AB">
                    <w:rPr>
                      <w:rFonts w:ascii="Arial" w:eastAsia="Times New Roman" w:hAnsi="Arial" w:cs="Arial"/>
                      <w:color w:val="000000"/>
                      <w:lang w:val="en-GB"/>
                    </w:rPr>
                    <w:t>0.62</w:t>
                  </w:r>
                </w:p>
              </w:tc>
              <w:tc>
                <w:tcPr>
                  <w:tcW w:w="1419" w:type="dxa"/>
                  <w:tcBorders>
                    <w:top w:val="nil"/>
                    <w:left w:val="nil"/>
                    <w:bottom w:val="single" w:sz="4" w:space="0" w:color="auto"/>
                    <w:right w:val="single" w:sz="4" w:space="0" w:color="auto"/>
                  </w:tcBorders>
                </w:tcPr>
                <w:p w14:paraId="49A988DD" w14:textId="00DFB0B2" w:rsidR="003F3B35" w:rsidRPr="00C223AB" w:rsidRDefault="003F3B35" w:rsidP="00C223AB">
                  <w:pPr>
                    <w:rPr>
                      <w:rFonts w:ascii="Arial" w:eastAsia="Times New Roman" w:hAnsi="Arial" w:cs="Arial"/>
                      <w:color w:val="000000"/>
                      <w:lang w:val="en-GB"/>
                    </w:rPr>
                  </w:pPr>
                  <w:r>
                    <w:rPr>
                      <w:rFonts w:ascii="Arial" w:eastAsia="Times New Roman" w:hAnsi="Arial" w:cs="Arial"/>
                      <w:color w:val="000000"/>
                      <w:lang w:val="en-GB"/>
                    </w:rPr>
                    <w:t>2662</w:t>
                  </w:r>
                </w:p>
              </w:tc>
            </w:tr>
            <w:tr w:rsidR="003F3B35" w:rsidRPr="00C223AB" w14:paraId="08EA9044" w14:textId="07F47422" w:rsidTr="003F3B35">
              <w:trPr>
                <w:trHeight w:val="300"/>
              </w:trPr>
              <w:tc>
                <w:tcPr>
                  <w:tcW w:w="3920" w:type="dxa"/>
                  <w:tcBorders>
                    <w:top w:val="nil"/>
                    <w:left w:val="nil"/>
                    <w:bottom w:val="nil"/>
                    <w:right w:val="nil"/>
                  </w:tcBorders>
                  <w:shd w:val="clear" w:color="auto" w:fill="auto"/>
                  <w:noWrap/>
                  <w:vAlign w:val="bottom"/>
                  <w:hideMark/>
                </w:tcPr>
                <w:p w14:paraId="53690E72" w14:textId="77777777" w:rsidR="003F3B35" w:rsidRPr="00C223AB" w:rsidRDefault="003F3B35" w:rsidP="00C223AB">
                  <w:pPr>
                    <w:ind w:left="720"/>
                    <w:contextualSpacing/>
                    <w:rPr>
                      <w:rFonts w:ascii="Arial" w:eastAsia="Times New Roman" w:hAnsi="Arial" w:cs="Arial"/>
                      <w:color w:val="000000"/>
                      <w:lang w:val="en-GB"/>
                    </w:rPr>
                  </w:pPr>
                </w:p>
              </w:tc>
              <w:tc>
                <w:tcPr>
                  <w:tcW w:w="2260" w:type="dxa"/>
                  <w:tcBorders>
                    <w:top w:val="nil"/>
                    <w:left w:val="nil"/>
                    <w:bottom w:val="nil"/>
                    <w:right w:val="nil"/>
                  </w:tcBorders>
                  <w:shd w:val="clear" w:color="auto" w:fill="auto"/>
                  <w:noWrap/>
                  <w:vAlign w:val="bottom"/>
                  <w:hideMark/>
                </w:tcPr>
                <w:p w14:paraId="005C1418" w14:textId="77777777" w:rsidR="003F3B35" w:rsidRPr="00C223AB" w:rsidRDefault="003F3B35" w:rsidP="00C223AB">
                  <w:pPr>
                    <w:ind w:left="720"/>
                    <w:contextualSpacing/>
                    <w:rPr>
                      <w:rFonts w:ascii="Arial" w:eastAsia="Times New Roman" w:hAnsi="Arial" w:cs="Arial"/>
                      <w:color w:val="000000"/>
                      <w:lang w:val="en-GB"/>
                    </w:rPr>
                  </w:pPr>
                </w:p>
              </w:tc>
              <w:tc>
                <w:tcPr>
                  <w:tcW w:w="1419" w:type="dxa"/>
                  <w:tcBorders>
                    <w:top w:val="nil"/>
                    <w:left w:val="nil"/>
                    <w:bottom w:val="nil"/>
                    <w:right w:val="nil"/>
                  </w:tcBorders>
                  <w:shd w:val="clear" w:color="auto" w:fill="auto"/>
                  <w:noWrap/>
                  <w:vAlign w:val="bottom"/>
                  <w:hideMark/>
                </w:tcPr>
                <w:p w14:paraId="677B86AD" w14:textId="77777777" w:rsidR="003F3B35" w:rsidRPr="00C223AB" w:rsidRDefault="003F3B35" w:rsidP="00C223AB">
                  <w:pPr>
                    <w:ind w:left="720"/>
                    <w:contextualSpacing/>
                    <w:rPr>
                      <w:rFonts w:ascii="Arial" w:eastAsia="Times New Roman" w:hAnsi="Arial" w:cs="Arial"/>
                      <w:color w:val="000000"/>
                      <w:lang w:val="en-GB"/>
                    </w:rPr>
                  </w:pPr>
                </w:p>
              </w:tc>
              <w:tc>
                <w:tcPr>
                  <w:tcW w:w="1419" w:type="dxa"/>
                  <w:tcBorders>
                    <w:top w:val="nil"/>
                    <w:left w:val="nil"/>
                    <w:bottom w:val="nil"/>
                    <w:right w:val="nil"/>
                  </w:tcBorders>
                </w:tcPr>
                <w:p w14:paraId="4817FAC4" w14:textId="77777777" w:rsidR="003F3B35" w:rsidRPr="00C223AB" w:rsidRDefault="003F3B35" w:rsidP="00C223AB">
                  <w:pPr>
                    <w:ind w:left="720"/>
                    <w:contextualSpacing/>
                    <w:rPr>
                      <w:rFonts w:ascii="Arial" w:eastAsia="Times New Roman" w:hAnsi="Arial" w:cs="Arial"/>
                      <w:color w:val="000000"/>
                      <w:lang w:val="en-GB"/>
                    </w:rPr>
                  </w:pPr>
                </w:p>
              </w:tc>
            </w:tr>
            <w:tr w:rsidR="003F3B35" w:rsidRPr="00C223AB" w14:paraId="2B22211C" w14:textId="5AFC16CE" w:rsidTr="003F3B35">
              <w:trPr>
                <w:trHeight w:val="300"/>
              </w:trPr>
              <w:tc>
                <w:tcPr>
                  <w:tcW w:w="3920" w:type="dxa"/>
                  <w:tcBorders>
                    <w:top w:val="nil"/>
                    <w:left w:val="nil"/>
                    <w:bottom w:val="nil"/>
                    <w:right w:val="nil"/>
                  </w:tcBorders>
                  <w:shd w:val="clear" w:color="auto" w:fill="auto"/>
                  <w:noWrap/>
                  <w:vAlign w:val="bottom"/>
                  <w:hideMark/>
                </w:tcPr>
                <w:p w14:paraId="29AD3468" w14:textId="77777777" w:rsidR="003F3B35" w:rsidRPr="00C223AB" w:rsidRDefault="003F3B35" w:rsidP="00C223AB">
                  <w:pPr>
                    <w:rPr>
                      <w:rFonts w:ascii="Arial" w:eastAsia="Times New Roman" w:hAnsi="Arial" w:cs="Arial"/>
                      <w:b/>
                      <w:bCs/>
                      <w:color w:val="000000"/>
                      <w:lang w:val="en-GB"/>
                    </w:rPr>
                  </w:pPr>
                  <w:r w:rsidRPr="00C223AB">
                    <w:rPr>
                      <w:rFonts w:ascii="Arial" w:eastAsia="Times New Roman" w:hAnsi="Arial" w:cs="Arial"/>
                      <w:b/>
                      <w:bCs/>
                      <w:color w:val="000000"/>
                      <w:lang w:val="en-GB"/>
                    </w:rPr>
                    <w:t>NMR data</w:t>
                  </w:r>
                </w:p>
              </w:tc>
              <w:tc>
                <w:tcPr>
                  <w:tcW w:w="2260" w:type="dxa"/>
                  <w:tcBorders>
                    <w:top w:val="nil"/>
                    <w:left w:val="nil"/>
                    <w:bottom w:val="nil"/>
                    <w:right w:val="nil"/>
                  </w:tcBorders>
                  <w:shd w:val="clear" w:color="auto" w:fill="auto"/>
                  <w:noWrap/>
                  <w:vAlign w:val="bottom"/>
                  <w:hideMark/>
                </w:tcPr>
                <w:p w14:paraId="74C039FE" w14:textId="77777777" w:rsidR="003F3B35" w:rsidRPr="00C223AB" w:rsidRDefault="003F3B35" w:rsidP="00C223AB">
                  <w:pPr>
                    <w:ind w:left="720"/>
                    <w:contextualSpacing/>
                    <w:rPr>
                      <w:rFonts w:ascii="Arial" w:eastAsia="Times New Roman" w:hAnsi="Arial" w:cs="Arial"/>
                      <w:color w:val="000000"/>
                      <w:lang w:val="en-GB"/>
                    </w:rPr>
                  </w:pPr>
                </w:p>
              </w:tc>
              <w:tc>
                <w:tcPr>
                  <w:tcW w:w="1419" w:type="dxa"/>
                  <w:tcBorders>
                    <w:top w:val="nil"/>
                    <w:left w:val="nil"/>
                    <w:bottom w:val="nil"/>
                    <w:right w:val="nil"/>
                  </w:tcBorders>
                  <w:shd w:val="clear" w:color="auto" w:fill="auto"/>
                  <w:noWrap/>
                  <w:vAlign w:val="bottom"/>
                  <w:hideMark/>
                </w:tcPr>
                <w:p w14:paraId="0D7DB8AB" w14:textId="77777777" w:rsidR="003F3B35" w:rsidRPr="00C223AB" w:rsidRDefault="003F3B35" w:rsidP="00C223AB">
                  <w:pPr>
                    <w:ind w:left="720"/>
                    <w:contextualSpacing/>
                    <w:rPr>
                      <w:rFonts w:ascii="Arial" w:eastAsia="Times New Roman" w:hAnsi="Arial" w:cs="Arial"/>
                      <w:color w:val="000000"/>
                      <w:lang w:val="en-GB"/>
                    </w:rPr>
                  </w:pPr>
                </w:p>
              </w:tc>
              <w:tc>
                <w:tcPr>
                  <w:tcW w:w="1419" w:type="dxa"/>
                  <w:tcBorders>
                    <w:top w:val="nil"/>
                    <w:left w:val="nil"/>
                    <w:bottom w:val="nil"/>
                    <w:right w:val="nil"/>
                  </w:tcBorders>
                </w:tcPr>
                <w:p w14:paraId="1403C25E" w14:textId="77777777" w:rsidR="003F3B35" w:rsidRPr="00C223AB" w:rsidRDefault="003F3B35" w:rsidP="00C223AB">
                  <w:pPr>
                    <w:ind w:left="720"/>
                    <w:contextualSpacing/>
                    <w:rPr>
                      <w:rFonts w:ascii="Arial" w:eastAsia="Times New Roman" w:hAnsi="Arial" w:cs="Arial"/>
                      <w:color w:val="000000"/>
                      <w:lang w:val="en-GB"/>
                    </w:rPr>
                  </w:pPr>
                </w:p>
              </w:tc>
            </w:tr>
            <w:tr w:rsidR="003F3B35" w:rsidRPr="00C223AB" w14:paraId="0E6EADF4" w14:textId="6F444858" w:rsidTr="003F3B35">
              <w:trPr>
                <w:trHeight w:val="300"/>
              </w:trPr>
              <w:tc>
                <w:tcPr>
                  <w:tcW w:w="39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75CF05C" w14:textId="77777777" w:rsidR="003F3B35" w:rsidRPr="00C223AB" w:rsidRDefault="003F3B35" w:rsidP="00C223AB">
                  <w:pPr>
                    <w:rPr>
                      <w:rFonts w:ascii="Arial" w:eastAsia="Times New Roman" w:hAnsi="Arial" w:cs="Arial"/>
                      <w:color w:val="000000"/>
                      <w:lang w:val="en-GB"/>
                    </w:rPr>
                  </w:pPr>
                  <w:r w:rsidRPr="00C223AB">
                    <w:rPr>
                      <w:rFonts w:ascii="Arial" w:eastAsia="Times New Roman" w:hAnsi="Arial" w:cs="Arial"/>
                      <w:color w:val="000000"/>
                      <w:lang w:val="en-GB"/>
                    </w:rPr>
                    <w:t>VLDL particles, nmol/L</w:t>
                  </w:r>
                </w:p>
              </w:tc>
              <w:tc>
                <w:tcPr>
                  <w:tcW w:w="2260" w:type="dxa"/>
                  <w:tcBorders>
                    <w:top w:val="single" w:sz="4" w:space="0" w:color="auto"/>
                    <w:left w:val="nil"/>
                    <w:bottom w:val="single" w:sz="4" w:space="0" w:color="auto"/>
                    <w:right w:val="single" w:sz="4" w:space="0" w:color="auto"/>
                  </w:tcBorders>
                  <w:shd w:val="clear" w:color="auto" w:fill="auto"/>
                  <w:noWrap/>
                  <w:vAlign w:val="bottom"/>
                  <w:hideMark/>
                </w:tcPr>
                <w:p w14:paraId="237DD450" w14:textId="77777777" w:rsidR="003F3B35" w:rsidRPr="00C223AB" w:rsidRDefault="003F3B35" w:rsidP="00C223AB">
                  <w:pPr>
                    <w:rPr>
                      <w:rFonts w:ascii="Arial" w:eastAsia="Times New Roman" w:hAnsi="Arial" w:cs="Arial"/>
                      <w:color w:val="000000"/>
                      <w:lang w:val="en-GB"/>
                    </w:rPr>
                  </w:pPr>
                  <w:r w:rsidRPr="00C223AB">
                    <w:rPr>
                      <w:rFonts w:ascii="Arial" w:eastAsia="Times New Roman" w:hAnsi="Arial" w:cs="Arial"/>
                      <w:color w:val="000000"/>
                      <w:lang w:val="en-GB"/>
                    </w:rPr>
                    <w:t>0.24</w:t>
                  </w:r>
                </w:p>
              </w:tc>
              <w:tc>
                <w:tcPr>
                  <w:tcW w:w="1419" w:type="dxa"/>
                  <w:tcBorders>
                    <w:top w:val="single" w:sz="4" w:space="0" w:color="auto"/>
                    <w:left w:val="nil"/>
                    <w:bottom w:val="single" w:sz="4" w:space="0" w:color="auto"/>
                    <w:right w:val="single" w:sz="4" w:space="0" w:color="auto"/>
                  </w:tcBorders>
                  <w:shd w:val="clear" w:color="auto" w:fill="auto"/>
                  <w:noWrap/>
                  <w:vAlign w:val="bottom"/>
                  <w:hideMark/>
                </w:tcPr>
                <w:p w14:paraId="2D46C134" w14:textId="77777777" w:rsidR="003F3B35" w:rsidRPr="00C223AB" w:rsidRDefault="003F3B35" w:rsidP="00C223AB">
                  <w:pPr>
                    <w:rPr>
                      <w:rFonts w:ascii="Arial" w:eastAsia="Times New Roman" w:hAnsi="Arial" w:cs="Arial"/>
                      <w:color w:val="000000"/>
                      <w:lang w:val="en-GB"/>
                    </w:rPr>
                  </w:pPr>
                  <w:r w:rsidRPr="00C223AB">
                    <w:rPr>
                      <w:rFonts w:ascii="Arial" w:eastAsia="Times New Roman" w:hAnsi="Arial" w:cs="Arial"/>
                      <w:color w:val="000000"/>
                      <w:lang w:val="en-GB"/>
                    </w:rPr>
                    <w:t>&lt;0.001</w:t>
                  </w:r>
                </w:p>
              </w:tc>
              <w:tc>
                <w:tcPr>
                  <w:tcW w:w="1419" w:type="dxa"/>
                  <w:tcBorders>
                    <w:top w:val="single" w:sz="4" w:space="0" w:color="auto"/>
                    <w:left w:val="nil"/>
                    <w:bottom w:val="single" w:sz="4" w:space="0" w:color="auto"/>
                    <w:right w:val="single" w:sz="4" w:space="0" w:color="auto"/>
                  </w:tcBorders>
                </w:tcPr>
                <w:p w14:paraId="29983AA7" w14:textId="208A3FA8" w:rsidR="003F3B35" w:rsidRPr="00C223AB" w:rsidRDefault="003F3B35" w:rsidP="00C223AB">
                  <w:pPr>
                    <w:rPr>
                      <w:rFonts w:ascii="Arial" w:eastAsia="Times New Roman" w:hAnsi="Arial" w:cs="Arial"/>
                      <w:color w:val="000000"/>
                      <w:lang w:val="en-GB"/>
                    </w:rPr>
                  </w:pPr>
                  <w:r>
                    <w:rPr>
                      <w:rFonts w:ascii="Arial" w:eastAsia="Times New Roman" w:hAnsi="Arial" w:cs="Arial"/>
                      <w:color w:val="000000"/>
                      <w:lang w:val="en-GB"/>
                    </w:rPr>
                    <w:t>2694</w:t>
                  </w:r>
                </w:p>
              </w:tc>
            </w:tr>
            <w:tr w:rsidR="003F3B35" w:rsidRPr="00C223AB" w14:paraId="3FB49BF4" w14:textId="500ED4AF" w:rsidTr="003F3B35">
              <w:trPr>
                <w:trHeight w:val="300"/>
              </w:trPr>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471416BF" w14:textId="77777777" w:rsidR="003F3B35" w:rsidRPr="00C223AB" w:rsidRDefault="003F3B35" w:rsidP="00C223AB">
                  <w:pPr>
                    <w:rPr>
                      <w:rFonts w:ascii="Arial" w:eastAsia="Times New Roman" w:hAnsi="Arial" w:cs="Arial"/>
                      <w:color w:val="000000"/>
                      <w:lang w:val="en-GB"/>
                    </w:rPr>
                  </w:pPr>
                  <w:r w:rsidRPr="00C223AB">
                    <w:rPr>
                      <w:rFonts w:ascii="Arial" w:eastAsia="Times New Roman" w:hAnsi="Arial" w:cs="Arial"/>
                      <w:color w:val="000000"/>
                      <w:lang w:val="en-GB"/>
                    </w:rPr>
                    <w:t>VLDL size, nm</w:t>
                  </w:r>
                </w:p>
              </w:tc>
              <w:tc>
                <w:tcPr>
                  <w:tcW w:w="2260" w:type="dxa"/>
                  <w:tcBorders>
                    <w:top w:val="nil"/>
                    <w:left w:val="nil"/>
                    <w:bottom w:val="single" w:sz="4" w:space="0" w:color="auto"/>
                    <w:right w:val="single" w:sz="4" w:space="0" w:color="auto"/>
                  </w:tcBorders>
                  <w:shd w:val="clear" w:color="auto" w:fill="auto"/>
                  <w:noWrap/>
                  <w:vAlign w:val="bottom"/>
                  <w:hideMark/>
                </w:tcPr>
                <w:p w14:paraId="68B98490" w14:textId="77777777" w:rsidR="003F3B35" w:rsidRPr="00C223AB" w:rsidRDefault="003F3B35" w:rsidP="00C223AB">
                  <w:pPr>
                    <w:rPr>
                      <w:rFonts w:ascii="Arial" w:eastAsia="Times New Roman" w:hAnsi="Arial" w:cs="Arial"/>
                      <w:color w:val="000000"/>
                      <w:lang w:val="en-GB"/>
                    </w:rPr>
                  </w:pPr>
                  <w:r w:rsidRPr="00C223AB">
                    <w:rPr>
                      <w:rFonts w:ascii="Arial" w:eastAsia="Times New Roman" w:hAnsi="Arial" w:cs="Arial"/>
                      <w:color w:val="000000"/>
                      <w:lang w:val="en-GB"/>
                    </w:rPr>
                    <w:t>0.27</w:t>
                  </w:r>
                </w:p>
              </w:tc>
              <w:tc>
                <w:tcPr>
                  <w:tcW w:w="1419" w:type="dxa"/>
                  <w:tcBorders>
                    <w:top w:val="nil"/>
                    <w:left w:val="nil"/>
                    <w:bottom w:val="single" w:sz="4" w:space="0" w:color="auto"/>
                    <w:right w:val="single" w:sz="4" w:space="0" w:color="auto"/>
                  </w:tcBorders>
                  <w:shd w:val="clear" w:color="auto" w:fill="auto"/>
                  <w:noWrap/>
                  <w:vAlign w:val="bottom"/>
                  <w:hideMark/>
                </w:tcPr>
                <w:p w14:paraId="301F66B9" w14:textId="77777777" w:rsidR="003F3B35" w:rsidRPr="00C223AB" w:rsidRDefault="003F3B35" w:rsidP="00C223AB">
                  <w:pPr>
                    <w:rPr>
                      <w:rFonts w:ascii="Arial" w:eastAsia="Times New Roman" w:hAnsi="Arial" w:cs="Arial"/>
                      <w:color w:val="000000"/>
                      <w:lang w:val="en-GB"/>
                    </w:rPr>
                  </w:pPr>
                  <w:r w:rsidRPr="00C223AB">
                    <w:rPr>
                      <w:rFonts w:ascii="Arial" w:eastAsia="Times New Roman" w:hAnsi="Arial" w:cs="Arial"/>
                      <w:color w:val="000000"/>
                      <w:lang w:val="en-GB"/>
                    </w:rPr>
                    <w:t>&lt;0.001</w:t>
                  </w:r>
                </w:p>
              </w:tc>
              <w:tc>
                <w:tcPr>
                  <w:tcW w:w="1419" w:type="dxa"/>
                  <w:tcBorders>
                    <w:top w:val="nil"/>
                    <w:left w:val="nil"/>
                    <w:bottom w:val="single" w:sz="4" w:space="0" w:color="auto"/>
                    <w:right w:val="single" w:sz="4" w:space="0" w:color="auto"/>
                  </w:tcBorders>
                </w:tcPr>
                <w:p w14:paraId="64022A5E" w14:textId="39F118B2" w:rsidR="003F3B35" w:rsidRPr="00C223AB" w:rsidRDefault="003F3B35" w:rsidP="00C223AB">
                  <w:pPr>
                    <w:rPr>
                      <w:rFonts w:ascii="Arial" w:eastAsia="Times New Roman" w:hAnsi="Arial" w:cs="Arial"/>
                      <w:color w:val="000000"/>
                      <w:lang w:val="en-GB"/>
                    </w:rPr>
                  </w:pPr>
                  <w:r>
                    <w:rPr>
                      <w:rFonts w:ascii="Arial" w:eastAsia="Times New Roman" w:hAnsi="Arial" w:cs="Arial"/>
                      <w:color w:val="000000"/>
                      <w:lang w:val="en-GB"/>
                    </w:rPr>
                    <w:t>2694</w:t>
                  </w:r>
                </w:p>
              </w:tc>
            </w:tr>
            <w:tr w:rsidR="003F3B35" w:rsidRPr="00C223AB" w14:paraId="545E6867" w14:textId="42204E76" w:rsidTr="003F3B35">
              <w:trPr>
                <w:trHeight w:val="300"/>
              </w:trPr>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0ECFA3D4" w14:textId="77777777" w:rsidR="003F3B35" w:rsidRPr="00C223AB" w:rsidRDefault="003F3B35" w:rsidP="00C223AB">
                  <w:pPr>
                    <w:rPr>
                      <w:rFonts w:ascii="Arial" w:eastAsia="Times New Roman" w:hAnsi="Arial" w:cs="Arial"/>
                      <w:color w:val="000000"/>
                      <w:lang w:val="en-GB"/>
                    </w:rPr>
                  </w:pPr>
                  <w:r w:rsidRPr="00C223AB">
                    <w:rPr>
                      <w:rFonts w:ascii="Arial" w:eastAsia="Times New Roman" w:hAnsi="Arial" w:cs="Arial"/>
                      <w:color w:val="000000"/>
                      <w:lang w:val="en-GB"/>
                    </w:rPr>
                    <w:t>Large VLDL/chylomicrons, nmol/L</w:t>
                  </w:r>
                </w:p>
              </w:tc>
              <w:tc>
                <w:tcPr>
                  <w:tcW w:w="2260" w:type="dxa"/>
                  <w:tcBorders>
                    <w:top w:val="nil"/>
                    <w:left w:val="nil"/>
                    <w:bottom w:val="single" w:sz="4" w:space="0" w:color="auto"/>
                    <w:right w:val="single" w:sz="4" w:space="0" w:color="auto"/>
                  </w:tcBorders>
                  <w:shd w:val="clear" w:color="auto" w:fill="auto"/>
                  <w:noWrap/>
                  <w:vAlign w:val="bottom"/>
                  <w:hideMark/>
                </w:tcPr>
                <w:p w14:paraId="4ECCBABB" w14:textId="77777777" w:rsidR="003F3B35" w:rsidRPr="00C223AB" w:rsidRDefault="003F3B35" w:rsidP="00C223AB">
                  <w:pPr>
                    <w:rPr>
                      <w:rFonts w:ascii="Arial" w:eastAsia="Times New Roman" w:hAnsi="Arial" w:cs="Arial"/>
                      <w:color w:val="000000"/>
                      <w:lang w:val="en-GB"/>
                    </w:rPr>
                  </w:pPr>
                  <w:r w:rsidRPr="00C223AB">
                    <w:rPr>
                      <w:rFonts w:ascii="Arial" w:eastAsia="Times New Roman" w:hAnsi="Arial" w:cs="Arial"/>
                      <w:color w:val="000000"/>
                      <w:lang w:val="en-GB"/>
                    </w:rPr>
                    <w:t>0.39</w:t>
                  </w:r>
                </w:p>
              </w:tc>
              <w:tc>
                <w:tcPr>
                  <w:tcW w:w="1419" w:type="dxa"/>
                  <w:tcBorders>
                    <w:top w:val="nil"/>
                    <w:left w:val="nil"/>
                    <w:bottom w:val="single" w:sz="4" w:space="0" w:color="auto"/>
                    <w:right w:val="single" w:sz="4" w:space="0" w:color="auto"/>
                  </w:tcBorders>
                  <w:shd w:val="clear" w:color="auto" w:fill="auto"/>
                  <w:noWrap/>
                  <w:vAlign w:val="bottom"/>
                  <w:hideMark/>
                </w:tcPr>
                <w:p w14:paraId="1F24730C" w14:textId="77777777" w:rsidR="003F3B35" w:rsidRPr="00C223AB" w:rsidRDefault="003F3B35" w:rsidP="00C223AB">
                  <w:pPr>
                    <w:rPr>
                      <w:rFonts w:ascii="Arial" w:eastAsia="Times New Roman" w:hAnsi="Arial" w:cs="Arial"/>
                      <w:color w:val="000000"/>
                      <w:lang w:val="en-GB"/>
                    </w:rPr>
                  </w:pPr>
                  <w:r w:rsidRPr="00C223AB">
                    <w:rPr>
                      <w:rFonts w:ascii="Arial" w:eastAsia="Times New Roman" w:hAnsi="Arial" w:cs="Arial"/>
                      <w:color w:val="000000"/>
                      <w:lang w:val="en-GB"/>
                    </w:rPr>
                    <w:t>&lt;0.001</w:t>
                  </w:r>
                </w:p>
              </w:tc>
              <w:tc>
                <w:tcPr>
                  <w:tcW w:w="1419" w:type="dxa"/>
                  <w:tcBorders>
                    <w:top w:val="nil"/>
                    <w:left w:val="nil"/>
                    <w:bottom w:val="single" w:sz="4" w:space="0" w:color="auto"/>
                    <w:right w:val="single" w:sz="4" w:space="0" w:color="auto"/>
                  </w:tcBorders>
                </w:tcPr>
                <w:p w14:paraId="6C6ED770" w14:textId="714D3BF4" w:rsidR="003F3B35" w:rsidRPr="00C223AB" w:rsidRDefault="003F3B35" w:rsidP="00C223AB">
                  <w:pPr>
                    <w:rPr>
                      <w:rFonts w:ascii="Arial" w:eastAsia="Times New Roman" w:hAnsi="Arial" w:cs="Arial"/>
                      <w:color w:val="000000"/>
                      <w:lang w:val="en-GB"/>
                    </w:rPr>
                  </w:pPr>
                  <w:r>
                    <w:rPr>
                      <w:rFonts w:ascii="Arial" w:eastAsia="Times New Roman" w:hAnsi="Arial" w:cs="Arial"/>
                      <w:color w:val="000000"/>
                      <w:lang w:val="en-GB"/>
                    </w:rPr>
                    <w:t>2694</w:t>
                  </w:r>
                </w:p>
              </w:tc>
            </w:tr>
            <w:tr w:rsidR="003F3B35" w:rsidRPr="00C223AB" w14:paraId="5F0522B8" w14:textId="734BC3F8" w:rsidTr="003F3B35">
              <w:trPr>
                <w:trHeight w:val="300"/>
              </w:trPr>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44D8177A" w14:textId="77777777" w:rsidR="003F3B35" w:rsidRPr="00C223AB" w:rsidRDefault="003F3B35" w:rsidP="00C223AB">
                  <w:pPr>
                    <w:rPr>
                      <w:rFonts w:ascii="Arial" w:eastAsia="Times New Roman" w:hAnsi="Arial" w:cs="Arial"/>
                      <w:color w:val="000000"/>
                      <w:lang w:val="en-GB"/>
                    </w:rPr>
                  </w:pPr>
                  <w:r w:rsidRPr="00C223AB">
                    <w:rPr>
                      <w:rFonts w:ascii="Arial" w:eastAsia="Times New Roman" w:hAnsi="Arial" w:cs="Arial"/>
                      <w:color w:val="000000"/>
                      <w:lang w:val="en-GB"/>
                    </w:rPr>
                    <w:t>Medium VLDL, nmol/L</w:t>
                  </w:r>
                </w:p>
              </w:tc>
              <w:tc>
                <w:tcPr>
                  <w:tcW w:w="2260" w:type="dxa"/>
                  <w:tcBorders>
                    <w:top w:val="nil"/>
                    <w:left w:val="nil"/>
                    <w:bottom w:val="single" w:sz="4" w:space="0" w:color="auto"/>
                    <w:right w:val="single" w:sz="4" w:space="0" w:color="auto"/>
                  </w:tcBorders>
                  <w:shd w:val="clear" w:color="auto" w:fill="auto"/>
                  <w:noWrap/>
                  <w:vAlign w:val="bottom"/>
                  <w:hideMark/>
                </w:tcPr>
                <w:p w14:paraId="310977EA" w14:textId="77777777" w:rsidR="003F3B35" w:rsidRPr="00C223AB" w:rsidRDefault="003F3B35" w:rsidP="00C223AB">
                  <w:pPr>
                    <w:rPr>
                      <w:rFonts w:ascii="Arial" w:eastAsia="Times New Roman" w:hAnsi="Arial" w:cs="Arial"/>
                      <w:color w:val="000000"/>
                      <w:lang w:val="en-GB"/>
                    </w:rPr>
                  </w:pPr>
                  <w:r w:rsidRPr="00C223AB">
                    <w:rPr>
                      <w:rFonts w:ascii="Arial" w:eastAsia="Times New Roman" w:hAnsi="Arial" w:cs="Arial"/>
                      <w:color w:val="000000"/>
                      <w:lang w:val="en-GB"/>
                    </w:rPr>
                    <w:t>0.23</w:t>
                  </w:r>
                </w:p>
              </w:tc>
              <w:tc>
                <w:tcPr>
                  <w:tcW w:w="1419" w:type="dxa"/>
                  <w:tcBorders>
                    <w:top w:val="nil"/>
                    <w:left w:val="nil"/>
                    <w:bottom w:val="single" w:sz="4" w:space="0" w:color="auto"/>
                    <w:right w:val="single" w:sz="4" w:space="0" w:color="auto"/>
                  </w:tcBorders>
                  <w:shd w:val="clear" w:color="auto" w:fill="auto"/>
                  <w:noWrap/>
                  <w:vAlign w:val="bottom"/>
                  <w:hideMark/>
                </w:tcPr>
                <w:p w14:paraId="534A289E" w14:textId="77777777" w:rsidR="003F3B35" w:rsidRPr="00C223AB" w:rsidRDefault="003F3B35" w:rsidP="00C223AB">
                  <w:pPr>
                    <w:rPr>
                      <w:rFonts w:ascii="Arial" w:eastAsia="Times New Roman" w:hAnsi="Arial" w:cs="Arial"/>
                      <w:color w:val="000000"/>
                      <w:lang w:val="en-GB"/>
                    </w:rPr>
                  </w:pPr>
                  <w:r w:rsidRPr="00C223AB">
                    <w:rPr>
                      <w:rFonts w:ascii="Arial" w:eastAsia="Times New Roman" w:hAnsi="Arial" w:cs="Arial"/>
                      <w:color w:val="000000"/>
                      <w:lang w:val="en-GB"/>
                    </w:rPr>
                    <w:t>&lt;0.001</w:t>
                  </w:r>
                </w:p>
              </w:tc>
              <w:tc>
                <w:tcPr>
                  <w:tcW w:w="1419" w:type="dxa"/>
                  <w:tcBorders>
                    <w:top w:val="nil"/>
                    <w:left w:val="nil"/>
                    <w:bottom w:val="single" w:sz="4" w:space="0" w:color="auto"/>
                    <w:right w:val="single" w:sz="4" w:space="0" w:color="auto"/>
                  </w:tcBorders>
                </w:tcPr>
                <w:p w14:paraId="3CA9EAAB" w14:textId="3B01F0EF" w:rsidR="003F3B35" w:rsidRPr="00C223AB" w:rsidRDefault="003F3B35" w:rsidP="00C223AB">
                  <w:pPr>
                    <w:rPr>
                      <w:rFonts w:ascii="Arial" w:eastAsia="Times New Roman" w:hAnsi="Arial" w:cs="Arial"/>
                      <w:color w:val="000000"/>
                      <w:lang w:val="en-GB"/>
                    </w:rPr>
                  </w:pPr>
                  <w:r>
                    <w:rPr>
                      <w:rFonts w:ascii="Arial" w:eastAsia="Times New Roman" w:hAnsi="Arial" w:cs="Arial"/>
                      <w:color w:val="000000"/>
                      <w:lang w:val="en-GB"/>
                    </w:rPr>
                    <w:t>2694</w:t>
                  </w:r>
                </w:p>
              </w:tc>
            </w:tr>
            <w:tr w:rsidR="003F3B35" w:rsidRPr="00C223AB" w14:paraId="36120670" w14:textId="5D9C7969" w:rsidTr="003F3B35">
              <w:trPr>
                <w:trHeight w:val="300"/>
              </w:trPr>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6311C735" w14:textId="77777777" w:rsidR="003F3B35" w:rsidRPr="00C223AB" w:rsidRDefault="003F3B35" w:rsidP="00C223AB">
                  <w:pPr>
                    <w:rPr>
                      <w:rFonts w:ascii="Arial" w:eastAsia="Times New Roman" w:hAnsi="Arial" w:cs="Arial"/>
                      <w:color w:val="000000"/>
                      <w:lang w:val="en-GB"/>
                    </w:rPr>
                  </w:pPr>
                  <w:r w:rsidRPr="00C223AB">
                    <w:rPr>
                      <w:rFonts w:ascii="Arial" w:eastAsia="Times New Roman" w:hAnsi="Arial" w:cs="Arial"/>
                      <w:color w:val="000000"/>
                      <w:lang w:val="en-GB"/>
                    </w:rPr>
                    <w:t>Small VLDL, nmol/L</w:t>
                  </w:r>
                </w:p>
              </w:tc>
              <w:tc>
                <w:tcPr>
                  <w:tcW w:w="2260" w:type="dxa"/>
                  <w:tcBorders>
                    <w:top w:val="nil"/>
                    <w:left w:val="nil"/>
                    <w:bottom w:val="single" w:sz="4" w:space="0" w:color="auto"/>
                    <w:right w:val="single" w:sz="4" w:space="0" w:color="auto"/>
                  </w:tcBorders>
                  <w:shd w:val="clear" w:color="auto" w:fill="auto"/>
                  <w:noWrap/>
                  <w:vAlign w:val="bottom"/>
                  <w:hideMark/>
                </w:tcPr>
                <w:p w14:paraId="3C141857" w14:textId="77777777" w:rsidR="003F3B35" w:rsidRPr="00C223AB" w:rsidRDefault="003F3B35" w:rsidP="00C223AB">
                  <w:pPr>
                    <w:rPr>
                      <w:rFonts w:ascii="Arial" w:eastAsia="Times New Roman" w:hAnsi="Arial" w:cs="Arial"/>
                      <w:color w:val="000000"/>
                      <w:lang w:val="en-GB"/>
                    </w:rPr>
                  </w:pPr>
                  <w:r w:rsidRPr="00C223AB">
                    <w:rPr>
                      <w:rFonts w:ascii="Arial" w:eastAsia="Times New Roman" w:hAnsi="Arial" w:cs="Arial"/>
                      <w:color w:val="000000"/>
                      <w:lang w:val="en-GB"/>
                    </w:rPr>
                    <w:t>0.13</w:t>
                  </w:r>
                </w:p>
              </w:tc>
              <w:tc>
                <w:tcPr>
                  <w:tcW w:w="1419" w:type="dxa"/>
                  <w:tcBorders>
                    <w:top w:val="nil"/>
                    <w:left w:val="nil"/>
                    <w:bottom w:val="single" w:sz="4" w:space="0" w:color="auto"/>
                    <w:right w:val="single" w:sz="4" w:space="0" w:color="auto"/>
                  </w:tcBorders>
                  <w:shd w:val="clear" w:color="auto" w:fill="auto"/>
                  <w:noWrap/>
                  <w:vAlign w:val="bottom"/>
                  <w:hideMark/>
                </w:tcPr>
                <w:p w14:paraId="69F6A482" w14:textId="77777777" w:rsidR="003F3B35" w:rsidRPr="00C223AB" w:rsidRDefault="003F3B35" w:rsidP="00C223AB">
                  <w:pPr>
                    <w:rPr>
                      <w:rFonts w:ascii="Arial" w:eastAsia="Times New Roman" w:hAnsi="Arial" w:cs="Arial"/>
                      <w:color w:val="000000"/>
                      <w:lang w:val="en-GB"/>
                    </w:rPr>
                  </w:pPr>
                  <w:r w:rsidRPr="00C223AB">
                    <w:rPr>
                      <w:rFonts w:ascii="Arial" w:eastAsia="Times New Roman" w:hAnsi="Arial" w:cs="Arial"/>
                      <w:color w:val="000000"/>
                      <w:lang w:val="en-GB"/>
                    </w:rPr>
                    <w:t>&lt;0.001</w:t>
                  </w:r>
                </w:p>
              </w:tc>
              <w:tc>
                <w:tcPr>
                  <w:tcW w:w="1419" w:type="dxa"/>
                  <w:tcBorders>
                    <w:top w:val="nil"/>
                    <w:left w:val="nil"/>
                    <w:bottom w:val="single" w:sz="4" w:space="0" w:color="auto"/>
                    <w:right w:val="single" w:sz="4" w:space="0" w:color="auto"/>
                  </w:tcBorders>
                </w:tcPr>
                <w:p w14:paraId="56EAA26F" w14:textId="5484CCE0" w:rsidR="003F3B35" w:rsidRPr="00C223AB" w:rsidRDefault="003F3B35" w:rsidP="00C223AB">
                  <w:pPr>
                    <w:rPr>
                      <w:rFonts w:ascii="Arial" w:eastAsia="Times New Roman" w:hAnsi="Arial" w:cs="Arial"/>
                      <w:color w:val="000000"/>
                      <w:lang w:val="en-GB"/>
                    </w:rPr>
                  </w:pPr>
                  <w:r>
                    <w:rPr>
                      <w:rFonts w:ascii="Arial" w:eastAsia="Times New Roman" w:hAnsi="Arial" w:cs="Arial"/>
                      <w:color w:val="000000"/>
                      <w:lang w:val="en-GB"/>
                    </w:rPr>
                    <w:t>2694</w:t>
                  </w:r>
                </w:p>
              </w:tc>
            </w:tr>
            <w:tr w:rsidR="003F3B35" w:rsidRPr="00C223AB" w14:paraId="62A61518" w14:textId="02666EBE" w:rsidTr="003F3B35">
              <w:trPr>
                <w:trHeight w:val="300"/>
              </w:trPr>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6C8DD026" w14:textId="77777777" w:rsidR="003F3B35" w:rsidRPr="00C223AB" w:rsidRDefault="003F3B35" w:rsidP="00C223AB">
                  <w:pPr>
                    <w:rPr>
                      <w:rFonts w:ascii="Arial" w:eastAsia="Times New Roman" w:hAnsi="Arial" w:cs="Arial"/>
                      <w:color w:val="000000"/>
                      <w:lang w:val="en-GB"/>
                    </w:rPr>
                  </w:pPr>
                  <w:r w:rsidRPr="00C223AB">
                    <w:rPr>
                      <w:rFonts w:ascii="Arial" w:eastAsia="Times New Roman" w:hAnsi="Arial" w:cs="Arial"/>
                      <w:color w:val="000000"/>
                      <w:lang w:val="en-GB"/>
                    </w:rPr>
                    <w:t>IDL, nmol/L</w:t>
                  </w:r>
                </w:p>
              </w:tc>
              <w:tc>
                <w:tcPr>
                  <w:tcW w:w="2260" w:type="dxa"/>
                  <w:tcBorders>
                    <w:top w:val="nil"/>
                    <w:left w:val="nil"/>
                    <w:bottom w:val="single" w:sz="4" w:space="0" w:color="auto"/>
                    <w:right w:val="single" w:sz="4" w:space="0" w:color="auto"/>
                  </w:tcBorders>
                  <w:shd w:val="clear" w:color="auto" w:fill="auto"/>
                  <w:noWrap/>
                  <w:vAlign w:val="bottom"/>
                  <w:hideMark/>
                </w:tcPr>
                <w:p w14:paraId="17773D5D" w14:textId="77777777" w:rsidR="003F3B35" w:rsidRPr="00C223AB" w:rsidRDefault="003F3B35" w:rsidP="00C223AB">
                  <w:pPr>
                    <w:rPr>
                      <w:rFonts w:ascii="Arial" w:eastAsia="Times New Roman" w:hAnsi="Arial" w:cs="Arial"/>
                      <w:color w:val="000000"/>
                      <w:lang w:val="en-GB"/>
                    </w:rPr>
                  </w:pPr>
                  <w:r w:rsidRPr="00C223AB">
                    <w:rPr>
                      <w:rFonts w:ascii="Arial" w:eastAsia="Times New Roman" w:hAnsi="Arial" w:cs="Arial"/>
                      <w:color w:val="000000"/>
                      <w:lang w:val="en-GB"/>
                    </w:rPr>
                    <w:t>0.23</w:t>
                  </w:r>
                </w:p>
              </w:tc>
              <w:tc>
                <w:tcPr>
                  <w:tcW w:w="1419" w:type="dxa"/>
                  <w:tcBorders>
                    <w:top w:val="nil"/>
                    <w:left w:val="nil"/>
                    <w:bottom w:val="single" w:sz="4" w:space="0" w:color="auto"/>
                    <w:right w:val="single" w:sz="4" w:space="0" w:color="auto"/>
                  </w:tcBorders>
                  <w:shd w:val="clear" w:color="auto" w:fill="auto"/>
                  <w:noWrap/>
                  <w:vAlign w:val="bottom"/>
                  <w:hideMark/>
                </w:tcPr>
                <w:p w14:paraId="5479E07E" w14:textId="77777777" w:rsidR="003F3B35" w:rsidRPr="00C223AB" w:rsidRDefault="003F3B35" w:rsidP="00C223AB">
                  <w:pPr>
                    <w:rPr>
                      <w:rFonts w:ascii="Arial" w:eastAsia="Times New Roman" w:hAnsi="Arial" w:cs="Arial"/>
                      <w:color w:val="000000"/>
                      <w:lang w:val="en-GB"/>
                    </w:rPr>
                  </w:pPr>
                  <w:r w:rsidRPr="00C223AB">
                    <w:rPr>
                      <w:rFonts w:ascii="Arial" w:eastAsia="Times New Roman" w:hAnsi="Arial" w:cs="Arial"/>
                      <w:color w:val="000000"/>
                      <w:lang w:val="en-GB"/>
                    </w:rPr>
                    <w:t>&lt;0.001</w:t>
                  </w:r>
                </w:p>
              </w:tc>
              <w:tc>
                <w:tcPr>
                  <w:tcW w:w="1419" w:type="dxa"/>
                  <w:tcBorders>
                    <w:top w:val="nil"/>
                    <w:left w:val="nil"/>
                    <w:bottom w:val="single" w:sz="4" w:space="0" w:color="auto"/>
                    <w:right w:val="single" w:sz="4" w:space="0" w:color="auto"/>
                  </w:tcBorders>
                </w:tcPr>
                <w:p w14:paraId="2EB33083" w14:textId="05B4953B" w:rsidR="003F3B35" w:rsidRPr="00C223AB" w:rsidRDefault="003F3B35" w:rsidP="00C223AB">
                  <w:pPr>
                    <w:rPr>
                      <w:rFonts w:ascii="Arial" w:eastAsia="Times New Roman" w:hAnsi="Arial" w:cs="Arial"/>
                      <w:color w:val="000000"/>
                      <w:lang w:val="en-GB"/>
                    </w:rPr>
                  </w:pPr>
                  <w:r>
                    <w:rPr>
                      <w:rFonts w:ascii="Arial" w:eastAsia="Times New Roman" w:hAnsi="Arial" w:cs="Arial"/>
                      <w:color w:val="000000"/>
                      <w:lang w:val="en-GB"/>
                    </w:rPr>
                    <w:t>2694</w:t>
                  </w:r>
                </w:p>
              </w:tc>
            </w:tr>
            <w:tr w:rsidR="003F3B35" w:rsidRPr="00C223AB" w14:paraId="3883D3C6" w14:textId="2B58E1FE" w:rsidTr="003F3B35">
              <w:trPr>
                <w:trHeight w:val="300"/>
              </w:trPr>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188412F6" w14:textId="77777777" w:rsidR="003F3B35" w:rsidRPr="00C223AB" w:rsidRDefault="003F3B35" w:rsidP="00C223AB">
                  <w:pPr>
                    <w:rPr>
                      <w:rFonts w:ascii="Arial" w:eastAsia="Times New Roman" w:hAnsi="Arial" w:cs="Arial"/>
                      <w:color w:val="000000"/>
                      <w:lang w:val="en-GB"/>
                    </w:rPr>
                  </w:pPr>
                  <w:r w:rsidRPr="00C223AB">
                    <w:rPr>
                      <w:rFonts w:ascii="Arial" w:eastAsia="Times New Roman" w:hAnsi="Arial" w:cs="Arial"/>
                      <w:color w:val="000000"/>
                      <w:lang w:val="en-GB"/>
                    </w:rPr>
                    <w:t>LDL particles, nmol/L</w:t>
                  </w:r>
                </w:p>
              </w:tc>
              <w:tc>
                <w:tcPr>
                  <w:tcW w:w="2260" w:type="dxa"/>
                  <w:tcBorders>
                    <w:top w:val="nil"/>
                    <w:left w:val="nil"/>
                    <w:bottom w:val="single" w:sz="4" w:space="0" w:color="auto"/>
                    <w:right w:val="single" w:sz="4" w:space="0" w:color="auto"/>
                  </w:tcBorders>
                  <w:shd w:val="clear" w:color="auto" w:fill="auto"/>
                  <w:noWrap/>
                  <w:vAlign w:val="bottom"/>
                  <w:hideMark/>
                </w:tcPr>
                <w:p w14:paraId="1DD827A8" w14:textId="77777777" w:rsidR="003F3B35" w:rsidRPr="00C223AB" w:rsidRDefault="003F3B35" w:rsidP="00C223AB">
                  <w:pPr>
                    <w:rPr>
                      <w:rFonts w:ascii="Arial" w:eastAsia="Times New Roman" w:hAnsi="Arial" w:cs="Arial"/>
                      <w:color w:val="000000"/>
                      <w:lang w:val="en-GB"/>
                    </w:rPr>
                  </w:pPr>
                  <w:r w:rsidRPr="00C223AB">
                    <w:rPr>
                      <w:rFonts w:ascii="Arial" w:eastAsia="Times New Roman" w:hAnsi="Arial" w:cs="Arial"/>
                      <w:color w:val="000000"/>
                      <w:lang w:val="en-GB"/>
                    </w:rPr>
                    <w:t>0.26</w:t>
                  </w:r>
                </w:p>
              </w:tc>
              <w:tc>
                <w:tcPr>
                  <w:tcW w:w="1419" w:type="dxa"/>
                  <w:tcBorders>
                    <w:top w:val="nil"/>
                    <w:left w:val="nil"/>
                    <w:bottom w:val="single" w:sz="4" w:space="0" w:color="auto"/>
                    <w:right w:val="single" w:sz="4" w:space="0" w:color="auto"/>
                  </w:tcBorders>
                  <w:shd w:val="clear" w:color="auto" w:fill="auto"/>
                  <w:noWrap/>
                  <w:vAlign w:val="bottom"/>
                  <w:hideMark/>
                </w:tcPr>
                <w:p w14:paraId="08762C08" w14:textId="77777777" w:rsidR="003F3B35" w:rsidRPr="00C223AB" w:rsidRDefault="003F3B35" w:rsidP="00C223AB">
                  <w:pPr>
                    <w:rPr>
                      <w:rFonts w:ascii="Arial" w:eastAsia="Times New Roman" w:hAnsi="Arial" w:cs="Arial"/>
                      <w:color w:val="000000"/>
                      <w:lang w:val="en-GB"/>
                    </w:rPr>
                  </w:pPr>
                  <w:r w:rsidRPr="00C223AB">
                    <w:rPr>
                      <w:rFonts w:ascii="Arial" w:eastAsia="Times New Roman" w:hAnsi="Arial" w:cs="Arial"/>
                      <w:color w:val="000000"/>
                      <w:lang w:val="en-GB"/>
                    </w:rPr>
                    <w:t>&lt;0.001</w:t>
                  </w:r>
                </w:p>
              </w:tc>
              <w:tc>
                <w:tcPr>
                  <w:tcW w:w="1419" w:type="dxa"/>
                  <w:tcBorders>
                    <w:top w:val="nil"/>
                    <w:left w:val="nil"/>
                    <w:bottom w:val="single" w:sz="4" w:space="0" w:color="auto"/>
                    <w:right w:val="single" w:sz="4" w:space="0" w:color="auto"/>
                  </w:tcBorders>
                </w:tcPr>
                <w:p w14:paraId="0BE293EF" w14:textId="7BCDA277" w:rsidR="003F3B35" w:rsidRPr="00C223AB" w:rsidRDefault="003F3B35" w:rsidP="00C223AB">
                  <w:pPr>
                    <w:rPr>
                      <w:rFonts w:ascii="Arial" w:eastAsia="Times New Roman" w:hAnsi="Arial" w:cs="Arial"/>
                      <w:color w:val="000000"/>
                      <w:lang w:val="en-GB"/>
                    </w:rPr>
                  </w:pPr>
                  <w:r>
                    <w:rPr>
                      <w:rFonts w:ascii="Arial" w:eastAsia="Times New Roman" w:hAnsi="Arial" w:cs="Arial"/>
                      <w:color w:val="000000"/>
                      <w:lang w:val="en-GB"/>
                    </w:rPr>
                    <w:t>2694</w:t>
                  </w:r>
                </w:p>
              </w:tc>
            </w:tr>
            <w:tr w:rsidR="003F3B35" w:rsidRPr="00C223AB" w14:paraId="74D181C0" w14:textId="0E51F651" w:rsidTr="003F3B35">
              <w:trPr>
                <w:trHeight w:val="300"/>
              </w:trPr>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3460147E" w14:textId="77777777" w:rsidR="003F3B35" w:rsidRPr="00C223AB" w:rsidRDefault="003F3B35" w:rsidP="00C223AB">
                  <w:pPr>
                    <w:rPr>
                      <w:rFonts w:ascii="Arial" w:eastAsia="Times New Roman" w:hAnsi="Arial" w:cs="Arial"/>
                      <w:color w:val="000000"/>
                      <w:lang w:val="en-GB"/>
                    </w:rPr>
                  </w:pPr>
                  <w:r w:rsidRPr="00C223AB">
                    <w:rPr>
                      <w:rFonts w:ascii="Arial" w:eastAsia="Times New Roman" w:hAnsi="Arial" w:cs="Arial"/>
                      <w:color w:val="000000"/>
                      <w:lang w:val="en-GB"/>
                    </w:rPr>
                    <w:t>LDL size, nm</w:t>
                  </w:r>
                </w:p>
              </w:tc>
              <w:tc>
                <w:tcPr>
                  <w:tcW w:w="2260" w:type="dxa"/>
                  <w:tcBorders>
                    <w:top w:val="nil"/>
                    <w:left w:val="nil"/>
                    <w:bottom w:val="single" w:sz="4" w:space="0" w:color="auto"/>
                    <w:right w:val="single" w:sz="4" w:space="0" w:color="auto"/>
                  </w:tcBorders>
                  <w:shd w:val="clear" w:color="auto" w:fill="auto"/>
                  <w:noWrap/>
                  <w:vAlign w:val="bottom"/>
                  <w:hideMark/>
                </w:tcPr>
                <w:p w14:paraId="64FEFD23" w14:textId="77777777" w:rsidR="003F3B35" w:rsidRPr="00C223AB" w:rsidRDefault="003F3B35" w:rsidP="00C223AB">
                  <w:pPr>
                    <w:rPr>
                      <w:rFonts w:ascii="Arial" w:eastAsia="Times New Roman" w:hAnsi="Arial" w:cs="Arial"/>
                      <w:color w:val="000000"/>
                      <w:lang w:val="en-GB"/>
                    </w:rPr>
                  </w:pPr>
                  <w:r w:rsidRPr="00C223AB">
                    <w:rPr>
                      <w:rFonts w:ascii="Arial" w:eastAsia="Times New Roman" w:hAnsi="Arial" w:cs="Arial"/>
                      <w:color w:val="000000"/>
                      <w:lang w:val="en-GB"/>
                    </w:rPr>
                    <w:t>-0.22</w:t>
                  </w:r>
                </w:p>
              </w:tc>
              <w:tc>
                <w:tcPr>
                  <w:tcW w:w="1419" w:type="dxa"/>
                  <w:tcBorders>
                    <w:top w:val="nil"/>
                    <w:left w:val="nil"/>
                    <w:bottom w:val="single" w:sz="4" w:space="0" w:color="auto"/>
                    <w:right w:val="single" w:sz="4" w:space="0" w:color="auto"/>
                  </w:tcBorders>
                  <w:shd w:val="clear" w:color="auto" w:fill="auto"/>
                  <w:noWrap/>
                  <w:vAlign w:val="bottom"/>
                  <w:hideMark/>
                </w:tcPr>
                <w:p w14:paraId="25421FFA" w14:textId="77777777" w:rsidR="003F3B35" w:rsidRPr="00C223AB" w:rsidRDefault="003F3B35" w:rsidP="00C223AB">
                  <w:pPr>
                    <w:rPr>
                      <w:rFonts w:ascii="Arial" w:eastAsia="Times New Roman" w:hAnsi="Arial" w:cs="Arial"/>
                      <w:color w:val="000000"/>
                      <w:lang w:val="en-GB"/>
                    </w:rPr>
                  </w:pPr>
                  <w:r w:rsidRPr="00C223AB">
                    <w:rPr>
                      <w:rFonts w:ascii="Arial" w:eastAsia="Times New Roman" w:hAnsi="Arial" w:cs="Arial"/>
                      <w:color w:val="000000"/>
                      <w:lang w:val="en-GB"/>
                    </w:rPr>
                    <w:t>&lt;0.001</w:t>
                  </w:r>
                </w:p>
              </w:tc>
              <w:tc>
                <w:tcPr>
                  <w:tcW w:w="1419" w:type="dxa"/>
                  <w:tcBorders>
                    <w:top w:val="nil"/>
                    <w:left w:val="nil"/>
                    <w:bottom w:val="single" w:sz="4" w:space="0" w:color="auto"/>
                    <w:right w:val="single" w:sz="4" w:space="0" w:color="auto"/>
                  </w:tcBorders>
                </w:tcPr>
                <w:p w14:paraId="796347A1" w14:textId="1ADEAB9D" w:rsidR="003F3B35" w:rsidRPr="00C223AB" w:rsidRDefault="003F3B35" w:rsidP="00C223AB">
                  <w:pPr>
                    <w:rPr>
                      <w:rFonts w:ascii="Arial" w:eastAsia="Times New Roman" w:hAnsi="Arial" w:cs="Arial"/>
                      <w:color w:val="000000"/>
                      <w:lang w:val="en-GB"/>
                    </w:rPr>
                  </w:pPr>
                  <w:r>
                    <w:rPr>
                      <w:rFonts w:ascii="Arial" w:eastAsia="Times New Roman" w:hAnsi="Arial" w:cs="Arial"/>
                      <w:color w:val="000000"/>
                      <w:lang w:val="en-GB"/>
                    </w:rPr>
                    <w:t>2694</w:t>
                  </w:r>
                </w:p>
              </w:tc>
            </w:tr>
            <w:tr w:rsidR="003F3B35" w:rsidRPr="00C223AB" w14:paraId="3194335F" w14:textId="70BFF341" w:rsidTr="003F3B35">
              <w:trPr>
                <w:trHeight w:val="300"/>
              </w:trPr>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246B8AFA" w14:textId="77777777" w:rsidR="003F3B35" w:rsidRPr="00C223AB" w:rsidRDefault="003F3B35" w:rsidP="00C223AB">
                  <w:pPr>
                    <w:rPr>
                      <w:rFonts w:ascii="Arial" w:eastAsia="Times New Roman" w:hAnsi="Arial" w:cs="Arial"/>
                      <w:color w:val="000000"/>
                      <w:lang w:val="en-GB"/>
                    </w:rPr>
                  </w:pPr>
                  <w:r w:rsidRPr="00C223AB">
                    <w:rPr>
                      <w:rFonts w:ascii="Arial" w:eastAsia="Times New Roman" w:hAnsi="Arial" w:cs="Arial"/>
                      <w:color w:val="000000"/>
                      <w:lang w:val="en-GB"/>
                    </w:rPr>
                    <w:t>Large LDL, nmol/L</w:t>
                  </w:r>
                </w:p>
              </w:tc>
              <w:tc>
                <w:tcPr>
                  <w:tcW w:w="2260" w:type="dxa"/>
                  <w:tcBorders>
                    <w:top w:val="nil"/>
                    <w:left w:val="nil"/>
                    <w:bottom w:val="single" w:sz="4" w:space="0" w:color="auto"/>
                    <w:right w:val="single" w:sz="4" w:space="0" w:color="auto"/>
                  </w:tcBorders>
                  <w:shd w:val="clear" w:color="auto" w:fill="auto"/>
                  <w:noWrap/>
                  <w:vAlign w:val="bottom"/>
                  <w:hideMark/>
                </w:tcPr>
                <w:p w14:paraId="4CBF65C5" w14:textId="77777777" w:rsidR="003F3B35" w:rsidRPr="00C223AB" w:rsidRDefault="003F3B35" w:rsidP="00C223AB">
                  <w:pPr>
                    <w:rPr>
                      <w:rFonts w:ascii="Arial" w:eastAsia="Times New Roman" w:hAnsi="Arial" w:cs="Arial"/>
                      <w:color w:val="000000"/>
                      <w:lang w:val="en-GB"/>
                    </w:rPr>
                  </w:pPr>
                  <w:r w:rsidRPr="00C223AB">
                    <w:rPr>
                      <w:rFonts w:ascii="Arial" w:eastAsia="Times New Roman" w:hAnsi="Arial" w:cs="Arial"/>
                      <w:color w:val="000000"/>
                      <w:lang w:val="en-GB"/>
                    </w:rPr>
                    <w:t>-0.11</w:t>
                  </w:r>
                </w:p>
              </w:tc>
              <w:tc>
                <w:tcPr>
                  <w:tcW w:w="1419" w:type="dxa"/>
                  <w:tcBorders>
                    <w:top w:val="nil"/>
                    <w:left w:val="nil"/>
                    <w:bottom w:val="single" w:sz="4" w:space="0" w:color="auto"/>
                    <w:right w:val="single" w:sz="4" w:space="0" w:color="auto"/>
                  </w:tcBorders>
                  <w:shd w:val="clear" w:color="auto" w:fill="auto"/>
                  <w:noWrap/>
                  <w:vAlign w:val="bottom"/>
                  <w:hideMark/>
                </w:tcPr>
                <w:p w14:paraId="65B0254F" w14:textId="77777777" w:rsidR="003F3B35" w:rsidRPr="00C223AB" w:rsidRDefault="003F3B35" w:rsidP="00C223AB">
                  <w:pPr>
                    <w:rPr>
                      <w:rFonts w:ascii="Arial" w:eastAsia="Times New Roman" w:hAnsi="Arial" w:cs="Arial"/>
                      <w:color w:val="000000"/>
                      <w:lang w:val="en-GB"/>
                    </w:rPr>
                  </w:pPr>
                  <w:r w:rsidRPr="00C223AB">
                    <w:rPr>
                      <w:rFonts w:ascii="Arial" w:eastAsia="Times New Roman" w:hAnsi="Arial" w:cs="Arial"/>
                      <w:color w:val="000000"/>
                      <w:lang w:val="en-GB"/>
                    </w:rPr>
                    <w:t>&lt;0.001</w:t>
                  </w:r>
                </w:p>
              </w:tc>
              <w:tc>
                <w:tcPr>
                  <w:tcW w:w="1419" w:type="dxa"/>
                  <w:tcBorders>
                    <w:top w:val="nil"/>
                    <w:left w:val="nil"/>
                    <w:bottom w:val="single" w:sz="4" w:space="0" w:color="auto"/>
                    <w:right w:val="single" w:sz="4" w:space="0" w:color="auto"/>
                  </w:tcBorders>
                </w:tcPr>
                <w:p w14:paraId="0EE409EA" w14:textId="6B6A6D97" w:rsidR="003F3B35" w:rsidRPr="00C223AB" w:rsidRDefault="003F3B35" w:rsidP="00C223AB">
                  <w:pPr>
                    <w:rPr>
                      <w:rFonts w:ascii="Arial" w:eastAsia="Times New Roman" w:hAnsi="Arial" w:cs="Arial"/>
                      <w:color w:val="000000"/>
                      <w:lang w:val="en-GB"/>
                    </w:rPr>
                  </w:pPr>
                  <w:r>
                    <w:rPr>
                      <w:rFonts w:ascii="Arial" w:eastAsia="Times New Roman" w:hAnsi="Arial" w:cs="Arial"/>
                      <w:color w:val="000000"/>
                      <w:lang w:val="en-GB"/>
                    </w:rPr>
                    <w:t>2694</w:t>
                  </w:r>
                </w:p>
              </w:tc>
            </w:tr>
            <w:tr w:rsidR="003F3B35" w:rsidRPr="00C223AB" w14:paraId="438A702F" w14:textId="5D5D0EE0" w:rsidTr="003F3B35">
              <w:trPr>
                <w:trHeight w:val="300"/>
              </w:trPr>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1D839E07" w14:textId="77777777" w:rsidR="003F3B35" w:rsidRPr="00C223AB" w:rsidRDefault="003F3B35" w:rsidP="00C223AB">
                  <w:pPr>
                    <w:rPr>
                      <w:rFonts w:ascii="Arial" w:eastAsia="Times New Roman" w:hAnsi="Arial" w:cs="Arial"/>
                      <w:color w:val="000000"/>
                      <w:lang w:val="en-GB"/>
                    </w:rPr>
                  </w:pPr>
                  <w:r w:rsidRPr="00C223AB">
                    <w:rPr>
                      <w:rFonts w:ascii="Arial" w:eastAsia="Times New Roman" w:hAnsi="Arial" w:cs="Arial"/>
                      <w:color w:val="000000"/>
                      <w:lang w:val="en-GB"/>
                    </w:rPr>
                    <w:t>Small LDL, nmol/L</w:t>
                  </w:r>
                </w:p>
              </w:tc>
              <w:tc>
                <w:tcPr>
                  <w:tcW w:w="2260" w:type="dxa"/>
                  <w:tcBorders>
                    <w:top w:val="nil"/>
                    <w:left w:val="nil"/>
                    <w:bottom w:val="single" w:sz="4" w:space="0" w:color="auto"/>
                    <w:right w:val="single" w:sz="4" w:space="0" w:color="auto"/>
                  </w:tcBorders>
                  <w:shd w:val="clear" w:color="auto" w:fill="auto"/>
                  <w:noWrap/>
                  <w:vAlign w:val="bottom"/>
                  <w:hideMark/>
                </w:tcPr>
                <w:p w14:paraId="5D523634" w14:textId="77777777" w:rsidR="003F3B35" w:rsidRPr="00C223AB" w:rsidRDefault="003F3B35" w:rsidP="00C223AB">
                  <w:pPr>
                    <w:rPr>
                      <w:rFonts w:ascii="Arial" w:eastAsia="Times New Roman" w:hAnsi="Arial" w:cs="Arial"/>
                      <w:color w:val="000000"/>
                      <w:lang w:val="en-GB"/>
                    </w:rPr>
                  </w:pPr>
                  <w:r w:rsidRPr="00C223AB">
                    <w:rPr>
                      <w:rFonts w:ascii="Arial" w:eastAsia="Times New Roman" w:hAnsi="Arial" w:cs="Arial"/>
                      <w:color w:val="000000"/>
                      <w:lang w:val="en-GB"/>
                    </w:rPr>
                    <w:t>0.26</w:t>
                  </w:r>
                </w:p>
              </w:tc>
              <w:tc>
                <w:tcPr>
                  <w:tcW w:w="1419" w:type="dxa"/>
                  <w:tcBorders>
                    <w:top w:val="nil"/>
                    <w:left w:val="nil"/>
                    <w:bottom w:val="single" w:sz="4" w:space="0" w:color="auto"/>
                    <w:right w:val="single" w:sz="4" w:space="0" w:color="auto"/>
                  </w:tcBorders>
                  <w:shd w:val="clear" w:color="auto" w:fill="auto"/>
                  <w:noWrap/>
                  <w:vAlign w:val="bottom"/>
                  <w:hideMark/>
                </w:tcPr>
                <w:p w14:paraId="35F6438E" w14:textId="77777777" w:rsidR="003F3B35" w:rsidRPr="00C223AB" w:rsidRDefault="003F3B35" w:rsidP="00C223AB">
                  <w:pPr>
                    <w:rPr>
                      <w:rFonts w:ascii="Arial" w:eastAsia="Times New Roman" w:hAnsi="Arial" w:cs="Arial"/>
                      <w:color w:val="000000"/>
                      <w:lang w:val="en-GB"/>
                    </w:rPr>
                  </w:pPr>
                  <w:r w:rsidRPr="00C223AB">
                    <w:rPr>
                      <w:rFonts w:ascii="Arial" w:eastAsia="Times New Roman" w:hAnsi="Arial" w:cs="Arial"/>
                      <w:color w:val="000000"/>
                      <w:lang w:val="en-GB"/>
                    </w:rPr>
                    <w:t>&lt;0.001</w:t>
                  </w:r>
                </w:p>
              </w:tc>
              <w:tc>
                <w:tcPr>
                  <w:tcW w:w="1419" w:type="dxa"/>
                  <w:tcBorders>
                    <w:top w:val="nil"/>
                    <w:left w:val="nil"/>
                    <w:bottom w:val="single" w:sz="4" w:space="0" w:color="auto"/>
                    <w:right w:val="single" w:sz="4" w:space="0" w:color="auto"/>
                  </w:tcBorders>
                </w:tcPr>
                <w:p w14:paraId="5610A268" w14:textId="6CFB259A" w:rsidR="003F3B35" w:rsidRPr="00C223AB" w:rsidRDefault="003F3B35" w:rsidP="00C223AB">
                  <w:pPr>
                    <w:rPr>
                      <w:rFonts w:ascii="Arial" w:eastAsia="Times New Roman" w:hAnsi="Arial" w:cs="Arial"/>
                      <w:color w:val="000000"/>
                      <w:lang w:val="en-GB"/>
                    </w:rPr>
                  </w:pPr>
                  <w:r>
                    <w:rPr>
                      <w:rFonts w:ascii="Arial" w:eastAsia="Times New Roman" w:hAnsi="Arial" w:cs="Arial"/>
                      <w:color w:val="000000"/>
                      <w:lang w:val="en-GB"/>
                    </w:rPr>
                    <w:t>2694</w:t>
                  </w:r>
                </w:p>
              </w:tc>
            </w:tr>
            <w:tr w:rsidR="003F3B35" w:rsidRPr="00C223AB" w14:paraId="1DD7F019" w14:textId="5733535C" w:rsidTr="003F3B35">
              <w:trPr>
                <w:trHeight w:val="300"/>
              </w:trPr>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30FE8D7F" w14:textId="77777777" w:rsidR="003F3B35" w:rsidRPr="00C223AB" w:rsidRDefault="003F3B35" w:rsidP="00C223AB">
                  <w:pPr>
                    <w:rPr>
                      <w:rFonts w:ascii="Arial" w:eastAsia="Times New Roman" w:hAnsi="Arial" w:cs="Arial"/>
                      <w:color w:val="000000"/>
                      <w:lang w:val="en-GB"/>
                    </w:rPr>
                  </w:pPr>
                  <w:r w:rsidRPr="00C223AB">
                    <w:rPr>
                      <w:rFonts w:ascii="Arial" w:eastAsia="Times New Roman" w:hAnsi="Arial" w:cs="Arial"/>
                      <w:color w:val="000000"/>
                      <w:lang w:val="en-GB"/>
                    </w:rPr>
                    <w:t>HDL particles, nmol/L</w:t>
                  </w:r>
                </w:p>
              </w:tc>
              <w:tc>
                <w:tcPr>
                  <w:tcW w:w="2260" w:type="dxa"/>
                  <w:tcBorders>
                    <w:top w:val="nil"/>
                    <w:left w:val="nil"/>
                    <w:bottom w:val="single" w:sz="4" w:space="0" w:color="auto"/>
                    <w:right w:val="single" w:sz="4" w:space="0" w:color="auto"/>
                  </w:tcBorders>
                  <w:shd w:val="clear" w:color="auto" w:fill="auto"/>
                  <w:noWrap/>
                  <w:vAlign w:val="bottom"/>
                  <w:hideMark/>
                </w:tcPr>
                <w:p w14:paraId="3087137C" w14:textId="77777777" w:rsidR="003F3B35" w:rsidRPr="00C223AB" w:rsidRDefault="003F3B35" w:rsidP="00C223AB">
                  <w:pPr>
                    <w:rPr>
                      <w:rFonts w:ascii="Arial" w:eastAsia="Times New Roman" w:hAnsi="Arial" w:cs="Arial"/>
                      <w:color w:val="000000"/>
                      <w:lang w:val="en-GB"/>
                    </w:rPr>
                  </w:pPr>
                  <w:r w:rsidRPr="00C223AB">
                    <w:rPr>
                      <w:rFonts w:ascii="Arial" w:eastAsia="Times New Roman" w:hAnsi="Arial" w:cs="Arial"/>
                      <w:color w:val="000000"/>
                      <w:lang w:val="en-GB"/>
                    </w:rPr>
                    <w:t>0.20</w:t>
                  </w:r>
                </w:p>
              </w:tc>
              <w:tc>
                <w:tcPr>
                  <w:tcW w:w="1419" w:type="dxa"/>
                  <w:tcBorders>
                    <w:top w:val="nil"/>
                    <w:left w:val="nil"/>
                    <w:bottom w:val="single" w:sz="4" w:space="0" w:color="auto"/>
                    <w:right w:val="single" w:sz="4" w:space="0" w:color="auto"/>
                  </w:tcBorders>
                  <w:shd w:val="clear" w:color="auto" w:fill="auto"/>
                  <w:noWrap/>
                  <w:vAlign w:val="bottom"/>
                  <w:hideMark/>
                </w:tcPr>
                <w:p w14:paraId="4903476D" w14:textId="77777777" w:rsidR="003F3B35" w:rsidRPr="00C223AB" w:rsidRDefault="003F3B35" w:rsidP="00C223AB">
                  <w:pPr>
                    <w:rPr>
                      <w:rFonts w:ascii="Arial" w:eastAsia="Times New Roman" w:hAnsi="Arial" w:cs="Arial"/>
                      <w:color w:val="000000"/>
                      <w:lang w:val="en-GB"/>
                    </w:rPr>
                  </w:pPr>
                  <w:r w:rsidRPr="00C223AB">
                    <w:rPr>
                      <w:rFonts w:ascii="Arial" w:eastAsia="Times New Roman" w:hAnsi="Arial" w:cs="Arial"/>
                      <w:color w:val="000000"/>
                      <w:lang w:val="en-GB"/>
                    </w:rPr>
                    <w:t>&lt;0.001</w:t>
                  </w:r>
                </w:p>
              </w:tc>
              <w:tc>
                <w:tcPr>
                  <w:tcW w:w="1419" w:type="dxa"/>
                  <w:tcBorders>
                    <w:top w:val="nil"/>
                    <w:left w:val="nil"/>
                    <w:bottom w:val="single" w:sz="4" w:space="0" w:color="auto"/>
                    <w:right w:val="single" w:sz="4" w:space="0" w:color="auto"/>
                  </w:tcBorders>
                </w:tcPr>
                <w:p w14:paraId="6711D99E" w14:textId="79DE6693" w:rsidR="003F3B35" w:rsidRPr="00C223AB" w:rsidRDefault="003F3B35" w:rsidP="00C223AB">
                  <w:pPr>
                    <w:rPr>
                      <w:rFonts w:ascii="Arial" w:eastAsia="Times New Roman" w:hAnsi="Arial" w:cs="Arial"/>
                      <w:color w:val="000000"/>
                      <w:lang w:val="en-GB"/>
                    </w:rPr>
                  </w:pPr>
                  <w:r>
                    <w:rPr>
                      <w:rFonts w:ascii="Arial" w:eastAsia="Times New Roman" w:hAnsi="Arial" w:cs="Arial"/>
                      <w:color w:val="000000"/>
                      <w:lang w:val="en-GB"/>
                    </w:rPr>
                    <w:t>2694</w:t>
                  </w:r>
                </w:p>
              </w:tc>
            </w:tr>
            <w:tr w:rsidR="003F3B35" w:rsidRPr="00C223AB" w14:paraId="10936116" w14:textId="32D68380" w:rsidTr="003F3B35">
              <w:trPr>
                <w:trHeight w:val="300"/>
              </w:trPr>
              <w:tc>
                <w:tcPr>
                  <w:tcW w:w="3920" w:type="dxa"/>
                  <w:tcBorders>
                    <w:top w:val="nil"/>
                    <w:left w:val="nil"/>
                    <w:bottom w:val="nil"/>
                    <w:right w:val="nil"/>
                  </w:tcBorders>
                  <w:shd w:val="clear" w:color="auto" w:fill="auto"/>
                  <w:noWrap/>
                  <w:vAlign w:val="bottom"/>
                  <w:hideMark/>
                </w:tcPr>
                <w:p w14:paraId="38ACA2CA" w14:textId="77777777" w:rsidR="003F3B35" w:rsidRPr="00C223AB" w:rsidRDefault="003F3B35" w:rsidP="00C223AB">
                  <w:pPr>
                    <w:ind w:left="720"/>
                    <w:contextualSpacing/>
                    <w:rPr>
                      <w:rFonts w:ascii="Arial" w:eastAsia="Times New Roman" w:hAnsi="Arial" w:cs="Arial"/>
                      <w:color w:val="000000"/>
                      <w:lang w:val="en-GB"/>
                    </w:rPr>
                  </w:pPr>
                </w:p>
              </w:tc>
              <w:tc>
                <w:tcPr>
                  <w:tcW w:w="2260" w:type="dxa"/>
                  <w:tcBorders>
                    <w:top w:val="nil"/>
                    <w:left w:val="nil"/>
                    <w:bottom w:val="nil"/>
                    <w:right w:val="nil"/>
                  </w:tcBorders>
                  <w:shd w:val="clear" w:color="auto" w:fill="auto"/>
                  <w:noWrap/>
                  <w:vAlign w:val="bottom"/>
                  <w:hideMark/>
                </w:tcPr>
                <w:p w14:paraId="51EDF999" w14:textId="77777777" w:rsidR="003F3B35" w:rsidRPr="00C223AB" w:rsidRDefault="003F3B35" w:rsidP="00C223AB">
                  <w:pPr>
                    <w:ind w:left="720"/>
                    <w:contextualSpacing/>
                    <w:rPr>
                      <w:rFonts w:ascii="Arial" w:eastAsia="Times New Roman" w:hAnsi="Arial" w:cs="Arial"/>
                      <w:color w:val="000000"/>
                      <w:lang w:val="en-GB"/>
                    </w:rPr>
                  </w:pPr>
                </w:p>
              </w:tc>
              <w:tc>
                <w:tcPr>
                  <w:tcW w:w="1419" w:type="dxa"/>
                  <w:tcBorders>
                    <w:top w:val="nil"/>
                    <w:left w:val="nil"/>
                    <w:bottom w:val="nil"/>
                    <w:right w:val="nil"/>
                  </w:tcBorders>
                  <w:shd w:val="clear" w:color="auto" w:fill="auto"/>
                  <w:noWrap/>
                  <w:vAlign w:val="bottom"/>
                  <w:hideMark/>
                </w:tcPr>
                <w:p w14:paraId="318D30BC" w14:textId="77777777" w:rsidR="003F3B35" w:rsidRPr="00C223AB" w:rsidRDefault="003F3B35" w:rsidP="00C223AB">
                  <w:pPr>
                    <w:ind w:left="720"/>
                    <w:contextualSpacing/>
                    <w:rPr>
                      <w:rFonts w:ascii="Arial" w:eastAsia="Times New Roman" w:hAnsi="Arial" w:cs="Arial"/>
                      <w:color w:val="000000"/>
                      <w:lang w:val="en-GB"/>
                    </w:rPr>
                  </w:pPr>
                </w:p>
              </w:tc>
              <w:tc>
                <w:tcPr>
                  <w:tcW w:w="1419" w:type="dxa"/>
                  <w:tcBorders>
                    <w:top w:val="nil"/>
                    <w:left w:val="nil"/>
                    <w:bottom w:val="nil"/>
                    <w:right w:val="nil"/>
                  </w:tcBorders>
                </w:tcPr>
                <w:p w14:paraId="6A7F9E10" w14:textId="77777777" w:rsidR="003F3B35" w:rsidRPr="00C223AB" w:rsidRDefault="003F3B35" w:rsidP="00C223AB">
                  <w:pPr>
                    <w:ind w:left="720"/>
                    <w:contextualSpacing/>
                    <w:rPr>
                      <w:rFonts w:ascii="Arial" w:eastAsia="Times New Roman" w:hAnsi="Arial" w:cs="Arial"/>
                      <w:color w:val="000000"/>
                      <w:lang w:val="en-GB"/>
                    </w:rPr>
                  </w:pPr>
                </w:p>
              </w:tc>
            </w:tr>
            <w:tr w:rsidR="003F3B35" w:rsidRPr="00C223AB" w14:paraId="54937B32" w14:textId="3CDFC07A" w:rsidTr="003F3B35">
              <w:trPr>
                <w:trHeight w:val="300"/>
              </w:trPr>
              <w:tc>
                <w:tcPr>
                  <w:tcW w:w="3920" w:type="dxa"/>
                  <w:tcBorders>
                    <w:top w:val="nil"/>
                    <w:left w:val="nil"/>
                    <w:bottom w:val="nil"/>
                    <w:right w:val="nil"/>
                  </w:tcBorders>
                  <w:shd w:val="clear" w:color="auto" w:fill="auto"/>
                  <w:noWrap/>
                  <w:vAlign w:val="bottom"/>
                  <w:hideMark/>
                </w:tcPr>
                <w:p w14:paraId="010032BB" w14:textId="77777777" w:rsidR="003F3B35" w:rsidRPr="00C223AB" w:rsidRDefault="003F3B35" w:rsidP="00C223AB">
                  <w:pPr>
                    <w:rPr>
                      <w:rFonts w:ascii="Arial" w:eastAsia="Times New Roman" w:hAnsi="Arial" w:cs="Arial"/>
                      <w:b/>
                      <w:bCs/>
                      <w:color w:val="000000"/>
                      <w:lang w:val="en-GB"/>
                    </w:rPr>
                  </w:pPr>
                  <w:r w:rsidRPr="00C223AB">
                    <w:rPr>
                      <w:rFonts w:ascii="Arial" w:eastAsia="Times New Roman" w:hAnsi="Arial" w:cs="Arial"/>
                      <w:b/>
                      <w:bCs/>
                      <w:color w:val="000000"/>
                      <w:lang w:val="en-GB"/>
                    </w:rPr>
                    <w:t>TRL metabolism</w:t>
                  </w:r>
                </w:p>
              </w:tc>
              <w:tc>
                <w:tcPr>
                  <w:tcW w:w="2260" w:type="dxa"/>
                  <w:tcBorders>
                    <w:top w:val="nil"/>
                    <w:left w:val="nil"/>
                    <w:bottom w:val="nil"/>
                    <w:right w:val="nil"/>
                  </w:tcBorders>
                  <w:shd w:val="clear" w:color="auto" w:fill="auto"/>
                  <w:noWrap/>
                  <w:vAlign w:val="bottom"/>
                  <w:hideMark/>
                </w:tcPr>
                <w:p w14:paraId="7FA6EA13" w14:textId="77777777" w:rsidR="003F3B35" w:rsidRPr="00C223AB" w:rsidRDefault="003F3B35" w:rsidP="00C223AB">
                  <w:pPr>
                    <w:ind w:left="720"/>
                    <w:contextualSpacing/>
                    <w:rPr>
                      <w:rFonts w:ascii="Arial" w:eastAsia="Times New Roman" w:hAnsi="Arial" w:cs="Arial"/>
                      <w:color w:val="000000"/>
                      <w:lang w:val="en-GB"/>
                    </w:rPr>
                  </w:pPr>
                </w:p>
              </w:tc>
              <w:tc>
                <w:tcPr>
                  <w:tcW w:w="1419" w:type="dxa"/>
                  <w:tcBorders>
                    <w:top w:val="nil"/>
                    <w:left w:val="nil"/>
                    <w:bottom w:val="nil"/>
                    <w:right w:val="nil"/>
                  </w:tcBorders>
                  <w:shd w:val="clear" w:color="auto" w:fill="auto"/>
                  <w:noWrap/>
                  <w:vAlign w:val="bottom"/>
                  <w:hideMark/>
                </w:tcPr>
                <w:p w14:paraId="416ED94F" w14:textId="77777777" w:rsidR="003F3B35" w:rsidRPr="00C223AB" w:rsidRDefault="003F3B35" w:rsidP="00C223AB">
                  <w:pPr>
                    <w:ind w:left="720"/>
                    <w:contextualSpacing/>
                    <w:rPr>
                      <w:rFonts w:ascii="Arial" w:eastAsia="Times New Roman" w:hAnsi="Arial" w:cs="Arial"/>
                      <w:color w:val="000000"/>
                      <w:lang w:val="en-GB"/>
                    </w:rPr>
                  </w:pPr>
                </w:p>
              </w:tc>
              <w:tc>
                <w:tcPr>
                  <w:tcW w:w="1419" w:type="dxa"/>
                  <w:tcBorders>
                    <w:top w:val="nil"/>
                    <w:left w:val="nil"/>
                    <w:bottom w:val="nil"/>
                    <w:right w:val="nil"/>
                  </w:tcBorders>
                </w:tcPr>
                <w:p w14:paraId="6EE7DB0A" w14:textId="77777777" w:rsidR="003F3B35" w:rsidRPr="00C223AB" w:rsidRDefault="003F3B35" w:rsidP="00C223AB">
                  <w:pPr>
                    <w:ind w:left="720"/>
                    <w:contextualSpacing/>
                    <w:rPr>
                      <w:rFonts w:ascii="Arial" w:eastAsia="Times New Roman" w:hAnsi="Arial" w:cs="Arial"/>
                      <w:color w:val="000000"/>
                      <w:lang w:val="en-GB"/>
                    </w:rPr>
                  </w:pPr>
                </w:p>
              </w:tc>
            </w:tr>
            <w:tr w:rsidR="003F3B35" w:rsidRPr="00C223AB" w14:paraId="5B0AC170" w14:textId="4FCAFCDA" w:rsidTr="003F3B35">
              <w:trPr>
                <w:trHeight w:val="300"/>
              </w:trPr>
              <w:tc>
                <w:tcPr>
                  <w:tcW w:w="39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8EA22A7" w14:textId="77777777" w:rsidR="003F3B35" w:rsidRPr="00C223AB" w:rsidRDefault="003F3B35" w:rsidP="00C223AB">
                  <w:pPr>
                    <w:rPr>
                      <w:rFonts w:ascii="Arial" w:eastAsia="Times New Roman" w:hAnsi="Arial" w:cs="Arial"/>
                      <w:color w:val="000000"/>
                      <w:lang w:val="en-GB"/>
                    </w:rPr>
                  </w:pPr>
                  <w:r w:rsidRPr="00C223AB">
                    <w:rPr>
                      <w:rFonts w:ascii="Arial" w:eastAsia="Times New Roman" w:hAnsi="Arial" w:cs="Arial"/>
                      <w:color w:val="000000"/>
                      <w:lang w:val="en-GB"/>
                    </w:rPr>
                    <w:lastRenderedPageBreak/>
                    <w:t>Lipoprotein lipase, ng/ml</w:t>
                  </w:r>
                </w:p>
              </w:tc>
              <w:tc>
                <w:tcPr>
                  <w:tcW w:w="2260" w:type="dxa"/>
                  <w:tcBorders>
                    <w:top w:val="single" w:sz="4" w:space="0" w:color="auto"/>
                    <w:left w:val="nil"/>
                    <w:bottom w:val="single" w:sz="4" w:space="0" w:color="auto"/>
                    <w:right w:val="single" w:sz="4" w:space="0" w:color="auto"/>
                  </w:tcBorders>
                  <w:shd w:val="clear" w:color="auto" w:fill="auto"/>
                  <w:noWrap/>
                  <w:vAlign w:val="bottom"/>
                  <w:hideMark/>
                </w:tcPr>
                <w:p w14:paraId="09403351" w14:textId="77777777" w:rsidR="003F3B35" w:rsidRPr="00C223AB" w:rsidRDefault="003F3B35" w:rsidP="00C223AB">
                  <w:pPr>
                    <w:rPr>
                      <w:rFonts w:ascii="Arial" w:eastAsia="Times New Roman" w:hAnsi="Arial" w:cs="Arial"/>
                      <w:color w:val="000000"/>
                      <w:lang w:val="en-GB"/>
                    </w:rPr>
                  </w:pPr>
                  <w:r w:rsidRPr="00C223AB">
                    <w:rPr>
                      <w:rFonts w:ascii="Arial" w:eastAsia="Times New Roman" w:hAnsi="Arial" w:cs="Arial"/>
                      <w:color w:val="000000"/>
                      <w:lang w:val="en-GB"/>
                    </w:rPr>
                    <w:t>-0.13</w:t>
                  </w:r>
                </w:p>
              </w:tc>
              <w:tc>
                <w:tcPr>
                  <w:tcW w:w="1419" w:type="dxa"/>
                  <w:tcBorders>
                    <w:top w:val="single" w:sz="4" w:space="0" w:color="auto"/>
                    <w:left w:val="nil"/>
                    <w:bottom w:val="single" w:sz="4" w:space="0" w:color="auto"/>
                    <w:right w:val="single" w:sz="4" w:space="0" w:color="auto"/>
                  </w:tcBorders>
                  <w:shd w:val="clear" w:color="auto" w:fill="auto"/>
                  <w:noWrap/>
                  <w:vAlign w:val="bottom"/>
                  <w:hideMark/>
                </w:tcPr>
                <w:p w14:paraId="7EFD6B4F" w14:textId="77777777" w:rsidR="003F3B35" w:rsidRPr="00C223AB" w:rsidRDefault="003F3B35" w:rsidP="00C223AB">
                  <w:pPr>
                    <w:rPr>
                      <w:rFonts w:ascii="Arial" w:eastAsia="Times New Roman" w:hAnsi="Arial" w:cs="Arial"/>
                      <w:color w:val="000000"/>
                      <w:lang w:val="en-GB"/>
                    </w:rPr>
                  </w:pPr>
                  <w:r w:rsidRPr="00C223AB">
                    <w:rPr>
                      <w:rFonts w:ascii="Arial" w:eastAsia="Times New Roman" w:hAnsi="Arial" w:cs="Arial"/>
                      <w:color w:val="000000"/>
                      <w:lang w:val="en-GB"/>
                    </w:rPr>
                    <w:t>&lt;0.001</w:t>
                  </w:r>
                </w:p>
              </w:tc>
              <w:tc>
                <w:tcPr>
                  <w:tcW w:w="1419" w:type="dxa"/>
                  <w:tcBorders>
                    <w:top w:val="single" w:sz="4" w:space="0" w:color="auto"/>
                    <w:left w:val="nil"/>
                    <w:bottom w:val="single" w:sz="4" w:space="0" w:color="auto"/>
                    <w:right w:val="single" w:sz="4" w:space="0" w:color="auto"/>
                  </w:tcBorders>
                </w:tcPr>
                <w:p w14:paraId="39531887" w14:textId="4286FC60" w:rsidR="003F3B35" w:rsidRPr="00C223AB" w:rsidRDefault="001122FB" w:rsidP="00C223AB">
                  <w:pPr>
                    <w:rPr>
                      <w:rFonts w:ascii="Arial" w:eastAsia="Times New Roman" w:hAnsi="Arial" w:cs="Arial"/>
                      <w:color w:val="000000"/>
                      <w:lang w:val="en-GB"/>
                    </w:rPr>
                  </w:pPr>
                  <w:r>
                    <w:rPr>
                      <w:rFonts w:ascii="Arial" w:eastAsia="Times New Roman" w:hAnsi="Arial" w:cs="Arial"/>
                      <w:color w:val="000000"/>
                      <w:lang w:val="en-GB"/>
                    </w:rPr>
                    <w:t>2675</w:t>
                  </w:r>
                </w:p>
              </w:tc>
            </w:tr>
            <w:tr w:rsidR="003F3B35" w:rsidRPr="00C223AB" w14:paraId="1BB0A051" w14:textId="43E0CB02" w:rsidTr="003F3B35">
              <w:trPr>
                <w:trHeight w:val="300"/>
              </w:trPr>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46ABDCC0" w14:textId="77777777" w:rsidR="003F3B35" w:rsidRPr="00C223AB" w:rsidRDefault="003F3B35" w:rsidP="00C223AB">
                  <w:pPr>
                    <w:rPr>
                      <w:rFonts w:ascii="Arial" w:eastAsia="Times New Roman" w:hAnsi="Arial" w:cs="Arial"/>
                      <w:color w:val="000000"/>
                      <w:lang w:val="en-GB"/>
                    </w:rPr>
                  </w:pPr>
                  <w:r w:rsidRPr="00C223AB">
                    <w:rPr>
                      <w:rFonts w:ascii="Arial" w:eastAsia="Times New Roman" w:hAnsi="Arial" w:cs="Arial"/>
                      <w:color w:val="000000"/>
                      <w:lang w:val="en-GB"/>
                    </w:rPr>
                    <w:t>Apolipoprotein A-V, ng/ml</w:t>
                  </w:r>
                </w:p>
              </w:tc>
              <w:tc>
                <w:tcPr>
                  <w:tcW w:w="2260" w:type="dxa"/>
                  <w:tcBorders>
                    <w:top w:val="nil"/>
                    <w:left w:val="nil"/>
                    <w:bottom w:val="single" w:sz="4" w:space="0" w:color="auto"/>
                    <w:right w:val="single" w:sz="4" w:space="0" w:color="auto"/>
                  </w:tcBorders>
                  <w:shd w:val="clear" w:color="auto" w:fill="auto"/>
                  <w:noWrap/>
                  <w:vAlign w:val="bottom"/>
                  <w:hideMark/>
                </w:tcPr>
                <w:p w14:paraId="4A407D47" w14:textId="77777777" w:rsidR="003F3B35" w:rsidRPr="00C223AB" w:rsidRDefault="003F3B35" w:rsidP="00C223AB">
                  <w:pPr>
                    <w:rPr>
                      <w:rFonts w:ascii="Arial" w:eastAsia="Times New Roman" w:hAnsi="Arial" w:cs="Arial"/>
                      <w:color w:val="000000"/>
                      <w:lang w:val="en-GB"/>
                    </w:rPr>
                  </w:pPr>
                  <w:r w:rsidRPr="00C223AB">
                    <w:rPr>
                      <w:rFonts w:ascii="Arial" w:eastAsia="Times New Roman" w:hAnsi="Arial" w:cs="Arial"/>
                      <w:color w:val="000000"/>
                      <w:lang w:val="en-GB"/>
                    </w:rPr>
                    <w:t>0.21</w:t>
                  </w:r>
                </w:p>
              </w:tc>
              <w:tc>
                <w:tcPr>
                  <w:tcW w:w="1419" w:type="dxa"/>
                  <w:tcBorders>
                    <w:top w:val="nil"/>
                    <w:left w:val="nil"/>
                    <w:bottom w:val="single" w:sz="4" w:space="0" w:color="auto"/>
                    <w:right w:val="single" w:sz="4" w:space="0" w:color="auto"/>
                  </w:tcBorders>
                  <w:shd w:val="clear" w:color="auto" w:fill="auto"/>
                  <w:noWrap/>
                  <w:vAlign w:val="bottom"/>
                  <w:hideMark/>
                </w:tcPr>
                <w:p w14:paraId="2712EA3B" w14:textId="77777777" w:rsidR="003F3B35" w:rsidRPr="00C223AB" w:rsidRDefault="003F3B35" w:rsidP="00C223AB">
                  <w:pPr>
                    <w:rPr>
                      <w:rFonts w:ascii="Arial" w:eastAsia="Times New Roman" w:hAnsi="Arial" w:cs="Arial"/>
                      <w:color w:val="000000"/>
                      <w:lang w:val="en-GB"/>
                    </w:rPr>
                  </w:pPr>
                  <w:r w:rsidRPr="00C223AB">
                    <w:rPr>
                      <w:rFonts w:ascii="Arial" w:eastAsia="Times New Roman" w:hAnsi="Arial" w:cs="Arial"/>
                      <w:color w:val="000000"/>
                      <w:lang w:val="en-GB"/>
                    </w:rPr>
                    <w:t>&lt;0.001</w:t>
                  </w:r>
                </w:p>
              </w:tc>
              <w:tc>
                <w:tcPr>
                  <w:tcW w:w="1419" w:type="dxa"/>
                  <w:tcBorders>
                    <w:top w:val="nil"/>
                    <w:left w:val="nil"/>
                    <w:bottom w:val="single" w:sz="4" w:space="0" w:color="auto"/>
                    <w:right w:val="single" w:sz="4" w:space="0" w:color="auto"/>
                  </w:tcBorders>
                </w:tcPr>
                <w:p w14:paraId="21D8EF02" w14:textId="4F8CC844" w:rsidR="003F3B35" w:rsidRPr="00C223AB" w:rsidRDefault="001122FB" w:rsidP="00C223AB">
                  <w:pPr>
                    <w:rPr>
                      <w:rFonts w:ascii="Arial" w:eastAsia="Times New Roman" w:hAnsi="Arial" w:cs="Arial"/>
                      <w:color w:val="000000"/>
                      <w:lang w:val="en-GB"/>
                    </w:rPr>
                  </w:pPr>
                  <w:r>
                    <w:rPr>
                      <w:rFonts w:ascii="Arial" w:eastAsia="Times New Roman" w:hAnsi="Arial" w:cs="Arial"/>
                      <w:color w:val="000000"/>
                      <w:lang w:val="en-GB"/>
                    </w:rPr>
                    <w:t>2616</w:t>
                  </w:r>
                </w:p>
              </w:tc>
            </w:tr>
            <w:tr w:rsidR="003F3B35" w:rsidRPr="00C223AB" w14:paraId="6282FC7D" w14:textId="1A55ED0E" w:rsidTr="003F3B35">
              <w:trPr>
                <w:trHeight w:val="300"/>
              </w:trPr>
              <w:tc>
                <w:tcPr>
                  <w:tcW w:w="3920" w:type="dxa"/>
                  <w:tcBorders>
                    <w:top w:val="nil"/>
                    <w:left w:val="nil"/>
                    <w:bottom w:val="nil"/>
                    <w:right w:val="nil"/>
                  </w:tcBorders>
                  <w:shd w:val="clear" w:color="auto" w:fill="auto"/>
                  <w:noWrap/>
                  <w:vAlign w:val="bottom"/>
                  <w:hideMark/>
                </w:tcPr>
                <w:p w14:paraId="620316D2" w14:textId="77777777" w:rsidR="003F3B35" w:rsidRPr="00C223AB" w:rsidRDefault="003F3B35" w:rsidP="00C223AB">
                  <w:pPr>
                    <w:ind w:left="720"/>
                    <w:contextualSpacing/>
                    <w:rPr>
                      <w:rFonts w:ascii="Arial" w:eastAsia="Times New Roman" w:hAnsi="Arial" w:cs="Arial"/>
                      <w:color w:val="000000"/>
                      <w:lang w:val="en-GB"/>
                    </w:rPr>
                  </w:pPr>
                </w:p>
              </w:tc>
              <w:tc>
                <w:tcPr>
                  <w:tcW w:w="2260" w:type="dxa"/>
                  <w:tcBorders>
                    <w:top w:val="nil"/>
                    <w:left w:val="nil"/>
                    <w:bottom w:val="nil"/>
                    <w:right w:val="nil"/>
                  </w:tcBorders>
                  <w:shd w:val="clear" w:color="auto" w:fill="auto"/>
                  <w:noWrap/>
                  <w:vAlign w:val="bottom"/>
                  <w:hideMark/>
                </w:tcPr>
                <w:p w14:paraId="2B8F5680" w14:textId="77777777" w:rsidR="003F3B35" w:rsidRPr="00C223AB" w:rsidRDefault="003F3B35" w:rsidP="00C223AB">
                  <w:pPr>
                    <w:ind w:left="720"/>
                    <w:contextualSpacing/>
                    <w:rPr>
                      <w:rFonts w:ascii="Arial" w:eastAsia="Times New Roman" w:hAnsi="Arial" w:cs="Arial"/>
                      <w:color w:val="000000"/>
                      <w:lang w:val="en-GB"/>
                    </w:rPr>
                  </w:pPr>
                </w:p>
              </w:tc>
              <w:tc>
                <w:tcPr>
                  <w:tcW w:w="1419" w:type="dxa"/>
                  <w:tcBorders>
                    <w:top w:val="nil"/>
                    <w:left w:val="nil"/>
                    <w:bottom w:val="nil"/>
                    <w:right w:val="nil"/>
                  </w:tcBorders>
                  <w:shd w:val="clear" w:color="auto" w:fill="auto"/>
                  <w:noWrap/>
                  <w:vAlign w:val="bottom"/>
                  <w:hideMark/>
                </w:tcPr>
                <w:p w14:paraId="34F628AB" w14:textId="77777777" w:rsidR="003F3B35" w:rsidRPr="00C223AB" w:rsidRDefault="003F3B35" w:rsidP="00C223AB">
                  <w:pPr>
                    <w:ind w:left="720"/>
                    <w:contextualSpacing/>
                    <w:rPr>
                      <w:rFonts w:ascii="Arial" w:eastAsia="Times New Roman" w:hAnsi="Arial" w:cs="Arial"/>
                      <w:color w:val="000000"/>
                      <w:lang w:val="en-GB"/>
                    </w:rPr>
                  </w:pPr>
                </w:p>
              </w:tc>
              <w:tc>
                <w:tcPr>
                  <w:tcW w:w="1419" w:type="dxa"/>
                  <w:tcBorders>
                    <w:top w:val="nil"/>
                    <w:left w:val="nil"/>
                    <w:bottom w:val="nil"/>
                    <w:right w:val="nil"/>
                  </w:tcBorders>
                </w:tcPr>
                <w:p w14:paraId="6D73F6F1" w14:textId="77777777" w:rsidR="003F3B35" w:rsidRPr="00C223AB" w:rsidRDefault="003F3B35" w:rsidP="00C223AB">
                  <w:pPr>
                    <w:ind w:left="720"/>
                    <w:contextualSpacing/>
                    <w:rPr>
                      <w:rFonts w:ascii="Arial" w:eastAsia="Times New Roman" w:hAnsi="Arial" w:cs="Arial"/>
                      <w:color w:val="000000"/>
                      <w:lang w:val="en-GB"/>
                    </w:rPr>
                  </w:pPr>
                </w:p>
              </w:tc>
            </w:tr>
            <w:tr w:rsidR="003F3B35" w:rsidRPr="00C223AB" w14:paraId="28F57899" w14:textId="14D578FC" w:rsidTr="003F3B35">
              <w:trPr>
                <w:trHeight w:val="300"/>
              </w:trPr>
              <w:tc>
                <w:tcPr>
                  <w:tcW w:w="3920" w:type="dxa"/>
                  <w:tcBorders>
                    <w:top w:val="nil"/>
                    <w:left w:val="nil"/>
                    <w:bottom w:val="nil"/>
                    <w:right w:val="nil"/>
                  </w:tcBorders>
                  <w:shd w:val="clear" w:color="auto" w:fill="auto"/>
                  <w:noWrap/>
                  <w:vAlign w:val="bottom"/>
                  <w:hideMark/>
                </w:tcPr>
                <w:p w14:paraId="561D357B" w14:textId="77777777" w:rsidR="003F3B35" w:rsidRPr="00C223AB" w:rsidRDefault="003F3B35" w:rsidP="00C223AB">
                  <w:pPr>
                    <w:rPr>
                      <w:rFonts w:ascii="Arial" w:eastAsia="Times New Roman" w:hAnsi="Arial" w:cs="Arial"/>
                      <w:b/>
                      <w:bCs/>
                      <w:color w:val="000000"/>
                      <w:lang w:val="en-GB"/>
                    </w:rPr>
                  </w:pPr>
                  <w:r w:rsidRPr="00C223AB">
                    <w:rPr>
                      <w:rFonts w:ascii="Arial" w:eastAsia="Times New Roman" w:hAnsi="Arial" w:cs="Arial"/>
                      <w:b/>
                      <w:bCs/>
                      <w:color w:val="000000"/>
                      <w:lang w:val="en-GB"/>
                    </w:rPr>
                    <w:t>HDL parameters</w:t>
                  </w:r>
                </w:p>
              </w:tc>
              <w:tc>
                <w:tcPr>
                  <w:tcW w:w="2260" w:type="dxa"/>
                  <w:tcBorders>
                    <w:top w:val="nil"/>
                    <w:left w:val="nil"/>
                    <w:bottom w:val="nil"/>
                    <w:right w:val="nil"/>
                  </w:tcBorders>
                  <w:shd w:val="clear" w:color="auto" w:fill="auto"/>
                  <w:noWrap/>
                  <w:vAlign w:val="bottom"/>
                  <w:hideMark/>
                </w:tcPr>
                <w:p w14:paraId="39998301" w14:textId="77777777" w:rsidR="003F3B35" w:rsidRPr="00C223AB" w:rsidRDefault="003F3B35" w:rsidP="00C223AB">
                  <w:pPr>
                    <w:ind w:left="720"/>
                    <w:contextualSpacing/>
                    <w:rPr>
                      <w:rFonts w:ascii="Arial" w:eastAsia="Times New Roman" w:hAnsi="Arial" w:cs="Arial"/>
                      <w:color w:val="000000"/>
                      <w:lang w:val="en-GB"/>
                    </w:rPr>
                  </w:pPr>
                </w:p>
              </w:tc>
              <w:tc>
                <w:tcPr>
                  <w:tcW w:w="1419" w:type="dxa"/>
                  <w:tcBorders>
                    <w:top w:val="nil"/>
                    <w:left w:val="nil"/>
                    <w:bottom w:val="nil"/>
                    <w:right w:val="nil"/>
                  </w:tcBorders>
                  <w:shd w:val="clear" w:color="auto" w:fill="auto"/>
                  <w:noWrap/>
                  <w:vAlign w:val="bottom"/>
                  <w:hideMark/>
                </w:tcPr>
                <w:p w14:paraId="5143969A" w14:textId="77777777" w:rsidR="003F3B35" w:rsidRPr="00C223AB" w:rsidRDefault="003F3B35" w:rsidP="00C223AB">
                  <w:pPr>
                    <w:ind w:left="720"/>
                    <w:contextualSpacing/>
                    <w:rPr>
                      <w:rFonts w:ascii="Arial" w:eastAsia="Times New Roman" w:hAnsi="Arial" w:cs="Arial"/>
                      <w:color w:val="000000"/>
                      <w:lang w:val="en-GB"/>
                    </w:rPr>
                  </w:pPr>
                </w:p>
              </w:tc>
              <w:tc>
                <w:tcPr>
                  <w:tcW w:w="1419" w:type="dxa"/>
                  <w:tcBorders>
                    <w:top w:val="nil"/>
                    <w:left w:val="nil"/>
                    <w:bottom w:val="nil"/>
                    <w:right w:val="nil"/>
                  </w:tcBorders>
                </w:tcPr>
                <w:p w14:paraId="5C8F11B8" w14:textId="77777777" w:rsidR="003F3B35" w:rsidRPr="00C223AB" w:rsidRDefault="003F3B35" w:rsidP="00C223AB">
                  <w:pPr>
                    <w:ind w:left="720"/>
                    <w:contextualSpacing/>
                    <w:rPr>
                      <w:rFonts w:ascii="Arial" w:eastAsia="Times New Roman" w:hAnsi="Arial" w:cs="Arial"/>
                      <w:color w:val="000000"/>
                      <w:lang w:val="en-GB"/>
                    </w:rPr>
                  </w:pPr>
                </w:p>
              </w:tc>
            </w:tr>
            <w:tr w:rsidR="003F3B35" w:rsidRPr="00C223AB" w14:paraId="721F08E4" w14:textId="77A7A631" w:rsidTr="003F3B35">
              <w:trPr>
                <w:trHeight w:val="300"/>
              </w:trPr>
              <w:tc>
                <w:tcPr>
                  <w:tcW w:w="39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C205993" w14:textId="77777777" w:rsidR="003F3B35" w:rsidRPr="00C223AB" w:rsidRDefault="003F3B35" w:rsidP="00C223AB">
                  <w:pPr>
                    <w:rPr>
                      <w:rFonts w:ascii="Arial" w:eastAsia="Times New Roman" w:hAnsi="Arial" w:cs="Arial"/>
                      <w:color w:val="000000"/>
                      <w:lang w:val="en-GB"/>
                    </w:rPr>
                  </w:pPr>
                  <w:r w:rsidRPr="00C223AB">
                    <w:rPr>
                      <w:rFonts w:ascii="Arial" w:eastAsia="Times New Roman" w:hAnsi="Arial" w:cs="Arial"/>
                      <w:color w:val="000000"/>
                      <w:lang w:val="en-GB"/>
                    </w:rPr>
                    <w:t>Cholesterol efflux capacity</w:t>
                  </w:r>
                </w:p>
              </w:tc>
              <w:tc>
                <w:tcPr>
                  <w:tcW w:w="2260" w:type="dxa"/>
                  <w:tcBorders>
                    <w:top w:val="single" w:sz="4" w:space="0" w:color="auto"/>
                    <w:left w:val="nil"/>
                    <w:bottom w:val="single" w:sz="4" w:space="0" w:color="auto"/>
                    <w:right w:val="single" w:sz="4" w:space="0" w:color="auto"/>
                  </w:tcBorders>
                  <w:shd w:val="clear" w:color="auto" w:fill="auto"/>
                  <w:noWrap/>
                  <w:vAlign w:val="bottom"/>
                  <w:hideMark/>
                </w:tcPr>
                <w:p w14:paraId="30194DFF" w14:textId="77777777" w:rsidR="003F3B35" w:rsidRPr="00C223AB" w:rsidRDefault="003F3B35" w:rsidP="00C223AB">
                  <w:pPr>
                    <w:rPr>
                      <w:rFonts w:ascii="Arial" w:eastAsia="Times New Roman" w:hAnsi="Arial" w:cs="Arial"/>
                      <w:color w:val="000000"/>
                      <w:lang w:val="en-GB"/>
                    </w:rPr>
                  </w:pPr>
                  <w:r w:rsidRPr="00C223AB">
                    <w:rPr>
                      <w:rFonts w:ascii="Arial" w:eastAsia="Times New Roman" w:hAnsi="Arial" w:cs="Arial"/>
                      <w:color w:val="000000"/>
                      <w:lang w:val="en-GB"/>
                    </w:rPr>
                    <w:t>0.08</w:t>
                  </w:r>
                </w:p>
              </w:tc>
              <w:tc>
                <w:tcPr>
                  <w:tcW w:w="1419" w:type="dxa"/>
                  <w:tcBorders>
                    <w:top w:val="single" w:sz="4" w:space="0" w:color="auto"/>
                    <w:left w:val="nil"/>
                    <w:bottom w:val="single" w:sz="4" w:space="0" w:color="auto"/>
                    <w:right w:val="single" w:sz="4" w:space="0" w:color="auto"/>
                  </w:tcBorders>
                  <w:shd w:val="clear" w:color="auto" w:fill="auto"/>
                  <w:noWrap/>
                  <w:vAlign w:val="bottom"/>
                  <w:hideMark/>
                </w:tcPr>
                <w:p w14:paraId="55D1F133" w14:textId="77777777" w:rsidR="003F3B35" w:rsidRPr="00C223AB" w:rsidRDefault="003F3B35" w:rsidP="00C223AB">
                  <w:pPr>
                    <w:rPr>
                      <w:rFonts w:ascii="Arial" w:eastAsia="Times New Roman" w:hAnsi="Arial" w:cs="Arial"/>
                      <w:color w:val="000000"/>
                      <w:lang w:val="en-GB"/>
                    </w:rPr>
                  </w:pPr>
                  <w:r w:rsidRPr="00C223AB">
                    <w:rPr>
                      <w:rFonts w:ascii="Arial" w:eastAsia="Times New Roman" w:hAnsi="Arial" w:cs="Arial"/>
                      <w:color w:val="000000"/>
                      <w:lang w:val="en-GB"/>
                    </w:rPr>
                    <w:t>&lt;0.001</w:t>
                  </w:r>
                </w:p>
              </w:tc>
              <w:tc>
                <w:tcPr>
                  <w:tcW w:w="1419" w:type="dxa"/>
                  <w:tcBorders>
                    <w:top w:val="single" w:sz="4" w:space="0" w:color="auto"/>
                    <w:left w:val="nil"/>
                    <w:bottom w:val="single" w:sz="4" w:space="0" w:color="auto"/>
                    <w:right w:val="single" w:sz="4" w:space="0" w:color="auto"/>
                  </w:tcBorders>
                </w:tcPr>
                <w:p w14:paraId="759FAAA5" w14:textId="796FC436" w:rsidR="003F3B35" w:rsidRPr="00C223AB" w:rsidRDefault="001122FB" w:rsidP="00C223AB">
                  <w:pPr>
                    <w:rPr>
                      <w:rFonts w:ascii="Arial" w:eastAsia="Times New Roman" w:hAnsi="Arial" w:cs="Arial"/>
                      <w:color w:val="000000"/>
                      <w:lang w:val="en-GB"/>
                    </w:rPr>
                  </w:pPr>
                  <w:r>
                    <w:rPr>
                      <w:rFonts w:ascii="Arial" w:eastAsia="Times New Roman" w:hAnsi="Arial" w:cs="Arial"/>
                      <w:color w:val="000000"/>
                      <w:lang w:val="en-GB"/>
                    </w:rPr>
                    <w:t>2607</w:t>
                  </w:r>
                </w:p>
              </w:tc>
            </w:tr>
            <w:tr w:rsidR="003F3B35" w:rsidRPr="00C223AB" w14:paraId="478A0F27" w14:textId="09627E18" w:rsidTr="003F3B35">
              <w:trPr>
                <w:trHeight w:val="300"/>
              </w:trPr>
              <w:tc>
                <w:tcPr>
                  <w:tcW w:w="39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BA50B17" w14:textId="77777777" w:rsidR="003F3B35" w:rsidRPr="00C223AB" w:rsidRDefault="003F3B35" w:rsidP="00C223AB">
                  <w:pPr>
                    <w:rPr>
                      <w:rFonts w:ascii="Arial" w:eastAsia="Times New Roman" w:hAnsi="Arial" w:cs="Arial"/>
                      <w:lang w:val="en-GB"/>
                    </w:rPr>
                  </w:pPr>
                  <w:r w:rsidRPr="00C223AB">
                    <w:rPr>
                      <w:rFonts w:ascii="Arial" w:eastAsia="Times New Roman" w:hAnsi="Arial" w:cs="Arial"/>
                      <w:lang w:val="en-GB"/>
                    </w:rPr>
                    <w:t>LCAT-concentration, mg/L</w:t>
                  </w:r>
                </w:p>
              </w:tc>
              <w:tc>
                <w:tcPr>
                  <w:tcW w:w="2260" w:type="dxa"/>
                  <w:tcBorders>
                    <w:top w:val="single" w:sz="4" w:space="0" w:color="auto"/>
                    <w:left w:val="nil"/>
                    <w:bottom w:val="single" w:sz="4" w:space="0" w:color="auto"/>
                    <w:right w:val="single" w:sz="4" w:space="0" w:color="auto"/>
                  </w:tcBorders>
                  <w:shd w:val="clear" w:color="auto" w:fill="auto"/>
                  <w:noWrap/>
                  <w:vAlign w:val="bottom"/>
                </w:tcPr>
                <w:p w14:paraId="75A7395C" w14:textId="77777777" w:rsidR="003F3B35" w:rsidRPr="00C223AB" w:rsidRDefault="003F3B35" w:rsidP="00C223AB">
                  <w:pPr>
                    <w:rPr>
                      <w:rFonts w:ascii="Arial" w:eastAsia="Times New Roman" w:hAnsi="Arial" w:cs="Arial"/>
                      <w:lang w:val="en-GB"/>
                    </w:rPr>
                  </w:pPr>
                  <w:r w:rsidRPr="00C223AB">
                    <w:rPr>
                      <w:rFonts w:ascii="Arial" w:eastAsia="Times New Roman" w:hAnsi="Arial" w:cs="Arial"/>
                      <w:lang w:val="en-GB"/>
                    </w:rPr>
                    <w:t>0.13</w:t>
                  </w:r>
                </w:p>
              </w:tc>
              <w:tc>
                <w:tcPr>
                  <w:tcW w:w="1419" w:type="dxa"/>
                  <w:tcBorders>
                    <w:top w:val="single" w:sz="4" w:space="0" w:color="auto"/>
                    <w:left w:val="nil"/>
                    <w:bottom w:val="single" w:sz="4" w:space="0" w:color="auto"/>
                    <w:right w:val="single" w:sz="4" w:space="0" w:color="auto"/>
                  </w:tcBorders>
                  <w:shd w:val="clear" w:color="auto" w:fill="auto"/>
                  <w:noWrap/>
                  <w:vAlign w:val="bottom"/>
                </w:tcPr>
                <w:p w14:paraId="2B506D9E" w14:textId="687774A3" w:rsidR="003F3B35" w:rsidRPr="00C223AB" w:rsidRDefault="003F3B35" w:rsidP="00C223AB">
                  <w:pPr>
                    <w:rPr>
                      <w:rFonts w:ascii="Arial" w:eastAsia="Times New Roman" w:hAnsi="Arial" w:cs="Arial"/>
                      <w:color w:val="000000"/>
                      <w:lang w:val="en-GB"/>
                    </w:rPr>
                  </w:pPr>
                  <w:r w:rsidRPr="00C223AB">
                    <w:rPr>
                      <w:rFonts w:ascii="Arial" w:eastAsia="Times New Roman" w:hAnsi="Arial" w:cs="Arial"/>
                      <w:color w:val="000000"/>
                      <w:lang w:val="en-GB"/>
                    </w:rPr>
                    <w:t>&lt;0.001</w:t>
                  </w:r>
                </w:p>
              </w:tc>
              <w:tc>
                <w:tcPr>
                  <w:tcW w:w="1419" w:type="dxa"/>
                  <w:tcBorders>
                    <w:top w:val="single" w:sz="4" w:space="0" w:color="auto"/>
                    <w:left w:val="nil"/>
                    <w:bottom w:val="single" w:sz="4" w:space="0" w:color="auto"/>
                    <w:right w:val="single" w:sz="4" w:space="0" w:color="auto"/>
                  </w:tcBorders>
                </w:tcPr>
                <w:p w14:paraId="228C25D4" w14:textId="68CAA4F8" w:rsidR="003F3B35" w:rsidRPr="00C223AB" w:rsidRDefault="001122FB" w:rsidP="00C223AB">
                  <w:pPr>
                    <w:rPr>
                      <w:rFonts w:ascii="Arial" w:eastAsia="Times New Roman" w:hAnsi="Arial" w:cs="Arial"/>
                      <w:color w:val="000000"/>
                      <w:lang w:val="en-GB"/>
                    </w:rPr>
                  </w:pPr>
                  <w:r>
                    <w:rPr>
                      <w:rFonts w:ascii="Arial" w:eastAsia="Times New Roman" w:hAnsi="Arial" w:cs="Arial"/>
                      <w:color w:val="000000"/>
                      <w:lang w:val="en-GB"/>
                    </w:rPr>
                    <w:t>2486</w:t>
                  </w:r>
                </w:p>
              </w:tc>
            </w:tr>
            <w:tr w:rsidR="003F3B35" w:rsidRPr="00C223AB" w14:paraId="11F15B60" w14:textId="7593F7F3" w:rsidTr="003F3B35">
              <w:trPr>
                <w:trHeight w:val="300"/>
              </w:trPr>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16743352" w14:textId="77777777" w:rsidR="003F3B35" w:rsidRPr="00C223AB" w:rsidRDefault="003F3B35" w:rsidP="00C223AB">
                  <w:pPr>
                    <w:rPr>
                      <w:rFonts w:ascii="Arial" w:eastAsia="Times New Roman" w:hAnsi="Arial" w:cs="Arial"/>
                      <w:color w:val="000000"/>
                      <w:lang w:val="en-GB"/>
                    </w:rPr>
                  </w:pPr>
                  <w:r w:rsidRPr="00C223AB">
                    <w:rPr>
                      <w:rFonts w:ascii="Arial" w:eastAsia="Times New Roman" w:hAnsi="Arial" w:cs="Arial"/>
                      <w:color w:val="000000"/>
                      <w:lang w:val="en-GB"/>
                    </w:rPr>
                    <w:t>CETP-concentration, mg/L</w:t>
                  </w:r>
                </w:p>
              </w:tc>
              <w:tc>
                <w:tcPr>
                  <w:tcW w:w="2260" w:type="dxa"/>
                  <w:tcBorders>
                    <w:top w:val="nil"/>
                    <w:left w:val="nil"/>
                    <w:bottom w:val="single" w:sz="4" w:space="0" w:color="auto"/>
                    <w:right w:val="single" w:sz="4" w:space="0" w:color="auto"/>
                  </w:tcBorders>
                  <w:shd w:val="clear" w:color="auto" w:fill="auto"/>
                  <w:noWrap/>
                  <w:vAlign w:val="bottom"/>
                  <w:hideMark/>
                </w:tcPr>
                <w:p w14:paraId="02E196B4" w14:textId="77777777" w:rsidR="003F3B35" w:rsidRPr="00C223AB" w:rsidRDefault="003F3B35" w:rsidP="00C223AB">
                  <w:pPr>
                    <w:rPr>
                      <w:rFonts w:ascii="Arial" w:eastAsia="Times New Roman" w:hAnsi="Arial" w:cs="Arial"/>
                      <w:color w:val="000000"/>
                      <w:lang w:val="en-GB"/>
                    </w:rPr>
                  </w:pPr>
                  <w:r w:rsidRPr="00C223AB">
                    <w:rPr>
                      <w:rFonts w:ascii="Arial" w:eastAsia="Times New Roman" w:hAnsi="Arial" w:cs="Arial"/>
                      <w:color w:val="000000"/>
                      <w:lang w:val="en-GB"/>
                    </w:rPr>
                    <w:t>-0.01</w:t>
                  </w:r>
                </w:p>
              </w:tc>
              <w:tc>
                <w:tcPr>
                  <w:tcW w:w="1419" w:type="dxa"/>
                  <w:tcBorders>
                    <w:top w:val="nil"/>
                    <w:left w:val="nil"/>
                    <w:bottom w:val="single" w:sz="4" w:space="0" w:color="auto"/>
                    <w:right w:val="single" w:sz="4" w:space="0" w:color="auto"/>
                  </w:tcBorders>
                  <w:shd w:val="clear" w:color="auto" w:fill="auto"/>
                  <w:noWrap/>
                  <w:vAlign w:val="bottom"/>
                  <w:hideMark/>
                </w:tcPr>
                <w:p w14:paraId="235F1690" w14:textId="77777777" w:rsidR="003F3B35" w:rsidRPr="00C223AB" w:rsidRDefault="003F3B35" w:rsidP="00C223AB">
                  <w:pPr>
                    <w:rPr>
                      <w:rFonts w:ascii="Arial" w:eastAsia="Times New Roman" w:hAnsi="Arial" w:cs="Arial"/>
                      <w:color w:val="000000"/>
                      <w:lang w:val="en-GB"/>
                    </w:rPr>
                  </w:pPr>
                  <w:r w:rsidRPr="00C223AB">
                    <w:rPr>
                      <w:rFonts w:ascii="Arial" w:eastAsia="Times New Roman" w:hAnsi="Arial" w:cs="Arial"/>
                      <w:color w:val="000000"/>
                      <w:lang w:val="en-GB"/>
                    </w:rPr>
                    <w:t>0.64</w:t>
                  </w:r>
                </w:p>
              </w:tc>
              <w:tc>
                <w:tcPr>
                  <w:tcW w:w="1419" w:type="dxa"/>
                  <w:tcBorders>
                    <w:top w:val="nil"/>
                    <w:left w:val="nil"/>
                    <w:bottom w:val="single" w:sz="4" w:space="0" w:color="auto"/>
                    <w:right w:val="single" w:sz="4" w:space="0" w:color="auto"/>
                  </w:tcBorders>
                </w:tcPr>
                <w:p w14:paraId="489C1F7C" w14:textId="4127B049" w:rsidR="003F3B35" w:rsidRPr="00C223AB" w:rsidRDefault="001122FB" w:rsidP="00C223AB">
                  <w:pPr>
                    <w:rPr>
                      <w:rFonts w:ascii="Arial" w:eastAsia="Times New Roman" w:hAnsi="Arial" w:cs="Arial"/>
                      <w:color w:val="000000"/>
                      <w:lang w:val="en-GB"/>
                    </w:rPr>
                  </w:pPr>
                  <w:r>
                    <w:rPr>
                      <w:rFonts w:ascii="Arial" w:eastAsia="Times New Roman" w:hAnsi="Arial" w:cs="Arial"/>
                      <w:color w:val="000000"/>
                      <w:lang w:val="en-GB"/>
                    </w:rPr>
                    <w:t>2479</w:t>
                  </w:r>
                </w:p>
              </w:tc>
            </w:tr>
            <w:tr w:rsidR="003F3B35" w:rsidRPr="00C223AB" w14:paraId="48337459" w14:textId="2870BBC7" w:rsidTr="003F3B35">
              <w:trPr>
                <w:trHeight w:val="300"/>
              </w:trPr>
              <w:tc>
                <w:tcPr>
                  <w:tcW w:w="3920" w:type="dxa"/>
                  <w:tcBorders>
                    <w:top w:val="nil"/>
                    <w:left w:val="nil"/>
                    <w:bottom w:val="nil"/>
                    <w:right w:val="nil"/>
                  </w:tcBorders>
                  <w:shd w:val="clear" w:color="auto" w:fill="auto"/>
                  <w:noWrap/>
                  <w:vAlign w:val="bottom"/>
                  <w:hideMark/>
                </w:tcPr>
                <w:p w14:paraId="734B19CF" w14:textId="77777777" w:rsidR="003F3B35" w:rsidRPr="00C223AB" w:rsidRDefault="003F3B35" w:rsidP="00C223AB">
                  <w:pPr>
                    <w:contextualSpacing/>
                    <w:rPr>
                      <w:rFonts w:ascii="Arial" w:eastAsia="Times New Roman" w:hAnsi="Arial" w:cs="Arial"/>
                      <w:color w:val="000000"/>
                      <w:lang w:val="en-GB"/>
                    </w:rPr>
                  </w:pPr>
                </w:p>
                <w:p w14:paraId="232A1349" w14:textId="77777777" w:rsidR="003F3B35" w:rsidRPr="00C223AB" w:rsidRDefault="003F3B35" w:rsidP="00C223AB">
                  <w:pPr>
                    <w:ind w:left="720"/>
                    <w:contextualSpacing/>
                    <w:rPr>
                      <w:rFonts w:ascii="Arial" w:eastAsia="Times New Roman" w:hAnsi="Arial" w:cs="Arial"/>
                      <w:color w:val="000000"/>
                      <w:lang w:val="en-GB"/>
                    </w:rPr>
                  </w:pPr>
                </w:p>
              </w:tc>
              <w:tc>
                <w:tcPr>
                  <w:tcW w:w="2260" w:type="dxa"/>
                  <w:tcBorders>
                    <w:top w:val="nil"/>
                    <w:left w:val="nil"/>
                    <w:bottom w:val="nil"/>
                    <w:right w:val="nil"/>
                  </w:tcBorders>
                  <w:shd w:val="clear" w:color="auto" w:fill="auto"/>
                  <w:noWrap/>
                  <w:vAlign w:val="bottom"/>
                  <w:hideMark/>
                </w:tcPr>
                <w:p w14:paraId="20329F61" w14:textId="77777777" w:rsidR="003F3B35" w:rsidRPr="00C223AB" w:rsidRDefault="003F3B35" w:rsidP="00C223AB">
                  <w:pPr>
                    <w:ind w:left="720"/>
                    <w:contextualSpacing/>
                    <w:rPr>
                      <w:rFonts w:ascii="Arial" w:eastAsia="Times New Roman" w:hAnsi="Arial" w:cs="Arial"/>
                      <w:color w:val="000000"/>
                      <w:lang w:val="en-GB"/>
                    </w:rPr>
                  </w:pPr>
                </w:p>
              </w:tc>
              <w:tc>
                <w:tcPr>
                  <w:tcW w:w="1419" w:type="dxa"/>
                  <w:tcBorders>
                    <w:top w:val="nil"/>
                    <w:left w:val="nil"/>
                    <w:bottom w:val="nil"/>
                    <w:right w:val="nil"/>
                  </w:tcBorders>
                  <w:shd w:val="clear" w:color="auto" w:fill="auto"/>
                  <w:noWrap/>
                  <w:vAlign w:val="bottom"/>
                  <w:hideMark/>
                </w:tcPr>
                <w:p w14:paraId="51190722" w14:textId="77777777" w:rsidR="003F3B35" w:rsidRPr="00C223AB" w:rsidRDefault="003F3B35" w:rsidP="00C223AB">
                  <w:pPr>
                    <w:ind w:left="720"/>
                    <w:contextualSpacing/>
                    <w:rPr>
                      <w:rFonts w:ascii="Arial" w:eastAsia="Times New Roman" w:hAnsi="Arial" w:cs="Arial"/>
                      <w:color w:val="000000"/>
                      <w:lang w:val="en-GB"/>
                    </w:rPr>
                  </w:pPr>
                </w:p>
              </w:tc>
              <w:tc>
                <w:tcPr>
                  <w:tcW w:w="1419" w:type="dxa"/>
                  <w:tcBorders>
                    <w:top w:val="nil"/>
                    <w:left w:val="nil"/>
                    <w:bottom w:val="nil"/>
                    <w:right w:val="nil"/>
                  </w:tcBorders>
                </w:tcPr>
                <w:p w14:paraId="07E09212" w14:textId="77777777" w:rsidR="003F3B35" w:rsidRPr="00C223AB" w:rsidRDefault="003F3B35" w:rsidP="00C223AB">
                  <w:pPr>
                    <w:ind w:left="720"/>
                    <w:contextualSpacing/>
                    <w:rPr>
                      <w:rFonts w:ascii="Arial" w:eastAsia="Times New Roman" w:hAnsi="Arial" w:cs="Arial"/>
                      <w:color w:val="000000"/>
                      <w:lang w:val="en-GB"/>
                    </w:rPr>
                  </w:pPr>
                </w:p>
              </w:tc>
            </w:tr>
            <w:tr w:rsidR="003F3B35" w:rsidRPr="00C223AB" w14:paraId="123BD509" w14:textId="4D5068AC" w:rsidTr="003F3B35">
              <w:trPr>
                <w:trHeight w:val="300"/>
              </w:trPr>
              <w:tc>
                <w:tcPr>
                  <w:tcW w:w="3920" w:type="dxa"/>
                  <w:tcBorders>
                    <w:top w:val="nil"/>
                    <w:left w:val="nil"/>
                    <w:bottom w:val="single" w:sz="4" w:space="0" w:color="auto"/>
                    <w:right w:val="nil"/>
                  </w:tcBorders>
                  <w:shd w:val="clear" w:color="auto" w:fill="auto"/>
                  <w:noWrap/>
                  <w:vAlign w:val="bottom"/>
                  <w:hideMark/>
                </w:tcPr>
                <w:p w14:paraId="790361BB" w14:textId="77777777" w:rsidR="003F3B35" w:rsidRPr="00C223AB" w:rsidRDefault="003F3B35" w:rsidP="00C223AB">
                  <w:pPr>
                    <w:rPr>
                      <w:rFonts w:ascii="Arial" w:eastAsia="Times New Roman" w:hAnsi="Arial" w:cs="Arial"/>
                      <w:b/>
                      <w:bCs/>
                      <w:color w:val="000000"/>
                      <w:lang w:val="en-GB"/>
                    </w:rPr>
                  </w:pPr>
                  <w:r w:rsidRPr="00C223AB">
                    <w:rPr>
                      <w:rFonts w:ascii="Arial" w:eastAsia="Times New Roman" w:hAnsi="Arial" w:cs="Arial"/>
                      <w:b/>
                      <w:bCs/>
                      <w:color w:val="000000"/>
                      <w:lang w:val="en-GB"/>
                    </w:rPr>
                    <w:t>Inflammatory markers</w:t>
                  </w:r>
                </w:p>
              </w:tc>
              <w:tc>
                <w:tcPr>
                  <w:tcW w:w="2260" w:type="dxa"/>
                  <w:tcBorders>
                    <w:top w:val="nil"/>
                    <w:left w:val="nil"/>
                    <w:bottom w:val="single" w:sz="4" w:space="0" w:color="auto"/>
                    <w:right w:val="nil"/>
                  </w:tcBorders>
                  <w:shd w:val="clear" w:color="auto" w:fill="auto"/>
                  <w:noWrap/>
                  <w:vAlign w:val="bottom"/>
                  <w:hideMark/>
                </w:tcPr>
                <w:p w14:paraId="11C93640" w14:textId="77777777" w:rsidR="003F3B35" w:rsidRPr="00C223AB" w:rsidRDefault="003F3B35" w:rsidP="00C223AB">
                  <w:pPr>
                    <w:ind w:left="720"/>
                    <w:contextualSpacing/>
                    <w:rPr>
                      <w:rFonts w:ascii="Arial" w:eastAsia="Times New Roman" w:hAnsi="Arial" w:cs="Arial"/>
                      <w:color w:val="000000"/>
                      <w:lang w:val="en-GB"/>
                    </w:rPr>
                  </w:pPr>
                </w:p>
              </w:tc>
              <w:tc>
                <w:tcPr>
                  <w:tcW w:w="1419" w:type="dxa"/>
                  <w:tcBorders>
                    <w:top w:val="nil"/>
                    <w:left w:val="nil"/>
                    <w:bottom w:val="single" w:sz="4" w:space="0" w:color="auto"/>
                    <w:right w:val="nil"/>
                  </w:tcBorders>
                  <w:shd w:val="clear" w:color="auto" w:fill="auto"/>
                  <w:noWrap/>
                  <w:vAlign w:val="bottom"/>
                  <w:hideMark/>
                </w:tcPr>
                <w:p w14:paraId="6F32FDB4" w14:textId="77777777" w:rsidR="003F3B35" w:rsidRPr="00C223AB" w:rsidRDefault="003F3B35" w:rsidP="00C223AB">
                  <w:pPr>
                    <w:ind w:left="720"/>
                    <w:contextualSpacing/>
                    <w:rPr>
                      <w:rFonts w:ascii="Arial" w:eastAsia="Times New Roman" w:hAnsi="Arial" w:cs="Arial"/>
                      <w:color w:val="000000"/>
                      <w:lang w:val="en-GB"/>
                    </w:rPr>
                  </w:pPr>
                </w:p>
              </w:tc>
              <w:tc>
                <w:tcPr>
                  <w:tcW w:w="1419" w:type="dxa"/>
                  <w:tcBorders>
                    <w:top w:val="nil"/>
                    <w:left w:val="nil"/>
                    <w:bottom w:val="single" w:sz="4" w:space="0" w:color="auto"/>
                    <w:right w:val="nil"/>
                  </w:tcBorders>
                </w:tcPr>
                <w:p w14:paraId="20CC67CD" w14:textId="77777777" w:rsidR="003F3B35" w:rsidRPr="00C223AB" w:rsidRDefault="003F3B35" w:rsidP="00C223AB">
                  <w:pPr>
                    <w:ind w:left="720"/>
                    <w:contextualSpacing/>
                    <w:rPr>
                      <w:rFonts w:ascii="Arial" w:eastAsia="Times New Roman" w:hAnsi="Arial" w:cs="Arial"/>
                      <w:color w:val="000000"/>
                      <w:lang w:val="en-GB"/>
                    </w:rPr>
                  </w:pPr>
                </w:p>
              </w:tc>
            </w:tr>
            <w:tr w:rsidR="003F3B35" w:rsidRPr="00C223AB" w14:paraId="5143CF7C" w14:textId="5CB6EABA" w:rsidTr="003F3B35">
              <w:trPr>
                <w:trHeight w:val="300"/>
              </w:trPr>
              <w:tc>
                <w:tcPr>
                  <w:tcW w:w="39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C686A73" w14:textId="77777777" w:rsidR="003F3B35" w:rsidRPr="00C223AB" w:rsidRDefault="003F3B35" w:rsidP="00C223AB">
                  <w:pPr>
                    <w:rPr>
                      <w:rFonts w:ascii="Arial" w:eastAsia="Times New Roman" w:hAnsi="Arial" w:cs="Arial"/>
                      <w:color w:val="000000"/>
                      <w:lang w:val="en-GB"/>
                    </w:rPr>
                  </w:pPr>
                  <w:r w:rsidRPr="00C223AB">
                    <w:rPr>
                      <w:rFonts w:ascii="Arial" w:eastAsia="Times New Roman" w:hAnsi="Arial" w:cs="Arial"/>
                      <w:color w:val="000000"/>
                      <w:lang w:val="en-GB"/>
                    </w:rPr>
                    <w:t>C-reactive protein, mg/L</w:t>
                  </w:r>
                </w:p>
              </w:tc>
              <w:tc>
                <w:tcPr>
                  <w:tcW w:w="2260" w:type="dxa"/>
                  <w:tcBorders>
                    <w:top w:val="single" w:sz="4" w:space="0" w:color="auto"/>
                    <w:left w:val="nil"/>
                    <w:bottom w:val="single" w:sz="4" w:space="0" w:color="auto"/>
                    <w:right w:val="single" w:sz="4" w:space="0" w:color="auto"/>
                  </w:tcBorders>
                  <w:shd w:val="clear" w:color="auto" w:fill="auto"/>
                  <w:noWrap/>
                  <w:vAlign w:val="bottom"/>
                  <w:hideMark/>
                </w:tcPr>
                <w:p w14:paraId="6CC88FBF" w14:textId="77777777" w:rsidR="003F3B35" w:rsidRPr="00C223AB" w:rsidRDefault="003F3B35" w:rsidP="00C223AB">
                  <w:pPr>
                    <w:rPr>
                      <w:rFonts w:ascii="Arial" w:eastAsia="Times New Roman" w:hAnsi="Arial" w:cs="Arial"/>
                      <w:color w:val="000000"/>
                      <w:lang w:val="en-GB"/>
                    </w:rPr>
                  </w:pPr>
                  <w:r w:rsidRPr="00C223AB">
                    <w:rPr>
                      <w:rFonts w:ascii="Arial" w:eastAsia="Times New Roman" w:hAnsi="Arial" w:cs="Arial"/>
                      <w:color w:val="000000"/>
                      <w:lang w:val="en-GB"/>
                    </w:rPr>
                    <w:t>0.15</w:t>
                  </w:r>
                </w:p>
              </w:tc>
              <w:tc>
                <w:tcPr>
                  <w:tcW w:w="1419" w:type="dxa"/>
                  <w:tcBorders>
                    <w:top w:val="single" w:sz="4" w:space="0" w:color="auto"/>
                    <w:left w:val="nil"/>
                    <w:bottom w:val="single" w:sz="4" w:space="0" w:color="auto"/>
                    <w:right w:val="single" w:sz="4" w:space="0" w:color="auto"/>
                  </w:tcBorders>
                  <w:shd w:val="clear" w:color="auto" w:fill="auto"/>
                  <w:noWrap/>
                  <w:vAlign w:val="bottom"/>
                  <w:hideMark/>
                </w:tcPr>
                <w:p w14:paraId="653F87A6" w14:textId="77777777" w:rsidR="003F3B35" w:rsidRPr="00C223AB" w:rsidRDefault="003F3B35" w:rsidP="00C223AB">
                  <w:pPr>
                    <w:rPr>
                      <w:rFonts w:ascii="Arial" w:eastAsia="Times New Roman" w:hAnsi="Arial" w:cs="Arial"/>
                      <w:color w:val="000000"/>
                      <w:lang w:val="en-GB"/>
                    </w:rPr>
                  </w:pPr>
                  <w:r w:rsidRPr="00C223AB">
                    <w:rPr>
                      <w:rFonts w:ascii="Arial" w:eastAsia="Times New Roman" w:hAnsi="Arial" w:cs="Arial"/>
                      <w:color w:val="000000"/>
                      <w:lang w:val="en-GB"/>
                    </w:rPr>
                    <w:t>&lt;0.001</w:t>
                  </w:r>
                </w:p>
              </w:tc>
              <w:tc>
                <w:tcPr>
                  <w:tcW w:w="1419" w:type="dxa"/>
                  <w:tcBorders>
                    <w:top w:val="single" w:sz="4" w:space="0" w:color="auto"/>
                    <w:left w:val="nil"/>
                    <w:bottom w:val="single" w:sz="4" w:space="0" w:color="auto"/>
                    <w:right w:val="single" w:sz="4" w:space="0" w:color="auto"/>
                  </w:tcBorders>
                </w:tcPr>
                <w:p w14:paraId="7057D7CE" w14:textId="2AA2B377" w:rsidR="003F3B35" w:rsidRPr="00C223AB" w:rsidRDefault="001122FB" w:rsidP="00C223AB">
                  <w:pPr>
                    <w:rPr>
                      <w:rFonts w:ascii="Arial" w:eastAsia="Times New Roman" w:hAnsi="Arial" w:cs="Arial"/>
                      <w:color w:val="000000"/>
                      <w:lang w:val="en-GB"/>
                    </w:rPr>
                  </w:pPr>
                  <w:r>
                    <w:rPr>
                      <w:rFonts w:ascii="Arial" w:eastAsia="Times New Roman" w:hAnsi="Arial" w:cs="Arial"/>
                      <w:color w:val="000000"/>
                      <w:lang w:val="en-GB"/>
                    </w:rPr>
                    <w:t>2681</w:t>
                  </w:r>
                </w:p>
              </w:tc>
            </w:tr>
            <w:tr w:rsidR="003F3B35" w:rsidRPr="00C223AB" w14:paraId="1FD36AE8" w14:textId="74FEEBCD" w:rsidTr="003F3B35">
              <w:trPr>
                <w:trHeight w:val="300"/>
              </w:trPr>
              <w:tc>
                <w:tcPr>
                  <w:tcW w:w="3920" w:type="dxa"/>
                  <w:tcBorders>
                    <w:top w:val="single" w:sz="4" w:space="0" w:color="auto"/>
                  </w:tcBorders>
                  <w:shd w:val="clear" w:color="auto" w:fill="auto"/>
                  <w:noWrap/>
                  <w:vAlign w:val="bottom"/>
                </w:tcPr>
                <w:p w14:paraId="07CD4490" w14:textId="77777777" w:rsidR="003F3B35" w:rsidRPr="00C223AB" w:rsidRDefault="003F3B35" w:rsidP="00C223AB">
                  <w:pPr>
                    <w:rPr>
                      <w:rFonts w:ascii="Arial" w:eastAsia="Times New Roman" w:hAnsi="Arial" w:cs="Arial"/>
                      <w:color w:val="000000"/>
                      <w:lang w:val="en-GB"/>
                    </w:rPr>
                  </w:pPr>
                </w:p>
              </w:tc>
              <w:tc>
                <w:tcPr>
                  <w:tcW w:w="2260" w:type="dxa"/>
                  <w:tcBorders>
                    <w:top w:val="single" w:sz="4" w:space="0" w:color="auto"/>
                  </w:tcBorders>
                  <w:shd w:val="clear" w:color="auto" w:fill="auto"/>
                  <w:noWrap/>
                  <w:vAlign w:val="bottom"/>
                </w:tcPr>
                <w:p w14:paraId="68CC0933" w14:textId="77777777" w:rsidR="003F3B35" w:rsidRPr="00C223AB" w:rsidRDefault="003F3B35" w:rsidP="00C223AB">
                  <w:pPr>
                    <w:rPr>
                      <w:rFonts w:ascii="Arial" w:eastAsia="Times New Roman" w:hAnsi="Arial" w:cs="Arial"/>
                      <w:color w:val="000000"/>
                      <w:lang w:val="en-GB"/>
                    </w:rPr>
                  </w:pPr>
                </w:p>
              </w:tc>
              <w:tc>
                <w:tcPr>
                  <w:tcW w:w="1419" w:type="dxa"/>
                  <w:tcBorders>
                    <w:top w:val="single" w:sz="4" w:space="0" w:color="auto"/>
                  </w:tcBorders>
                  <w:shd w:val="clear" w:color="auto" w:fill="auto"/>
                  <w:noWrap/>
                  <w:vAlign w:val="bottom"/>
                </w:tcPr>
                <w:p w14:paraId="7689CEE7" w14:textId="77777777" w:rsidR="003F3B35" w:rsidRPr="00C223AB" w:rsidRDefault="003F3B35" w:rsidP="00C223AB">
                  <w:pPr>
                    <w:rPr>
                      <w:rFonts w:ascii="Arial" w:eastAsia="Times New Roman" w:hAnsi="Arial" w:cs="Arial"/>
                      <w:color w:val="000000"/>
                      <w:lang w:val="en-GB"/>
                    </w:rPr>
                  </w:pPr>
                </w:p>
              </w:tc>
              <w:tc>
                <w:tcPr>
                  <w:tcW w:w="1419" w:type="dxa"/>
                  <w:tcBorders>
                    <w:top w:val="single" w:sz="4" w:space="0" w:color="auto"/>
                  </w:tcBorders>
                </w:tcPr>
                <w:p w14:paraId="72A8FBF3" w14:textId="77777777" w:rsidR="003F3B35" w:rsidRPr="00C223AB" w:rsidRDefault="003F3B35" w:rsidP="00C223AB">
                  <w:pPr>
                    <w:rPr>
                      <w:rFonts w:ascii="Arial" w:eastAsia="Times New Roman" w:hAnsi="Arial" w:cs="Arial"/>
                      <w:color w:val="000000"/>
                      <w:lang w:val="en-GB"/>
                    </w:rPr>
                  </w:pPr>
                </w:p>
              </w:tc>
            </w:tr>
            <w:tr w:rsidR="003F3B35" w:rsidRPr="00C223AB" w14:paraId="53516CEE" w14:textId="57D68972" w:rsidTr="003F3B35">
              <w:trPr>
                <w:trHeight w:val="300"/>
              </w:trPr>
              <w:tc>
                <w:tcPr>
                  <w:tcW w:w="3920" w:type="dxa"/>
                  <w:tcBorders>
                    <w:bottom w:val="single" w:sz="4" w:space="0" w:color="auto"/>
                  </w:tcBorders>
                  <w:shd w:val="clear" w:color="auto" w:fill="auto"/>
                  <w:noWrap/>
                  <w:vAlign w:val="bottom"/>
                </w:tcPr>
                <w:p w14:paraId="4B3EDD83" w14:textId="02F205EC" w:rsidR="003F3B35" w:rsidRPr="00C223AB" w:rsidRDefault="003F3B35" w:rsidP="00C223AB">
                  <w:pPr>
                    <w:rPr>
                      <w:rFonts w:ascii="Arial" w:eastAsia="Times New Roman" w:hAnsi="Arial" w:cs="Arial"/>
                      <w:b/>
                      <w:color w:val="000000"/>
                      <w:lang w:val="en-GB"/>
                    </w:rPr>
                  </w:pPr>
                  <w:r w:rsidRPr="00C223AB">
                    <w:rPr>
                      <w:rFonts w:ascii="Arial" w:eastAsia="Times New Roman" w:hAnsi="Arial" w:cs="Arial"/>
                      <w:b/>
                      <w:color w:val="000000"/>
                      <w:lang w:val="en-GB"/>
                    </w:rPr>
                    <w:t>Glucose metabolism</w:t>
                  </w:r>
                </w:p>
              </w:tc>
              <w:tc>
                <w:tcPr>
                  <w:tcW w:w="2260" w:type="dxa"/>
                  <w:tcBorders>
                    <w:bottom w:val="single" w:sz="4" w:space="0" w:color="auto"/>
                  </w:tcBorders>
                  <w:shd w:val="clear" w:color="auto" w:fill="auto"/>
                  <w:noWrap/>
                  <w:vAlign w:val="bottom"/>
                </w:tcPr>
                <w:p w14:paraId="45C4CA20" w14:textId="77777777" w:rsidR="003F3B35" w:rsidRPr="00C223AB" w:rsidRDefault="003F3B35" w:rsidP="00C223AB">
                  <w:pPr>
                    <w:rPr>
                      <w:rFonts w:ascii="Arial" w:eastAsia="Times New Roman" w:hAnsi="Arial" w:cs="Arial"/>
                      <w:color w:val="000000"/>
                      <w:lang w:val="en-GB"/>
                    </w:rPr>
                  </w:pPr>
                </w:p>
              </w:tc>
              <w:tc>
                <w:tcPr>
                  <w:tcW w:w="1419" w:type="dxa"/>
                  <w:tcBorders>
                    <w:bottom w:val="single" w:sz="4" w:space="0" w:color="auto"/>
                  </w:tcBorders>
                  <w:shd w:val="clear" w:color="auto" w:fill="auto"/>
                  <w:noWrap/>
                  <w:vAlign w:val="bottom"/>
                </w:tcPr>
                <w:p w14:paraId="298AF7CE" w14:textId="77777777" w:rsidR="003F3B35" w:rsidRPr="00C223AB" w:rsidRDefault="003F3B35" w:rsidP="00C223AB">
                  <w:pPr>
                    <w:rPr>
                      <w:rFonts w:ascii="Arial" w:eastAsia="Times New Roman" w:hAnsi="Arial" w:cs="Arial"/>
                      <w:color w:val="000000"/>
                      <w:lang w:val="en-GB"/>
                    </w:rPr>
                  </w:pPr>
                </w:p>
              </w:tc>
              <w:tc>
                <w:tcPr>
                  <w:tcW w:w="1419" w:type="dxa"/>
                  <w:tcBorders>
                    <w:bottom w:val="single" w:sz="4" w:space="0" w:color="auto"/>
                  </w:tcBorders>
                </w:tcPr>
                <w:p w14:paraId="5C63B11B" w14:textId="77777777" w:rsidR="003F3B35" w:rsidRPr="00C223AB" w:rsidRDefault="003F3B35" w:rsidP="00C223AB">
                  <w:pPr>
                    <w:rPr>
                      <w:rFonts w:ascii="Arial" w:eastAsia="Times New Roman" w:hAnsi="Arial" w:cs="Arial"/>
                      <w:color w:val="000000"/>
                      <w:lang w:val="en-GB"/>
                    </w:rPr>
                  </w:pPr>
                </w:p>
              </w:tc>
            </w:tr>
            <w:tr w:rsidR="003F3B35" w:rsidRPr="00C223AB" w14:paraId="26A85DE2" w14:textId="778E38B7" w:rsidTr="003F3B35">
              <w:trPr>
                <w:trHeight w:val="300"/>
              </w:trPr>
              <w:tc>
                <w:tcPr>
                  <w:tcW w:w="39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1536028" w14:textId="26C7F75A" w:rsidR="003F3B35" w:rsidRPr="00C223AB" w:rsidRDefault="003F3B35" w:rsidP="00C223AB">
                  <w:pPr>
                    <w:rPr>
                      <w:rFonts w:ascii="Arial" w:eastAsia="Times New Roman" w:hAnsi="Arial" w:cs="Arial"/>
                      <w:color w:val="000000"/>
                      <w:lang w:val="en-GB"/>
                    </w:rPr>
                  </w:pPr>
                  <w:r w:rsidRPr="00C223AB">
                    <w:rPr>
                      <w:rFonts w:ascii="Arial" w:eastAsia="Times New Roman" w:hAnsi="Arial" w:cs="Arial"/>
                      <w:color w:val="000000"/>
                      <w:lang w:val="en-GB"/>
                    </w:rPr>
                    <w:t>HbA1C [%]</w:t>
                  </w:r>
                </w:p>
              </w:tc>
              <w:tc>
                <w:tcPr>
                  <w:tcW w:w="2260" w:type="dxa"/>
                  <w:tcBorders>
                    <w:top w:val="single" w:sz="4" w:space="0" w:color="auto"/>
                    <w:left w:val="nil"/>
                    <w:bottom w:val="single" w:sz="4" w:space="0" w:color="auto"/>
                    <w:right w:val="single" w:sz="4" w:space="0" w:color="auto"/>
                  </w:tcBorders>
                  <w:shd w:val="clear" w:color="auto" w:fill="auto"/>
                  <w:noWrap/>
                  <w:vAlign w:val="bottom"/>
                </w:tcPr>
                <w:p w14:paraId="269CD418" w14:textId="107E90D0" w:rsidR="003F3B35" w:rsidRPr="00C223AB" w:rsidRDefault="003F3B35" w:rsidP="00C223AB">
                  <w:pPr>
                    <w:rPr>
                      <w:rFonts w:ascii="Arial" w:eastAsia="Times New Roman" w:hAnsi="Arial" w:cs="Arial"/>
                      <w:color w:val="000000"/>
                      <w:lang w:val="en-GB"/>
                    </w:rPr>
                  </w:pPr>
                  <w:r w:rsidRPr="00C223AB">
                    <w:rPr>
                      <w:rFonts w:ascii="Arial" w:eastAsia="Times New Roman" w:hAnsi="Arial" w:cs="Arial"/>
                      <w:color w:val="000000"/>
                      <w:lang w:val="en-GB"/>
                    </w:rPr>
                    <w:t>0.15</w:t>
                  </w:r>
                </w:p>
              </w:tc>
              <w:tc>
                <w:tcPr>
                  <w:tcW w:w="1419" w:type="dxa"/>
                  <w:tcBorders>
                    <w:top w:val="single" w:sz="4" w:space="0" w:color="auto"/>
                    <w:left w:val="nil"/>
                    <w:bottom w:val="single" w:sz="4" w:space="0" w:color="auto"/>
                    <w:right w:val="single" w:sz="4" w:space="0" w:color="auto"/>
                  </w:tcBorders>
                  <w:shd w:val="clear" w:color="auto" w:fill="auto"/>
                  <w:noWrap/>
                  <w:vAlign w:val="bottom"/>
                </w:tcPr>
                <w:p w14:paraId="69817668" w14:textId="022C21D7" w:rsidR="003F3B35" w:rsidRPr="00C223AB" w:rsidRDefault="003F3B35" w:rsidP="00C223AB">
                  <w:pPr>
                    <w:rPr>
                      <w:rFonts w:ascii="Arial" w:eastAsia="Times New Roman" w:hAnsi="Arial" w:cs="Arial"/>
                      <w:color w:val="000000"/>
                      <w:lang w:val="en-GB"/>
                    </w:rPr>
                  </w:pPr>
                  <w:r w:rsidRPr="00C223AB">
                    <w:rPr>
                      <w:rFonts w:ascii="Arial" w:eastAsia="Times New Roman" w:hAnsi="Arial" w:cs="Arial"/>
                      <w:color w:val="000000"/>
                      <w:lang w:val="en-GB"/>
                    </w:rPr>
                    <w:t>&lt;0.001</w:t>
                  </w:r>
                </w:p>
              </w:tc>
              <w:tc>
                <w:tcPr>
                  <w:tcW w:w="1419" w:type="dxa"/>
                  <w:tcBorders>
                    <w:top w:val="single" w:sz="4" w:space="0" w:color="auto"/>
                    <w:left w:val="nil"/>
                    <w:bottom w:val="single" w:sz="4" w:space="0" w:color="auto"/>
                    <w:right w:val="single" w:sz="4" w:space="0" w:color="auto"/>
                  </w:tcBorders>
                </w:tcPr>
                <w:p w14:paraId="2622B181" w14:textId="3ECBB8FE" w:rsidR="003F3B35" w:rsidRPr="00C223AB" w:rsidRDefault="001122FB" w:rsidP="00C223AB">
                  <w:pPr>
                    <w:rPr>
                      <w:rFonts w:ascii="Arial" w:eastAsia="Times New Roman" w:hAnsi="Arial" w:cs="Arial"/>
                      <w:color w:val="000000"/>
                      <w:lang w:val="en-GB"/>
                    </w:rPr>
                  </w:pPr>
                  <w:r>
                    <w:rPr>
                      <w:rFonts w:ascii="Arial" w:eastAsia="Times New Roman" w:hAnsi="Arial" w:cs="Arial"/>
                      <w:color w:val="000000"/>
                      <w:lang w:val="en-GB"/>
                    </w:rPr>
                    <w:t>1044</w:t>
                  </w:r>
                </w:p>
              </w:tc>
            </w:tr>
          </w:tbl>
          <w:p w14:paraId="167BEFA5" w14:textId="77777777" w:rsidR="00BF3F65" w:rsidRPr="00C223AB" w:rsidRDefault="00BF3F65" w:rsidP="00C223AB">
            <w:pPr>
              <w:rPr>
                <w:rFonts w:ascii="Arial" w:eastAsia="Times New Roman" w:hAnsi="Arial" w:cs="Arial"/>
                <w:color w:val="000000"/>
                <w:sz w:val="20"/>
                <w:szCs w:val="20"/>
                <w:lang w:val="en-GB" w:eastAsia="en-GB"/>
              </w:rPr>
            </w:pPr>
          </w:p>
          <w:p w14:paraId="2BA54FC7" w14:textId="77777777" w:rsidR="00B42678" w:rsidRPr="00C223AB" w:rsidRDefault="00AC1165" w:rsidP="00C223AB">
            <w:pPr>
              <w:rPr>
                <w:rFonts w:ascii="Arial" w:eastAsia="Times New Roman" w:hAnsi="Arial" w:cs="Arial"/>
                <w:color w:val="000000"/>
                <w:lang w:val="en-GB" w:eastAsia="en-GB"/>
              </w:rPr>
            </w:pPr>
            <w:r w:rsidRPr="00C223AB">
              <w:rPr>
                <w:rFonts w:ascii="Arial" w:eastAsia="Times New Roman" w:hAnsi="Arial" w:cs="Arial"/>
                <w:color w:val="000000"/>
                <w:lang w:val="en-GB" w:eastAsia="en-GB"/>
              </w:rPr>
              <w:t>Spearman correlations with corresponding p-values.</w:t>
            </w:r>
          </w:p>
          <w:p w14:paraId="7FF26007" w14:textId="77777777" w:rsidR="00B42678" w:rsidRPr="00C223AB" w:rsidRDefault="00B42678" w:rsidP="00C223AB">
            <w:pPr>
              <w:rPr>
                <w:rFonts w:ascii="Arial" w:eastAsia="Times New Roman" w:hAnsi="Arial" w:cs="Arial"/>
                <w:color w:val="000000"/>
                <w:sz w:val="20"/>
                <w:szCs w:val="20"/>
                <w:lang w:val="en-GB" w:eastAsia="en-GB"/>
              </w:rPr>
            </w:pPr>
          </w:p>
          <w:p w14:paraId="105AEB7A" w14:textId="77777777" w:rsidR="00B42678" w:rsidRPr="00C223AB" w:rsidRDefault="00B42678" w:rsidP="00C223AB">
            <w:pPr>
              <w:rPr>
                <w:rFonts w:ascii="Arial" w:eastAsia="Times New Roman" w:hAnsi="Arial" w:cs="Arial"/>
                <w:color w:val="000000"/>
                <w:sz w:val="20"/>
                <w:szCs w:val="20"/>
                <w:lang w:val="en-GB" w:eastAsia="en-GB"/>
              </w:rPr>
            </w:pPr>
          </w:p>
          <w:p w14:paraId="0B084F69" w14:textId="77777777" w:rsidR="00B42678" w:rsidRPr="00C223AB" w:rsidRDefault="00B42678" w:rsidP="00C223AB">
            <w:pPr>
              <w:rPr>
                <w:rFonts w:ascii="Arial" w:eastAsia="Times New Roman" w:hAnsi="Arial" w:cs="Arial"/>
                <w:color w:val="000000"/>
                <w:sz w:val="20"/>
                <w:szCs w:val="20"/>
                <w:lang w:val="en-GB" w:eastAsia="en-GB"/>
              </w:rPr>
            </w:pPr>
          </w:p>
          <w:p w14:paraId="58DB2970" w14:textId="77777777" w:rsidR="00B42678" w:rsidRPr="00C223AB" w:rsidRDefault="00B42678" w:rsidP="00C223AB">
            <w:pPr>
              <w:rPr>
                <w:rFonts w:ascii="Arial" w:eastAsia="Times New Roman" w:hAnsi="Arial" w:cs="Arial"/>
                <w:color w:val="000000"/>
                <w:sz w:val="20"/>
                <w:szCs w:val="20"/>
                <w:lang w:val="en-GB" w:eastAsia="en-GB"/>
              </w:rPr>
            </w:pPr>
          </w:p>
          <w:p w14:paraId="6AD193AA" w14:textId="77777777" w:rsidR="00B42678" w:rsidRPr="00C223AB" w:rsidRDefault="00B42678" w:rsidP="00C223AB">
            <w:pPr>
              <w:rPr>
                <w:rFonts w:ascii="Arial" w:eastAsia="Times New Roman" w:hAnsi="Arial" w:cs="Arial"/>
                <w:color w:val="000000"/>
                <w:sz w:val="20"/>
                <w:szCs w:val="20"/>
                <w:lang w:val="en-GB" w:eastAsia="en-GB"/>
              </w:rPr>
            </w:pPr>
          </w:p>
          <w:p w14:paraId="051AC2C5" w14:textId="77777777" w:rsidR="00B42678" w:rsidRPr="00C223AB" w:rsidRDefault="00B42678" w:rsidP="00C223AB">
            <w:pPr>
              <w:rPr>
                <w:rFonts w:ascii="Arial" w:eastAsia="Times New Roman" w:hAnsi="Arial" w:cs="Arial"/>
                <w:color w:val="000000"/>
                <w:sz w:val="20"/>
                <w:szCs w:val="20"/>
                <w:lang w:val="en-GB" w:eastAsia="en-GB"/>
              </w:rPr>
            </w:pPr>
          </w:p>
          <w:p w14:paraId="6EAEA328" w14:textId="77777777" w:rsidR="00B42678" w:rsidRPr="00C223AB" w:rsidRDefault="00B42678" w:rsidP="00C223AB">
            <w:pPr>
              <w:rPr>
                <w:rFonts w:ascii="Arial" w:eastAsia="Times New Roman" w:hAnsi="Arial" w:cs="Arial"/>
                <w:color w:val="000000"/>
                <w:sz w:val="20"/>
                <w:szCs w:val="20"/>
                <w:lang w:val="en-GB" w:eastAsia="en-GB"/>
              </w:rPr>
            </w:pPr>
          </w:p>
          <w:p w14:paraId="3CB61A16" w14:textId="77777777" w:rsidR="00615BC9" w:rsidRPr="00C223AB" w:rsidRDefault="00615BC9" w:rsidP="00C223AB">
            <w:pPr>
              <w:rPr>
                <w:rFonts w:ascii="Arial" w:eastAsia="Times New Roman" w:hAnsi="Arial" w:cs="Arial"/>
                <w:color w:val="000000"/>
                <w:sz w:val="20"/>
                <w:szCs w:val="20"/>
                <w:lang w:val="en-GB" w:eastAsia="en-GB"/>
              </w:rPr>
            </w:pPr>
          </w:p>
          <w:p w14:paraId="31138ED7" w14:textId="77777777" w:rsidR="00615BC9" w:rsidRPr="00C223AB" w:rsidRDefault="00615BC9" w:rsidP="00C223AB">
            <w:pPr>
              <w:rPr>
                <w:rFonts w:ascii="Arial" w:eastAsia="Times New Roman" w:hAnsi="Arial" w:cs="Arial"/>
                <w:color w:val="000000"/>
                <w:sz w:val="20"/>
                <w:szCs w:val="20"/>
                <w:lang w:val="en-GB" w:eastAsia="en-GB"/>
              </w:rPr>
            </w:pPr>
          </w:p>
          <w:p w14:paraId="565BA792" w14:textId="77777777" w:rsidR="00615BC9" w:rsidRPr="00C223AB" w:rsidRDefault="00615BC9" w:rsidP="00C223AB">
            <w:pPr>
              <w:rPr>
                <w:rFonts w:ascii="Arial" w:eastAsia="Times New Roman" w:hAnsi="Arial" w:cs="Arial"/>
                <w:color w:val="000000"/>
                <w:sz w:val="20"/>
                <w:szCs w:val="20"/>
                <w:lang w:val="en-GB" w:eastAsia="en-GB"/>
              </w:rPr>
            </w:pPr>
          </w:p>
          <w:p w14:paraId="1538613C" w14:textId="2372C3F5" w:rsidR="00615BC9" w:rsidRDefault="00615BC9" w:rsidP="00C223AB">
            <w:pPr>
              <w:rPr>
                <w:rFonts w:ascii="Arial" w:eastAsia="Times New Roman" w:hAnsi="Arial" w:cs="Arial"/>
                <w:color w:val="000000"/>
                <w:sz w:val="20"/>
                <w:szCs w:val="20"/>
                <w:lang w:val="en-GB" w:eastAsia="en-GB"/>
              </w:rPr>
            </w:pPr>
          </w:p>
          <w:p w14:paraId="04D4454E" w14:textId="3896AE4F" w:rsidR="000537D5" w:rsidRDefault="000537D5" w:rsidP="00C223AB">
            <w:pPr>
              <w:rPr>
                <w:rFonts w:ascii="Arial" w:eastAsia="Times New Roman" w:hAnsi="Arial" w:cs="Arial"/>
                <w:color w:val="000000"/>
                <w:sz w:val="20"/>
                <w:szCs w:val="20"/>
                <w:lang w:val="en-GB" w:eastAsia="en-GB"/>
              </w:rPr>
            </w:pPr>
          </w:p>
          <w:p w14:paraId="07A9E7BE" w14:textId="1CF7C89F" w:rsidR="000537D5" w:rsidRDefault="000537D5" w:rsidP="00C223AB">
            <w:pPr>
              <w:rPr>
                <w:rFonts w:ascii="Arial" w:eastAsia="Times New Roman" w:hAnsi="Arial" w:cs="Arial"/>
                <w:color w:val="000000"/>
                <w:sz w:val="20"/>
                <w:szCs w:val="20"/>
                <w:lang w:val="en-GB" w:eastAsia="en-GB"/>
              </w:rPr>
            </w:pPr>
          </w:p>
          <w:p w14:paraId="68D83980" w14:textId="6F4FCBF7" w:rsidR="000537D5" w:rsidRDefault="000537D5" w:rsidP="00C223AB">
            <w:pPr>
              <w:rPr>
                <w:rFonts w:ascii="Arial" w:eastAsia="Times New Roman" w:hAnsi="Arial" w:cs="Arial"/>
                <w:color w:val="000000"/>
                <w:sz w:val="20"/>
                <w:szCs w:val="20"/>
                <w:lang w:val="en-GB" w:eastAsia="en-GB"/>
              </w:rPr>
            </w:pPr>
          </w:p>
          <w:p w14:paraId="6350A795" w14:textId="772888BE" w:rsidR="000537D5" w:rsidRDefault="000537D5" w:rsidP="00C223AB">
            <w:pPr>
              <w:rPr>
                <w:rFonts w:ascii="Arial" w:eastAsia="Times New Roman" w:hAnsi="Arial" w:cs="Arial"/>
                <w:color w:val="000000"/>
                <w:sz w:val="20"/>
                <w:szCs w:val="20"/>
                <w:lang w:val="en-GB" w:eastAsia="en-GB"/>
              </w:rPr>
            </w:pPr>
          </w:p>
          <w:p w14:paraId="6912C98C" w14:textId="00242309" w:rsidR="000537D5" w:rsidRDefault="000537D5" w:rsidP="00C223AB">
            <w:pPr>
              <w:rPr>
                <w:rFonts w:ascii="Arial" w:eastAsia="Times New Roman" w:hAnsi="Arial" w:cs="Arial"/>
                <w:color w:val="000000"/>
                <w:sz w:val="20"/>
                <w:szCs w:val="20"/>
                <w:lang w:val="en-GB" w:eastAsia="en-GB"/>
              </w:rPr>
            </w:pPr>
          </w:p>
          <w:p w14:paraId="0560BCDB" w14:textId="49C5E8C2" w:rsidR="000537D5" w:rsidRDefault="000537D5" w:rsidP="00C223AB">
            <w:pPr>
              <w:rPr>
                <w:rFonts w:ascii="Arial" w:eastAsia="Times New Roman" w:hAnsi="Arial" w:cs="Arial"/>
                <w:color w:val="000000"/>
                <w:sz w:val="20"/>
                <w:szCs w:val="20"/>
                <w:lang w:val="en-GB" w:eastAsia="en-GB"/>
              </w:rPr>
            </w:pPr>
          </w:p>
          <w:p w14:paraId="487F264E" w14:textId="77777777" w:rsidR="000537D5" w:rsidRPr="00C223AB" w:rsidRDefault="000537D5" w:rsidP="00C223AB">
            <w:pPr>
              <w:rPr>
                <w:rFonts w:ascii="Arial" w:eastAsia="Times New Roman" w:hAnsi="Arial" w:cs="Arial"/>
                <w:color w:val="000000"/>
                <w:sz w:val="20"/>
                <w:szCs w:val="20"/>
                <w:lang w:val="en-GB" w:eastAsia="en-GB"/>
              </w:rPr>
            </w:pPr>
          </w:p>
          <w:p w14:paraId="55250250" w14:textId="3F8509EA" w:rsidR="001D3989" w:rsidRPr="00C223AB" w:rsidRDefault="001D3989" w:rsidP="00C223AB">
            <w:pPr>
              <w:rPr>
                <w:rFonts w:ascii="Arial" w:eastAsia="Times New Roman" w:hAnsi="Arial" w:cs="Arial"/>
                <w:color w:val="000000"/>
                <w:sz w:val="20"/>
                <w:szCs w:val="20"/>
                <w:lang w:val="en-GB" w:eastAsia="en-GB"/>
              </w:rPr>
            </w:pPr>
          </w:p>
        </w:tc>
        <w:tc>
          <w:tcPr>
            <w:tcW w:w="872" w:type="dxa"/>
            <w:tcBorders>
              <w:top w:val="nil"/>
              <w:left w:val="nil"/>
              <w:bottom w:val="nil"/>
              <w:right w:val="nil"/>
            </w:tcBorders>
            <w:shd w:val="clear" w:color="auto" w:fill="auto"/>
            <w:noWrap/>
            <w:vAlign w:val="bottom"/>
            <w:hideMark/>
          </w:tcPr>
          <w:p w14:paraId="07D6946D" w14:textId="77777777" w:rsidR="00B40C02" w:rsidRPr="00C223AB" w:rsidRDefault="00B40C02" w:rsidP="00C223AB">
            <w:pPr>
              <w:rPr>
                <w:rFonts w:ascii="Arial" w:eastAsia="Times New Roman" w:hAnsi="Arial" w:cs="Arial"/>
                <w:color w:val="000000"/>
                <w:sz w:val="20"/>
                <w:szCs w:val="20"/>
                <w:lang w:val="en-GB" w:eastAsia="en-GB"/>
              </w:rPr>
            </w:pPr>
          </w:p>
        </w:tc>
        <w:tc>
          <w:tcPr>
            <w:tcW w:w="229" w:type="dxa"/>
            <w:tcBorders>
              <w:top w:val="nil"/>
              <w:left w:val="nil"/>
              <w:bottom w:val="nil"/>
              <w:right w:val="nil"/>
            </w:tcBorders>
            <w:shd w:val="clear" w:color="auto" w:fill="auto"/>
            <w:noWrap/>
            <w:vAlign w:val="bottom"/>
            <w:hideMark/>
          </w:tcPr>
          <w:p w14:paraId="4E08D983" w14:textId="77777777" w:rsidR="00B40C02" w:rsidRPr="00C223AB" w:rsidRDefault="00B40C02" w:rsidP="00C223AB">
            <w:pPr>
              <w:rPr>
                <w:rFonts w:ascii="Arial" w:eastAsia="Times New Roman" w:hAnsi="Arial" w:cs="Arial"/>
                <w:sz w:val="20"/>
                <w:szCs w:val="20"/>
                <w:lang w:val="en-GB" w:eastAsia="en-GB"/>
              </w:rPr>
            </w:pPr>
          </w:p>
        </w:tc>
        <w:tc>
          <w:tcPr>
            <w:tcW w:w="1069" w:type="dxa"/>
            <w:tcBorders>
              <w:top w:val="nil"/>
              <w:left w:val="nil"/>
              <w:bottom w:val="nil"/>
              <w:right w:val="nil"/>
            </w:tcBorders>
            <w:shd w:val="clear" w:color="auto" w:fill="auto"/>
            <w:vAlign w:val="bottom"/>
            <w:hideMark/>
          </w:tcPr>
          <w:p w14:paraId="448D4E1B" w14:textId="77777777" w:rsidR="00B40C02" w:rsidRPr="00C223AB" w:rsidRDefault="00B40C02" w:rsidP="00C223AB">
            <w:pPr>
              <w:rPr>
                <w:rFonts w:ascii="Arial" w:eastAsia="Times New Roman" w:hAnsi="Arial" w:cs="Arial"/>
                <w:sz w:val="20"/>
                <w:szCs w:val="20"/>
                <w:lang w:val="en-GB" w:eastAsia="en-GB"/>
              </w:rPr>
            </w:pPr>
          </w:p>
        </w:tc>
        <w:tc>
          <w:tcPr>
            <w:tcW w:w="936" w:type="dxa"/>
            <w:tcBorders>
              <w:top w:val="nil"/>
              <w:left w:val="nil"/>
              <w:bottom w:val="nil"/>
              <w:right w:val="nil"/>
            </w:tcBorders>
            <w:shd w:val="clear" w:color="auto" w:fill="auto"/>
            <w:noWrap/>
            <w:vAlign w:val="bottom"/>
            <w:hideMark/>
          </w:tcPr>
          <w:p w14:paraId="7BFA41A3" w14:textId="77777777" w:rsidR="00B40C02" w:rsidRPr="00C223AB" w:rsidRDefault="00B40C02" w:rsidP="00C223AB">
            <w:pPr>
              <w:rPr>
                <w:rFonts w:ascii="Arial" w:eastAsia="Times New Roman" w:hAnsi="Arial" w:cs="Arial"/>
                <w:sz w:val="20"/>
                <w:szCs w:val="20"/>
                <w:lang w:val="en-GB" w:eastAsia="en-GB"/>
              </w:rPr>
            </w:pPr>
          </w:p>
        </w:tc>
      </w:tr>
    </w:tbl>
    <w:p w14:paraId="7AFDE738" w14:textId="06876F33" w:rsidR="001D3989" w:rsidRPr="00C223AB" w:rsidRDefault="00A609D7" w:rsidP="00C223AB">
      <w:pPr>
        <w:rPr>
          <w:rFonts w:ascii="Arial" w:eastAsia="Times New Roman" w:hAnsi="Arial" w:cs="Arial"/>
          <w:color w:val="000000"/>
          <w:lang w:val="en-GB" w:eastAsia="en-GB"/>
        </w:rPr>
      </w:pPr>
      <w:r w:rsidRPr="00C223AB">
        <w:rPr>
          <w:rFonts w:ascii="Arial" w:eastAsia="Times New Roman" w:hAnsi="Arial" w:cs="Arial"/>
          <w:b/>
          <w:color w:val="000000"/>
          <w:lang w:val="en-GB" w:eastAsia="en-GB"/>
        </w:rPr>
        <w:lastRenderedPageBreak/>
        <w:t>Table 4.</w:t>
      </w:r>
      <w:r w:rsidRPr="00C223AB">
        <w:rPr>
          <w:rFonts w:ascii="Arial" w:eastAsia="Times New Roman" w:hAnsi="Arial" w:cs="Arial"/>
          <w:color w:val="000000"/>
          <w:lang w:val="en-GB" w:eastAsia="en-GB"/>
        </w:rPr>
        <w:t xml:space="preserve"> Mediation analysis for apoC-III quintiles and CAD risk</w:t>
      </w:r>
    </w:p>
    <w:p w14:paraId="5EDCE1B5" w14:textId="5362F307" w:rsidR="00A609D7" w:rsidRPr="00C223AB" w:rsidRDefault="00A609D7" w:rsidP="00C223AB">
      <w:pPr>
        <w:rPr>
          <w:rFonts w:ascii="Arial" w:eastAsia="Times New Roman" w:hAnsi="Arial" w:cs="Arial"/>
          <w:color w:val="000000"/>
          <w:lang w:val="en-GB" w:eastAsia="en-GB"/>
        </w:rPr>
      </w:pPr>
    </w:p>
    <w:tbl>
      <w:tblPr>
        <w:tblW w:w="12366" w:type="dxa"/>
        <w:tblInd w:w="108" w:type="dxa"/>
        <w:tblLayout w:type="fixed"/>
        <w:tblLook w:val="04A0" w:firstRow="1" w:lastRow="0" w:firstColumn="1" w:lastColumn="0" w:noHBand="0" w:noVBand="1"/>
      </w:tblPr>
      <w:tblGrid>
        <w:gridCol w:w="2869"/>
        <w:gridCol w:w="1843"/>
        <w:gridCol w:w="1417"/>
        <w:gridCol w:w="1134"/>
        <w:gridCol w:w="709"/>
        <w:gridCol w:w="1843"/>
        <w:gridCol w:w="1417"/>
        <w:gridCol w:w="1134"/>
      </w:tblGrid>
      <w:tr w:rsidR="00CD033D" w:rsidRPr="00C223AB" w14:paraId="690C900E" w14:textId="77777777" w:rsidTr="0038636A">
        <w:trPr>
          <w:trHeight w:val="300"/>
        </w:trPr>
        <w:tc>
          <w:tcPr>
            <w:tcW w:w="2869" w:type="dxa"/>
            <w:tcBorders>
              <w:top w:val="nil"/>
              <w:left w:val="nil"/>
              <w:bottom w:val="nil"/>
              <w:right w:val="nil"/>
            </w:tcBorders>
            <w:shd w:val="clear" w:color="auto" w:fill="auto"/>
            <w:noWrap/>
            <w:vAlign w:val="bottom"/>
            <w:hideMark/>
          </w:tcPr>
          <w:p w14:paraId="33024FF4" w14:textId="77777777" w:rsidR="00CD033D" w:rsidRPr="00C223AB" w:rsidRDefault="00CD033D" w:rsidP="00C223AB">
            <w:pPr>
              <w:rPr>
                <w:rFonts w:ascii="Arial" w:eastAsia="Times New Roman" w:hAnsi="Arial" w:cs="Arial"/>
                <w:lang w:val="en-GB" w:eastAsia="en-GB"/>
              </w:rPr>
            </w:pPr>
          </w:p>
        </w:tc>
        <w:tc>
          <w:tcPr>
            <w:tcW w:w="3260" w:type="dxa"/>
            <w:gridSpan w:val="2"/>
            <w:tcBorders>
              <w:top w:val="nil"/>
              <w:left w:val="nil"/>
              <w:bottom w:val="nil"/>
              <w:right w:val="nil"/>
            </w:tcBorders>
            <w:shd w:val="clear" w:color="auto" w:fill="auto"/>
            <w:noWrap/>
            <w:vAlign w:val="bottom"/>
            <w:hideMark/>
          </w:tcPr>
          <w:p w14:paraId="7AC20427" w14:textId="77777777" w:rsidR="00CD033D" w:rsidRPr="00C223AB" w:rsidRDefault="00CD033D" w:rsidP="00C223AB">
            <w:pPr>
              <w:rPr>
                <w:rFonts w:ascii="Arial" w:eastAsia="Times New Roman" w:hAnsi="Arial" w:cs="Arial"/>
                <w:b/>
                <w:bCs/>
                <w:color w:val="000000"/>
                <w:sz w:val="22"/>
                <w:szCs w:val="22"/>
                <w:lang w:val="en-GB" w:eastAsia="en-GB"/>
              </w:rPr>
            </w:pPr>
            <w:r w:rsidRPr="00C223AB">
              <w:rPr>
                <w:rFonts w:ascii="Arial" w:eastAsia="Times New Roman" w:hAnsi="Arial" w:cs="Arial"/>
                <w:b/>
                <w:bCs/>
                <w:color w:val="000000"/>
                <w:sz w:val="22"/>
                <w:szCs w:val="22"/>
                <w:lang w:val="en-GB" w:eastAsia="en-GB"/>
              </w:rPr>
              <w:t>Model 1 (age, sex adjusted)</w:t>
            </w:r>
          </w:p>
        </w:tc>
        <w:tc>
          <w:tcPr>
            <w:tcW w:w="1134" w:type="dxa"/>
            <w:tcBorders>
              <w:top w:val="nil"/>
              <w:left w:val="nil"/>
              <w:bottom w:val="nil"/>
              <w:right w:val="nil"/>
            </w:tcBorders>
            <w:shd w:val="clear" w:color="auto" w:fill="auto"/>
            <w:noWrap/>
            <w:vAlign w:val="bottom"/>
            <w:hideMark/>
          </w:tcPr>
          <w:p w14:paraId="00263512" w14:textId="77777777" w:rsidR="00CD033D" w:rsidRPr="00C223AB" w:rsidRDefault="00CD033D" w:rsidP="00C223AB">
            <w:pPr>
              <w:rPr>
                <w:rFonts w:ascii="Arial" w:eastAsia="Times New Roman" w:hAnsi="Arial" w:cs="Arial"/>
                <w:b/>
                <w:bCs/>
                <w:color w:val="000000"/>
                <w:sz w:val="22"/>
                <w:szCs w:val="22"/>
                <w:lang w:val="en-GB" w:eastAsia="en-GB"/>
              </w:rPr>
            </w:pPr>
          </w:p>
        </w:tc>
        <w:tc>
          <w:tcPr>
            <w:tcW w:w="709" w:type="dxa"/>
            <w:tcBorders>
              <w:top w:val="nil"/>
              <w:left w:val="nil"/>
              <w:bottom w:val="nil"/>
              <w:right w:val="nil"/>
            </w:tcBorders>
            <w:shd w:val="clear" w:color="auto" w:fill="auto"/>
            <w:noWrap/>
            <w:vAlign w:val="bottom"/>
            <w:hideMark/>
          </w:tcPr>
          <w:p w14:paraId="189F0279" w14:textId="77777777" w:rsidR="00CD033D" w:rsidRPr="00C223AB" w:rsidRDefault="00CD033D" w:rsidP="00C223AB">
            <w:pPr>
              <w:rPr>
                <w:rFonts w:ascii="Arial" w:eastAsia="Times New Roman" w:hAnsi="Arial" w:cs="Arial"/>
                <w:sz w:val="20"/>
                <w:szCs w:val="20"/>
                <w:lang w:val="en-GB" w:eastAsia="en-GB"/>
              </w:rPr>
            </w:pPr>
          </w:p>
        </w:tc>
        <w:tc>
          <w:tcPr>
            <w:tcW w:w="4394" w:type="dxa"/>
            <w:gridSpan w:val="3"/>
            <w:tcBorders>
              <w:top w:val="nil"/>
              <w:left w:val="nil"/>
              <w:bottom w:val="nil"/>
              <w:right w:val="nil"/>
            </w:tcBorders>
            <w:shd w:val="clear" w:color="auto" w:fill="auto"/>
            <w:noWrap/>
            <w:vAlign w:val="bottom"/>
            <w:hideMark/>
          </w:tcPr>
          <w:p w14:paraId="272E90C9" w14:textId="77777777" w:rsidR="00CD033D" w:rsidRPr="00C223AB" w:rsidRDefault="00CD033D" w:rsidP="00C223AB">
            <w:pPr>
              <w:rPr>
                <w:rFonts w:ascii="Arial" w:eastAsia="Times New Roman" w:hAnsi="Arial" w:cs="Arial"/>
                <w:b/>
                <w:bCs/>
                <w:color w:val="000000"/>
                <w:sz w:val="22"/>
                <w:szCs w:val="22"/>
                <w:lang w:val="en-GB" w:eastAsia="en-GB"/>
              </w:rPr>
            </w:pPr>
            <w:r w:rsidRPr="00C223AB">
              <w:rPr>
                <w:rFonts w:ascii="Arial" w:eastAsia="Times New Roman" w:hAnsi="Arial" w:cs="Arial"/>
                <w:b/>
                <w:bCs/>
                <w:color w:val="000000"/>
                <w:sz w:val="22"/>
                <w:szCs w:val="22"/>
                <w:lang w:val="en-GB" w:eastAsia="en-GB"/>
              </w:rPr>
              <w:t>Model 2 (multivariable adjusted)</w:t>
            </w:r>
          </w:p>
        </w:tc>
      </w:tr>
      <w:tr w:rsidR="00CD033D" w:rsidRPr="00C223AB" w14:paraId="34500E7E" w14:textId="77777777" w:rsidTr="0038636A">
        <w:trPr>
          <w:trHeight w:val="600"/>
        </w:trPr>
        <w:tc>
          <w:tcPr>
            <w:tcW w:w="2869" w:type="dxa"/>
            <w:tcBorders>
              <w:top w:val="nil"/>
              <w:left w:val="nil"/>
              <w:bottom w:val="nil"/>
              <w:right w:val="nil"/>
            </w:tcBorders>
            <w:shd w:val="clear" w:color="auto" w:fill="auto"/>
            <w:noWrap/>
            <w:vAlign w:val="bottom"/>
            <w:hideMark/>
          </w:tcPr>
          <w:p w14:paraId="21FF646C" w14:textId="77777777" w:rsidR="00CD033D" w:rsidRPr="00C223AB" w:rsidRDefault="00CD033D" w:rsidP="00C223AB">
            <w:pPr>
              <w:rPr>
                <w:rFonts w:ascii="Arial" w:eastAsia="Times New Roman" w:hAnsi="Arial" w:cs="Arial"/>
                <w:sz w:val="20"/>
                <w:szCs w:val="20"/>
                <w:lang w:val="en-GB" w:eastAsia="en-GB"/>
              </w:rPr>
            </w:pPr>
          </w:p>
        </w:tc>
        <w:tc>
          <w:tcPr>
            <w:tcW w:w="1843" w:type="dxa"/>
            <w:tcBorders>
              <w:top w:val="nil"/>
              <w:left w:val="nil"/>
              <w:bottom w:val="nil"/>
              <w:right w:val="nil"/>
            </w:tcBorders>
            <w:shd w:val="clear" w:color="auto" w:fill="auto"/>
            <w:noWrap/>
            <w:vAlign w:val="bottom"/>
            <w:hideMark/>
          </w:tcPr>
          <w:p w14:paraId="5DBC35F6" w14:textId="77777777" w:rsidR="00CD033D" w:rsidRPr="00C223AB" w:rsidRDefault="00CD033D" w:rsidP="00C223AB">
            <w:pPr>
              <w:rPr>
                <w:rFonts w:ascii="Arial" w:eastAsia="Times New Roman" w:hAnsi="Arial" w:cs="Arial"/>
                <w:color w:val="000000"/>
                <w:sz w:val="22"/>
                <w:szCs w:val="22"/>
                <w:lang w:val="en-GB" w:eastAsia="en-GB"/>
              </w:rPr>
            </w:pPr>
            <w:r w:rsidRPr="00C223AB">
              <w:rPr>
                <w:rFonts w:ascii="Arial" w:eastAsia="Times New Roman" w:hAnsi="Arial" w:cs="Arial"/>
                <w:color w:val="000000"/>
                <w:sz w:val="22"/>
                <w:szCs w:val="22"/>
                <w:lang w:val="en-GB" w:eastAsia="en-GB"/>
              </w:rPr>
              <w:t>Odds ratio</w:t>
            </w:r>
          </w:p>
        </w:tc>
        <w:tc>
          <w:tcPr>
            <w:tcW w:w="1417" w:type="dxa"/>
            <w:tcBorders>
              <w:top w:val="nil"/>
              <w:left w:val="nil"/>
              <w:bottom w:val="nil"/>
              <w:right w:val="nil"/>
            </w:tcBorders>
            <w:shd w:val="clear" w:color="auto" w:fill="auto"/>
            <w:vAlign w:val="bottom"/>
            <w:hideMark/>
          </w:tcPr>
          <w:p w14:paraId="186EF716" w14:textId="77777777" w:rsidR="00CD033D" w:rsidRPr="00C223AB" w:rsidRDefault="00CD033D" w:rsidP="00C223AB">
            <w:pPr>
              <w:rPr>
                <w:rFonts w:ascii="Arial" w:eastAsia="Times New Roman" w:hAnsi="Arial" w:cs="Arial"/>
                <w:color w:val="000000"/>
                <w:sz w:val="22"/>
                <w:szCs w:val="22"/>
                <w:lang w:val="en-GB" w:eastAsia="en-GB"/>
              </w:rPr>
            </w:pPr>
            <w:r w:rsidRPr="00C223AB">
              <w:rPr>
                <w:rFonts w:ascii="Arial" w:eastAsia="Times New Roman" w:hAnsi="Arial" w:cs="Arial"/>
                <w:color w:val="000000"/>
                <w:sz w:val="22"/>
                <w:szCs w:val="22"/>
                <w:lang w:val="en-GB" w:eastAsia="en-GB"/>
              </w:rPr>
              <w:t>Percentage</w:t>
            </w:r>
            <w:r w:rsidRPr="00C223AB">
              <w:rPr>
                <w:rFonts w:ascii="Arial" w:eastAsia="Times New Roman" w:hAnsi="Arial" w:cs="Arial"/>
                <w:color w:val="000000"/>
                <w:sz w:val="22"/>
                <w:szCs w:val="22"/>
                <w:lang w:val="en-GB" w:eastAsia="en-GB"/>
              </w:rPr>
              <w:br/>
              <w:t>explained</w:t>
            </w:r>
          </w:p>
        </w:tc>
        <w:tc>
          <w:tcPr>
            <w:tcW w:w="1134" w:type="dxa"/>
            <w:tcBorders>
              <w:top w:val="nil"/>
              <w:left w:val="nil"/>
              <w:bottom w:val="nil"/>
              <w:right w:val="nil"/>
            </w:tcBorders>
            <w:shd w:val="clear" w:color="auto" w:fill="auto"/>
            <w:noWrap/>
            <w:vAlign w:val="bottom"/>
            <w:hideMark/>
          </w:tcPr>
          <w:p w14:paraId="7409BCDD" w14:textId="77777777" w:rsidR="00CD033D" w:rsidRPr="00C223AB" w:rsidRDefault="00CD033D" w:rsidP="00C223AB">
            <w:pPr>
              <w:rPr>
                <w:rFonts w:ascii="Arial" w:eastAsia="Times New Roman" w:hAnsi="Arial" w:cs="Arial"/>
                <w:color w:val="000000"/>
                <w:sz w:val="22"/>
                <w:szCs w:val="22"/>
                <w:lang w:val="en-GB" w:eastAsia="en-GB"/>
              </w:rPr>
            </w:pPr>
            <w:r w:rsidRPr="00C223AB">
              <w:rPr>
                <w:rFonts w:ascii="Arial" w:eastAsia="Times New Roman" w:hAnsi="Arial" w:cs="Arial"/>
                <w:color w:val="000000"/>
                <w:sz w:val="22"/>
                <w:szCs w:val="22"/>
                <w:lang w:val="en-GB" w:eastAsia="en-GB"/>
              </w:rPr>
              <w:t>P-value</w:t>
            </w:r>
          </w:p>
        </w:tc>
        <w:tc>
          <w:tcPr>
            <w:tcW w:w="709" w:type="dxa"/>
            <w:tcBorders>
              <w:top w:val="nil"/>
              <w:left w:val="nil"/>
              <w:bottom w:val="nil"/>
              <w:right w:val="nil"/>
            </w:tcBorders>
            <w:shd w:val="clear" w:color="auto" w:fill="auto"/>
            <w:noWrap/>
            <w:vAlign w:val="bottom"/>
            <w:hideMark/>
          </w:tcPr>
          <w:p w14:paraId="6077C9BE" w14:textId="77777777" w:rsidR="00CD033D" w:rsidRPr="00C223AB" w:rsidRDefault="00CD033D" w:rsidP="00C223AB">
            <w:pPr>
              <w:rPr>
                <w:rFonts w:ascii="Arial" w:eastAsia="Times New Roman" w:hAnsi="Arial" w:cs="Arial"/>
                <w:color w:val="000000"/>
                <w:sz w:val="22"/>
                <w:szCs w:val="22"/>
                <w:lang w:val="en-GB" w:eastAsia="en-GB"/>
              </w:rPr>
            </w:pPr>
          </w:p>
        </w:tc>
        <w:tc>
          <w:tcPr>
            <w:tcW w:w="1843" w:type="dxa"/>
            <w:tcBorders>
              <w:top w:val="nil"/>
              <w:left w:val="nil"/>
              <w:bottom w:val="nil"/>
              <w:right w:val="nil"/>
            </w:tcBorders>
            <w:shd w:val="clear" w:color="auto" w:fill="auto"/>
            <w:noWrap/>
            <w:vAlign w:val="bottom"/>
            <w:hideMark/>
          </w:tcPr>
          <w:p w14:paraId="6E83662C" w14:textId="77777777" w:rsidR="00CD033D" w:rsidRPr="00C223AB" w:rsidRDefault="00CD033D" w:rsidP="00C223AB">
            <w:pPr>
              <w:rPr>
                <w:rFonts w:ascii="Arial" w:eastAsia="Times New Roman" w:hAnsi="Arial" w:cs="Arial"/>
                <w:color w:val="000000"/>
                <w:sz w:val="22"/>
                <w:szCs w:val="22"/>
                <w:lang w:val="en-GB" w:eastAsia="en-GB"/>
              </w:rPr>
            </w:pPr>
            <w:r w:rsidRPr="00C223AB">
              <w:rPr>
                <w:rFonts w:ascii="Arial" w:eastAsia="Times New Roman" w:hAnsi="Arial" w:cs="Arial"/>
                <w:color w:val="000000"/>
                <w:sz w:val="22"/>
                <w:szCs w:val="22"/>
                <w:lang w:val="en-GB" w:eastAsia="en-GB"/>
              </w:rPr>
              <w:t>Odds ratio</w:t>
            </w:r>
          </w:p>
        </w:tc>
        <w:tc>
          <w:tcPr>
            <w:tcW w:w="1417" w:type="dxa"/>
            <w:tcBorders>
              <w:top w:val="nil"/>
              <w:left w:val="nil"/>
              <w:bottom w:val="nil"/>
              <w:right w:val="nil"/>
            </w:tcBorders>
            <w:shd w:val="clear" w:color="auto" w:fill="auto"/>
            <w:vAlign w:val="bottom"/>
            <w:hideMark/>
          </w:tcPr>
          <w:p w14:paraId="41F39242" w14:textId="77777777" w:rsidR="00CD033D" w:rsidRPr="00C223AB" w:rsidRDefault="00CD033D" w:rsidP="00C223AB">
            <w:pPr>
              <w:rPr>
                <w:rFonts w:ascii="Arial" w:eastAsia="Times New Roman" w:hAnsi="Arial" w:cs="Arial"/>
                <w:color w:val="000000"/>
                <w:sz w:val="22"/>
                <w:szCs w:val="22"/>
                <w:lang w:val="en-GB" w:eastAsia="en-GB"/>
              </w:rPr>
            </w:pPr>
            <w:r w:rsidRPr="00C223AB">
              <w:rPr>
                <w:rFonts w:ascii="Arial" w:eastAsia="Times New Roman" w:hAnsi="Arial" w:cs="Arial"/>
                <w:color w:val="000000"/>
                <w:sz w:val="22"/>
                <w:szCs w:val="22"/>
                <w:lang w:val="en-GB" w:eastAsia="en-GB"/>
              </w:rPr>
              <w:t>Percentage</w:t>
            </w:r>
            <w:r w:rsidRPr="00C223AB">
              <w:rPr>
                <w:rFonts w:ascii="Arial" w:eastAsia="Times New Roman" w:hAnsi="Arial" w:cs="Arial"/>
                <w:color w:val="000000"/>
                <w:sz w:val="22"/>
                <w:szCs w:val="22"/>
                <w:lang w:val="en-GB" w:eastAsia="en-GB"/>
              </w:rPr>
              <w:br/>
              <w:t>explained</w:t>
            </w:r>
          </w:p>
        </w:tc>
        <w:tc>
          <w:tcPr>
            <w:tcW w:w="1134" w:type="dxa"/>
            <w:tcBorders>
              <w:top w:val="nil"/>
              <w:left w:val="nil"/>
              <w:bottom w:val="nil"/>
              <w:right w:val="nil"/>
            </w:tcBorders>
            <w:shd w:val="clear" w:color="auto" w:fill="auto"/>
            <w:noWrap/>
            <w:vAlign w:val="bottom"/>
            <w:hideMark/>
          </w:tcPr>
          <w:p w14:paraId="383EB396" w14:textId="77777777" w:rsidR="00CD033D" w:rsidRPr="00C223AB" w:rsidRDefault="00CD033D" w:rsidP="00C223AB">
            <w:pPr>
              <w:rPr>
                <w:rFonts w:ascii="Arial" w:eastAsia="Times New Roman" w:hAnsi="Arial" w:cs="Arial"/>
                <w:color w:val="000000"/>
                <w:sz w:val="22"/>
                <w:szCs w:val="22"/>
                <w:lang w:val="en-GB" w:eastAsia="en-GB"/>
              </w:rPr>
            </w:pPr>
            <w:r w:rsidRPr="00C223AB">
              <w:rPr>
                <w:rFonts w:ascii="Arial" w:eastAsia="Times New Roman" w:hAnsi="Arial" w:cs="Arial"/>
                <w:color w:val="000000"/>
                <w:sz w:val="22"/>
                <w:szCs w:val="22"/>
                <w:lang w:val="en-GB" w:eastAsia="en-GB"/>
              </w:rPr>
              <w:t>P-value</w:t>
            </w:r>
          </w:p>
        </w:tc>
      </w:tr>
      <w:tr w:rsidR="00CD033D" w:rsidRPr="00C223AB" w14:paraId="5C87B27F" w14:textId="77777777" w:rsidTr="0038636A">
        <w:trPr>
          <w:trHeight w:val="300"/>
        </w:trPr>
        <w:tc>
          <w:tcPr>
            <w:tcW w:w="286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E48D3EF" w14:textId="77777777" w:rsidR="00CD033D" w:rsidRPr="00C223AB" w:rsidRDefault="00CD033D" w:rsidP="00C223AB">
            <w:pPr>
              <w:rPr>
                <w:rFonts w:ascii="Arial" w:eastAsia="Times New Roman" w:hAnsi="Arial" w:cs="Arial"/>
                <w:color w:val="000000"/>
                <w:sz w:val="22"/>
                <w:szCs w:val="22"/>
                <w:lang w:val="en-GB" w:eastAsia="en-GB"/>
              </w:rPr>
            </w:pPr>
            <w:r w:rsidRPr="00C223AB">
              <w:rPr>
                <w:rFonts w:ascii="Arial" w:eastAsia="Times New Roman" w:hAnsi="Arial" w:cs="Arial"/>
                <w:color w:val="000000"/>
                <w:sz w:val="22"/>
                <w:szCs w:val="22"/>
                <w:lang w:val="en-GB" w:eastAsia="en-GB"/>
              </w:rPr>
              <w:t>Base Model</w:t>
            </w:r>
          </w:p>
        </w:tc>
        <w:tc>
          <w:tcPr>
            <w:tcW w:w="1843" w:type="dxa"/>
            <w:tcBorders>
              <w:top w:val="single" w:sz="4" w:space="0" w:color="auto"/>
              <w:left w:val="nil"/>
              <w:bottom w:val="single" w:sz="4" w:space="0" w:color="auto"/>
              <w:right w:val="single" w:sz="4" w:space="0" w:color="auto"/>
            </w:tcBorders>
            <w:shd w:val="clear" w:color="auto" w:fill="auto"/>
            <w:noWrap/>
            <w:vAlign w:val="bottom"/>
            <w:hideMark/>
          </w:tcPr>
          <w:p w14:paraId="4AF761B3" w14:textId="77777777" w:rsidR="00CD033D" w:rsidRPr="00C223AB" w:rsidRDefault="00CD033D" w:rsidP="00C223AB">
            <w:pPr>
              <w:rPr>
                <w:rFonts w:ascii="Arial" w:eastAsia="Times New Roman" w:hAnsi="Arial" w:cs="Arial"/>
                <w:color w:val="000000"/>
                <w:sz w:val="22"/>
                <w:szCs w:val="22"/>
                <w:lang w:val="en-GB" w:eastAsia="en-GB"/>
              </w:rPr>
            </w:pPr>
            <w:r w:rsidRPr="00C223AB">
              <w:rPr>
                <w:rFonts w:ascii="Arial" w:eastAsia="Times New Roman" w:hAnsi="Arial" w:cs="Arial"/>
                <w:color w:val="000000"/>
                <w:sz w:val="22"/>
                <w:szCs w:val="22"/>
                <w:lang w:val="en-GB" w:eastAsia="en-GB"/>
              </w:rPr>
              <w:t>1.91 (1.48-2.48)</w:t>
            </w:r>
          </w:p>
        </w:tc>
        <w:tc>
          <w:tcPr>
            <w:tcW w:w="1417" w:type="dxa"/>
            <w:tcBorders>
              <w:top w:val="single" w:sz="4" w:space="0" w:color="auto"/>
              <w:left w:val="nil"/>
              <w:bottom w:val="single" w:sz="4" w:space="0" w:color="auto"/>
              <w:right w:val="single" w:sz="4" w:space="0" w:color="auto"/>
            </w:tcBorders>
            <w:shd w:val="clear" w:color="auto" w:fill="auto"/>
            <w:noWrap/>
            <w:vAlign w:val="bottom"/>
            <w:hideMark/>
          </w:tcPr>
          <w:p w14:paraId="0F6BDCD5" w14:textId="77777777" w:rsidR="00CD033D" w:rsidRPr="00C223AB" w:rsidRDefault="00CD033D" w:rsidP="00C223AB">
            <w:pPr>
              <w:rPr>
                <w:rFonts w:ascii="Arial" w:eastAsia="Times New Roman" w:hAnsi="Arial" w:cs="Arial"/>
                <w:color w:val="000000"/>
                <w:sz w:val="22"/>
                <w:szCs w:val="22"/>
                <w:lang w:val="en-GB" w:eastAsia="en-GB"/>
              </w:rPr>
            </w:pPr>
            <w:r w:rsidRPr="00C223AB">
              <w:rPr>
                <w:rFonts w:ascii="Arial" w:eastAsia="Times New Roman" w:hAnsi="Arial" w:cs="Arial"/>
                <w:color w:val="000000"/>
                <w:sz w:val="22"/>
                <w:szCs w:val="22"/>
                <w:lang w:val="en-GB" w:eastAsia="en-GB"/>
              </w:rPr>
              <w:t> </w:t>
            </w:r>
          </w:p>
        </w:tc>
        <w:tc>
          <w:tcPr>
            <w:tcW w:w="1134" w:type="dxa"/>
            <w:tcBorders>
              <w:top w:val="single" w:sz="4" w:space="0" w:color="auto"/>
              <w:left w:val="nil"/>
              <w:bottom w:val="single" w:sz="4" w:space="0" w:color="auto"/>
              <w:right w:val="single" w:sz="4" w:space="0" w:color="auto"/>
            </w:tcBorders>
            <w:shd w:val="clear" w:color="auto" w:fill="auto"/>
            <w:noWrap/>
            <w:vAlign w:val="bottom"/>
            <w:hideMark/>
          </w:tcPr>
          <w:p w14:paraId="380391D3" w14:textId="77777777" w:rsidR="00CD033D" w:rsidRPr="00C223AB" w:rsidRDefault="00CD033D" w:rsidP="00C223AB">
            <w:pPr>
              <w:rPr>
                <w:rFonts w:ascii="Arial" w:eastAsia="Times New Roman" w:hAnsi="Arial" w:cs="Arial"/>
                <w:color w:val="000000"/>
                <w:sz w:val="22"/>
                <w:szCs w:val="22"/>
                <w:lang w:val="en-GB" w:eastAsia="en-GB"/>
              </w:rPr>
            </w:pPr>
            <w:r w:rsidRPr="00C223AB">
              <w:rPr>
                <w:rFonts w:ascii="Arial" w:eastAsia="Times New Roman" w:hAnsi="Arial" w:cs="Arial"/>
                <w:color w:val="000000"/>
                <w:sz w:val="22"/>
                <w:szCs w:val="22"/>
                <w:lang w:val="en-GB" w:eastAsia="en-GB"/>
              </w:rPr>
              <w:t> </w:t>
            </w:r>
          </w:p>
        </w:tc>
        <w:tc>
          <w:tcPr>
            <w:tcW w:w="709" w:type="dxa"/>
            <w:tcBorders>
              <w:top w:val="nil"/>
              <w:left w:val="nil"/>
              <w:bottom w:val="nil"/>
              <w:right w:val="nil"/>
            </w:tcBorders>
            <w:shd w:val="clear" w:color="auto" w:fill="auto"/>
            <w:noWrap/>
            <w:vAlign w:val="bottom"/>
            <w:hideMark/>
          </w:tcPr>
          <w:p w14:paraId="5E19B9A7" w14:textId="77777777" w:rsidR="00CD033D" w:rsidRPr="00C223AB" w:rsidRDefault="00CD033D" w:rsidP="00C223AB">
            <w:pPr>
              <w:rPr>
                <w:rFonts w:ascii="Arial" w:eastAsia="Times New Roman" w:hAnsi="Arial" w:cs="Arial"/>
                <w:color w:val="000000"/>
                <w:sz w:val="22"/>
                <w:szCs w:val="22"/>
                <w:lang w:val="en-GB" w:eastAsia="en-GB"/>
              </w:rPr>
            </w:pPr>
          </w:p>
        </w:tc>
        <w:tc>
          <w:tcPr>
            <w:tcW w:w="184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BF42CE3" w14:textId="77777777" w:rsidR="00CD033D" w:rsidRPr="00C223AB" w:rsidRDefault="00CD033D" w:rsidP="00C223AB">
            <w:pPr>
              <w:rPr>
                <w:rFonts w:ascii="Arial" w:eastAsia="Times New Roman" w:hAnsi="Arial" w:cs="Arial"/>
                <w:color w:val="000000"/>
                <w:sz w:val="22"/>
                <w:szCs w:val="22"/>
                <w:lang w:val="en-GB" w:eastAsia="en-GB"/>
              </w:rPr>
            </w:pPr>
            <w:r w:rsidRPr="00C223AB">
              <w:rPr>
                <w:rFonts w:ascii="Arial" w:eastAsia="Times New Roman" w:hAnsi="Arial" w:cs="Arial"/>
                <w:color w:val="000000"/>
                <w:sz w:val="22"/>
                <w:szCs w:val="22"/>
                <w:lang w:val="en-GB" w:eastAsia="en-GB"/>
              </w:rPr>
              <w:t>1.47 (1.11-1.94)</w:t>
            </w:r>
          </w:p>
        </w:tc>
        <w:tc>
          <w:tcPr>
            <w:tcW w:w="1417" w:type="dxa"/>
            <w:tcBorders>
              <w:top w:val="single" w:sz="4" w:space="0" w:color="auto"/>
              <w:left w:val="nil"/>
              <w:bottom w:val="single" w:sz="4" w:space="0" w:color="auto"/>
              <w:right w:val="single" w:sz="4" w:space="0" w:color="auto"/>
            </w:tcBorders>
            <w:shd w:val="clear" w:color="auto" w:fill="auto"/>
            <w:noWrap/>
            <w:vAlign w:val="bottom"/>
            <w:hideMark/>
          </w:tcPr>
          <w:p w14:paraId="016AC58E" w14:textId="77777777" w:rsidR="00CD033D" w:rsidRPr="00C223AB" w:rsidRDefault="00CD033D" w:rsidP="00C223AB">
            <w:pPr>
              <w:rPr>
                <w:rFonts w:ascii="Arial" w:eastAsia="Times New Roman" w:hAnsi="Arial" w:cs="Arial"/>
                <w:color w:val="000000"/>
                <w:sz w:val="22"/>
                <w:szCs w:val="22"/>
                <w:lang w:val="en-GB" w:eastAsia="en-GB"/>
              </w:rPr>
            </w:pPr>
            <w:r w:rsidRPr="00C223AB">
              <w:rPr>
                <w:rFonts w:ascii="Arial" w:eastAsia="Times New Roman" w:hAnsi="Arial" w:cs="Arial"/>
                <w:color w:val="000000"/>
                <w:sz w:val="22"/>
                <w:szCs w:val="22"/>
                <w:lang w:val="en-GB" w:eastAsia="en-GB"/>
              </w:rPr>
              <w:t> </w:t>
            </w:r>
          </w:p>
        </w:tc>
        <w:tc>
          <w:tcPr>
            <w:tcW w:w="1134" w:type="dxa"/>
            <w:tcBorders>
              <w:top w:val="single" w:sz="4" w:space="0" w:color="auto"/>
              <w:left w:val="nil"/>
              <w:bottom w:val="single" w:sz="4" w:space="0" w:color="auto"/>
              <w:right w:val="single" w:sz="4" w:space="0" w:color="auto"/>
            </w:tcBorders>
            <w:shd w:val="clear" w:color="auto" w:fill="auto"/>
            <w:noWrap/>
            <w:vAlign w:val="bottom"/>
            <w:hideMark/>
          </w:tcPr>
          <w:p w14:paraId="782977D4" w14:textId="77777777" w:rsidR="00CD033D" w:rsidRPr="00C223AB" w:rsidRDefault="00CD033D" w:rsidP="00C223AB">
            <w:pPr>
              <w:rPr>
                <w:rFonts w:ascii="Arial" w:eastAsia="Times New Roman" w:hAnsi="Arial" w:cs="Arial"/>
                <w:color w:val="000000"/>
                <w:sz w:val="22"/>
                <w:szCs w:val="22"/>
                <w:lang w:val="en-GB" w:eastAsia="en-GB"/>
              </w:rPr>
            </w:pPr>
            <w:r w:rsidRPr="00C223AB">
              <w:rPr>
                <w:rFonts w:ascii="Arial" w:eastAsia="Times New Roman" w:hAnsi="Arial" w:cs="Arial"/>
                <w:color w:val="000000"/>
                <w:sz w:val="22"/>
                <w:szCs w:val="22"/>
                <w:lang w:val="en-GB" w:eastAsia="en-GB"/>
              </w:rPr>
              <w:t> </w:t>
            </w:r>
          </w:p>
        </w:tc>
      </w:tr>
      <w:tr w:rsidR="00CD033D" w:rsidRPr="00C223AB" w14:paraId="25E78E93" w14:textId="77777777" w:rsidTr="0038636A">
        <w:trPr>
          <w:trHeight w:val="300"/>
        </w:trPr>
        <w:tc>
          <w:tcPr>
            <w:tcW w:w="2869" w:type="dxa"/>
            <w:tcBorders>
              <w:top w:val="nil"/>
              <w:left w:val="single" w:sz="4" w:space="0" w:color="auto"/>
              <w:bottom w:val="single" w:sz="4" w:space="0" w:color="auto"/>
              <w:right w:val="single" w:sz="4" w:space="0" w:color="auto"/>
            </w:tcBorders>
            <w:shd w:val="clear" w:color="auto" w:fill="auto"/>
            <w:noWrap/>
            <w:vAlign w:val="bottom"/>
            <w:hideMark/>
          </w:tcPr>
          <w:p w14:paraId="5CD78D40" w14:textId="77777777" w:rsidR="00CD033D" w:rsidRPr="00C223AB" w:rsidRDefault="00CD033D" w:rsidP="00C223AB">
            <w:pPr>
              <w:rPr>
                <w:rFonts w:ascii="Arial" w:eastAsia="Times New Roman" w:hAnsi="Arial" w:cs="Arial"/>
                <w:color w:val="000000"/>
                <w:sz w:val="22"/>
                <w:szCs w:val="22"/>
                <w:lang w:val="en-GB" w:eastAsia="en-GB"/>
              </w:rPr>
            </w:pPr>
            <w:r w:rsidRPr="00C223AB">
              <w:rPr>
                <w:rFonts w:ascii="Arial" w:eastAsia="Times New Roman" w:hAnsi="Arial" w:cs="Arial"/>
                <w:color w:val="000000"/>
                <w:sz w:val="22"/>
                <w:szCs w:val="22"/>
                <w:lang w:val="en-GB" w:eastAsia="en-GB"/>
              </w:rPr>
              <w:t xml:space="preserve">additionally adjusted for: </w:t>
            </w:r>
          </w:p>
        </w:tc>
        <w:tc>
          <w:tcPr>
            <w:tcW w:w="1843" w:type="dxa"/>
            <w:tcBorders>
              <w:top w:val="nil"/>
              <w:left w:val="nil"/>
              <w:bottom w:val="single" w:sz="4" w:space="0" w:color="auto"/>
              <w:right w:val="single" w:sz="4" w:space="0" w:color="auto"/>
            </w:tcBorders>
            <w:shd w:val="clear" w:color="auto" w:fill="auto"/>
            <w:noWrap/>
            <w:vAlign w:val="bottom"/>
            <w:hideMark/>
          </w:tcPr>
          <w:p w14:paraId="5452A54B" w14:textId="77777777" w:rsidR="00CD033D" w:rsidRPr="00C223AB" w:rsidRDefault="00CD033D" w:rsidP="00C223AB">
            <w:pPr>
              <w:rPr>
                <w:rFonts w:ascii="Arial" w:eastAsia="Times New Roman" w:hAnsi="Arial" w:cs="Arial"/>
                <w:color w:val="000000"/>
                <w:sz w:val="22"/>
                <w:szCs w:val="22"/>
                <w:lang w:val="en-GB" w:eastAsia="en-GB"/>
              </w:rPr>
            </w:pPr>
            <w:r w:rsidRPr="00C223AB">
              <w:rPr>
                <w:rFonts w:ascii="Arial" w:eastAsia="Times New Roman" w:hAnsi="Arial" w:cs="Arial"/>
                <w:color w:val="000000"/>
                <w:sz w:val="22"/>
                <w:szCs w:val="22"/>
                <w:lang w:val="en-GB" w:eastAsia="en-GB"/>
              </w:rPr>
              <w:t> </w:t>
            </w:r>
          </w:p>
        </w:tc>
        <w:tc>
          <w:tcPr>
            <w:tcW w:w="1417" w:type="dxa"/>
            <w:tcBorders>
              <w:top w:val="nil"/>
              <w:left w:val="nil"/>
              <w:bottom w:val="single" w:sz="4" w:space="0" w:color="auto"/>
              <w:right w:val="single" w:sz="4" w:space="0" w:color="auto"/>
            </w:tcBorders>
            <w:shd w:val="clear" w:color="auto" w:fill="auto"/>
            <w:noWrap/>
            <w:vAlign w:val="bottom"/>
            <w:hideMark/>
          </w:tcPr>
          <w:p w14:paraId="019C0E4F" w14:textId="77777777" w:rsidR="00CD033D" w:rsidRPr="00C223AB" w:rsidRDefault="00CD033D" w:rsidP="00C223AB">
            <w:pPr>
              <w:rPr>
                <w:rFonts w:ascii="Arial" w:eastAsia="Times New Roman" w:hAnsi="Arial" w:cs="Arial"/>
                <w:color w:val="000000"/>
                <w:sz w:val="22"/>
                <w:szCs w:val="22"/>
                <w:lang w:val="en-GB" w:eastAsia="en-GB"/>
              </w:rPr>
            </w:pPr>
            <w:r w:rsidRPr="00C223AB">
              <w:rPr>
                <w:rFonts w:ascii="Arial" w:eastAsia="Times New Roman" w:hAnsi="Arial" w:cs="Arial"/>
                <w:color w:val="000000"/>
                <w:sz w:val="22"/>
                <w:szCs w:val="22"/>
                <w:lang w:val="en-GB" w:eastAsia="en-GB"/>
              </w:rPr>
              <w:t> </w:t>
            </w:r>
          </w:p>
        </w:tc>
        <w:tc>
          <w:tcPr>
            <w:tcW w:w="1134" w:type="dxa"/>
            <w:tcBorders>
              <w:top w:val="nil"/>
              <w:left w:val="nil"/>
              <w:bottom w:val="single" w:sz="4" w:space="0" w:color="auto"/>
              <w:right w:val="single" w:sz="4" w:space="0" w:color="auto"/>
            </w:tcBorders>
            <w:shd w:val="clear" w:color="auto" w:fill="auto"/>
            <w:noWrap/>
            <w:vAlign w:val="bottom"/>
            <w:hideMark/>
          </w:tcPr>
          <w:p w14:paraId="5ADD9AEE" w14:textId="77777777" w:rsidR="00CD033D" w:rsidRPr="00C223AB" w:rsidRDefault="00CD033D" w:rsidP="00C223AB">
            <w:pPr>
              <w:rPr>
                <w:rFonts w:ascii="Arial" w:eastAsia="Times New Roman" w:hAnsi="Arial" w:cs="Arial"/>
                <w:color w:val="000000"/>
                <w:sz w:val="22"/>
                <w:szCs w:val="22"/>
                <w:lang w:val="en-GB" w:eastAsia="en-GB"/>
              </w:rPr>
            </w:pPr>
            <w:r w:rsidRPr="00C223AB">
              <w:rPr>
                <w:rFonts w:ascii="Arial" w:eastAsia="Times New Roman" w:hAnsi="Arial" w:cs="Arial"/>
                <w:color w:val="000000"/>
                <w:sz w:val="22"/>
                <w:szCs w:val="22"/>
                <w:lang w:val="en-GB" w:eastAsia="en-GB"/>
              </w:rPr>
              <w:t> </w:t>
            </w:r>
          </w:p>
        </w:tc>
        <w:tc>
          <w:tcPr>
            <w:tcW w:w="709" w:type="dxa"/>
            <w:tcBorders>
              <w:top w:val="nil"/>
              <w:left w:val="nil"/>
              <w:bottom w:val="nil"/>
              <w:right w:val="nil"/>
            </w:tcBorders>
            <w:shd w:val="clear" w:color="auto" w:fill="auto"/>
            <w:noWrap/>
            <w:vAlign w:val="bottom"/>
            <w:hideMark/>
          </w:tcPr>
          <w:p w14:paraId="086AA054" w14:textId="77777777" w:rsidR="00CD033D" w:rsidRPr="00C223AB" w:rsidRDefault="00CD033D" w:rsidP="00C223AB">
            <w:pPr>
              <w:rPr>
                <w:rFonts w:ascii="Arial" w:eastAsia="Times New Roman" w:hAnsi="Arial" w:cs="Arial"/>
                <w:color w:val="000000"/>
                <w:sz w:val="22"/>
                <w:szCs w:val="22"/>
                <w:lang w:val="en-GB" w:eastAsia="en-GB"/>
              </w:rPr>
            </w:pPr>
          </w:p>
        </w:tc>
        <w:tc>
          <w:tcPr>
            <w:tcW w:w="1843" w:type="dxa"/>
            <w:tcBorders>
              <w:top w:val="nil"/>
              <w:left w:val="single" w:sz="4" w:space="0" w:color="auto"/>
              <w:bottom w:val="single" w:sz="4" w:space="0" w:color="auto"/>
              <w:right w:val="single" w:sz="4" w:space="0" w:color="auto"/>
            </w:tcBorders>
            <w:shd w:val="clear" w:color="auto" w:fill="auto"/>
            <w:noWrap/>
            <w:vAlign w:val="bottom"/>
            <w:hideMark/>
          </w:tcPr>
          <w:p w14:paraId="7D95627F" w14:textId="77777777" w:rsidR="00CD033D" w:rsidRPr="00C223AB" w:rsidRDefault="00CD033D" w:rsidP="00C223AB">
            <w:pPr>
              <w:rPr>
                <w:rFonts w:ascii="Arial" w:eastAsia="Times New Roman" w:hAnsi="Arial" w:cs="Arial"/>
                <w:color w:val="000000"/>
                <w:sz w:val="22"/>
                <w:szCs w:val="22"/>
                <w:lang w:val="en-GB" w:eastAsia="en-GB"/>
              </w:rPr>
            </w:pPr>
            <w:r w:rsidRPr="00C223AB">
              <w:rPr>
                <w:rFonts w:ascii="Arial" w:eastAsia="Times New Roman" w:hAnsi="Arial" w:cs="Arial"/>
                <w:color w:val="000000"/>
                <w:sz w:val="22"/>
                <w:szCs w:val="22"/>
                <w:lang w:val="en-GB" w:eastAsia="en-GB"/>
              </w:rPr>
              <w:t> </w:t>
            </w:r>
          </w:p>
        </w:tc>
        <w:tc>
          <w:tcPr>
            <w:tcW w:w="1417" w:type="dxa"/>
            <w:tcBorders>
              <w:top w:val="nil"/>
              <w:left w:val="nil"/>
              <w:bottom w:val="single" w:sz="4" w:space="0" w:color="auto"/>
              <w:right w:val="single" w:sz="4" w:space="0" w:color="auto"/>
            </w:tcBorders>
            <w:shd w:val="clear" w:color="auto" w:fill="auto"/>
            <w:noWrap/>
            <w:vAlign w:val="bottom"/>
            <w:hideMark/>
          </w:tcPr>
          <w:p w14:paraId="66F0AADF" w14:textId="77777777" w:rsidR="00CD033D" w:rsidRPr="00C223AB" w:rsidRDefault="00CD033D" w:rsidP="00C223AB">
            <w:pPr>
              <w:rPr>
                <w:rFonts w:ascii="Arial" w:eastAsia="Times New Roman" w:hAnsi="Arial" w:cs="Arial"/>
                <w:color w:val="000000"/>
                <w:sz w:val="22"/>
                <w:szCs w:val="22"/>
                <w:lang w:val="en-GB" w:eastAsia="en-GB"/>
              </w:rPr>
            </w:pPr>
            <w:r w:rsidRPr="00C223AB">
              <w:rPr>
                <w:rFonts w:ascii="Arial" w:eastAsia="Times New Roman" w:hAnsi="Arial" w:cs="Arial"/>
                <w:color w:val="000000"/>
                <w:sz w:val="22"/>
                <w:szCs w:val="22"/>
                <w:lang w:val="en-GB" w:eastAsia="en-GB"/>
              </w:rPr>
              <w:t> </w:t>
            </w:r>
          </w:p>
        </w:tc>
        <w:tc>
          <w:tcPr>
            <w:tcW w:w="1134" w:type="dxa"/>
            <w:tcBorders>
              <w:top w:val="nil"/>
              <w:left w:val="nil"/>
              <w:bottom w:val="single" w:sz="4" w:space="0" w:color="auto"/>
              <w:right w:val="single" w:sz="4" w:space="0" w:color="auto"/>
            </w:tcBorders>
            <w:shd w:val="clear" w:color="auto" w:fill="auto"/>
            <w:noWrap/>
            <w:vAlign w:val="bottom"/>
            <w:hideMark/>
          </w:tcPr>
          <w:p w14:paraId="39D80A99" w14:textId="77777777" w:rsidR="00CD033D" w:rsidRPr="00C223AB" w:rsidRDefault="00CD033D" w:rsidP="00C223AB">
            <w:pPr>
              <w:rPr>
                <w:rFonts w:ascii="Arial" w:eastAsia="Times New Roman" w:hAnsi="Arial" w:cs="Arial"/>
                <w:color w:val="000000"/>
                <w:sz w:val="22"/>
                <w:szCs w:val="22"/>
                <w:lang w:val="en-GB" w:eastAsia="en-GB"/>
              </w:rPr>
            </w:pPr>
            <w:r w:rsidRPr="00C223AB">
              <w:rPr>
                <w:rFonts w:ascii="Arial" w:eastAsia="Times New Roman" w:hAnsi="Arial" w:cs="Arial"/>
                <w:color w:val="000000"/>
                <w:sz w:val="22"/>
                <w:szCs w:val="22"/>
                <w:lang w:val="en-GB" w:eastAsia="en-GB"/>
              </w:rPr>
              <w:t> </w:t>
            </w:r>
          </w:p>
        </w:tc>
      </w:tr>
      <w:tr w:rsidR="00CD033D" w:rsidRPr="00C223AB" w14:paraId="3B0D11B5" w14:textId="77777777" w:rsidTr="0038636A">
        <w:trPr>
          <w:trHeight w:val="300"/>
        </w:trPr>
        <w:tc>
          <w:tcPr>
            <w:tcW w:w="2869" w:type="dxa"/>
            <w:tcBorders>
              <w:top w:val="nil"/>
              <w:left w:val="single" w:sz="4" w:space="0" w:color="auto"/>
              <w:bottom w:val="single" w:sz="4" w:space="0" w:color="auto"/>
              <w:right w:val="single" w:sz="4" w:space="0" w:color="auto"/>
            </w:tcBorders>
            <w:shd w:val="clear" w:color="auto" w:fill="auto"/>
            <w:noWrap/>
            <w:vAlign w:val="bottom"/>
            <w:hideMark/>
          </w:tcPr>
          <w:p w14:paraId="3F5557FF" w14:textId="77777777" w:rsidR="00CD033D" w:rsidRPr="00C223AB" w:rsidRDefault="00CD033D" w:rsidP="00C223AB">
            <w:pPr>
              <w:rPr>
                <w:rFonts w:ascii="Arial" w:eastAsia="Times New Roman" w:hAnsi="Arial" w:cs="Arial"/>
                <w:color w:val="000000"/>
                <w:sz w:val="22"/>
                <w:szCs w:val="22"/>
                <w:lang w:val="en-GB" w:eastAsia="en-GB"/>
              </w:rPr>
            </w:pPr>
            <w:r w:rsidRPr="00C223AB">
              <w:rPr>
                <w:rFonts w:ascii="Arial" w:eastAsia="Times New Roman" w:hAnsi="Arial" w:cs="Arial"/>
                <w:color w:val="000000"/>
                <w:sz w:val="22"/>
                <w:szCs w:val="22"/>
                <w:lang w:val="en-GB" w:eastAsia="en-GB"/>
              </w:rPr>
              <w:t>+Triglycerides</w:t>
            </w:r>
          </w:p>
        </w:tc>
        <w:tc>
          <w:tcPr>
            <w:tcW w:w="1843" w:type="dxa"/>
            <w:tcBorders>
              <w:top w:val="nil"/>
              <w:left w:val="nil"/>
              <w:bottom w:val="single" w:sz="4" w:space="0" w:color="auto"/>
              <w:right w:val="single" w:sz="4" w:space="0" w:color="auto"/>
            </w:tcBorders>
            <w:shd w:val="clear" w:color="auto" w:fill="auto"/>
            <w:noWrap/>
            <w:vAlign w:val="bottom"/>
            <w:hideMark/>
          </w:tcPr>
          <w:p w14:paraId="481DAD20" w14:textId="77777777" w:rsidR="00CD033D" w:rsidRPr="00C223AB" w:rsidRDefault="00CD033D" w:rsidP="00C223AB">
            <w:pPr>
              <w:rPr>
                <w:rFonts w:ascii="Arial" w:eastAsia="Times New Roman" w:hAnsi="Arial" w:cs="Arial"/>
                <w:color w:val="000000"/>
                <w:sz w:val="22"/>
                <w:szCs w:val="22"/>
                <w:lang w:val="en-GB" w:eastAsia="en-GB"/>
              </w:rPr>
            </w:pPr>
            <w:r w:rsidRPr="00C223AB">
              <w:rPr>
                <w:rFonts w:ascii="Arial" w:eastAsia="Times New Roman" w:hAnsi="Arial" w:cs="Arial"/>
                <w:color w:val="000000"/>
                <w:sz w:val="22"/>
                <w:szCs w:val="22"/>
                <w:lang w:val="en-GB" w:eastAsia="en-GB"/>
              </w:rPr>
              <w:t>1.34 (1.01-1.78)</w:t>
            </w:r>
          </w:p>
        </w:tc>
        <w:tc>
          <w:tcPr>
            <w:tcW w:w="1417" w:type="dxa"/>
            <w:tcBorders>
              <w:top w:val="nil"/>
              <w:left w:val="nil"/>
              <w:bottom w:val="single" w:sz="4" w:space="0" w:color="auto"/>
              <w:right w:val="single" w:sz="4" w:space="0" w:color="auto"/>
            </w:tcBorders>
            <w:shd w:val="clear" w:color="auto" w:fill="auto"/>
            <w:noWrap/>
            <w:vAlign w:val="bottom"/>
            <w:hideMark/>
          </w:tcPr>
          <w:p w14:paraId="35877626" w14:textId="77777777" w:rsidR="00CD033D" w:rsidRPr="00C223AB" w:rsidRDefault="00CD033D" w:rsidP="00C223AB">
            <w:pPr>
              <w:jc w:val="right"/>
              <w:rPr>
                <w:rFonts w:ascii="Arial" w:eastAsia="Times New Roman" w:hAnsi="Arial" w:cs="Arial"/>
                <w:color w:val="000000"/>
                <w:sz w:val="22"/>
                <w:szCs w:val="22"/>
                <w:lang w:val="en-GB" w:eastAsia="en-GB"/>
              </w:rPr>
            </w:pPr>
            <w:r w:rsidRPr="00C223AB">
              <w:rPr>
                <w:rFonts w:ascii="Arial" w:eastAsia="Times New Roman" w:hAnsi="Arial" w:cs="Arial"/>
                <w:color w:val="000000"/>
                <w:sz w:val="22"/>
                <w:szCs w:val="22"/>
                <w:lang w:val="en-GB" w:eastAsia="en-GB"/>
              </w:rPr>
              <w:t>55%</w:t>
            </w:r>
          </w:p>
        </w:tc>
        <w:tc>
          <w:tcPr>
            <w:tcW w:w="1134" w:type="dxa"/>
            <w:tcBorders>
              <w:top w:val="nil"/>
              <w:left w:val="nil"/>
              <w:bottom w:val="single" w:sz="4" w:space="0" w:color="auto"/>
              <w:right w:val="single" w:sz="4" w:space="0" w:color="auto"/>
            </w:tcBorders>
            <w:shd w:val="clear" w:color="auto" w:fill="auto"/>
            <w:noWrap/>
            <w:vAlign w:val="bottom"/>
            <w:hideMark/>
          </w:tcPr>
          <w:p w14:paraId="28CC5B42" w14:textId="77777777" w:rsidR="00CD033D" w:rsidRPr="00C223AB" w:rsidRDefault="00CD033D" w:rsidP="00C223AB">
            <w:pPr>
              <w:rPr>
                <w:rFonts w:ascii="Arial" w:eastAsia="Times New Roman" w:hAnsi="Arial" w:cs="Arial"/>
                <w:color w:val="000000"/>
                <w:sz w:val="22"/>
                <w:szCs w:val="22"/>
                <w:lang w:val="en-GB" w:eastAsia="en-GB"/>
              </w:rPr>
            </w:pPr>
            <w:r w:rsidRPr="00C223AB">
              <w:rPr>
                <w:rFonts w:ascii="Arial" w:eastAsia="Times New Roman" w:hAnsi="Arial" w:cs="Arial"/>
                <w:color w:val="000000"/>
                <w:sz w:val="22"/>
                <w:szCs w:val="22"/>
                <w:lang w:val="en-GB" w:eastAsia="en-GB"/>
              </w:rPr>
              <w:t>&lt;0.001</w:t>
            </w:r>
          </w:p>
        </w:tc>
        <w:tc>
          <w:tcPr>
            <w:tcW w:w="709" w:type="dxa"/>
            <w:tcBorders>
              <w:top w:val="nil"/>
              <w:left w:val="nil"/>
              <w:bottom w:val="nil"/>
              <w:right w:val="nil"/>
            </w:tcBorders>
            <w:shd w:val="clear" w:color="auto" w:fill="auto"/>
            <w:noWrap/>
            <w:vAlign w:val="bottom"/>
            <w:hideMark/>
          </w:tcPr>
          <w:p w14:paraId="1E9DE56B" w14:textId="77777777" w:rsidR="00CD033D" w:rsidRPr="00C223AB" w:rsidRDefault="00CD033D" w:rsidP="00C223AB">
            <w:pPr>
              <w:rPr>
                <w:rFonts w:ascii="Arial" w:eastAsia="Times New Roman" w:hAnsi="Arial" w:cs="Arial"/>
                <w:color w:val="000000"/>
                <w:sz w:val="22"/>
                <w:szCs w:val="22"/>
                <w:lang w:val="en-GB" w:eastAsia="en-GB"/>
              </w:rPr>
            </w:pPr>
          </w:p>
        </w:tc>
        <w:tc>
          <w:tcPr>
            <w:tcW w:w="1843" w:type="dxa"/>
            <w:tcBorders>
              <w:top w:val="nil"/>
              <w:left w:val="single" w:sz="4" w:space="0" w:color="auto"/>
              <w:bottom w:val="single" w:sz="4" w:space="0" w:color="auto"/>
              <w:right w:val="single" w:sz="4" w:space="0" w:color="auto"/>
            </w:tcBorders>
            <w:shd w:val="clear" w:color="auto" w:fill="auto"/>
            <w:noWrap/>
            <w:vAlign w:val="bottom"/>
            <w:hideMark/>
          </w:tcPr>
          <w:p w14:paraId="2A770CE5" w14:textId="77777777" w:rsidR="00CD033D" w:rsidRPr="00C223AB" w:rsidRDefault="00CD033D" w:rsidP="00C223AB">
            <w:pPr>
              <w:rPr>
                <w:rFonts w:ascii="Arial" w:eastAsia="Times New Roman" w:hAnsi="Arial" w:cs="Arial"/>
                <w:color w:val="000000"/>
                <w:sz w:val="22"/>
                <w:szCs w:val="22"/>
                <w:lang w:val="en-GB" w:eastAsia="en-GB"/>
              </w:rPr>
            </w:pPr>
            <w:r w:rsidRPr="00C223AB">
              <w:rPr>
                <w:rFonts w:ascii="Arial" w:eastAsia="Times New Roman" w:hAnsi="Arial" w:cs="Arial"/>
                <w:color w:val="000000"/>
                <w:sz w:val="22"/>
                <w:szCs w:val="22"/>
                <w:lang w:val="en-GB" w:eastAsia="en-GB"/>
              </w:rPr>
              <w:t>1.17 (0.87-1.58)</w:t>
            </w:r>
          </w:p>
        </w:tc>
        <w:tc>
          <w:tcPr>
            <w:tcW w:w="1417" w:type="dxa"/>
            <w:tcBorders>
              <w:top w:val="nil"/>
              <w:left w:val="nil"/>
              <w:bottom w:val="single" w:sz="4" w:space="0" w:color="auto"/>
              <w:right w:val="single" w:sz="4" w:space="0" w:color="auto"/>
            </w:tcBorders>
            <w:shd w:val="clear" w:color="auto" w:fill="auto"/>
            <w:noWrap/>
            <w:vAlign w:val="bottom"/>
            <w:hideMark/>
          </w:tcPr>
          <w:p w14:paraId="34366A8F" w14:textId="77777777" w:rsidR="00CD033D" w:rsidRPr="00C223AB" w:rsidRDefault="00CD033D" w:rsidP="00C223AB">
            <w:pPr>
              <w:jc w:val="right"/>
              <w:rPr>
                <w:rFonts w:ascii="Arial" w:eastAsia="Times New Roman" w:hAnsi="Arial" w:cs="Arial"/>
                <w:color w:val="000000"/>
                <w:sz w:val="22"/>
                <w:szCs w:val="22"/>
                <w:lang w:val="en-GB" w:eastAsia="en-GB"/>
              </w:rPr>
            </w:pPr>
            <w:r w:rsidRPr="00C223AB">
              <w:rPr>
                <w:rFonts w:ascii="Arial" w:eastAsia="Times New Roman" w:hAnsi="Arial" w:cs="Arial"/>
                <w:color w:val="000000"/>
                <w:sz w:val="22"/>
                <w:szCs w:val="22"/>
                <w:lang w:val="en-GB" w:eastAsia="en-GB"/>
              </w:rPr>
              <w:t>59%</w:t>
            </w:r>
          </w:p>
        </w:tc>
        <w:tc>
          <w:tcPr>
            <w:tcW w:w="1134" w:type="dxa"/>
            <w:tcBorders>
              <w:top w:val="nil"/>
              <w:left w:val="nil"/>
              <w:bottom w:val="single" w:sz="4" w:space="0" w:color="auto"/>
              <w:right w:val="single" w:sz="4" w:space="0" w:color="auto"/>
            </w:tcBorders>
            <w:shd w:val="clear" w:color="auto" w:fill="auto"/>
            <w:noWrap/>
            <w:vAlign w:val="bottom"/>
            <w:hideMark/>
          </w:tcPr>
          <w:p w14:paraId="26A2C0B9" w14:textId="77777777" w:rsidR="00CD033D" w:rsidRPr="00C223AB" w:rsidRDefault="00CD033D" w:rsidP="00C223AB">
            <w:pPr>
              <w:rPr>
                <w:rFonts w:ascii="Arial" w:eastAsia="Times New Roman" w:hAnsi="Arial" w:cs="Arial"/>
                <w:color w:val="000000"/>
                <w:sz w:val="22"/>
                <w:szCs w:val="22"/>
                <w:lang w:val="en-GB" w:eastAsia="en-GB"/>
              </w:rPr>
            </w:pPr>
            <w:r w:rsidRPr="00C223AB">
              <w:rPr>
                <w:rFonts w:ascii="Arial" w:eastAsia="Times New Roman" w:hAnsi="Arial" w:cs="Arial"/>
                <w:color w:val="000000"/>
                <w:sz w:val="22"/>
                <w:szCs w:val="22"/>
                <w:lang w:val="en-GB" w:eastAsia="en-GB"/>
              </w:rPr>
              <w:t>&lt;0.001</w:t>
            </w:r>
          </w:p>
        </w:tc>
      </w:tr>
      <w:tr w:rsidR="00CD033D" w:rsidRPr="00C223AB" w14:paraId="0548D921" w14:textId="77777777" w:rsidTr="0038636A">
        <w:trPr>
          <w:trHeight w:val="300"/>
        </w:trPr>
        <w:tc>
          <w:tcPr>
            <w:tcW w:w="2869" w:type="dxa"/>
            <w:tcBorders>
              <w:top w:val="nil"/>
              <w:left w:val="single" w:sz="4" w:space="0" w:color="auto"/>
              <w:bottom w:val="single" w:sz="4" w:space="0" w:color="auto"/>
              <w:right w:val="single" w:sz="4" w:space="0" w:color="auto"/>
            </w:tcBorders>
            <w:shd w:val="clear" w:color="auto" w:fill="auto"/>
            <w:noWrap/>
            <w:vAlign w:val="bottom"/>
            <w:hideMark/>
          </w:tcPr>
          <w:p w14:paraId="7F6D1402" w14:textId="77777777" w:rsidR="00CD033D" w:rsidRPr="00C223AB" w:rsidRDefault="00CD033D" w:rsidP="00C223AB">
            <w:pPr>
              <w:rPr>
                <w:rFonts w:ascii="Arial" w:eastAsia="Times New Roman" w:hAnsi="Arial" w:cs="Arial"/>
                <w:color w:val="000000"/>
                <w:sz w:val="22"/>
                <w:szCs w:val="22"/>
                <w:lang w:val="en-GB" w:eastAsia="en-GB"/>
              </w:rPr>
            </w:pPr>
            <w:r w:rsidRPr="00C223AB">
              <w:rPr>
                <w:rFonts w:ascii="Arial" w:eastAsia="Times New Roman" w:hAnsi="Arial" w:cs="Arial"/>
                <w:color w:val="000000"/>
                <w:sz w:val="22"/>
                <w:szCs w:val="22"/>
                <w:lang w:val="en-GB" w:eastAsia="en-GB"/>
              </w:rPr>
              <w:t>+apoB</w:t>
            </w:r>
          </w:p>
        </w:tc>
        <w:tc>
          <w:tcPr>
            <w:tcW w:w="1843" w:type="dxa"/>
            <w:tcBorders>
              <w:top w:val="nil"/>
              <w:left w:val="nil"/>
              <w:bottom w:val="single" w:sz="4" w:space="0" w:color="auto"/>
              <w:right w:val="single" w:sz="4" w:space="0" w:color="auto"/>
            </w:tcBorders>
            <w:shd w:val="clear" w:color="auto" w:fill="auto"/>
            <w:noWrap/>
            <w:vAlign w:val="bottom"/>
            <w:hideMark/>
          </w:tcPr>
          <w:p w14:paraId="16A586F7" w14:textId="77777777" w:rsidR="00CD033D" w:rsidRPr="00C223AB" w:rsidRDefault="00CD033D" w:rsidP="00C223AB">
            <w:pPr>
              <w:rPr>
                <w:rFonts w:ascii="Arial" w:eastAsia="Times New Roman" w:hAnsi="Arial" w:cs="Arial"/>
                <w:color w:val="000000"/>
                <w:sz w:val="22"/>
                <w:szCs w:val="22"/>
                <w:lang w:val="en-GB" w:eastAsia="en-GB"/>
              </w:rPr>
            </w:pPr>
            <w:r w:rsidRPr="00C223AB">
              <w:rPr>
                <w:rFonts w:ascii="Arial" w:eastAsia="Times New Roman" w:hAnsi="Arial" w:cs="Arial"/>
                <w:color w:val="000000"/>
                <w:sz w:val="22"/>
                <w:szCs w:val="22"/>
                <w:lang w:val="en-GB" w:eastAsia="en-GB"/>
              </w:rPr>
              <w:t>1.57 (1.18-2.08)</w:t>
            </w:r>
          </w:p>
        </w:tc>
        <w:tc>
          <w:tcPr>
            <w:tcW w:w="1417" w:type="dxa"/>
            <w:tcBorders>
              <w:top w:val="nil"/>
              <w:left w:val="nil"/>
              <w:bottom w:val="single" w:sz="4" w:space="0" w:color="auto"/>
              <w:right w:val="single" w:sz="4" w:space="0" w:color="auto"/>
            </w:tcBorders>
            <w:shd w:val="clear" w:color="auto" w:fill="auto"/>
            <w:noWrap/>
            <w:vAlign w:val="bottom"/>
            <w:hideMark/>
          </w:tcPr>
          <w:p w14:paraId="67377D7B" w14:textId="77777777" w:rsidR="00CD033D" w:rsidRPr="00C223AB" w:rsidRDefault="00CD033D" w:rsidP="00C223AB">
            <w:pPr>
              <w:jc w:val="right"/>
              <w:rPr>
                <w:rFonts w:ascii="Arial" w:eastAsia="Times New Roman" w:hAnsi="Arial" w:cs="Arial"/>
                <w:color w:val="000000"/>
                <w:sz w:val="22"/>
                <w:szCs w:val="22"/>
                <w:lang w:val="en-GB" w:eastAsia="en-GB"/>
              </w:rPr>
            </w:pPr>
            <w:r w:rsidRPr="00C223AB">
              <w:rPr>
                <w:rFonts w:ascii="Arial" w:eastAsia="Times New Roman" w:hAnsi="Arial" w:cs="Arial"/>
                <w:color w:val="000000"/>
                <w:sz w:val="22"/>
                <w:szCs w:val="22"/>
                <w:lang w:val="en-GB" w:eastAsia="en-GB"/>
              </w:rPr>
              <w:t>31%</w:t>
            </w:r>
          </w:p>
        </w:tc>
        <w:tc>
          <w:tcPr>
            <w:tcW w:w="1134" w:type="dxa"/>
            <w:tcBorders>
              <w:top w:val="nil"/>
              <w:left w:val="nil"/>
              <w:bottom w:val="single" w:sz="4" w:space="0" w:color="auto"/>
              <w:right w:val="single" w:sz="4" w:space="0" w:color="auto"/>
            </w:tcBorders>
            <w:shd w:val="clear" w:color="auto" w:fill="auto"/>
            <w:noWrap/>
            <w:vAlign w:val="bottom"/>
            <w:hideMark/>
          </w:tcPr>
          <w:p w14:paraId="56D5CA06" w14:textId="77777777" w:rsidR="00CD033D" w:rsidRPr="00C223AB" w:rsidRDefault="00CD033D" w:rsidP="00C223AB">
            <w:pPr>
              <w:rPr>
                <w:rFonts w:ascii="Arial" w:eastAsia="Times New Roman" w:hAnsi="Arial" w:cs="Arial"/>
                <w:color w:val="000000"/>
                <w:sz w:val="22"/>
                <w:szCs w:val="22"/>
                <w:lang w:val="en-GB" w:eastAsia="en-GB"/>
              </w:rPr>
            </w:pPr>
            <w:r w:rsidRPr="00C223AB">
              <w:rPr>
                <w:rFonts w:ascii="Arial" w:eastAsia="Times New Roman" w:hAnsi="Arial" w:cs="Arial"/>
                <w:color w:val="000000"/>
                <w:sz w:val="22"/>
                <w:szCs w:val="22"/>
                <w:lang w:val="en-GB" w:eastAsia="en-GB"/>
              </w:rPr>
              <w:t>&lt;0.001</w:t>
            </w:r>
          </w:p>
        </w:tc>
        <w:tc>
          <w:tcPr>
            <w:tcW w:w="709" w:type="dxa"/>
            <w:tcBorders>
              <w:top w:val="nil"/>
              <w:left w:val="nil"/>
              <w:bottom w:val="nil"/>
              <w:right w:val="nil"/>
            </w:tcBorders>
            <w:shd w:val="clear" w:color="auto" w:fill="auto"/>
            <w:noWrap/>
            <w:vAlign w:val="bottom"/>
            <w:hideMark/>
          </w:tcPr>
          <w:p w14:paraId="34981F55" w14:textId="77777777" w:rsidR="00CD033D" w:rsidRPr="00C223AB" w:rsidRDefault="00CD033D" w:rsidP="00C223AB">
            <w:pPr>
              <w:rPr>
                <w:rFonts w:ascii="Arial" w:eastAsia="Times New Roman" w:hAnsi="Arial" w:cs="Arial"/>
                <w:color w:val="000000"/>
                <w:sz w:val="22"/>
                <w:szCs w:val="22"/>
                <w:lang w:val="en-GB" w:eastAsia="en-GB"/>
              </w:rPr>
            </w:pPr>
          </w:p>
        </w:tc>
        <w:tc>
          <w:tcPr>
            <w:tcW w:w="1843" w:type="dxa"/>
            <w:tcBorders>
              <w:top w:val="nil"/>
              <w:left w:val="single" w:sz="4" w:space="0" w:color="auto"/>
              <w:bottom w:val="single" w:sz="4" w:space="0" w:color="auto"/>
              <w:right w:val="single" w:sz="4" w:space="0" w:color="auto"/>
            </w:tcBorders>
            <w:shd w:val="clear" w:color="auto" w:fill="auto"/>
            <w:noWrap/>
            <w:vAlign w:val="bottom"/>
            <w:hideMark/>
          </w:tcPr>
          <w:p w14:paraId="4AF6D586" w14:textId="77777777" w:rsidR="00CD033D" w:rsidRPr="00C223AB" w:rsidRDefault="00CD033D" w:rsidP="00C223AB">
            <w:pPr>
              <w:rPr>
                <w:rFonts w:ascii="Arial" w:eastAsia="Times New Roman" w:hAnsi="Arial" w:cs="Arial"/>
                <w:color w:val="000000"/>
                <w:sz w:val="22"/>
                <w:szCs w:val="22"/>
                <w:lang w:val="en-GB" w:eastAsia="en-GB"/>
              </w:rPr>
            </w:pPr>
            <w:r w:rsidRPr="00C223AB">
              <w:rPr>
                <w:rFonts w:ascii="Arial" w:eastAsia="Times New Roman" w:hAnsi="Arial" w:cs="Arial"/>
                <w:color w:val="000000"/>
                <w:sz w:val="22"/>
                <w:szCs w:val="22"/>
                <w:lang w:val="en-GB" w:eastAsia="en-GB"/>
              </w:rPr>
              <w:t>1.24 (0.91-1.68)</w:t>
            </w:r>
          </w:p>
        </w:tc>
        <w:tc>
          <w:tcPr>
            <w:tcW w:w="1417" w:type="dxa"/>
            <w:tcBorders>
              <w:top w:val="nil"/>
              <w:left w:val="nil"/>
              <w:bottom w:val="single" w:sz="4" w:space="0" w:color="auto"/>
              <w:right w:val="single" w:sz="4" w:space="0" w:color="auto"/>
            </w:tcBorders>
            <w:shd w:val="clear" w:color="auto" w:fill="auto"/>
            <w:noWrap/>
            <w:vAlign w:val="bottom"/>
            <w:hideMark/>
          </w:tcPr>
          <w:p w14:paraId="7A6A40C1" w14:textId="77777777" w:rsidR="00CD033D" w:rsidRPr="00C223AB" w:rsidRDefault="00CD033D" w:rsidP="00C223AB">
            <w:pPr>
              <w:jc w:val="right"/>
              <w:rPr>
                <w:rFonts w:ascii="Arial" w:eastAsia="Times New Roman" w:hAnsi="Arial" w:cs="Arial"/>
                <w:color w:val="000000"/>
                <w:sz w:val="22"/>
                <w:szCs w:val="22"/>
                <w:lang w:val="en-GB" w:eastAsia="en-GB"/>
              </w:rPr>
            </w:pPr>
            <w:r w:rsidRPr="00C223AB">
              <w:rPr>
                <w:rFonts w:ascii="Arial" w:eastAsia="Times New Roman" w:hAnsi="Arial" w:cs="Arial"/>
                <w:color w:val="000000"/>
                <w:sz w:val="22"/>
                <w:szCs w:val="22"/>
                <w:lang w:val="en-GB" w:eastAsia="en-GB"/>
              </w:rPr>
              <w:t>44%</w:t>
            </w:r>
          </w:p>
        </w:tc>
        <w:tc>
          <w:tcPr>
            <w:tcW w:w="1134" w:type="dxa"/>
            <w:tcBorders>
              <w:top w:val="nil"/>
              <w:left w:val="nil"/>
              <w:bottom w:val="single" w:sz="4" w:space="0" w:color="auto"/>
              <w:right w:val="single" w:sz="4" w:space="0" w:color="auto"/>
            </w:tcBorders>
            <w:shd w:val="clear" w:color="auto" w:fill="auto"/>
            <w:noWrap/>
            <w:vAlign w:val="bottom"/>
            <w:hideMark/>
          </w:tcPr>
          <w:p w14:paraId="59432C77" w14:textId="77777777" w:rsidR="00CD033D" w:rsidRPr="00C223AB" w:rsidRDefault="00CD033D" w:rsidP="00C223AB">
            <w:pPr>
              <w:rPr>
                <w:rFonts w:ascii="Arial" w:eastAsia="Times New Roman" w:hAnsi="Arial" w:cs="Arial"/>
                <w:color w:val="000000"/>
                <w:sz w:val="22"/>
                <w:szCs w:val="22"/>
                <w:lang w:val="en-GB" w:eastAsia="en-GB"/>
              </w:rPr>
            </w:pPr>
            <w:r w:rsidRPr="00C223AB">
              <w:rPr>
                <w:rFonts w:ascii="Arial" w:eastAsia="Times New Roman" w:hAnsi="Arial" w:cs="Arial"/>
                <w:color w:val="000000"/>
                <w:sz w:val="22"/>
                <w:szCs w:val="22"/>
                <w:lang w:val="en-GB" w:eastAsia="en-GB"/>
              </w:rPr>
              <w:t>&lt;0.001</w:t>
            </w:r>
          </w:p>
        </w:tc>
      </w:tr>
      <w:tr w:rsidR="00CD033D" w:rsidRPr="00C223AB" w14:paraId="4437576D" w14:textId="77777777" w:rsidTr="0038636A">
        <w:trPr>
          <w:trHeight w:val="300"/>
        </w:trPr>
        <w:tc>
          <w:tcPr>
            <w:tcW w:w="2869" w:type="dxa"/>
            <w:tcBorders>
              <w:top w:val="nil"/>
              <w:left w:val="single" w:sz="4" w:space="0" w:color="auto"/>
              <w:bottom w:val="single" w:sz="4" w:space="0" w:color="auto"/>
              <w:right w:val="single" w:sz="4" w:space="0" w:color="auto"/>
            </w:tcBorders>
            <w:shd w:val="clear" w:color="auto" w:fill="auto"/>
            <w:noWrap/>
            <w:vAlign w:val="bottom"/>
            <w:hideMark/>
          </w:tcPr>
          <w:p w14:paraId="56BE6B7A" w14:textId="77777777" w:rsidR="00CD033D" w:rsidRPr="00C223AB" w:rsidRDefault="00CD033D" w:rsidP="00C223AB">
            <w:pPr>
              <w:rPr>
                <w:rFonts w:ascii="Arial" w:eastAsia="Times New Roman" w:hAnsi="Arial" w:cs="Arial"/>
                <w:color w:val="000000"/>
                <w:sz w:val="22"/>
                <w:szCs w:val="22"/>
                <w:lang w:val="en-GB" w:eastAsia="en-GB"/>
              </w:rPr>
            </w:pPr>
            <w:r w:rsidRPr="00C223AB">
              <w:rPr>
                <w:rFonts w:ascii="Arial" w:eastAsia="Times New Roman" w:hAnsi="Arial" w:cs="Arial"/>
                <w:color w:val="000000"/>
                <w:sz w:val="22"/>
                <w:szCs w:val="22"/>
                <w:lang w:val="en-GB" w:eastAsia="en-GB"/>
              </w:rPr>
              <w:t>+VLDL (NMR)</w:t>
            </w:r>
          </w:p>
        </w:tc>
        <w:tc>
          <w:tcPr>
            <w:tcW w:w="1843" w:type="dxa"/>
            <w:tcBorders>
              <w:top w:val="nil"/>
              <w:left w:val="nil"/>
              <w:bottom w:val="single" w:sz="4" w:space="0" w:color="auto"/>
              <w:right w:val="single" w:sz="4" w:space="0" w:color="auto"/>
            </w:tcBorders>
            <w:shd w:val="clear" w:color="auto" w:fill="auto"/>
            <w:noWrap/>
            <w:vAlign w:val="bottom"/>
            <w:hideMark/>
          </w:tcPr>
          <w:p w14:paraId="622E1E43" w14:textId="77777777" w:rsidR="00CD033D" w:rsidRPr="00C223AB" w:rsidRDefault="00CD033D" w:rsidP="00C223AB">
            <w:pPr>
              <w:rPr>
                <w:rFonts w:ascii="Arial" w:eastAsia="Times New Roman" w:hAnsi="Arial" w:cs="Arial"/>
                <w:color w:val="000000"/>
                <w:sz w:val="22"/>
                <w:szCs w:val="22"/>
                <w:lang w:val="en-GB" w:eastAsia="en-GB"/>
              </w:rPr>
            </w:pPr>
            <w:r w:rsidRPr="00C223AB">
              <w:rPr>
                <w:rFonts w:ascii="Arial" w:eastAsia="Times New Roman" w:hAnsi="Arial" w:cs="Arial"/>
                <w:color w:val="000000"/>
                <w:sz w:val="22"/>
                <w:szCs w:val="22"/>
                <w:lang w:val="en-GB" w:eastAsia="en-GB"/>
              </w:rPr>
              <w:t>1.64 (1.25-2.14)</w:t>
            </w:r>
          </w:p>
        </w:tc>
        <w:tc>
          <w:tcPr>
            <w:tcW w:w="1417" w:type="dxa"/>
            <w:tcBorders>
              <w:top w:val="nil"/>
              <w:left w:val="nil"/>
              <w:bottom w:val="single" w:sz="4" w:space="0" w:color="auto"/>
              <w:right w:val="single" w:sz="4" w:space="0" w:color="auto"/>
            </w:tcBorders>
            <w:shd w:val="clear" w:color="auto" w:fill="auto"/>
            <w:noWrap/>
            <w:vAlign w:val="bottom"/>
            <w:hideMark/>
          </w:tcPr>
          <w:p w14:paraId="1E4BE35B" w14:textId="77777777" w:rsidR="00CD033D" w:rsidRPr="00C223AB" w:rsidRDefault="00CD033D" w:rsidP="00C223AB">
            <w:pPr>
              <w:jc w:val="right"/>
              <w:rPr>
                <w:rFonts w:ascii="Arial" w:eastAsia="Times New Roman" w:hAnsi="Arial" w:cs="Arial"/>
                <w:color w:val="000000"/>
                <w:sz w:val="22"/>
                <w:szCs w:val="22"/>
                <w:lang w:val="en-GB" w:eastAsia="en-GB"/>
              </w:rPr>
            </w:pPr>
            <w:r w:rsidRPr="00C223AB">
              <w:rPr>
                <w:rFonts w:ascii="Arial" w:eastAsia="Times New Roman" w:hAnsi="Arial" w:cs="Arial"/>
                <w:color w:val="000000"/>
                <w:sz w:val="22"/>
                <w:szCs w:val="22"/>
                <w:lang w:val="en-GB" w:eastAsia="en-GB"/>
              </w:rPr>
              <w:t>24%</w:t>
            </w:r>
          </w:p>
        </w:tc>
        <w:tc>
          <w:tcPr>
            <w:tcW w:w="1134" w:type="dxa"/>
            <w:tcBorders>
              <w:top w:val="nil"/>
              <w:left w:val="nil"/>
              <w:bottom w:val="single" w:sz="4" w:space="0" w:color="auto"/>
              <w:right w:val="single" w:sz="4" w:space="0" w:color="auto"/>
            </w:tcBorders>
            <w:shd w:val="clear" w:color="auto" w:fill="auto"/>
            <w:noWrap/>
            <w:vAlign w:val="bottom"/>
            <w:hideMark/>
          </w:tcPr>
          <w:p w14:paraId="605DECED" w14:textId="77777777" w:rsidR="00CD033D" w:rsidRPr="00C223AB" w:rsidRDefault="00CD033D" w:rsidP="00C223AB">
            <w:pPr>
              <w:rPr>
                <w:rFonts w:ascii="Arial" w:eastAsia="Times New Roman" w:hAnsi="Arial" w:cs="Arial"/>
                <w:color w:val="000000"/>
                <w:sz w:val="22"/>
                <w:szCs w:val="22"/>
                <w:lang w:val="en-GB" w:eastAsia="en-GB"/>
              </w:rPr>
            </w:pPr>
            <w:r w:rsidRPr="00C223AB">
              <w:rPr>
                <w:rFonts w:ascii="Arial" w:eastAsia="Times New Roman" w:hAnsi="Arial" w:cs="Arial"/>
                <w:color w:val="000000"/>
                <w:sz w:val="22"/>
                <w:szCs w:val="22"/>
                <w:lang w:val="en-GB" w:eastAsia="en-GB"/>
              </w:rPr>
              <w:t>&lt;0.001</w:t>
            </w:r>
          </w:p>
        </w:tc>
        <w:tc>
          <w:tcPr>
            <w:tcW w:w="709" w:type="dxa"/>
            <w:tcBorders>
              <w:top w:val="nil"/>
              <w:left w:val="nil"/>
              <w:bottom w:val="nil"/>
              <w:right w:val="nil"/>
            </w:tcBorders>
            <w:shd w:val="clear" w:color="auto" w:fill="auto"/>
            <w:noWrap/>
            <w:vAlign w:val="bottom"/>
            <w:hideMark/>
          </w:tcPr>
          <w:p w14:paraId="43AF62A1" w14:textId="77777777" w:rsidR="00CD033D" w:rsidRPr="00C223AB" w:rsidRDefault="00CD033D" w:rsidP="00C223AB">
            <w:pPr>
              <w:rPr>
                <w:rFonts w:ascii="Arial" w:eastAsia="Times New Roman" w:hAnsi="Arial" w:cs="Arial"/>
                <w:color w:val="000000"/>
                <w:sz w:val="22"/>
                <w:szCs w:val="22"/>
                <w:lang w:val="en-GB" w:eastAsia="en-GB"/>
              </w:rPr>
            </w:pPr>
          </w:p>
        </w:tc>
        <w:tc>
          <w:tcPr>
            <w:tcW w:w="1843" w:type="dxa"/>
            <w:tcBorders>
              <w:top w:val="nil"/>
              <w:left w:val="single" w:sz="4" w:space="0" w:color="auto"/>
              <w:bottom w:val="single" w:sz="4" w:space="0" w:color="auto"/>
              <w:right w:val="single" w:sz="4" w:space="0" w:color="auto"/>
            </w:tcBorders>
            <w:shd w:val="clear" w:color="auto" w:fill="auto"/>
            <w:noWrap/>
            <w:vAlign w:val="bottom"/>
            <w:hideMark/>
          </w:tcPr>
          <w:p w14:paraId="3A678C3C" w14:textId="77777777" w:rsidR="00CD033D" w:rsidRPr="00C223AB" w:rsidRDefault="00CD033D" w:rsidP="00C223AB">
            <w:pPr>
              <w:rPr>
                <w:rFonts w:ascii="Arial" w:eastAsia="Times New Roman" w:hAnsi="Arial" w:cs="Arial"/>
                <w:color w:val="000000"/>
                <w:sz w:val="22"/>
                <w:szCs w:val="22"/>
                <w:lang w:val="en-GB" w:eastAsia="en-GB"/>
              </w:rPr>
            </w:pPr>
            <w:r w:rsidRPr="00C223AB">
              <w:rPr>
                <w:rFonts w:ascii="Arial" w:eastAsia="Times New Roman" w:hAnsi="Arial" w:cs="Arial"/>
                <w:color w:val="000000"/>
                <w:sz w:val="22"/>
                <w:szCs w:val="22"/>
                <w:lang w:val="en-GB" w:eastAsia="en-GB"/>
              </w:rPr>
              <w:t>1.26 (0.94-1.68)</w:t>
            </w:r>
          </w:p>
        </w:tc>
        <w:tc>
          <w:tcPr>
            <w:tcW w:w="1417" w:type="dxa"/>
            <w:tcBorders>
              <w:top w:val="nil"/>
              <w:left w:val="nil"/>
              <w:bottom w:val="single" w:sz="4" w:space="0" w:color="auto"/>
              <w:right w:val="single" w:sz="4" w:space="0" w:color="auto"/>
            </w:tcBorders>
            <w:shd w:val="clear" w:color="auto" w:fill="auto"/>
            <w:noWrap/>
            <w:vAlign w:val="bottom"/>
            <w:hideMark/>
          </w:tcPr>
          <w:p w14:paraId="317BBA28" w14:textId="77777777" w:rsidR="00CD033D" w:rsidRPr="00C223AB" w:rsidRDefault="00CD033D" w:rsidP="00C223AB">
            <w:pPr>
              <w:jc w:val="right"/>
              <w:rPr>
                <w:rFonts w:ascii="Arial" w:eastAsia="Times New Roman" w:hAnsi="Arial" w:cs="Arial"/>
                <w:color w:val="000000"/>
                <w:sz w:val="22"/>
                <w:szCs w:val="22"/>
                <w:lang w:val="en-GB" w:eastAsia="en-GB"/>
              </w:rPr>
            </w:pPr>
            <w:r w:rsidRPr="00C223AB">
              <w:rPr>
                <w:rFonts w:ascii="Arial" w:eastAsia="Times New Roman" w:hAnsi="Arial" w:cs="Arial"/>
                <w:color w:val="000000"/>
                <w:sz w:val="22"/>
                <w:szCs w:val="22"/>
                <w:lang w:val="en-GB" w:eastAsia="en-GB"/>
              </w:rPr>
              <w:t>41%</w:t>
            </w:r>
          </w:p>
        </w:tc>
        <w:tc>
          <w:tcPr>
            <w:tcW w:w="1134" w:type="dxa"/>
            <w:tcBorders>
              <w:top w:val="nil"/>
              <w:left w:val="nil"/>
              <w:bottom w:val="single" w:sz="4" w:space="0" w:color="auto"/>
              <w:right w:val="single" w:sz="4" w:space="0" w:color="auto"/>
            </w:tcBorders>
            <w:shd w:val="clear" w:color="auto" w:fill="auto"/>
            <w:noWrap/>
            <w:vAlign w:val="bottom"/>
            <w:hideMark/>
          </w:tcPr>
          <w:p w14:paraId="72A15AA2" w14:textId="77777777" w:rsidR="00CD033D" w:rsidRPr="00C223AB" w:rsidRDefault="00CD033D" w:rsidP="00C223AB">
            <w:pPr>
              <w:rPr>
                <w:rFonts w:ascii="Arial" w:eastAsia="Times New Roman" w:hAnsi="Arial" w:cs="Arial"/>
                <w:color w:val="000000"/>
                <w:sz w:val="22"/>
                <w:szCs w:val="22"/>
                <w:lang w:val="en-GB" w:eastAsia="en-GB"/>
              </w:rPr>
            </w:pPr>
            <w:r w:rsidRPr="00C223AB">
              <w:rPr>
                <w:rFonts w:ascii="Arial" w:eastAsia="Times New Roman" w:hAnsi="Arial" w:cs="Arial"/>
                <w:color w:val="000000"/>
                <w:sz w:val="22"/>
                <w:szCs w:val="22"/>
                <w:lang w:val="en-GB" w:eastAsia="en-GB"/>
              </w:rPr>
              <w:t>&lt;0.001</w:t>
            </w:r>
          </w:p>
        </w:tc>
      </w:tr>
      <w:tr w:rsidR="00CD033D" w:rsidRPr="00C223AB" w14:paraId="32D9CBAB" w14:textId="77777777" w:rsidTr="0038636A">
        <w:trPr>
          <w:trHeight w:val="300"/>
        </w:trPr>
        <w:tc>
          <w:tcPr>
            <w:tcW w:w="2869" w:type="dxa"/>
            <w:tcBorders>
              <w:top w:val="nil"/>
              <w:left w:val="single" w:sz="4" w:space="0" w:color="auto"/>
              <w:bottom w:val="single" w:sz="4" w:space="0" w:color="auto"/>
              <w:right w:val="single" w:sz="4" w:space="0" w:color="auto"/>
            </w:tcBorders>
            <w:shd w:val="clear" w:color="auto" w:fill="auto"/>
            <w:noWrap/>
            <w:vAlign w:val="bottom"/>
            <w:hideMark/>
          </w:tcPr>
          <w:p w14:paraId="1A21BCE1" w14:textId="77777777" w:rsidR="00CD033D" w:rsidRPr="00C223AB" w:rsidRDefault="00CD033D" w:rsidP="00C223AB">
            <w:pPr>
              <w:rPr>
                <w:rFonts w:ascii="Arial" w:eastAsia="Times New Roman" w:hAnsi="Arial" w:cs="Arial"/>
                <w:color w:val="000000"/>
                <w:sz w:val="22"/>
                <w:szCs w:val="22"/>
                <w:lang w:val="en-GB" w:eastAsia="en-GB"/>
              </w:rPr>
            </w:pPr>
            <w:r w:rsidRPr="00C223AB">
              <w:rPr>
                <w:rFonts w:ascii="Arial" w:eastAsia="Times New Roman" w:hAnsi="Arial" w:cs="Arial"/>
                <w:color w:val="000000"/>
                <w:sz w:val="22"/>
                <w:szCs w:val="22"/>
                <w:lang w:val="en-GB" w:eastAsia="en-GB"/>
              </w:rPr>
              <w:t xml:space="preserve">        +Large VLDL</w:t>
            </w:r>
          </w:p>
        </w:tc>
        <w:tc>
          <w:tcPr>
            <w:tcW w:w="1843" w:type="dxa"/>
            <w:tcBorders>
              <w:top w:val="nil"/>
              <w:left w:val="nil"/>
              <w:bottom w:val="single" w:sz="4" w:space="0" w:color="auto"/>
              <w:right w:val="single" w:sz="4" w:space="0" w:color="auto"/>
            </w:tcBorders>
            <w:shd w:val="clear" w:color="auto" w:fill="auto"/>
            <w:noWrap/>
            <w:vAlign w:val="bottom"/>
            <w:hideMark/>
          </w:tcPr>
          <w:p w14:paraId="1B57B3C5" w14:textId="77777777" w:rsidR="00CD033D" w:rsidRPr="00C223AB" w:rsidRDefault="00CD033D" w:rsidP="00C223AB">
            <w:pPr>
              <w:rPr>
                <w:rFonts w:ascii="Arial" w:eastAsia="Times New Roman" w:hAnsi="Arial" w:cs="Arial"/>
                <w:color w:val="000000"/>
                <w:sz w:val="22"/>
                <w:szCs w:val="22"/>
                <w:lang w:val="en-GB" w:eastAsia="en-GB"/>
              </w:rPr>
            </w:pPr>
            <w:r w:rsidRPr="00C223AB">
              <w:rPr>
                <w:rFonts w:ascii="Arial" w:eastAsia="Times New Roman" w:hAnsi="Arial" w:cs="Arial"/>
                <w:color w:val="000000"/>
                <w:sz w:val="22"/>
                <w:szCs w:val="22"/>
                <w:lang w:val="en-GB" w:eastAsia="en-GB"/>
              </w:rPr>
              <w:t>1.53 (1.15-2.03)</w:t>
            </w:r>
          </w:p>
        </w:tc>
        <w:tc>
          <w:tcPr>
            <w:tcW w:w="1417" w:type="dxa"/>
            <w:tcBorders>
              <w:top w:val="nil"/>
              <w:left w:val="nil"/>
              <w:bottom w:val="single" w:sz="4" w:space="0" w:color="auto"/>
              <w:right w:val="single" w:sz="4" w:space="0" w:color="auto"/>
            </w:tcBorders>
            <w:shd w:val="clear" w:color="auto" w:fill="auto"/>
            <w:noWrap/>
            <w:vAlign w:val="bottom"/>
            <w:hideMark/>
          </w:tcPr>
          <w:p w14:paraId="0E98509B" w14:textId="77777777" w:rsidR="00CD033D" w:rsidRPr="00C223AB" w:rsidRDefault="00CD033D" w:rsidP="00C223AB">
            <w:pPr>
              <w:jc w:val="right"/>
              <w:rPr>
                <w:rFonts w:ascii="Arial" w:eastAsia="Times New Roman" w:hAnsi="Arial" w:cs="Arial"/>
                <w:color w:val="000000"/>
                <w:sz w:val="22"/>
                <w:szCs w:val="22"/>
                <w:lang w:val="en-GB" w:eastAsia="en-GB"/>
              </w:rPr>
            </w:pPr>
            <w:r w:rsidRPr="00C223AB">
              <w:rPr>
                <w:rFonts w:ascii="Arial" w:eastAsia="Times New Roman" w:hAnsi="Arial" w:cs="Arial"/>
                <w:color w:val="000000"/>
                <w:sz w:val="22"/>
                <w:szCs w:val="22"/>
                <w:lang w:val="en-GB" w:eastAsia="en-GB"/>
              </w:rPr>
              <w:t>35%</w:t>
            </w:r>
          </w:p>
        </w:tc>
        <w:tc>
          <w:tcPr>
            <w:tcW w:w="1134" w:type="dxa"/>
            <w:tcBorders>
              <w:top w:val="nil"/>
              <w:left w:val="nil"/>
              <w:bottom w:val="single" w:sz="4" w:space="0" w:color="auto"/>
              <w:right w:val="single" w:sz="4" w:space="0" w:color="auto"/>
            </w:tcBorders>
            <w:shd w:val="clear" w:color="auto" w:fill="auto"/>
            <w:noWrap/>
            <w:vAlign w:val="bottom"/>
            <w:hideMark/>
          </w:tcPr>
          <w:p w14:paraId="0458FB17" w14:textId="77777777" w:rsidR="00CD033D" w:rsidRPr="00C223AB" w:rsidRDefault="00CD033D" w:rsidP="00C223AB">
            <w:pPr>
              <w:rPr>
                <w:rFonts w:ascii="Arial" w:eastAsia="Times New Roman" w:hAnsi="Arial" w:cs="Arial"/>
                <w:color w:val="000000"/>
                <w:sz w:val="22"/>
                <w:szCs w:val="22"/>
                <w:lang w:val="en-GB" w:eastAsia="en-GB"/>
              </w:rPr>
            </w:pPr>
            <w:r w:rsidRPr="00C223AB">
              <w:rPr>
                <w:rFonts w:ascii="Arial" w:eastAsia="Times New Roman" w:hAnsi="Arial" w:cs="Arial"/>
                <w:color w:val="000000"/>
                <w:sz w:val="22"/>
                <w:szCs w:val="22"/>
                <w:lang w:val="en-GB" w:eastAsia="en-GB"/>
              </w:rPr>
              <w:t>&lt;0.001</w:t>
            </w:r>
          </w:p>
        </w:tc>
        <w:tc>
          <w:tcPr>
            <w:tcW w:w="709" w:type="dxa"/>
            <w:tcBorders>
              <w:top w:val="nil"/>
              <w:left w:val="nil"/>
              <w:bottom w:val="nil"/>
              <w:right w:val="nil"/>
            </w:tcBorders>
            <w:shd w:val="clear" w:color="auto" w:fill="auto"/>
            <w:noWrap/>
            <w:vAlign w:val="bottom"/>
            <w:hideMark/>
          </w:tcPr>
          <w:p w14:paraId="372150A1" w14:textId="77777777" w:rsidR="00CD033D" w:rsidRPr="00C223AB" w:rsidRDefault="00CD033D" w:rsidP="00C223AB">
            <w:pPr>
              <w:rPr>
                <w:rFonts w:ascii="Arial" w:eastAsia="Times New Roman" w:hAnsi="Arial" w:cs="Arial"/>
                <w:color w:val="000000"/>
                <w:sz w:val="22"/>
                <w:szCs w:val="22"/>
                <w:lang w:val="en-GB" w:eastAsia="en-GB"/>
              </w:rPr>
            </w:pPr>
          </w:p>
        </w:tc>
        <w:tc>
          <w:tcPr>
            <w:tcW w:w="1843" w:type="dxa"/>
            <w:tcBorders>
              <w:top w:val="nil"/>
              <w:left w:val="single" w:sz="4" w:space="0" w:color="auto"/>
              <w:bottom w:val="single" w:sz="4" w:space="0" w:color="auto"/>
              <w:right w:val="single" w:sz="4" w:space="0" w:color="auto"/>
            </w:tcBorders>
            <w:shd w:val="clear" w:color="auto" w:fill="auto"/>
            <w:noWrap/>
            <w:vAlign w:val="bottom"/>
            <w:hideMark/>
          </w:tcPr>
          <w:p w14:paraId="141EF13B" w14:textId="77777777" w:rsidR="00CD033D" w:rsidRPr="00C223AB" w:rsidRDefault="00CD033D" w:rsidP="00C223AB">
            <w:pPr>
              <w:rPr>
                <w:rFonts w:ascii="Arial" w:eastAsia="Times New Roman" w:hAnsi="Arial" w:cs="Arial"/>
                <w:color w:val="000000"/>
                <w:sz w:val="22"/>
                <w:szCs w:val="22"/>
                <w:lang w:val="en-GB" w:eastAsia="en-GB"/>
              </w:rPr>
            </w:pPr>
            <w:r w:rsidRPr="00C223AB">
              <w:rPr>
                <w:rFonts w:ascii="Arial" w:eastAsia="Times New Roman" w:hAnsi="Arial" w:cs="Arial"/>
                <w:color w:val="000000"/>
                <w:sz w:val="22"/>
                <w:szCs w:val="22"/>
                <w:lang w:val="en-GB" w:eastAsia="en-GB"/>
              </w:rPr>
              <w:t>1.33 (0.99-1.80)</w:t>
            </w:r>
          </w:p>
        </w:tc>
        <w:tc>
          <w:tcPr>
            <w:tcW w:w="1417" w:type="dxa"/>
            <w:tcBorders>
              <w:top w:val="nil"/>
              <w:left w:val="nil"/>
              <w:bottom w:val="single" w:sz="4" w:space="0" w:color="auto"/>
              <w:right w:val="single" w:sz="4" w:space="0" w:color="auto"/>
            </w:tcBorders>
            <w:shd w:val="clear" w:color="auto" w:fill="auto"/>
            <w:noWrap/>
            <w:vAlign w:val="bottom"/>
            <w:hideMark/>
          </w:tcPr>
          <w:p w14:paraId="02191584" w14:textId="77777777" w:rsidR="00CD033D" w:rsidRPr="00C223AB" w:rsidRDefault="00CD033D" w:rsidP="00C223AB">
            <w:pPr>
              <w:jc w:val="right"/>
              <w:rPr>
                <w:rFonts w:ascii="Arial" w:eastAsia="Times New Roman" w:hAnsi="Arial" w:cs="Arial"/>
                <w:color w:val="000000"/>
                <w:sz w:val="22"/>
                <w:szCs w:val="22"/>
                <w:lang w:val="en-GB" w:eastAsia="en-GB"/>
              </w:rPr>
            </w:pPr>
            <w:r w:rsidRPr="00C223AB">
              <w:rPr>
                <w:rFonts w:ascii="Arial" w:eastAsia="Times New Roman" w:hAnsi="Arial" w:cs="Arial"/>
                <w:color w:val="000000"/>
                <w:sz w:val="22"/>
                <w:szCs w:val="22"/>
                <w:lang w:val="en-GB" w:eastAsia="en-GB"/>
              </w:rPr>
              <w:t>26%</w:t>
            </w:r>
          </w:p>
        </w:tc>
        <w:tc>
          <w:tcPr>
            <w:tcW w:w="1134" w:type="dxa"/>
            <w:tcBorders>
              <w:top w:val="nil"/>
              <w:left w:val="nil"/>
              <w:bottom w:val="single" w:sz="4" w:space="0" w:color="auto"/>
              <w:right w:val="single" w:sz="4" w:space="0" w:color="auto"/>
            </w:tcBorders>
            <w:shd w:val="clear" w:color="auto" w:fill="auto"/>
            <w:noWrap/>
            <w:vAlign w:val="bottom"/>
            <w:hideMark/>
          </w:tcPr>
          <w:p w14:paraId="175B1B75" w14:textId="77777777" w:rsidR="00CD033D" w:rsidRPr="00C223AB" w:rsidRDefault="00CD033D" w:rsidP="00C223AB">
            <w:pPr>
              <w:rPr>
                <w:rFonts w:ascii="Arial" w:eastAsia="Times New Roman" w:hAnsi="Arial" w:cs="Arial"/>
                <w:color w:val="000000"/>
                <w:sz w:val="22"/>
                <w:szCs w:val="22"/>
                <w:lang w:val="en-GB" w:eastAsia="en-GB"/>
              </w:rPr>
            </w:pPr>
            <w:r w:rsidRPr="00C223AB">
              <w:rPr>
                <w:rFonts w:ascii="Arial" w:eastAsia="Times New Roman" w:hAnsi="Arial" w:cs="Arial"/>
                <w:color w:val="000000"/>
                <w:sz w:val="22"/>
                <w:szCs w:val="22"/>
                <w:lang w:val="en-GB" w:eastAsia="en-GB"/>
              </w:rPr>
              <w:t>&lt;0.05</w:t>
            </w:r>
          </w:p>
        </w:tc>
      </w:tr>
      <w:tr w:rsidR="00CD033D" w:rsidRPr="00C223AB" w14:paraId="19CA5ACC" w14:textId="77777777" w:rsidTr="0038636A">
        <w:trPr>
          <w:trHeight w:val="300"/>
        </w:trPr>
        <w:tc>
          <w:tcPr>
            <w:tcW w:w="2869" w:type="dxa"/>
            <w:tcBorders>
              <w:top w:val="nil"/>
              <w:left w:val="single" w:sz="4" w:space="0" w:color="auto"/>
              <w:bottom w:val="single" w:sz="4" w:space="0" w:color="auto"/>
              <w:right w:val="single" w:sz="4" w:space="0" w:color="auto"/>
            </w:tcBorders>
            <w:shd w:val="clear" w:color="auto" w:fill="auto"/>
            <w:noWrap/>
            <w:vAlign w:val="bottom"/>
            <w:hideMark/>
          </w:tcPr>
          <w:p w14:paraId="68671F68" w14:textId="77777777" w:rsidR="00CD033D" w:rsidRPr="00C223AB" w:rsidRDefault="00CD033D" w:rsidP="00C223AB">
            <w:pPr>
              <w:rPr>
                <w:rFonts w:ascii="Arial" w:eastAsia="Times New Roman" w:hAnsi="Arial" w:cs="Arial"/>
                <w:color w:val="000000"/>
                <w:sz w:val="22"/>
                <w:szCs w:val="22"/>
                <w:lang w:val="en-GB" w:eastAsia="en-GB"/>
              </w:rPr>
            </w:pPr>
            <w:r w:rsidRPr="00C223AB">
              <w:rPr>
                <w:rFonts w:ascii="Arial" w:eastAsia="Times New Roman" w:hAnsi="Arial" w:cs="Arial"/>
                <w:color w:val="000000"/>
                <w:sz w:val="22"/>
                <w:szCs w:val="22"/>
                <w:lang w:val="en-GB" w:eastAsia="en-GB"/>
              </w:rPr>
              <w:t>+LDL (NMR)</w:t>
            </w:r>
          </w:p>
        </w:tc>
        <w:tc>
          <w:tcPr>
            <w:tcW w:w="1843" w:type="dxa"/>
            <w:tcBorders>
              <w:top w:val="nil"/>
              <w:left w:val="nil"/>
              <w:bottom w:val="single" w:sz="4" w:space="0" w:color="auto"/>
              <w:right w:val="single" w:sz="4" w:space="0" w:color="auto"/>
            </w:tcBorders>
            <w:shd w:val="clear" w:color="auto" w:fill="auto"/>
            <w:noWrap/>
            <w:vAlign w:val="bottom"/>
            <w:hideMark/>
          </w:tcPr>
          <w:p w14:paraId="572CD323" w14:textId="77777777" w:rsidR="00CD033D" w:rsidRPr="00C223AB" w:rsidRDefault="00CD033D" w:rsidP="00C223AB">
            <w:pPr>
              <w:rPr>
                <w:rFonts w:ascii="Arial" w:eastAsia="Times New Roman" w:hAnsi="Arial" w:cs="Arial"/>
                <w:color w:val="000000"/>
                <w:sz w:val="22"/>
                <w:szCs w:val="22"/>
                <w:lang w:val="en-GB" w:eastAsia="en-GB"/>
              </w:rPr>
            </w:pPr>
            <w:r w:rsidRPr="00C223AB">
              <w:rPr>
                <w:rFonts w:ascii="Arial" w:eastAsia="Times New Roman" w:hAnsi="Arial" w:cs="Arial"/>
                <w:color w:val="000000"/>
                <w:sz w:val="22"/>
                <w:szCs w:val="22"/>
                <w:lang w:val="en-GB" w:eastAsia="en-GB"/>
              </w:rPr>
              <w:t>1.64 (1.25-2.14)</w:t>
            </w:r>
          </w:p>
        </w:tc>
        <w:tc>
          <w:tcPr>
            <w:tcW w:w="1417" w:type="dxa"/>
            <w:tcBorders>
              <w:top w:val="nil"/>
              <w:left w:val="nil"/>
              <w:bottom w:val="single" w:sz="4" w:space="0" w:color="auto"/>
              <w:right w:val="single" w:sz="4" w:space="0" w:color="auto"/>
            </w:tcBorders>
            <w:shd w:val="clear" w:color="auto" w:fill="auto"/>
            <w:noWrap/>
            <w:vAlign w:val="bottom"/>
            <w:hideMark/>
          </w:tcPr>
          <w:p w14:paraId="6DACD74E" w14:textId="77777777" w:rsidR="00CD033D" w:rsidRPr="00C223AB" w:rsidRDefault="00CD033D" w:rsidP="00C223AB">
            <w:pPr>
              <w:jc w:val="right"/>
              <w:rPr>
                <w:rFonts w:ascii="Arial" w:eastAsia="Times New Roman" w:hAnsi="Arial" w:cs="Arial"/>
                <w:color w:val="000000"/>
                <w:sz w:val="22"/>
                <w:szCs w:val="22"/>
                <w:lang w:val="en-GB" w:eastAsia="en-GB"/>
              </w:rPr>
            </w:pPr>
            <w:r w:rsidRPr="00C223AB">
              <w:rPr>
                <w:rFonts w:ascii="Arial" w:eastAsia="Times New Roman" w:hAnsi="Arial" w:cs="Arial"/>
                <w:color w:val="000000"/>
                <w:sz w:val="22"/>
                <w:szCs w:val="22"/>
                <w:lang w:val="en-GB" w:eastAsia="en-GB"/>
              </w:rPr>
              <w:t>24%</w:t>
            </w:r>
          </w:p>
        </w:tc>
        <w:tc>
          <w:tcPr>
            <w:tcW w:w="1134" w:type="dxa"/>
            <w:tcBorders>
              <w:top w:val="nil"/>
              <w:left w:val="nil"/>
              <w:bottom w:val="single" w:sz="4" w:space="0" w:color="auto"/>
              <w:right w:val="single" w:sz="4" w:space="0" w:color="auto"/>
            </w:tcBorders>
            <w:shd w:val="clear" w:color="auto" w:fill="auto"/>
            <w:noWrap/>
            <w:vAlign w:val="bottom"/>
            <w:hideMark/>
          </w:tcPr>
          <w:p w14:paraId="1ACCB344" w14:textId="77777777" w:rsidR="00CD033D" w:rsidRPr="00C223AB" w:rsidRDefault="00CD033D" w:rsidP="00C223AB">
            <w:pPr>
              <w:rPr>
                <w:rFonts w:ascii="Arial" w:eastAsia="Times New Roman" w:hAnsi="Arial" w:cs="Arial"/>
                <w:color w:val="000000"/>
                <w:sz w:val="22"/>
                <w:szCs w:val="22"/>
                <w:lang w:val="en-GB" w:eastAsia="en-GB"/>
              </w:rPr>
            </w:pPr>
            <w:r w:rsidRPr="00C223AB">
              <w:rPr>
                <w:rFonts w:ascii="Arial" w:eastAsia="Times New Roman" w:hAnsi="Arial" w:cs="Arial"/>
                <w:color w:val="000000"/>
                <w:sz w:val="22"/>
                <w:szCs w:val="22"/>
                <w:lang w:val="en-GB" w:eastAsia="en-GB"/>
              </w:rPr>
              <w:t>&lt;0.001</w:t>
            </w:r>
          </w:p>
        </w:tc>
        <w:tc>
          <w:tcPr>
            <w:tcW w:w="709" w:type="dxa"/>
            <w:tcBorders>
              <w:top w:val="nil"/>
              <w:left w:val="nil"/>
              <w:bottom w:val="nil"/>
              <w:right w:val="nil"/>
            </w:tcBorders>
            <w:shd w:val="clear" w:color="auto" w:fill="auto"/>
            <w:noWrap/>
            <w:vAlign w:val="bottom"/>
            <w:hideMark/>
          </w:tcPr>
          <w:p w14:paraId="0FC01986" w14:textId="77777777" w:rsidR="00CD033D" w:rsidRPr="00C223AB" w:rsidRDefault="00CD033D" w:rsidP="00C223AB">
            <w:pPr>
              <w:rPr>
                <w:rFonts w:ascii="Arial" w:eastAsia="Times New Roman" w:hAnsi="Arial" w:cs="Arial"/>
                <w:color w:val="000000"/>
                <w:sz w:val="22"/>
                <w:szCs w:val="22"/>
                <w:lang w:val="en-GB" w:eastAsia="en-GB"/>
              </w:rPr>
            </w:pPr>
          </w:p>
        </w:tc>
        <w:tc>
          <w:tcPr>
            <w:tcW w:w="1843" w:type="dxa"/>
            <w:tcBorders>
              <w:top w:val="nil"/>
              <w:left w:val="single" w:sz="4" w:space="0" w:color="auto"/>
              <w:bottom w:val="single" w:sz="4" w:space="0" w:color="auto"/>
              <w:right w:val="single" w:sz="4" w:space="0" w:color="auto"/>
            </w:tcBorders>
            <w:shd w:val="clear" w:color="auto" w:fill="auto"/>
            <w:noWrap/>
            <w:vAlign w:val="bottom"/>
            <w:hideMark/>
          </w:tcPr>
          <w:p w14:paraId="579FED7D" w14:textId="77777777" w:rsidR="00CD033D" w:rsidRPr="00C223AB" w:rsidRDefault="00CD033D" w:rsidP="00C223AB">
            <w:pPr>
              <w:rPr>
                <w:rFonts w:ascii="Arial" w:eastAsia="Times New Roman" w:hAnsi="Arial" w:cs="Arial"/>
                <w:color w:val="000000"/>
                <w:sz w:val="22"/>
                <w:szCs w:val="22"/>
                <w:lang w:val="en-GB" w:eastAsia="en-GB"/>
              </w:rPr>
            </w:pPr>
            <w:r w:rsidRPr="00C223AB">
              <w:rPr>
                <w:rFonts w:ascii="Arial" w:eastAsia="Times New Roman" w:hAnsi="Arial" w:cs="Arial"/>
                <w:color w:val="000000"/>
                <w:sz w:val="22"/>
                <w:szCs w:val="22"/>
                <w:lang w:val="en-GB" w:eastAsia="en-GB"/>
              </w:rPr>
              <w:t>1.30 (0.98-1.74)</w:t>
            </w:r>
          </w:p>
        </w:tc>
        <w:tc>
          <w:tcPr>
            <w:tcW w:w="1417" w:type="dxa"/>
            <w:tcBorders>
              <w:top w:val="nil"/>
              <w:left w:val="nil"/>
              <w:bottom w:val="single" w:sz="4" w:space="0" w:color="auto"/>
              <w:right w:val="single" w:sz="4" w:space="0" w:color="auto"/>
            </w:tcBorders>
            <w:shd w:val="clear" w:color="auto" w:fill="auto"/>
            <w:noWrap/>
            <w:vAlign w:val="bottom"/>
            <w:hideMark/>
          </w:tcPr>
          <w:p w14:paraId="2D66BD03" w14:textId="77777777" w:rsidR="00CD033D" w:rsidRPr="00C223AB" w:rsidRDefault="00CD033D" w:rsidP="00C223AB">
            <w:pPr>
              <w:jc w:val="right"/>
              <w:rPr>
                <w:rFonts w:ascii="Arial" w:eastAsia="Times New Roman" w:hAnsi="Arial" w:cs="Arial"/>
                <w:color w:val="000000"/>
                <w:sz w:val="22"/>
                <w:szCs w:val="22"/>
                <w:lang w:val="en-GB" w:eastAsia="en-GB"/>
              </w:rPr>
            </w:pPr>
            <w:r w:rsidRPr="00C223AB">
              <w:rPr>
                <w:rFonts w:ascii="Arial" w:eastAsia="Times New Roman" w:hAnsi="Arial" w:cs="Arial"/>
                <w:color w:val="000000"/>
                <w:sz w:val="22"/>
                <w:szCs w:val="22"/>
                <w:lang w:val="en-GB" w:eastAsia="en-GB"/>
              </w:rPr>
              <w:t>31%</w:t>
            </w:r>
          </w:p>
        </w:tc>
        <w:tc>
          <w:tcPr>
            <w:tcW w:w="1134" w:type="dxa"/>
            <w:tcBorders>
              <w:top w:val="nil"/>
              <w:left w:val="nil"/>
              <w:bottom w:val="single" w:sz="4" w:space="0" w:color="auto"/>
              <w:right w:val="single" w:sz="4" w:space="0" w:color="auto"/>
            </w:tcBorders>
            <w:shd w:val="clear" w:color="auto" w:fill="auto"/>
            <w:noWrap/>
            <w:vAlign w:val="bottom"/>
            <w:hideMark/>
          </w:tcPr>
          <w:p w14:paraId="596DE572" w14:textId="77777777" w:rsidR="00CD033D" w:rsidRPr="00C223AB" w:rsidRDefault="00CD033D" w:rsidP="00C223AB">
            <w:pPr>
              <w:rPr>
                <w:rFonts w:ascii="Arial" w:eastAsia="Times New Roman" w:hAnsi="Arial" w:cs="Arial"/>
                <w:color w:val="000000"/>
                <w:sz w:val="22"/>
                <w:szCs w:val="22"/>
                <w:lang w:val="en-GB" w:eastAsia="en-GB"/>
              </w:rPr>
            </w:pPr>
            <w:r w:rsidRPr="00C223AB">
              <w:rPr>
                <w:rFonts w:ascii="Arial" w:eastAsia="Times New Roman" w:hAnsi="Arial" w:cs="Arial"/>
                <w:color w:val="000000"/>
                <w:sz w:val="22"/>
                <w:szCs w:val="22"/>
                <w:lang w:val="en-GB" w:eastAsia="en-GB"/>
              </w:rPr>
              <w:t>&lt;0.001</w:t>
            </w:r>
          </w:p>
        </w:tc>
      </w:tr>
      <w:tr w:rsidR="00CD033D" w:rsidRPr="00C223AB" w14:paraId="57F64B7A" w14:textId="77777777" w:rsidTr="0038636A">
        <w:trPr>
          <w:trHeight w:val="300"/>
        </w:trPr>
        <w:tc>
          <w:tcPr>
            <w:tcW w:w="2869" w:type="dxa"/>
            <w:tcBorders>
              <w:top w:val="nil"/>
              <w:left w:val="single" w:sz="4" w:space="0" w:color="auto"/>
              <w:bottom w:val="single" w:sz="4" w:space="0" w:color="auto"/>
              <w:right w:val="single" w:sz="4" w:space="0" w:color="auto"/>
            </w:tcBorders>
            <w:shd w:val="clear" w:color="auto" w:fill="auto"/>
            <w:noWrap/>
            <w:vAlign w:val="bottom"/>
            <w:hideMark/>
          </w:tcPr>
          <w:p w14:paraId="030A0CA5" w14:textId="77777777" w:rsidR="00CD033D" w:rsidRPr="00C223AB" w:rsidRDefault="00CD033D" w:rsidP="00C223AB">
            <w:pPr>
              <w:rPr>
                <w:rFonts w:ascii="Arial" w:eastAsia="Times New Roman" w:hAnsi="Arial" w:cs="Arial"/>
                <w:color w:val="000000"/>
                <w:sz w:val="22"/>
                <w:szCs w:val="22"/>
                <w:lang w:val="en-GB" w:eastAsia="en-GB"/>
              </w:rPr>
            </w:pPr>
            <w:r w:rsidRPr="00C223AB">
              <w:rPr>
                <w:rFonts w:ascii="Arial" w:eastAsia="Times New Roman" w:hAnsi="Arial" w:cs="Arial"/>
                <w:color w:val="000000"/>
                <w:sz w:val="22"/>
                <w:szCs w:val="22"/>
                <w:lang w:val="en-GB" w:eastAsia="en-GB"/>
              </w:rPr>
              <w:t xml:space="preserve">        + Large LDL</w:t>
            </w:r>
          </w:p>
        </w:tc>
        <w:tc>
          <w:tcPr>
            <w:tcW w:w="1843" w:type="dxa"/>
            <w:tcBorders>
              <w:top w:val="nil"/>
              <w:left w:val="nil"/>
              <w:bottom w:val="single" w:sz="4" w:space="0" w:color="auto"/>
              <w:right w:val="single" w:sz="4" w:space="0" w:color="auto"/>
            </w:tcBorders>
            <w:shd w:val="clear" w:color="auto" w:fill="auto"/>
            <w:noWrap/>
            <w:vAlign w:val="bottom"/>
            <w:hideMark/>
          </w:tcPr>
          <w:p w14:paraId="3393C2D3" w14:textId="77777777" w:rsidR="00CD033D" w:rsidRPr="00C223AB" w:rsidRDefault="00CD033D" w:rsidP="00C223AB">
            <w:pPr>
              <w:rPr>
                <w:rFonts w:ascii="Arial" w:eastAsia="Times New Roman" w:hAnsi="Arial" w:cs="Arial"/>
                <w:color w:val="000000"/>
                <w:sz w:val="22"/>
                <w:szCs w:val="22"/>
                <w:lang w:val="en-GB" w:eastAsia="en-GB"/>
              </w:rPr>
            </w:pPr>
            <w:r w:rsidRPr="00C223AB">
              <w:rPr>
                <w:rFonts w:ascii="Arial" w:eastAsia="Times New Roman" w:hAnsi="Arial" w:cs="Arial"/>
                <w:color w:val="000000"/>
                <w:sz w:val="22"/>
                <w:szCs w:val="22"/>
                <w:lang w:val="en-GB" w:eastAsia="en-GB"/>
              </w:rPr>
              <w:t>1.88 (1.45-2.44)</w:t>
            </w:r>
          </w:p>
        </w:tc>
        <w:tc>
          <w:tcPr>
            <w:tcW w:w="1417" w:type="dxa"/>
            <w:tcBorders>
              <w:top w:val="nil"/>
              <w:left w:val="nil"/>
              <w:bottom w:val="single" w:sz="4" w:space="0" w:color="auto"/>
              <w:right w:val="single" w:sz="4" w:space="0" w:color="auto"/>
            </w:tcBorders>
            <w:shd w:val="clear" w:color="auto" w:fill="auto"/>
            <w:noWrap/>
            <w:vAlign w:val="bottom"/>
            <w:hideMark/>
          </w:tcPr>
          <w:p w14:paraId="46A5EAED" w14:textId="77777777" w:rsidR="00CD033D" w:rsidRPr="00C223AB" w:rsidRDefault="00CD033D" w:rsidP="00C223AB">
            <w:pPr>
              <w:jc w:val="right"/>
              <w:rPr>
                <w:rFonts w:ascii="Arial" w:eastAsia="Times New Roman" w:hAnsi="Arial" w:cs="Arial"/>
                <w:color w:val="000000"/>
                <w:sz w:val="22"/>
                <w:szCs w:val="22"/>
                <w:lang w:val="en-GB" w:eastAsia="en-GB"/>
              </w:rPr>
            </w:pPr>
            <w:r w:rsidRPr="00C223AB">
              <w:rPr>
                <w:rFonts w:ascii="Arial" w:eastAsia="Times New Roman" w:hAnsi="Arial" w:cs="Arial"/>
                <w:color w:val="000000"/>
                <w:sz w:val="22"/>
                <w:szCs w:val="22"/>
                <w:lang w:val="en-GB" w:eastAsia="en-GB"/>
              </w:rPr>
              <w:t>-</w:t>
            </w:r>
          </w:p>
        </w:tc>
        <w:tc>
          <w:tcPr>
            <w:tcW w:w="1134" w:type="dxa"/>
            <w:tcBorders>
              <w:top w:val="nil"/>
              <w:left w:val="nil"/>
              <w:bottom w:val="single" w:sz="4" w:space="0" w:color="auto"/>
              <w:right w:val="single" w:sz="4" w:space="0" w:color="auto"/>
            </w:tcBorders>
            <w:shd w:val="clear" w:color="auto" w:fill="auto"/>
            <w:noWrap/>
            <w:vAlign w:val="bottom"/>
            <w:hideMark/>
          </w:tcPr>
          <w:p w14:paraId="66326182" w14:textId="77777777" w:rsidR="00CD033D" w:rsidRPr="00C223AB" w:rsidRDefault="00CD033D" w:rsidP="00C223AB">
            <w:pPr>
              <w:rPr>
                <w:rFonts w:ascii="Arial" w:eastAsia="Times New Roman" w:hAnsi="Arial" w:cs="Arial"/>
                <w:color w:val="000000"/>
                <w:sz w:val="22"/>
                <w:szCs w:val="22"/>
                <w:lang w:val="en-GB" w:eastAsia="en-GB"/>
              </w:rPr>
            </w:pPr>
            <w:r w:rsidRPr="00C223AB">
              <w:rPr>
                <w:rFonts w:ascii="Arial" w:eastAsia="Times New Roman" w:hAnsi="Arial" w:cs="Arial"/>
                <w:color w:val="000000"/>
                <w:sz w:val="22"/>
                <w:szCs w:val="22"/>
                <w:lang w:val="en-GB" w:eastAsia="en-GB"/>
              </w:rPr>
              <w:t>ns</w:t>
            </w:r>
          </w:p>
        </w:tc>
        <w:tc>
          <w:tcPr>
            <w:tcW w:w="709" w:type="dxa"/>
            <w:tcBorders>
              <w:top w:val="nil"/>
              <w:left w:val="nil"/>
              <w:bottom w:val="nil"/>
              <w:right w:val="nil"/>
            </w:tcBorders>
            <w:shd w:val="clear" w:color="auto" w:fill="auto"/>
            <w:noWrap/>
            <w:vAlign w:val="bottom"/>
            <w:hideMark/>
          </w:tcPr>
          <w:p w14:paraId="140CC005" w14:textId="77777777" w:rsidR="00CD033D" w:rsidRPr="00C223AB" w:rsidRDefault="00CD033D" w:rsidP="00C223AB">
            <w:pPr>
              <w:jc w:val="right"/>
              <w:rPr>
                <w:rFonts w:ascii="Arial" w:eastAsia="Times New Roman" w:hAnsi="Arial" w:cs="Arial"/>
                <w:color w:val="000000"/>
                <w:sz w:val="22"/>
                <w:szCs w:val="22"/>
                <w:lang w:val="en-GB" w:eastAsia="en-GB"/>
              </w:rPr>
            </w:pPr>
          </w:p>
        </w:tc>
        <w:tc>
          <w:tcPr>
            <w:tcW w:w="1843" w:type="dxa"/>
            <w:tcBorders>
              <w:top w:val="nil"/>
              <w:left w:val="single" w:sz="4" w:space="0" w:color="auto"/>
              <w:bottom w:val="single" w:sz="4" w:space="0" w:color="auto"/>
              <w:right w:val="single" w:sz="4" w:space="0" w:color="auto"/>
            </w:tcBorders>
            <w:shd w:val="clear" w:color="auto" w:fill="auto"/>
            <w:noWrap/>
            <w:vAlign w:val="bottom"/>
            <w:hideMark/>
          </w:tcPr>
          <w:p w14:paraId="482F2F8C" w14:textId="77777777" w:rsidR="00CD033D" w:rsidRPr="00C223AB" w:rsidRDefault="00CD033D" w:rsidP="00C223AB">
            <w:pPr>
              <w:rPr>
                <w:rFonts w:ascii="Arial" w:eastAsia="Times New Roman" w:hAnsi="Arial" w:cs="Arial"/>
                <w:color w:val="000000"/>
                <w:sz w:val="22"/>
                <w:szCs w:val="22"/>
                <w:lang w:val="en-GB" w:eastAsia="en-GB"/>
              </w:rPr>
            </w:pPr>
            <w:r w:rsidRPr="00C223AB">
              <w:rPr>
                <w:rFonts w:ascii="Arial" w:eastAsia="Times New Roman" w:hAnsi="Arial" w:cs="Arial"/>
                <w:color w:val="000000"/>
                <w:sz w:val="22"/>
                <w:szCs w:val="22"/>
                <w:lang w:val="en-GB" w:eastAsia="en-GB"/>
              </w:rPr>
              <w:t>1.48 (1.12-1.96)</w:t>
            </w:r>
          </w:p>
        </w:tc>
        <w:tc>
          <w:tcPr>
            <w:tcW w:w="1417" w:type="dxa"/>
            <w:tcBorders>
              <w:top w:val="nil"/>
              <w:left w:val="nil"/>
              <w:bottom w:val="single" w:sz="4" w:space="0" w:color="auto"/>
              <w:right w:val="single" w:sz="4" w:space="0" w:color="auto"/>
            </w:tcBorders>
            <w:shd w:val="clear" w:color="auto" w:fill="auto"/>
            <w:noWrap/>
            <w:vAlign w:val="bottom"/>
            <w:hideMark/>
          </w:tcPr>
          <w:p w14:paraId="553FDC62" w14:textId="77777777" w:rsidR="00CD033D" w:rsidRPr="00C223AB" w:rsidRDefault="00CD033D" w:rsidP="00C223AB">
            <w:pPr>
              <w:jc w:val="right"/>
              <w:rPr>
                <w:rFonts w:ascii="Arial" w:eastAsia="Times New Roman" w:hAnsi="Arial" w:cs="Arial"/>
                <w:color w:val="000000"/>
                <w:sz w:val="22"/>
                <w:szCs w:val="22"/>
                <w:lang w:val="en-GB" w:eastAsia="en-GB"/>
              </w:rPr>
            </w:pPr>
            <w:r w:rsidRPr="00C223AB">
              <w:rPr>
                <w:rFonts w:ascii="Arial" w:eastAsia="Times New Roman" w:hAnsi="Arial" w:cs="Arial"/>
                <w:color w:val="000000"/>
                <w:sz w:val="22"/>
                <w:szCs w:val="22"/>
                <w:lang w:val="en-GB" w:eastAsia="en-GB"/>
              </w:rPr>
              <w:t>-</w:t>
            </w:r>
          </w:p>
        </w:tc>
        <w:tc>
          <w:tcPr>
            <w:tcW w:w="1134" w:type="dxa"/>
            <w:tcBorders>
              <w:top w:val="nil"/>
              <w:left w:val="nil"/>
              <w:bottom w:val="single" w:sz="4" w:space="0" w:color="auto"/>
              <w:right w:val="single" w:sz="4" w:space="0" w:color="auto"/>
            </w:tcBorders>
            <w:shd w:val="clear" w:color="auto" w:fill="auto"/>
            <w:noWrap/>
            <w:vAlign w:val="bottom"/>
            <w:hideMark/>
          </w:tcPr>
          <w:p w14:paraId="0DF6833B" w14:textId="77777777" w:rsidR="00CD033D" w:rsidRPr="00C223AB" w:rsidRDefault="00CD033D" w:rsidP="00C223AB">
            <w:pPr>
              <w:rPr>
                <w:rFonts w:ascii="Arial" w:eastAsia="Times New Roman" w:hAnsi="Arial" w:cs="Arial"/>
                <w:color w:val="000000"/>
                <w:sz w:val="22"/>
                <w:szCs w:val="22"/>
                <w:lang w:val="en-GB" w:eastAsia="en-GB"/>
              </w:rPr>
            </w:pPr>
            <w:r w:rsidRPr="00C223AB">
              <w:rPr>
                <w:rFonts w:ascii="Arial" w:eastAsia="Times New Roman" w:hAnsi="Arial" w:cs="Arial"/>
                <w:color w:val="000000"/>
                <w:sz w:val="22"/>
                <w:szCs w:val="22"/>
                <w:lang w:val="en-GB" w:eastAsia="en-GB"/>
              </w:rPr>
              <w:t>ns</w:t>
            </w:r>
          </w:p>
        </w:tc>
      </w:tr>
      <w:tr w:rsidR="00CD033D" w:rsidRPr="00C223AB" w14:paraId="22CBC9F2" w14:textId="77777777" w:rsidTr="0038636A">
        <w:trPr>
          <w:trHeight w:val="300"/>
        </w:trPr>
        <w:tc>
          <w:tcPr>
            <w:tcW w:w="2869" w:type="dxa"/>
            <w:tcBorders>
              <w:top w:val="nil"/>
              <w:left w:val="single" w:sz="4" w:space="0" w:color="auto"/>
              <w:bottom w:val="single" w:sz="4" w:space="0" w:color="auto"/>
              <w:right w:val="single" w:sz="4" w:space="0" w:color="auto"/>
            </w:tcBorders>
            <w:shd w:val="clear" w:color="auto" w:fill="auto"/>
            <w:noWrap/>
            <w:vAlign w:val="bottom"/>
            <w:hideMark/>
          </w:tcPr>
          <w:p w14:paraId="1EBA741E" w14:textId="77777777" w:rsidR="00CD033D" w:rsidRPr="00C223AB" w:rsidRDefault="00CD033D" w:rsidP="00C223AB">
            <w:pPr>
              <w:rPr>
                <w:rFonts w:ascii="Arial" w:eastAsia="Times New Roman" w:hAnsi="Arial" w:cs="Arial"/>
                <w:color w:val="000000"/>
                <w:sz w:val="22"/>
                <w:szCs w:val="22"/>
                <w:lang w:val="en-GB" w:eastAsia="en-GB"/>
              </w:rPr>
            </w:pPr>
            <w:r w:rsidRPr="00C223AB">
              <w:rPr>
                <w:rFonts w:ascii="Arial" w:eastAsia="Times New Roman" w:hAnsi="Arial" w:cs="Arial"/>
                <w:color w:val="000000"/>
                <w:sz w:val="22"/>
                <w:szCs w:val="22"/>
                <w:lang w:val="en-GB" w:eastAsia="en-GB"/>
              </w:rPr>
              <w:t xml:space="preserve">        + Small LDL</w:t>
            </w:r>
          </w:p>
        </w:tc>
        <w:tc>
          <w:tcPr>
            <w:tcW w:w="1843" w:type="dxa"/>
            <w:tcBorders>
              <w:top w:val="nil"/>
              <w:left w:val="nil"/>
              <w:bottom w:val="single" w:sz="4" w:space="0" w:color="auto"/>
              <w:right w:val="single" w:sz="4" w:space="0" w:color="auto"/>
            </w:tcBorders>
            <w:shd w:val="clear" w:color="auto" w:fill="auto"/>
            <w:noWrap/>
            <w:vAlign w:val="bottom"/>
            <w:hideMark/>
          </w:tcPr>
          <w:p w14:paraId="720572D8" w14:textId="77777777" w:rsidR="00CD033D" w:rsidRPr="00C223AB" w:rsidRDefault="00CD033D" w:rsidP="00C223AB">
            <w:pPr>
              <w:rPr>
                <w:rFonts w:ascii="Arial" w:eastAsia="Times New Roman" w:hAnsi="Arial" w:cs="Arial"/>
                <w:color w:val="000000"/>
                <w:sz w:val="22"/>
                <w:szCs w:val="22"/>
                <w:lang w:val="en-GB" w:eastAsia="en-GB"/>
              </w:rPr>
            </w:pPr>
            <w:r w:rsidRPr="00C223AB">
              <w:rPr>
                <w:rFonts w:ascii="Arial" w:eastAsia="Times New Roman" w:hAnsi="Arial" w:cs="Arial"/>
                <w:color w:val="000000"/>
                <w:sz w:val="22"/>
                <w:szCs w:val="22"/>
                <w:lang w:val="en-GB" w:eastAsia="en-GB"/>
              </w:rPr>
              <w:t>1.63 (1.25-2.14)</w:t>
            </w:r>
          </w:p>
        </w:tc>
        <w:tc>
          <w:tcPr>
            <w:tcW w:w="1417" w:type="dxa"/>
            <w:tcBorders>
              <w:top w:val="nil"/>
              <w:left w:val="nil"/>
              <w:bottom w:val="single" w:sz="4" w:space="0" w:color="auto"/>
              <w:right w:val="single" w:sz="4" w:space="0" w:color="auto"/>
            </w:tcBorders>
            <w:shd w:val="clear" w:color="auto" w:fill="auto"/>
            <w:noWrap/>
            <w:vAlign w:val="bottom"/>
            <w:hideMark/>
          </w:tcPr>
          <w:p w14:paraId="5613C167" w14:textId="77777777" w:rsidR="00CD033D" w:rsidRPr="00C223AB" w:rsidRDefault="00CD033D" w:rsidP="00C223AB">
            <w:pPr>
              <w:jc w:val="right"/>
              <w:rPr>
                <w:rFonts w:ascii="Arial" w:eastAsia="Times New Roman" w:hAnsi="Arial" w:cs="Arial"/>
                <w:color w:val="000000"/>
                <w:sz w:val="22"/>
                <w:szCs w:val="22"/>
                <w:lang w:val="en-GB" w:eastAsia="en-GB"/>
              </w:rPr>
            </w:pPr>
            <w:r w:rsidRPr="00C223AB">
              <w:rPr>
                <w:rFonts w:ascii="Arial" w:eastAsia="Times New Roman" w:hAnsi="Arial" w:cs="Arial"/>
                <w:color w:val="000000"/>
                <w:sz w:val="22"/>
                <w:szCs w:val="22"/>
                <w:lang w:val="en-GB" w:eastAsia="en-GB"/>
              </w:rPr>
              <w:t>24%</w:t>
            </w:r>
          </w:p>
        </w:tc>
        <w:tc>
          <w:tcPr>
            <w:tcW w:w="1134" w:type="dxa"/>
            <w:tcBorders>
              <w:top w:val="nil"/>
              <w:left w:val="nil"/>
              <w:bottom w:val="single" w:sz="4" w:space="0" w:color="auto"/>
              <w:right w:val="single" w:sz="4" w:space="0" w:color="auto"/>
            </w:tcBorders>
            <w:shd w:val="clear" w:color="auto" w:fill="auto"/>
            <w:noWrap/>
            <w:vAlign w:val="bottom"/>
            <w:hideMark/>
          </w:tcPr>
          <w:p w14:paraId="4EEF6CDA" w14:textId="77777777" w:rsidR="00CD033D" w:rsidRPr="00C223AB" w:rsidRDefault="00CD033D" w:rsidP="00C223AB">
            <w:pPr>
              <w:rPr>
                <w:rFonts w:ascii="Arial" w:eastAsia="Times New Roman" w:hAnsi="Arial" w:cs="Arial"/>
                <w:color w:val="000000"/>
                <w:sz w:val="22"/>
                <w:szCs w:val="22"/>
                <w:lang w:val="en-GB" w:eastAsia="en-GB"/>
              </w:rPr>
            </w:pPr>
            <w:r w:rsidRPr="00C223AB">
              <w:rPr>
                <w:rFonts w:ascii="Arial" w:eastAsia="Times New Roman" w:hAnsi="Arial" w:cs="Arial"/>
                <w:color w:val="000000"/>
                <w:sz w:val="22"/>
                <w:szCs w:val="22"/>
                <w:lang w:val="en-GB" w:eastAsia="en-GB"/>
              </w:rPr>
              <w:t>&lt;0.001</w:t>
            </w:r>
          </w:p>
        </w:tc>
        <w:tc>
          <w:tcPr>
            <w:tcW w:w="709" w:type="dxa"/>
            <w:tcBorders>
              <w:top w:val="nil"/>
              <w:left w:val="nil"/>
              <w:bottom w:val="nil"/>
              <w:right w:val="nil"/>
            </w:tcBorders>
            <w:shd w:val="clear" w:color="auto" w:fill="auto"/>
            <w:noWrap/>
            <w:vAlign w:val="bottom"/>
            <w:hideMark/>
          </w:tcPr>
          <w:p w14:paraId="0BBCF713" w14:textId="77777777" w:rsidR="00CD033D" w:rsidRPr="00C223AB" w:rsidRDefault="00CD033D" w:rsidP="00C223AB">
            <w:pPr>
              <w:rPr>
                <w:rFonts w:ascii="Arial" w:eastAsia="Times New Roman" w:hAnsi="Arial" w:cs="Arial"/>
                <w:color w:val="000000"/>
                <w:sz w:val="22"/>
                <w:szCs w:val="22"/>
                <w:lang w:val="en-GB" w:eastAsia="en-GB"/>
              </w:rPr>
            </w:pPr>
          </w:p>
        </w:tc>
        <w:tc>
          <w:tcPr>
            <w:tcW w:w="1843" w:type="dxa"/>
            <w:tcBorders>
              <w:top w:val="nil"/>
              <w:left w:val="single" w:sz="4" w:space="0" w:color="auto"/>
              <w:bottom w:val="single" w:sz="4" w:space="0" w:color="auto"/>
              <w:right w:val="single" w:sz="4" w:space="0" w:color="auto"/>
            </w:tcBorders>
            <w:shd w:val="clear" w:color="auto" w:fill="auto"/>
            <w:noWrap/>
            <w:vAlign w:val="bottom"/>
            <w:hideMark/>
          </w:tcPr>
          <w:p w14:paraId="6B5F5CBB" w14:textId="77777777" w:rsidR="00CD033D" w:rsidRPr="00C223AB" w:rsidRDefault="00CD033D" w:rsidP="00C223AB">
            <w:pPr>
              <w:rPr>
                <w:rFonts w:ascii="Arial" w:eastAsia="Times New Roman" w:hAnsi="Arial" w:cs="Arial"/>
                <w:color w:val="000000"/>
                <w:sz w:val="22"/>
                <w:szCs w:val="22"/>
                <w:lang w:val="en-GB" w:eastAsia="en-GB"/>
              </w:rPr>
            </w:pPr>
            <w:r w:rsidRPr="00C223AB">
              <w:rPr>
                <w:rFonts w:ascii="Arial" w:eastAsia="Times New Roman" w:hAnsi="Arial" w:cs="Arial"/>
                <w:color w:val="000000"/>
                <w:sz w:val="22"/>
                <w:szCs w:val="22"/>
                <w:lang w:val="en-GB" w:eastAsia="en-GB"/>
              </w:rPr>
              <w:t>1.33 (1.00-1.78)</w:t>
            </w:r>
          </w:p>
        </w:tc>
        <w:tc>
          <w:tcPr>
            <w:tcW w:w="1417" w:type="dxa"/>
            <w:tcBorders>
              <w:top w:val="nil"/>
              <w:left w:val="nil"/>
              <w:bottom w:val="single" w:sz="4" w:space="0" w:color="auto"/>
              <w:right w:val="single" w:sz="4" w:space="0" w:color="auto"/>
            </w:tcBorders>
            <w:shd w:val="clear" w:color="auto" w:fill="auto"/>
            <w:noWrap/>
            <w:vAlign w:val="bottom"/>
            <w:hideMark/>
          </w:tcPr>
          <w:p w14:paraId="4475610D" w14:textId="77777777" w:rsidR="00CD033D" w:rsidRPr="00C223AB" w:rsidRDefault="00CD033D" w:rsidP="00C223AB">
            <w:pPr>
              <w:jc w:val="right"/>
              <w:rPr>
                <w:rFonts w:ascii="Arial" w:eastAsia="Times New Roman" w:hAnsi="Arial" w:cs="Arial"/>
                <w:color w:val="000000"/>
                <w:sz w:val="22"/>
                <w:szCs w:val="22"/>
                <w:lang w:val="en-GB" w:eastAsia="en-GB"/>
              </w:rPr>
            </w:pPr>
            <w:r w:rsidRPr="00C223AB">
              <w:rPr>
                <w:rFonts w:ascii="Arial" w:eastAsia="Times New Roman" w:hAnsi="Arial" w:cs="Arial"/>
                <w:color w:val="000000"/>
                <w:sz w:val="22"/>
                <w:szCs w:val="22"/>
                <w:lang w:val="en-GB" w:eastAsia="en-GB"/>
              </w:rPr>
              <w:t>25%</w:t>
            </w:r>
          </w:p>
        </w:tc>
        <w:tc>
          <w:tcPr>
            <w:tcW w:w="1134" w:type="dxa"/>
            <w:tcBorders>
              <w:top w:val="nil"/>
              <w:left w:val="nil"/>
              <w:bottom w:val="single" w:sz="4" w:space="0" w:color="auto"/>
              <w:right w:val="single" w:sz="4" w:space="0" w:color="auto"/>
            </w:tcBorders>
            <w:shd w:val="clear" w:color="auto" w:fill="auto"/>
            <w:noWrap/>
            <w:vAlign w:val="bottom"/>
            <w:hideMark/>
          </w:tcPr>
          <w:p w14:paraId="661917F2" w14:textId="77777777" w:rsidR="00CD033D" w:rsidRPr="00C223AB" w:rsidRDefault="00CD033D" w:rsidP="00C223AB">
            <w:pPr>
              <w:rPr>
                <w:rFonts w:ascii="Arial" w:eastAsia="Times New Roman" w:hAnsi="Arial" w:cs="Arial"/>
                <w:color w:val="000000"/>
                <w:sz w:val="22"/>
                <w:szCs w:val="22"/>
                <w:lang w:val="en-GB" w:eastAsia="en-GB"/>
              </w:rPr>
            </w:pPr>
            <w:r w:rsidRPr="00C223AB">
              <w:rPr>
                <w:rFonts w:ascii="Arial" w:eastAsia="Times New Roman" w:hAnsi="Arial" w:cs="Arial"/>
                <w:color w:val="000000"/>
                <w:sz w:val="22"/>
                <w:szCs w:val="22"/>
                <w:lang w:val="en-GB" w:eastAsia="en-GB"/>
              </w:rPr>
              <w:t>&lt;0.01</w:t>
            </w:r>
          </w:p>
        </w:tc>
      </w:tr>
      <w:tr w:rsidR="00CD033D" w:rsidRPr="00C223AB" w14:paraId="0227171F" w14:textId="77777777" w:rsidTr="0038636A">
        <w:trPr>
          <w:trHeight w:val="300"/>
        </w:trPr>
        <w:tc>
          <w:tcPr>
            <w:tcW w:w="2869" w:type="dxa"/>
            <w:tcBorders>
              <w:top w:val="nil"/>
              <w:left w:val="single" w:sz="4" w:space="0" w:color="auto"/>
              <w:bottom w:val="single" w:sz="4" w:space="0" w:color="auto"/>
              <w:right w:val="single" w:sz="4" w:space="0" w:color="auto"/>
            </w:tcBorders>
            <w:shd w:val="clear" w:color="auto" w:fill="auto"/>
            <w:noWrap/>
            <w:vAlign w:val="bottom"/>
            <w:hideMark/>
          </w:tcPr>
          <w:p w14:paraId="7F0F126A" w14:textId="77777777" w:rsidR="00CD033D" w:rsidRPr="00C223AB" w:rsidRDefault="00CD033D" w:rsidP="00C223AB">
            <w:pPr>
              <w:rPr>
                <w:rFonts w:ascii="Arial" w:eastAsia="Times New Roman" w:hAnsi="Arial" w:cs="Arial"/>
                <w:color w:val="000000"/>
                <w:sz w:val="22"/>
                <w:szCs w:val="22"/>
                <w:lang w:val="en-GB" w:eastAsia="en-GB"/>
              </w:rPr>
            </w:pPr>
            <w:r w:rsidRPr="00C223AB">
              <w:rPr>
                <w:rFonts w:ascii="Arial" w:eastAsia="Times New Roman" w:hAnsi="Arial" w:cs="Arial"/>
                <w:color w:val="000000"/>
                <w:sz w:val="22"/>
                <w:szCs w:val="22"/>
                <w:lang w:val="en-GB" w:eastAsia="en-GB"/>
              </w:rPr>
              <w:t>+CRP</w:t>
            </w:r>
          </w:p>
        </w:tc>
        <w:tc>
          <w:tcPr>
            <w:tcW w:w="1843" w:type="dxa"/>
            <w:tcBorders>
              <w:top w:val="nil"/>
              <w:left w:val="nil"/>
              <w:bottom w:val="single" w:sz="4" w:space="0" w:color="auto"/>
              <w:right w:val="single" w:sz="4" w:space="0" w:color="auto"/>
            </w:tcBorders>
            <w:shd w:val="clear" w:color="auto" w:fill="auto"/>
            <w:noWrap/>
            <w:vAlign w:val="bottom"/>
            <w:hideMark/>
          </w:tcPr>
          <w:p w14:paraId="004273FB" w14:textId="77777777" w:rsidR="00CD033D" w:rsidRPr="00C223AB" w:rsidRDefault="00CD033D" w:rsidP="00C223AB">
            <w:pPr>
              <w:rPr>
                <w:rFonts w:ascii="Arial" w:eastAsia="Times New Roman" w:hAnsi="Arial" w:cs="Arial"/>
                <w:color w:val="000000"/>
                <w:sz w:val="22"/>
                <w:szCs w:val="22"/>
                <w:lang w:val="en-GB" w:eastAsia="en-GB"/>
              </w:rPr>
            </w:pPr>
            <w:r w:rsidRPr="00C223AB">
              <w:rPr>
                <w:rFonts w:ascii="Arial" w:eastAsia="Times New Roman" w:hAnsi="Arial" w:cs="Arial"/>
                <w:color w:val="000000"/>
                <w:sz w:val="22"/>
                <w:szCs w:val="22"/>
                <w:lang w:val="en-GB" w:eastAsia="en-GB"/>
              </w:rPr>
              <w:t>1.64 (1.26-2.14)</w:t>
            </w:r>
          </w:p>
        </w:tc>
        <w:tc>
          <w:tcPr>
            <w:tcW w:w="1417" w:type="dxa"/>
            <w:tcBorders>
              <w:top w:val="nil"/>
              <w:left w:val="nil"/>
              <w:bottom w:val="single" w:sz="4" w:space="0" w:color="auto"/>
              <w:right w:val="single" w:sz="4" w:space="0" w:color="auto"/>
            </w:tcBorders>
            <w:shd w:val="clear" w:color="auto" w:fill="auto"/>
            <w:noWrap/>
            <w:vAlign w:val="bottom"/>
            <w:hideMark/>
          </w:tcPr>
          <w:p w14:paraId="1068273F" w14:textId="77777777" w:rsidR="00CD033D" w:rsidRPr="00C223AB" w:rsidRDefault="00CD033D" w:rsidP="00C223AB">
            <w:pPr>
              <w:jc w:val="right"/>
              <w:rPr>
                <w:rFonts w:ascii="Arial" w:eastAsia="Times New Roman" w:hAnsi="Arial" w:cs="Arial"/>
                <w:color w:val="000000"/>
                <w:sz w:val="22"/>
                <w:szCs w:val="22"/>
                <w:lang w:val="en-GB" w:eastAsia="en-GB"/>
              </w:rPr>
            </w:pPr>
            <w:r w:rsidRPr="00C223AB">
              <w:rPr>
                <w:rFonts w:ascii="Arial" w:eastAsia="Times New Roman" w:hAnsi="Arial" w:cs="Arial"/>
                <w:color w:val="000000"/>
                <w:sz w:val="22"/>
                <w:szCs w:val="22"/>
                <w:lang w:val="en-GB" w:eastAsia="en-GB"/>
              </w:rPr>
              <w:t>23%</w:t>
            </w:r>
          </w:p>
        </w:tc>
        <w:tc>
          <w:tcPr>
            <w:tcW w:w="1134" w:type="dxa"/>
            <w:tcBorders>
              <w:top w:val="nil"/>
              <w:left w:val="nil"/>
              <w:bottom w:val="single" w:sz="4" w:space="0" w:color="auto"/>
              <w:right w:val="single" w:sz="4" w:space="0" w:color="auto"/>
            </w:tcBorders>
            <w:shd w:val="clear" w:color="auto" w:fill="auto"/>
            <w:noWrap/>
            <w:vAlign w:val="bottom"/>
            <w:hideMark/>
          </w:tcPr>
          <w:p w14:paraId="06B6652C" w14:textId="77777777" w:rsidR="00CD033D" w:rsidRPr="00C223AB" w:rsidRDefault="00CD033D" w:rsidP="00C223AB">
            <w:pPr>
              <w:rPr>
                <w:rFonts w:ascii="Arial" w:eastAsia="Times New Roman" w:hAnsi="Arial" w:cs="Arial"/>
                <w:color w:val="000000"/>
                <w:sz w:val="22"/>
                <w:szCs w:val="22"/>
                <w:lang w:val="en-GB" w:eastAsia="en-GB"/>
              </w:rPr>
            </w:pPr>
            <w:r w:rsidRPr="00C223AB">
              <w:rPr>
                <w:rFonts w:ascii="Arial" w:eastAsia="Times New Roman" w:hAnsi="Arial" w:cs="Arial"/>
                <w:color w:val="000000"/>
                <w:sz w:val="22"/>
                <w:szCs w:val="22"/>
                <w:lang w:val="en-GB" w:eastAsia="en-GB"/>
              </w:rPr>
              <w:t>&lt;0.001</w:t>
            </w:r>
          </w:p>
        </w:tc>
        <w:tc>
          <w:tcPr>
            <w:tcW w:w="709" w:type="dxa"/>
            <w:tcBorders>
              <w:top w:val="nil"/>
              <w:left w:val="nil"/>
              <w:bottom w:val="nil"/>
              <w:right w:val="nil"/>
            </w:tcBorders>
            <w:shd w:val="clear" w:color="auto" w:fill="auto"/>
            <w:noWrap/>
            <w:vAlign w:val="bottom"/>
            <w:hideMark/>
          </w:tcPr>
          <w:p w14:paraId="17251348" w14:textId="77777777" w:rsidR="00CD033D" w:rsidRPr="00C223AB" w:rsidRDefault="00CD033D" w:rsidP="00C223AB">
            <w:pPr>
              <w:rPr>
                <w:rFonts w:ascii="Arial" w:eastAsia="Times New Roman" w:hAnsi="Arial" w:cs="Arial"/>
                <w:color w:val="000000"/>
                <w:sz w:val="22"/>
                <w:szCs w:val="22"/>
                <w:lang w:val="en-GB" w:eastAsia="en-GB"/>
              </w:rPr>
            </w:pPr>
          </w:p>
        </w:tc>
        <w:tc>
          <w:tcPr>
            <w:tcW w:w="1843" w:type="dxa"/>
            <w:tcBorders>
              <w:top w:val="nil"/>
              <w:left w:val="single" w:sz="4" w:space="0" w:color="auto"/>
              <w:bottom w:val="single" w:sz="4" w:space="0" w:color="auto"/>
              <w:right w:val="single" w:sz="4" w:space="0" w:color="auto"/>
            </w:tcBorders>
            <w:shd w:val="clear" w:color="auto" w:fill="auto"/>
            <w:noWrap/>
            <w:vAlign w:val="bottom"/>
            <w:hideMark/>
          </w:tcPr>
          <w:p w14:paraId="04616BFB" w14:textId="77777777" w:rsidR="00CD033D" w:rsidRPr="00C223AB" w:rsidRDefault="00CD033D" w:rsidP="00C223AB">
            <w:pPr>
              <w:rPr>
                <w:rFonts w:ascii="Arial" w:eastAsia="Times New Roman" w:hAnsi="Arial" w:cs="Arial"/>
                <w:color w:val="000000"/>
                <w:sz w:val="22"/>
                <w:szCs w:val="22"/>
                <w:lang w:val="en-GB" w:eastAsia="en-GB"/>
              </w:rPr>
            </w:pPr>
            <w:r w:rsidRPr="00C223AB">
              <w:rPr>
                <w:rFonts w:ascii="Arial" w:eastAsia="Times New Roman" w:hAnsi="Arial" w:cs="Arial"/>
                <w:color w:val="000000"/>
                <w:sz w:val="22"/>
                <w:szCs w:val="22"/>
                <w:lang w:val="en-GB" w:eastAsia="en-GB"/>
              </w:rPr>
              <w:t>1.38 (1.04-1.83)</w:t>
            </w:r>
          </w:p>
        </w:tc>
        <w:tc>
          <w:tcPr>
            <w:tcW w:w="1417" w:type="dxa"/>
            <w:tcBorders>
              <w:top w:val="nil"/>
              <w:left w:val="nil"/>
              <w:bottom w:val="single" w:sz="4" w:space="0" w:color="auto"/>
              <w:right w:val="single" w:sz="4" w:space="0" w:color="auto"/>
            </w:tcBorders>
            <w:shd w:val="clear" w:color="auto" w:fill="auto"/>
            <w:noWrap/>
            <w:vAlign w:val="bottom"/>
            <w:hideMark/>
          </w:tcPr>
          <w:p w14:paraId="28781FDA" w14:textId="77777777" w:rsidR="00CD033D" w:rsidRPr="00C223AB" w:rsidRDefault="00CD033D" w:rsidP="00C223AB">
            <w:pPr>
              <w:jc w:val="right"/>
              <w:rPr>
                <w:rFonts w:ascii="Arial" w:eastAsia="Times New Roman" w:hAnsi="Arial" w:cs="Arial"/>
                <w:color w:val="000000"/>
                <w:sz w:val="22"/>
                <w:szCs w:val="22"/>
                <w:lang w:val="en-GB" w:eastAsia="en-GB"/>
              </w:rPr>
            </w:pPr>
            <w:r w:rsidRPr="00C223AB">
              <w:rPr>
                <w:rFonts w:ascii="Arial" w:eastAsia="Times New Roman" w:hAnsi="Arial" w:cs="Arial"/>
                <w:color w:val="000000"/>
                <w:sz w:val="22"/>
                <w:szCs w:val="22"/>
                <w:lang w:val="en-GB" w:eastAsia="en-GB"/>
              </w:rPr>
              <w:t>16%</w:t>
            </w:r>
          </w:p>
        </w:tc>
        <w:tc>
          <w:tcPr>
            <w:tcW w:w="1134" w:type="dxa"/>
            <w:tcBorders>
              <w:top w:val="nil"/>
              <w:left w:val="nil"/>
              <w:bottom w:val="single" w:sz="4" w:space="0" w:color="auto"/>
              <w:right w:val="single" w:sz="4" w:space="0" w:color="auto"/>
            </w:tcBorders>
            <w:shd w:val="clear" w:color="auto" w:fill="auto"/>
            <w:noWrap/>
            <w:vAlign w:val="bottom"/>
            <w:hideMark/>
          </w:tcPr>
          <w:p w14:paraId="236AB35B" w14:textId="77777777" w:rsidR="00CD033D" w:rsidRPr="00C223AB" w:rsidRDefault="00CD033D" w:rsidP="00C223AB">
            <w:pPr>
              <w:rPr>
                <w:rFonts w:ascii="Arial" w:eastAsia="Times New Roman" w:hAnsi="Arial" w:cs="Arial"/>
                <w:color w:val="000000"/>
                <w:sz w:val="22"/>
                <w:szCs w:val="22"/>
                <w:lang w:val="en-GB" w:eastAsia="en-GB"/>
              </w:rPr>
            </w:pPr>
            <w:r w:rsidRPr="00C223AB">
              <w:rPr>
                <w:rFonts w:ascii="Arial" w:eastAsia="Times New Roman" w:hAnsi="Arial" w:cs="Arial"/>
                <w:color w:val="000000"/>
                <w:sz w:val="22"/>
                <w:szCs w:val="22"/>
                <w:lang w:val="en-GB" w:eastAsia="en-GB"/>
              </w:rPr>
              <w:t>&lt;0.001</w:t>
            </w:r>
          </w:p>
        </w:tc>
      </w:tr>
      <w:tr w:rsidR="00CD033D" w:rsidRPr="00C223AB" w14:paraId="67FC1D09" w14:textId="77777777" w:rsidTr="0038636A">
        <w:trPr>
          <w:trHeight w:val="300"/>
        </w:trPr>
        <w:tc>
          <w:tcPr>
            <w:tcW w:w="2869" w:type="dxa"/>
            <w:tcBorders>
              <w:top w:val="nil"/>
              <w:left w:val="single" w:sz="4" w:space="0" w:color="auto"/>
              <w:bottom w:val="single" w:sz="4" w:space="0" w:color="auto"/>
              <w:right w:val="single" w:sz="4" w:space="0" w:color="auto"/>
            </w:tcBorders>
            <w:shd w:val="clear" w:color="auto" w:fill="auto"/>
            <w:noWrap/>
            <w:vAlign w:val="bottom"/>
            <w:hideMark/>
          </w:tcPr>
          <w:p w14:paraId="30AEB3D0" w14:textId="77777777" w:rsidR="00CD033D" w:rsidRPr="00C223AB" w:rsidRDefault="00CD033D" w:rsidP="00C223AB">
            <w:pPr>
              <w:rPr>
                <w:rFonts w:ascii="Arial" w:eastAsia="Times New Roman" w:hAnsi="Arial" w:cs="Arial"/>
                <w:color w:val="000000"/>
                <w:sz w:val="22"/>
                <w:szCs w:val="22"/>
                <w:lang w:val="en-GB" w:eastAsia="en-GB"/>
              </w:rPr>
            </w:pPr>
            <w:r w:rsidRPr="00C223AB">
              <w:rPr>
                <w:rFonts w:ascii="Arial" w:eastAsia="Times New Roman" w:hAnsi="Arial" w:cs="Arial"/>
                <w:color w:val="000000"/>
                <w:sz w:val="22"/>
                <w:szCs w:val="22"/>
                <w:lang w:val="en-GB" w:eastAsia="en-GB"/>
              </w:rPr>
              <w:t>+LDL-C</w:t>
            </w:r>
          </w:p>
        </w:tc>
        <w:tc>
          <w:tcPr>
            <w:tcW w:w="1843" w:type="dxa"/>
            <w:tcBorders>
              <w:top w:val="nil"/>
              <w:left w:val="nil"/>
              <w:bottom w:val="single" w:sz="4" w:space="0" w:color="auto"/>
              <w:right w:val="single" w:sz="4" w:space="0" w:color="auto"/>
            </w:tcBorders>
            <w:shd w:val="clear" w:color="auto" w:fill="auto"/>
            <w:noWrap/>
            <w:vAlign w:val="bottom"/>
            <w:hideMark/>
          </w:tcPr>
          <w:p w14:paraId="39350B35" w14:textId="77777777" w:rsidR="00CD033D" w:rsidRPr="00C223AB" w:rsidRDefault="00CD033D" w:rsidP="00C223AB">
            <w:pPr>
              <w:rPr>
                <w:rFonts w:ascii="Arial" w:eastAsia="Times New Roman" w:hAnsi="Arial" w:cs="Arial"/>
                <w:color w:val="000000"/>
                <w:sz w:val="22"/>
                <w:szCs w:val="22"/>
                <w:lang w:val="en-GB" w:eastAsia="en-GB"/>
              </w:rPr>
            </w:pPr>
            <w:r w:rsidRPr="00C223AB">
              <w:rPr>
                <w:rFonts w:ascii="Arial" w:eastAsia="Times New Roman" w:hAnsi="Arial" w:cs="Arial"/>
                <w:color w:val="000000"/>
                <w:sz w:val="22"/>
                <w:szCs w:val="22"/>
                <w:lang w:val="en-GB" w:eastAsia="en-GB"/>
              </w:rPr>
              <w:t>1.71 (1.30-2.24)</w:t>
            </w:r>
          </w:p>
        </w:tc>
        <w:tc>
          <w:tcPr>
            <w:tcW w:w="1417" w:type="dxa"/>
            <w:tcBorders>
              <w:top w:val="nil"/>
              <w:left w:val="nil"/>
              <w:bottom w:val="single" w:sz="4" w:space="0" w:color="auto"/>
              <w:right w:val="single" w:sz="4" w:space="0" w:color="auto"/>
            </w:tcBorders>
            <w:shd w:val="clear" w:color="auto" w:fill="auto"/>
            <w:noWrap/>
            <w:vAlign w:val="bottom"/>
            <w:hideMark/>
          </w:tcPr>
          <w:p w14:paraId="42FBB62A" w14:textId="77777777" w:rsidR="00CD033D" w:rsidRPr="00C223AB" w:rsidRDefault="00CD033D" w:rsidP="00C223AB">
            <w:pPr>
              <w:jc w:val="right"/>
              <w:rPr>
                <w:rFonts w:ascii="Arial" w:eastAsia="Times New Roman" w:hAnsi="Arial" w:cs="Arial"/>
                <w:color w:val="000000"/>
                <w:sz w:val="22"/>
                <w:szCs w:val="22"/>
                <w:lang w:val="en-GB" w:eastAsia="en-GB"/>
              </w:rPr>
            </w:pPr>
            <w:r w:rsidRPr="00C223AB">
              <w:rPr>
                <w:rFonts w:ascii="Arial" w:eastAsia="Times New Roman" w:hAnsi="Arial" w:cs="Arial"/>
                <w:color w:val="000000"/>
                <w:sz w:val="22"/>
                <w:szCs w:val="22"/>
                <w:lang w:val="en-GB" w:eastAsia="en-GB"/>
              </w:rPr>
              <w:t>18%</w:t>
            </w:r>
          </w:p>
        </w:tc>
        <w:tc>
          <w:tcPr>
            <w:tcW w:w="1134" w:type="dxa"/>
            <w:tcBorders>
              <w:top w:val="nil"/>
              <w:left w:val="nil"/>
              <w:bottom w:val="single" w:sz="4" w:space="0" w:color="auto"/>
              <w:right w:val="single" w:sz="4" w:space="0" w:color="auto"/>
            </w:tcBorders>
            <w:shd w:val="clear" w:color="auto" w:fill="auto"/>
            <w:noWrap/>
            <w:vAlign w:val="bottom"/>
            <w:hideMark/>
          </w:tcPr>
          <w:p w14:paraId="4D882ECA" w14:textId="77777777" w:rsidR="00CD033D" w:rsidRPr="00C223AB" w:rsidRDefault="00CD033D" w:rsidP="00C223AB">
            <w:pPr>
              <w:rPr>
                <w:rFonts w:ascii="Arial" w:eastAsia="Times New Roman" w:hAnsi="Arial" w:cs="Arial"/>
                <w:color w:val="000000"/>
                <w:sz w:val="22"/>
                <w:szCs w:val="22"/>
                <w:lang w:val="en-GB" w:eastAsia="en-GB"/>
              </w:rPr>
            </w:pPr>
            <w:r w:rsidRPr="00C223AB">
              <w:rPr>
                <w:rFonts w:ascii="Arial" w:eastAsia="Times New Roman" w:hAnsi="Arial" w:cs="Arial"/>
                <w:color w:val="000000"/>
                <w:sz w:val="22"/>
                <w:szCs w:val="22"/>
                <w:lang w:val="en-GB" w:eastAsia="en-GB"/>
              </w:rPr>
              <w:t>&lt;0.001</w:t>
            </w:r>
          </w:p>
        </w:tc>
        <w:tc>
          <w:tcPr>
            <w:tcW w:w="709" w:type="dxa"/>
            <w:tcBorders>
              <w:top w:val="nil"/>
              <w:left w:val="nil"/>
              <w:bottom w:val="nil"/>
              <w:right w:val="nil"/>
            </w:tcBorders>
            <w:shd w:val="clear" w:color="auto" w:fill="auto"/>
            <w:noWrap/>
            <w:vAlign w:val="bottom"/>
            <w:hideMark/>
          </w:tcPr>
          <w:p w14:paraId="1F779823" w14:textId="77777777" w:rsidR="00CD033D" w:rsidRPr="00C223AB" w:rsidRDefault="00CD033D" w:rsidP="00C223AB">
            <w:pPr>
              <w:rPr>
                <w:rFonts w:ascii="Arial" w:eastAsia="Times New Roman" w:hAnsi="Arial" w:cs="Arial"/>
                <w:color w:val="000000"/>
                <w:sz w:val="22"/>
                <w:szCs w:val="22"/>
                <w:lang w:val="en-GB" w:eastAsia="en-GB"/>
              </w:rPr>
            </w:pPr>
          </w:p>
        </w:tc>
        <w:tc>
          <w:tcPr>
            <w:tcW w:w="1843" w:type="dxa"/>
            <w:tcBorders>
              <w:top w:val="nil"/>
              <w:left w:val="single" w:sz="4" w:space="0" w:color="auto"/>
              <w:bottom w:val="single" w:sz="4" w:space="0" w:color="auto"/>
              <w:right w:val="single" w:sz="4" w:space="0" w:color="auto"/>
            </w:tcBorders>
            <w:shd w:val="clear" w:color="auto" w:fill="auto"/>
            <w:noWrap/>
            <w:vAlign w:val="bottom"/>
            <w:hideMark/>
          </w:tcPr>
          <w:p w14:paraId="4A142C4A" w14:textId="77777777" w:rsidR="00CD033D" w:rsidRPr="00C223AB" w:rsidRDefault="00CD033D" w:rsidP="00C223AB">
            <w:pPr>
              <w:rPr>
                <w:rFonts w:ascii="Arial" w:eastAsia="Times New Roman" w:hAnsi="Arial" w:cs="Arial"/>
                <w:color w:val="000000"/>
                <w:sz w:val="22"/>
                <w:szCs w:val="22"/>
                <w:lang w:val="en-GB" w:eastAsia="en-GB"/>
              </w:rPr>
            </w:pPr>
            <w:r w:rsidRPr="00C223AB">
              <w:rPr>
                <w:rFonts w:ascii="Arial" w:eastAsia="Times New Roman" w:hAnsi="Arial" w:cs="Arial"/>
                <w:color w:val="000000"/>
                <w:sz w:val="22"/>
                <w:szCs w:val="22"/>
                <w:lang w:val="en-GB" w:eastAsia="en-GB"/>
              </w:rPr>
              <w:t>1.35 (1.00-1.81)</w:t>
            </w:r>
          </w:p>
        </w:tc>
        <w:tc>
          <w:tcPr>
            <w:tcW w:w="1417" w:type="dxa"/>
            <w:tcBorders>
              <w:top w:val="nil"/>
              <w:left w:val="nil"/>
              <w:bottom w:val="single" w:sz="4" w:space="0" w:color="auto"/>
              <w:right w:val="single" w:sz="4" w:space="0" w:color="auto"/>
            </w:tcBorders>
            <w:shd w:val="clear" w:color="auto" w:fill="auto"/>
            <w:noWrap/>
            <w:vAlign w:val="bottom"/>
            <w:hideMark/>
          </w:tcPr>
          <w:p w14:paraId="02F3E7DB" w14:textId="77777777" w:rsidR="00CD033D" w:rsidRPr="00C223AB" w:rsidRDefault="00CD033D" w:rsidP="00C223AB">
            <w:pPr>
              <w:jc w:val="right"/>
              <w:rPr>
                <w:rFonts w:ascii="Arial" w:eastAsia="Times New Roman" w:hAnsi="Arial" w:cs="Arial"/>
                <w:color w:val="000000"/>
                <w:sz w:val="22"/>
                <w:szCs w:val="22"/>
                <w:lang w:val="en-GB" w:eastAsia="en-GB"/>
              </w:rPr>
            </w:pPr>
            <w:r w:rsidRPr="00C223AB">
              <w:rPr>
                <w:rFonts w:ascii="Arial" w:eastAsia="Times New Roman" w:hAnsi="Arial" w:cs="Arial"/>
                <w:color w:val="000000"/>
                <w:sz w:val="22"/>
                <w:szCs w:val="22"/>
                <w:lang w:val="en-GB" w:eastAsia="en-GB"/>
              </w:rPr>
              <w:t>23%</w:t>
            </w:r>
          </w:p>
        </w:tc>
        <w:tc>
          <w:tcPr>
            <w:tcW w:w="1134" w:type="dxa"/>
            <w:tcBorders>
              <w:top w:val="nil"/>
              <w:left w:val="nil"/>
              <w:bottom w:val="single" w:sz="4" w:space="0" w:color="auto"/>
              <w:right w:val="single" w:sz="4" w:space="0" w:color="auto"/>
            </w:tcBorders>
            <w:shd w:val="clear" w:color="auto" w:fill="auto"/>
            <w:noWrap/>
            <w:vAlign w:val="bottom"/>
            <w:hideMark/>
          </w:tcPr>
          <w:p w14:paraId="62126F49" w14:textId="77777777" w:rsidR="00CD033D" w:rsidRPr="00C223AB" w:rsidRDefault="00CD033D" w:rsidP="00C223AB">
            <w:pPr>
              <w:rPr>
                <w:rFonts w:ascii="Arial" w:eastAsia="Times New Roman" w:hAnsi="Arial" w:cs="Arial"/>
                <w:color w:val="000000"/>
                <w:sz w:val="22"/>
                <w:szCs w:val="22"/>
                <w:lang w:val="en-GB" w:eastAsia="en-GB"/>
              </w:rPr>
            </w:pPr>
            <w:r w:rsidRPr="00C223AB">
              <w:rPr>
                <w:rFonts w:ascii="Arial" w:eastAsia="Times New Roman" w:hAnsi="Arial" w:cs="Arial"/>
                <w:color w:val="000000"/>
                <w:sz w:val="22"/>
                <w:szCs w:val="22"/>
                <w:lang w:val="en-GB" w:eastAsia="en-GB"/>
              </w:rPr>
              <w:t>&lt;0.001</w:t>
            </w:r>
          </w:p>
        </w:tc>
      </w:tr>
      <w:tr w:rsidR="00CD033D" w:rsidRPr="00C223AB" w14:paraId="6A53BB8C" w14:textId="77777777" w:rsidTr="0038636A">
        <w:trPr>
          <w:trHeight w:val="300"/>
        </w:trPr>
        <w:tc>
          <w:tcPr>
            <w:tcW w:w="2869" w:type="dxa"/>
            <w:tcBorders>
              <w:top w:val="nil"/>
              <w:left w:val="single" w:sz="4" w:space="0" w:color="auto"/>
              <w:bottom w:val="single" w:sz="4" w:space="0" w:color="auto"/>
              <w:right w:val="single" w:sz="4" w:space="0" w:color="auto"/>
            </w:tcBorders>
            <w:shd w:val="clear" w:color="auto" w:fill="auto"/>
            <w:noWrap/>
            <w:vAlign w:val="bottom"/>
            <w:hideMark/>
          </w:tcPr>
          <w:p w14:paraId="4DF2CA32" w14:textId="77777777" w:rsidR="00CD033D" w:rsidRPr="00C223AB" w:rsidRDefault="00CD033D" w:rsidP="00C223AB">
            <w:pPr>
              <w:rPr>
                <w:rFonts w:ascii="Arial" w:eastAsia="Times New Roman" w:hAnsi="Arial" w:cs="Arial"/>
                <w:color w:val="000000"/>
                <w:sz w:val="22"/>
                <w:szCs w:val="22"/>
                <w:lang w:val="en-GB" w:eastAsia="en-GB"/>
              </w:rPr>
            </w:pPr>
            <w:r w:rsidRPr="00C223AB">
              <w:rPr>
                <w:rFonts w:ascii="Arial" w:eastAsia="Times New Roman" w:hAnsi="Arial" w:cs="Arial"/>
                <w:color w:val="000000"/>
                <w:sz w:val="22"/>
                <w:szCs w:val="22"/>
                <w:lang w:val="en-GB" w:eastAsia="en-GB"/>
              </w:rPr>
              <w:t>+HDL-C</w:t>
            </w:r>
          </w:p>
        </w:tc>
        <w:tc>
          <w:tcPr>
            <w:tcW w:w="1843" w:type="dxa"/>
            <w:tcBorders>
              <w:top w:val="nil"/>
              <w:left w:val="nil"/>
              <w:bottom w:val="single" w:sz="4" w:space="0" w:color="auto"/>
              <w:right w:val="single" w:sz="4" w:space="0" w:color="auto"/>
            </w:tcBorders>
            <w:shd w:val="clear" w:color="auto" w:fill="auto"/>
            <w:noWrap/>
            <w:vAlign w:val="bottom"/>
            <w:hideMark/>
          </w:tcPr>
          <w:p w14:paraId="7643B787" w14:textId="77777777" w:rsidR="00CD033D" w:rsidRPr="00C223AB" w:rsidRDefault="00CD033D" w:rsidP="00C223AB">
            <w:pPr>
              <w:rPr>
                <w:rFonts w:ascii="Arial" w:eastAsia="Times New Roman" w:hAnsi="Arial" w:cs="Arial"/>
                <w:color w:val="000000"/>
                <w:sz w:val="22"/>
                <w:szCs w:val="22"/>
                <w:lang w:val="en-GB" w:eastAsia="en-GB"/>
              </w:rPr>
            </w:pPr>
            <w:r w:rsidRPr="00C223AB">
              <w:rPr>
                <w:rFonts w:ascii="Arial" w:eastAsia="Times New Roman" w:hAnsi="Arial" w:cs="Arial"/>
                <w:color w:val="000000"/>
                <w:sz w:val="22"/>
                <w:szCs w:val="22"/>
                <w:lang w:val="en-GB" w:eastAsia="en-GB"/>
              </w:rPr>
              <w:t>1.72 (1.31-2.26)</w:t>
            </w:r>
          </w:p>
        </w:tc>
        <w:tc>
          <w:tcPr>
            <w:tcW w:w="1417" w:type="dxa"/>
            <w:tcBorders>
              <w:top w:val="nil"/>
              <w:left w:val="nil"/>
              <w:bottom w:val="single" w:sz="4" w:space="0" w:color="auto"/>
              <w:right w:val="single" w:sz="4" w:space="0" w:color="auto"/>
            </w:tcBorders>
            <w:shd w:val="clear" w:color="auto" w:fill="auto"/>
            <w:noWrap/>
            <w:vAlign w:val="bottom"/>
            <w:hideMark/>
          </w:tcPr>
          <w:p w14:paraId="1EE4AE4E" w14:textId="77777777" w:rsidR="00CD033D" w:rsidRPr="00C223AB" w:rsidRDefault="00CD033D" w:rsidP="00C223AB">
            <w:pPr>
              <w:jc w:val="right"/>
              <w:rPr>
                <w:rFonts w:ascii="Arial" w:eastAsia="Times New Roman" w:hAnsi="Arial" w:cs="Arial"/>
                <w:color w:val="000000"/>
                <w:sz w:val="22"/>
                <w:szCs w:val="22"/>
                <w:lang w:val="en-GB" w:eastAsia="en-GB"/>
              </w:rPr>
            </w:pPr>
            <w:r w:rsidRPr="00C223AB">
              <w:rPr>
                <w:rFonts w:ascii="Arial" w:eastAsia="Times New Roman" w:hAnsi="Arial" w:cs="Arial"/>
                <w:color w:val="000000"/>
                <w:sz w:val="22"/>
                <w:szCs w:val="22"/>
                <w:lang w:val="en-GB" w:eastAsia="en-GB"/>
              </w:rPr>
              <w:t>17%</w:t>
            </w:r>
          </w:p>
        </w:tc>
        <w:tc>
          <w:tcPr>
            <w:tcW w:w="1134" w:type="dxa"/>
            <w:tcBorders>
              <w:top w:val="nil"/>
              <w:left w:val="nil"/>
              <w:bottom w:val="single" w:sz="4" w:space="0" w:color="auto"/>
              <w:right w:val="single" w:sz="4" w:space="0" w:color="auto"/>
            </w:tcBorders>
            <w:shd w:val="clear" w:color="auto" w:fill="auto"/>
            <w:noWrap/>
            <w:vAlign w:val="bottom"/>
            <w:hideMark/>
          </w:tcPr>
          <w:p w14:paraId="45FFAE58" w14:textId="77777777" w:rsidR="00CD033D" w:rsidRPr="00C223AB" w:rsidRDefault="00CD033D" w:rsidP="00C223AB">
            <w:pPr>
              <w:rPr>
                <w:rFonts w:ascii="Arial" w:eastAsia="Times New Roman" w:hAnsi="Arial" w:cs="Arial"/>
                <w:color w:val="000000"/>
                <w:sz w:val="22"/>
                <w:szCs w:val="22"/>
                <w:lang w:val="en-GB" w:eastAsia="en-GB"/>
              </w:rPr>
            </w:pPr>
            <w:r w:rsidRPr="00C223AB">
              <w:rPr>
                <w:rFonts w:ascii="Arial" w:eastAsia="Times New Roman" w:hAnsi="Arial" w:cs="Arial"/>
                <w:color w:val="000000"/>
                <w:sz w:val="22"/>
                <w:szCs w:val="22"/>
                <w:lang w:val="en-GB" w:eastAsia="en-GB"/>
              </w:rPr>
              <w:t>&lt;0.001</w:t>
            </w:r>
          </w:p>
        </w:tc>
        <w:tc>
          <w:tcPr>
            <w:tcW w:w="709" w:type="dxa"/>
            <w:tcBorders>
              <w:top w:val="nil"/>
              <w:left w:val="nil"/>
              <w:bottom w:val="nil"/>
              <w:right w:val="nil"/>
            </w:tcBorders>
            <w:shd w:val="clear" w:color="auto" w:fill="auto"/>
            <w:noWrap/>
            <w:vAlign w:val="bottom"/>
            <w:hideMark/>
          </w:tcPr>
          <w:p w14:paraId="59A0373A" w14:textId="77777777" w:rsidR="00CD033D" w:rsidRPr="00C223AB" w:rsidRDefault="00CD033D" w:rsidP="00C223AB">
            <w:pPr>
              <w:rPr>
                <w:rFonts w:ascii="Arial" w:eastAsia="Times New Roman" w:hAnsi="Arial" w:cs="Arial"/>
                <w:color w:val="000000"/>
                <w:sz w:val="22"/>
                <w:szCs w:val="22"/>
                <w:lang w:val="en-GB" w:eastAsia="en-GB"/>
              </w:rPr>
            </w:pPr>
          </w:p>
        </w:tc>
        <w:tc>
          <w:tcPr>
            <w:tcW w:w="1843" w:type="dxa"/>
            <w:tcBorders>
              <w:top w:val="nil"/>
              <w:left w:val="single" w:sz="4" w:space="0" w:color="auto"/>
              <w:bottom w:val="single" w:sz="4" w:space="0" w:color="auto"/>
              <w:right w:val="single" w:sz="4" w:space="0" w:color="auto"/>
            </w:tcBorders>
            <w:shd w:val="clear" w:color="auto" w:fill="auto"/>
            <w:noWrap/>
            <w:vAlign w:val="bottom"/>
            <w:hideMark/>
          </w:tcPr>
          <w:p w14:paraId="7273944B" w14:textId="77777777" w:rsidR="00CD033D" w:rsidRPr="00C223AB" w:rsidRDefault="00CD033D" w:rsidP="00C223AB">
            <w:pPr>
              <w:rPr>
                <w:rFonts w:ascii="Arial" w:eastAsia="Times New Roman" w:hAnsi="Arial" w:cs="Arial"/>
                <w:color w:val="000000"/>
                <w:sz w:val="22"/>
                <w:szCs w:val="22"/>
                <w:lang w:val="en-GB" w:eastAsia="en-GB"/>
              </w:rPr>
            </w:pPr>
            <w:r w:rsidRPr="00C223AB">
              <w:rPr>
                <w:rFonts w:ascii="Arial" w:eastAsia="Times New Roman" w:hAnsi="Arial" w:cs="Arial"/>
                <w:color w:val="000000"/>
                <w:sz w:val="22"/>
                <w:szCs w:val="22"/>
                <w:lang w:val="en-GB" w:eastAsia="en-GB"/>
              </w:rPr>
              <w:t>1.41 (1.05-1.88)</w:t>
            </w:r>
          </w:p>
        </w:tc>
        <w:tc>
          <w:tcPr>
            <w:tcW w:w="1417" w:type="dxa"/>
            <w:tcBorders>
              <w:top w:val="nil"/>
              <w:left w:val="nil"/>
              <w:bottom w:val="single" w:sz="4" w:space="0" w:color="auto"/>
              <w:right w:val="single" w:sz="4" w:space="0" w:color="auto"/>
            </w:tcBorders>
            <w:shd w:val="clear" w:color="auto" w:fill="auto"/>
            <w:noWrap/>
            <w:vAlign w:val="bottom"/>
            <w:hideMark/>
          </w:tcPr>
          <w:p w14:paraId="570CF47C" w14:textId="77777777" w:rsidR="00CD033D" w:rsidRPr="00C223AB" w:rsidRDefault="00CD033D" w:rsidP="00C223AB">
            <w:pPr>
              <w:jc w:val="right"/>
              <w:rPr>
                <w:rFonts w:ascii="Arial" w:eastAsia="Times New Roman" w:hAnsi="Arial" w:cs="Arial"/>
                <w:color w:val="000000"/>
                <w:sz w:val="22"/>
                <w:szCs w:val="22"/>
                <w:lang w:val="en-GB" w:eastAsia="en-GB"/>
              </w:rPr>
            </w:pPr>
            <w:r w:rsidRPr="00C223AB">
              <w:rPr>
                <w:rFonts w:ascii="Arial" w:eastAsia="Times New Roman" w:hAnsi="Arial" w:cs="Arial"/>
                <w:color w:val="000000"/>
                <w:sz w:val="22"/>
                <w:szCs w:val="22"/>
                <w:lang w:val="en-GB" w:eastAsia="en-GB"/>
              </w:rPr>
              <w:t>12%</w:t>
            </w:r>
          </w:p>
        </w:tc>
        <w:tc>
          <w:tcPr>
            <w:tcW w:w="1134" w:type="dxa"/>
            <w:tcBorders>
              <w:top w:val="nil"/>
              <w:left w:val="nil"/>
              <w:bottom w:val="single" w:sz="4" w:space="0" w:color="auto"/>
              <w:right w:val="single" w:sz="4" w:space="0" w:color="auto"/>
            </w:tcBorders>
            <w:shd w:val="clear" w:color="auto" w:fill="auto"/>
            <w:noWrap/>
            <w:vAlign w:val="bottom"/>
            <w:hideMark/>
          </w:tcPr>
          <w:p w14:paraId="270C20F9" w14:textId="77777777" w:rsidR="00CD033D" w:rsidRPr="00C223AB" w:rsidRDefault="00CD033D" w:rsidP="00C223AB">
            <w:pPr>
              <w:rPr>
                <w:rFonts w:ascii="Arial" w:eastAsia="Times New Roman" w:hAnsi="Arial" w:cs="Arial"/>
                <w:color w:val="000000"/>
                <w:sz w:val="22"/>
                <w:szCs w:val="22"/>
                <w:lang w:val="en-GB" w:eastAsia="en-GB"/>
              </w:rPr>
            </w:pPr>
            <w:r w:rsidRPr="00C223AB">
              <w:rPr>
                <w:rFonts w:ascii="Arial" w:eastAsia="Times New Roman" w:hAnsi="Arial" w:cs="Arial"/>
                <w:color w:val="000000"/>
                <w:sz w:val="22"/>
                <w:szCs w:val="22"/>
                <w:lang w:val="en-GB" w:eastAsia="en-GB"/>
              </w:rPr>
              <w:t>&lt;0.001</w:t>
            </w:r>
          </w:p>
        </w:tc>
      </w:tr>
    </w:tbl>
    <w:p w14:paraId="161222D2" w14:textId="4E99EE5D" w:rsidR="00A609D7" w:rsidRPr="00C223AB" w:rsidRDefault="00A609D7" w:rsidP="00C223AB">
      <w:pPr>
        <w:rPr>
          <w:rFonts w:ascii="Arial" w:eastAsia="Times New Roman" w:hAnsi="Arial" w:cs="Arial"/>
          <w:color w:val="000000"/>
          <w:lang w:val="en-GB" w:eastAsia="en-GB"/>
        </w:rPr>
      </w:pPr>
    </w:p>
    <w:p w14:paraId="025A5210" w14:textId="77777777" w:rsidR="00A609D7" w:rsidRPr="00C223AB" w:rsidRDefault="00A609D7" w:rsidP="00C223AB">
      <w:pPr>
        <w:rPr>
          <w:rFonts w:ascii="Arial" w:eastAsia="Times New Roman" w:hAnsi="Arial" w:cs="Arial"/>
          <w:color w:val="000000"/>
          <w:lang w:val="en-GB" w:eastAsia="en-GB"/>
        </w:rPr>
      </w:pPr>
    </w:p>
    <w:p w14:paraId="67EA5AF2" w14:textId="397E6FD0" w:rsidR="001D3989" w:rsidRPr="00C223AB" w:rsidRDefault="001D3989" w:rsidP="00C223AB">
      <w:pPr>
        <w:rPr>
          <w:rFonts w:ascii="Arial" w:eastAsia="Times New Roman" w:hAnsi="Arial" w:cs="Arial"/>
          <w:color w:val="000000"/>
          <w:lang w:val="en-GB" w:eastAsia="en-GB"/>
        </w:rPr>
      </w:pPr>
      <w:r w:rsidRPr="00C223AB">
        <w:rPr>
          <w:rFonts w:ascii="Arial" w:eastAsia="Times New Roman" w:hAnsi="Arial" w:cs="Arial"/>
          <w:color w:val="000000"/>
          <w:lang w:val="en-GB" w:eastAsia="en-GB"/>
        </w:rPr>
        <w:t>Odds ratios and corresponding 95% confidence intervals for coronary artery</w:t>
      </w:r>
      <w:r w:rsidR="0046391C" w:rsidRPr="00C223AB">
        <w:rPr>
          <w:rFonts w:ascii="Arial" w:eastAsia="Times New Roman" w:hAnsi="Arial" w:cs="Arial"/>
          <w:color w:val="000000"/>
          <w:lang w:val="en-GB" w:eastAsia="en-GB"/>
        </w:rPr>
        <w:t xml:space="preserve"> disease for highest quintile compared to</w:t>
      </w:r>
      <w:r w:rsidRPr="00C223AB">
        <w:rPr>
          <w:rFonts w:ascii="Arial" w:eastAsia="Times New Roman" w:hAnsi="Arial" w:cs="Arial"/>
          <w:color w:val="000000"/>
          <w:lang w:val="en-GB" w:eastAsia="en-GB"/>
        </w:rPr>
        <w:t xml:space="preserve"> lowest apoC-III quintile. ‘+ parameter' indicates odds ratio for apoC-III (Q5 vs Q1) additionally adjusted for '+ parameter'. Percentage explained indicates the proportion of the association of apoC-III with CAD risk that is explained by the </w:t>
      </w:r>
      <w:r w:rsidR="00A609D7" w:rsidRPr="00C223AB">
        <w:rPr>
          <w:rFonts w:ascii="Arial" w:eastAsia="Times New Roman" w:hAnsi="Arial" w:cs="Arial"/>
          <w:color w:val="000000"/>
          <w:lang w:val="en-GB" w:eastAsia="en-GB"/>
        </w:rPr>
        <w:t>mediator</w:t>
      </w:r>
      <w:r w:rsidRPr="00C223AB">
        <w:rPr>
          <w:rFonts w:ascii="Arial" w:eastAsia="Times New Roman" w:hAnsi="Arial" w:cs="Arial"/>
          <w:color w:val="000000"/>
          <w:lang w:val="en-GB" w:eastAsia="en-GB"/>
        </w:rPr>
        <w:t>. P-value for likel</w:t>
      </w:r>
      <w:r w:rsidR="0046391C" w:rsidRPr="00C223AB">
        <w:rPr>
          <w:rFonts w:ascii="Arial" w:eastAsia="Times New Roman" w:hAnsi="Arial" w:cs="Arial"/>
          <w:color w:val="000000"/>
          <w:lang w:val="en-GB" w:eastAsia="en-GB"/>
        </w:rPr>
        <w:t>ihood ratio test between models, ns is non-significant.</w:t>
      </w:r>
    </w:p>
    <w:p w14:paraId="24AFF691" w14:textId="77777777" w:rsidR="001D3989" w:rsidRPr="00C223AB" w:rsidRDefault="001D3989" w:rsidP="00C223AB">
      <w:pPr>
        <w:rPr>
          <w:rFonts w:ascii="Arial" w:eastAsia="Times New Roman" w:hAnsi="Arial" w:cs="Arial"/>
          <w:color w:val="000000"/>
          <w:lang w:val="en-GB" w:eastAsia="en-GB"/>
        </w:rPr>
      </w:pPr>
      <w:r w:rsidRPr="00C223AB">
        <w:rPr>
          <w:rFonts w:ascii="Arial" w:eastAsia="Times New Roman" w:hAnsi="Arial" w:cs="Arial"/>
          <w:color w:val="000000"/>
          <w:lang w:val="en-GB" w:eastAsia="en-GB"/>
        </w:rPr>
        <w:t>Model 1: ApoC-III highest versus lowest quintile, adjusted for age, sex.</w:t>
      </w:r>
    </w:p>
    <w:p w14:paraId="6EF6FB73" w14:textId="0ABF3E0D" w:rsidR="003D2A23" w:rsidRPr="00C223AB" w:rsidRDefault="001D3989" w:rsidP="00C223AB">
      <w:pPr>
        <w:rPr>
          <w:rFonts w:ascii="Arial" w:hAnsi="Arial" w:cs="Arial"/>
        </w:rPr>
      </w:pPr>
      <w:r w:rsidRPr="00C223AB">
        <w:rPr>
          <w:rFonts w:ascii="Arial" w:eastAsia="Times New Roman" w:hAnsi="Arial" w:cs="Arial"/>
          <w:color w:val="000000"/>
          <w:lang w:val="en-GB" w:eastAsia="en-GB"/>
        </w:rPr>
        <w:t xml:space="preserve">Model 2: </w:t>
      </w:r>
      <w:r w:rsidR="00C10BA9" w:rsidRPr="00C223AB">
        <w:rPr>
          <w:rFonts w:ascii="Arial" w:eastAsia="Times New Roman" w:hAnsi="Arial" w:cs="Arial"/>
          <w:color w:val="000000"/>
          <w:lang w:val="en-GB" w:eastAsia="en-GB"/>
        </w:rPr>
        <w:t xml:space="preserve">additionally </w:t>
      </w:r>
      <w:r w:rsidRPr="00C223AB">
        <w:rPr>
          <w:rFonts w:ascii="Arial" w:eastAsia="Times New Roman" w:hAnsi="Arial" w:cs="Arial"/>
          <w:color w:val="000000"/>
          <w:lang w:val="en-GB" w:eastAsia="en-GB"/>
        </w:rPr>
        <w:t>adjusted for BMI, current smoking, diabetes mellitus, systolic blood pressure lipid-lowering medication and antihypertensive medication use.</w:t>
      </w:r>
    </w:p>
    <w:p w14:paraId="1419593A" w14:textId="77777777" w:rsidR="003D2A23" w:rsidRPr="00C223AB" w:rsidRDefault="003D2A23" w:rsidP="00C223AB">
      <w:pPr>
        <w:rPr>
          <w:rFonts w:ascii="Arial" w:hAnsi="Arial" w:cs="Arial"/>
        </w:rPr>
      </w:pPr>
    </w:p>
    <w:p w14:paraId="5607FE3A" w14:textId="37C1697B" w:rsidR="003D2A23" w:rsidRPr="00C223AB" w:rsidRDefault="003D2A23" w:rsidP="00C223AB">
      <w:pPr>
        <w:rPr>
          <w:rFonts w:ascii="Arial" w:hAnsi="Arial" w:cs="Arial"/>
        </w:rPr>
      </w:pPr>
    </w:p>
    <w:sectPr w:rsidR="003D2A23" w:rsidRPr="00C223AB" w:rsidSect="00A52C23">
      <w:pgSz w:w="16840" w:h="11900" w:orient="landscape"/>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3F85C64" w14:textId="77777777" w:rsidR="00EC4623" w:rsidRDefault="00EC4623" w:rsidP="00DB071D">
      <w:r>
        <w:separator/>
      </w:r>
    </w:p>
  </w:endnote>
  <w:endnote w:type="continuationSeparator" w:id="0">
    <w:p w14:paraId="17B47132" w14:textId="77777777" w:rsidR="00EC4623" w:rsidRDefault="00EC4623" w:rsidP="00DB071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Symbol">
    <w:panose1 w:val="00000000000000000000"/>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00000001" w:usb1="08070000" w:usb2="00000010" w:usb3="00000000" w:csb0="00020000" w:csb1="00000000"/>
  </w:font>
  <w:font w:name="Times">
    <w:panose1 w:val="02000500000000000000"/>
    <w:charset w:val="00"/>
    <w:family w:val="auto"/>
    <w:pitch w:val="variable"/>
    <w:sig w:usb0="00000003" w:usb1="00000000" w:usb2="00000000" w:usb3="00000000" w:csb0="00000001" w:csb1="00000000"/>
  </w:font>
  <w:font w:name="Lucida Grande">
    <w:panose1 w:val="020B0600040502020204"/>
    <w:charset w:val="00"/>
    <w:family w:val="auto"/>
    <w:pitch w:val="variable"/>
    <w:sig w:usb0="E1000AEF" w:usb1="5000A1FF" w:usb2="00000000" w:usb3="00000000" w:csb0="000001B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08194150"/>
      <w:docPartObj>
        <w:docPartGallery w:val="Page Numbers (Bottom of Page)"/>
        <w:docPartUnique/>
      </w:docPartObj>
    </w:sdtPr>
    <w:sdtEndPr>
      <w:rPr>
        <w:noProof/>
      </w:rPr>
    </w:sdtEndPr>
    <w:sdtContent>
      <w:p w14:paraId="1BE4741D" w14:textId="715B564F" w:rsidR="00EC4623" w:rsidRDefault="00EC4623">
        <w:pPr>
          <w:pStyle w:val="Voettekst"/>
          <w:jc w:val="right"/>
        </w:pPr>
        <w:r>
          <w:fldChar w:fldCharType="begin"/>
        </w:r>
        <w:r>
          <w:instrText xml:space="preserve"> PAGE   \* MERGEFORMAT </w:instrText>
        </w:r>
        <w:r>
          <w:fldChar w:fldCharType="separate"/>
        </w:r>
        <w:r w:rsidR="00726528">
          <w:rPr>
            <w:noProof/>
          </w:rPr>
          <w:t>16</w:t>
        </w:r>
        <w:r>
          <w:rPr>
            <w:noProof/>
          </w:rPr>
          <w:fldChar w:fldCharType="end"/>
        </w:r>
      </w:p>
    </w:sdtContent>
  </w:sdt>
  <w:p w14:paraId="26472A8B" w14:textId="77777777" w:rsidR="00EC4623" w:rsidRDefault="00EC4623">
    <w:pPr>
      <w:pStyle w:val="Voettekst"/>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B5D6902" w14:textId="77777777" w:rsidR="00EC4623" w:rsidRDefault="00EC4623" w:rsidP="00DB071D">
      <w:r>
        <w:separator/>
      </w:r>
    </w:p>
  </w:footnote>
  <w:footnote w:type="continuationSeparator" w:id="0">
    <w:p w14:paraId="7F5AE989" w14:textId="77777777" w:rsidR="00EC4623" w:rsidRDefault="00EC4623" w:rsidP="00DB071D">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hybridMultilevel"/>
    <w:tmpl w:val="00000001"/>
    <w:lvl w:ilvl="0" w:tplc="00000001">
      <w:start w:val="37"/>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21748F2"/>
    <w:multiLevelType w:val="hybridMultilevel"/>
    <w:tmpl w:val="AE081B3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828269A"/>
    <w:multiLevelType w:val="hybridMultilevel"/>
    <w:tmpl w:val="5B82FCF2"/>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1A0849B2"/>
    <w:multiLevelType w:val="hybridMultilevel"/>
    <w:tmpl w:val="963C24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nsid w:val="2F5504BA"/>
    <w:multiLevelType w:val="hybridMultilevel"/>
    <w:tmpl w:val="CF22E6B0"/>
    <w:lvl w:ilvl="0" w:tplc="669CE056">
      <w:start w:val="1"/>
      <w:numFmt w:val="upp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
    <w:nsid w:val="306C5541"/>
    <w:multiLevelType w:val="hybridMultilevel"/>
    <w:tmpl w:val="9B882AF4"/>
    <w:lvl w:ilvl="0" w:tplc="89F04892">
      <w:numFmt w:val="bullet"/>
      <w:lvlText w:val="-"/>
      <w:lvlJc w:val="left"/>
      <w:pPr>
        <w:ind w:left="720" w:hanging="360"/>
      </w:pPr>
      <w:rPr>
        <w:rFonts w:ascii="Cambria" w:eastAsiaTheme="minorEastAsia" w:hAnsi="Cambria" w:cstheme="minorBidi"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47955C6E"/>
    <w:multiLevelType w:val="hybridMultilevel"/>
    <w:tmpl w:val="68E46B0A"/>
    <w:lvl w:ilvl="0" w:tplc="F6EA2DCE">
      <w:start w:val="1"/>
      <w:numFmt w:val="bullet"/>
      <w:lvlText w:val="-"/>
      <w:lvlJc w:val="left"/>
      <w:pPr>
        <w:tabs>
          <w:tab w:val="num" w:pos="720"/>
        </w:tabs>
        <w:ind w:left="720" w:hanging="360"/>
      </w:pPr>
      <w:rPr>
        <w:rFonts w:ascii="Times" w:hAnsi="Times" w:hint="default"/>
      </w:rPr>
    </w:lvl>
    <w:lvl w:ilvl="1" w:tplc="873A2FDC" w:tentative="1">
      <w:start w:val="1"/>
      <w:numFmt w:val="bullet"/>
      <w:lvlText w:val="-"/>
      <w:lvlJc w:val="left"/>
      <w:pPr>
        <w:tabs>
          <w:tab w:val="num" w:pos="1440"/>
        </w:tabs>
        <w:ind w:left="1440" w:hanging="360"/>
      </w:pPr>
      <w:rPr>
        <w:rFonts w:ascii="Times" w:hAnsi="Times" w:hint="default"/>
      </w:rPr>
    </w:lvl>
    <w:lvl w:ilvl="2" w:tplc="9B6AA0CA" w:tentative="1">
      <w:start w:val="1"/>
      <w:numFmt w:val="bullet"/>
      <w:lvlText w:val="-"/>
      <w:lvlJc w:val="left"/>
      <w:pPr>
        <w:tabs>
          <w:tab w:val="num" w:pos="2160"/>
        </w:tabs>
        <w:ind w:left="2160" w:hanging="360"/>
      </w:pPr>
      <w:rPr>
        <w:rFonts w:ascii="Times" w:hAnsi="Times" w:hint="default"/>
      </w:rPr>
    </w:lvl>
    <w:lvl w:ilvl="3" w:tplc="000AC278" w:tentative="1">
      <w:start w:val="1"/>
      <w:numFmt w:val="bullet"/>
      <w:lvlText w:val="-"/>
      <w:lvlJc w:val="left"/>
      <w:pPr>
        <w:tabs>
          <w:tab w:val="num" w:pos="2880"/>
        </w:tabs>
        <w:ind w:left="2880" w:hanging="360"/>
      </w:pPr>
      <w:rPr>
        <w:rFonts w:ascii="Times" w:hAnsi="Times" w:hint="default"/>
      </w:rPr>
    </w:lvl>
    <w:lvl w:ilvl="4" w:tplc="21E2476C" w:tentative="1">
      <w:start w:val="1"/>
      <w:numFmt w:val="bullet"/>
      <w:lvlText w:val="-"/>
      <w:lvlJc w:val="left"/>
      <w:pPr>
        <w:tabs>
          <w:tab w:val="num" w:pos="3600"/>
        </w:tabs>
        <w:ind w:left="3600" w:hanging="360"/>
      </w:pPr>
      <w:rPr>
        <w:rFonts w:ascii="Times" w:hAnsi="Times" w:hint="default"/>
      </w:rPr>
    </w:lvl>
    <w:lvl w:ilvl="5" w:tplc="70CA5242" w:tentative="1">
      <w:start w:val="1"/>
      <w:numFmt w:val="bullet"/>
      <w:lvlText w:val="-"/>
      <w:lvlJc w:val="left"/>
      <w:pPr>
        <w:tabs>
          <w:tab w:val="num" w:pos="4320"/>
        </w:tabs>
        <w:ind w:left="4320" w:hanging="360"/>
      </w:pPr>
      <w:rPr>
        <w:rFonts w:ascii="Times" w:hAnsi="Times" w:hint="default"/>
      </w:rPr>
    </w:lvl>
    <w:lvl w:ilvl="6" w:tplc="1644A778" w:tentative="1">
      <w:start w:val="1"/>
      <w:numFmt w:val="bullet"/>
      <w:lvlText w:val="-"/>
      <w:lvlJc w:val="left"/>
      <w:pPr>
        <w:tabs>
          <w:tab w:val="num" w:pos="5040"/>
        </w:tabs>
        <w:ind w:left="5040" w:hanging="360"/>
      </w:pPr>
      <w:rPr>
        <w:rFonts w:ascii="Times" w:hAnsi="Times" w:hint="default"/>
      </w:rPr>
    </w:lvl>
    <w:lvl w:ilvl="7" w:tplc="4B7E7994" w:tentative="1">
      <w:start w:val="1"/>
      <w:numFmt w:val="bullet"/>
      <w:lvlText w:val="-"/>
      <w:lvlJc w:val="left"/>
      <w:pPr>
        <w:tabs>
          <w:tab w:val="num" w:pos="5760"/>
        </w:tabs>
        <w:ind w:left="5760" w:hanging="360"/>
      </w:pPr>
      <w:rPr>
        <w:rFonts w:ascii="Times" w:hAnsi="Times" w:hint="default"/>
      </w:rPr>
    </w:lvl>
    <w:lvl w:ilvl="8" w:tplc="8A16D4C2" w:tentative="1">
      <w:start w:val="1"/>
      <w:numFmt w:val="bullet"/>
      <w:lvlText w:val="-"/>
      <w:lvlJc w:val="left"/>
      <w:pPr>
        <w:tabs>
          <w:tab w:val="num" w:pos="6480"/>
        </w:tabs>
        <w:ind w:left="6480" w:hanging="360"/>
      </w:pPr>
      <w:rPr>
        <w:rFonts w:ascii="Times" w:hAnsi="Times" w:hint="default"/>
      </w:rPr>
    </w:lvl>
  </w:abstractNum>
  <w:abstractNum w:abstractNumId="7">
    <w:nsid w:val="7B12429A"/>
    <w:multiLevelType w:val="hybridMultilevel"/>
    <w:tmpl w:val="E924AA82"/>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num w:numId="1">
    <w:abstractNumId w:val="6"/>
  </w:num>
  <w:num w:numId="2">
    <w:abstractNumId w:val="5"/>
  </w:num>
  <w:num w:numId="3">
    <w:abstractNumId w:val="4"/>
  </w:num>
  <w:num w:numId="4">
    <w:abstractNumId w:val="2"/>
  </w:num>
  <w:num w:numId="5">
    <w:abstractNumId w:val="0"/>
  </w:num>
  <w:num w:numId="6">
    <w:abstractNumId w:val="7"/>
  </w:num>
  <w:num w:numId="7">
    <w:abstractNumId w:val="1"/>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activeWritingStyle w:appName="MSWord" w:lang="en-US" w:vendorID="64" w:dllVersion="0" w:nlCheck="1" w:checkStyle="0"/>
  <w:activeWritingStyle w:appName="MSWord" w:lang="en-GB" w:vendorID="64" w:dllVersion="0" w:nlCheck="1" w:checkStyle="0"/>
  <w:activeWritingStyle w:appName="MSWord" w:lang="nl-NL" w:vendorID="64" w:dllVersion="0" w:nlCheck="1" w:checkStyle="0"/>
  <w:activeWritingStyle w:appName="MSWord" w:lang="en-GB" w:vendorID="64" w:dllVersion="131078" w:nlCheck="1" w:checkStyle="1"/>
  <w:activeWritingStyle w:appName="MSWord" w:lang="en-US" w:vendorID="64" w:dllVersion="131078" w:nlCheck="1" w:checkStyle="1"/>
  <w:proofState w:spelling="clean" w:grammar="clean"/>
  <w:defaultTabStop w:val="708"/>
  <w:hyphenationZone w:val="425"/>
  <w:drawingGridHorizontalSpacing w:val="12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32680"/>
    <w:rsid w:val="0000075D"/>
    <w:rsid w:val="00000832"/>
    <w:rsid w:val="00001525"/>
    <w:rsid w:val="000066CF"/>
    <w:rsid w:val="00013F7B"/>
    <w:rsid w:val="00014BF3"/>
    <w:rsid w:val="00014C49"/>
    <w:rsid w:val="00015425"/>
    <w:rsid w:val="000239BF"/>
    <w:rsid w:val="00024844"/>
    <w:rsid w:val="00024CED"/>
    <w:rsid w:val="00032812"/>
    <w:rsid w:val="00041538"/>
    <w:rsid w:val="00042B75"/>
    <w:rsid w:val="00045127"/>
    <w:rsid w:val="000525DC"/>
    <w:rsid w:val="000537D5"/>
    <w:rsid w:val="0006161C"/>
    <w:rsid w:val="000628E6"/>
    <w:rsid w:val="00073EF7"/>
    <w:rsid w:val="0008071C"/>
    <w:rsid w:val="000843E3"/>
    <w:rsid w:val="000867BA"/>
    <w:rsid w:val="00087B7A"/>
    <w:rsid w:val="000943B2"/>
    <w:rsid w:val="000A2B3C"/>
    <w:rsid w:val="000A2EEF"/>
    <w:rsid w:val="000A45BC"/>
    <w:rsid w:val="000A5C1D"/>
    <w:rsid w:val="000A7C4B"/>
    <w:rsid w:val="000B19D0"/>
    <w:rsid w:val="000B1A74"/>
    <w:rsid w:val="000B2057"/>
    <w:rsid w:val="000B3452"/>
    <w:rsid w:val="000B557C"/>
    <w:rsid w:val="000C3839"/>
    <w:rsid w:val="000C4D0B"/>
    <w:rsid w:val="000C6F75"/>
    <w:rsid w:val="000C7FE5"/>
    <w:rsid w:val="000D03C9"/>
    <w:rsid w:val="000D1F8F"/>
    <w:rsid w:val="000D4911"/>
    <w:rsid w:val="000D7B8A"/>
    <w:rsid w:val="000E0AD2"/>
    <w:rsid w:val="000E2DE0"/>
    <w:rsid w:val="000E3795"/>
    <w:rsid w:val="000E6058"/>
    <w:rsid w:val="000E7460"/>
    <w:rsid w:val="000F3F00"/>
    <w:rsid w:val="000F5C25"/>
    <w:rsid w:val="000F5C7A"/>
    <w:rsid w:val="00101268"/>
    <w:rsid w:val="001063C8"/>
    <w:rsid w:val="00110932"/>
    <w:rsid w:val="001117FA"/>
    <w:rsid w:val="00111CAF"/>
    <w:rsid w:val="001122FB"/>
    <w:rsid w:val="00112C0A"/>
    <w:rsid w:val="00114B64"/>
    <w:rsid w:val="00116CA7"/>
    <w:rsid w:val="0012226E"/>
    <w:rsid w:val="001273FD"/>
    <w:rsid w:val="001351A9"/>
    <w:rsid w:val="00145EE9"/>
    <w:rsid w:val="001465E6"/>
    <w:rsid w:val="0014698B"/>
    <w:rsid w:val="00146CCC"/>
    <w:rsid w:val="00146E42"/>
    <w:rsid w:val="0015020B"/>
    <w:rsid w:val="00150513"/>
    <w:rsid w:val="00153A76"/>
    <w:rsid w:val="0016139A"/>
    <w:rsid w:val="0016191B"/>
    <w:rsid w:val="001703C7"/>
    <w:rsid w:val="00172413"/>
    <w:rsid w:val="00176F54"/>
    <w:rsid w:val="00177421"/>
    <w:rsid w:val="0017775E"/>
    <w:rsid w:val="001812E9"/>
    <w:rsid w:val="00192464"/>
    <w:rsid w:val="00195A7E"/>
    <w:rsid w:val="001A715E"/>
    <w:rsid w:val="001A7FE0"/>
    <w:rsid w:val="001B446E"/>
    <w:rsid w:val="001B6781"/>
    <w:rsid w:val="001C07C8"/>
    <w:rsid w:val="001C1920"/>
    <w:rsid w:val="001C2BEF"/>
    <w:rsid w:val="001C6CE9"/>
    <w:rsid w:val="001D0090"/>
    <w:rsid w:val="001D02E2"/>
    <w:rsid w:val="001D3989"/>
    <w:rsid w:val="001D4F23"/>
    <w:rsid w:val="001E1AB2"/>
    <w:rsid w:val="001E2DFA"/>
    <w:rsid w:val="001E5046"/>
    <w:rsid w:val="001E6BA3"/>
    <w:rsid w:val="001E798A"/>
    <w:rsid w:val="001F4E82"/>
    <w:rsid w:val="001F6975"/>
    <w:rsid w:val="002039D1"/>
    <w:rsid w:val="00207544"/>
    <w:rsid w:val="0021142E"/>
    <w:rsid w:val="00211B49"/>
    <w:rsid w:val="00223E0B"/>
    <w:rsid w:val="00226EBB"/>
    <w:rsid w:val="00227125"/>
    <w:rsid w:val="00227CD2"/>
    <w:rsid w:val="0023150A"/>
    <w:rsid w:val="002321EB"/>
    <w:rsid w:val="002454C1"/>
    <w:rsid w:val="002541B3"/>
    <w:rsid w:val="00254AB2"/>
    <w:rsid w:val="00257212"/>
    <w:rsid w:val="00257490"/>
    <w:rsid w:val="002660CE"/>
    <w:rsid w:val="00266846"/>
    <w:rsid w:val="00266A27"/>
    <w:rsid w:val="002830D9"/>
    <w:rsid w:val="00283AE8"/>
    <w:rsid w:val="00283BA7"/>
    <w:rsid w:val="002926FD"/>
    <w:rsid w:val="00294612"/>
    <w:rsid w:val="00294E7E"/>
    <w:rsid w:val="00296BCC"/>
    <w:rsid w:val="002A0853"/>
    <w:rsid w:val="002A2A8C"/>
    <w:rsid w:val="002A4658"/>
    <w:rsid w:val="002B24ED"/>
    <w:rsid w:val="002B3C72"/>
    <w:rsid w:val="002B5755"/>
    <w:rsid w:val="002C03CB"/>
    <w:rsid w:val="002C0E6D"/>
    <w:rsid w:val="002C678D"/>
    <w:rsid w:val="002C7052"/>
    <w:rsid w:val="002D0754"/>
    <w:rsid w:val="002D535F"/>
    <w:rsid w:val="002D605A"/>
    <w:rsid w:val="002D6B9E"/>
    <w:rsid w:val="002D7BC8"/>
    <w:rsid w:val="002E5890"/>
    <w:rsid w:val="002E75D2"/>
    <w:rsid w:val="002F0B32"/>
    <w:rsid w:val="002F4216"/>
    <w:rsid w:val="002F5639"/>
    <w:rsid w:val="002F5963"/>
    <w:rsid w:val="002F667C"/>
    <w:rsid w:val="003009FD"/>
    <w:rsid w:val="00300A25"/>
    <w:rsid w:val="00304123"/>
    <w:rsid w:val="00307779"/>
    <w:rsid w:val="003147E3"/>
    <w:rsid w:val="003169D1"/>
    <w:rsid w:val="003311BE"/>
    <w:rsid w:val="00337B15"/>
    <w:rsid w:val="00343653"/>
    <w:rsid w:val="00346F34"/>
    <w:rsid w:val="00347665"/>
    <w:rsid w:val="00350DD6"/>
    <w:rsid w:val="003534F0"/>
    <w:rsid w:val="003540F2"/>
    <w:rsid w:val="00355D0D"/>
    <w:rsid w:val="0035635E"/>
    <w:rsid w:val="00357FB4"/>
    <w:rsid w:val="0036018A"/>
    <w:rsid w:val="003619A6"/>
    <w:rsid w:val="00364CD1"/>
    <w:rsid w:val="0036605F"/>
    <w:rsid w:val="003702CA"/>
    <w:rsid w:val="00372DC4"/>
    <w:rsid w:val="00377B57"/>
    <w:rsid w:val="003815F3"/>
    <w:rsid w:val="0038636A"/>
    <w:rsid w:val="00386969"/>
    <w:rsid w:val="003A2926"/>
    <w:rsid w:val="003A6D61"/>
    <w:rsid w:val="003B2070"/>
    <w:rsid w:val="003B4470"/>
    <w:rsid w:val="003B7206"/>
    <w:rsid w:val="003C0F63"/>
    <w:rsid w:val="003C1076"/>
    <w:rsid w:val="003C2444"/>
    <w:rsid w:val="003D0763"/>
    <w:rsid w:val="003D2A23"/>
    <w:rsid w:val="003D377F"/>
    <w:rsid w:val="003D707B"/>
    <w:rsid w:val="003D7B2E"/>
    <w:rsid w:val="003E341E"/>
    <w:rsid w:val="003E4317"/>
    <w:rsid w:val="003E54B0"/>
    <w:rsid w:val="003F0909"/>
    <w:rsid w:val="003F3B35"/>
    <w:rsid w:val="003F49B3"/>
    <w:rsid w:val="003F5070"/>
    <w:rsid w:val="003F61FF"/>
    <w:rsid w:val="00400809"/>
    <w:rsid w:val="00400CFF"/>
    <w:rsid w:val="004041E3"/>
    <w:rsid w:val="00404F91"/>
    <w:rsid w:val="004052FF"/>
    <w:rsid w:val="004076A5"/>
    <w:rsid w:val="004100BA"/>
    <w:rsid w:val="0041070D"/>
    <w:rsid w:val="0041766E"/>
    <w:rsid w:val="00421991"/>
    <w:rsid w:val="00424B83"/>
    <w:rsid w:val="00427AEC"/>
    <w:rsid w:val="00431FB9"/>
    <w:rsid w:val="00436AC5"/>
    <w:rsid w:val="004402F0"/>
    <w:rsid w:val="004465C6"/>
    <w:rsid w:val="00450DC6"/>
    <w:rsid w:val="00451424"/>
    <w:rsid w:val="00452C13"/>
    <w:rsid w:val="00453238"/>
    <w:rsid w:val="00455F6C"/>
    <w:rsid w:val="004567B3"/>
    <w:rsid w:val="00462194"/>
    <w:rsid w:val="0046391C"/>
    <w:rsid w:val="00466A37"/>
    <w:rsid w:val="00475B76"/>
    <w:rsid w:val="00476353"/>
    <w:rsid w:val="00480C38"/>
    <w:rsid w:val="00480EB2"/>
    <w:rsid w:val="004828F2"/>
    <w:rsid w:val="00486D46"/>
    <w:rsid w:val="00491B91"/>
    <w:rsid w:val="00493189"/>
    <w:rsid w:val="00494B3E"/>
    <w:rsid w:val="0049772C"/>
    <w:rsid w:val="004A4590"/>
    <w:rsid w:val="004B02B9"/>
    <w:rsid w:val="004B2AE3"/>
    <w:rsid w:val="004B2D8F"/>
    <w:rsid w:val="004B5021"/>
    <w:rsid w:val="004C0B06"/>
    <w:rsid w:val="004D0950"/>
    <w:rsid w:val="004D4FAE"/>
    <w:rsid w:val="004D7BD2"/>
    <w:rsid w:val="004E1087"/>
    <w:rsid w:val="004E5216"/>
    <w:rsid w:val="004E6E57"/>
    <w:rsid w:val="004F2E24"/>
    <w:rsid w:val="00501B53"/>
    <w:rsid w:val="00510731"/>
    <w:rsid w:val="00512317"/>
    <w:rsid w:val="00514CD8"/>
    <w:rsid w:val="00515492"/>
    <w:rsid w:val="005216B4"/>
    <w:rsid w:val="0052388F"/>
    <w:rsid w:val="00525BAD"/>
    <w:rsid w:val="005302C5"/>
    <w:rsid w:val="005347AD"/>
    <w:rsid w:val="005453BD"/>
    <w:rsid w:val="00546187"/>
    <w:rsid w:val="00552754"/>
    <w:rsid w:val="0055602B"/>
    <w:rsid w:val="00556064"/>
    <w:rsid w:val="00557126"/>
    <w:rsid w:val="00557533"/>
    <w:rsid w:val="0056063C"/>
    <w:rsid w:val="0056476C"/>
    <w:rsid w:val="005656EC"/>
    <w:rsid w:val="00567341"/>
    <w:rsid w:val="005726AC"/>
    <w:rsid w:val="0057432D"/>
    <w:rsid w:val="0057495E"/>
    <w:rsid w:val="005809B6"/>
    <w:rsid w:val="00583796"/>
    <w:rsid w:val="00591C0A"/>
    <w:rsid w:val="005928D8"/>
    <w:rsid w:val="00592FFA"/>
    <w:rsid w:val="005A035A"/>
    <w:rsid w:val="005A0A57"/>
    <w:rsid w:val="005B0229"/>
    <w:rsid w:val="005B1AD7"/>
    <w:rsid w:val="005B6BE0"/>
    <w:rsid w:val="005C40DF"/>
    <w:rsid w:val="005C4137"/>
    <w:rsid w:val="005D1E58"/>
    <w:rsid w:val="005D32DE"/>
    <w:rsid w:val="005D51AF"/>
    <w:rsid w:val="005D7AF6"/>
    <w:rsid w:val="005E1E22"/>
    <w:rsid w:val="005E207C"/>
    <w:rsid w:val="005E21E2"/>
    <w:rsid w:val="005E376C"/>
    <w:rsid w:val="005F2C71"/>
    <w:rsid w:val="006027D6"/>
    <w:rsid w:val="00603DA0"/>
    <w:rsid w:val="00606F46"/>
    <w:rsid w:val="00612799"/>
    <w:rsid w:val="00612F59"/>
    <w:rsid w:val="0061340E"/>
    <w:rsid w:val="00615BC9"/>
    <w:rsid w:val="00615EB2"/>
    <w:rsid w:val="00620EA0"/>
    <w:rsid w:val="00621A51"/>
    <w:rsid w:val="00623AF4"/>
    <w:rsid w:val="0062564E"/>
    <w:rsid w:val="00630E33"/>
    <w:rsid w:val="006315C2"/>
    <w:rsid w:val="00631729"/>
    <w:rsid w:val="00631D84"/>
    <w:rsid w:val="00635E80"/>
    <w:rsid w:val="006369D9"/>
    <w:rsid w:val="00636C40"/>
    <w:rsid w:val="00641170"/>
    <w:rsid w:val="00641573"/>
    <w:rsid w:val="00642A01"/>
    <w:rsid w:val="00643577"/>
    <w:rsid w:val="0064476E"/>
    <w:rsid w:val="00646529"/>
    <w:rsid w:val="00650E02"/>
    <w:rsid w:val="0065579B"/>
    <w:rsid w:val="0065671A"/>
    <w:rsid w:val="00657C72"/>
    <w:rsid w:val="006615C5"/>
    <w:rsid w:val="00662E47"/>
    <w:rsid w:val="006663EE"/>
    <w:rsid w:val="00671B6F"/>
    <w:rsid w:val="00675778"/>
    <w:rsid w:val="006769A9"/>
    <w:rsid w:val="006827A0"/>
    <w:rsid w:val="006831DA"/>
    <w:rsid w:val="00683916"/>
    <w:rsid w:val="00683F39"/>
    <w:rsid w:val="00684D6A"/>
    <w:rsid w:val="00693CD3"/>
    <w:rsid w:val="006958A7"/>
    <w:rsid w:val="0069663E"/>
    <w:rsid w:val="006A211A"/>
    <w:rsid w:val="006A29DB"/>
    <w:rsid w:val="006A2A45"/>
    <w:rsid w:val="006A3C88"/>
    <w:rsid w:val="006B147F"/>
    <w:rsid w:val="006B738C"/>
    <w:rsid w:val="006B7FCD"/>
    <w:rsid w:val="006C0823"/>
    <w:rsid w:val="006C7913"/>
    <w:rsid w:val="006D26FA"/>
    <w:rsid w:val="006D2A9E"/>
    <w:rsid w:val="006D3FF5"/>
    <w:rsid w:val="006E03E0"/>
    <w:rsid w:val="006E04A6"/>
    <w:rsid w:val="006E45A9"/>
    <w:rsid w:val="006E6643"/>
    <w:rsid w:val="006F113D"/>
    <w:rsid w:val="006F12D3"/>
    <w:rsid w:val="006F3E5E"/>
    <w:rsid w:val="006F6505"/>
    <w:rsid w:val="006F6D4E"/>
    <w:rsid w:val="006F75C6"/>
    <w:rsid w:val="00701410"/>
    <w:rsid w:val="00701428"/>
    <w:rsid w:val="00701ABF"/>
    <w:rsid w:val="007026BF"/>
    <w:rsid w:val="00703B7E"/>
    <w:rsid w:val="00706656"/>
    <w:rsid w:val="0070688A"/>
    <w:rsid w:val="0071269C"/>
    <w:rsid w:val="00714107"/>
    <w:rsid w:val="00716903"/>
    <w:rsid w:val="007206F2"/>
    <w:rsid w:val="007212F3"/>
    <w:rsid w:val="00726528"/>
    <w:rsid w:val="007301DF"/>
    <w:rsid w:val="00730717"/>
    <w:rsid w:val="00731A39"/>
    <w:rsid w:val="007324C1"/>
    <w:rsid w:val="007336A8"/>
    <w:rsid w:val="0075641B"/>
    <w:rsid w:val="00757F93"/>
    <w:rsid w:val="00764467"/>
    <w:rsid w:val="007769BD"/>
    <w:rsid w:val="007777F1"/>
    <w:rsid w:val="00777C9E"/>
    <w:rsid w:val="0078612F"/>
    <w:rsid w:val="007916E3"/>
    <w:rsid w:val="00794E60"/>
    <w:rsid w:val="00795277"/>
    <w:rsid w:val="00796358"/>
    <w:rsid w:val="007A0A9D"/>
    <w:rsid w:val="007A1FE7"/>
    <w:rsid w:val="007A261D"/>
    <w:rsid w:val="007A6FB0"/>
    <w:rsid w:val="007B434F"/>
    <w:rsid w:val="007B4844"/>
    <w:rsid w:val="007B6D75"/>
    <w:rsid w:val="007B6DF0"/>
    <w:rsid w:val="007B78B4"/>
    <w:rsid w:val="007C00CA"/>
    <w:rsid w:val="007C0B14"/>
    <w:rsid w:val="007C2054"/>
    <w:rsid w:val="007C4DC9"/>
    <w:rsid w:val="007D11B7"/>
    <w:rsid w:val="007E058C"/>
    <w:rsid w:val="007E25AF"/>
    <w:rsid w:val="007F0DA7"/>
    <w:rsid w:val="007F2221"/>
    <w:rsid w:val="007F30AD"/>
    <w:rsid w:val="007F310A"/>
    <w:rsid w:val="007F4025"/>
    <w:rsid w:val="007F64D9"/>
    <w:rsid w:val="007F7830"/>
    <w:rsid w:val="00801152"/>
    <w:rsid w:val="00804C6B"/>
    <w:rsid w:val="00806596"/>
    <w:rsid w:val="00806C3B"/>
    <w:rsid w:val="008070E2"/>
    <w:rsid w:val="0080793D"/>
    <w:rsid w:val="0081070D"/>
    <w:rsid w:val="008174C5"/>
    <w:rsid w:val="00817C9B"/>
    <w:rsid w:val="00826989"/>
    <w:rsid w:val="00830873"/>
    <w:rsid w:val="00837E54"/>
    <w:rsid w:val="00840759"/>
    <w:rsid w:val="008416D0"/>
    <w:rsid w:val="00842788"/>
    <w:rsid w:val="00842B44"/>
    <w:rsid w:val="00844068"/>
    <w:rsid w:val="00850CF0"/>
    <w:rsid w:val="008527C7"/>
    <w:rsid w:val="008545C0"/>
    <w:rsid w:val="008628EC"/>
    <w:rsid w:val="0087032D"/>
    <w:rsid w:val="00870459"/>
    <w:rsid w:val="00873578"/>
    <w:rsid w:val="00874623"/>
    <w:rsid w:val="0087463D"/>
    <w:rsid w:val="00875175"/>
    <w:rsid w:val="00876330"/>
    <w:rsid w:val="00880C0E"/>
    <w:rsid w:val="0088157F"/>
    <w:rsid w:val="00882FD6"/>
    <w:rsid w:val="00883B73"/>
    <w:rsid w:val="008918EB"/>
    <w:rsid w:val="008924F6"/>
    <w:rsid w:val="00892804"/>
    <w:rsid w:val="008955CE"/>
    <w:rsid w:val="00895737"/>
    <w:rsid w:val="008960BA"/>
    <w:rsid w:val="008A0AC2"/>
    <w:rsid w:val="008A2061"/>
    <w:rsid w:val="008A268B"/>
    <w:rsid w:val="008A37B5"/>
    <w:rsid w:val="008A46B1"/>
    <w:rsid w:val="008A613C"/>
    <w:rsid w:val="008B29BA"/>
    <w:rsid w:val="008B2C5C"/>
    <w:rsid w:val="008B3D13"/>
    <w:rsid w:val="008B5891"/>
    <w:rsid w:val="008C4738"/>
    <w:rsid w:val="008C4B45"/>
    <w:rsid w:val="008C5B2B"/>
    <w:rsid w:val="008C6E3D"/>
    <w:rsid w:val="008C7A52"/>
    <w:rsid w:val="008D1D8E"/>
    <w:rsid w:val="008D51FC"/>
    <w:rsid w:val="008E15B3"/>
    <w:rsid w:val="008F2844"/>
    <w:rsid w:val="008F49E0"/>
    <w:rsid w:val="008F6345"/>
    <w:rsid w:val="00905A5C"/>
    <w:rsid w:val="00911D1F"/>
    <w:rsid w:val="0091657D"/>
    <w:rsid w:val="00921129"/>
    <w:rsid w:val="0092192A"/>
    <w:rsid w:val="009305A8"/>
    <w:rsid w:val="00930832"/>
    <w:rsid w:val="00931764"/>
    <w:rsid w:val="00932346"/>
    <w:rsid w:val="00933002"/>
    <w:rsid w:val="0093399B"/>
    <w:rsid w:val="00935499"/>
    <w:rsid w:val="0094202B"/>
    <w:rsid w:val="00942062"/>
    <w:rsid w:val="00943C7E"/>
    <w:rsid w:val="00943DE9"/>
    <w:rsid w:val="00952327"/>
    <w:rsid w:val="00955DA0"/>
    <w:rsid w:val="00970605"/>
    <w:rsid w:val="00972AAC"/>
    <w:rsid w:val="009730D4"/>
    <w:rsid w:val="0097387F"/>
    <w:rsid w:val="009745D9"/>
    <w:rsid w:val="009756BC"/>
    <w:rsid w:val="0097669B"/>
    <w:rsid w:val="00980D54"/>
    <w:rsid w:val="00983A6A"/>
    <w:rsid w:val="00991F34"/>
    <w:rsid w:val="009931AB"/>
    <w:rsid w:val="00994B90"/>
    <w:rsid w:val="009950F0"/>
    <w:rsid w:val="009A14DC"/>
    <w:rsid w:val="009A23AC"/>
    <w:rsid w:val="009A2F24"/>
    <w:rsid w:val="009A4F6C"/>
    <w:rsid w:val="009A7B00"/>
    <w:rsid w:val="009B341F"/>
    <w:rsid w:val="009B36CC"/>
    <w:rsid w:val="009B4D8C"/>
    <w:rsid w:val="009C018D"/>
    <w:rsid w:val="009C43DA"/>
    <w:rsid w:val="009D40FA"/>
    <w:rsid w:val="009D4765"/>
    <w:rsid w:val="009D4B27"/>
    <w:rsid w:val="009D62C3"/>
    <w:rsid w:val="009E03CD"/>
    <w:rsid w:val="009E0700"/>
    <w:rsid w:val="009E15BA"/>
    <w:rsid w:val="009F199B"/>
    <w:rsid w:val="009F2CBD"/>
    <w:rsid w:val="009F4E70"/>
    <w:rsid w:val="009F52BA"/>
    <w:rsid w:val="009F560C"/>
    <w:rsid w:val="00A01C96"/>
    <w:rsid w:val="00A038E5"/>
    <w:rsid w:val="00A04469"/>
    <w:rsid w:val="00A0470F"/>
    <w:rsid w:val="00A16249"/>
    <w:rsid w:val="00A1738D"/>
    <w:rsid w:val="00A21015"/>
    <w:rsid w:val="00A2255A"/>
    <w:rsid w:val="00A246B2"/>
    <w:rsid w:val="00A30E8C"/>
    <w:rsid w:val="00A318F6"/>
    <w:rsid w:val="00A34231"/>
    <w:rsid w:val="00A346C2"/>
    <w:rsid w:val="00A353B1"/>
    <w:rsid w:val="00A35927"/>
    <w:rsid w:val="00A361E0"/>
    <w:rsid w:val="00A376BA"/>
    <w:rsid w:val="00A40864"/>
    <w:rsid w:val="00A52C23"/>
    <w:rsid w:val="00A55672"/>
    <w:rsid w:val="00A609D7"/>
    <w:rsid w:val="00A60B4A"/>
    <w:rsid w:val="00A613D3"/>
    <w:rsid w:val="00A6746D"/>
    <w:rsid w:val="00A71EC1"/>
    <w:rsid w:val="00A72144"/>
    <w:rsid w:val="00A74BF9"/>
    <w:rsid w:val="00A8653F"/>
    <w:rsid w:val="00A90551"/>
    <w:rsid w:val="00A909E6"/>
    <w:rsid w:val="00A960AA"/>
    <w:rsid w:val="00A966E1"/>
    <w:rsid w:val="00AA07B0"/>
    <w:rsid w:val="00AA15EC"/>
    <w:rsid w:val="00AA3F33"/>
    <w:rsid w:val="00AA4B77"/>
    <w:rsid w:val="00AB204F"/>
    <w:rsid w:val="00AB4558"/>
    <w:rsid w:val="00AB5236"/>
    <w:rsid w:val="00AC012A"/>
    <w:rsid w:val="00AC0FEA"/>
    <w:rsid w:val="00AC1165"/>
    <w:rsid w:val="00AC3E38"/>
    <w:rsid w:val="00AC67A6"/>
    <w:rsid w:val="00AC6DA9"/>
    <w:rsid w:val="00AC7A5F"/>
    <w:rsid w:val="00AD1681"/>
    <w:rsid w:val="00AD237E"/>
    <w:rsid w:val="00AD24E2"/>
    <w:rsid w:val="00AD2F96"/>
    <w:rsid w:val="00AD37F0"/>
    <w:rsid w:val="00AD7117"/>
    <w:rsid w:val="00AD756D"/>
    <w:rsid w:val="00AE09ED"/>
    <w:rsid w:val="00AE213E"/>
    <w:rsid w:val="00AE2ABB"/>
    <w:rsid w:val="00AE6D92"/>
    <w:rsid w:val="00AF06D8"/>
    <w:rsid w:val="00AF3798"/>
    <w:rsid w:val="00B04A37"/>
    <w:rsid w:val="00B04B32"/>
    <w:rsid w:val="00B11866"/>
    <w:rsid w:val="00B119EA"/>
    <w:rsid w:val="00B13BA7"/>
    <w:rsid w:val="00B30855"/>
    <w:rsid w:val="00B3228E"/>
    <w:rsid w:val="00B3335A"/>
    <w:rsid w:val="00B374F3"/>
    <w:rsid w:val="00B40B2B"/>
    <w:rsid w:val="00B40C02"/>
    <w:rsid w:val="00B42678"/>
    <w:rsid w:val="00B43F43"/>
    <w:rsid w:val="00B44858"/>
    <w:rsid w:val="00B468A1"/>
    <w:rsid w:val="00B46CB8"/>
    <w:rsid w:val="00B522C0"/>
    <w:rsid w:val="00B527CC"/>
    <w:rsid w:val="00B53739"/>
    <w:rsid w:val="00B579FE"/>
    <w:rsid w:val="00B611B3"/>
    <w:rsid w:val="00B64628"/>
    <w:rsid w:val="00B6662F"/>
    <w:rsid w:val="00B666DB"/>
    <w:rsid w:val="00B67787"/>
    <w:rsid w:val="00B67905"/>
    <w:rsid w:val="00B71266"/>
    <w:rsid w:val="00B72226"/>
    <w:rsid w:val="00B7555E"/>
    <w:rsid w:val="00B75F1A"/>
    <w:rsid w:val="00B80C21"/>
    <w:rsid w:val="00B81552"/>
    <w:rsid w:val="00B904F3"/>
    <w:rsid w:val="00B90D8F"/>
    <w:rsid w:val="00B9527E"/>
    <w:rsid w:val="00B95482"/>
    <w:rsid w:val="00BA04DB"/>
    <w:rsid w:val="00BA1F43"/>
    <w:rsid w:val="00BA4A1B"/>
    <w:rsid w:val="00BA7E41"/>
    <w:rsid w:val="00BB7996"/>
    <w:rsid w:val="00BC1D79"/>
    <w:rsid w:val="00BC2F81"/>
    <w:rsid w:val="00BC399E"/>
    <w:rsid w:val="00BC7BE8"/>
    <w:rsid w:val="00BD2EDE"/>
    <w:rsid w:val="00BD4294"/>
    <w:rsid w:val="00BD4968"/>
    <w:rsid w:val="00BD7A5D"/>
    <w:rsid w:val="00BE0505"/>
    <w:rsid w:val="00BE0F92"/>
    <w:rsid w:val="00BF1762"/>
    <w:rsid w:val="00BF303B"/>
    <w:rsid w:val="00BF31E7"/>
    <w:rsid w:val="00BF3417"/>
    <w:rsid w:val="00BF3F65"/>
    <w:rsid w:val="00BF53AE"/>
    <w:rsid w:val="00BF5FCD"/>
    <w:rsid w:val="00C002DA"/>
    <w:rsid w:val="00C00916"/>
    <w:rsid w:val="00C0296C"/>
    <w:rsid w:val="00C03FE4"/>
    <w:rsid w:val="00C077CA"/>
    <w:rsid w:val="00C07FAE"/>
    <w:rsid w:val="00C10BA9"/>
    <w:rsid w:val="00C11E84"/>
    <w:rsid w:val="00C14427"/>
    <w:rsid w:val="00C14CAD"/>
    <w:rsid w:val="00C16AB5"/>
    <w:rsid w:val="00C16C0A"/>
    <w:rsid w:val="00C223AB"/>
    <w:rsid w:val="00C2253F"/>
    <w:rsid w:val="00C23D39"/>
    <w:rsid w:val="00C266A8"/>
    <w:rsid w:val="00C267B8"/>
    <w:rsid w:val="00C32063"/>
    <w:rsid w:val="00C32680"/>
    <w:rsid w:val="00C47588"/>
    <w:rsid w:val="00C47B8C"/>
    <w:rsid w:val="00C57A37"/>
    <w:rsid w:val="00C60BAC"/>
    <w:rsid w:val="00C65C5D"/>
    <w:rsid w:val="00C677A8"/>
    <w:rsid w:val="00C67D5A"/>
    <w:rsid w:val="00C7259F"/>
    <w:rsid w:val="00C73B04"/>
    <w:rsid w:val="00C74F2B"/>
    <w:rsid w:val="00C808EE"/>
    <w:rsid w:val="00C80F66"/>
    <w:rsid w:val="00C829BF"/>
    <w:rsid w:val="00C900F4"/>
    <w:rsid w:val="00C904E0"/>
    <w:rsid w:val="00C95784"/>
    <w:rsid w:val="00CA39E7"/>
    <w:rsid w:val="00CA52DE"/>
    <w:rsid w:val="00CA717C"/>
    <w:rsid w:val="00CA74E7"/>
    <w:rsid w:val="00CA7E22"/>
    <w:rsid w:val="00CB72EA"/>
    <w:rsid w:val="00CB7550"/>
    <w:rsid w:val="00CC1E2D"/>
    <w:rsid w:val="00CC4C81"/>
    <w:rsid w:val="00CC7FF0"/>
    <w:rsid w:val="00CD033D"/>
    <w:rsid w:val="00CD08E8"/>
    <w:rsid w:val="00CD119D"/>
    <w:rsid w:val="00CD6FE4"/>
    <w:rsid w:val="00CD70C9"/>
    <w:rsid w:val="00CE0763"/>
    <w:rsid w:val="00CE0C49"/>
    <w:rsid w:val="00CE0FE2"/>
    <w:rsid w:val="00CE1248"/>
    <w:rsid w:val="00CE5047"/>
    <w:rsid w:val="00CE5CF6"/>
    <w:rsid w:val="00CE7B43"/>
    <w:rsid w:val="00CF0B64"/>
    <w:rsid w:val="00D01A38"/>
    <w:rsid w:val="00D0352C"/>
    <w:rsid w:val="00D04E8A"/>
    <w:rsid w:val="00D11F6A"/>
    <w:rsid w:val="00D12ABC"/>
    <w:rsid w:val="00D12F82"/>
    <w:rsid w:val="00D14133"/>
    <w:rsid w:val="00D15B1D"/>
    <w:rsid w:val="00D15FD2"/>
    <w:rsid w:val="00D20964"/>
    <w:rsid w:val="00D217A9"/>
    <w:rsid w:val="00D246D7"/>
    <w:rsid w:val="00D25C9F"/>
    <w:rsid w:val="00D3044F"/>
    <w:rsid w:val="00D353B1"/>
    <w:rsid w:val="00D40205"/>
    <w:rsid w:val="00D426D1"/>
    <w:rsid w:val="00D457C7"/>
    <w:rsid w:val="00D47E6E"/>
    <w:rsid w:val="00D5597F"/>
    <w:rsid w:val="00D57531"/>
    <w:rsid w:val="00D66322"/>
    <w:rsid w:val="00D77A7D"/>
    <w:rsid w:val="00D820DD"/>
    <w:rsid w:val="00D83B62"/>
    <w:rsid w:val="00D84147"/>
    <w:rsid w:val="00D853CB"/>
    <w:rsid w:val="00D87A84"/>
    <w:rsid w:val="00DA49AA"/>
    <w:rsid w:val="00DA4E47"/>
    <w:rsid w:val="00DB032B"/>
    <w:rsid w:val="00DB071D"/>
    <w:rsid w:val="00DB0A50"/>
    <w:rsid w:val="00DB1BEC"/>
    <w:rsid w:val="00DB1C36"/>
    <w:rsid w:val="00DB271C"/>
    <w:rsid w:val="00DB3D68"/>
    <w:rsid w:val="00DB5A02"/>
    <w:rsid w:val="00DC2572"/>
    <w:rsid w:val="00DC2CBF"/>
    <w:rsid w:val="00DC3E7A"/>
    <w:rsid w:val="00DD4801"/>
    <w:rsid w:val="00DD5F9C"/>
    <w:rsid w:val="00DE318D"/>
    <w:rsid w:val="00DE486C"/>
    <w:rsid w:val="00DE535C"/>
    <w:rsid w:val="00DE62A2"/>
    <w:rsid w:val="00DE668A"/>
    <w:rsid w:val="00DF2B33"/>
    <w:rsid w:val="00DF317E"/>
    <w:rsid w:val="00DF32BC"/>
    <w:rsid w:val="00DF6F71"/>
    <w:rsid w:val="00E00517"/>
    <w:rsid w:val="00E0057B"/>
    <w:rsid w:val="00E00BA0"/>
    <w:rsid w:val="00E0667E"/>
    <w:rsid w:val="00E113B7"/>
    <w:rsid w:val="00E114E9"/>
    <w:rsid w:val="00E149F1"/>
    <w:rsid w:val="00E14C39"/>
    <w:rsid w:val="00E168EF"/>
    <w:rsid w:val="00E17667"/>
    <w:rsid w:val="00E20775"/>
    <w:rsid w:val="00E21753"/>
    <w:rsid w:val="00E2191B"/>
    <w:rsid w:val="00E22597"/>
    <w:rsid w:val="00E263C1"/>
    <w:rsid w:val="00E27C8A"/>
    <w:rsid w:val="00E30344"/>
    <w:rsid w:val="00E321B4"/>
    <w:rsid w:val="00E361AD"/>
    <w:rsid w:val="00E368E8"/>
    <w:rsid w:val="00E36C7E"/>
    <w:rsid w:val="00E4282E"/>
    <w:rsid w:val="00E42AFC"/>
    <w:rsid w:val="00E42E57"/>
    <w:rsid w:val="00E47310"/>
    <w:rsid w:val="00E476A0"/>
    <w:rsid w:val="00E47F0A"/>
    <w:rsid w:val="00E50B7E"/>
    <w:rsid w:val="00E50C4E"/>
    <w:rsid w:val="00E51313"/>
    <w:rsid w:val="00E51A38"/>
    <w:rsid w:val="00E55244"/>
    <w:rsid w:val="00E553E6"/>
    <w:rsid w:val="00E624D5"/>
    <w:rsid w:val="00E634A2"/>
    <w:rsid w:val="00E64A54"/>
    <w:rsid w:val="00E703D1"/>
    <w:rsid w:val="00E704DE"/>
    <w:rsid w:val="00E72C6A"/>
    <w:rsid w:val="00E73A59"/>
    <w:rsid w:val="00E759D4"/>
    <w:rsid w:val="00E85709"/>
    <w:rsid w:val="00E9252C"/>
    <w:rsid w:val="00E92599"/>
    <w:rsid w:val="00E940A5"/>
    <w:rsid w:val="00E95226"/>
    <w:rsid w:val="00EA069C"/>
    <w:rsid w:val="00EA202F"/>
    <w:rsid w:val="00EA2306"/>
    <w:rsid w:val="00EA2453"/>
    <w:rsid w:val="00EA4FE3"/>
    <w:rsid w:val="00EB0CE6"/>
    <w:rsid w:val="00EB62C6"/>
    <w:rsid w:val="00EC13B7"/>
    <w:rsid w:val="00EC2953"/>
    <w:rsid w:val="00EC4623"/>
    <w:rsid w:val="00EC674A"/>
    <w:rsid w:val="00ED60E2"/>
    <w:rsid w:val="00EE3270"/>
    <w:rsid w:val="00EE54B5"/>
    <w:rsid w:val="00EE6ADB"/>
    <w:rsid w:val="00EF1DA6"/>
    <w:rsid w:val="00EF3B3C"/>
    <w:rsid w:val="00EF4647"/>
    <w:rsid w:val="00F00832"/>
    <w:rsid w:val="00F00CBD"/>
    <w:rsid w:val="00F01A29"/>
    <w:rsid w:val="00F025FA"/>
    <w:rsid w:val="00F0342A"/>
    <w:rsid w:val="00F0663D"/>
    <w:rsid w:val="00F15C98"/>
    <w:rsid w:val="00F335B9"/>
    <w:rsid w:val="00F36F68"/>
    <w:rsid w:val="00F416F5"/>
    <w:rsid w:val="00F43AE1"/>
    <w:rsid w:val="00F43C7A"/>
    <w:rsid w:val="00F56C1B"/>
    <w:rsid w:val="00F60CC2"/>
    <w:rsid w:val="00F70A76"/>
    <w:rsid w:val="00F75E14"/>
    <w:rsid w:val="00F7739D"/>
    <w:rsid w:val="00F80156"/>
    <w:rsid w:val="00F803A9"/>
    <w:rsid w:val="00F8189A"/>
    <w:rsid w:val="00F83B0B"/>
    <w:rsid w:val="00F84F79"/>
    <w:rsid w:val="00F872AB"/>
    <w:rsid w:val="00FA3B78"/>
    <w:rsid w:val="00FA73CF"/>
    <w:rsid w:val="00FA7932"/>
    <w:rsid w:val="00FB470C"/>
    <w:rsid w:val="00FD11CB"/>
    <w:rsid w:val="00FD307C"/>
    <w:rsid w:val="00FD6885"/>
    <w:rsid w:val="00FD7B6E"/>
    <w:rsid w:val="00FE32FF"/>
    <w:rsid w:val="00FE3CA2"/>
    <w:rsid w:val="00FE429D"/>
    <w:rsid w:val="00FF05C8"/>
    <w:rsid w:val="00FF36C1"/>
    <w:rsid w:val="00FF38C8"/>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14:docId w14:val="6AC64C35"/>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nl-NL"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al">
    <w:name w:val="Normal"/>
    <w:qFormat/>
  </w:style>
  <w:style w:type="paragraph" w:styleId="Kop1">
    <w:name w:val="heading 1"/>
    <w:basedOn w:val="Normaal"/>
    <w:link w:val="Kop1Teken"/>
    <w:uiPriority w:val="9"/>
    <w:qFormat/>
    <w:rsid w:val="00DE668A"/>
    <w:pPr>
      <w:spacing w:before="100" w:beforeAutospacing="1" w:after="100" w:afterAutospacing="1"/>
      <w:outlineLvl w:val="0"/>
    </w:pPr>
    <w:rPr>
      <w:rFonts w:ascii="Times" w:hAnsi="Times"/>
      <w:b/>
      <w:bCs/>
      <w:kern w:val="36"/>
      <w:sz w:val="48"/>
      <w:szCs w:val="48"/>
      <w:lang w:eastAsia="en-US"/>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Ballontekst">
    <w:name w:val="Balloon Text"/>
    <w:basedOn w:val="Normaal"/>
    <w:link w:val="BallontekstTeken"/>
    <w:uiPriority w:val="99"/>
    <w:semiHidden/>
    <w:unhideWhenUsed/>
    <w:rsid w:val="00CA74E7"/>
    <w:rPr>
      <w:rFonts w:ascii="Lucida Grande" w:hAnsi="Lucida Grande" w:cs="Lucida Grande"/>
      <w:sz w:val="18"/>
      <w:szCs w:val="18"/>
    </w:rPr>
  </w:style>
  <w:style w:type="character" w:customStyle="1" w:styleId="BallontekstTeken">
    <w:name w:val="Ballontekst Teken"/>
    <w:basedOn w:val="Standaardalinea-lettertype"/>
    <w:link w:val="Ballontekst"/>
    <w:uiPriority w:val="99"/>
    <w:semiHidden/>
    <w:rsid w:val="00CA74E7"/>
    <w:rPr>
      <w:rFonts w:ascii="Lucida Grande" w:hAnsi="Lucida Grande" w:cs="Lucida Grande"/>
      <w:sz w:val="18"/>
      <w:szCs w:val="18"/>
    </w:rPr>
  </w:style>
  <w:style w:type="paragraph" w:styleId="Lijstalinea">
    <w:name w:val="List Paragraph"/>
    <w:basedOn w:val="Normaal"/>
    <w:uiPriority w:val="34"/>
    <w:qFormat/>
    <w:rsid w:val="004E5216"/>
    <w:pPr>
      <w:ind w:left="720"/>
      <w:contextualSpacing/>
    </w:pPr>
  </w:style>
  <w:style w:type="paragraph" w:styleId="Koptekst">
    <w:name w:val="header"/>
    <w:basedOn w:val="Normaal"/>
    <w:link w:val="KoptekstTeken"/>
    <w:uiPriority w:val="99"/>
    <w:unhideWhenUsed/>
    <w:rsid w:val="00DB071D"/>
    <w:pPr>
      <w:tabs>
        <w:tab w:val="center" w:pos="4513"/>
        <w:tab w:val="right" w:pos="9026"/>
      </w:tabs>
    </w:pPr>
  </w:style>
  <w:style w:type="character" w:customStyle="1" w:styleId="KoptekstTeken">
    <w:name w:val="Koptekst Teken"/>
    <w:basedOn w:val="Standaardalinea-lettertype"/>
    <w:link w:val="Koptekst"/>
    <w:uiPriority w:val="99"/>
    <w:rsid w:val="00DB071D"/>
  </w:style>
  <w:style w:type="paragraph" w:styleId="Voettekst">
    <w:name w:val="footer"/>
    <w:basedOn w:val="Normaal"/>
    <w:link w:val="VoettekstTeken"/>
    <w:uiPriority w:val="99"/>
    <w:unhideWhenUsed/>
    <w:rsid w:val="00DB071D"/>
    <w:pPr>
      <w:tabs>
        <w:tab w:val="center" w:pos="4513"/>
        <w:tab w:val="right" w:pos="9026"/>
      </w:tabs>
    </w:pPr>
  </w:style>
  <w:style w:type="character" w:customStyle="1" w:styleId="VoettekstTeken">
    <w:name w:val="Voettekst Teken"/>
    <w:basedOn w:val="Standaardalinea-lettertype"/>
    <w:link w:val="Voettekst"/>
    <w:uiPriority w:val="99"/>
    <w:rsid w:val="00DB071D"/>
  </w:style>
  <w:style w:type="character" w:styleId="Verwijzingopmerking">
    <w:name w:val="annotation reference"/>
    <w:basedOn w:val="Standaardalinea-lettertype"/>
    <w:uiPriority w:val="99"/>
    <w:semiHidden/>
    <w:unhideWhenUsed/>
    <w:rsid w:val="002D605A"/>
    <w:rPr>
      <w:sz w:val="18"/>
      <w:szCs w:val="18"/>
    </w:rPr>
  </w:style>
  <w:style w:type="paragraph" w:styleId="Tekstopmerking">
    <w:name w:val="annotation text"/>
    <w:basedOn w:val="Normaal"/>
    <w:link w:val="TekstopmerkingTeken"/>
    <w:uiPriority w:val="99"/>
    <w:semiHidden/>
    <w:unhideWhenUsed/>
    <w:rsid w:val="002D605A"/>
  </w:style>
  <w:style w:type="character" w:customStyle="1" w:styleId="TekstopmerkingTeken">
    <w:name w:val="Tekst opmerking Teken"/>
    <w:basedOn w:val="Standaardalinea-lettertype"/>
    <w:link w:val="Tekstopmerking"/>
    <w:uiPriority w:val="99"/>
    <w:semiHidden/>
    <w:rsid w:val="002D605A"/>
  </w:style>
  <w:style w:type="paragraph" w:styleId="Onderwerpvanopmerking">
    <w:name w:val="annotation subject"/>
    <w:basedOn w:val="Tekstopmerking"/>
    <w:next w:val="Tekstopmerking"/>
    <w:link w:val="OnderwerpvanopmerkingTeken"/>
    <w:uiPriority w:val="99"/>
    <w:semiHidden/>
    <w:unhideWhenUsed/>
    <w:rsid w:val="002D605A"/>
    <w:rPr>
      <w:b/>
      <w:bCs/>
      <w:sz w:val="20"/>
      <w:szCs w:val="20"/>
    </w:rPr>
  </w:style>
  <w:style w:type="character" w:customStyle="1" w:styleId="OnderwerpvanopmerkingTeken">
    <w:name w:val="Onderwerp van opmerking Teken"/>
    <w:basedOn w:val="TekstopmerkingTeken"/>
    <w:link w:val="Onderwerpvanopmerking"/>
    <w:uiPriority w:val="99"/>
    <w:semiHidden/>
    <w:rsid w:val="002D605A"/>
    <w:rPr>
      <w:b/>
      <w:bCs/>
      <w:sz w:val="20"/>
      <w:szCs w:val="20"/>
    </w:rPr>
  </w:style>
  <w:style w:type="paragraph" w:styleId="Revisie">
    <w:name w:val="Revision"/>
    <w:hidden/>
    <w:uiPriority w:val="99"/>
    <w:semiHidden/>
    <w:rsid w:val="00CA39E7"/>
  </w:style>
  <w:style w:type="paragraph" w:styleId="Geenafstand">
    <w:name w:val="No Spacing"/>
    <w:uiPriority w:val="1"/>
    <w:qFormat/>
    <w:rsid w:val="00B119EA"/>
  </w:style>
  <w:style w:type="character" w:customStyle="1" w:styleId="apple-converted-space">
    <w:name w:val="apple-converted-space"/>
    <w:basedOn w:val="Standaardalinea-lettertype"/>
    <w:rsid w:val="00DE668A"/>
  </w:style>
  <w:style w:type="character" w:customStyle="1" w:styleId="highlight">
    <w:name w:val="highlight"/>
    <w:basedOn w:val="Standaardalinea-lettertype"/>
    <w:rsid w:val="00DE668A"/>
  </w:style>
  <w:style w:type="paragraph" w:styleId="Titel">
    <w:name w:val="Title"/>
    <w:aliases w:val="title"/>
    <w:basedOn w:val="Normaal"/>
    <w:link w:val="TitelTeken"/>
    <w:uiPriority w:val="10"/>
    <w:qFormat/>
    <w:rsid w:val="00DE668A"/>
    <w:pPr>
      <w:spacing w:before="100" w:beforeAutospacing="1" w:after="100" w:afterAutospacing="1"/>
    </w:pPr>
    <w:rPr>
      <w:rFonts w:ascii="Times" w:eastAsiaTheme="minorHAnsi" w:hAnsi="Times"/>
      <w:sz w:val="20"/>
      <w:szCs w:val="20"/>
      <w:lang w:eastAsia="en-US"/>
    </w:rPr>
  </w:style>
  <w:style w:type="character" w:customStyle="1" w:styleId="TitelTeken">
    <w:name w:val="Titel Teken"/>
    <w:aliases w:val="title Teken"/>
    <w:basedOn w:val="Standaardalinea-lettertype"/>
    <w:link w:val="Titel"/>
    <w:uiPriority w:val="10"/>
    <w:rsid w:val="00DE668A"/>
    <w:rPr>
      <w:rFonts w:ascii="Times" w:eastAsiaTheme="minorHAnsi" w:hAnsi="Times"/>
      <w:sz w:val="20"/>
      <w:szCs w:val="20"/>
      <w:lang w:eastAsia="en-US"/>
    </w:rPr>
  </w:style>
  <w:style w:type="character" w:styleId="Hyperlink">
    <w:name w:val="Hyperlink"/>
    <w:basedOn w:val="Standaardalinea-lettertype"/>
    <w:uiPriority w:val="99"/>
    <w:unhideWhenUsed/>
    <w:rsid w:val="00DE668A"/>
    <w:rPr>
      <w:color w:val="0000FF"/>
      <w:u w:val="single"/>
    </w:rPr>
  </w:style>
  <w:style w:type="paragraph" w:customStyle="1" w:styleId="desc">
    <w:name w:val="desc"/>
    <w:basedOn w:val="Normaal"/>
    <w:rsid w:val="00DE668A"/>
    <w:pPr>
      <w:spacing w:before="100" w:beforeAutospacing="1" w:after="100" w:afterAutospacing="1"/>
    </w:pPr>
    <w:rPr>
      <w:rFonts w:ascii="Times" w:eastAsiaTheme="minorHAnsi" w:hAnsi="Times"/>
      <w:sz w:val="20"/>
      <w:szCs w:val="20"/>
      <w:lang w:eastAsia="en-US"/>
    </w:rPr>
  </w:style>
  <w:style w:type="paragraph" w:customStyle="1" w:styleId="details">
    <w:name w:val="details"/>
    <w:basedOn w:val="Normaal"/>
    <w:rsid w:val="00DE668A"/>
    <w:pPr>
      <w:spacing w:before="100" w:beforeAutospacing="1" w:after="100" w:afterAutospacing="1"/>
    </w:pPr>
    <w:rPr>
      <w:rFonts w:ascii="Times" w:eastAsiaTheme="minorHAnsi" w:hAnsi="Times"/>
      <w:sz w:val="20"/>
      <w:szCs w:val="20"/>
      <w:lang w:eastAsia="en-US"/>
    </w:rPr>
  </w:style>
  <w:style w:type="character" w:customStyle="1" w:styleId="jrnl">
    <w:name w:val="jrnl"/>
    <w:basedOn w:val="Standaardalinea-lettertype"/>
    <w:rsid w:val="00DE668A"/>
  </w:style>
  <w:style w:type="character" w:customStyle="1" w:styleId="Kop1Teken">
    <w:name w:val="Kop 1 Teken"/>
    <w:basedOn w:val="Standaardalinea-lettertype"/>
    <w:link w:val="Kop1"/>
    <w:uiPriority w:val="9"/>
    <w:rsid w:val="00DE668A"/>
    <w:rPr>
      <w:rFonts w:ascii="Times" w:hAnsi="Times"/>
      <w:b/>
      <w:bCs/>
      <w:kern w:val="36"/>
      <w:sz w:val="48"/>
      <w:szCs w:val="48"/>
      <w:lang w:eastAsia="en-US"/>
    </w:rPr>
  </w:style>
  <w:style w:type="paragraph" w:customStyle="1" w:styleId="Authors">
    <w:name w:val="Authors"/>
    <w:basedOn w:val="Normaal"/>
    <w:rsid w:val="00CE0763"/>
    <w:pPr>
      <w:spacing w:before="120" w:after="360"/>
      <w:jc w:val="center"/>
    </w:pPr>
    <w:rPr>
      <w:rFonts w:ascii="Arial" w:eastAsia="Times New Roman" w:hAnsi="Arial" w:cs="Times New Roman"/>
      <w:lang w:eastAsia="en-US"/>
    </w:rPr>
  </w:style>
  <w:style w:type="paragraph" w:customStyle="1" w:styleId="Head">
    <w:name w:val="Head"/>
    <w:basedOn w:val="Normaal"/>
    <w:rsid w:val="00CE0763"/>
    <w:pPr>
      <w:keepNext/>
      <w:spacing w:before="120" w:after="120"/>
      <w:jc w:val="center"/>
      <w:outlineLvl w:val="0"/>
    </w:pPr>
    <w:rPr>
      <w:rFonts w:ascii="Arial" w:eastAsia="Times New Roman" w:hAnsi="Arial" w:cs="Times New Roman"/>
      <w:b/>
      <w:bCs/>
      <w:kern w:val="28"/>
      <w:sz w:val="28"/>
      <w:szCs w:val="28"/>
      <w:lang w:eastAsia="en-US"/>
    </w:rPr>
  </w:style>
  <w:style w:type="character" w:styleId="Regelnummer">
    <w:name w:val="line number"/>
    <w:basedOn w:val="Standaardalinea-lettertype"/>
    <w:uiPriority w:val="99"/>
    <w:semiHidden/>
    <w:unhideWhenUsed/>
    <w:rsid w:val="00646529"/>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nl-NL"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al">
    <w:name w:val="Normal"/>
    <w:qFormat/>
  </w:style>
  <w:style w:type="paragraph" w:styleId="Kop1">
    <w:name w:val="heading 1"/>
    <w:basedOn w:val="Normaal"/>
    <w:link w:val="Kop1Teken"/>
    <w:uiPriority w:val="9"/>
    <w:qFormat/>
    <w:rsid w:val="00DE668A"/>
    <w:pPr>
      <w:spacing w:before="100" w:beforeAutospacing="1" w:after="100" w:afterAutospacing="1"/>
      <w:outlineLvl w:val="0"/>
    </w:pPr>
    <w:rPr>
      <w:rFonts w:ascii="Times" w:hAnsi="Times"/>
      <w:b/>
      <w:bCs/>
      <w:kern w:val="36"/>
      <w:sz w:val="48"/>
      <w:szCs w:val="48"/>
      <w:lang w:eastAsia="en-US"/>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Ballontekst">
    <w:name w:val="Balloon Text"/>
    <w:basedOn w:val="Normaal"/>
    <w:link w:val="BallontekstTeken"/>
    <w:uiPriority w:val="99"/>
    <w:semiHidden/>
    <w:unhideWhenUsed/>
    <w:rsid w:val="00CA74E7"/>
    <w:rPr>
      <w:rFonts w:ascii="Lucida Grande" w:hAnsi="Lucida Grande" w:cs="Lucida Grande"/>
      <w:sz w:val="18"/>
      <w:szCs w:val="18"/>
    </w:rPr>
  </w:style>
  <w:style w:type="character" w:customStyle="1" w:styleId="BallontekstTeken">
    <w:name w:val="Ballontekst Teken"/>
    <w:basedOn w:val="Standaardalinea-lettertype"/>
    <w:link w:val="Ballontekst"/>
    <w:uiPriority w:val="99"/>
    <w:semiHidden/>
    <w:rsid w:val="00CA74E7"/>
    <w:rPr>
      <w:rFonts w:ascii="Lucida Grande" w:hAnsi="Lucida Grande" w:cs="Lucida Grande"/>
      <w:sz w:val="18"/>
      <w:szCs w:val="18"/>
    </w:rPr>
  </w:style>
  <w:style w:type="paragraph" w:styleId="Lijstalinea">
    <w:name w:val="List Paragraph"/>
    <w:basedOn w:val="Normaal"/>
    <w:uiPriority w:val="34"/>
    <w:qFormat/>
    <w:rsid w:val="004E5216"/>
    <w:pPr>
      <w:ind w:left="720"/>
      <w:contextualSpacing/>
    </w:pPr>
  </w:style>
  <w:style w:type="paragraph" w:styleId="Koptekst">
    <w:name w:val="header"/>
    <w:basedOn w:val="Normaal"/>
    <w:link w:val="KoptekstTeken"/>
    <w:uiPriority w:val="99"/>
    <w:unhideWhenUsed/>
    <w:rsid w:val="00DB071D"/>
    <w:pPr>
      <w:tabs>
        <w:tab w:val="center" w:pos="4513"/>
        <w:tab w:val="right" w:pos="9026"/>
      </w:tabs>
    </w:pPr>
  </w:style>
  <w:style w:type="character" w:customStyle="1" w:styleId="KoptekstTeken">
    <w:name w:val="Koptekst Teken"/>
    <w:basedOn w:val="Standaardalinea-lettertype"/>
    <w:link w:val="Koptekst"/>
    <w:uiPriority w:val="99"/>
    <w:rsid w:val="00DB071D"/>
  </w:style>
  <w:style w:type="paragraph" w:styleId="Voettekst">
    <w:name w:val="footer"/>
    <w:basedOn w:val="Normaal"/>
    <w:link w:val="VoettekstTeken"/>
    <w:uiPriority w:val="99"/>
    <w:unhideWhenUsed/>
    <w:rsid w:val="00DB071D"/>
    <w:pPr>
      <w:tabs>
        <w:tab w:val="center" w:pos="4513"/>
        <w:tab w:val="right" w:pos="9026"/>
      </w:tabs>
    </w:pPr>
  </w:style>
  <w:style w:type="character" w:customStyle="1" w:styleId="VoettekstTeken">
    <w:name w:val="Voettekst Teken"/>
    <w:basedOn w:val="Standaardalinea-lettertype"/>
    <w:link w:val="Voettekst"/>
    <w:uiPriority w:val="99"/>
    <w:rsid w:val="00DB071D"/>
  </w:style>
  <w:style w:type="character" w:styleId="Verwijzingopmerking">
    <w:name w:val="annotation reference"/>
    <w:basedOn w:val="Standaardalinea-lettertype"/>
    <w:uiPriority w:val="99"/>
    <w:semiHidden/>
    <w:unhideWhenUsed/>
    <w:rsid w:val="002D605A"/>
    <w:rPr>
      <w:sz w:val="18"/>
      <w:szCs w:val="18"/>
    </w:rPr>
  </w:style>
  <w:style w:type="paragraph" w:styleId="Tekstopmerking">
    <w:name w:val="annotation text"/>
    <w:basedOn w:val="Normaal"/>
    <w:link w:val="TekstopmerkingTeken"/>
    <w:uiPriority w:val="99"/>
    <w:semiHidden/>
    <w:unhideWhenUsed/>
    <w:rsid w:val="002D605A"/>
  </w:style>
  <w:style w:type="character" w:customStyle="1" w:styleId="TekstopmerkingTeken">
    <w:name w:val="Tekst opmerking Teken"/>
    <w:basedOn w:val="Standaardalinea-lettertype"/>
    <w:link w:val="Tekstopmerking"/>
    <w:uiPriority w:val="99"/>
    <w:semiHidden/>
    <w:rsid w:val="002D605A"/>
  </w:style>
  <w:style w:type="paragraph" w:styleId="Onderwerpvanopmerking">
    <w:name w:val="annotation subject"/>
    <w:basedOn w:val="Tekstopmerking"/>
    <w:next w:val="Tekstopmerking"/>
    <w:link w:val="OnderwerpvanopmerkingTeken"/>
    <w:uiPriority w:val="99"/>
    <w:semiHidden/>
    <w:unhideWhenUsed/>
    <w:rsid w:val="002D605A"/>
    <w:rPr>
      <w:b/>
      <w:bCs/>
      <w:sz w:val="20"/>
      <w:szCs w:val="20"/>
    </w:rPr>
  </w:style>
  <w:style w:type="character" w:customStyle="1" w:styleId="OnderwerpvanopmerkingTeken">
    <w:name w:val="Onderwerp van opmerking Teken"/>
    <w:basedOn w:val="TekstopmerkingTeken"/>
    <w:link w:val="Onderwerpvanopmerking"/>
    <w:uiPriority w:val="99"/>
    <w:semiHidden/>
    <w:rsid w:val="002D605A"/>
    <w:rPr>
      <w:b/>
      <w:bCs/>
      <w:sz w:val="20"/>
      <w:szCs w:val="20"/>
    </w:rPr>
  </w:style>
  <w:style w:type="paragraph" w:styleId="Revisie">
    <w:name w:val="Revision"/>
    <w:hidden/>
    <w:uiPriority w:val="99"/>
    <w:semiHidden/>
    <w:rsid w:val="00CA39E7"/>
  </w:style>
  <w:style w:type="paragraph" w:styleId="Geenafstand">
    <w:name w:val="No Spacing"/>
    <w:uiPriority w:val="1"/>
    <w:qFormat/>
    <w:rsid w:val="00B119EA"/>
  </w:style>
  <w:style w:type="character" w:customStyle="1" w:styleId="apple-converted-space">
    <w:name w:val="apple-converted-space"/>
    <w:basedOn w:val="Standaardalinea-lettertype"/>
    <w:rsid w:val="00DE668A"/>
  </w:style>
  <w:style w:type="character" w:customStyle="1" w:styleId="highlight">
    <w:name w:val="highlight"/>
    <w:basedOn w:val="Standaardalinea-lettertype"/>
    <w:rsid w:val="00DE668A"/>
  </w:style>
  <w:style w:type="paragraph" w:styleId="Titel">
    <w:name w:val="Title"/>
    <w:aliases w:val="title"/>
    <w:basedOn w:val="Normaal"/>
    <w:link w:val="TitelTeken"/>
    <w:uiPriority w:val="10"/>
    <w:qFormat/>
    <w:rsid w:val="00DE668A"/>
    <w:pPr>
      <w:spacing w:before="100" w:beforeAutospacing="1" w:after="100" w:afterAutospacing="1"/>
    </w:pPr>
    <w:rPr>
      <w:rFonts w:ascii="Times" w:eastAsiaTheme="minorHAnsi" w:hAnsi="Times"/>
      <w:sz w:val="20"/>
      <w:szCs w:val="20"/>
      <w:lang w:eastAsia="en-US"/>
    </w:rPr>
  </w:style>
  <w:style w:type="character" w:customStyle="1" w:styleId="TitelTeken">
    <w:name w:val="Titel Teken"/>
    <w:aliases w:val="title Teken"/>
    <w:basedOn w:val="Standaardalinea-lettertype"/>
    <w:link w:val="Titel"/>
    <w:uiPriority w:val="10"/>
    <w:rsid w:val="00DE668A"/>
    <w:rPr>
      <w:rFonts w:ascii="Times" w:eastAsiaTheme="minorHAnsi" w:hAnsi="Times"/>
      <w:sz w:val="20"/>
      <w:szCs w:val="20"/>
      <w:lang w:eastAsia="en-US"/>
    </w:rPr>
  </w:style>
  <w:style w:type="character" w:styleId="Hyperlink">
    <w:name w:val="Hyperlink"/>
    <w:basedOn w:val="Standaardalinea-lettertype"/>
    <w:uiPriority w:val="99"/>
    <w:unhideWhenUsed/>
    <w:rsid w:val="00DE668A"/>
    <w:rPr>
      <w:color w:val="0000FF"/>
      <w:u w:val="single"/>
    </w:rPr>
  </w:style>
  <w:style w:type="paragraph" w:customStyle="1" w:styleId="desc">
    <w:name w:val="desc"/>
    <w:basedOn w:val="Normaal"/>
    <w:rsid w:val="00DE668A"/>
    <w:pPr>
      <w:spacing w:before="100" w:beforeAutospacing="1" w:after="100" w:afterAutospacing="1"/>
    </w:pPr>
    <w:rPr>
      <w:rFonts w:ascii="Times" w:eastAsiaTheme="minorHAnsi" w:hAnsi="Times"/>
      <w:sz w:val="20"/>
      <w:szCs w:val="20"/>
      <w:lang w:eastAsia="en-US"/>
    </w:rPr>
  </w:style>
  <w:style w:type="paragraph" w:customStyle="1" w:styleId="details">
    <w:name w:val="details"/>
    <w:basedOn w:val="Normaal"/>
    <w:rsid w:val="00DE668A"/>
    <w:pPr>
      <w:spacing w:before="100" w:beforeAutospacing="1" w:after="100" w:afterAutospacing="1"/>
    </w:pPr>
    <w:rPr>
      <w:rFonts w:ascii="Times" w:eastAsiaTheme="minorHAnsi" w:hAnsi="Times"/>
      <w:sz w:val="20"/>
      <w:szCs w:val="20"/>
      <w:lang w:eastAsia="en-US"/>
    </w:rPr>
  </w:style>
  <w:style w:type="character" w:customStyle="1" w:styleId="jrnl">
    <w:name w:val="jrnl"/>
    <w:basedOn w:val="Standaardalinea-lettertype"/>
    <w:rsid w:val="00DE668A"/>
  </w:style>
  <w:style w:type="character" w:customStyle="1" w:styleId="Kop1Teken">
    <w:name w:val="Kop 1 Teken"/>
    <w:basedOn w:val="Standaardalinea-lettertype"/>
    <w:link w:val="Kop1"/>
    <w:uiPriority w:val="9"/>
    <w:rsid w:val="00DE668A"/>
    <w:rPr>
      <w:rFonts w:ascii="Times" w:hAnsi="Times"/>
      <w:b/>
      <w:bCs/>
      <w:kern w:val="36"/>
      <w:sz w:val="48"/>
      <w:szCs w:val="48"/>
      <w:lang w:eastAsia="en-US"/>
    </w:rPr>
  </w:style>
  <w:style w:type="paragraph" w:customStyle="1" w:styleId="Authors">
    <w:name w:val="Authors"/>
    <w:basedOn w:val="Normaal"/>
    <w:rsid w:val="00CE0763"/>
    <w:pPr>
      <w:spacing w:before="120" w:after="360"/>
      <w:jc w:val="center"/>
    </w:pPr>
    <w:rPr>
      <w:rFonts w:ascii="Arial" w:eastAsia="Times New Roman" w:hAnsi="Arial" w:cs="Times New Roman"/>
      <w:lang w:eastAsia="en-US"/>
    </w:rPr>
  </w:style>
  <w:style w:type="paragraph" w:customStyle="1" w:styleId="Head">
    <w:name w:val="Head"/>
    <w:basedOn w:val="Normaal"/>
    <w:rsid w:val="00CE0763"/>
    <w:pPr>
      <w:keepNext/>
      <w:spacing w:before="120" w:after="120"/>
      <w:jc w:val="center"/>
      <w:outlineLvl w:val="0"/>
    </w:pPr>
    <w:rPr>
      <w:rFonts w:ascii="Arial" w:eastAsia="Times New Roman" w:hAnsi="Arial" w:cs="Times New Roman"/>
      <w:b/>
      <w:bCs/>
      <w:kern w:val="28"/>
      <w:sz w:val="28"/>
      <w:szCs w:val="28"/>
      <w:lang w:eastAsia="en-US"/>
    </w:rPr>
  </w:style>
  <w:style w:type="character" w:styleId="Regelnummer">
    <w:name w:val="line number"/>
    <w:basedOn w:val="Standaardalinea-lettertype"/>
    <w:uiPriority w:val="99"/>
    <w:semiHidden/>
    <w:unhideWhenUsed/>
    <w:rsid w:val="0064652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9090648">
      <w:bodyDiv w:val="1"/>
      <w:marLeft w:val="0"/>
      <w:marRight w:val="0"/>
      <w:marTop w:val="0"/>
      <w:marBottom w:val="0"/>
      <w:divBdr>
        <w:top w:val="none" w:sz="0" w:space="0" w:color="auto"/>
        <w:left w:val="none" w:sz="0" w:space="0" w:color="auto"/>
        <w:bottom w:val="none" w:sz="0" w:space="0" w:color="auto"/>
        <w:right w:val="none" w:sz="0" w:space="0" w:color="auto"/>
      </w:divBdr>
    </w:div>
    <w:div w:id="58092696">
      <w:bodyDiv w:val="1"/>
      <w:marLeft w:val="0"/>
      <w:marRight w:val="0"/>
      <w:marTop w:val="0"/>
      <w:marBottom w:val="0"/>
      <w:divBdr>
        <w:top w:val="none" w:sz="0" w:space="0" w:color="auto"/>
        <w:left w:val="none" w:sz="0" w:space="0" w:color="auto"/>
        <w:bottom w:val="none" w:sz="0" w:space="0" w:color="auto"/>
        <w:right w:val="none" w:sz="0" w:space="0" w:color="auto"/>
      </w:divBdr>
    </w:div>
    <w:div w:id="133715669">
      <w:bodyDiv w:val="1"/>
      <w:marLeft w:val="0"/>
      <w:marRight w:val="0"/>
      <w:marTop w:val="0"/>
      <w:marBottom w:val="0"/>
      <w:divBdr>
        <w:top w:val="none" w:sz="0" w:space="0" w:color="auto"/>
        <w:left w:val="none" w:sz="0" w:space="0" w:color="auto"/>
        <w:bottom w:val="none" w:sz="0" w:space="0" w:color="auto"/>
        <w:right w:val="none" w:sz="0" w:space="0" w:color="auto"/>
      </w:divBdr>
    </w:div>
    <w:div w:id="144125643">
      <w:bodyDiv w:val="1"/>
      <w:marLeft w:val="0"/>
      <w:marRight w:val="0"/>
      <w:marTop w:val="0"/>
      <w:marBottom w:val="0"/>
      <w:divBdr>
        <w:top w:val="none" w:sz="0" w:space="0" w:color="auto"/>
        <w:left w:val="none" w:sz="0" w:space="0" w:color="auto"/>
        <w:bottom w:val="none" w:sz="0" w:space="0" w:color="auto"/>
        <w:right w:val="none" w:sz="0" w:space="0" w:color="auto"/>
      </w:divBdr>
    </w:div>
    <w:div w:id="164247025">
      <w:bodyDiv w:val="1"/>
      <w:marLeft w:val="0"/>
      <w:marRight w:val="0"/>
      <w:marTop w:val="0"/>
      <w:marBottom w:val="0"/>
      <w:divBdr>
        <w:top w:val="none" w:sz="0" w:space="0" w:color="auto"/>
        <w:left w:val="none" w:sz="0" w:space="0" w:color="auto"/>
        <w:bottom w:val="none" w:sz="0" w:space="0" w:color="auto"/>
        <w:right w:val="none" w:sz="0" w:space="0" w:color="auto"/>
      </w:divBdr>
    </w:div>
    <w:div w:id="189075345">
      <w:bodyDiv w:val="1"/>
      <w:marLeft w:val="0"/>
      <w:marRight w:val="0"/>
      <w:marTop w:val="0"/>
      <w:marBottom w:val="0"/>
      <w:divBdr>
        <w:top w:val="none" w:sz="0" w:space="0" w:color="auto"/>
        <w:left w:val="none" w:sz="0" w:space="0" w:color="auto"/>
        <w:bottom w:val="none" w:sz="0" w:space="0" w:color="auto"/>
        <w:right w:val="none" w:sz="0" w:space="0" w:color="auto"/>
      </w:divBdr>
      <w:divsChild>
        <w:div w:id="492988530">
          <w:marLeft w:val="446"/>
          <w:marRight w:val="0"/>
          <w:marTop w:val="0"/>
          <w:marBottom w:val="0"/>
          <w:divBdr>
            <w:top w:val="none" w:sz="0" w:space="0" w:color="auto"/>
            <w:left w:val="none" w:sz="0" w:space="0" w:color="auto"/>
            <w:bottom w:val="none" w:sz="0" w:space="0" w:color="auto"/>
            <w:right w:val="none" w:sz="0" w:space="0" w:color="auto"/>
          </w:divBdr>
        </w:div>
        <w:div w:id="1361778101">
          <w:marLeft w:val="446"/>
          <w:marRight w:val="0"/>
          <w:marTop w:val="0"/>
          <w:marBottom w:val="0"/>
          <w:divBdr>
            <w:top w:val="none" w:sz="0" w:space="0" w:color="auto"/>
            <w:left w:val="none" w:sz="0" w:space="0" w:color="auto"/>
            <w:bottom w:val="none" w:sz="0" w:space="0" w:color="auto"/>
            <w:right w:val="none" w:sz="0" w:space="0" w:color="auto"/>
          </w:divBdr>
        </w:div>
        <w:div w:id="1942254932">
          <w:marLeft w:val="446"/>
          <w:marRight w:val="0"/>
          <w:marTop w:val="0"/>
          <w:marBottom w:val="0"/>
          <w:divBdr>
            <w:top w:val="none" w:sz="0" w:space="0" w:color="auto"/>
            <w:left w:val="none" w:sz="0" w:space="0" w:color="auto"/>
            <w:bottom w:val="none" w:sz="0" w:space="0" w:color="auto"/>
            <w:right w:val="none" w:sz="0" w:space="0" w:color="auto"/>
          </w:divBdr>
        </w:div>
      </w:divsChild>
    </w:div>
    <w:div w:id="211037266">
      <w:bodyDiv w:val="1"/>
      <w:marLeft w:val="0"/>
      <w:marRight w:val="0"/>
      <w:marTop w:val="0"/>
      <w:marBottom w:val="0"/>
      <w:divBdr>
        <w:top w:val="none" w:sz="0" w:space="0" w:color="auto"/>
        <w:left w:val="none" w:sz="0" w:space="0" w:color="auto"/>
        <w:bottom w:val="none" w:sz="0" w:space="0" w:color="auto"/>
        <w:right w:val="none" w:sz="0" w:space="0" w:color="auto"/>
      </w:divBdr>
    </w:div>
    <w:div w:id="263879573">
      <w:bodyDiv w:val="1"/>
      <w:marLeft w:val="0"/>
      <w:marRight w:val="0"/>
      <w:marTop w:val="0"/>
      <w:marBottom w:val="0"/>
      <w:divBdr>
        <w:top w:val="none" w:sz="0" w:space="0" w:color="auto"/>
        <w:left w:val="none" w:sz="0" w:space="0" w:color="auto"/>
        <w:bottom w:val="none" w:sz="0" w:space="0" w:color="auto"/>
        <w:right w:val="none" w:sz="0" w:space="0" w:color="auto"/>
      </w:divBdr>
    </w:div>
    <w:div w:id="270012104">
      <w:bodyDiv w:val="1"/>
      <w:marLeft w:val="0"/>
      <w:marRight w:val="0"/>
      <w:marTop w:val="0"/>
      <w:marBottom w:val="0"/>
      <w:divBdr>
        <w:top w:val="none" w:sz="0" w:space="0" w:color="auto"/>
        <w:left w:val="none" w:sz="0" w:space="0" w:color="auto"/>
        <w:bottom w:val="none" w:sz="0" w:space="0" w:color="auto"/>
        <w:right w:val="none" w:sz="0" w:space="0" w:color="auto"/>
      </w:divBdr>
    </w:div>
    <w:div w:id="298457416">
      <w:bodyDiv w:val="1"/>
      <w:marLeft w:val="0"/>
      <w:marRight w:val="0"/>
      <w:marTop w:val="0"/>
      <w:marBottom w:val="0"/>
      <w:divBdr>
        <w:top w:val="none" w:sz="0" w:space="0" w:color="auto"/>
        <w:left w:val="none" w:sz="0" w:space="0" w:color="auto"/>
        <w:bottom w:val="none" w:sz="0" w:space="0" w:color="auto"/>
        <w:right w:val="none" w:sz="0" w:space="0" w:color="auto"/>
      </w:divBdr>
    </w:div>
    <w:div w:id="390233251">
      <w:bodyDiv w:val="1"/>
      <w:marLeft w:val="0"/>
      <w:marRight w:val="0"/>
      <w:marTop w:val="0"/>
      <w:marBottom w:val="0"/>
      <w:divBdr>
        <w:top w:val="none" w:sz="0" w:space="0" w:color="auto"/>
        <w:left w:val="none" w:sz="0" w:space="0" w:color="auto"/>
        <w:bottom w:val="none" w:sz="0" w:space="0" w:color="auto"/>
        <w:right w:val="none" w:sz="0" w:space="0" w:color="auto"/>
      </w:divBdr>
    </w:div>
    <w:div w:id="407656761">
      <w:bodyDiv w:val="1"/>
      <w:marLeft w:val="0"/>
      <w:marRight w:val="0"/>
      <w:marTop w:val="0"/>
      <w:marBottom w:val="0"/>
      <w:divBdr>
        <w:top w:val="none" w:sz="0" w:space="0" w:color="auto"/>
        <w:left w:val="none" w:sz="0" w:space="0" w:color="auto"/>
        <w:bottom w:val="none" w:sz="0" w:space="0" w:color="auto"/>
        <w:right w:val="none" w:sz="0" w:space="0" w:color="auto"/>
      </w:divBdr>
    </w:div>
    <w:div w:id="464323275">
      <w:bodyDiv w:val="1"/>
      <w:marLeft w:val="0"/>
      <w:marRight w:val="0"/>
      <w:marTop w:val="0"/>
      <w:marBottom w:val="0"/>
      <w:divBdr>
        <w:top w:val="none" w:sz="0" w:space="0" w:color="auto"/>
        <w:left w:val="none" w:sz="0" w:space="0" w:color="auto"/>
        <w:bottom w:val="none" w:sz="0" w:space="0" w:color="auto"/>
        <w:right w:val="none" w:sz="0" w:space="0" w:color="auto"/>
      </w:divBdr>
    </w:div>
    <w:div w:id="510990935">
      <w:bodyDiv w:val="1"/>
      <w:marLeft w:val="0"/>
      <w:marRight w:val="0"/>
      <w:marTop w:val="0"/>
      <w:marBottom w:val="0"/>
      <w:divBdr>
        <w:top w:val="none" w:sz="0" w:space="0" w:color="auto"/>
        <w:left w:val="none" w:sz="0" w:space="0" w:color="auto"/>
        <w:bottom w:val="none" w:sz="0" w:space="0" w:color="auto"/>
        <w:right w:val="none" w:sz="0" w:space="0" w:color="auto"/>
      </w:divBdr>
    </w:div>
    <w:div w:id="512653264">
      <w:bodyDiv w:val="1"/>
      <w:marLeft w:val="0"/>
      <w:marRight w:val="0"/>
      <w:marTop w:val="0"/>
      <w:marBottom w:val="0"/>
      <w:divBdr>
        <w:top w:val="none" w:sz="0" w:space="0" w:color="auto"/>
        <w:left w:val="none" w:sz="0" w:space="0" w:color="auto"/>
        <w:bottom w:val="none" w:sz="0" w:space="0" w:color="auto"/>
        <w:right w:val="none" w:sz="0" w:space="0" w:color="auto"/>
      </w:divBdr>
      <w:divsChild>
        <w:div w:id="1803382402">
          <w:marLeft w:val="0"/>
          <w:marRight w:val="0"/>
          <w:marTop w:val="34"/>
          <w:marBottom w:val="34"/>
          <w:divBdr>
            <w:top w:val="none" w:sz="0" w:space="0" w:color="auto"/>
            <w:left w:val="none" w:sz="0" w:space="0" w:color="auto"/>
            <w:bottom w:val="none" w:sz="0" w:space="0" w:color="auto"/>
            <w:right w:val="none" w:sz="0" w:space="0" w:color="auto"/>
          </w:divBdr>
        </w:div>
      </w:divsChild>
    </w:div>
    <w:div w:id="533887373">
      <w:bodyDiv w:val="1"/>
      <w:marLeft w:val="0"/>
      <w:marRight w:val="0"/>
      <w:marTop w:val="0"/>
      <w:marBottom w:val="0"/>
      <w:divBdr>
        <w:top w:val="none" w:sz="0" w:space="0" w:color="auto"/>
        <w:left w:val="none" w:sz="0" w:space="0" w:color="auto"/>
        <w:bottom w:val="none" w:sz="0" w:space="0" w:color="auto"/>
        <w:right w:val="none" w:sz="0" w:space="0" w:color="auto"/>
      </w:divBdr>
    </w:div>
    <w:div w:id="542984998">
      <w:bodyDiv w:val="1"/>
      <w:marLeft w:val="0"/>
      <w:marRight w:val="0"/>
      <w:marTop w:val="0"/>
      <w:marBottom w:val="0"/>
      <w:divBdr>
        <w:top w:val="none" w:sz="0" w:space="0" w:color="auto"/>
        <w:left w:val="none" w:sz="0" w:space="0" w:color="auto"/>
        <w:bottom w:val="none" w:sz="0" w:space="0" w:color="auto"/>
        <w:right w:val="none" w:sz="0" w:space="0" w:color="auto"/>
      </w:divBdr>
    </w:div>
    <w:div w:id="598222949">
      <w:bodyDiv w:val="1"/>
      <w:marLeft w:val="0"/>
      <w:marRight w:val="0"/>
      <w:marTop w:val="0"/>
      <w:marBottom w:val="0"/>
      <w:divBdr>
        <w:top w:val="none" w:sz="0" w:space="0" w:color="auto"/>
        <w:left w:val="none" w:sz="0" w:space="0" w:color="auto"/>
        <w:bottom w:val="none" w:sz="0" w:space="0" w:color="auto"/>
        <w:right w:val="none" w:sz="0" w:space="0" w:color="auto"/>
      </w:divBdr>
    </w:div>
    <w:div w:id="602231013">
      <w:bodyDiv w:val="1"/>
      <w:marLeft w:val="0"/>
      <w:marRight w:val="0"/>
      <w:marTop w:val="0"/>
      <w:marBottom w:val="0"/>
      <w:divBdr>
        <w:top w:val="none" w:sz="0" w:space="0" w:color="auto"/>
        <w:left w:val="none" w:sz="0" w:space="0" w:color="auto"/>
        <w:bottom w:val="none" w:sz="0" w:space="0" w:color="auto"/>
        <w:right w:val="none" w:sz="0" w:space="0" w:color="auto"/>
      </w:divBdr>
    </w:div>
    <w:div w:id="602566952">
      <w:bodyDiv w:val="1"/>
      <w:marLeft w:val="0"/>
      <w:marRight w:val="0"/>
      <w:marTop w:val="0"/>
      <w:marBottom w:val="0"/>
      <w:divBdr>
        <w:top w:val="none" w:sz="0" w:space="0" w:color="auto"/>
        <w:left w:val="none" w:sz="0" w:space="0" w:color="auto"/>
        <w:bottom w:val="none" w:sz="0" w:space="0" w:color="auto"/>
        <w:right w:val="none" w:sz="0" w:space="0" w:color="auto"/>
      </w:divBdr>
    </w:div>
    <w:div w:id="611546680">
      <w:bodyDiv w:val="1"/>
      <w:marLeft w:val="0"/>
      <w:marRight w:val="0"/>
      <w:marTop w:val="0"/>
      <w:marBottom w:val="0"/>
      <w:divBdr>
        <w:top w:val="none" w:sz="0" w:space="0" w:color="auto"/>
        <w:left w:val="none" w:sz="0" w:space="0" w:color="auto"/>
        <w:bottom w:val="none" w:sz="0" w:space="0" w:color="auto"/>
        <w:right w:val="none" w:sz="0" w:space="0" w:color="auto"/>
      </w:divBdr>
    </w:div>
    <w:div w:id="616062409">
      <w:bodyDiv w:val="1"/>
      <w:marLeft w:val="0"/>
      <w:marRight w:val="0"/>
      <w:marTop w:val="0"/>
      <w:marBottom w:val="0"/>
      <w:divBdr>
        <w:top w:val="none" w:sz="0" w:space="0" w:color="auto"/>
        <w:left w:val="none" w:sz="0" w:space="0" w:color="auto"/>
        <w:bottom w:val="none" w:sz="0" w:space="0" w:color="auto"/>
        <w:right w:val="none" w:sz="0" w:space="0" w:color="auto"/>
      </w:divBdr>
    </w:div>
    <w:div w:id="646518044">
      <w:bodyDiv w:val="1"/>
      <w:marLeft w:val="0"/>
      <w:marRight w:val="0"/>
      <w:marTop w:val="0"/>
      <w:marBottom w:val="0"/>
      <w:divBdr>
        <w:top w:val="none" w:sz="0" w:space="0" w:color="auto"/>
        <w:left w:val="none" w:sz="0" w:space="0" w:color="auto"/>
        <w:bottom w:val="none" w:sz="0" w:space="0" w:color="auto"/>
        <w:right w:val="none" w:sz="0" w:space="0" w:color="auto"/>
      </w:divBdr>
    </w:div>
    <w:div w:id="647899952">
      <w:bodyDiv w:val="1"/>
      <w:marLeft w:val="0"/>
      <w:marRight w:val="0"/>
      <w:marTop w:val="0"/>
      <w:marBottom w:val="0"/>
      <w:divBdr>
        <w:top w:val="none" w:sz="0" w:space="0" w:color="auto"/>
        <w:left w:val="none" w:sz="0" w:space="0" w:color="auto"/>
        <w:bottom w:val="none" w:sz="0" w:space="0" w:color="auto"/>
        <w:right w:val="none" w:sz="0" w:space="0" w:color="auto"/>
      </w:divBdr>
    </w:div>
    <w:div w:id="652609777">
      <w:bodyDiv w:val="1"/>
      <w:marLeft w:val="0"/>
      <w:marRight w:val="0"/>
      <w:marTop w:val="0"/>
      <w:marBottom w:val="0"/>
      <w:divBdr>
        <w:top w:val="none" w:sz="0" w:space="0" w:color="auto"/>
        <w:left w:val="none" w:sz="0" w:space="0" w:color="auto"/>
        <w:bottom w:val="none" w:sz="0" w:space="0" w:color="auto"/>
        <w:right w:val="none" w:sz="0" w:space="0" w:color="auto"/>
      </w:divBdr>
    </w:div>
    <w:div w:id="769467065">
      <w:bodyDiv w:val="1"/>
      <w:marLeft w:val="0"/>
      <w:marRight w:val="0"/>
      <w:marTop w:val="0"/>
      <w:marBottom w:val="0"/>
      <w:divBdr>
        <w:top w:val="none" w:sz="0" w:space="0" w:color="auto"/>
        <w:left w:val="none" w:sz="0" w:space="0" w:color="auto"/>
        <w:bottom w:val="none" w:sz="0" w:space="0" w:color="auto"/>
        <w:right w:val="none" w:sz="0" w:space="0" w:color="auto"/>
      </w:divBdr>
      <w:divsChild>
        <w:div w:id="2070759417">
          <w:marLeft w:val="0"/>
          <w:marRight w:val="0"/>
          <w:marTop w:val="34"/>
          <w:marBottom w:val="34"/>
          <w:divBdr>
            <w:top w:val="none" w:sz="0" w:space="0" w:color="auto"/>
            <w:left w:val="none" w:sz="0" w:space="0" w:color="auto"/>
            <w:bottom w:val="none" w:sz="0" w:space="0" w:color="auto"/>
            <w:right w:val="none" w:sz="0" w:space="0" w:color="auto"/>
          </w:divBdr>
        </w:div>
      </w:divsChild>
    </w:div>
    <w:div w:id="846989037">
      <w:bodyDiv w:val="1"/>
      <w:marLeft w:val="0"/>
      <w:marRight w:val="0"/>
      <w:marTop w:val="0"/>
      <w:marBottom w:val="0"/>
      <w:divBdr>
        <w:top w:val="none" w:sz="0" w:space="0" w:color="auto"/>
        <w:left w:val="none" w:sz="0" w:space="0" w:color="auto"/>
        <w:bottom w:val="none" w:sz="0" w:space="0" w:color="auto"/>
        <w:right w:val="none" w:sz="0" w:space="0" w:color="auto"/>
      </w:divBdr>
    </w:div>
    <w:div w:id="848788824">
      <w:bodyDiv w:val="1"/>
      <w:marLeft w:val="0"/>
      <w:marRight w:val="0"/>
      <w:marTop w:val="0"/>
      <w:marBottom w:val="0"/>
      <w:divBdr>
        <w:top w:val="none" w:sz="0" w:space="0" w:color="auto"/>
        <w:left w:val="none" w:sz="0" w:space="0" w:color="auto"/>
        <w:bottom w:val="none" w:sz="0" w:space="0" w:color="auto"/>
        <w:right w:val="none" w:sz="0" w:space="0" w:color="auto"/>
      </w:divBdr>
    </w:div>
    <w:div w:id="969242625">
      <w:bodyDiv w:val="1"/>
      <w:marLeft w:val="0"/>
      <w:marRight w:val="0"/>
      <w:marTop w:val="0"/>
      <w:marBottom w:val="0"/>
      <w:divBdr>
        <w:top w:val="none" w:sz="0" w:space="0" w:color="auto"/>
        <w:left w:val="none" w:sz="0" w:space="0" w:color="auto"/>
        <w:bottom w:val="none" w:sz="0" w:space="0" w:color="auto"/>
        <w:right w:val="none" w:sz="0" w:space="0" w:color="auto"/>
      </w:divBdr>
    </w:div>
    <w:div w:id="1078095914">
      <w:bodyDiv w:val="1"/>
      <w:marLeft w:val="0"/>
      <w:marRight w:val="0"/>
      <w:marTop w:val="0"/>
      <w:marBottom w:val="0"/>
      <w:divBdr>
        <w:top w:val="none" w:sz="0" w:space="0" w:color="auto"/>
        <w:left w:val="none" w:sz="0" w:space="0" w:color="auto"/>
        <w:bottom w:val="none" w:sz="0" w:space="0" w:color="auto"/>
        <w:right w:val="none" w:sz="0" w:space="0" w:color="auto"/>
      </w:divBdr>
    </w:div>
    <w:div w:id="1098216048">
      <w:bodyDiv w:val="1"/>
      <w:marLeft w:val="0"/>
      <w:marRight w:val="0"/>
      <w:marTop w:val="0"/>
      <w:marBottom w:val="0"/>
      <w:divBdr>
        <w:top w:val="none" w:sz="0" w:space="0" w:color="auto"/>
        <w:left w:val="none" w:sz="0" w:space="0" w:color="auto"/>
        <w:bottom w:val="none" w:sz="0" w:space="0" w:color="auto"/>
        <w:right w:val="none" w:sz="0" w:space="0" w:color="auto"/>
      </w:divBdr>
    </w:div>
    <w:div w:id="1133673593">
      <w:bodyDiv w:val="1"/>
      <w:marLeft w:val="0"/>
      <w:marRight w:val="0"/>
      <w:marTop w:val="0"/>
      <w:marBottom w:val="0"/>
      <w:divBdr>
        <w:top w:val="none" w:sz="0" w:space="0" w:color="auto"/>
        <w:left w:val="none" w:sz="0" w:space="0" w:color="auto"/>
        <w:bottom w:val="none" w:sz="0" w:space="0" w:color="auto"/>
        <w:right w:val="none" w:sz="0" w:space="0" w:color="auto"/>
      </w:divBdr>
    </w:div>
    <w:div w:id="1149442078">
      <w:bodyDiv w:val="1"/>
      <w:marLeft w:val="0"/>
      <w:marRight w:val="0"/>
      <w:marTop w:val="0"/>
      <w:marBottom w:val="0"/>
      <w:divBdr>
        <w:top w:val="none" w:sz="0" w:space="0" w:color="auto"/>
        <w:left w:val="none" w:sz="0" w:space="0" w:color="auto"/>
        <w:bottom w:val="none" w:sz="0" w:space="0" w:color="auto"/>
        <w:right w:val="none" w:sz="0" w:space="0" w:color="auto"/>
      </w:divBdr>
    </w:div>
    <w:div w:id="1150900950">
      <w:bodyDiv w:val="1"/>
      <w:marLeft w:val="0"/>
      <w:marRight w:val="0"/>
      <w:marTop w:val="0"/>
      <w:marBottom w:val="0"/>
      <w:divBdr>
        <w:top w:val="none" w:sz="0" w:space="0" w:color="auto"/>
        <w:left w:val="none" w:sz="0" w:space="0" w:color="auto"/>
        <w:bottom w:val="none" w:sz="0" w:space="0" w:color="auto"/>
        <w:right w:val="none" w:sz="0" w:space="0" w:color="auto"/>
      </w:divBdr>
    </w:div>
    <w:div w:id="1169246336">
      <w:bodyDiv w:val="1"/>
      <w:marLeft w:val="0"/>
      <w:marRight w:val="0"/>
      <w:marTop w:val="0"/>
      <w:marBottom w:val="0"/>
      <w:divBdr>
        <w:top w:val="none" w:sz="0" w:space="0" w:color="auto"/>
        <w:left w:val="none" w:sz="0" w:space="0" w:color="auto"/>
        <w:bottom w:val="none" w:sz="0" w:space="0" w:color="auto"/>
        <w:right w:val="none" w:sz="0" w:space="0" w:color="auto"/>
      </w:divBdr>
    </w:div>
    <w:div w:id="1254129513">
      <w:bodyDiv w:val="1"/>
      <w:marLeft w:val="0"/>
      <w:marRight w:val="0"/>
      <w:marTop w:val="0"/>
      <w:marBottom w:val="0"/>
      <w:divBdr>
        <w:top w:val="none" w:sz="0" w:space="0" w:color="auto"/>
        <w:left w:val="none" w:sz="0" w:space="0" w:color="auto"/>
        <w:bottom w:val="none" w:sz="0" w:space="0" w:color="auto"/>
        <w:right w:val="none" w:sz="0" w:space="0" w:color="auto"/>
      </w:divBdr>
    </w:div>
    <w:div w:id="1256863272">
      <w:bodyDiv w:val="1"/>
      <w:marLeft w:val="0"/>
      <w:marRight w:val="0"/>
      <w:marTop w:val="0"/>
      <w:marBottom w:val="0"/>
      <w:divBdr>
        <w:top w:val="none" w:sz="0" w:space="0" w:color="auto"/>
        <w:left w:val="none" w:sz="0" w:space="0" w:color="auto"/>
        <w:bottom w:val="none" w:sz="0" w:space="0" w:color="auto"/>
        <w:right w:val="none" w:sz="0" w:space="0" w:color="auto"/>
      </w:divBdr>
    </w:div>
    <w:div w:id="1265729257">
      <w:bodyDiv w:val="1"/>
      <w:marLeft w:val="0"/>
      <w:marRight w:val="0"/>
      <w:marTop w:val="0"/>
      <w:marBottom w:val="0"/>
      <w:divBdr>
        <w:top w:val="none" w:sz="0" w:space="0" w:color="auto"/>
        <w:left w:val="none" w:sz="0" w:space="0" w:color="auto"/>
        <w:bottom w:val="none" w:sz="0" w:space="0" w:color="auto"/>
        <w:right w:val="none" w:sz="0" w:space="0" w:color="auto"/>
      </w:divBdr>
    </w:div>
    <w:div w:id="1282178521">
      <w:bodyDiv w:val="1"/>
      <w:marLeft w:val="0"/>
      <w:marRight w:val="0"/>
      <w:marTop w:val="0"/>
      <w:marBottom w:val="0"/>
      <w:divBdr>
        <w:top w:val="none" w:sz="0" w:space="0" w:color="auto"/>
        <w:left w:val="none" w:sz="0" w:space="0" w:color="auto"/>
        <w:bottom w:val="none" w:sz="0" w:space="0" w:color="auto"/>
        <w:right w:val="none" w:sz="0" w:space="0" w:color="auto"/>
      </w:divBdr>
    </w:div>
    <w:div w:id="1286152882">
      <w:bodyDiv w:val="1"/>
      <w:marLeft w:val="0"/>
      <w:marRight w:val="0"/>
      <w:marTop w:val="0"/>
      <w:marBottom w:val="0"/>
      <w:divBdr>
        <w:top w:val="none" w:sz="0" w:space="0" w:color="auto"/>
        <w:left w:val="none" w:sz="0" w:space="0" w:color="auto"/>
        <w:bottom w:val="none" w:sz="0" w:space="0" w:color="auto"/>
        <w:right w:val="none" w:sz="0" w:space="0" w:color="auto"/>
      </w:divBdr>
    </w:div>
    <w:div w:id="1301034696">
      <w:bodyDiv w:val="1"/>
      <w:marLeft w:val="0"/>
      <w:marRight w:val="0"/>
      <w:marTop w:val="0"/>
      <w:marBottom w:val="0"/>
      <w:divBdr>
        <w:top w:val="none" w:sz="0" w:space="0" w:color="auto"/>
        <w:left w:val="none" w:sz="0" w:space="0" w:color="auto"/>
        <w:bottom w:val="none" w:sz="0" w:space="0" w:color="auto"/>
        <w:right w:val="none" w:sz="0" w:space="0" w:color="auto"/>
      </w:divBdr>
    </w:div>
    <w:div w:id="1319650709">
      <w:bodyDiv w:val="1"/>
      <w:marLeft w:val="0"/>
      <w:marRight w:val="0"/>
      <w:marTop w:val="0"/>
      <w:marBottom w:val="0"/>
      <w:divBdr>
        <w:top w:val="none" w:sz="0" w:space="0" w:color="auto"/>
        <w:left w:val="none" w:sz="0" w:space="0" w:color="auto"/>
        <w:bottom w:val="none" w:sz="0" w:space="0" w:color="auto"/>
        <w:right w:val="none" w:sz="0" w:space="0" w:color="auto"/>
      </w:divBdr>
    </w:div>
    <w:div w:id="1326787219">
      <w:bodyDiv w:val="1"/>
      <w:marLeft w:val="0"/>
      <w:marRight w:val="0"/>
      <w:marTop w:val="0"/>
      <w:marBottom w:val="0"/>
      <w:divBdr>
        <w:top w:val="none" w:sz="0" w:space="0" w:color="auto"/>
        <w:left w:val="none" w:sz="0" w:space="0" w:color="auto"/>
        <w:bottom w:val="none" w:sz="0" w:space="0" w:color="auto"/>
        <w:right w:val="none" w:sz="0" w:space="0" w:color="auto"/>
      </w:divBdr>
    </w:div>
    <w:div w:id="1349286985">
      <w:bodyDiv w:val="1"/>
      <w:marLeft w:val="0"/>
      <w:marRight w:val="0"/>
      <w:marTop w:val="0"/>
      <w:marBottom w:val="0"/>
      <w:divBdr>
        <w:top w:val="none" w:sz="0" w:space="0" w:color="auto"/>
        <w:left w:val="none" w:sz="0" w:space="0" w:color="auto"/>
        <w:bottom w:val="none" w:sz="0" w:space="0" w:color="auto"/>
        <w:right w:val="none" w:sz="0" w:space="0" w:color="auto"/>
      </w:divBdr>
    </w:div>
    <w:div w:id="1389500126">
      <w:bodyDiv w:val="1"/>
      <w:marLeft w:val="0"/>
      <w:marRight w:val="0"/>
      <w:marTop w:val="0"/>
      <w:marBottom w:val="0"/>
      <w:divBdr>
        <w:top w:val="none" w:sz="0" w:space="0" w:color="auto"/>
        <w:left w:val="none" w:sz="0" w:space="0" w:color="auto"/>
        <w:bottom w:val="none" w:sz="0" w:space="0" w:color="auto"/>
        <w:right w:val="none" w:sz="0" w:space="0" w:color="auto"/>
      </w:divBdr>
    </w:div>
    <w:div w:id="1395396387">
      <w:bodyDiv w:val="1"/>
      <w:marLeft w:val="0"/>
      <w:marRight w:val="0"/>
      <w:marTop w:val="0"/>
      <w:marBottom w:val="0"/>
      <w:divBdr>
        <w:top w:val="none" w:sz="0" w:space="0" w:color="auto"/>
        <w:left w:val="none" w:sz="0" w:space="0" w:color="auto"/>
        <w:bottom w:val="none" w:sz="0" w:space="0" w:color="auto"/>
        <w:right w:val="none" w:sz="0" w:space="0" w:color="auto"/>
      </w:divBdr>
    </w:div>
    <w:div w:id="1436946768">
      <w:bodyDiv w:val="1"/>
      <w:marLeft w:val="0"/>
      <w:marRight w:val="0"/>
      <w:marTop w:val="0"/>
      <w:marBottom w:val="0"/>
      <w:divBdr>
        <w:top w:val="none" w:sz="0" w:space="0" w:color="auto"/>
        <w:left w:val="none" w:sz="0" w:space="0" w:color="auto"/>
        <w:bottom w:val="none" w:sz="0" w:space="0" w:color="auto"/>
        <w:right w:val="none" w:sz="0" w:space="0" w:color="auto"/>
      </w:divBdr>
    </w:div>
    <w:div w:id="1441604365">
      <w:bodyDiv w:val="1"/>
      <w:marLeft w:val="0"/>
      <w:marRight w:val="0"/>
      <w:marTop w:val="0"/>
      <w:marBottom w:val="0"/>
      <w:divBdr>
        <w:top w:val="none" w:sz="0" w:space="0" w:color="auto"/>
        <w:left w:val="none" w:sz="0" w:space="0" w:color="auto"/>
        <w:bottom w:val="none" w:sz="0" w:space="0" w:color="auto"/>
        <w:right w:val="none" w:sz="0" w:space="0" w:color="auto"/>
      </w:divBdr>
    </w:div>
    <w:div w:id="1466044512">
      <w:bodyDiv w:val="1"/>
      <w:marLeft w:val="0"/>
      <w:marRight w:val="0"/>
      <w:marTop w:val="0"/>
      <w:marBottom w:val="0"/>
      <w:divBdr>
        <w:top w:val="none" w:sz="0" w:space="0" w:color="auto"/>
        <w:left w:val="none" w:sz="0" w:space="0" w:color="auto"/>
        <w:bottom w:val="none" w:sz="0" w:space="0" w:color="auto"/>
        <w:right w:val="none" w:sz="0" w:space="0" w:color="auto"/>
      </w:divBdr>
    </w:div>
    <w:div w:id="1500806139">
      <w:bodyDiv w:val="1"/>
      <w:marLeft w:val="0"/>
      <w:marRight w:val="0"/>
      <w:marTop w:val="0"/>
      <w:marBottom w:val="0"/>
      <w:divBdr>
        <w:top w:val="none" w:sz="0" w:space="0" w:color="auto"/>
        <w:left w:val="none" w:sz="0" w:space="0" w:color="auto"/>
        <w:bottom w:val="none" w:sz="0" w:space="0" w:color="auto"/>
        <w:right w:val="none" w:sz="0" w:space="0" w:color="auto"/>
      </w:divBdr>
    </w:div>
    <w:div w:id="1508709203">
      <w:bodyDiv w:val="1"/>
      <w:marLeft w:val="0"/>
      <w:marRight w:val="0"/>
      <w:marTop w:val="0"/>
      <w:marBottom w:val="0"/>
      <w:divBdr>
        <w:top w:val="none" w:sz="0" w:space="0" w:color="auto"/>
        <w:left w:val="none" w:sz="0" w:space="0" w:color="auto"/>
        <w:bottom w:val="none" w:sz="0" w:space="0" w:color="auto"/>
        <w:right w:val="none" w:sz="0" w:space="0" w:color="auto"/>
      </w:divBdr>
    </w:div>
    <w:div w:id="1549875065">
      <w:bodyDiv w:val="1"/>
      <w:marLeft w:val="0"/>
      <w:marRight w:val="0"/>
      <w:marTop w:val="0"/>
      <w:marBottom w:val="0"/>
      <w:divBdr>
        <w:top w:val="none" w:sz="0" w:space="0" w:color="auto"/>
        <w:left w:val="none" w:sz="0" w:space="0" w:color="auto"/>
        <w:bottom w:val="none" w:sz="0" w:space="0" w:color="auto"/>
        <w:right w:val="none" w:sz="0" w:space="0" w:color="auto"/>
      </w:divBdr>
    </w:div>
    <w:div w:id="1636787871">
      <w:bodyDiv w:val="1"/>
      <w:marLeft w:val="0"/>
      <w:marRight w:val="0"/>
      <w:marTop w:val="0"/>
      <w:marBottom w:val="0"/>
      <w:divBdr>
        <w:top w:val="none" w:sz="0" w:space="0" w:color="auto"/>
        <w:left w:val="none" w:sz="0" w:space="0" w:color="auto"/>
        <w:bottom w:val="none" w:sz="0" w:space="0" w:color="auto"/>
        <w:right w:val="none" w:sz="0" w:space="0" w:color="auto"/>
      </w:divBdr>
    </w:div>
    <w:div w:id="1665624819">
      <w:bodyDiv w:val="1"/>
      <w:marLeft w:val="0"/>
      <w:marRight w:val="0"/>
      <w:marTop w:val="0"/>
      <w:marBottom w:val="0"/>
      <w:divBdr>
        <w:top w:val="none" w:sz="0" w:space="0" w:color="auto"/>
        <w:left w:val="none" w:sz="0" w:space="0" w:color="auto"/>
        <w:bottom w:val="none" w:sz="0" w:space="0" w:color="auto"/>
        <w:right w:val="none" w:sz="0" w:space="0" w:color="auto"/>
      </w:divBdr>
    </w:div>
    <w:div w:id="1686204246">
      <w:bodyDiv w:val="1"/>
      <w:marLeft w:val="0"/>
      <w:marRight w:val="0"/>
      <w:marTop w:val="0"/>
      <w:marBottom w:val="0"/>
      <w:divBdr>
        <w:top w:val="none" w:sz="0" w:space="0" w:color="auto"/>
        <w:left w:val="none" w:sz="0" w:space="0" w:color="auto"/>
        <w:bottom w:val="none" w:sz="0" w:space="0" w:color="auto"/>
        <w:right w:val="none" w:sz="0" w:space="0" w:color="auto"/>
      </w:divBdr>
    </w:div>
    <w:div w:id="1699037752">
      <w:bodyDiv w:val="1"/>
      <w:marLeft w:val="0"/>
      <w:marRight w:val="0"/>
      <w:marTop w:val="0"/>
      <w:marBottom w:val="0"/>
      <w:divBdr>
        <w:top w:val="none" w:sz="0" w:space="0" w:color="auto"/>
        <w:left w:val="none" w:sz="0" w:space="0" w:color="auto"/>
        <w:bottom w:val="none" w:sz="0" w:space="0" w:color="auto"/>
        <w:right w:val="none" w:sz="0" w:space="0" w:color="auto"/>
      </w:divBdr>
    </w:div>
    <w:div w:id="1767531519">
      <w:bodyDiv w:val="1"/>
      <w:marLeft w:val="0"/>
      <w:marRight w:val="0"/>
      <w:marTop w:val="0"/>
      <w:marBottom w:val="0"/>
      <w:divBdr>
        <w:top w:val="none" w:sz="0" w:space="0" w:color="auto"/>
        <w:left w:val="none" w:sz="0" w:space="0" w:color="auto"/>
        <w:bottom w:val="none" w:sz="0" w:space="0" w:color="auto"/>
        <w:right w:val="none" w:sz="0" w:space="0" w:color="auto"/>
      </w:divBdr>
    </w:div>
    <w:div w:id="1794052197">
      <w:bodyDiv w:val="1"/>
      <w:marLeft w:val="0"/>
      <w:marRight w:val="0"/>
      <w:marTop w:val="0"/>
      <w:marBottom w:val="0"/>
      <w:divBdr>
        <w:top w:val="none" w:sz="0" w:space="0" w:color="auto"/>
        <w:left w:val="none" w:sz="0" w:space="0" w:color="auto"/>
        <w:bottom w:val="none" w:sz="0" w:space="0" w:color="auto"/>
        <w:right w:val="none" w:sz="0" w:space="0" w:color="auto"/>
      </w:divBdr>
    </w:div>
    <w:div w:id="1844664628">
      <w:bodyDiv w:val="1"/>
      <w:marLeft w:val="0"/>
      <w:marRight w:val="0"/>
      <w:marTop w:val="0"/>
      <w:marBottom w:val="0"/>
      <w:divBdr>
        <w:top w:val="none" w:sz="0" w:space="0" w:color="auto"/>
        <w:left w:val="none" w:sz="0" w:space="0" w:color="auto"/>
        <w:bottom w:val="none" w:sz="0" w:space="0" w:color="auto"/>
        <w:right w:val="none" w:sz="0" w:space="0" w:color="auto"/>
      </w:divBdr>
    </w:div>
    <w:div w:id="1849369974">
      <w:bodyDiv w:val="1"/>
      <w:marLeft w:val="0"/>
      <w:marRight w:val="0"/>
      <w:marTop w:val="0"/>
      <w:marBottom w:val="0"/>
      <w:divBdr>
        <w:top w:val="none" w:sz="0" w:space="0" w:color="auto"/>
        <w:left w:val="none" w:sz="0" w:space="0" w:color="auto"/>
        <w:bottom w:val="none" w:sz="0" w:space="0" w:color="auto"/>
        <w:right w:val="none" w:sz="0" w:space="0" w:color="auto"/>
      </w:divBdr>
    </w:div>
    <w:div w:id="1862474750">
      <w:bodyDiv w:val="1"/>
      <w:marLeft w:val="0"/>
      <w:marRight w:val="0"/>
      <w:marTop w:val="0"/>
      <w:marBottom w:val="0"/>
      <w:divBdr>
        <w:top w:val="none" w:sz="0" w:space="0" w:color="auto"/>
        <w:left w:val="none" w:sz="0" w:space="0" w:color="auto"/>
        <w:bottom w:val="none" w:sz="0" w:space="0" w:color="auto"/>
        <w:right w:val="none" w:sz="0" w:space="0" w:color="auto"/>
      </w:divBdr>
    </w:div>
    <w:div w:id="1953779797">
      <w:bodyDiv w:val="1"/>
      <w:marLeft w:val="0"/>
      <w:marRight w:val="0"/>
      <w:marTop w:val="0"/>
      <w:marBottom w:val="0"/>
      <w:divBdr>
        <w:top w:val="none" w:sz="0" w:space="0" w:color="auto"/>
        <w:left w:val="none" w:sz="0" w:space="0" w:color="auto"/>
        <w:bottom w:val="none" w:sz="0" w:space="0" w:color="auto"/>
        <w:right w:val="none" w:sz="0" w:space="0" w:color="auto"/>
      </w:divBdr>
    </w:div>
    <w:div w:id="1956673128">
      <w:bodyDiv w:val="1"/>
      <w:marLeft w:val="0"/>
      <w:marRight w:val="0"/>
      <w:marTop w:val="0"/>
      <w:marBottom w:val="0"/>
      <w:divBdr>
        <w:top w:val="none" w:sz="0" w:space="0" w:color="auto"/>
        <w:left w:val="none" w:sz="0" w:space="0" w:color="auto"/>
        <w:bottom w:val="none" w:sz="0" w:space="0" w:color="auto"/>
        <w:right w:val="none" w:sz="0" w:space="0" w:color="auto"/>
      </w:divBdr>
    </w:div>
    <w:div w:id="1975869523">
      <w:bodyDiv w:val="1"/>
      <w:marLeft w:val="0"/>
      <w:marRight w:val="0"/>
      <w:marTop w:val="0"/>
      <w:marBottom w:val="0"/>
      <w:divBdr>
        <w:top w:val="none" w:sz="0" w:space="0" w:color="auto"/>
        <w:left w:val="none" w:sz="0" w:space="0" w:color="auto"/>
        <w:bottom w:val="none" w:sz="0" w:space="0" w:color="auto"/>
        <w:right w:val="none" w:sz="0" w:space="0" w:color="auto"/>
      </w:divBdr>
    </w:div>
    <w:div w:id="1999577542">
      <w:bodyDiv w:val="1"/>
      <w:marLeft w:val="0"/>
      <w:marRight w:val="0"/>
      <w:marTop w:val="0"/>
      <w:marBottom w:val="0"/>
      <w:divBdr>
        <w:top w:val="none" w:sz="0" w:space="0" w:color="auto"/>
        <w:left w:val="none" w:sz="0" w:space="0" w:color="auto"/>
        <w:bottom w:val="none" w:sz="0" w:space="0" w:color="auto"/>
        <w:right w:val="none" w:sz="0" w:space="0" w:color="auto"/>
      </w:divBdr>
    </w:div>
    <w:div w:id="2075348065">
      <w:bodyDiv w:val="1"/>
      <w:marLeft w:val="0"/>
      <w:marRight w:val="0"/>
      <w:marTop w:val="0"/>
      <w:marBottom w:val="0"/>
      <w:divBdr>
        <w:top w:val="none" w:sz="0" w:space="0" w:color="auto"/>
        <w:left w:val="none" w:sz="0" w:space="0" w:color="auto"/>
        <w:bottom w:val="none" w:sz="0" w:space="0" w:color="auto"/>
        <w:right w:val="none" w:sz="0" w:space="0" w:color="auto"/>
      </w:divBdr>
    </w:div>
    <w:div w:id="2084907434">
      <w:bodyDiv w:val="1"/>
      <w:marLeft w:val="0"/>
      <w:marRight w:val="0"/>
      <w:marTop w:val="0"/>
      <w:marBottom w:val="0"/>
      <w:divBdr>
        <w:top w:val="none" w:sz="0" w:space="0" w:color="auto"/>
        <w:left w:val="none" w:sz="0" w:space="0" w:color="auto"/>
        <w:bottom w:val="none" w:sz="0" w:space="0" w:color="auto"/>
        <w:right w:val="none" w:sz="0" w:space="0" w:color="auto"/>
      </w:divBdr>
    </w:div>
    <w:div w:id="2135361836">
      <w:bodyDiv w:val="1"/>
      <w:marLeft w:val="0"/>
      <w:marRight w:val="0"/>
      <w:marTop w:val="0"/>
      <w:marBottom w:val="0"/>
      <w:divBdr>
        <w:top w:val="none" w:sz="0" w:space="0" w:color="auto"/>
        <w:left w:val="none" w:sz="0" w:space="0" w:color="auto"/>
        <w:bottom w:val="none" w:sz="0" w:space="0" w:color="auto"/>
        <w:right w:val="none" w:sz="0" w:space="0" w:color="auto"/>
      </w:divBdr>
    </w:div>
    <w:div w:id="2143377179">
      <w:bodyDiv w:val="1"/>
      <w:marLeft w:val="0"/>
      <w:marRight w:val="0"/>
      <w:marTop w:val="0"/>
      <w:marBottom w:val="0"/>
      <w:divBdr>
        <w:top w:val="none" w:sz="0" w:space="0" w:color="auto"/>
        <w:left w:val="none" w:sz="0" w:space="0" w:color="auto"/>
        <w:bottom w:val="none" w:sz="0" w:space="0" w:color="auto"/>
        <w:right w:val="none" w:sz="0" w:space="0" w:color="auto"/>
      </w:divBdr>
      <w:divsChild>
        <w:div w:id="940331938">
          <w:marLeft w:val="0"/>
          <w:marRight w:val="0"/>
          <w:marTop w:val="34"/>
          <w:marBottom w:val="34"/>
          <w:divBdr>
            <w:top w:val="none" w:sz="0" w:space="0" w:color="auto"/>
            <w:left w:val="none" w:sz="0" w:space="0" w:color="auto"/>
            <w:bottom w:val="none" w:sz="0" w:space="0" w:color="auto"/>
            <w:right w:val="none" w:sz="0" w:space="0" w:color="auto"/>
          </w:divBdr>
        </w:div>
      </w:divsChild>
    </w:div>
  </w:divs>
  <w:relyOnVML/>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ntTable" Target="fontTable.xml"/><Relationship Id="rId12"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hyperlink" Target="mailto:stsimikas@ucsd.edu" TargetMode="External"/><Relationship Id="rId10" Type="http://schemas.openxmlformats.org/officeDocument/2006/relationships/footer" Target="footer1.xml"/></Relationships>
</file>

<file path=word/theme/theme1.xml><?xml version="1.0" encoding="utf-8"?>
<a:theme xmlns:a="http://schemas.openxmlformats.org/drawingml/2006/main" name="Office-th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39FA3A2-7A5B-084A-84E1-92550A7052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16</Pages>
  <Words>35478</Words>
  <Characters>195135</Characters>
  <Application>Microsoft Macintosh Word</Application>
  <DocSecurity>0</DocSecurity>
  <Lines>1626</Lines>
  <Paragraphs>460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230153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dc:creator>
  <cp:keywords/>
  <dc:description/>
  <cp:lastModifiedBy>Julian van Capelleveen</cp:lastModifiedBy>
  <cp:revision>2</cp:revision>
  <dcterms:created xsi:type="dcterms:W3CDTF">2017-04-03T14:25:00Z</dcterms:created>
  <dcterms:modified xsi:type="dcterms:W3CDTF">2017-04-03T14:25:00Z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Citation Style_1">
    <vt:lpwstr>http://csl.mendeley.com/styles/20424531/the-new-england-journal-of-medicine</vt:lpwstr>
  </property>
  <property fmtid="{D5CDD505-2E9C-101B-9397-08002B2CF9AE}" pid="4" name="Mendeley Recent Style Id 0_1">
    <vt:lpwstr>http://csl.mendeley.com/styles/20424531/american-medical-association-no-et-al</vt:lpwstr>
  </property>
  <property fmtid="{D5CDD505-2E9C-101B-9397-08002B2CF9AE}" pid="5" name="Mendeley Recent Style Name 0_1">
    <vt:lpwstr>American Medical Association (no "et al.") - Julian van Capelleveen</vt:lpwstr>
  </property>
  <property fmtid="{D5CDD505-2E9C-101B-9397-08002B2CF9AE}" pid="6" name="Mendeley Recent Style Id 1_1">
    <vt:lpwstr>http://csl.mendeley.com/styles/20424531/circulation-3</vt:lpwstr>
  </property>
  <property fmtid="{D5CDD505-2E9C-101B-9397-08002B2CF9AE}" pid="7" name="Mendeley Recent Style Name 1_1">
    <vt:lpwstr>Circulation - Julian van Capelleveen</vt:lpwstr>
  </property>
  <property fmtid="{D5CDD505-2E9C-101B-9397-08002B2CF9AE}" pid="8" name="Mendeley Recent Style Id 2_1">
    <vt:lpwstr>http://www.zotero.org/styles/harvard1</vt:lpwstr>
  </property>
  <property fmtid="{D5CDD505-2E9C-101B-9397-08002B2CF9AE}" pid="9" name="Mendeley Recent Style Name 2_1">
    <vt:lpwstr>Harvard Reference format 1 (author-date)</vt:lpwstr>
  </property>
  <property fmtid="{D5CDD505-2E9C-101B-9397-08002B2CF9AE}" pid="10" name="Mendeley Recent Style Id 3_1">
    <vt:lpwstr>http://www.zotero.org/styles/ieee</vt:lpwstr>
  </property>
  <property fmtid="{D5CDD505-2E9C-101B-9397-08002B2CF9AE}" pid="11" name="Mendeley Recent Style Name 3_1">
    <vt:lpwstr>IEEE</vt:lpwstr>
  </property>
  <property fmtid="{D5CDD505-2E9C-101B-9397-08002B2CF9AE}" pid="12" name="Mendeley Recent Style Id 4_1">
    <vt:lpwstr>http://www.zotero.org/styles/journal-of-clinical-lipidology</vt:lpwstr>
  </property>
  <property fmtid="{D5CDD505-2E9C-101B-9397-08002B2CF9AE}" pid="13" name="Mendeley Recent Style Name 4_1">
    <vt:lpwstr>Journal of Clinical Lipidology</vt:lpwstr>
  </property>
  <property fmtid="{D5CDD505-2E9C-101B-9397-08002B2CF9AE}" pid="14" name="Mendeley Recent Style Id 5_1">
    <vt:lpwstr>http://csl.mendeley.com/styles/20424531/journal-of-the-american-college-of-cardiology</vt:lpwstr>
  </property>
  <property fmtid="{D5CDD505-2E9C-101B-9397-08002B2CF9AE}" pid="15" name="Mendeley Recent Style Name 5_1">
    <vt:lpwstr>Journal of the American College of Cardiology - Julian van Capelleveen</vt:lpwstr>
  </property>
  <property fmtid="{D5CDD505-2E9C-101B-9397-08002B2CF9AE}" pid="16" name="Mendeley Recent Style Id 6_1">
    <vt:lpwstr>http://www.zotero.org/styles/modern-humanities-research-association</vt:lpwstr>
  </property>
  <property fmtid="{D5CDD505-2E9C-101B-9397-08002B2CF9AE}" pid="17" name="Mendeley Recent Style Name 6_1">
    <vt:lpwstr>Modern Humanities Research Association 3rd edition (note with bibliography)</vt:lpwstr>
  </property>
  <property fmtid="{D5CDD505-2E9C-101B-9397-08002B2CF9AE}" pid="18" name="Mendeley Recent Style Id 7_1">
    <vt:lpwstr>http://www.zotero.org/styles/modern-language-association</vt:lpwstr>
  </property>
  <property fmtid="{D5CDD505-2E9C-101B-9397-08002B2CF9AE}" pid="19" name="Mendeley Recent Style Name 7_1">
    <vt:lpwstr>Modern Language Association 7th edition</vt:lpwstr>
  </property>
  <property fmtid="{D5CDD505-2E9C-101B-9397-08002B2CF9AE}" pid="20" name="Mendeley Recent Style Id 8_1">
    <vt:lpwstr>http://www.zotero.org/styles/nature</vt:lpwstr>
  </property>
  <property fmtid="{D5CDD505-2E9C-101B-9397-08002B2CF9AE}" pid="21" name="Mendeley Recent Style Name 8_1">
    <vt:lpwstr>Nature</vt:lpwstr>
  </property>
  <property fmtid="{D5CDD505-2E9C-101B-9397-08002B2CF9AE}" pid="22" name="Mendeley Recent Style Id 9_1">
    <vt:lpwstr>http://csl.mendeley.com/styles/20424531/the-new-england-journal-of-medicine</vt:lpwstr>
  </property>
  <property fmtid="{D5CDD505-2E9C-101B-9397-08002B2CF9AE}" pid="23" name="Mendeley Recent Style Name 9_1">
    <vt:lpwstr>The New England Journal of Medicine - Julian van Capelleveen</vt:lpwstr>
  </property>
  <property fmtid="{D5CDD505-2E9C-101B-9397-08002B2CF9AE}" pid="24" name="Mendeley Unique User Id_1">
    <vt:lpwstr>0a3b780a-f030-3654-b2be-f7cdd8e8f373</vt:lpwstr>
  </property>
  <property fmtid="{D5CDD505-2E9C-101B-9397-08002B2CF9AE}" pid="25" name="Mendeley User Name_1">
    <vt:lpwstr>j.c.vancapelleveen@amc.uva.nl@www.mendeley.com</vt:lpwstr>
  </property>
</Properties>
</file>