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22450C" w14:textId="77777777" w:rsidR="009F1A61" w:rsidRDefault="009F1A61" w:rsidP="009F1A61">
      <w:pPr>
        <w:pStyle w:val="Title"/>
        <w:jc w:val="center"/>
        <w:rPr>
          <w:rStyle w:val="apple-converted-space"/>
        </w:rPr>
      </w:pPr>
      <w:r>
        <w:rPr>
          <w:rStyle w:val="apple-converted-space"/>
        </w:rPr>
        <w:t xml:space="preserve">Does Voluntary Disclosure Create a Green Lemon Problem? Energy-Efficiency Ratings and House Prices </w:t>
      </w:r>
    </w:p>
    <w:p w14:paraId="28BFD4DF" w14:textId="77777777" w:rsidR="009F1A61" w:rsidRDefault="009F1A61" w:rsidP="009F1A61"/>
    <w:p w14:paraId="62563DFC" w14:textId="77777777" w:rsidR="009F1A61" w:rsidRPr="00CA5362" w:rsidRDefault="009F1A61" w:rsidP="009F1A61"/>
    <w:p w14:paraId="2194D79F" w14:textId="77777777" w:rsidR="009F1A61" w:rsidRPr="00CA5362" w:rsidRDefault="009F1A61" w:rsidP="009F1A61">
      <w:pPr>
        <w:spacing w:line="600" w:lineRule="auto"/>
      </w:pPr>
    </w:p>
    <w:p w14:paraId="6620B7E4" w14:textId="77777777" w:rsidR="009F1A61" w:rsidRPr="006B5E55" w:rsidRDefault="009F1A61" w:rsidP="009F1A61">
      <w:pPr>
        <w:spacing w:line="600" w:lineRule="auto"/>
        <w:jc w:val="center"/>
        <w:rPr>
          <w:vertAlign w:val="superscript"/>
        </w:rPr>
      </w:pPr>
      <w:r w:rsidRPr="00CA5362">
        <w:t>Franz Fuerst</w:t>
      </w:r>
      <w:r>
        <w:rPr>
          <w:vertAlign w:val="superscript"/>
        </w:rPr>
        <w:t>a,b</w:t>
      </w:r>
    </w:p>
    <w:p w14:paraId="103B8A76" w14:textId="77777777" w:rsidR="009F1A61" w:rsidRPr="006B5E55" w:rsidRDefault="009F1A61" w:rsidP="009F1A61">
      <w:pPr>
        <w:spacing w:line="600" w:lineRule="auto"/>
        <w:jc w:val="center"/>
        <w:rPr>
          <w:vertAlign w:val="superscript"/>
        </w:rPr>
      </w:pPr>
      <w:r w:rsidRPr="00CA5362">
        <w:t>Georgia Warren-Myers</w:t>
      </w:r>
      <w:r>
        <w:rPr>
          <w:vertAlign w:val="superscript"/>
        </w:rPr>
        <w:t>b</w:t>
      </w:r>
    </w:p>
    <w:p w14:paraId="573B822B" w14:textId="77777777" w:rsidR="009F1A61" w:rsidRDefault="009F1A61" w:rsidP="009F1A61">
      <w:pPr>
        <w:spacing w:line="600" w:lineRule="auto"/>
        <w:jc w:val="center"/>
      </w:pPr>
    </w:p>
    <w:p w14:paraId="20FD9965" w14:textId="77777777" w:rsidR="009F1A61" w:rsidRDefault="009F1A61" w:rsidP="009F1A61">
      <w:pPr>
        <w:spacing w:line="600" w:lineRule="auto"/>
        <w:jc w:val="center"/>
      </w:pPr>
      <w:r>
        <w:t>a University of Cambridge, Department of Land Economy, 19 Silver Street, Cambridge, CB3 9EP, United Kingdom</w:t>
      </w:r>
    </w:p>
    <w:p w14:paraId="3BF26F24" w14:textId="77777777" w:rsidR="009F1A61" w:rsidRDefault="009F1A61" w:rsidP="009F1A61">
      <w:pPr>
        <w:spacing w:line="600" w:lineRule="auto"/>
        <w:jc w:val="center"/>
      </w:pPr>
      <w:r>
        <w:t xml:space="preserve">b </w:t>
      </w:r>
      <w:r w:rsidRPr="00CA5362">
        <w:t>University of Melbourne</w:t>
      </w:r>
      <w:r>
        <w:t xml:space="preserve">,  </w:t>
      </w:r>
      <w:r w:rsidRPr="00CA5362">
        <w:t>Thrive</w:t>
      </w:r>
      <w:r>
        <w:t xml:space="preserve"> Research Hub</w:t>
      </w:r>
      <w:r w:rsidRPr="00CA5362">
        <w:t>, Faculty of Arch</w:t>
      </w:r>
      <w:r>
        <w:t xml:space="preserve">itecture, Building and Planning, </w:t>
      </w:r>
      <w:r>
        <w:rPr>
          <w:rStyle w:val="xbe"/>
        </w:rPr>
        <w:t>Parkville VIC 3010, Australia</w:t>
      </w:r>
    </w:p>
    <w:p w14:paraId="5E9E7B70" w14:textId="77777777" w:rsidR="009F1A61" w:rsidRDefault="009F1A61" w:rsidP="009F1A61"/>
    <w:p w14:paraId="00F25CD8" w14:textId="77777777" w:rsidR="009F1A61" w:rsidRDefault="009F1A61" w:rsidP="009F1A61"/>
    <w:p w14:paraId="6CE0862F" w14:textId="77777777" w:rsidR="009F1A61" w:rsidRDefault="009F1A61" w:rsidP="009F1A61"/>
    <w:p w14:paraId="7C88B05C" w14:textId="77777777" w:rsidR="009F1A61" w:rsidRDefault="009F1A61" w:rsidP="009F1A61"/>
    <w:p w14:paraId="22E2A565" w14:textId="77777777" w:rsidR="009F1A61" w:rsidRDefault="009F1A61" w:rsidP="009F1A61"/>
    <w:p w14:paraId="6BEFE3CA" w14:textId="77777777" w:rsidR="009F1A61" w:rsidRDefault="009F1A61" w:rsidP="009F1A61"/>
    <w:p w14:paraId="6D029CE3" w14:textId="77777777" w:rsidR="009F1A61" w:rsidRDefault="009F1A61" w:rsidP="009F1A61"/>
    <w:p w14:paraId="1849AEDF" w14:textId="77777777" w:rsidR="009F1A61" w:rsidRDefault="009F1A61" w:rsidP="009F1A61"/>
    <w:p w14:paraId="5DC664F8" w14:textId="77777777" w:rsidR="009F1A61" w:rsidRDefault="009F1A61" w:rsidP="009F1A61"/>
    <w:p w14:paraId="1F1C74A2" w14:textId="77777777" w:rsidR="009F1A61" w:rsidRDefault="009F1A61" w:rsidP="009F1A61"/>
    <w:p w14:paraId="21B32BF7" w14:textId="77777777" w:rsidR="009F1A61" w:rsidRDefault="009F1A61" w:rsidP="009F1A61"/>
    <w:p w14:paraId="71AA76A6" w14:textId="77777777" w:rsidR="009F1A61" w:rsidRDefault="009F1A61" w:rsidP="009F1A61"/>
    <w:p w14:paraId="3396A8EE" w14:textId="77777777" w:rsidR="009F1A61" w:rsidRDefault="009F1A61" w:rsidP="009F1A61"/>
    <w:p w14:paraId="35DB7838" w14:textId="77777777" w:rsidR="009F1A61" w:rsidRDefault="009F1A61" w:rsidP="009F1A61"/>
    <w:p w14:paraId="3F9FDA4E" w14:textId="77777777" w:rsidR="009F1A61" w:rsidRDefault="009F1A61" w:rsidP="009F1A61">
      <w:pPr>
        <w:pStyle w:val="Heading1"/>
      </w:pPr>
      <w:r>
        <w:t>Acknowledgements</w:t>
      </w:r>
    </w:p>
    <w:p w14:paraId="7286B3A1" w14:textId="77777777" w:rsidR="009F1A61" w:rsidRDefault="009F1A61" w:rsidP="009F1A61">
      <w:pPr>
        <w:rPr>
          <w:i/>
        </w:rPr>
      </w:pPr>
    </w:p>
    <w:p w14:paraId="34A62AC3" w14:textId="2CEFA642" w:rsidR="009F1A61" w:rsidRPr="00334673" w:rsidRDefault="009F1A61" w:rsidP="009F1A61">
      <w:pPr>
        <w:rPr>
          <w:i/>
        </w:rPr>
      </w:pPr>
      <w:r>
        <w:rPr>
          <w:i/>
        </w:rPr>
        <w:t>We are grateful to the Thrive Research Hub,</w:t>
      </w:r>
      <w:r w:rsidRPr="00334673">
        <w:rPr>
          <w:i/>
        </w:rPr>
        <w:t xml:space="preserve"> the Faculty of Architecture, Building and Planning</w:t>
      </w:r>
      <w:r>
        <w:rPr>
          <w:i/>
        </w:rPr>
        <w:t>,</w:t>
      </w:r>
      <w:r w:rsidRPr="00334673">
        <w:rPr>
          <w:i/>
        </w:rPr>
        <w:t xml:space="preserve"> and the University of Melbourne for providing funding to purchase the data for th</w:t>
      </w:r>
      <w:r>
        <w:rPr>
          <w:i/>
        </w:rPr>
        <w:t>is</w:t>
      </w:r>
      <w:r w:rsidRPr="00334673">
        <w:rPr>
          <w:i/>
        </w:rPr>
        <w:t xml:space="preserve"> study</w:t>
      </w:r>
      <w:r>
        <w:rPr>
          <w:i/>
        </w:rPr>
        <w:t xml:space="preserve">. Andy Krause provided valuable help with data processing and the </w:t>
      </w:r>
      <w:r w:rsidRPr="00D4676C">
        <w:rPr>
          <w:i/>
        </w:rPr>
        <w:t>Department of Environment, Planning and Sustainable Development</w:t>
      </w:r>
      <w:r>
        <w:rPr>
          <w:i/>
        </w:rPr>
        <w:t xml:space="preserve">, assisted with information relating to building age. Vanessa Morris from the ACT Government provided comments which helped </w:t>
      </w:r>
      <w:r>
        <w:rPr>
          <w:i/>
        </w:rPr>
        <w:t>i</w:t>
      </w:r>
      <w:r>
        <w:rPr>
          <w:i/>
        </w:rPr>
        <w:t xml:space="preserve">mprove the quality of an earlier draft of this paper. </w:t>
      </w:r>
      <w:r>
        <w:rPr>
          <w:i/>
        </w:rPr>
        <w:t xml:space="preserve">The support of the Cambridge University Land Society is also gratefully acknowledge. </w:t>
      </w:r>
    </w:p>
    <w:p w14:paraId="65C35DAB" w14:textId="77777777" w:rsidR="009F1A61" w:rsidRDefault="009F1A61" w:rsidP="009F1A61"/>
    <w:p w14:paraId="5550C814" w14:textId="70055D5C" w:rsidR="009F1A61" w:rsidRDefault="009F1A61" w:rsidP="009F1A61">
      <w:pPr>
        <w:pStyle w:val="Title"/>
        <w:jc w:val="center"/>
        <w:rPr>
          <w:rStyle w:val="apple-converted-space"/>
        </w:rPr>
      </w:pPr>
      <w:r>
        <w:rPr>
          <w:rStyle w:val="apple-converted-space"/>
        </w:rPr>
        <w:t xml:space="preserve">Does Voluntary Disclosure Create a Green Lemon Problem? Energy-Efficiency Ratings and House Prices </w:t>
      </w:r>
    </w:p>
    <w:p w14:paraId="17188BD2" w14:textId="77777777" w:rsidR="009F1A61" w:rsidRDefault="009F1A61" w:rsidP="009F1A61"/>
    <w:p w14:paraId="23B8C7FD" w14:textId="77777777" w:rsidR="009F1A61" w:rsidRDefault="009F1A61" w:rsidP="009F1A61"/>
    <w:p w14:paraId="02DD0071" w14:textId="77777777" w:rsidR="009F1A61" w:rsidRDefault="009F1A61" w:rsidP="009F1A61">
      <w:pPr>
        <w:pStyle w:val="Heading1"/>
      </w:pPr>
      <w:r>
        <w:t>Abstract</w:t>
      </w:r>
    </w:p>
    <w:p w14:paraId="7366A61F" w14:textId="77777777" w:rsidR="009F1A61" w:rsidRDefault="009F1A61" w:rsidP="009F1A61">
      <w:pPr>
        <w:rPr>
          <w:i/>
        </w:rPr>
      </w:pPr>
    </w:p>
    <w:p w14:paraId="43FFE082" w14:textId="77777777" w:rsidR="009F1A61" w:rsidRDefault="009F1A61" w:rsidP="009F1A61">
      <w:pPr>
        <w:rPr>
          <w:i/>
        </w:rPr>
      </w:pPr>
      <w:r>
        <w:rPr>
          <w:i/>
        </w:rPr>
        <w:t xml:space="preserve">This paper seeks to elucidate whether high levels of non-disclosure lead to adverse market outcomes in the form of the well-known lemons problem. It also empirically tests whether energy-efficiency ratings (EERs) are reflected in both housing sales prices and rents in the Australian Capital Territory, the only Australian housing market with mandatory ratings for all dwellings at point of sale or lease. Using a comprehensive dataset of sale and lease transactions during the period 2011–2016, a hedonic framework is applied. The analysis confirms that both the reported energy-efficiency levels and other sustainability-related characteristics that are not part of the formal rating assessment influence the pricing of both sales and rental transactions. Characteristics such as heating and cooling systems and the presence of solar power generators are significantly reflected in rents and sales prices, as tenants and buyers are likely to estimate their expected utility costs based on the EER. It is also shown that the option of leaving the EER of a rental property unreported presents a moral hazard for landlords of sub-standard properties, in that the likelihood of EER disclosure increases in line with the number of energy-efficient features of a property as revealed in the marketing material. The analysis also reveals that socio-economically disadvantaged areas suffer from disproportionately higher levels of EER non-disclosure, potentially constituting a ‘double disadvantage’ of non-disclosure and low–energy efficiency dwelling stock. From a market and asset-pricing perspective, it thus seems preferable to extend the requirement to obtain and present a valid EER to the rental market. </w:t>
      </w:r>
    </w:p>
    <w:p w14:paraId="4A54C5B3" w14:textId="77777777" w:rsidR="009F1A61" w:rsidRDefault="009F1A61" w:rsidP="009F1A61"/>
    <w:p w14:paraId="6B8FFC61" w14:textId="5613E39A" w:rsidR="009F1A61" w:rsidRDefault="009F1A61">
      <w:pPr>
        <w:jc w:val="left"/>
      </w:pPr>
      <w:r>
        <w:br w:type="page"/>
      </w:r>
    </w:p>
    <w:p w14:paraId="4B37D3B8" w14:textId="0628A832" w:rsidR="00CD688F" w:rsidRDefault="00CD688F" w:rsidP="00CD688F">
      <w:pPr>
        <w:pStyle w:val="Heading1"/>
      </w:pPr>
      <w:bookmarkStart w:id="0" w:name="_GoBack"/>
      <w:bookmarkEnd w:id="0"/>
      <w:r>
        <w:lastRenderedPageBreak/>
        <w:t>Introduction</w:t>
      </w:r>
    </w:p>
    <w:p w14:paraId="60C93152" w14:textId="77777777" w:rsidR="00CD688F" w:rsidRPr="00CD688F" w:rsidRDefault="00CD688F" w:rsidP="00CD688F"/>
    <w:p w14:paraId="7BAAF02E" w14:textId="7DC0A5BD" w:rsidR="00CA5362" w:rsidRDefault="00626C18" w:rsidP="00D26F46">
      <w:r>
        <w:t>Man</w:t>
      </w:r>
      <w:r w:rsidR="00951863">
        <w:t>y countries have adopted man</w:t>
      </w:r>
      <w:r>
        <w:t>datory disclosure of energy</w:t>
      </w:r>
      <w:r w:rsidR="00951863">
        <w:t>-</w:t>
      </w:r>
      <w:r>
        <w:t>efficiency levels</w:t>
      </w:r>
      <w:r w:rsidR="005B567B">
        <w:t>, principally</w:t>
      </w:r>
      <w:r w:rsidR="004860BE">
        <w:t xml:space="preserve"> </w:t>
      </w:r>
      <w:r>
        <w:t xml:space="preserve">to </w:t>
      </w:r>
      <w:r w:rsidR="00951863">
        <w:t>raise</w:t>
      </w:r>
      <w:r>
        <w:t xml:space="preserve"> awareness of the environmental and cost implications of energy use</w:t>
      </w:r>
      <w:r w:rsidR="004860BE">
        <w:t>,</w:t>
      </w:r>
      <w:r>
        <w:t xml:space="preserve"> and to </w:t>
      </w:r>
      <w:r w:rsidR="00951863">
        <w:t xml:space="preserve">move </w:t>
      </w:r>
      <w:r>
        <w:t xml:space="preserve">real estate markets towards a more sustainable building stock. The residential market is </w:t>
      </w:r>
      <w:r w:rsidR="00FB7E60">
        <w:t>of</w:t>
      </w:r>
      <w:r>
        <w:t xml:space="preserve"> crucial concern</w:t>
      </w:r>
      <w:r w:rsidR="005B567B">
        <w:t xml:space="preserve"> </w:t>
      </w:r>
      <w:r w:rsidR="00FB7E60">
        <w:t>to</w:t>
      </w:r>
      <w:r w:rsidR="005B567B">
        <w:t xml:space="preserve"> policymakers</w:t>
      </w:r>
      <w:r>
        <w:t xml:space="preserve">, not only because it </w:t>
      </w:r>
      <w:r w:rsidR="00951863">
        <w:t>contains</w:t>
      </w:r>
      <w:r>
        <w:t xml:space="preserve"> the vast majority of building</w:t>
      </w:r>
      <w:r w:rsidR="001F2E52">
        <w:t>s</w:t>
      </w:r>
      <w:r w:rsidR="00951863">
        <w:t>,</w:t>
      </w:r>
      <w:r>
        <w:t xml:space="preserve"> but also because decision-making</w:t>
      </w:r>
      <w:r w:rsidR="001F2E52">
        <w:t xml:space="preserve"> </w:t>
      </w:r>
      <w:r w:rsidR="00951863">
        <w:t xml:space="preserve">in this market </w:t>
      </w:r>
      <w:r w:rsidR="001F2E52">
        <w:t xml:space="preserve">is subject to </w:t>
      </w:r>
      <w:r w:rsidR="003628FB">
        <w:t>non-market decision criteria</w:t>
      </w:r>
      <w:r w:rsidR="005B567B">
        <w:t xml:space="preserve"> and</w:t>
      </w:r>
      <w:r w:rsidR="003628FB">
        <w:t xml:space="preserve"> hence</w:t>
      </w:r>
      <w:r>
        <w:t xml:space="preserve"> potentially driven</w:t>
      </w:r>
      <w:r w:rsidR="004860BE">
        <w:t xml:space="preserve"> more</w:t>
      </w:r>
      <w:r>
        <w:t xml:space="preserve"> by </w:t>
      </w:r>
      <w:r w:rsidR="000C67E0">
        <w:t>household lifestyle choices</w:t>
      </w:r>
      <w:r w:rsidR="004860BE">
        <w:t xml:space="preserve"> than</w:t>
      </w:r>
      <w:r w:rsidR="000C67E0">
        <w:t xml:space="preserve"> by</w:t>
      </w:r>
      <w:r w:rsidR="004860BE">
        <w:t xml:space="preserve"> cost considerations. This contrasts</w:t>
      </w:r>
      <w:r w:rsidR="00951863">
        <w:t xml:space="preserve"> with</w:t>
      </w:r>
      <w:r w:rsidR="005B567B">
        <w:t>, for example,</w:t>
      </w:r>
      <w:r w:rsidR="004860BE">
        <w:t xml:space="preserve"> the commercial real estate sector</w:t>
      </w:r>
      <w:r w:rsidR="00951863">
        <w:t>,</w:t>
      </w:r>
      <w:r w:rsidR="004860BE">
        <w:t xml:space="preserve"> </w:t>
      </w:r>
      <w:r w:rsidR="00951863">
        <w:t xml:space="preserve">in which </w:t>
      </w:r>
      <w:r>
        <w:t>cost considerations</w:t>
      </w:r>
      <w:r w:rsidR="004860BE">
        <w:t xml:space="preserve"> and income generation</w:t>
      </w:r>
      <w:r>
        <w:t xml:space="preserve"> </w:t>
      </w:r>
      <w:r w:rsidR="004860BE">
        <w:t>are major drivers in decision-making</w:t>
      </w:r>
      <w:r w:rsidR="005B567B">
        <w:t>,</w:t>
      </w:r>
      <w:r w:rsidR="00FB4CF6">
        <w:t xml:space="preserve"> making the pursuit of</w:t>
      </w:r>
      <w:r w:rsidR="005B567B">
        <w:t xml:space="preserve"> efficiency gains more likely</w:t>
      </w:r>
      <w:r w:rsidR="001F2E52">
        <w:t>.</w:t>
      </w:r>
      <w:r w:rsidR="004860BE">
        <w:t xml:space="preserve"> </w:t>
      </w:r>
      <w:r>
        <w:t xml:space="preserve">Within the residential market, the rental sector has recently received increased attention </w:t>
      </w:r>
      <w:r w:rsidR="00FB7E60">
        <w:t>as a result of</w:t>
      </w:r>
      <w:r>
        <w:t xml:space="preserve"> </w:t>
      </w:r>
      <w:r w:rsidR="00B5300E">
        <w:t>specific</w:t>
      </w:r>
      <w:r>
        <w:t xml:space="preserve"> concerns</w:t>
      </w:r>
      <w:r w:rsidR="00193EFE">
        <w:t xml:space="preserve"> </w:t>
      </w:r>
      <w:r w:rsidR="00B5300E">
        <w:t>in relation to this market</w:t>
      </w:r>
      <w:r w:rsidR="004860BE">
        <w:t xml:space="preserve"> compared </w:t>
      </w:r>
      <w:r w:rsidR="00FB7E60">
        <w:t>with</w:t>
      </w:r>
      <w:r w:rsidR="004860BE">
        <w:t xml:space="preserve"> the owner-occupied </w:t>
      </w:r>
      <w:r w:rsidR="00B5300E">
        <w:t>sector</w:t>
      </w:r>
      <w:r w:rsidR="004860BE">
        <w:t>.</w:t>
      </w:r>
      <w:r>
        <w:t xml:space="preserve"> </w:t>
      </w:r>
      <w:r w:rsidR="00193EFE">
        <w:t>For example,</w:t>
      </w:r>
      <w:r>
        <w:t xml:space="preserve"> the split</w:t>
      </w:r>
      <w:r w:rsidR="00B5300E">
        <w:t>-</w:t>
      </w:r>
      <w:r>
        <w:t>incentive problem</w:t>
      </w:r>
      <w:r w:rsidR="001F2E52">
        <w:t xml:space="preserve"> has been identified as a major obstacle to upgrading the rental stock.</w:t>
      </w:r>
      <w:r>
        <w:t xml:space="preserve"> </w:t>
      </w:r>
      <w:r w:rsidR="00193EFE">
        <w:t xml:space="preserve">This problem arises because landlords </w:t>
      </w:r>
      <w:r>
        <w:t xml:space="preserve">have no incentive to invest in the energy efficiency of their dwellings </w:t>
      </w:r>
      <w:r w:rsidR="00193EFE">
        <w:t>if</w:t>
      </w:r>
      <w:r>
        <w:t xml:space="preserve"> tenants are responsible for energy </w:t>
      </w:r>
      <w:r w:rsidR="00B5300E">
        <w:t>costs</w:t>
      </w:r>
      <w:r w:rsidR="00193EFE">
        <w:t>,</w:t>
      </w:r>
      <w:r w:rsidR="000C67E0">
        <w:t xml:space="preserve"> which is</w:t>
      </w:r>
      <w:r>
        <w:t xml:space="preserve"> the case in </w:t>
      </w:r>
      <w:r w:rsidR="004860BE">
        <w:t xml:space="preserve">many </w:t>
      </w:r>
      <w:r w:rsidR="004A012C">
        <w:t>countries</w:t>
      </w:r>
      <w:r w:rsidR="004860BE">
        <w:t>, including</w:t>
      </w:r>
      <w:r w:rsidR="00193EFE">
        <w:t xml:space="preserve"> </w:t>
      </w:r>
      <w:r w:rsidR="004A012C">
        <w:t>Australia</w:t>
      </w:r>
      <w:r w:rsidR="00FB7E60">
        <w:t xml:space="preserve"> and </w:t>
      </w:r>
      <w:r w:rsidR="00B5300E">
        <w:t xml:space="preserve">various </w:t>
      </w:r>
      <w:r w:rsidR="00FB7E60">
        <w:t>countries in</w:t>
      </w:r>
      <w:r w:rsidR="004A012C">
        <w:t xml:space="preserve"> Europe and Asia. </w:t>
      </w:r>
      <w:r w:rsidR="00193EFE">
        <w:t>T</w:t>
      </w:r>
      <w:r w:rsidR="001F2E52">
        <w:t xml:space="preserve">here is no simple solution to </w:t>
      </w:r>
      <w:r w:rsidR="008A12B9">
        <w:t>the split</w:t>
      </w:r>
      <w:r w:rsidR="00B5300E">
        <w:t>-</w:t>
      </w:r>
      <w:r w:rsidR="008A12B9">
        <w:t xml:space="preserve">incentive problem. </w:t>
      </w:r>
      <w:r w:rsidR="00193EFE">
        <w:t>I</w:t>
      </w:r>
      <w:r w:rsidR="004A012C">
        <w:t>ncluding average energy costs in the rent</w:t>
      </w:r>
      <w:r w:rsidR="00193EFE">
        <w:t>, for example,</w:t>
      </w:r>
      <w:r w:rsidR="004A012C">
        <w:t xml:space="preserve"> creat</w:t>
      </w:r>
      <w:r w:rsidR="003628FB">
        <w:t xml:space="preserve">es a different set of problems, </w:t>
      </w:r>
      <w:r w:rsidR="001667AC">
        <w:t>notably</w:t>
      </w:r>
      <w:r w:rsidR="00193EFE">
        <w:t xml:space="preserve"> excessive energy consumption</w:t>
      </w:r>
      <w:r w:rsidR="001667AC">
        <w:t xml:space="preserve"> as tenants are able to ‘socialise’ the excess cost</w:t>
      </w:r>
      <w:r w:rsidR="00193EFE">
        <w:t xml:space="preserve">, </w:t>
      </w:r>
      <w:r w:rsidR="004A012C">
        <w:t xml:space="preserve">as discussed by Levinson </w:t>
      </w:r>
      <w:r w:rsidR="003560C4">
        <w:t xml:space="preserve">&amp; </w:t>
      </w:r>
      <w:r w:rsidR="003628FB">
        <w:t>Niemann 2004,</w:t>
      </w:r>
      <w:r w:rsidR="004A012C">
        <w:t xml:space="preserve"> with equally detrimental economic and environmental outcomes.</w:t>
      </w:r>
    </w:p>
    <w:p w14:paraId="48D1168C" w14:textId="77777777" w:rsidR="006E44EA" w:rsidRDefault="006E44EA" w:rsidP="00D26F46"/>
    <w:p w14:paraId="3B38963F" w14:textId="3F4863AF" w:rsidR="004A012C" w:rsidRDefault="008A12B9" w:rsidP="009C5EFC">
      <w:r>
        <w:t xml:space="preserve">To </w:t>
      </w:r>
      <w:r w:rsidR="00B5300E">
        <w:t xml:space="preserve">identify </w:t>
      </w:r>
      <w:r>
        <w:t>the effect</w:t>
      </w:r>
      <w:r w:rsidR="00B5300E">
        <w:t>s</w:t>
      </w:r>
      <w:r>
        <w:t xml:space="preserve"> of energy</w:t>
      </w:r>
      <w:r w:rsidR="00B5300E">
        <w:t>-</w:t>
      </w:r>
      <w:r>
        <w:t>efficiency disclosure, both voluntary and mandatory, t</w:t>
      </w:r>
      <w:r w:rsidR="000A0488" w:rsidRPr="00F0169C">
        <w:t xml:space="preserve">his </w:t>
      </w:r>
      <w:r w:rsidR="00B5300E">
        <w:t>study</w:t>
      </w:r>
      <w:r w:rsidR="000A0488" w:rsidRPr="00F0169C">
        <w:t xml:space="preserve"> </w:t>
      </w:r>
      <w:r w:rsidR="00193EFE">
        <w:t>examines</w:t>
      </w:r>
      <w:r w:rsidR="000A0488" w:rsidRPr="00F0169C">
        <w:t xml:space="preserve"> sales and rental</w:t>
      </w:r>
      <w:r w:rsidR="00193EFE">
        <w:t xml:space="preserve"> transactions</w:t>
      </w:r>
      <w:r w:rsidR="00587537">
        <w:t xml:space="preserve"> (31,061 and 67,607 transactions, respectively)</w:t>
      </w:r>
      <w:r w:rsidR="000A0488" w:rsidRPr="00F0169C">
        <w:t xml:space="preserve"> </w:t>
      </w:r>
      <w:r w:rsidR="00587537">
        <w:t>in the Australian housing market over</w:t>
      </w:r>
      <w:r w:rsidR="00587537" w:rsidRPr="00F0169C">
        <w:t xml:space="preserve"> </w:t>
      </w:r>
      <w:r w:rsidR="000A0488" w:rsidRPr="00F0169C">
        <w:t xml:space="preserve">a </w:t>
      </w:r>
      <w:r w:rsidR="00587537">
        <w:t>five</w:t>
      </w:r>
      <w:r w:rsidR="000A0488" w:rsidRPr="00F0169C">
        <w:t xml:space="preserve">-year period, </w:t>
      </w:r>
      <w:r w:rsidR="00587537">
        <w:t>using</w:t>
      </w:r>
      <w:r w:rsidR="00587537" w:rsidRPr="00F0169C">
        <w:t xml:space="preserve"> </w:t>
      </w:r>
      <w:r w:rsidR="000A0488" w:rsidRPr="00F0169C">
        <w:t>detailed information on property characteristics</w:t>
      </w:r>
      <w:r w:rsidR="004A012C">
        <w:t xml:space="preserve"> in the Australian Capital Territory (ACT)</w:t>
      </w:r>
      <w:r w:rsidR="000A0488" w:rsidRPr="00F0169C">
        <w:t xml:space="preserve">. This is the first study in Australia </w:t>
      </w:r>
      <w:r w:rsidR="00587537">
        <w:t>to</w:t>
      </w:r>
      <w:r w:rsidR="00587537" w:rsidRPr="00F0169C">
        <w:t xml:space="preserve"> </w:t>
      </w:r>
      <w:r w:rsidR="004A012C">
        <w:t xml:space="preserve">examine </w:t>
      </w:r>
      <w:r w:rsidR="00B5300E">
        <w:t xml:space="preserve">both property </w:t>
      </w:r>
      <w:r w:rsidR="004A012C">
        <w:t xml:space="preserve">sales transactions and the rental market with regard to pricing and time on market. </w:t>
      </w:r>
      <w:r w:rsidR="000A0488" w:rsidRPr="00F0169C">
        <w:t>The rental analysis examines the implications</w:t>
      </w:r>
      <w:r w:rsidR="004A012C">
        <w:t xml:space="preserve"> of limited disclosure and </w:t>
      </w:r>
      <w:r w:rsidR="000A0488" w:rsidRPr="00F0169C">
        <w:t>investigate</w:t>
      </w:r>
      <w:r w:rsidR="004A012C">
        <w:t>s</w:t>
      </w:r>
      <w:r w:rsidR="000A0488" w:rsidRPr="00F0169C">
        <w:t xml:space="preserve"> whether particular features</w:t>
      </w:r>
      <w:r w:rsidR="00587537">
        <w:t xml:space="preserve"> of dwellings</w:t>
      </w:r>
      <w:r w:rsidR="000A0488" w:rsidRPr="00F0169C">
        <w:t xml:space="preserve"> encourage rating disclosure. This has important implicati</w:t>
      </w:r>
      <w:r w:rsidR="004A012C">
        <w:t>ons</w:t>
      </w:r>
      <w:r w:rsidR="00B5300E">
        <w:t>,</w:t>
      </w:r>
      <w:r w:rsidR="004A012C">
        <w:t xml:space="preserve"> </w:t>
      </w:r>
      <w:r w:rsidR="00B5300E">
        <w:t xml:space="preserve">both in Australia and internationally, </w:t>
      </w:r>
      <w:r w:rsidR="004A012C">
        <w:t>for policymakers</w:t>
      </w:r>
      <w:r w:rsidR="00B5300E">
        <w:t xml:space="preserve"> </w:t>
      </w:r>
      <w:r w:rsidR="00587537">
        <w:t>responsible for</w:t>
      </w:r>
      <w:r w:rsidR="004A012C">
        <w:t xml:space="preserve"> decid</w:t>
      </w:r>
      <w:r w:rsidR="00587537">
        <w:t>ing</w:t>
      </w:r>
      <w:r w:rsidR="004A012C">
        <w:t xml:space="preserve"> </w:t>
      </w:r>
      <w:r w:rsidR="00587537">
        <w:t xml:space="preserve">whether </w:t>
      </w:r>
      <w:r w:rsidR="004A012C">
        <w:t xml:space="preserve">environmental rating schemes in the built environment </w:t>
      </w:r>
      <w:r w:rsidR="00193EFE">
        <w:t>should</w:t>
      </w:r>
      <w:r w:rsidR="004A012C">
        <w:t xml:space="preserve"> be</w:t>
      </w:r>
      <w:r>
        <w:t xml:space="preserve"> implemented and, if so, </w:t>
      </w:r>
      <w:r w:rsidR="00FB7E60">
        <w:t>whether</w:t>
      </w:r>
      <w:r>
        <w:t xml:space="preserve"> they </w:t>
      </w:r>
      <w:r w:rsidR="00193EFE">
        <w:t>should</w:t>
      </w:r>
      <w:r>
        <w:t xml:space="preserve"> be</w:t>
      </w:r>
      <w:r w:rsidR="004A012C">
        <w:t xml:space="preserve"> mandatory or voluntary</w:t>
      </w:r>
      <w:r w:rsidR="000A0488" w:rsidRPr="00F0169C">
        <w:t>. Th</w:t>
      </w:r>
      <w:r>
        <w:t>is</w:t>
      </w:r>
      <w:r w:rsidR="000A0488" w:rsidRPr="00F0169C">
        <w:t xml:space="preserve"> </w:t>
      </w:r>
      <w:r w:rsidR="00B5300E">
        <w:t>study</w:t>
      </w:r>
      <w:r w:rsidR="000A0488" w:rsidRPr="00F0169C">
        <w:t xml:space="preserve"> </w:t>
      </w:r>
      <w:r w:rsidR="004A012C">
        <w:t>attempts to answer th</w:t>
      </w:r>
      <w:r>
        <w:t>ese</w:t>
      </w:r>
      <w:r w:rsidR="004A012C">
        <w:t xml:space="preserve"> question</w:t>
      </w:r>
      <w:r>
        <w:t>s</w:t>
      </w:r>
      <w:r w:rsidR="004A012C">
        <w:t xml:space="preserve"> empirically</w:t>
      </w:r>
      <w:r w:rsidR="000A0488" w:rsidRPr="00F0169C">
        <w:t xml:space="preserve"> </w:t>
      </w:r>
      <w:r w:rsidR="004A012C">
        <w:t>by exploiting a unique quasi-experimental setting in the ACT</w:t>
      </w:r>
      <w:r w:rsidR="00B5300E">
        <w:t>, where</w:t>
      </w:r>
      <w:r w:rsidR="00587537">
        <w:t xml:space="preserve"> </w:t>
      </w:r>
      <w:r w:rsidR="004A012C">
        <w:t>energy</w:t>
      </w:r>
      <w:r w:rsidR="00B5300E">
        <w:t>-</w:t>
      </w:r>
      <w:r w:rsidR="004A012C">
        <w:t xml:space="preserve">efficiency disclosure is mandatory and nearly universally implemented </w:t>
      </w:r>
      <w:r w:rsidR="004860BE">
        <w:t xml:space="preserve">in the </w:t>
      </w:r>
      <w:r w:rsidR="00B5300E">
        <w:t xml:space="preserve">property </w:t>
      </w:r>
      <w:r w:rsidR="004860BE">
        <w:t>sales market</w:t>
      </w:r>
      <w:r w:rsidR="00587537">
        <w:t>, but is</w:t>
      </w:r>
      <w:r w:rsidR="004A012C">
        <w:t xml:space="preserve"> </w:t>
      </w:r>
      <w:r w:rsidR="004A012C" w:rsidRPr="009C5EFC">
        <w:t>de facto</w:t>
      </w:r>
      <w:r w:rsidR="004A012C">
        <w:t xml:space="preserve"> voluntary </w:t>
      </w:r>
      <w:r w:rsidR="00FB7E60">
        <w:t>in</w:t>
      </w:r>
      <w:r w:rsidR="004A012C">
        <w:t xml:space="preserve"> the</w:t>
      </w:r>
      <w:r>
        <w:t xml:space="preserve"> </w:t>
      </w:r>
      <w:r w:rsidR="004A012C">
        <w:t xml:space="preserve">rental housing market. </w:t>
      </w:r>
      <w:r w:rsidR="00587537">
        <w:t xml:space="preserve">By comparing </w:t>
      </w:r>
      <w:r w:rsidR="004A012C">
        <w:t xml:space="preserve">pricing and other market outcomes </w:t>
      </w:r>
      <w:r w:rsidR="00587537">
        <w:t xml:space="preserve">for </w:t>
      </w:r>
      <w:r w:rsidR="004A012C">
        <w:t xml:space="preserve">the </w:t>
      </w:r>
      <w:r w:rsidR="00B5300E">
        <w:t xml:space="preserve">residential </w:t>
      </w:r>
      <w:r w:rsidR="004A012C">
        <w:t>sales and rental markets</w:t>
      </w:r>
      <w:r w:rsidR="00587537">
        <w:t xml:space="preserve"> in the ACT,</w:t>
      </w:r>
      <w:r w:rsidR="004A012C">
        <w:t xml:space="preserve"> </w:t>
      </w:r>
      <w:r w:rsidR="0097185C">
        <w:t>the effect of mandatory versus voluntary</w:t>
      </w:r>
      <w:r w:rsidR="00587537">
        <w:t xml:space="preserve"> disclosure</w:t>
      </w:r>
      <w:r w:rsidR="0097185C">
        <w:t xml:space="preserve"> </w:t>
      </w:r>
      <w:r w:rsidR="00587537">
        <w:t>can be estimated</w:t>
      </w:r>
      <w:r w:rsidR="0097185C">
        <w:t xml:space="preserve">. A further pertinent feature of this study is </w:t>
      </w:r>
      <w:r w:rsidR="00587537">
        <w:t xml:space="preserve">access to </w:t>
      </w:r>
      <w:r w:rsidR="0097185C">
        <w:t>detailed information about property characteristics</w:t>
      </w:r>
      <w:r w:rsidR="00587537">
        <w:t xml:space="preserve"> </w:t>
      </w:r>
      <w:r w:rsidR="0097185C">
        <w:t xml:space="preserve">and marketing material </w:t>
      </w:r>
      <w:r w:rsidR="00B5300E">
        <w:t xml:space="preserve">in the ACT, </w:t>
      </w:r>
      <w:r w:rsidR="00647F15">
        <w:t>enabl</w:t>
      </w:r>
      <w:r w:rsidR="00B5300E">
        <w:t>ing</w:t>
      </w:r>
      <w:r w:rsidR="00587537">
        <w:t xml:space="preserve"> </w:t>
      </w:r>
      <w:r w:rsidR="00647F15">
        <w:t xml:space="preserve">the </w:t>
      </w:r>
      <w:r w:rsidR="00587537">
        <w:t>construction of</w:t>
      </w:r>
      <w:r w:rsidR="0097185C">
        <w:t xml:space="preserve"> a proxy measure for energy</w:t>
      </w:r>
      <w:r w:rsidR="00587537">
        <w:t>-</w:t>
      </w:r>
      <w:r w:rsidR="0097185C">
        <w:t xml:space="preserve">efficiency characteristics </w:t>
      </w:r>
      <w:r w:rsidR="00193EFE">
        <w:t xml:space="preserve">that </w:t>
      </w:r>
      <w:r w:rsidR="0097185C">
        <w:t xml:space="preserve">can be used </w:t>
      </w:r>
      <w:r w:rsidR="00587537">
        <w:t xml:space="preserve">to </w:t>
      </w:r>
      <w:r w:rsidR="0097185C">
        <w:t>investigat</w:t>
      </w:r>
      <w:r w:rsidR="00587537">
        <w:t>e</w:t>
      </w:r>
      <w:r w:rsidR="0097185C">
        <w:t xml:space="preserve"> the factors </w:t>
      </w:r>
      <w:r w:rsidR="00587537">
        <w:t>leading</w:t>
      </w:r>
      <w:r w:rsidR="0097185C">
        <w:t xml:space="preserve"> to non-disclosure and suppression</w:t>
      </w:r>
      <w:r w:rsidR="00587537">
        <w:t xml:space="preserve"> by landlords</w:t>
      </w:r>
      <w:r w:rsidR="0097185C">
        <w:t xml:space="preserve"> of information regarding energy efficiency. Finally, this study also contributes to the debate on the social equity dimension of domestic energy efficiency by analysing </w:t>
      </w:r>
      <w:r w:rsidR="00193EFE">
        <w:t xml:space="preserve">whether </w:t>
      </w:r>
      <w:r w:rsidR="0097185C">
        <w:t xml:space="preserve">poorer neighbourhoods and households are adversely affected by insufficient provision of information and </w:t>
      </w:r>
      <w:r w:rsidR="00B5300E">
        <w:t xml:space="preserve">a </w:t>
      </w:r>
      <w:r w:rsidR="0097185C">
        <w:t xml:space="preserve">low supply of affordable energy-efficient stock. </w:t>
      </w:r>
    </w:p>
    <w:p w14:paraId="706C649F" w14:textId="77777777" w:rsidR="004A012C" w:rsidRDefault="004A012C" w:rsidP="009C5EFC"/>
    <w:p w14:paraId="5ADFEDEF" w14:textId="71AFFC19" w:rsidR="0042325E" w:rsidRDefault="0042325E">
      <w:pPr>
        <w:pStyle w:val="Heading1"/>
      </w:pPr>
      <w:r w:rsidRPr="000A077F">
        <w:t>Energy</w:t>
      </w:r>
      <w:r w:rsidR="003B5C36">
        <w:t>-</w:t>
      </w:r>
      <w:r w:rsidR="00B5300E">
        <w:t>e</w:t>
      </w:r>
      <w:r>
        <w:t>fficiency Disclosure in the Australian Property Market</w:t>
      </w:r>
    </w:p>
    <w:p w14:paraId="7F7BC12A" w14:textId="77777777" w:rsidR="000A077F" w:rsidRDefault="000A077F" w:rsidP="00D26F46"/>
    <w:p w14:paraId="5BB7C04A" w14:textId="42243B01" w:rsidR="0042325E" w:rsidRDefault="0042325E" w:rsidP="003628FB">
      <w:pPr>
        <w:pStyle w:val="CommentText"/>
      </w:pPr>
      <w:r>
        <w:t xml:space="preserve">Building energy consumption </w:t>
      </w:r>
      <w:r w:rsidR="00647F15">
        <w:t>is responsible for</w:t>
      </w:r>
      <w:r>
        <w:t xml:space="preserve"> a significant proportion of emissions globally.</w:t>
      </w:r>
      <w:r w:rsidRPr="00687EEF">
        <w:rPr>
          <w:lang w:val="en-AU"/>
        </w:rPr>
        <w:t xml:space="preserve"> </w:t>
      </w:r>
      <w:r w:rsidR="003B5C36">
        <w:rPr>
          <w:lang w:val="en-AU"/>
        </w:rPr>
        <w:t>An e</w:t>
      </w:r>
      <w:r w:rsidRPr="00687EEF">
        <w:rPr>
          <w:lang w:val="en-AU"/>
        </w:rPr>
        <w:t>xpanding population and increase</w:t>
      </w:r>
      <w:r>
        <w:rPr>
          <w:lang w:val="en-AU"/>
        </w:rPr>
        <w:t>d</w:t>
      </w:r>
      <w:r w:rsidRPr="00687EEF">
        <w:rPr>
          <w:lang w:val="en-AU"/>
        </w:rPr>
        <w:t xml:space="preserve"> appetite for housing in Australia mean that energy use will continue to escalate</w:t>
      </w:r>
      <w:r w:rsidR="003B5C36">
        <w:rPr>
          <w:lang w:val="en-AU"/>
        </w:rPr>
        <w:t xml:space="preserve"> in this country</w:t>
      </w:r>
      <w:r>
        <w:rPr>
          <w:lang w:val="en-AU"/>
        </w:rPr>
        <w:t>. C</w:t>
      </w:r>
      <w:r w:rsidRPr="00687EEF">
        <w:rPr>
          <w:lang w:val="en-AU"/>
        </w:rPr>
        <w:t>limate</w:t>
      </w:r>
      <w:r w:rsidR="003B5C36">
        <w:rPr>
          <w:lang w:val="en-AU"/>
        </w:rPr>
        <w:t>-</w:t>
      </w:r>
      <w:r w:rsidRPr="00687EEF">
        <w:rPr>
          <w:lang w:val="en-AU"/>
        </w:rPr>
        <w:t xml:space="preserve">related environmental change will </w:t>
      </w:r>
      <w:r w:rsidR="00647F15">
        <w:rPr>
          <w:lang w:val="en-AU"/>
        </w:rPr>
        <w:t>lead to rising</w:t>
      </w:r>
      <w:r w:rsidRPr="00687EEF">
        <w:rPr>
          <w:lang w:val="en-AU"/>
        </w:rPr>
        <w:t xml:space="preserve"> temperatures</w:t>
      </w:r>
      <w:r w:rsidR="00647F15">
        <w:rPr>
          <w:lang w:val="en-AU"/>
        </w:rPr>
        <w:t xml:space="preserve"> and a greater</w:t>
      </w:r>
      <w:r w:rsidR="003B5C36">
        <w:rPr>
          <w:lang w:val="en-AU"/>
        </w:rPr>
        <w:t xml:space="preserve"> incidence of</w:t>
      </w:r>
      <w:r w:rsidRPr="00687EEF">
        <w:rPr>
          <w:lang w:val="en-AU"/>
        </w:rPr>
        <w:t xml:space="preserve"> extreme weather events (periods of hot and cold weather</w:t>
      </w:r>
      <w:r w:rsidR="003628FB">
        <w:rPr>
          <w:lang w:val="en-AU"/>
        </w:rPr>
        <w:t xml:space="preserve">, </w:t>
      </w:r>
      <w:r w:rsidR="003628FB">
        <w:t>more cyclonic activity, higher rainfall, and stronger winds</w:t>
      </w:r>
      <w:r w:rsidRPr="00687EEF">
        <w:rPr>
          <w:lang w:val="en-AU"/>
        </w:rPr>
        <w:t>)</w:t>
      </w:r>
      <w:r w:rsidR="00647F15">
        <w:rPr>
          <w:lang w:val="en-AU"/>
        </w:rPr>
        <w:t xml:space="preserve"> in Australia</w:t>
      </w:r>
      <w:r>
        <w:rPr>
          <w:lang w:val="en-AU"/>
        </w:rPr>
        <w:t xml:space="preserve">, </w:t>
      </w:r>
      <w:r w:rsidR="003B5C36">
        <w:rPr>
          <w:lang w:val="en-AU"/>
        </w:rPr>
        <w:t xml:space="preserve">further increasing the </w:t>
      </w:r>
      <w:r w:rsidR="003B5C36">
        <w:rPr>
          <w:lang w:val="en-AU"/>
        </w:rPr>
        <w:lastRenderedPageBreak/>
        <w:t>demand for energy to meet</w:t>
      </w:r>
      <w:r w:rsidRPr="00687EEF">
        <w:rPr>
          <w:lang w:val="en-AU"/>
        </w:rPr>
        <w:t xml:space="preserve"> comfort r</w:t>
      </w:r>
      <w:r>
        <w:rPr>
          <w:lang w:val="en-AU"/>
        </w:rPr>
        <w:t>equirements and expectations</w:t>
      </w:r>
      <w:r w:rsidRPr="00687EEF">
        <w:rPr>
          <w:lang w:val="en-AU"/>
        </w:rPr>
        <w:t xml:space="preserve">. Currently, Australia’s </w:t>
      </w:r>
      <w:r w:rsidR="00E6446D">
        <w:rPr>
          <w:lang w:val="en-AU"/>
        </w:rPr>
        <w:t xml:space="preserve">National </w:t>
      </w:r>
      <w:r w:rsidRPr="00687EEF">
        <w:rPr>
          <w:lang w:val="en-AU"/>
        </w:rPr>
        <w:t xml:space="preserve">Greenhouse Gas </w:t>
      </w:r>
      <w:r w:rsidR="00E6446D">
        <w:rPr>
          <w:lang w:val="en-AU"/>
        </w:rPr>
        <w:t>I</w:t>
      </w:r>
      <w:r w:rsidRPr="00687EEF">
        <w:rPr>
          <w:lang w:val="en-AU"/>
        </w:rPr>
        <w:t xml:space="preserve">nventory indicates that </w:t>
      </w:r>
      <w:r w:rsidRPr="009C5EFC">
        <w:rPr>
          <w:lang w:val="en-AU"/>
        </w:rPr>
        <w:t>per capita</w:t>
      </w:r>
      <w:r w:rsidRPr="00687EEF">
        <w:rPr>
          <w:lang w:val="en-AU"/>
        </w:rPr>
        <w:t xml:space="preserve"> emissions are reducing</w:t>
      </w:r>
      <w:r w:rsidR="003B5C36">
        <w:rPr>
          <w:lang w:val="en-AU"/>
        </w:rPr>
        <w:t>; however,</w:t>
      </w:r>
      <w:r w:rsidRPr="00687EEF">
        <w:rPr>
          <w:lang w:val="en-AU"/>
        </w:rPr>
        <w:t xml:space="preserve"> Australia’s population is </w:t>
      </w:r>
      <w:r w:rsidR="00E6446D">
        <w:rPr>
          <w:lang w:val="en-AU"/>
        </w:rPr>
        <w:t xml:space="preserve">rapidly </w:t>
      </w:r>
      <w:r w:rsidRPr="00687EEF">
        <w:rPr>
          <w:lang w:val="en-AU"/>
        </w:rPr>
        <w:t>increasing</w:t>
      </w:r>
      <w:r w:rsidR="00BF3B4F">
        <w:rPr>
          <w:lang w:val="en-AU"/>
        </w:rPr>
        <w:t>,</w:t>
      </w:r>
      <w:r w:rsidRPr="00687EEF">
        <w:rPr>
          <w:lang w:val="en-AU"/>
        </w:rPr>
        <w:t xml:space="preserve"> hitting 24 million in 2016 and </w:t>
      </w:r>
      <w:r w:rsidR="003B5C36">
        <w:rPr>
          <w:lang w:val="en-AU"/>
        </w:rPr>
        <w:t>continuing to rise by</w:t>
      </w:r>
      <w:r w:rsidRPr="00687EEF">
        <w:rPr>
          <w:lang w:val="en-AU"/>
        </w:rPr>
        <w:t xml:space="preserve"> one person every minute and 24 seconds (</w:t>
      </w:r>
      <w:r w:rsidR="007F1022" w:rsidRPr="00687EEF">
        <w:rPr>
          <w:lang w:val="en-AU"/>
        </w:rPr>
        <w:t>ABS</w:t>
      </w:r>
      <w:r w:rsidR="007F1022">
        <w:rPr>
          <w:lang w:val="en-AU"/>
        </w:rPr>
        <w:t>,</w:t>
      </w:r>
      <w:r w:rsidR="007F1022" w:rsidRPr="00687EEF">
        <w:rPr>
          <w:lang w:val="en-AU"/>
        </w:rPr>
        <w:t xml:space="preserve"> 2016</w:t>
      </w:r>
      <w:r w:rsidR="007F1022">
        <w:rPr>
          <w:lang w:val="en-AU"/>
        </w:rPr>
        <w:t xml:space="preserve">; </w:t>
      </w:r>
      <w:r w:rsidRPr="00687EEF">
        <w:rPr>
          <w:lang w:val="en-AU"/>
        </w:rPr>
        <w:t>Department of Environment and Energy</w:t>
      </w:r>
      <w:r w:rsidR="00147497">
        <w:rPr>
          <w:lang w:val="en-AU"/>
        </w:rPr>
        <w:t>,</w:t>
      </w:r>
      <w:r w:rsidRPr="00687EEF">
        <w:rPr>
          <w:lang w:val="en-AU"/>
        </w:rPr>
        <w:t xml:space="preserve"> 2016; SBS</w:t>
      </w:r>
      <w:r w:rsidR="00147497">
        <w:rPr>
          <w:lang w:val="en-AU"/>
        </w:rPr>
        <w:t>,</w:t>
      </w:r>
      <w:r w:rsidRPr="00687EEF">
        <w:rPr>
          <w:lang w:val="en-AU"/>
        </w:rPr>
        <w:t xml:space="preserve"> 2016). Further, </w:t>
      </w:r>
      <w:r w:rsidR="003B5C36">
        <w:rPr>
          <w:lang w:val="en-AU"/>
        </w:rPr>
        <w:t xml:space="preserve">between 1990 and 2016, </w:t>
      </w:r>
      <w:r w:rsidRPr="00687EEF">
        <w:rPr>
          <w:lang w:val="en-AU"/>
        </w:rPr>
        <w:t>emission</w:t>
      </w:r>
      <w:r w:rsidR="00937AC8">
        <w:rPr>
          <w:lang w:val="en-AU"/>
        </w:rPr>
        <w:t>s</w:t>
      </w:r>
      <w:r w:rsidRPr="00687EEF">
        <w:rPr>
          <w:lang w:val="en-AU"/>
        </w:rPr>
        <w:t xml:space="preserve"> related to electricity consumption </w:t>
      </w:r>
      <w:r w:rsidR="00937AC8">
        <w:rPr>
          <w:lang w:val="en-AU"/>
        </w:rPr>
        <w:t>demonstrated the</w:t>
      </w:r>
      <w:r w:rsidRPr="00687EEF">
        <w:rPr>
          <w:lang w:val="en-AU"/>
        </w:rPr>
        <w:t xml:space="preserve"> </w:t>
      </w:r>
      <w:r w:rsidR="00561BA2">
        <w:rPr>
          <w:lang w:val="en-AU"/>
        </w:rPr>
        <w:t>highest</w:t>
      </w:r>
      <w:r w:rsidRPr="00687EEF">
        <w:rPr>
          <w:lang w:val="en-AU"/>
        </w:rPr>
        <w:t xml:space="preserve"> level of growth</w:t>
      </w:r>
      <w:r w:rsidR="003B5C36">
        <w:rPr>
          <w:lang w:val="en-AU"/>
        </w:rPr>
        <w:t>,</w:t>
      </w:r>
      <w:r w:rsidRPr="00687EEF">
        <w:rPr>
          <w:lang w:val="en-AU"/>
        </w:rPr>
        <w:t xml:space="preserve"> </w:t>
      </w:r>
      <w:r w:rsidR="003B5C36">
        <w:rPr>
          <w:lang w:val="en-AU"/>
        </w:rPr>
        <w:t xml:space="preserve">at </w:t>
      </w:r>
      <w:r w:rsidRPr="00687EEF">
        <w:rPr>
          <w:lang w:val="en-AU"/>
        </w:rPr>
        <w:t xml:space="preserve">49.2%, although </w:t>
      </w:r>
      <w:r w:rsidR="00420707">
        <w:rPr>
          <w:lang w:val="en-AU"/>
        </w:rPr>
        <w:t>there is no</w:t>
      </w:r>
      <w:r w:rsidRPr="00687EEF">
        <w:rPr>
          <w:lang w:val="en-AU"/>
        </w:rPr>
        <w:t xml:space="preserve"> direct relationship with housing energy use (Department of Environment and Energy</w:t>
      </w:r>
      <w:r w:rsidR="00147497">
        <w:rPr>
          <w:lang w:val="en-AU"/>
        </w:rPr>
        <w:t>,</w:t>
      </w:r>
      <w:r w:rsidRPr="00687EEF">
        <w:rPr>
          <w:lang w:val="en-AU"/>
        </w:rPr>
        <w:t xml:space="preserve"> 2016</w:t>
      </w:r>
      <w:r w:rsidR="007F1022">
        <w:rPr>
          <w:lang w:val="en-AU"/>
        </w:rPr>
        <w:t xml:space="preserve">; </w:t>
      </w:r>
      <w:r w:rsidR="007F1022" w:rsidRPr="00687EEF">
        <w:rPr>
          <w:lang w:val="en-AU"/>
        </w:rPr>
        <w:t xml:space="preserve">Patel </w:t>
      </w:r>
      <w:r w:rsidR="007F1022">
        <w:rPr>
          <w:lang w:val="en-AU"/>
        </w:rPr>
        <w:t>&amp;</w:t>
      </w:r>
      <w:r w:rsidR="007F1022" w:rsidRPr="00687EEF">
        <w:rPr>
          <w:lang w:val="en-AU"/>
        </w:rPr>
        <w:t xml:space="preserve"> Woodley</w:t>
      </w:r>
      <w:r w:rsidR="007F1022">
        <w:rPr>
          <w:lang w:val="en-AU"/>
        </w:rPr>
        <w:t>,</w:t>
      </w:r>
      <w:r w:rsidR="007F1022" w:rsidRPr="00687EEF">
        <w:rPr>
          <w:lang w:val="en-AU"/>
        </w:rPr>
        <w:t xml:space="preserve"> 2016</w:t>
      </w:r>
      <w:r w:rsidRPr="00687EEF">
        <w:rPr>
          <w:lang w:val="en-AU"/>
        </w:rPr>
        <w:t>)</w:t>
      </w:r>
      <w:r>
        <w:rPr>
          <w:lang w:val="en-AU"/>
        </w:rPr>
        <w:t>.</w:t>
      </w:r>
      <w:r w:rsidRPr="00687EEF">
        <w:rPr>
          <w:lang w:val="en-AU"/>
        </w:rPr>
        <w:t xml:space="preserve"> </w:t>
      </w:r>
      <w:r w:rsidR="00420707">
        <w:t xml:space="preserve">A </w:t>
      </w:r>
      <w:r>
        <w:t xml:space="preserve">study </w:t>
      </w:r>
      <w:r w:rsidR="00E6446D">
        <w:t xml:space="preserve">by the Commonwealth of Australia (2008) </w:t>
      </w:r>
      <w:r>
        <w:t xml:space="preserve">examining residential energy use </w:t>
      </w:r>
      <w:r w:rsidR="00E6446D">
        <w:t>predicted</w:t>
      </w:r>
      <w:r w:rsidR="00420707">
        <w:t xml:space="preserve"> that between 1990 and 2020</w:t>
      </w:r>
      <w:r w:rsidR="00E6446D">
        <w:t>,</w:t>
      </w:r>
      <w:r>
        <w:t xml:space="preserve"> the number of occupied residential buildings </w:t>
      </w:r>
      <w:r w:rsidR="00420707">
        <w:t xml:space="preserve">will </w:t>
      </w:r>
      <w:r>
        <w:t>increase by 61%</w:t>
      </w:r>
      <w:r w:rsidR="00420707">
        <w:t>. F</w:t>
      </w:r>
      <w:r>
        <w:t xml:space="preserve">urther exacerbated by consumption habits </w:t>
      </w:r>
      <w:r w:rsidR="00420707">
        <w:t xml:space="preserve">that are increasing </w:t>
      </w:r>
      <w:r>
        <w:t xml:space="preserve">the average dwelling size, </w:t>
      </w:r>
      <w:r w:rsidR="00420707">
        <w:t xml:space="preserve">this will result </w:t>
      </w:r>
      <w:r>
        <w:t xml:space="preserve">in an increase in residential floor area </w:t>
      </w:r>
      <w:r w:rsidR="00E6446D">
        <w:t>of</w:t>
      </w:r>
      <w:r>
        <w:t xml:space="preserve"> 145%. When considered from an energy</w:t>
      </w:r>
      <w:r w:rsidR="00561BA2">
        <w:t>-</w:t>
      </w:r>
      <w:r>
        <w:t>consumption perspective</w:t>
      </w:r>
      <w:r w:rsidR="003B5C36">
        <w:t>,</w:t>
      </w:r>
      <w:r>
        <w:t xml:space="preserve"> this </w:t>
      </w:r>
      <w:r w:rsidR="00420707">
        <w:t>equates to</w:t>
      </w:r>
      <w:r>
        <w:t xml:space="preserve"> </w:t>
      </w:r>
      <w:r w:rsidR="003B5C36">
        <w:t xml:space="preserve">a </w:t>
      </w:r>
      <w:r>
        <w:t>56% increase in residential energy consumption (Commonwealth of Australia</w:t>
      </w:r>
      <w:r w:rsidR="00147497">
        <w:t>,</w:t>
      </w:r>
      <w:r>
        <w:t xml:space="preserve"> 2008). </w:t>
      </w:r>
      <w:r w:rsidR="00420707">
        <w:rPr>
          <w:lang w:val="en-AU"/>
        </w:rPr>
        <w:t>T</w:t>
      </w:r>
      <w:r w:rsidRPr="00687EEF">
        <w:rPr>
          <w:lang w:val="en-AU"/>
        </w:rPr>
        <w:t xml:space="preserve">o counteract the challenges </w:t>
      </w:r>
      <w:r w:rsidR="00420707">
        <w:rPr>
          <w:lang w:val="en-AU"/>
        </w:rPr>
        <w:t>posed by an</w:t>
      </w:r>
      <w:r w:rsidR="00420707" w:rsidRPr="00687EEF">
        <w:rPr>
          <w:lang w:val="en-AU"/>
        </w:rPr>
        <w:t xml:space="preserve"> </w:t>
      </w:r>
      <w:r w:rsidRPr="00687EEF">
        <w:rPr>
          <w:lang w:val="en-AU"/>
        </w:rPr>
        <w:t xml:space="preserve">increasing population and </w:t>
      </w:r>
      <w:bookmarkStart w:id="1" w:name="_Hlk489796506"/>
      <w:r w:rsidR="00561BA2">
        <w:rPr>
          <w:lang w:val="en-AU"/>
        </w:rPr>
        <w:t>high</w:t>
      </w:r>
      <w:r w:rsidR="00CB1742">
        <w:rPr>
          <w:lang w:val="en-AU"/>
        </w:rPr>
        <w:t>–</w:t>
      </w:r>
      <w:r w:rsidRPr="00687EEF">
        <w:rPr>
          <w:lang w:val="en-AU"/>
        </w:rPr>
        <w:t>energy</w:t>
      </w:r>
      <w:r w:rsidR="00CB1742">
        <w:rPr>
          <w:lang w:val="en-AU"/>
        </w:rPr>
        <w:t xml:space="preserve"> </w:t>
      </w:r>
      <w:r w:rsidR="00561BA2">
        <w:rPr>
          <w:lang w:val="en-AU"/>
        </w:rPr>
        <w:t>use</w:t>
      </w:r>
      <w:r w:rsidRPr="00687EEF">
        <w:rPr>
          <w:lang w:val="en-AU"/>
        </w:rPr>
        <w:t xml:space="preserve"> dwellings</w:t>
      </w:r>
      <w:bookmarkEnd w:id="1"/>
      <w:r w:rsidRPr="00687EEF">
        <w:rPr>
          <w:lang w:val="en-AU"/>
        </w:rPr>
        <w:t>,</w:t>
      </w:r>
      <w:r w:rsidRPr="006705B2">
        <w:t xml:space="preserve"> </w:t>
      </w:r>
      <w:r w:rsidR="00561BA2">
        <w:t xml:space="preserve">both </w:t>
      </w:r>
      <w:r w:rsidRPr="00687EEF">
        <w:rPr>
          <w:lang w:val="en-AU"/>
        </w:rPr>
        <w:t>existing and new</w:t>
      </w:r>
      <w:r w:rsidR="00937AC8">
        <w:rPr>
          <w:lang w:val="en-AU"/>
        </w:rPr>
        <w:t xml:space="preserve"> dwellings</w:t>
      </w:r>
      <w:r w:rsidRPr="00687EEF">
        <w:rPr>
          <w:lang w:val="en-AU"/>
        </w:rPr>
        <w:t xml:space="preserve"> </w:t>
      </w:r>
      <w:r w:rsidR="00420707">
        <w:rPr>
          <w:lang w:val="en-AU"/>
        </w:rPr>
        <w:t>must</w:t>
      </w:r>
      <w:r w:rsidRPr="00687EEF">
        <w:rPr>
          <w:lang w:val="en-AU"/>
        </w:rPr>
        <w:t xml:space="preserve"> be</w:t>
      </w:r>
      <w:r w:rsidR="00420707">
        <w:rPr>
          <w:lang w:val="en-AU"/>
        </w:rPr>
        <w:t>come</w:t>
      </w:r>
      <w:r w:rsidRPr="00687EEF">
        <w:rPr>
          <w:lang w:val="en-AU"/>
        </w:rPr>
        <w:t xml:space="preserve"> more energy efficient.</w:t>
      </w:r>
    </w:p>
    <w:p w14:paraId="3358C840" w14:textId="77777777" w:rsidR="0042325E" w:rsidRDefault="0042325E" w:rsidP="00D26F46"/>
    <w:p w14:paraId="4D0C6923" w14:textId="51E7CDE6" w:rsidR="004860BE" w:rsidRDefault="003B5C36" w:rsidP="00D26F46">
      <w:r>
        <w:t>F</w:t>
      </w:r>
      <w:r w:rsidR="0042325E">
        <w:t xml:space="preserve">or Australia to meet </w:t>
      </w:r>
      <w:r w:rsidR="00420707">
        <w:t xml:space="preserve">its </w:t>
      </w:r>
      <w:r w:rsidR="0042325E">
        <w:t>emissions targets</w:t>
      </w:r>
      <w:r w:rsidR="00420707">
        <w:t>,</w:t>
      </w:r>
      <w:r w:rsidR="0042325E">
        <w:t xml:space="preserve"> substantial efforts are required to minimise energy consumption</w:t>
      </w:r>
      <w:r w:rsidR="00FC0E0E">
        <w:t>, particularly in the</w:t>
      </w:r>
      <w:r w:rsidR="0042325E" w:rsidRPr="00FC0E0E">
        <w:t xml:space="preserve"> residential sector</w:t>
      </w:r>
      <w:r w:rsidR="00FC0E0E">
        <w:t>, which</w:t>
      </w:r>
      <w:r w:rsidR="0042325E" w:rsidRPr="00FC0E0E">
        <w:t xml:space="preserve"> has been identified as a primary source of energy consumption and emissions.</w:t>
      </w:r>
      <w:r w:rsidR="0042325E">
        <w:t xml:space="preserve"> Current</w:t>
      </w:r>
      <w:r w:rsidR="003E7209">
        <w:t>ly, the lack of consideration given to improving energy efficiency in existing residential stock, which comprises the bulk of housing in Australia, is rendering</w:t>
      </w:r>
      <w:r w:rsidR="0042325E">
        <w:t xml:space="preserve"> efforts to </w:t>
      </w:r>
      <w:r w:rsidR="003E7209">
        <w:t>minimise energy consumption</w:t>
      </w:r>
      <w:r w:rsidR="0042325E">
        <w:t xml:space="preserve"> in residential buildings inadequate to meet </w:t>
      </w:r>
      <w:r w:rsidR="00FC0E0E">
        <w:t xml:space="preserve">the </w:t>
      </w:r>
      <w:r w:rsidR="0042325E">
        <w:t>required targets (Dalton et al.</w:t>
      </w:r>
      <w:r w:rsidR="00147497">
        <w:t>,</w:t>
      </w:r>
      <w:r w:rsidR="0042325E">
        <w:t xml:space="preserve"> 2008). </w:t>
      </w:r>
      <w:r w:rsidR="003E7209">
        <w:t>T</w:t>
      </w:r>
      <w:r w:rsidR="0042325E">
        <w:t xml:space="preserve">he majority of current schemes focus on new dwellings, </w:t>
      </w:r>
      <w:r w:rsidR="003E7209">
        <w:t xml:space="preserve">which </w:t>
      </w:r>
      <w:r w:rsidR="0042325E">
        <w:t>compris</w:t>
      </w:r>
      <w:r w:rsidR="003E7209">
        <w:t>e only</w:t>
      </w:r>
      <w:r w:rsidR="0042325E">
        <w:t xml:space="preserve"> approximately 2.3% of housing stock, or those </w:t>
      </w:r>
      <w:r w:rsidR="003E7209">
        <w:t xml:space="preserve">undergoing </w:t>
      </w:r>
      <w:r w:rsidR="0042325E">
        <w:t xml:space="preserve">substantial renovation </w:t>
      </w:r>
      <w:r w:rsidR="003E7209">
        <w:t xml:space="preserve">or </w:t>
      </w:r>
      <w:r w:rsidR="0042325E">
        <w:t>extension (ABS</w:t>
      </w:r>
      <w:r w:rsidR="00147497">
        <w:t>,</w:t>
      </w:r>
      <w:r w:rsidR="0042325E">
        <w:t xml:space="preserve"> 2015). These properties are captured through the National Construction Code</w:t>
      </w:r>
      <w:r w:rsidR="003E7209">
        <w:t>, which</w:t>
      </w:r>
      <w:r w:rsidR="0042325E">
        <w:t xml:space="preserve"> requir</w:t>
      </w:r>
      <w:r w:rsidR="003E7209">
        <w:t>es</w:t>
      </w:r>
      <w:r w:rsidR="0042325E">
        <w:t xml:space="preserve"> a modelled thermal</w:t>
      </w:r>
      <w:r w:rsidR="00561BA2">
        <w:t>-</w:t>
      </w:r>
      <w:r w:rsidR="0042325E">
        <w:t xml:space="preserve">performance assessment </w:t>
      </w:r>
      <w:r w:rsidR="003E7209">
        <w:t xml:space="preserve">and </w:t>
      </w:r>
      <w:r w:rsidR="0042325E">
        <w:t xml:space="preserve">a minimum </w:t>
      </w:r>
      <w:r w:rsidR="00CB1742">
        <w:t>six</w:t>
      </w:r>
      <w:r w:rsidR="0042325E">
        <w:t>-star rating under the Nationwide House Energy Rating Scheme (NatHERS)</w:t>
      </w:r>
      <w:r w:rsidR="003E7209">
        <w:t>, and by</w:t>
      </w:r>
      <w:r w:rsidR="0042325E">
        <w:t xml:space="preserve"> </w:t>
      </w:r>
      <w:r w:rsidR="004860BE">
        <w:t xml:space="preserve">the BASIX program for new homes </w:t>
      </w:r>
      <w:r w:rsidR="003E7209">
        <w:t>in New South Wales</w:t>
      </w:r>
      <w:r w:rsidR="004860BE">
        <w:t xml:space="preserve">. However, ratings systems </w:t>
      </w:r>
      <w:r w:rsidR="00561BA2">
        <w:t>for</w:t>
      </w:r>
      <w:r w:rsidR="004860BE">
        <w:t xml:space="preserve"> existing </w:t>
      </w:r>
      <w:r w:rsidR="006F31ED">
        <w:t xml:space="preserve">housing </w:t>
      </w:r>
      <w:r w:rsidR="004860BE">
        <w:t xml:space="preserve">stock have </w:t>
      </w:r>
      <w:r w:rsidR="00561BA2">
        <w:t xml:space="preserve">experienced </w:t>
      </w:r>
      <w:r w:rsidR="004860BE">
        <w:t xml:space="preserve">limited </w:t>
      </w:r>
      <w:r w:rsidR="00561BA2">
        <w:t>uptake</w:t>
      </w:r>
      <w:r w:rsidR="004860BE">
        <w:t xml:space="preserve"> in Australia. </w:t>
      </w:r>
      <w:r w:rsidR="006F31ED">
        <w:t>In 2010, the Queensland Government introduced a</w:t>
      </w:r>
      <w:r w:rsidR="004860BE">
        <w:t xml:space="preserve"> ‘</w:t>
      </w:r>
      <w:r w:rsidR="006F31ED">
        <w:t>s</w:t>
      </w:r>
      <w:r w:rsidR="004860BE">
        <w:t xml:space="preserve">ustainability </w:t>
      </w:r>
      <w:r w:rsidR="006F31ED">
        <w:t>d</w:t>
      </w:r>
      <w:r w:rsidR="004860BE">
        <w:t>eclaration’</w:t>
      </w:r>
      <w:r w:rsidR="006F31ED">
        <w:t>,</w:t>
      </w:r>
      <w:r w:rsidR="004860BE">
        <w:t xml:space="preserve"> to be provided at </w:t>
      </w:r>
      <w:r w:rsidR="00E6446D">
        <w:t xml:space="preserve">the </w:t>
      </w:r>
      <w:r w:rsidR="004860BE">
        <w:t>point of sale</w:t>
      </w:r>
      <w:r w:rsidR="006F31ED">
        <w:t>; however, this scheme was</w:t>
      </w:r>
      <w:r w:rsidR="004860BE">
        <w:t xml:space="preserve"> retracted in 2012 </w:t>
      </w:r>
      <w:r w:rsidR="00E6446D">
        <w:t>as a result of</w:t>
      </w:r>
      <w:r w:rsidR="004860BE">
        <w:t xml:space="preserve"> poor uptake</w:t>
      </w:r>
      <w:r w:rsidR="006F31ED">
        <w:t xml:space="preserve">. The only scheme addressing existing dwellings </w:t>
      </w:r>
      <w:r w:rsidR="003838A6">
        <w:t xml:space="preserve">that is </w:t>
      </w:r>
      <w:r w:rsidR="006F31ED">
        <w:t>currently operating in Australia is the ACT’s</w:t>
      </w:r>
      <w:r w:rsidR="004860BE">
        <w:t xml:space="preserve"> mandatory disclosure program</w:t>
      </w:r>
      <w:r w:rsidR="006F31ED">
        <w:t>,</w:t>
      </w:r>
      <w:r w:rsidR="004860BE">
        <w:t xml:space="preserve"> one of the </w:t>
      </w:r>
      <w:bookmarkStart w:id="2" w:name="_Hlk489796767"/>
      <w:r w:rsidR="004860BE">
        <w:t>longest</w:t>
      </w:r>
      <w:r w:rsidR="00CB1742">
        <w:t xml:space="preserve"> </w:t>
      </w:r>
      <w:r w:rsidR="004860BE">
        <w:t>running residential disclosure</w:t>
      </w:r>
      <w:bookmarkEnd w:id="2"/>
      <w:r w:rsidR="004860BE">
        <w:t xml:space="preserve"> programs globally. </w:t>
      </w:r>
    </w:p>
    <w:p w14:paraId="21376EDC" w14:textId="77777777" w:rsidR="004860BE" w:rsidRDefault="004860BE" w:rsidP="00D26F46"/>
    <w:p w14:paraId="70071245" w14:textId="78B508FE" w:rsidR="0042325E" w:rsidRPr="00DF14D6" w:rsidRDefault="004860BE" w:rsidP="00D26F46">
      <w:r>
        <w:t>T</w:t>
      </w:r>
      <w:r w:rsidR="0042325E">
        <w:t>he ACT</w:t>
      </w:r>
      <w:r w:rsidR="006F31ED">
        <w:t>’s</w:t>
      </w:r>
      <w:r>
        <w:t xml:space="preserve"> mandatory </w:t>
      </w:r>
      <w:r w:rsidR="006F31ED">
        <w:t xml:space="preserve">energy-efficiency </w:t>
      </w:r>
      <w:r>
        <w:t xml:space="preserve">disclosure </w:t>
      </w:r>
      <w:r w:rsidR="006F31ED">
        <w:t>scheme</w:t>
      </w:r>
      <w:r>
        <w:t xml:space="preserve"> for </w:t>
      </w:r>
      <w:r w:rsidR="00937AC8">
        <w:t>dwellings</w:t>
      </w:r>
      <w:r>
        <w:t xml:space="preserve"> for sale </w:t>
      </w:r>
      <w:r w:rsidR="0025436E">
        <w:t xml:space="preserve">or </w:t>
      </w:r>
      <w:r>
        <w:t xml:space="preserve">lease was </w:t>
      </w:r>
      <w:r w:rsidR="006F31ED">
        <w:t xml:space="preserve">developed </w:t>
      </w:r>
      <w:r>
        <w:t>in response to</w:t>
      </w:r>
      <w:r w:rsidR="006F31ED">
        <w:t xml:space="preserve"> the finding that </w:t>
      </w:r>
      <w:r>
        <w:t xml:space="preserve">ACT </w:t>
      </w:r>
      <w:r w:rsidR="0042325E">
        <w:t xml:space="preserve">households </w:t>
      </w:r>
      <w:r w:rsidR="006F31ED">
        <w:t xml:space="preserve">are </w:t>
      </w:r>
      <w:r w:rsidR="0042325E">
        <w:t>among the largest energy consumers per capita in Australia</w:t>
      </w:r>
      <w:r>
        <w:t>,</w:t>
      </w:r>
      <w:r w:rsidR="0042325E">
        <w:t xml:space="preserve"> </w:t>
      </w:r>
      <w:r w:rsidR="006F31ED">
        <w:t>likely due to the</w:t>
      </w:r>
      <w:r w:rsidR="0042325E">
        <w:t xml:space="preserve"> weather extremes</w:t>
      </w:r>
      <w:r>
        <w:t xml:space="preserve"> in the ACT</w:t>
      </w:r>
      <w:r w:rsidR="0042325E">
        <w:t xml:space="preserve"> (</w:t>
      </w:r>
      <w:r w:rsidR="0042325E" w:rsidRPr="003A393B">
        <w:rPr>
          <w:lang w:val="en-AU"/>
        </w:rPr>
        <w:t>DEWHA</w:t>
      </w:r>
      <w:r w:rsidR="00147497">
        <w:rPr>
          <w:lang w:val="en-AU"/>
        </w:rPr>
        <w:t>,</w:t>
      </w:r>
      <w:r w:rsidR="0042325E" w:rsidRPr="003A393B">
        <w:rPr>
          <w:lang w:val="en-AU"/>
        </w:rPr>
        <w:t xml:space="preserve"> 2008a; Environment and Planning</w:t>
      </w:r>
      <w:r w:rsidR="00147497">
        <w:rPr>
          <w:lang w:val="en-AU"/>
        </w:rPr>
        <w:t>,</w:t>
      </w:r>
      <w:r w:rsidR="0042325E" w:rsidRPr="003A393B">
        <w:rPr>
          <w:lang w:val="en-AU"/>
        </w:rPr>
        <w:t xml:space="preserve"> 2015</w:t>
      </w:r>
      <w:r w:rsidR="007F1022">
        <w:rPr>
          <w:lang w:val="en-AU"/>
        </w:rPr>
        <w:t xml:space="preserve">; </w:t>
      </w:r>
      <w:r w:rsidR="007F1022">
        <w:t>Pitt &amp; Sherry, 2014</w:t>
      </w:r>
      <w:r w:rsidR="0042325E">
        <w:t xml:space="preserve">). </w:t>
      </w:r>
      <w:r w:rsidR="00A776FC">
        <w:t xml:space="preserve">The </w:t>
      </w:r>
      <w:r w:rsidR="00416651">
        <w:t xml:space="preserve">legislated </w:t>
      </w:r>
      <w:r w:rsidR="00A776FC">
        <w:t>requirement</w:t>
      </w:r>
      <w:r w:rsidR="00416651">
        <w:t xml:space="preserve"> is</w:t>
      </w:r>
      <w:r w:rsidR="00A776FC">
        <w:t xml:space="preserve"> to have an energy-efficiency</w:t>
      </w:r>
      <w:r w:rsidR="00416651">
        <w:t xml:space="preserve"> rating</w:t>
      </w:r>
      <w:r w:rsidR="00A776FC">
        <w:t xml:space="preserve"> (EER) for dwellings to determine </w:t>
      </w:r>
      <w:r w:rsidR="00416651">
        <w:t>the</w:t>
      </w:r>
      <w:r w:rsidR="00A776FC">
        <w:t xml:space="preserve"> thermal perfo</w:t>
      </w:r>
      <w:r w:rsidR="00416651">
        <w:t>rmance of the dwelling; this EER then</w:t>
      </w:r>
      <w:r w:rsidR="00274DD6">
        <w:t xml:space="preserve"> has</w:t>
      </w:r>
      <w:r w:rsidR="00A776FC">
        <w:t xml:space="preserve"> </w:t>
      </w:r>
      <w:r w:rsidR="00274DD6">
        <w:t>to be</w:t>
      </w:r>
      <w:r w:rsidR="00A776FC">
        <w:t xml:space="preserve"> displayed through </w:t>
      </w:r>
      <w:r w:rsidR="00416651">
        <w:t xml:space="preserve">any </w:t>
      </w:r>
      <w:r w:rsidR="00A776FC">
        <w:t xml:space="preserve">media </w:t>
      </w:r>
      <w:r w:rsidR="00416651">
        <w:t>and advertising associated with the</w:t>
      </w:r>
      <w:r w:rsidR="00A776FC">
        <w:t xml:space="preserve"> property transaction</w:t>
      </w:r>
      <w:r w:rsidR="00416651">
        <w:t>, be it the</w:t>
      </w:r>
      <w:r w:rsidR="00A776FC">
        <w:t xml:space="preserve"> sale or leasing of a dwelling. </w:t>
      </w:r>
      <w:r w:rsidR="0025436E">
        <w:t>The requirement to disclose</w:t>
      </w:r>
      <w:r w:rsidR="0042325E">
        <w:t xml:space="preserve"> </w:t>
      </w:r>
      <w:r w:rsidR="00561BA2">
        <w:t>a property’s</w:t>
      </w:r>
      <w:r w:rsidR="0042325E">
        <w:t xml:space="preserve"> EER </w:t>
      </w:r>
      <w:r w:rsidR="0025436E">
        <w:t xml:space="preserve">has been in place for rental properties advertised for lease since 1997 through the Residential Tenancy Act (1997), and for properties </w:t>
      </w:r>
      <w:r w:rsidR="003838A6">
        <w:t xml:space="preserve">advertised </w:t>
      </w:r>
      <w:r w:rsidR="0025436E">
        <w:t xml:space="preserve">for sale since 1999, </w:t>
      </w:r>
      <w:r w:rsidR="0025436E" w:rsidRPr="00346D82">
        <w:t>later revised under the Civil Law Act (2003) (Sale of Residential Property)</w:t>
      </w:r>
      <w:r w:rsidR="0025436E">
        <w:t xml:space="preserve">. </w:t>
      </w:r>
      <w:r w:rsidR="004670BF">
        <w:t>N</w:t>
      </w:r>
      <w:r w:rsidR="00274DD6">
        <w:t xml:space="preserve">ot displaying the </w:t>
      </w:r>
      <w:r w:rsidR="004B1585">
        <w:t>EER</w:t>
      </w:r>
      <w:r w:rsidR="00274DD6">
        <w:t xml:space="preserve"> at point of sale </w:t>
      </w:r>
      <w:r w:rsidR="004670BF">
        <w:t xml:space="preserve">is </w:t>
      </w:r>
      <w:r w:rsidR="00274DD6">
        <w:t>deemed an offence</w:t>
      </w:r>
      <w:r w:rsidR="005A017F">
        <w:t xml:space="preserve">, incurring a fine. </w:t>
      </w:r>
      <w:r w:rsidR="00050275">
        <w:t>An offence can comprise an EER</w:t>
      </w:r>
      <w:r w:rsidR="00274DD6">
        <w:t xml:space="preserve"> not disclosed on the advertisement</w:t>
      </w:r>
      <w:r w:rsidR="005A017F">
        <w:t xml:space="preserve">; or the </w:t>
      </w:r>
      <w:r w:rsidR="00274DD6">
        <w:t>provi</w:t>
      </w:r>
      <w:r w:rsidR="005A017F">
        <w:t>sion of</w:t>
      </w:r>
      <w:r w:rsidR="00274DD6">
        <w:t xml:space="preserve"> an EER statement which is found to be false or misleading. Further on receiving the EER statement for the property the prospective purchaser is required to certify in writing that they have received it, should the vendor fail to comply with the provision there is a further penalty where the vendor is liable to the purchaser of 0.5% of the purchase price. Consequently, the penalty for not disclosing the EER statement in a property for sale is financially detrimental to the vendor</w:t>
      </w:r>
      <w:r w:rsidR="003C22A4">
        <w:t xml:space="preserve"> (Civil Law Act, 2003)</w:t>
      </w:r>
      <w:r w:rsidR="00274DD6">
        <w:t xml:space="preserve">. </w:t>
      </w:r>
      <w:r w:rsidR="003C22A4">
        <w:t xml:space="preserve"> The Residential Tenancy Act (1997) has similar </w:t>
      </w:r>
      <w:r w:rsidR="00F467B7">
        <w:t>penalties</w:t>
      </w:r>
      <w:r w:rsidR="003C22A4">
        <w:t xml:space="preserve"> associated, however, has a number of elements that create loopholes</w:t>
      </w:r>
      <w:r w:rsidR="00F467B7">
        <w:t xml:space="preserve"> where </w:t>
      </w:r>
      <w:r w:rsidR="00356845">
        <w:t xml:space="preserve">the </w:t>
      </w:r>
      <w:r w:rsidR="00F467B7">
        <w:t>disclosure of the EER can be eluded</w:t>
      </w:r>
      <w:r w:rsidR="003C22A4">
        <w:t xml:space="preserve">. </w:t>
      </w:r>
      <w:r w:rsidR="00356845">
        <w:t xml:space="preserve">Firstly, </w:t>
      </w:r>
      <w:r w:rsidR="00F467B7">
        <w:t xml:space="preserve">if the dwelling does not have an existing energy efficiency rating </w:t>
      </w:r>
      <w:r w:rsidR="00F467B7">
        <w:lastRenderedPageBreak/>
        <w:t xml:space="preserve">for the dwelling, there is no requirement to display. Secondly, </w:t>
      </w:r>
      <w:r w:rsidR="003C22A4">
        <w:t>“Subsection (1) does not apply if the person has a reasonable excuse”, subsection 1 being the requirement to publish an EER in advertisements for lease of the premises (pg 12).</w:t>
      </w:r>
      <w:r w:rsidR="00274DD6">
        <w:t xml:space="preserve"> </w:t>
      </w:r>
      <w:r w:rsidR="00937AC8">
        <w:t>The current EER</w:t>
      </w:r>
      <w:r w:rsidR="00561BA2">
        <w:t xml:space="preserve"> system</w:t>
      </w:r>
      <w:r w:rsidR="00937AC8">
        <w:t xml:space="preserve"> is</w:t>
      </w:r>
      <w:r w:rsidR="0042325E">
        <w:t xml:space="preserve"> </w:t>
      </w:r>
      <w:r w:rsidR="00937AC8">
        <w:t>modelled on the NatHERS system</w:t>
      </w:r>
      <w:r w:rsidR="00E61202">
        <w:t xml:space="preserve">, which </w:t>
      </w:r>
      <w:r w:rsidR="0025436E">
        <w:t xml:space="preserve">requires </w:t>
      </w:r>
      <w:r w:rsidR="00E61202">
        <w:t xml:space="preserve">a </w:t>
      </w:r>
      <w:r w:rsidR="00E61202" w:rsidRPr="00E61202">
        <w:t>thermal</w:t>
      </w:r>
      <w:r w:rsidR="00561BA2">
        <w:t>-</w:t>
      </w:r>
      <w:r w:rsidR="00E61202" w:rsidRPr="00E61202">
        <w:t xml:space="preserve">performance </w:t>
      </w:r>
      <w:r w:rsidR="00E61202">
        <w:t xml:space="preserve">assessment </w:t>
      </w:r>
      <w:r w:rsidR="00E61202" w:rsidRPr="00E61202">
        <w:t>of the building</w:t>
      </w:r>
      <w:r w:rsidR="0025436E">
        <w:t>, excluding</w:t>
      </w:r>
      <w:r w:rsidR="00E61202">
        <w:t xml:space="preserve"> </w:t>
      </w:r>
      <w:r w:rsidR="00E61202" w:rsidRPr="00E61202">
        <w:t>appliance</w:t>
      </w:r>
      <w:r w:rsidR="0025436E">
        <w:t>s</w:t>
      </w:r>
      <w:r w:rsidR="00E61202" w:rsidRPr="00E61202">
        <w:t>, predominantly using first</w:t>
      </w:r>
      <w:r w:rsidR="0025436E">
        <w:t>-</w:t>
      </w:r>
      <w:r w:rsidR="00E61202" w:rsidRPr="00E61202">
        <w:t>generation NatHERS software for assessments of existing dwellings</w:t>
      </w:r>
      <w:r w:rsidR="00E61202">
        <w:t>.</w:t>
      </w:r>
      <w:r w:rsidR="0025436E">
        <w:t xml:space="preserve"> </w:t>
      </w:r>
      <w:r>
        <w:t>This is one of the longest</w:t>
      </w:r>
      <w:r w:rsidR="00CB1742">
        <w:t xml:space="preserve"> </w:t>
      </w:r>
      <w:r>
        <w:t>running energy</w:t>
      </w:r>
      <w:r w:rsidR="0025436E">
        <w:t>-</w:t>
      </w:r>
      <w:r>
        <w:t>efficiency disclosure programs</w:t>
      </w:r>
      <w:r w:rsidR="0025436E">
        <w:t>;</w:t>
      </w:r>
      <w:r w:rsidR="0042325E" w:rsidRPr="00346D82">
        <w:t xml:space="preserve"> Energy Performance Certificate (EPC) </w:t>
      </w:r>
      <w:r w:rsidR="00C24C2E">
        <w:t>r</w:t>
      </w:r>
      <w:r w:rsidR="0042325E" w:rsidRPr="00346D82">
        <w:t xml:space="preserve">atings in Europe were </w:t>
      </w:r>
      <w:r w:rsidR="0025436E">
        <w:t xml:space="preserve">only </w:t>
      </w:r>
      <w:r w:rsidR="0042325E" w:rsidRPr="00346D82">
        <w:t xml:space="preserve">enacted in </w:t>
      </w:r>
      <w:r w:rsidR="0025436E">
        <w:t xml:space="preserve">or after </w:t>
      </w:r>
      <w:r w:rsidR="0042325E" w:rsidRPr="00346D82">
        <w:t xml:space="preserve">2007 </w:t>
      </w:r>
      <w:r w:rsidR="0042325E">
        <w:t>for residential properties</w:t>
      </w:r>
      <w:r w:rsidR="0042325E" w:rsidRPr="00346D82">
        <w:t xml:space="preserve">. </w:t>
      </w:r>
    </w:p>
    <w:p w14:paraId="5A54C4CB" w14:textId="77777777" w:rsidR="0042325E" w:rsidRDefault="0042325E" w:rsidP="00D26F46"/>
    <w:p w14:paraId="11460DD4" w14:textId="52D61383" w:rsidR="0047775E" w:rsidRDefault="0025436E" w:rsidP="0047775E">
      <w:r>
        <w:t>A</w:t>
      </w:r>
      <w:r w:rsidR="001667AC">
        <w:t>n</w:t>
      </w:r>
      <w:r w:rsidR="00050275">
        <w:t xml:space="preserve"> </w:t>
      </w:r>
      <w:r w:rsidR="001A3066">
        <w:t xml:space="preserve">Australia-wide </w:t>
      </w:r>
      <w:r w:rsidR="0042325E">
        <w:t>study</w:t>
      </w:r>
      <w:r>
        <w:t xml:space="preserve"> found</w:t>
      </w:r>
      <w:r w:rsidR="0042325E">
        <w:t xml:space="preserve"> </w:t>
      </w:r>
      <w:r w:rsidR="001A3066">
        <w:t xml:space="preserve">that the ACT had the highest level of </w:t>
      </w:r>
      <w:r w:rsidR="0042325E">
        <w:t>energy</w:t>
      </w:r>
      <w:r>
        <w:t>-</w:t>
      </w:r>
      <w:r w:rsidR="0042325E">
        <w:t xml:space="preserve">efficiency improvements to </w:t>
      </w:r>
      <w:r w:rsidR="001A3066">
        <w:t xml:space="preserve">existing </w:t>
      </w:r>
      <w:r w:rsidR="0042325E">
        <w:t>owner-occupied dwelling</w:t>
      </w:r>
      <w:r w:rsidR="001A3066">
        <w:t>s</w:t>
      </w:r>
      <w:r w:rsidR="0042325E">
        <w:t xml:space="preserve"> (Australian Bureau of Statistics</w:t>
      </w:r>
      <w:r w:rsidR="00147497">
        <w:t>,</w:t>
      </w:r>
      <w:r w:rsidR="0042325E">
        <w:t xml:space="preserve"> 201</w:t>
      </w:r>
      <w:r w:rsidR="00A06807">
        <w:t>1</w:t>
      </w:r>
      <w:r w:rsidR="0042325E">
        <w:t>)</w:t>
      </w:r>
      <w:r>
        <w:t xml:space="preserve">, likely </w:t>
      </w:r>
      <w:r w:rsidR="003838A6">
        <w:t>as a result of</w:t>
      </w:r>
      <w:r>
        <w:t xml:space="preserve"> the </w:t>
      </w:r>
      <w:r w:rsidR="001A3066">
        <w:t xml:space="preserve">ACT’s </w:t>
      </w:r>
      <w:r>
        <w:t xml:space="preserve">mandatory disclosure requirements, which had by this time been in effect for </w:t>
      </w:r>
      <w:r w:rsidR="003838A6">
        <w:t>more than</w:t>
      </w:r>
      <w:r>
        <w:t xml:space="preserve"> a decade</w:t>
      </w:r>
      <w:r w:rsidR="0042325E">
        <w:t>. Further, a</w:t>
      </w:r>
      <w:r w:rsidR="001A3066">
        <w:t>n</w:t>
      </w:r>
      <w:r w:rsidR="0042325E">
        <w:t xml:space="preserve"> </w:t>
      </w:r>
      <w:r w:rsidR="001A3066">
        <w:t xml:space="preserve">earlier </w:t>
      </w:r>
      <w:r w:rsidR="0042325E">
        <w:t xml:space="preserve">study found that </w:t>
      </w:r>
      <w:r w:rsidR="00E04040">
        <w:t xml:space="preserve">the </w:t>
      </w:r>
      <w:r w:rsidR="0042325E">
        <w:t xml:space="preserve">EER </w:t>
      </w:r>
      <w:r w:rsidR="00E04040">
        <w:t>influenced</w:t>
      </w:r>
      <w:r w:rsidR="0042325E">
        <w:t xml:space="preserve"> sales prices</w:t>
      </w:r>
      <w:r w:rsidR="00E04040">
        <w:t>,</w:t>
      </w:r>
      <w:r w:rsidR="0042325E">
        <w:t xml:space="preserve"> identifying</w:t>
      </w:r>
      <w:r w:rsidR="00E04040">
        <w:t xml:space="preserve"> that</w:t>
      </w:r>
      <w:r w:rsidR="0042325E">
        <w:t xml:space="preserve"> for each half</w:t>
      </w:r>
      <w:r w:rsidR="003838A6">
        <w:t>-</w:t>
      </w:r>
      <w:r w:rsidR="0042325E">
        <w:t xml:space="preserve">star </w:t>
      </w:r>
      <w:r w:rsidR="00E04040">
        <w:t xml:space="preserve">improvement </w:t>
      </w:r>
      <w:r w:rsidR="0042325E">
        <w:t>in</w:t>
      </w:r>
      <w:r w:rsidR="001A3066">
        <w:t xml:space="preserve"> the</w:t>
      </w:r>
      <w:r w:rsidR="0042325E">
        <w:t xml:space="preserve"> EER</w:t>
      </w:r>
      <w:r w:rsidR="00E04040">
        <w:t>,</w:t>
      </w:r>
      <w:r w:rsidR="0042325E">
        <w:t xml:space="preserve"> </w:t>
      </w:r>
      <w:r w:rsidR="00E04040">
        <w:t>house prices increased by</w:t>
      </w:r>
      <w:r w:rsidR="0042325E">
        <w:t xml:space="preserve"> 1.23% </w:t>
      </w:r>
      <w:r w:rsidR="00E04040">
        <w:t xml:space="preserve">in </w:t>
      </w:r>
      <w:r w:rsidR="0042325E">
        <w:t xml:space="preserve">2005 and 1.91% </w:t>
      </w:r>
      <w:r w:rsidR="00E04040">
        <w:t xml:space="preserve">in </w:t>
      </w:r>
      <w:r w:rsidR="0042325E">
        <w:t>2006 (Australian Bureau of Statistics</w:t>
      </w:r>
      <w:r w:rsidR="00147497">
        <w:t>,</w:t>
      </w:r>
      <w:r w:rsidR="0042325E">
        <w:t xml:space="preserve"> 2008). These results suggest </w:t>
      </w:r>
      <w:r w:rsidR="003838A6">
        <w:t xml:space="preserve">that </w:t>
      </w:r>
      <w:r w:rsidR="0042325E">
        <w:t>the mandatory disclosure program is influencing housing</w:t>
      </w:r>
      <w:r w:rsidR="001A3066">
        <w:t>-related</w:t>
      </w:r>
      <w:r w:rsidR="0042325E">
        <w:t xml:space="preserve"> behaviour in the ACT</w:t>
      </w:r>
      <w:r w:rsidR="00E04040">
        <w:t>:</w:t>
      </w:r>
      <w:r w:rsidR="0042325E">
        <w:t xml:space="preserve"> owner occupiers </w:t>
      </w:r>
      <w:r w:rsidR="00E04040">
        <w:t>are</w:t>
      </w:r>
      <w:r w:rsidR="0042325E">
        <w:t xml:space="preserve"> increas</w:t>
      </w:r>
      <w:r w:rsidR="00E04040">
        <w:t>ing</w:t>
      </w:r>
      <w:r w:rsidR="0042325E">
        <w:t xml:space="preserve"> the energy efficiency of their dwellings</w:t>
      </w:r>
      <w:r w:rsidR="00E04040">
        <w:t>,</w:t>
      </w:r>
      <w:r w:rsidR="0042325E">
        <w:t xml:space="preserve"> and purchasers are demonstrating </w:t>
      </w:r>
      <w:r w:rsidR="00E04040">
        <w:t xml:space="preserve">that they </w:t>
      </w:r>
      <w:r w:rsidR="0042325E">
        <w:t>perceive value in</w:t>
      </w:r>
      <w:r w:rsidR="00E04040">
        <w:t xml:space="preserve"> the</w:t>
      </w:r>
      <w:r w:rsidR="0042325E">
        <w:t xml:space="preserve"> EER</w:t>
      </w:r>
      <w:r w:rsidR="001A3066">
        <w:t xml:space="preserve"> through higher</w:t>
      </w:r>
      <w:r w:rsidR="0042325E">
        <w:t xml:space="preserve"> purchase prices. However, residential rental properties, which </w:t>
      </w:r>
      <w:r w:rsidR="007A2626">
        <w:t>comprise</w:t>
      </w:r>
      <w:r w:rsidR="0042325E">
        <w:t xml:space="preserve"> 30.9% of properties in the ACT, typically underperform </w:t>
      </w:r>
      <w:r w:rsidR="003838A6">
        <w:t xml:space="preserve">compared with </w:t>
      </w:r>
      <w:r w:rsidR="0042325E">
        <w:t>owner-occupied stock</w:t>
      </w:r>
      <w:r w:rsidR="007A2626">
        <w:t xml:space="preserve"> </w:t>
      </w:r>
      <w:r w:rsidR="003838A6">
        <w:t>in terms of</w:t>
      </w:r>
      <w:r w:rsidR="007A2626">
        <w:t xml:space="preserve"> energy efficiency,</w:t>
      </w:r>
      <w:r w:rsidR="0042325E">
        <w:t xml:space="preserve"> and investment </w:t>
      </w:r>
      <w:r w:rsidR="001A3066">
        <w:t xml:space="preserve">by landlords </w:t>
      </w:r>
      <w:r w:rsidR="0042325E">
        <w:t>in energy</w:t>
      </w:r>
      <w:r w:rsidR="001A3066">
        <w:t>-</w:t>
      </w:r>
      <w:r w:rsidR="0042325E">
        <w:t>efficiency</w:t>
      </w:r>
      <w:r w:rsidR="007A2626">
        <w:t xml:space="preserve"> improvement</w:t>
      </w:r>
      <w:r w:rsidR="001A3066">
        <w:t>s</w:t>
      </w:r>
      <w:r w:rsidR="0042325E">
        <w:t xml:space="preserve"> is limited (ABS</w:t>
      </w:r>
      <w:r w:rsidR="00147497">
        <w:t>,</w:t>
      </w:r>
      <w:r w:rsidR="0042325E">
        <w:t xml:space="preserve"> 2012; Pitt </w:t>
      </w:r>
      <w:r w:rsidR="003560C4">
        <w:t xml:space="preserve">&amp; </w:t>
      </w:r>
      <w:r w:rsidR="0042325E">
        <w:t>Sherry</w:t>
      </w:r>
      <w:r w:rsidR="00147497">
        <w:t>,</w:t>
      </w:r>
      <w:r w:rsidR="0042325E">
        <w:t xml:space="preserve"> 2014). In addition, </w:t>
      </w:r>
      <w:r w:rsidR="007A2626">
        <w:t xml:space="preserve">the </w:t>
      </w:r>
      <w:r w:rsidR="0042325E">
        <w:t xml:space="preserve">EERs </w:t>
      </w:r>
      <w:r w:rsidR="007A2626">
        <w:t xml:space="preserve">of </w:t>
      </w:r>
      <w:r w:rsidR="0042325E">
        <w:t xml:space="preserve">rental properties </w:t>
      </w:r>
      <w:r w:rsidR="007A2626">
        <w:t>are</w:t>
      </w:r>
      <w:r w:rsidR="0042325E">
        <w:t xml:space="preserve"> significantly </w:t>
      </w:r>
      <w:r w:rsidR="007A2626">
        <w:t xml:space="preserve">less likely to be disclosed than those of </w:t>
      </w:r>
      <w:r w:rsidR="0042325E">
        <w:t xml:space="preserve">properties advertised for sale. This is likely a result of </w:t>
      </w:r>
      <w:r w:rsidR="0042325E" w:rsidRPr="00B1737E">
        <w:t xml:space="preserve">the original legislation relating to </w:t>
      </w:r>
      <w:r w:rsidR="007A2626">
        <w:t>EERs</w:t>
      </w:r>
      <w:r w:rsidR="0042325E">
        <w:t xml:space="preserve"> in the </w:t>
      </w:r>
      <w:r w:rsidR="0042325E" w:rsidRPr="00B1737E">
        <w:t>Residential</w:t>
      </w:r>
      <w:r w:rsidR="0042325E">
        <w:t xml:space="preserve"> Tenancies </w:t>
      </w:r>
      <w:r w:rsidR="0042325E" w:rsidRPr="00B1737E">
        <w:t xml:space="preserve">Act 1997 </w:t>
      </w:r>
      <w:r w:rsidR="0042325E">
        <w:t>(Division 2.2 11A, p. 10)</w:t>
      </w:r>
      <w:r w:rsidR="007A2626">
        <w:t>, which</w:t>
      </w:r>
      <w:r w:rsidR="0042325E">
        <w:t xml:space="preserve"> </w:t>
      </w:r>
      <w:r w:rsidR="007A2626">
        <w:t>states that the</w:t>
      </w:r>
      <w:r w:rsidR="0042325E">
        <w:t xml:space="preserve"> </w:t>
      </w:r>
      <w:r w:rsidR="007A2626">
        <w:t xml:space="preserve">disclosure of an </w:t>
      </w:r>
      <w:r w:rsidR="0042325E">
        <w:t xml:space="preserve">EER </w:t>
      </w:r>
      <w:r w:rsidR="00BB2F7D">
        <w:t xml:space="preserve">in an advertisement </w:t>
      </w:r>
      <w:r w:rsidR="0042325E">
        <w:t xml:space="preserve">is </w:t>
      </w:r>
      <w:r w:rsidR="0042325E" w:rsidRPr="00B1737E">
        <w:t xml:space="preserve">only required </w:t>
      </w:r>
      <w:r w:rsidR="0042325E">
        <w:t xml:space="preserve">for </w:t>
      </w:r>
      <w:r w:rsidR="0042325E" w:rsidRPr="00B1737E">
        <w:t xml:space="preserve">an </w:t>
      </w:r>
      <w:r w:rsidR="0042325E" w:rsidRPr="0048327F">
        <w:rPr>
          <w:i/>
        </w:rPr>
        <w:t>existing</w:t>
      </w:r>
      <w:r w:rsidR="0042325E" w:rsidRPr="00B1737E">
        <w:t xml:space="preserve"> rating.</w:t>
      </w:r>
      <w:r w:rsidR="0042325E">
        <w:t xml:space="preserve"> Lee and Wang found</w:t>
      </w:r>
      <w:r w:rsidR="007A2626">
        <w:t xml:space="preserve"> that while</w:t>
      </w:r>
      <w:r w:rsidR="007A2626" w:rsidRPr="007A2626">
        <w:t xml:space="preserve"> </w:t>
      </w:r>
      <w:r w:rsidR="007A2626">
        <w:t xml:space="preserve">at least 58.4% of </w:t>
      </w:r>
      <w:r w:rsidR="00813F4B">
        <w:t xml:space="preserve">dwellings </w:t>
      </w:r>
      <w:r w:rsidR="001A3066">
        <w:t xml:space="preserve">advertised </w:t>
      </w:r>
      <w:r w:rsidR="00813F4B">
        <w:t>for rent</w:t>
      </w:r>
      <w:r w:rsidR="007A2626">
        <w:t xml:space="preserve"> </w:t>
      </w:r>
      <w:r w:rsidR="00813F4B">
        <w:t>had an</w:t>
      </w:r>
      <w:r w:rsidR="007A2626">
        <w:t xml:space="preserve"> EER</w:t>
      </w:r>
      <w:r w:rsidR="00813F4B">
        <w:t>, only</w:t>
      </w:r>
      <w:r w:rsidR="007A2626">
        <w:t xml:space="preserve"> </w:t>
      </w:r>
      <w:r w:rsidR="0042325E">
        <w:t>37.5% of rental li</w:t>
      </w:r>
      <w:r w:rsidR="00421737">
        <w:t>stings displayed an EER</w:t>
      </w:r>
      <w:r w:rsidR="00813F4B">
        <w:t>, with</w:t>
      </w:r>
      <w:r w:rsidR="0042325E">
        <w:t xml:space="preserve"> </w:t>
      </w:r>
      <w:r w:rsidR="00813F4B">
        <w:t xml:space="preserve">higher </w:t>
      </w:r>
      <w:r w:rsidR="0042325E">
        <w:t xml:space="preserve">ratings more likely </w:t>
      </w:r>
      <w:r w:rsidR="00813F4B">
        <w:t xml:space="preserve">to be </w:t>
      </w:r>
      <w:r w:rsidR="0042325E">
        <w:t xml:space="preserve">disclosed. </w:t>
      </w:r>
      <w:r w:rsidR="00813F4B">
        <w:t>Adding to the problem, p</w:t>
      </w:r>
      <w:r w:rsidR="0042325E">
        <w:t>olicing of non-disclosure in the rental market has been lax</w:t>
      </w:r>
      <w:r w:rsidR="00813F4B">
        <w:t>, constituting only</w:t>
      </w:r>
      <w:r w:rsidR="0042325E" w:rsidRPr="00B1737E">
        <w:t xml:space="preserve"> a letter </w:t>
      </w:r>
      <w:r w:rsidR="001A3066">
        <w:t xml:space="preserve">(which is often not even sent) </w:t>
      </w:r>
      <w:r w:rsidR="0042325E" w:rsidRPr="00B1737E">
        <w:t>remind</w:t>
      </w:r>
      <w:r w:rsidR="001A3066">
        <w:t>ing</w:t>
      </w:r>
      <w:r w:rsidR="0042325E" w:rsidRPr="00B1737E">
        <w:t xml:space="preserve"> agents of their obliga</w:t>
      </w:r>
      <w:r w:rsidR="0042325E">
        <w:t>tions</w:t>
      </w:r>
      <w:r w:rsidR="0042325E" w:rsidRPr="00B1737E">
        <w:t xml:space="preserve"> (Lee </w:t>
      </w:r>
      <w:r w:rsidR="003560C4">
        <w:t>&amp;</w:t>
      </w:r>
      <w:r w:rsidR="003560C4" w:rsidRPr="00B1737E">
        <w:t xml:space="preserve"> </w:t>
      </w:r>
      <w:r w:rsidR="0042325E" w:rsidRPr="00B1737E">
        <w:t>Wang</w:t>
      </w:r>
      <w:r w:rsidR="00147497">
        <w:t>,</w:t>
      </w:r>
      <w:r w:rsidR="0042325E" w:rsidRPr="00B1737E">
        <w:t xml:space="preserve"> 2010)</w:t>
      </w:r>
      <w:r w:rsidR="0042325E">
        <w:t xml:space="preserve">. </w:t>
      </w:r>
      <w:r w:rsidR="0042325E" w:rsidRPr="00BB2F7D">
        <w:t xml:space="preserve">Consequently, the energy efficiency of residential </w:t>
      </w:r>
      <w:r w:rsidR="001A3066">
        <w:t xml:space="preserve">rental </w:t>
      </w:r>
      <w:r w:rsidR="0042325E" w:rsidRPr="00BB2F7D">
        <w:t xml:space="preserve">stock in the ACT is understood to be well below </w:t>
      </w:r>
      <w:r w:rsidR="00BB2F7D" w:rsidRPr="009C5EFC">
        <w:t>that</w:t>
      </w:r>
      <w:r w:rsidR="0042325E" w:rsidRPr="00BB2F7D">
        <w:t xml:space="preserve"> of owner-occupied properties (Pitt </w:t>
      </w:r>
      <w:r w:rsidR="003560C4" w:rsidRPr="00BB2F7D">
        <w:t xml:space="preserve">&amp; </w:t>
      </w:r>
      <w:r w:rsidR="0042325E" w:rsidRPr="00BB2F7D">
        <w:t>Sherry</w:t>
      </w:r>
      <w:r w:rsidR="00147497" w:rsidRPr="009C5EFC">
        <w:t>,</w:t>
      </w:r>
      <w:r w:rsidR="0042325E" w:rsidRPr="00BB2F7D">
        <w:t xml:space="preserve"> 2014). This affects renters </w:t>
      </w:r>
      <w:r w:rsidR="00BB2F7D" w:rsidRPr="009C5EFC">
        <w:t xml:space="preserve">both </w:t>
      </w:r>
      <w:r w:rsidR="0042325E" w:rsidRPr="00BB2F7D">
        <w:t xml:space="preserve">in terms of health and </w:t>
      </w:r>
      <w:bookmarkStart w:id="3" w:name="_Hlk489797053"/>
      <w:r w:rsidR="0042325E" w:rsidRPr="00BB2F7D">
        <w:t>wellbeing</w:t>
      </w:r>
      <w:bookmarkEnd w:id="3"/>
      <w:r w:rsidR="0042325E" w:rsidRPr="00BB2F7D">
        <w:t xml:space="preserve"> through </w:t>
      </w:r>
      <w:r w:rsidR="001A3066">
        <w:t xml:space="preserve">the </w:t>
      </w:r>
      <w:r w:rsidR="0042325E" w:rsidRPr="00BB2F7D">
        <w:t>thermal comfort of the dwelling</w:t>
      </w:r>
      <w:r w:rsidR="00DF74F8" w:rsidRPr="00BB2F7D">
        <w:t>,</w:t>
      </w:r>
      <w:r w:rsidR="0042325E" w:rsidRPr="00BB2F7D">
        <w:t xml:space="preserve"> and economically through </w:t>
      </w:r>
      <w:r w:rsidR="001A3066">
        <w:t>higher</w:t>
      </w:r>
      <w:r w:rsidR="0042325E" w:rsidRPr="00BB2F7D">
        <w:t xml:space="preserve"> energy </w:t>
      </w:r>
      <w:r w:rsidR="001A3066">
        <w:t>costs</w:t>
      </w:r>
      <w:r w:rsidR="0042325E" w:rsidRPr="00BB2F7D">
        <w:t>. Further, the poor performance of rental stock combined with increasing energy prices will have a greater impact on low-income households (Pape</w:t>
      </w:r>
      <w:r w:rsidR="00147497" w:rsidRPr="009C5EFC">
        <w:t>,</w:t>
      </w:r>
      <w:r w:rsidR="0042325E" w:rsidRPr="00BB2F7D">
        <w:t xml:space="preserve"> 2013).</w:t>
      </w:r>
      <w:r w:rsidR="0047775E">
        <w:t xml:space="preserve"> The issues related to ascertaining premiums for EERs when there </w:t>
      </w:r>
      <w:r w:rsidR="00680442">
        <w:t>is</w:t>
      </w:r>
      <w:r w:rsidR="0047775E">
        <w:t xml:space="preserve"> potential for loopholes within the legislative framework was noted by Brounen</w:t>
      </w:r>
      <w:r w:rsidR="006E27D5">
        <w:t xml:space="preserve"> and</w:t>
      </w:r>
      <w:r w:rsidR="0047775E">
        <w:t xml:space="preserve"> Kok (2011) and their study of the housing market in the Netherlands. </w:t>
      </w:r>
      <w:r w:rsidR="004670BF">
        <w:t>H</w:t>
      </w:r>
      <w:r w:rsidR="0047775E">
        <w:t xml:space="preserve">ousing built after 1999 did not require a </w:t>
      </w:r>
      <w:r w:rsidR="00680442">
        <w:t xml:space="preserve">certification; </w:t>
      </w:r>
      <w:r w:rsidR="002C0344">
        <w:t xml:space="preserve">and </w:t>
      </w:r>
      <w:r w:rsidR="00680442">
        <w:t>private</w:t>
      </w:r>
      <w:r w:rsidR="0047775E">
        <w:t xml:space="preserve"> consumers are able to sign a waiver not to disclose</w:t>
      </w:r>
      <w:r w:rsidR="00680442">
        <w:t xml:space="preserve">. </w:t>
      </w:r>
      <w:r w:rsidR="004670BF">
        <w:t>The exemptions</w:t>
      </w:r>
      <w:r w:rsidR="00680442">
        <w:t xml:space="preserve"> noted by Brounen and Kok (2011) are similar to those in the </w:t>
      </w:r>
      <w:r w:rsidR="004670BF">
        <w:t xml:space="preserve">ACT </w:t>
      </w:r>
      <w:r w:rsidR="00680442">
        <w:t>rental market. Further, it was found in the Netherlands</w:t>
      </w:r>
      <w:r w:rsidR="002C0344">
        <w:t>,</w:t>
      </w:r>
      <w:r w:rsidR="00680442">
        <w:t xml:space="preserve"> </w:t>
      </w:r>
      <w:r w:rsidR="002C0344">
        <w:t>general</w:t>
      </w:r>
      <w:r w:rsidR="0047775E">
        <w:t xml:space="preserve"> market perception questioned</w:t>
      </w:r>
      <w:r w:rsidR="00680442">
        <w:t xml:space="preserve"> the</w:t>
      </w:r>
      <w:r w:rsidR="0047775E">
        <w:t xml:space="preserve"> reliability of rating due to poor labelling and insufficiently trained groups doing assessments, which </w:t>
      </w:r>
      <w:r w:rsidR="00680442">
        <w:t>Brounen and Kok (2011)</w:t>
      </w:r>
      <w:r w:rsidR="0047775E">
        <w:t xml:space="preserve"> suggested led to a slow implementation of the energy efficiency disclosure program across Europe. This led to their modelling of rated buildings in the Netherlands being only a subset of the total transacted building, in which they suggest the non-disclosure is not random and that there is a self-selection bias occurring. From the analysis, the loop holes hindered</w:t>
      </w:r>
      <w:r w:rsidR="002C0344">
        <w:t xml:space="preserve"> the uptake of energy label</w:t>
      </w:r>
      <w:r w:rsidR="0047775E">
        <w:t xml:space="preserve">s in the market, and the actual uptake is occurring in a ‘non-random way’ affecting the price premium perceived and </w:t>
      </w:r>
      <w:r w:rsidR="002C0344">
        <w:t>had</w:t>
      </w:r>
      <w:r w:rsidR="00680442">
        <w:t xml:space="preserve"> a</w:t>
      </w:r>
      <w:r w:rsidR="002C0344">
        <w:t xml:space="preserve"> detrimental effect</w:t>
      </w:r>
      <w:r w:rsidR="0047775E">
        <w:t xml:space="preserve"> on </w:t>
      </w:r>
      <w:r w:rsidR="002C0344">
        <w:t xml:space="preserve">the </w:t>
      </w:r>
      <w:r w:rsidR="0047775E">
        <w:t xml:space="preserve">public perception of energy ratings </w:t>
      </w:r>
      <w:r w:rsidR="006E27D5">
        <w:t>(Brounen and</w:t>
      </w:r>
      <w:r w:rsidR="0047775E">
        <w:t xml:space="preserve"> Kok, 2011, p177). </w:t>
      </w:r>
      <w:r w:rsidR="006E27D5">
        <w:t xml:space="preserve">The findings by Brounen and Kok (2011) might be comparable to the situation occurring within the ACT rental market, where loop holes within the legislation is affecting the disclosure of ratings and the types of properties that seek disclosure. </w:t>
      </w:r>
    </w:p>
    <w:p w14:paraId="7A4A5905" w14:textId="77777777" w:rsidR="0047775E" w:rsidRDefault="0047775E" w:rsidP="00D26F46"/>
    <w:p w14:paraId="27C20E78" w14:textId="77777777" w:rsidR="0042325E" w:rsidRDefault="0042325E" w:rsidP="00D26F46"/>
    <w:p w14:paraId="2BA1549F" w14:textId="4AA433FE" w:rsidR="00A57AF5" w:rsidRDefault="0042325E" w:rsidP="00D26F46">
      <w:r>
        <w:lastRenderedPageBreak/>
        <w:t>From a landlord’s perspective</w:t>
      </w:r>
      <w:r w:rsidR="00AC66EF">
        <w:t>,</w:t>
      </w:r>
      <w:r>
        <w:t xml:space="preserve"> enhanc</w:t>
      </w:r>
      <w:r w:rsidR="001A3066">
        <w:t>ing</w:t>
      </w:r>
      <w:r>
        <w:t xml:space="preserve"> energy efficiency </w:t>
      </w:r>
      <w:r w:rsidR="001A3066">
        <w:t>and</w:t>
      </w:r>
      <w:r>
        <w:t xml:space="preserve"> obtain</w:t>
      </w:r>
      <w:r w:rsidR="001A3066">
        <w:t>ing</w:t>
      </w:r>
      <w:r>
        <w:t xml:space="preserve"> an EER </w:t>
      </w:r>
      <w:r w:rsidR="001A3066">
        <w:t>require</w:t>
      </w:r>
      <w:r w:rsidR="00AC66EF">
        <w:t xml:space="preserve"> a</w:t>
      </w:r>
      <w:r>
        <w:t xml:space="preserve"> considerable financial commitment. </w:t>
      </w:r>
      <w:r w:rsidR="00AC66EF">
        <w:t>The</w:t>
      </w:r>
      <w:r>
        <w:t xml:space="preserve"> direct benefits accruing to the landlord </w:t>
      </w:r>
      <w:r w:rsidR="00AC66EF">
        <w:t>in return for</w:t>
      </w:r>
      <w:r>
        <w:t xml:space="preserve"> this investment </w:t>
      </w:r>
      <w:r w:rsidR="00AC66EF">
        <w:t>are</w:t>
      </w:r>
      <w:r>
        <w:t xml:space="preserve"> limited, if </w:t>
      </w:r>
      <w:r w:rsidR="00AC66EF">
        <w:t>any, a</w:t>
      </w:r>
      <w:r>
        <w:t xml:space="preserve">s the tenant will receive the majority of </w:t>
      </w:r>
      <w:r w:rsidR="00AC66EF">
        <w:t xml:space="preserve">the </w:t>
      </w:r>
      <w:r>
        <w:t>benefits through reduc</w:t>
      </w:r>
      <w:r w:rsidR="00C55419">
        <w:t>ed</w:t>
      </w:r>
      <w:r>
        <w:t xml:space="preserve"> </w:t>
      </w:r>
      <w:r w:rsidR="00AC66EF">
        <w:t xml:space="preserve">energy </w:t>
      </w:r>
      <w:r w:rsidR="001A3066">
        <w:t>costs</w:t>
      </w:r>
      <w:r>
        <w:t xml:space="preserve"> and increased comfort. </w:t>
      </w:r>
      <w:r w:rsidRPr="003A393B">
        <w:rPr>
          <w:lang w:val="en-AU"/>
        </w:rPr>
        <w:t>Energy</w:t>
      </w:r>
      <w:r w:rsidR="00AC66EF">
        <w:rPr>
          <w:lang w:val="en-AU"/>
        </w:rPr>
        <w:t>-</w:t>
      </w:r>
      <w:r w:rsidRPr="003A393B">
        <w:rPr>
          <w:lang w:val="en-AU"/>
        </w:rPr>
        <w:t xml:space="preserve">efficiency improvements in the </w:t>
      </w:r>
      <w:r w:rsidR="00AC66EF">
        <w:rPr>
          <w:lang w:val="en-AU"/>
        </w:rPr>
        <w:t>rental</w:t>
      </w:r>
      <w:r w:rsidRPr="003A393B">
        <w:rPr>
          <w:lang w:val="en-AU"/>
        </w:rPr>
        <w:t xml:space="preserve"> sector lag </w:t>
      </w:r>
      <w:r w:rsidR="00AC66EF">
        <w:rPr>
          <w:lang w:val="en-AU"/>
        </w:rPr>
        <w:t>behind those in the</w:t>
      </w:r>
      <w:r w:rsidRPr="003A393B">
        <w:rPr>
          <w:lang w:val="en-AU"/>
        </w:rPr>
        <w:t xml:space="preserve"> owner</w:t>
      </w:r>
      <w:r w:rsidR="00AC66EF">
        <w:rPr>
          <w:lang w:val="en-AU"/>
        </w:rPr>
        <w:t>-occupied sector as a result of</w:t>
      </w:r>
      <w:r w:rsidRPr="003A393B">
        <w:rPr>
          <w:lang w:val="en-AU"/>
        </w:rPr>
        <w:t xml:space="preserve"> the split-incentive </w:t>
      </w:r>
      <w:r w:rsidR="00C55419">
        <w:rPr>
          <w:lang w:val="en-AU"/>
        </w:rPr>
        <w:t>effect in relation to</w:t>
      </w:r>
      <w:r w:rsidRPr="003A393B">
        <w:rPr>
          <w:lang w:val="en-AU"/>
        </w:rPr>
        <w:t xml:space="preserve"> residential rental property (Pitt </w:t>
      </w:r>
      <w:r w:rsidR="003560C4">
        <w:rPr>
          <w:lang w:val="en-AU"/>
        </w:rPr>
        <w:t>&amp;</w:t>
      </w:r>
      <w:r w:rsidR="003560C4" w:rsidRPr="003A393B">
        <w:rPr>
          <w:lang w:val="en-AU"/>
        </w:rPr>
        <w:t xml:space="preserve"> </w:t>
      </w:r>
      <w:r w:rsidRPr="003A393B">
        <w:rPr>
          <w:lang w:val="en-AU"/>
        </w:rPr>
        <w:t>Sherry</w:t>
      </w:r>
      <w:r w:rsidR="00147497">
        <w:rPr>
          <w:lang w:val="en-AU"/>
        </w:rPr>
        <w:t>,</w:t>
      </w:r>
      <w:r w:rsidRPr="003A393B">
        <w:rPr>
          <w:lang w:val="en-AU"/>
        </w:rPr>
        <w:t xml:space="preserve"> 2014). </w:t>
      </w:r>
      <w:r>
        <w:rPr>
          <w:lang w:val="en-AU"/>
        </w:rPr>
        <w:t>H</w:t>
      </w:r>
      <w:r w:rsidRPr="003A393B">
        <w:rPr>
          <w:lang w:val="en-AU"/>
        </w:rPr>
        <w:t xml:space="preserve">owever, if </w:t>
      </w:r>
      <w:r>
        <w:rPr>
          <w:lang w:val="en-AU"/>
        </w:rPr>
        <w:t xml:space="preserve">an </w:t>
      </w:r>
      <w:r w:rsidRPr="003A393B">
        <w:rPr>
          <w:lang w:val="en-AU"/>
        </w:rPr>
        <w:t>increas</w:t>
      </w:r>
      <w:r>
        <w:rPr>
          <w:lang w:val="en-AU"/>
        </w:rPr>
        <w:t>e in</w:t>
      </w:r>
      <w:r w:rsidR="00AC66EF">
        <w:rPr>
          <w:lang w:val="en-AU"/>
        </w:rPr>
        <w:t xml:space="preserve"> </w:t>
      </w:r>
      <w:r w:rsidR="00C55419">
        <w:rPr>
          <w:lang w:val="en-AU"/>
        </w:rPr>
        <w:t>energy efficiency</w:t>
      </w:r>
      <w:r w:rsidRPr="003A393B">
        <w:rPr>
          <w:lang w:val="en-AU"/>
        </w:rPr>
        <w:t xml:space="preserve"> results in a</w:t>
      </w:r>
      <w:r w:rsidR="00C55419">
        <w:rPr>
          <w:lang w:val="en-AU"/>
        </w:rPr>
        <w:t xml:space="preserve"> higher</w:t>
      </w:r>
      <w:r w:rsidR="00AC66EF">
        <w:rPr>
          <w:lang w:val="en-AU"/>
        </w:rPr>
        <w:t xml:space="preserve"> </w:t>
      </w:r>
      <w:r w:rsidRPr="003A393B">
        <w:rPr>
          <w:lang w:val="en-AU"/>
        </w:rPr>
        <w:t xml:space="preserve">rental </w:t>
      </w:r>
      <w:r w:rsidR="00C55419">
        <w:rPr>
          <w:lang w:val="en-AU"/>
        </w:rPr>
        <w:t>figure</w:t>
      </w:r>
      <w:r w:rsidR="00AC66EF">
        <w:rPr>
          <w:lang w:val="en-AU"/>
        </w:rPr>
        <w:t>,</w:t>
      </w:r>
      <w:r>
        <w:rPr>
          <w:lang w:val="en-AU"/>
        </w:rPr>
        <w:t xml:space="preserve"> </w:t>
      </w:r>
      <w:r w:rsidRPr="003A393B">
        <w:rPr>
          <w:lang w:val="en-AU"/>
        </w:rPr>
        <w:t>then investment</w:t>
      </w:r>
      <w:r w:rsidR="00AC66EF">
        <w:rPr>
          <w:lang w:val="en-AU"/>
        </w:rPr>
        <w:t>s</w:t>
      </w:r>
      <w:r w:rsidRPr="003A393B">
        <w:rPr>
          <w:lang w:val="en-AU"/>
        </w:rPr>
        <w:t xml:space="preserve"> in </w:t>
      </w:r>
      <w:r w:rsidR="00AC66EF">
        <w:rPr>
          <w:lang w:val="en-AU"/>
        </w:rPr>
        <w:t>energy efficiency</w:t>
      </w:r>
      <w:r w:rsidRPr="003A393B">
        <w:rPr>
          <w:lang w:val="en-AU"/>
        </w:rPr>
        <w:t xml:space="preserve"> might be more financially viable </w:t>
      </w:r>
      <w:r w:rsidR="00AC66EF">
        <w:rPr>
          <w:lang w:val="en-AU"/>
        </w:rPr>
        <w:t>for</w:t>
      </w:r>
      <w:r w:rsidRPr="003A393B">
        <w:rPr>
          <w:lang w:val="en-AU"/>
        </w:rPr>
        <w:t xml:space="preserve"> investors. </w:t>
      </w:r>
      <w:r>
        <w:rPr>
          <w:lang w:val="en-AU"/>
        </w:rPr>
        <w:t>This concurs with</w:t>
      </w:r>
      <w:r w:rsidRPr="003A393B">
        <w:rPr>
          <w:lang w:val="en-AU"/>
        </w:rPr>
        <w:t xml:space="preserve"> international </w:t>
      </w:r>
      <w:r>
        <w:rPr>
          <w:lang w:val="en-AU"/>
        </w:rPr>
        <w:t xml:space="preserve">studies </w:t>
      </w:r>
      <w:r w:rsidRPr="003A393B">
        <w:rPr>
          <w:lang w:val="en-AU"/>
        </w:rPr>
        <w:t xml:space="preserve">that </w:t>
      </w:r>
      <w:r w:rsidR="00746FEB">
        <w:rPr>
          <w:lang w:val="en-AU"/>
        </w:rPr>
        <w:t xml:space="preserve">have </w:t>
      </w:r>
      <w:r w:rsidRPr="003A393B">
        <w:rPr>
          <w:lang w:val="en-AU"/>
        </w:rPr>
        <w:t>identif</w:t>
      </w:r>
      <w:r w:rsidR="00746FEB">
        <w:rPr>
          <w:lang w:val="en-AU"/>
        </w:rPr>
        <w:t>ied</w:t>
      </w:r>
      <w:r w:rsidRPr="003A393B">
        <w:rPr>
          <w:lang w:val="en-AU"/>
        </w:rPr>
        <w:t xml:space="preserve"> rental properties </w:t>
      </w:r>
      <w:r w:rsidR="00746FEB">
        <w:rPr>
          <w:lang w:val="en-AU"/>
        </w:rPr>
        <w:t xml:space="preserve">as </w:t>
      </w:r>
      <w:r w:rsidRPr="003A393B">
        <w:rPr>
          <w:lang w:val="en-AU"/>
        </w:rPr>
        <w:t>achieving lower energy</w:t>
      </w:r>
      <w:r w:rsidR="00746FEB">
        <w:rPr>
          <w:lang w:val="en-AU"/>
        </w:rPr>
        <w:t>-</w:t>
      </w:r>
      <w:r w:rsidRPr="003A393B">
        <w:rPr>
          <w:lang w:val="en-AU"/>
        </w:rPr>
        <w:t xml:space="preserve">efficiency standards than owner-occupied </w:t>
      </w:r>
      <w:r>
        <w:rPr>
          <w:lang w:val="en-AU"/>
        </w:rPr>
        <w:t xml:space="preserve">properties </w:t>
      </w:r>
      <w:r w:rsidRPr="003A393B">
        <w:rPr>
          <w:lang w:val="en-AU"/>
        </w:rPr>
        <w:t>(Rehdanz</w:t>
      </w:r>
      <w:r w:rsidR="00147497">
        <w:rPr>
          <w:lang w:val="en-AU"/>
        </w:rPr>
        <w:t>,</w:t>
      </w:r>
      <w:r w:rsidRPr="003A393B">
        <w:rPr>
          <w:lang w:val="en-AU"/>
        </w:rPr>
        <w:t xml:space="preserve"> 2007). Rental properties lag</w:t>
      </w:r>
      <w:r w:rsidR="00746FEB">
        <w:rPr>
          <w:lang w:val="en-AU"/>
        </w:rPr>
        <w:t xml:space="preserve"> behind owner-occupied properties in terms of</w:t>
      </w:r>
      <w:r w:rsidRPr="003A393B">
        <w:rPr>
          <w:lang w:val="en-AU"/>
        </w:rPr>
        <w:t xml:space="preserve"> improvements in energy efficiency </w:t>
      </w:r>
      <w:r w:rsidR="00746FEB">
        <w:rPr>
          <w:lang w:val="en-AU"/>
        </w:rPr>
        <w:t xml:space="preserve">for </w:t>
      </w:r>
      <w:r w:rsidRPr="003A393B">
        <w:rPr>
          <w:lang w:val="en-AU"/>
        </w:rPr>
        <w:t xml:space="preserve">a variety of </w:t>
      </w:r>
      <w:r w:rsidR="00746FEB">
        <w:rPr>
          <w:lang w:val="en-AU"/>
        </w:rPr>
        <w:t>reasons</w:t>
      </w:r>
      <w:r w:rsidRPr="003A393B">
        <w:rPr>
          <w:lang w:val="en-AU"/>
        </w:rPr>
        <w:t xml:space="preserve"> including misinformation, split incentives and uneven power dynamics between renters and landlords (Wrigley </w:t>
      </w:r>
      <w:r w:rsidR="003560C4">
        <w:rPr>
          <w:lang w:val="en-AU"/>
        </w:rPr>
        <w:t>&amp;</w:t>
      </w:r>
      <w:r w:rsidR="003560C4" w:rsidRPr="003A393B">
        <w:rPr>
          <w:lang w:val="en-AU"/>
        </w:rPr>
        <w:t xml:space="preserve"> </w:t>
      </w:r>
      <w:r w:rsidRPr="003A393B">
        <w:rPr>
          <w:lang w:val="en-AU"/>
        </w:rPr>
        <w:t>Crawford</w:t>
      </w:r>
      <w:r w:rsidR="00147497">
        <w:rPr>
          <w:lang w:val="en-AU"/>
        </w:rPr>
        <w:t>,</w:t>
      </w:r>
      <w:r w:rsidRPr="003A393B">
        <w:rPr>
          <w:lang w:val="en-AU"/>
        </w:rPr>
        <w:t xml:space="preserve"> 2015). Identifying whether EER</w:t>
      </w:r>
      <w:r w:rsidR="007A32DE">
        <w:rPr>
          <w:lang w:val="en-AU"/>
        </w:rPr>
        <w:t>s</w:t>
      </w:r>
      <w:r w:rsidRPr="003A393B">
        <w:rPr>
          <w:lang w:val="en-AU"/>
        </w:rPr>
        <w:t xml:space="preserve"> and energy</w:t>
      </w:r>
      <w:r w:rsidR="005F5F0E">
        <w:rPr>
          <w:lang w:val="en-AU"/>
        </w:rPr>
        <w:t>-</w:t>
      </w:r>
      <w:r w:rsidRPr="003A393B">
        <w:rPr>
          <w:lang w:val="en-AU"/>
        </w:rPr>
        <w:t xml:space="preserve">efficiency improvements to dwellings would </w:t>
      </w:r>
      <w:r w:rsidR="005F5F0E">
        <w:rPr>
          <w:lang w:val="en-AU"/>
        </w:rPr>
        <w:t>convince</w:t>
      </w:r>
      <w:r w:rsidRPr="003A393B">
        <w:rPr>
          <w:lang w:val="en-AU"/>
        </w:rPr>
        <w:t xml:space="preserve"> landlords and owners </w:t>
      </w:r>
      <w:r w:rsidR="005F5F0E">
        <w:rPr>
          <w:lang w:val="en-AU"/>
        </w:rPr>
        <w:t xml:space="preserve">of </w:t>
      </w:r>
      <w:r w:rsidRPr="003A393B">
        <w:rPr>
          <w:lang w:val="en-AU"/>
        </w:rPr>
        <w:t>the price</w:t>
      </w:r>
      <w:r w:rsidR="005F5F0E">
        <w:rPr>
          <w:lang w:val="en-AU"/>
        </w:rPr>
        <w:t>-related benefits</w:t>
      </w:r>
      <w:r w:rsidRPr="003A393B">
        <w:rPr>
          <w:lang w:val="en-AU"/>
        </w:rPr>
        <w:t xml:space="preserve"> </w:t>
      </w:r>
      <w:r>
        <w:rPr>
          <w:lang w:val="en-AU"/>
        </w:rPr>
        <w:t xml:space="preserve">is important </w:t>
      </w:r>
      <w:r w:rsidR="005F5F0E">
        <w:rPr>
          <w:lang w:val="en-AU"/>
        </w:rPr>
        <w:t>when</w:t>
      </w:r>
      <w:r>
        <w:rPr>
          <w:lang w:val="en-AU"/>
        </w:rPr>
        <w:t xml:space="preserve"> examining opportunities to improve </w:t>
      </w:r>
      <w:r w:rsidR="005F5F0E">
        <w:rPr>
          <w:lang w:val="en-AU"/>
        </w:rPr>
        <w:t xml:space="preserve">the </w:t>
      </w:r>
      <w:r>
        <w:rPr>
          <w:lang w:val="en-AU"/>
        </w:rPr>
        <w:t>existing rental property</w:t>
      </w:r>
      <w:r w:rsidR="005F5F0E">
        <w:rPr>
          <w:lang w:val="en-AU"/>
        </w:rPr>
        <w:t xml:space="preserve"> stock</w:t>
      </w:r>
      <w:r>
        <w:rPr>
          <w:lang w:val="en-AU"/>
        </w:rPr>
        <w:t>. Further</w:t>
      </w:r>
      <w:r w:rsidRPr="003A393B">
        <w:rPr>
          <w:lang w:val="en-AU"/>
        </w:rPr>
        <w:t xml:space="preserve">, </w:t>
      </w:r>
      <w:r w:rsidR="00C55419">
        <w:rPr>
          <w:lang w:val="en-AU"/>
        </w:rPr>
        <w:t>identifying</w:t>
      </w:r>
      <w:r w:rsidRPr="003A393B">
        <w:rPr>
          <w:lang w:val="en-AU"/>
        </w:rPr>
        <w:t xml:space="preserve"> return on investment</w:t>
      </w:r>
      <w:r>
        <w:rPr>
          <w:lang w:val="en-AU"/>
        </w:rPr>
        <w:t xml:space="preserve"> for landlords</w:t>
      </w:r>
      <w:r w:rsidRPr="003A393B">
        <w:rPr>
          <w:lang w:val="en-AU"/>
        </w:rPr>
        <w:t xml:space="preserve"> beyond </w:t>
      </w:r>
      <w:r>
        <w:rPr>
          <w:lang w:val="en-AU"/>
        </w:rPr>
        <w:t xml:space="preserve">savings from </w:t>
      </w:r>
      <w:r w:rsidR="00C55419">
        <w:rPr>
          <w:lang w:val="en-AU"/>
        </w:rPr>
        <w:t xml:space="preserve">improved </w:t>
      </w:r>
      <w:r>
        <w:rPr>
          <w:lang w:val="en-AU"/>
        </w:rPr>
        <w:t>energy efficiency</w:t>
      </w:r>
      <w:r w:rsidR="00C55419">
        <w:rPr>
          <w:lang w:val="en-AU"/>
        </w:rPr>
        <w:t xml:space="preserve"> will</w:t>
      </w:r>
      <w:r>
        <w:rPr>
          <w:lang w:val="en-AU"/>
        </w:rPr>
        <w:t xml:space="preserve"> provide add</w:t>
      </w:r>
      <w:r w:rsidR="00C55419">
        <w:rPr>
          <w:lang w:val="en-AU"/>
        </w:rPr>
        <w:t>itional</w:t>
      </w:r>
      <w:r>
        <w:rPr>
          <w:lang w:val="en-AU"/>
        </w:rPr>
        <w:t xml:space="preserve"> incentive</w:t>
      </w:r>
      <w:r w:rsidR="00C55419">
        <w:rPr>
          <w:lang w:val="en-AU"/>
        </w:rPr>
        <w:t>s</w:t>
      </w:r>
      <w:r>
        <w:rPr>
          <w:lang w:val="en-AU"/>
        </w:rPr>
        <w:t xml:space="preserve"> for energy</w:t>
      </w:r>
      <w:r w:rsidR="005F5F0E">
        <w:rPr>
          <w:lang w:val="en-AU"/>
        </w:rPr>
        <w:t>-</w:t>
      </w:r>
      <w:r>
        <w:rPr>
          <w:lang w:val="en-AU"/>
        </w:rPr>
        <w:t xml:space="preserve">efficiency improvements to rental properties. </w:t>
      </w:r>
      <w:r>
        <w:t xml:space="preserve">Whether tenants will pay </w:t>
      </w:r>
      <w:r w:rsidR="00086565">
        <w:t xml:space="preserve">more </w:t>
      </w:r>
      <w:r>
        <w:t>for dwellings with enhanced energy efficiency is unknown in the Australian market. This phenomenon of split incentive</w:t>
      </w:r>
      <w:r w:rsidR="00086565">
        <w:t>s</w:t>
      </w:r>
      <w:r>
        <w:t xml:space="preserve"> and who should pay is not uncommon, and has been the </w:t>
      </w:r>
      <w:r w:rsidR="00086565">
        <w:t>focus</w:t>
      </w:r>
      <w:r>
        <w:t xml:space="preserve"> of </w:t>
      </w:r>
      <w:r w:rsidR="00086565">
        <w:t xml:space="preserve">numerous studies involving </w:t>
      </w:r>
      <w:r>
        <w:t>cost</w:t>
      </w:r>
      <w:r w:rsidR="00086565">
        <w:t>–</w:t>
      </w:r>
      <w:r>
        <w:t>benefit</w:t>
      </w:r>
      <w:r w:rsidR="00086565">
        <w:t>,</w:t>
      </w:r>
      <w:r>
        <w:t xml:space="preserve"> willingness-to-pay and pricing </w:t>
      </w:r>
      <w:r w:rsidR="00086565">
        <w:t>analyses</w:t>
      </w:r>
      <w:r>
        <w:t>, particularly in the commercial sector. Globally</w:t>
      </w:r>
      <w:r w:rsidR="00086565">
        <w:t>,</w:t>
      </w:r>
      <w:r>
        <w:t xml:space="preserve"> rental premiums </w:t>
      </w:r>
      <w:r w:rsidR="00C55419">
        <w:t xml:space="preserve">for improved energy efficiency </w:t>
      </w:r>
      <w:r>
        <w:t xml:space="preserve">have been identified </w:t>
      </w:r>
      <w:r w:rsidR="00086565">
        <w:t>in</w:t>
      </w:r>
      <w:r>
        <w:t xml:space="preserve"> various studies of the commercial market, which over the past two decades has seen </w:t>
      </w:r>
      <w:r w:rsidR="003628FB">
        <w:t>increased</w:t>
      </w:r>
      <w:r>
        <w:t xml:space="preserve"> </w:t>
      </w:r>
      <w:r w:rsidR="003628FB">
        <w:t>environmental impact disclosure of its building stock (</w:t>
      </w:r>
      <w:r>
        <w:t xml:space="preserve">see </w:t>
      </w:r>
      <w:r w:rsidR="007F1022">
        <w:t xml:space="preserve">Chegut et al., 2013; </w:t>
      </w:r>
      <w:r>
        <w:t>Eichholtz et al.</w:t>
      </w:r>
      <w:r w:rsidR="00147497">
        <w:t>,</w:t>
      </w:r>
      <w:r>
        <w:t xml:space="preserve"> 2010; Fuerst </w:t>
      </w:r>
      <w:r w:rsidR="003560C4">
        <w:t xml:space="preserve">&amp; </w:t>
      </w:r>
      <w:r>
        <w:t>McAllister</w:t>
      </w:r>
      <w:r w:rsidR="00147497">
        <w:t>,</w:t>
      </w:r>
      <w:r>
        <w:t xml:space="preserve"> 2011a;</w:t>
      </w:r>
      <w:r w:rsidRPr="003256DC">
        <w:t xml:space="preserve"> </w:t>
      </w:r>
      <w:r w:rsidR="007F1022">
        <w:t xml:space="preserve">Kok &amp; Jennen, 2011; </w:t>
      </w:r>
      <w:r>
        <w:t>Reichardt et al.</w:t>
      </w:r>
      <w:r w:rsidR="00147497">
        <w:t>,</w:t>
      </w:r>
      <w:r>
        <w:t xml:space="preserve"> 2012). Where rental premiums are identified, this creates an economic incentive for landlords to enhance the energy efficiency and performance of </w:t>
      </w:r>
      <w:r w:rsidR="00086565">
        <w:t xml:space="preserve">their </w:t>
      </w:r>
      <w:r>
        <w:t xml:space="preserve">buildings (Fuerst </w:t>
      </w:r>
      <w:r w:rsidR="003560C4">
        <w:t xml:space="preserve">&amp; </w:t>
      </w:r>
      <w:r>
        <w:t>McAllister</w:t>
      </w:r>
      <w:r w:rsidR="00147497">
        <w:t>,</w:t>
      </w:r>
      <w:r>
        <w:t xml:space="preserve"> 2011b). Although there is mounting evidence in the commercial sector demonstrating </w:t>
      </w:r>
      <w:r w:rsidR="00086565">
        <w:t xml:space="preserve">the financial benefits </w:t>
      </w:r>
      <w:r>
        <w:t xml:space="preserve">to investors and landlords of enhanced </w:t>
      </w:r>
      <w:r w:rsidR="00086565">
        <w:t xml:space="preserve">energy-efficiency </w:t>
      </w:r>
      <w:r>
        <w:t xml:space="preserve">performance, the residential rental market has received limited attention.  </w:t>
      </w:r>
    </w:p>
    <w:p w14:paraId="57FDCE0C" w14:textId="321DF871" w:rsidR="00EC60CB" w:rsidRDefault="00EC60CB" w:rsidP="00D26F46"/>
    <w:p w14:paraId="1ACF5CFF" w14:textId="77777777" w:rsidR="002F65E2" w:rsidRDefault="002F65E2" w:rsidP="00D26F46"/>
    <w:p w14:paraId="434E04FC" w14:textId="56A0BABA" w:rsidR="00EC60CB" w:rsidRPr="007325DF" w:rsidRDefault="00B624E2" w:rsidP="0011646C">
      <w:pPr>
        <w:pStyle w:val="Heading1"/>
      </w:pPr>
      <w:r>
        <w:t xml:space="preserve">Voluntary disclosure and the </w:t>
      </w:r>
      <w:r w:rsidR="00EC60CB" w:rsidRPr="007325DF">
        <w:t xml:space="preserve">Green </w:t>
      </w:r>
      <w:r w:rsidR="00EC60CB" w:rsidRPr="000A077F">
        <w:t>Lemons</w:t>
      </w:r>
      <w:r w:rsidR="00EC60CB" w:rsidRPr="007325DF">
        <w:t xml:space="preserve"> problem</w:t>
      </w:r>
    </w:p>
    <w:p w14:paraId="40FEBEA7" w14:textId="77777777" w:rsidR="000A077F" w:rsidRDefault="000A077F" w:rsidP="00D26F46"/>
    <w:p w14:paraId="3AB66394" w14:textId="5DDCD7A4" w:rsidR="00EC60CB" w:rsidRDefault="00D54F95" w:rsidP="00D26F46">
      <w:r>
        <w:t>The</w:t>
      </w:r>
      <w:r w:rsidR="004956E4">
        <w:t xml:space="preserve"> well-known</w:t>
      </w:r>
      <w:r>
        <w:t xml:space="preserve"> ‘lemons problem’</w:t>
      </w:r>
      <w:r w:rsidR="00EC60CB">
        <w:t xml:space="preserve"> </w:t>
      </w:r>
      <w:r>
        <w:t xml:space="preserve">was described </w:t>
      </w:r>
      <w:r w:rsidR="004E2717">
        <w:t>by Akerlof (1970)</w:t>
      </w:r>
      <w:r w:rsidR="00086565">
        <w:t>,</w:t>
      </w:r>
      <w:r w:rsidR="004E2717">
        <w:t xml:space="preserve"> </w:t>
      </w:r>
      <w:r w:rsidR="004956E4">
        <w:t xml:space="preserve">and refers to the market and pricing effects of </w:t>
      </w:r>
      <w:r w:rsidR="00EC60CB">
        <w:t>information asymmetries between buyers and sellers.</w:t>
      </w:r>
      <w:r w:rsidR="004E2717">
        <w:t xml:space="preserve"> </w:t>
      </w:r>
      <w:r w:rsidR="00EC60CB">
        <w:t xml:space="preserve">Akerlof’s propositions were </w:t>
      </w:r>
      <w:r w:rsidR="00E5173A">
        <w:t>later reviewed and tested by Levin (2001)</w:t>
      </w:r>
      <w:r w:rsidR="00EC60CB">
        <w:t xml:space="preserve"> and</w:t>
      </w:r>
      <w:r w:rsidR="001D7ADB">
        <w:t>,</w:t>
      </w:r>
      <w:r w:rsidR="00EC60CB">
        <w:t xml:space="preserve"> in the context of</w:t>
      </w:r>
      <w:r w:rsidR="00975955">
        <w:t xml:space="preserve"> </w:t>
      </w:r>
      <w:r w:rsidR="005653A2">
        <w:t>buildings</w:t>
      </w:r>
      <w:r w:rsidR="001D7ADB">
        <w:t>,</w:t>
      </w:r>
      <w:r w:rsidR="005653A2">
        <w:t xml:space="preserve"> </w:t>
      </w:r>
      <w:r w:rsidR="007F1022">
        <w:t xml:space="preserve">Chee </w:t>
      </w:r>
      <w:r w:rsidR="001D7ADB">
        <w:t>(</w:t>
      </w:r>
      <w:r w:rsidR="007F1022">
        <w:t>2012</w:t>
      </w:r>
      <w:r w:rsidR="001D7ADB">
        <w:t>),</w:t>
      </w:r>
      <w:r w:rsidR="007F1022">
        <w:t xml:space="preserve"> </w:t>
      </w:r>
      <w:r w:rsidR="005433B2">
        <w:t xml:space="preserve">Kotha et al. </w:t>
      </w:r>
      <w:r w:rsidR="001D7ADB">
        <w:t>(</w:t>
      </w:r>
      <w:r w:rsidR="005433B2">
        <w:t>2001</w:t>
      </w:r>
      <w:r w:rsidR="001D7ADB">
        <w:t>),</w:t>
      </w:r>
      <w:r w:rsidR="005433B2">
        <w:t xml:space="preserve"> </w:t>
      </w:r>
      <w:r w:rsidR="00BA6CD2">
        <w:t xml:space="preserve">Merschbrock and Nordahl-Rolfsen </w:t>
      </w:r>
      <w:r w:rsidR="001D7ADB">
        <w:t>(</w:t>
      </w:r>
      <w:r w:rsidR="00BA6CD2">
        <w:t>2015</w:t>
      </w:r>
      <w:r w:rsidR="001D7ADB">
        <w:t>), and</w:t>
      </w:r>
      <w:r w:rsidR="007F1022">
        <w:t xml:space="preserve"> Palm </w:t>
      </w:r>
      <w:r w:rsidR="001D7ADB">
        <w:t>(</w:t>
      </w:r>
      <w:r w:rsidR="007F1022">
        <w:t>2002</w:t>
      </w:r>
      <w:r w:rsidR="005653A2">
        <w:t>)</w:t>
      </w:r>
      <w:r w:rsidR="001D7ADB">
        <w:t>.</w:t>
      </w:r>
      <w:r w:rsidR="00EC60CB">
        <w:t xml:space="preserve"> In the building energy</w:t>
      </w:r>
      <w:r w:rsidR="001D7ADB">
        <w:t>-</w:t>
      </w:r>
      <w:r w:rsidR="00EC60CB">
        <w:t xml:space="preserve">efficiency context, </w:t>
      </w:r>
      <w:r w:rsidR="001D7ADB">
        <w:t>owners of</w:t>
      </w:r>
      <w:r w:rsidR="00975955">
        <w:t xml:space="preserve"> buildings </w:t>
      </w:r>
      <w:r w:rsidR="004956E4">
        <w:t xml:space="preserve">with </w:t>
      </w:r>
      <w:r w:rsidR="00975955">
        <w:t xml:space="preserve">poor ratings </w:t>
      </w:r>
      <w:r w:rsidR="004956E4">
        <w:t>will try to</w:t>
      </w:r>
      <w:r w:rsidR="00975955">
        <w:t xml:space="preserve"> </w:t>
      </w:r>
      <w:r w:rsidR="001D7ADB">
        <w:t>sell the buildings</w:t>
      </w:r>
      <w:r w:rsidR="00975955">
        <w:t xml:space="preserve"> to unsuspecting </w:t>
      </w:r>
      <w:r w:rsidR="00FB423D">
        <w:t xml:space="preserve">and uninformed </w:t>
      </w:r>
      <w:r w:rsidR="00975955">
        <w:t>purchasers</w:t>
      </w:r>
      <w:r w:rsidR="00BC6247">
        <w:t xml:space="preserve"> (</w:t>
      </w:r>
      <w:r w:rsidR="007F1022">
        <w:t xml:space="preserve">Chan et al., 2009; Chegut et al., 2013; </w:t>
      </w:r>
      <w:r w:rsidR="00982FEE">
        <w:t>Ho et al.</w:t>
      </w:r>
      <w:r w:rsidR="00147497">
        <w:t>,</w:t>
      </w:r>
      <w:r w:rsidR="00982FEE">
        <w:t xml:space="preserve"> 2005; </w:t>
      </w:r>
      <w:r w:rsidR="003A30EC">
        <w:t>Sedlacek et al.</w:t>
      </w:r>
      <w:r w:rsidR="00147497">
        <w:t>,</w:t>
      </w:r>
      <w:r w:rsidR="003A30EC">
        <w:t xml:space="preserve"> 2012; </w:t>
      </w:r>
      <w:r w:rsidR="00D117E4" w:rsidRPr="007F1022">
        <w:t>Qian</w:t>
      </w:r>
      <w:r w:rsidR="00645A79" w:rsidRPr="007F1022">
        <w:t xml:space="preserve"> et al.</w:t>
      </w:r>
      <w:r w:rsidR="00147497" w:rsidRPr="009C5EFC">
        <w:t>,</w:t>
      </w:r>
      <w:r w:rsidR="00D117E4" w:rsidRPr="007F1022">
        <w:t xml:space="preserve"> 2013</w:t>
      </w:r>
      <w:r w:rsidR="00982FEE" w:rsidRPr="007F1022">
        <w:t>)</w:t>
      </w:r>
      <w:r w:rsidR="00975955" w:rsidRPr="007F1022">
        <w:t>.</w:t>
      </w:r>
      <w:r w:rsidR="00975955">
        <w:t xml:space="preserve"> </w:t>
      </w:r>
      <w:r w:rsidR="004956E4">
        <w:t>Sub</w:t>
      </w:r>
      <w:r w:rsidR="00975955">
        <w:t xml:space="preserve">sequently, </w:t>
      </w:r>
      <w:r w:rsidR="004956E4">
        <w:t>as</w:t>
      </w:r>
      <w:r w:rsidR="00975955">
        <w:t xml:space="preserve"> purchasers becom</w:t>
      </w:r>
      <w:r w:rsidR="004956E4">
        <w:t>e</w:t>
      </w:r>
      <w:r w:rsidR="00975955">
        <w:t xml:space="preserve"> </w:t>
      </w:r>
      <w:r w:rsidR="001D7ADB">
        <w:t xml:space="preserve">increasingly </w:t>
      </w:r>
      <w:r w:rsidR="00975955">
        <w:t>aware of the need for sustainability and energy efficiency, properties that do</w:t>
      </w:r>
      <w:r w:rsidR="00EC60CB">
        <w:t xml:space="preserve"> not</w:t>
      </w:r>
      <w:r w:rsidR="00975955">
        <w:t xml:space="preserve"> have a</w:t>
      </w:r>
      <w:r w:rsidR="005D0079">
        <w:t>n EER</w:t>
      </w:r>
      <w:r w:rsidR="00975955">
        <w:t xml:space="preserve"> are </w:t>
      </w:r>
      <w:r w:rsidR="001D7ADB">
        <w:t>viewed</w:t>
      </w:r>
      <w:r w:rsidR="00975955">
        <w:t xml:space="preserve"> with scepticism</w:t>
      </w:r>
      <w:r w:rsidR="001D7ADB">
        <w:t>,</w:t>
      </w:r>
      <w:r w:rsidR="00975955">
        <w:t xml:space="preserve"> and </w:t>
      </w:r>
      <w:r w:rsidR="005D0079">
        <w:t>thus</w:t>
      </w:r>
      <w:r w:rsidR="00975955">
        <w:t xml:space="preserve"> discounts are applied, </w:t>
      </w:r>
      <w:r w:rsidR="001D7ADB">
        <w:t>resulting in</w:t>
      </w:r>
      <w:r w:rsidR="00975955">
        <w:t xml:space="preserve"> a two-tier market.</w:t>
      </w:r>
      <w:r w:rsidR="0079625B">
        <w:t xml:space="preserve"> </w:t>
      </w:r>
      <w:r w:rsidR="005433B2">
        <w:t>I</w:t>
      </w:r>
      <w:r w:rsidR="00712E34">
        <w:t xml:space="preserve">n essence, non-disclosure </w:t>
      </w:r>
      <w:r w:rsidR="004956E4">
        <w:t>may</w:t>
      </w:r>
      <w:r w:rsidR="00712E34">
        <w:t xml:space="preserve"> </w:t>
      </w:r>
      <w:r w:rsidR="001D7ADB">
        <w:t>result in</w:t>
      </w:r>
      <w:r w:rsidR="00712E34">
        <w:t xml:space="preserve"> </w:t>
      </w:r>
      <w:r w:rsidR="001D7ADB">
        <w:t xml:space="preserve">some </w:t>
      </w:r>
      <w:r w:rsidR="00712E34">
        <w:t xml:space="preserve">level of discount </w:t>
      </w:r>
      <w:r w:rsidR="001D7ADB">
        <w:t>as a result of</w:t>
      </w:r>
      <w:r w:rsidR="00712E34">
        <w:t xml:space="preserve"> purchasers</w:t>
      </w:r>
      <w:r w:rsidR="001D7ADB">
        <w:t>’</w:t>
      </w:r>
      <w:r w:rsidR="00712E34">
        <w:t xml:space="preserve"> scepticism relating to sustainability</w:t>
      </w:r>
      <w:r w:rsidR="00E46072">
        <w:t xml:space="preserve">. However, </w:t>
      </w:r>
      <w:r w:rsidR="00712E34">
        <w:t>in the absence of a</w:t>
      </w:r>
      <w:r w:rsidR="005D0079">
        <w:t>n EER</w:t>
      </w:r>
      <w:r w:rsidR="00E46072">
        <w:t>,</w:t>
      </w:r>
      <w:r w:rsidR="00712E34">
        <w:t xml:space="preserve"> </w:t>
      </w:r>
      <w:r w:rsidR="00E46072">
        <w:t xml:space="preserve">the </w:t>
      </w:r>
      <w:r w:rsidR="008228BD">
        <w:t xml:space="preserve">selective and partial </w:t>
      </w:r>
      <w:r w:rsidR="00712E34">
        <w:t xml:space="preserve">disclosure of key sustainability features may mislead purchasers </w:t>
      </w:r>
      <w:r w:rsidR="005D0079">
        <w:t>in</w:t>
      </w:r>
      <w:r w:rsidR="00712E34">
        <w:t>to purchas</w:t>
      </w:r>
      <w:r w:rsidR="005D0079">
        <w:t>ing</w:t>
      </w:r>
      <w:r w:rsidR="00712E34">
        <w:t xml:space="preserve"> or rent</w:t>
      </w:r>
      <w:r w:rsidR="005D0079">
        <w:t>ing</w:t>
      </w:r>
      <w:r w:rsidR="00712E34">
        <w:t xml:space="preserve"> a dwelling that </w:t>
      </w:r>
      <w:r w:rsidR="00E46072">
        <w:t xml:space="preserve">either </w:t>
      </w:r>
      <w:r w:rsidR="00712E34">
        <w:t>perform</w:t>
      </w:r>
      <w:r w:rsidR="005D0079">
        <w:t>s poorly</w:t>
      </w:r>
      <w:r w:rsidR="00712E34">
        <w:t xml:space="preserve"> or lacks the potential to achieve </w:t>
      </w:r>
      <w:r w:rsidR="005D0079">
        <w:t>improved energy efficiency</w:t>
      </w:r>
      <w:r w:rsidR="00712E34">
        <w:t xml:space="preserve">. </w:t>
      </w:r>
      <w:r w:rsidR="00595D0C">
        <w:t xml:space="preserve">Further, a purchaser may not </w:t>
      </w:r>
      <w:r w:rsidR="005D0079">
        <w:t xml:space="preserve">necessarily </w:t>
      </w:r>
      <w:r w:rsidR="00E46072">
        <w:t xml:space="preserve">seek a </w:t>
      </w:r>
      <w:r w:rsidR="00595D0C">
        <w:t xml:space="preserve">discount </w:t>
      </w:r>
      <w:r w:rsidR="00E46072">
        <w:t xml:space="preserve">as a result of the presence of </w:t>
      </w:r>
      <w:r w:rsidR="00595D0C">
        <w:t>these other features</w:t>
      </w:r>
      <w:r w:rsidR="00E46072">
        <w:t>,</w:t>
      </w:r>
      <w:r w:rsidR="00595D0C">
        <w:t xml:space="preserve"> and </w:t>
      </w:r>
      <w:r w:rsidR="00E46072">
        <w:t xml:space="preserve">thus </w:t>
      </w:r>
      <w:r w:rsidR="005D0079">
        <w:t xml:space="preserve">may </w:t>
      </w:r>
      <w:r w:rsidR="00595D0C">
        <w:t xml:space="preserve">pay the </w:t>
      </w:r>
      <w:r w:rsidR="00E46072">
        <w:t>asking</w:t>
      </w:r>
      <w:r w:rsidR="00EC60CB">
        <w:t xml:space="preserve"> price</w:t>
      </w:r>
      <w:r w:rsidR="00595D0C">
        <w:t xml:space="preserve"> but actually receive a lemon, </w:t>
      </w:r>
      <w:r w:rsidR="00E46072">
        <w:t xml:space="preserve">that is, </w:t>
      </w:r>
      <w:r w:rsidR="00595D0C">
        <w:t xml:space="preserve">a property that does not </w:t>
      </w:r>
      <w:r w:rsidR="00E46072">
        <w:t>provide a satisfactory level of</w:t>
      </w:r>
      <w:r w:rsidR="00595D0C">
        <w:t xml:space="preserve"> sustainability. </w:t>
      </w:r>
    </w:p>
    <w:p w14:paraId="4A433859" w14:textId="77777777" w:rsidR="00E46072" w:rsidRDefault="00E46072" w:rsidP="00FF25EB"/>
    <w:p w14:paraId="2770B565" w14:textId="14C69DD3" w:rsidR="00FF25EB" w:rsidRPr="007325DF" w:rsidRDefault="00DD24A6" w:rsidP="00FF25EB">
      <w:r>
        <w:t>In a crucial depart</w:t>
      </w:r>
      <w:r w:rsidR="00FF25EB">
        <w:t>ure from the stream of</w:t>
      </w:r>
      <w:r>
        <w:t xml:space="preserve"> literature on the Akerlofian information effects, Milgrom (</w:t>
      </w:r>
      <w:r w:rsidR="00BB0066">
        <w:t>1981</w:t>
      </w:r>
      <w:r>
        <w:t>) propose</w:t>
      </w:r>
      <w:r w:rsidR="00E46072">
        <w:t>d</w:t>
      </w:r>
      <w:r>
        <w:t xml:space="preserve"> the ‘unravelling result’</w:t>
      </w:r>
      <w:r w:rsidR="00E46072">
        <w:t>,</w:t>
      </w:r>
      <w:r>
        <w:t xml:space="preserve"> </w:t>
      </w:r>
      <w:r w:rsidR="00E46072">
        <w:t xml:space="preserve">in </w:t>
      </w:r>
      <w:r>
        <w:t xml:space="preserve">which </w:t>
      </w:r>
      <w:r w:rsidR="00BB0066">
        <w:t xml:space="preserve">complete </w:t>
      </w:r>
      <w:r>
        <w:t xml:space="preserve">voluntary disclosure </w:t>
      </w:r>
      <w:r w:rsidR="00BB0066">
        <w:t xml:space="preserve">is a stable </w:t>
      </w:r>
      <w:r w:rsidR="00BB0066">
        <w:lastRenderedPageBreak/>
        <w:t xml:space="preserve">equilibrium outcome that </w:t>
      </w:r>
      <w:r>
        <w:t>will eventually prevail in all markets</w:t>
      </w:r>
      <w:r w:rsidR="00E46072">
        <w:t>,</w:t>
      </w:r>
      <w:r>
        <w:t xml:space="preserve"> </w:t>
      </w:r>
      <w:r w:rsidR="00FF25EB">
        <w:t>as sellers have a vital interest in showing that their non-disclosed product does not belong to the lowest category</w:t>
      </w:r>
      <w:r w:rsidR="00E46072">
        <w:t>,</w:t>
      </w:r>
      <w:r w:rsidR="00FF25EB">
        <w:t xml:space="preserve"> which </w:t>
      </w:r>
      <w:r w:rsidR="00E46072">
        <w:t xml:space="preserve">eventually </w:t>
      </w:r>
      <w:r w:rsidR="00FF25EB">
        <w:t>lead</w:t>
      </w:r>
      <w:r w:rsidR="00E46072">
        <w:t>s</w:t>
      </w:r>
      <w:r w:rsidR="00FF25EB">
        <w:t xml:space="preserve"> to a complete unravelling of the initial information asymmetry in the marketplace. However, th</w:t>
      </w:r>
      <w:r w:rsidR="00E46072">
        <w:t>is</w:t>
      </w:r>
      <w:r w:rsidR="00FF25EB">
        <w:t xml:space="preserve"> unravelling paradigm rests on a number of assumptions, in particular </w:t>
      </w:r>
      <w:r w:rsidR="005D0079">
        <w:t xml:space="preserve">the assumption </w:t>
      </w:r>
      <w:r w:rsidR="00FF25EB">
        <w:t>that the information is verifiable and disclosure is costless</w:t>
      </w:r>
      <w:r w:rsidR="00E46072">
        <w:t>,</w:t>
      </w:r>
      <w:r w:rsidR="00BB0066">
        <w:t xml:space="preserve"> which is not the case </w:t>
      </w:r>
      <w:r w:rsidR="005D0079">
        <w:t>with</w:t>
      </w:r>
      <w:r w:rsidR="00BB0066">
        <w:t xml:space="preserve"> </w:t>
      </w:r>
      <w:r w:rsidR="00E46072">
        <w:t>EERs</w:t>
      </w:r>
      <w:r w:rsidR="00FF25EB">
        <w:t>.</w:t>
      </w:r>
      <w:r w:rsidR="008228BD">
        <w:t xml:space="preserve"> </w:t>
      </w:r>
      <w:r w:rsidR="00F847B9">
        <w:t>In our</w:t>
      </w:r>
      <w:r w:rsidR="008228BD">
        <w:t xml:space="preserve"> empirical analysis </w:t>
      </w:r>
      <w:r w:rsidR="00F847B9">
        <w:t>we do not find evidence of</w:t>
      </w:r>
      <w:r w:rsidR="008228BD">
        <w:t xml:space="preserve"> unravelling during the six-year study period. </w:t>
      </w:r>
      <w:r w:rsidR="00F847B9">
        <w:t xml:space="preserve">Figure 1 illustrates that disclosure rates have indeed dropped from an initial level of around 76% in 2011 to 62% at the end of 2016. </w:t>
      </w:r>
    </w:p>
    <w:p w14:paraId="43E53801" w14:textId="77777777" w:rsidR="00EC60CB" w:rsidRDefault="00EC60CB" w:rsidP="00EC60CB"/>
    <w:p w14:paraId="6580C725" w14:textId="10B5A20C" w:rsidR="00EC60CB" w:rsidRDefault="00FF25EB" w:rsidP="007325DF">
      <w:r w:rsidRPr="007325DF">
        <w:t xml:space="preserve">Developing Milgrom’s unravelling paradigm further, </w:t>
      </w:r>
      <w:r w:rsidR="00EC60CB" w:rsidRPr="007325DF">
        <w:t xml:space="preserve">Daughety and Reinganum (2008) argue that </w:t>
      </w:r>
      <w:r w:rsidR="00DD24A6" w:rsidRPr="007325DF">
        <w:t>the alternative to disclosure is not non-disclosure</w:t>
      </w:r>
      <w:r w:rsidR="00717A43">
        <w:t>,</w:t>
      </w:r>
      <w:r w:rsidR="00DD24A6" w:rsidRPr="007325DF">
        <w:t xml:space="preserve"> but rather signalling through other channels, mainly </w:t>
      </w:r>
      <w:r w:rsidR="00717A43">
        <w:t xml:space="preserve">the </w:t>
      </w:r>
      <w:r w:rsidR="00DD24A6" w:rsidRPr="007325DF">
        <w:t xml:space="preserve">asking price. </w:t>
      </w:r>
      <w:r w:rsidR="00717A43">
        <w:t>In p</w:t>
      </w:r>
      <w:r w:rsidR="00DD24A6" w:rsidRPr="007325DF">
        <w:t>articular</w:t>
      </w:r>
      <w:r w:rsidR="00717A43">
        <w:t>,</w:t>
      </w:r>
      <w:r w:rsidR="00DD24A6" w:rsidRPr="007325DF">
        <w:t xml:space="preserve"> if the cost of disclosure is high, sellers will opt to signal the quality of the product via the asking price rather than through the </w:t>
      </w:r>
      <w:r w:rsidR="00457285">
        <w:t xml:space="preserve">costly </w:t>
      </w:r>
      <w:r w:rsidR="00DD24A6" w:rsidRPr="007325DF">
        <w:t>disclosure channel. The authors show that when disclosure costs are positive but not prohibitively high, the marginal firm will be indifferent between disclosing and signalling via price. In this situation, firm profits will be U-shaped</w:t>
      </w:r>
      <w:r w:rsidR="00717A43">
        <w:t>,</w:t>
      </w:r>
      <w:r w:rsidR="00DD24A6" w:rsidRPr="007325DF">
        <w:t xml:space="preserve"> in that they are first decreasing </w:t>
      </w:r>
      <w:r w:rsidR="00717A43">
        <w:t>as a result of</w:t>
      </w:r>
      <w:r w:rsidR="00DD24A6" w:rsidRPr="007325DF">
        <w:t xml:space="preserve"> signalling and then increasing </w:t>
      </w:r>
      <w:r w:rsidR="00717A43">
        <w:t>as</w:t>
      </w:r>
      <w:r w:rsidR="005D0079">
        <w:t xml:space="preserve"> </w:t>
      </w:r>
      <w:r w:rsidR="00717A43">
        <w:t>a result of</w:t>
      </w:r>
      <w:r w:rsidR="00DD24A6" w:rsidRPr="007325DF">
        <w:t xml:space="preserve"> disclosure. </w:t>
      </w:r>
      <w:r w:rsidR="00717A43">
        <w:t>Where</w:t>
      </w:r>
      <w:r w:rsidR="00DD24A6" w:rsidRPr="007325DF">
        <w:t xml:space="preserve"> disclosure costs</w:t>
      </w:r>
      <w:r w:rsidR="00717A43">
        <w:t xml:space="preserve"> are moderate</w:t>
      </w:r>
      <w:r w:rsidR="00DD24A6" w:rsidRPr="007325DF">
        <w:t xml:space="preserve"> (which is arguably the case for EERs)</w:t>
      </w:r>
      <w:r w:rsidR="00717A43">
        <w:t>,</w:t>
      </w:r>
      <w:r w:rsidR="00DD24A6" w:rsidRPr="007325DF">
        <w:t xml:space="preserve"> the highest</w:t>
      </w:r>
      <w:r w:rsidR="00717A43">
        <w:t>-</w:t>
      </w:r>
      <w:r w:rsidR="00DD24A6" w:rsidRPr="007325DF">
        <w:t xml:space="preserve">quality products will </w:t>
      </w:r>
      <w:r w:rsidR="00717A43">
        <w:t>deliver</w:t>
      </w:r>
      <w:r w:rsidR="00DD24A6" w:rsidRPr="007325DF">
        <w:t xml:space="preserve"> the </w:t>
      </w:r>
      <w:r w:rsidR="00717A43">
        <w:t>greatest</w:t>
      </w:r>
      <w:r w:rsidR="00DD24A6" w:rsidRPr="007325DF">
        <w:t xml:space="preserve"> benefits. </w:t>
      </w:r>
      <w:r w:rsidR="006E76C5">
        <w:t>By contrast, F</w:t>
      </w:r>
      <w:r w:rsidR="00D4152C">
        <w:t xml:space="preserve">ishman and Hagerty (2003) </w:t>
      </w:r>
      <w:r w:rsidR="006E76C5">
        <w:t>consider</w:t>
      </w:r>
      <w:r w:rsidR="006538B4">
        <w:t xml:space="preserve"> </w:t>
      </w:r>
      <w:r w:rsidR="006E76C5">
        <w:t xml:space="preserve">a situation with two types of consumers, </w:t>
      </w:r>
      <w:r w:rsidR="00457285">
        <w:t xml:space="preserve">one </w:t>
      </w:r>
      <w:r w:rsidR="006E76C5">
        <w:t xml:space="preserve">informed and </w:t>
      </w:r>
      <w:r w:rsidR="00457285">
        <w:t xml:space="preserve">the other </w:t>
      </w:r>
      <w:r w:rsidR="006E76C5">
        <w:t>uninformed. Both types are assumed to be aware of the fact that a disclosure has been made but only the informed consumers know the content of the disclosure. They then argue that discl</w:t>
      </w:r>
      <w:r w:rsidR="006538B4">
        <w:t>os</w:t>
      </w:r>
      <w:r w:rsidR="006E76C5">
        <w:t xml:space="preserve">ure and price signalling </w:t>
      </w:r>
      <w:r w:rsidR="00457285">
        <w:t>are</w:t>
      </w:r>
      <w:r w:rsidR="006E76C5">
        <w:t xml:space="preserve"> complements, not substitutes</w:t>
      </w:r>
      <w:r w:rsidR="00457285">
        <w:t xml:space="preserve"> (as is the case in Daughety and Reinganum, 2008)</w:t>
      </w:r>
      <w:r w:rsidR="006E76C5">
        <w:t xml:space="preserve">. </w:t>
      </w:r>
      <w:r w:rsidR="00457285">
        <w:t xml:space="preserve">They argue </w:t>
      </w:r>
      <w:r w:rsidR="006E76C5">
        <w:t xml:space="preserve">that firms can </w:t>
      </w:r>
      <w:r w:rsidR="00457285">
        <w:t>only</w:t>
      </w:r>
      <w:r w:rsidR="006E76C5">
        <w:t xml:space="preserve"> charge higher prices</w:t>
      </w:r>
      <w:r w:rsidR="00457285">
        <w:t xml:space="preserve"> if they disclose</w:t>
      </w:r>
      <w:r w:rsidR="006E76C5">
        <w:t xml:space="preserve"> </w:t>
      </w:r>
      <w:r w:rsidR="00457285">
        <w:t xml:space="preserve">and have high-quality products </w:t>
      </w:r>
      <w:r w:rsidR="006E76C5">
        <w:t xml:space="preserve">while </w:t>
      </w:r>
      <w:r w:rsidR="00457285">
        <w:t xml:space="preserve">firms with low-quality products cannot do so once the low quality has been revealed. Firms that do not disclose at all are also kept from signalling quality through higher prices as no verifiable information is provided that would justify a price premium. For the present study of energy efficiency disclosure in the housing market, it seems more plausible to follow Daughety and Reinganum’s (2008) </w:t>
      </w:r>
      <w:r w:rsidR="007B1B07">
        <w:t xml:space="preserve">assumption </w:t>
      </w:r>
      <w:r w:rsidR="00457285">
        <w:t xml:space="preserve">that </w:t>
      </w:r>
      <w:r w:rsidR="00457285" w:rsidRPr="0011646C">
        <w:rPr>
          <w:i/>
        </w:rPr>
        <w:t>all</w:t>
      </w:r>
      <w:r w:rsidR="00457285">
        <w:t xml:space="preserve"> consumers </w:t>
      </w:r>
      <w:r w:rsidR="007B1B07">
        <w:t>will be informed once a disclosure is made as an existing EER should be readily accessible to prospective tenants and buyers.</w:t>
      </w:r>
    </w:p>
    <w:p w14:paraId="17D8871C" w14:textId="49A0C05C" w:rsidR="00603362" w:rsidRDefault="00603362" w:rsidP="007325DF"/>
    <w:p w14:paraId="3700533A" w14:textId="0F76E1FC" w:rsidR="007B1B07" w:rsidRDefault="00FB423D" w:rsidP="007325DF">
      <w:r>
        <w:t>These theoretical considerations are complicated by the fact that housing quality is a multi-dimensional construct. Consequently, price signalling of energy efficiency is ambiguous and impeded by the fact that a high price may imply high quality of other features, not necessarily of energy efficiency. However, o</w:t>
      </w:r>
      <w:r w:rsidR="001667AC">
        <w:t xml:space="preserve">ur empirical analysis relies on both the disclosed EER rating and information provided in sales/ rental brochures and listings. </w:t>
      </w:r>
      <w:r>
        <w:t xml:space="preserve">This constitutes a situation of partial and voluntary disclosure via an alternative channel. As space for text in these brochures is limited, only the best attributes will be mentioned. This enables landlords and sellers to signal more directly and visibly to ‘green’ tenants and buyers by using keywords related to sustainability and energy efficiency. </w:t>
      </w:r>
    </w:p>
    <w:p w14:paraId="7D8B6EE0" w14:textId="77777777" w:rsidR="007B1B07" w:rsidRDefault="007B1B07" w:rsidP="007325DF"/>
    <w:p w14:paraId="05D3F0EC" w14:textId="25769420" w:rsidR="0042325E" w:rsidRDefault="00FF25EB" w:rsidP="000A077F">
      <w:pPr>
        <w:pStyle w:val="Heading1"/>
      </w:pPr>
      <w:r>
        <w:t>Empirical evidence</w:t>
      </w:r>
    </w:p>
    <w:p w14:paraId="600F34EF" w14:textId="77777777" w:rsidR="000A077F" w:rsidRDefault="000A077F" w:rsidP="00D26F46"/>
    <w:p w14:paraId="2ECE2EA1" w14:textId="2E4AC84B" w:rsidR="0042325E" w:rsidRDefault="0042325E" w:rsidP="00D26F46">
      <w:r>
        <w:t xml:space="preserve">There is a plethora of studies examining the price premiums </w:t>
      </w:r>
      <w:r w:rsidR="00E01070">
        <w:t>associated</w:t>
      </w:r>
      <w:r>
        <w:t xml:space="preserve"> with sustainable or energy</w:t>
      </w:r>
      <w:r w:rsidR="00E01070">
        <w:t>-</w:t>
      </w:r>
      <w:r>
        <w:t xml:space="preserve">efficient stock in both the commercial and residential sectors, with the majority finding a positive relationship between </w:t>
      </w:r>
      <w:r w:rsidR="0087184D">
        <w:t xml:space="preserve">energy efficiency or sustainability ratings </w:t>
      </w:r>
      <w:r>
        <w:t xml:space="preserve">and sales and/or rental prices. </w:t>
      </w:r>
      <w:r w:rsidRPr="00207D33">
        <w:rPr>
          <w:lang w:val="en-US"/>
        </w:rPr>
        <w:t xml:space="preserve">The commercial office sector </w:t>
      </w:r>
      <w:r w:rsidR="00AB3963">
        <w:rPr>
          <w:lang w:val="en-US"/>
        </w:rPr>
        <w:t>in</w:t>
      </w:r>
      <w:r w:rsidRPr="00207D33">
        <w:rPr>
          <w:lang w:val="en-US"/>
        </w:rPr>
        <w:t xml:space="preserve"> various countries and regions</w:t>
      </w:r>
      <w:r w:rsidR="00AB3963">
        <w:rPr>
          <w:lang w:val="en-US"/>
        </w:rPr>
        <w:t xml:space="preserve"> including</w:t>
      </w:r>
      <w:r w:rsidRPr="00207D33">
        <w:rPr>
          <w:lang w:val="en-US"/>
        </w:rPr>
        <w:t xml:space="preserve"> the United States, Canada, Singapore, </w:t>
      </w:r>
      <w:r w:rsidR="00AB3963">
        <w:rPr>
          <w:lang w:val="en-US"/>
        </w:rPr>
        <w:t xml:space="preserve">the </w:t>
      </w:r>
      <w:r w:rsidRPr="00207D33">
        <w:rPr>
          <w:lang w:val="en-US"/>
        </w:rPr>
        <w:t xml:space="preserve">UK, Europe and Australia </w:t>
      </w:r>
      <w:r w:rsidR="00AB3963">
        <w:rPr>
          <w:lang w:val="en-US"/>
        </w:rPr>
        <w:t xml:space="preserve">has provided evidence of </w:t>
      </w:r>
      <w:r w:rsidRPr="00207D33">
        <w:rPr>
          <w:lang w:val="en-US"/>
        </w:rPr>
        <w:t>the premiums associated with green or energy</w:t>
      </w:r>
      <w:r w:rsidR="00AB3963">
        <w:rPr>
          <w:lang w:val="en-US"/>
        </w:rPr>
        <w:t>-</w:t>
      </w:r>
      <w:r w:rsidRPr="00207D33">
        <w:rPr>
          <w:lang w:val="en-US"/>
        </w:rPr>
        <w:t>efficien</w:t>
      </w:r>
      <w:r w:rsidR="00AB3963">
        <w:rPr>
          <w:lang w:val="en-US"/>
        </w:rPr>
        <w:t>cy-</w:t>
      </w:r>
      <w:r w:rsidRPr="00207D33">
        <w:rPr>
          <w:lang w:val="en-US"/>
        </w:rPr>
        <w:t xml:space="preserve">related certification. </w:t>
      </w:r>
      <w:r w:rsidR="00AB3963">
        <w:rPr>
          <w:lang w:val="en-US"/>
        </w:rPr>
        <w:t xml:space="preserve">This issue </w:t>
      </w:r>
      <w:r w:rsidR="004860BE">
        <w:rPr>
          <w:lang w:val="en-US"/>
        </w:rPr>
        <w:t>has been thoroughly investigated globally</w:t>
      </w:r>
      <w:r w:rsidR="00AB3963">
        <w:rPr>
          <w:lang w:val="en-US"/>
        </w:rPr>
        <w:t xml:space="preserve"> using empirical analysis to </w:t>
      </w:r>
      <w:r w:rsidR="004860BE">
        <w:rPr>
          <w:lang w:val="en-US"/>
        </w:rPr>
        <w:t xml:space="preserve">identify premiums </w:t>
      </w:r>
      <w:r w:rsidR="00AB3963">
        <w:rPr>
          <w:lang w:val="en-US"/>
        </w:rPr>
        <w:t xml:space="preserve">paid </w:t>
      </w:r>
      <w:r w:rsidR="004860BE">
        <w:rPr>
          <w:lang w:val="en-US"/>
        </w:rPr>
        <w:t xml:space="preserve">for commercial properties with </w:t>
      </w:r>
      <w:r w:rsidR="0087184D">
        <w:rPr>
          <w:lang w:val="en-US"/>
        </w:rPr>
        <w:t xml:space="preserve">energy and/or sustainability ratings </w:t>
      </w:r>
      <w:r w:rsidR="004860BE">
        <w:t>(see</w:t>
      </w:r>
      <w:r w:rsidR="00AB3963">
        <w:t>, e.g.,</w:t>
      </w:r>
      <w:r w:rsidR="004860BE" w:rsidRPr="00404A8B">
        <w:rPr>
          <w:lang w:val="en-US"/>
        </w:rPr>
        <w:t xml:space="preserve"> </w:t>
      </w:r>
      <w:r w:rsidR="007F1022" w:rsidRPr="003B0045">
        <w:rPr>
          <w:lang w:val="en-US"/>
        </w:rPr>
        <w:t>Chegut et al.</w:t>
      </w:r>
      <w:r w:rsidR="007F1022">
        <w:rPr>
          <w:lang w:val="en-US"/>
        </w:rPr>
        <w:t>,</w:t>
      </w:r>
      <w:r w:rsidR="007F1022" w:rsidRPr="003B0045">
        <w:rPr>
          <w:lang w:val="en-US"/>
        </w:rPr>
        <w:t xml:space="preserve"> 201</w:t>
      </w:r>
      <w:r w:rsidR="007F1022">
        <w:rPr>
          <w:lang w:val="en-US"/>
        </w:rPr>
        <w:t>3;</w:t>
      </w:r>
      <w:r w:rsidR="007F1022" w:rsidRPr="003B0045">
        <w:rPr>
          <w:lang w:val="en-US"/>
        </w:rPr>
        <w:t xml:space="preserve"> Deng </w:t>
      </w:r>
      <w:r w:rsidR="007F1022">
        <w:rPr>
          <w:lang w:val="en-US"/>
        </w:rPr>
        <w:t>&amp;</w:t>
      </w:r>
      <w:r w:rsidR="007F1022" w:rsidRPr="003B0045">
        <w:rPr>
          <w:lang w:val="en-US"/>
        </w:rPr>
        <w:t xml:space="preserve"> Wu, 2013; Dermisi, </w:t>
      </w:r>
      <w:r w:rsidR="0043308A">
        <w:rPr>
          <w:lang w:val="en-US"/>
        </w:rPr>
        <w:t xml:space="preserve">2009, 2014; </w:t>
      </w:r>
      <w:r w:rsidR="007F1022" w:rsidRPr="003B0045">
        <w:rPr>
          <w:lang w:val="en-US"/>
        </w:rPr>
        <w:t xml:space="preserve"> Devine </w:t>
      </w:r>
      <w:r w:rsidR="007F1022">
        <w:rPr>
          <w:lang w:val="en-US"/>
        </w:rPr>
        <w:t>&amp;</w:t>
      </w:r>
      <w:r w:rsidR="007F1022" w:rsidRPr="003B0045">
        <w:rPr>
          <w:lang w:val="en-US"/>
        </w:rPr>
        <w:t xml:space="preserve"> Kok, 2015; </w:t>
      </w:r>
      <w:r w:rsidR="004860BE" w:rsidRPr="003B0045">
        <w:rPr>
          <w:lang w:val="en-US"/>
        </w:rPr>
        <w:t>Eichholtz et al</w:t>
      </w:r>
      <w:r w:rsidR="007F1022">
        <w:rPr>
          <w:lang w:val="en-US"/>
        </w:rPr>
        <w:t>.</w:t>
      </w:r>
      <w:r w:rsidR="004860BE" w:rsidRPr="003B0045">
        <w:rPr>
          <w:lang w:val="en-US"/>
        </w:rPr>
        <w:t>, 2010;</w:t>
      </w:r>
      <w:r w:rsidR="007F1022">
        <w:rPr>
          <w:lang w:val="en-US"/>
        </w:rPr>
        <w:t xml:space="preserve"> </w:t>
      </w:r>
      <w:r w:rsidR="007F1022" w:rsidRPr="003B0045">
        <w:rPr>
          <w:lang w:val="en-US"/>
        </w:rPr>
        <w:t xml:space="preserve">Fuerst </w:t>
      </w:r>
      <w:r w:rsidR="007F1022">
        <w:rPr>
          <w:lang w:val="en-US"/>
        </w:rPr>
        <w:t>&amp;</w:t>
      </w:r>
      <w:r w:rsidR="007F1022" w:rsidRPr="003B0045">
        <w:rPr>
          <w:lang w:val="en-US"/>
        </w:rPr>
        <w:t xml:space="preserve"> McAllister, 2011</w:t>
      </w:r>
      <w:r w:rsidR="007F1022">
        <w:rPr>
          <w:lang w:val="en-US"/>
        </w:rPr>
        <w:t>a, 2011b</w:t>
      </w:r>
      <w:r w:rsidR="007F1022" w:rsidRPr="003B0045">
        <w:rPr>
          <w:lang w:val="en-US"/>
        </w:rPr>
        <w:t>; Fuerst et al., 2017</w:t>
      </w:r>
      <w:r w:rsidR="007F1022">
        <w:rPr>
          <w:lang w:val="en-US"/>
        </w:rPr>
        <w:t xml:space="preserve">; </w:t>
      </w:r>
      <w:r w:rsidR="007F1022">
        <w:rPr>
          <w:lang w:val="en-US"/>
        </w:rPr>
        <w:lastRenderedPageBreak/>
        <w:t>Miller et al., 2008;</w:t>
      </w:r>
      <w:r w:rsidR="007F1022" w:rsidRPr="003B0045">
        <w:rPr>
          <w:lang w:val="en-US"/>
        </w:rPr>
        <w:t xml:space="preserve"> </w:t>
      </w:r>
      <w:r w:rsidR="004860BE" w:rsidRPr="003B0045">
        <w:rPr>
          <w:lang w:val="en-US"/>
        </w:rPr>
        <w:t xml:space="preserve">Pivo </w:t>
      </w:r>
      <w:r w:rsidR="007F1022">
        <w:rPr>
          <w:lang w:val="en-US"/>
        </w:rPr>
        <w:t>&amp;</w:t>
      </w:r>
      <w:r w:rsidR="007F1022" w:rsidRPr="003B0045">
        <w:rPr>
          <w:lang w:val="en-US"/>
        </w:rPr>
        <w:t xml:space="preserve"> </w:t>
      </w:r>
      <w:r w:rsidR="004860BE" w:rsidRPr="003B0045">
        <w:rPr>
          <w:lang w:val="en-US"/>
        </w:rPr>
        <w:t xml:space="preserve">Fisher, 2010; Reichardt, 2014; </w:t>
      </w:r>
      <w:r w:rsidR="007F1022" w:rsidRPr="003B0045">
        <w:rPr>
          <w:lang w:val="en-US"/>
        </w:rPr>
        <w:t xml:space="preserve">Reichardt et al., 2012; Robinson &amp; Sanderford, 2016; </w:t>
      </w:r>
      <w:r w:rsidR="004860BE" w:rsidRPr="003B0045">
        <w:rPr>
          <w:lang w:val="en-US"/>
        </w:rPr>
        <w:t>Surman et al.</w:t>
      </w:r>
      <w:r w:rsidR="007F1022">
        <w:rPr>
          <w:lang w:val="en-US"/>
        </w:rPr>
        <w:t>,</w:t>
      </w:r>
      <w:r w:rsidR="004860BE" w:rsidRPr="003B0045">
        <w:rPr>
          <w:lang w:val="en-US"/>
        </w:rPr>
        <w:t xml:space="preserve"> 2015; </w:t>
      </w:r>
      <w:r w:rsidR="007F1022" w:rsidRPr="003B0045">
        <w:rPr>
          <w:lang w:val="en-US"/>
        </w:rPr>
        <w:t>Wiley et al</w:t>
      </w:r>
      <w:r w:rsidR="007F1022">
        <w:rPr>
          <w:lang w:val="en-US"/>
        </w:rPr>
        <w:t>., 2010</w:t>
      </w:r>
      <w:r w:rsidR="004860BE" w:rsidRPr="003B0045">
        <w:rPr>
          <w:lang w:val="en-US"/>
        </w:rPr>
        <w:t>)</w:t>
      </w:r>
      <w:r w:rsidR="00AB3963">
        <w:rPr>
          <w:lang w:val="en-US"/>
        </w:rPr>
        <w:t>. There have also been</w:t>
      </w:r>
      <w:r w:rsidR="004860BE" w:rsidRPr="003B0045">
        <w:rPr>
          <w:lang w:val="en-US"/>
        </w:rPr>
        <w:t xml:space="preserve"> several studies of the Australian market </w:t>
      </w:r>
      <w:r w:rsidR="00AB3963">
        <w:rPr>
          <w:lang w:val="en-US"/>
        </w:rPr>
        <w:t>(</w:t>
      </w:r>
      <w:r w:rsidR="004860BE" w:rsidRPr="003B0045">
        <w:rPr>
          <w:lang w:val="en-US"/>
        </w:rPr>
        <w:t xml:space="preserve">see </w:t>
      </w:r>
      <w:r w:rsidR="00AB3963" w:rsidRPr="003B0045">
        <w:rPr>
          <w:lang w:val="en-US"/>
        </w:rPr>
        <w:t>Gabe and Rehm</w:t>
      </w:r>
      <w:r w:rsidR="00AB3963">
        <w:rPr>
          <w:lang w:val="en-US"/>
        </w:rPr>
        <w:t>,</w:t>
      </w:r>
      <w:r w:rsidR="00AB3963" w:rsidRPr="003B0045">
        <w:rPr>
          <w:lang w:val="en-US"/>
        </w:rPr>
        <w:t xml:space="preserve"> 2014</w:t>
      </w:r>
      <w:r w:rsidR="00AB3963">
        <w:rPr>
          <w:lang w:val="en-US"/>
        </w:rPr>
        <w:t xml:space="preserve">; </w:t>
      </w:r>
      <w:r w:rsidR="004860BE" w:rsidRPr="003B0045">
        <w:rPr>
          <w:lang w:val="en-US"/>
        </w:rPr>
        <w:t>Newell et al.</w:t>
      </w:r>
      <w:r w:rsidR="00AB3963">
        <w:rPr>
          <w:lang w:val="en-US"/>
        </w:rPr>
        <w:t>,</w:t>
      </w:r>
      <w:r w:rsidR="004860BE" w:rsidRPr="003B0045">
        <w:rPr>
          <w:lang w:val="en-US"/>
        </w:rPr>
        <w:t xml:space="preserve"> 2011</w:t>
      </w:r>
      <w:r w:rsidR="00AB3963">
        <w:rPr>
          <w:lang w:val="en-US"/>
        </w:rPr>
        <w:t>)</w:t>
      </w:r>
      <w:r w:rsidR="004860BE" w:rsidRPr="003B0045">
        <w:rPr>
          <w:lang w:val="en-US"/>
        </w:rPr>
        <w:t xml:space="preserve">. </w:t>
      </w:r>
      <w:r w:rsidRPr="00207D33">
        <w:rPr>
          <w:lang w:val="en-US"/>
        </w:rPr>
        <w:t xml:space="preserve">This has resulted in </w:t>
      </w:r>
      <w:r w:rsidR="004860BE">
        <w:rPr>
          <w:lang w:val="en-US"/>
        </w:rPr>
        <w:t>an increased</w:t>
      </w:r>
      <w:r w:rsidR="004860BE" w:rsidRPr="00207D33">
        <w:rPr>
          <w:lang w:val="en-US"/>
        </w:rPr>
        <w:t xml:space="preserve"> </w:t>
      </w:r>
      <w:r w:rsidRPr="00207D33">
        <w:rPr>
          <w:lang w:val="en-US"/>
        </w:rPr>
        <w:t xml:space="preserve">focus by investors </w:t>
      </w:r>
      <w:r w:rsidR="00AB3963">
        <w:rPr>
          <w:lang w:val="en-US"/>
        </w:rPr>
        <w:t>on</w:t>
      </w:r>
      <w:r w:rsidRPr="00207D33">
        <w:rPr>
          <w:lang w:val="en-US"/>
        </w:rPr>
        <w:t xml:space="preserve"> </w:t>
      </w:r>
      <w:r w:rsidR="004860BE">
        <w:rPr>
          <w:lang w:val="en-US"/>
        </w:rPr>
        <w:t>the</w:t>
      </w:r>
      <w:r w:rsidRPr="00207D33">
        <w:rPr>
          <w:lang w:val="en-US"/>
        </w:rPr>
        <w:t xml:space="preserve"> development of more </w:t>
      </w:r>
      <w:r w:rsidR="00AB3963">
        <w:rPr>
          <w:lang w:val="en-US"/>
        </w:rPr>
        <w:t>energy-</w:t>
      </w:r>
      <w:r w:rsidRPr="00207D33">
        <w:rPr>
          <w:lang w:val="en-US"/>
        </w:rPr>
        <w:t>efficient buildings</w:t>
      </w:r>
      <w:r w:rsidR="004860BE">
        <w:rPr>
          <w:lang w:val="en-US"/>
        </w:rPr>
        <w:t>. A</w:t>
      </w:r>
      <w:r>
        <w:rPr>
          <w:lang w:val="en-US"/>
        </w:rPr>
        <w:t>s a result</w:t>
      </w:r>
      <w:r w:rsidR="00391747">
        <w:rPr>
          <w:lang w:val="en-US"/>
        </w:rPr>
        <w:t>,</w:t>
      </w:r>
      <w:r>
        <w:rPr>
          <w:lang w:val="en-US"/>
        </w:rPr>
        <w:t xml:space="preserve"> </w:t>
      </w:r>
      <w:r w:rsidRPr="00207D33">
        <w:rPr>
          <w:lang w:val="en-US"/>
        </w:rPr>
        <w:t>over the last decade</w:t>
      </w:r>
      <w:r w:rsidR="00391747">
        <w:rPr>
          <w:lang w:val="en-US"/>
        </w:rPr>
        <w:t>,</w:t>
      </w:r>
      <w:r w:rsidRPr="00207D33">
        <w:rPr>
          <w:lang w:val="en-US"/>
        </w:rPr>
        <w:t xml:space="preserve"> the number of green buildings </w:t>
      </w:r>
      <w:r>
        <w:rPr>
          <w:lang w:val="en-US"/>
        </w:rPr>
        <w:t>has</w:t>
      </w:r>
      <w:r w:rsidRPr="00207D33">
        <w:rPr>
          <w:lang w:val="en-US"/>
        </w:rPr>
        <w:t xml:space="preserve"> </w:t>
      </w:r>
      <w:r w:rsidR="00391747">
        <w:rPr>
          <w:lang w:val="en-US"/>
        </w:rPr>
        <w:t xml:space="preserve">increased </w:t>
      </w:r>
      <w:r w:rsidRPr="00207D33">
        <w:rPr>
          <w:lang w:val="en-US"/>
        </w:rPr>
        <w:t>exponentially</w:t>
      </w:r>
      <w:r w:rsidR="004860BE">
        <w:rPr>
          <w:lang w:val="en-US"/>
        </w:rPr>
        <w:t xml:space="preserve"> </w:t>
      </w:r>
      <w:r w:rsidR="006E4105">
        <w:rPr>
          <w:lang w:val="en-US"/>
        </w:rPr>
        <w:t>globally</w:t>
      </w:r>
      <w:r w:rsidRPr="00207D33">
        <w:rPr>
          <w:lang w:val="en-US"/>
        </w:rPr>
        <w:t>. The identification of the relationship between sustainability and value has been a contributory factor to stakeholder engagement and investment in improving building sustainability</w:t>
      </w:r>
      <w:r w:rsidR="00391747">
        <w:rPr>
          <w:lang w:val="en-US"/>
        </w:rPr>
        <w:t>,</w:t>
      </w:r>
      <w:r w:rsidRPr="00207D33">
        <w:rPr>
          <w:lang w:val="en-US"/>
        </w:rPr>
        <w:t xml:space="preserve"> as surmised by Lutzkendorf and Lorenz (2008) and Warren-Myers (2010). </w:t>
      </w:r>
    </w:p>
    <w:p w14:paraId="36DFA65D" w14:textId="77777777" w:rsidR="0042325E" w:rsidRDefault="0042325E" w:rsidP="00D26F46"/>
    <w:p w14:paraId="78BAFF5E" w14:textId="5184816B" w:rsidR="0042325E" w:rsidRDefault="00A65808" w:rsidP="00D26F46">
      <w:r>
        <w:t>C</w:t>
      </w:r>
      <w:r w:rsidR="0042325E" w:rsidRPr="00207D33">
        <w:t>ompar</w:t>
      </w:r>
      <w:r>
        <w:t>ed</w:t>
      </w:r>
      <w:r w:rsidR="0042325E" w:rsidRPr="00207D33">
        <w:t xml:space="preserve"> </w:t>
      </w:r>
      <w:r w:rsidR="00391747">
        <w:t>with</w:t>
      </w:r>
      <w:r w:rsidR="0042325E" w:rsidRPr="00207D33">
        <w:t xml:space="preserve"> the proliferation of econometric studies relating to green rating</w:t>
      </w:r>
      <w:r>
        <w:t>s</w:t>
      </w:r>
      <w:r w:rsidR="0042325E" w:rsidRPr="00207D33">
        <w:t xml:space="preserve"> </w:t>
      </w:r>
      <w:r w:rsidR="0042325E">
        <w:t xml:space="preserve">and </w:t>
      </w:r>
      <w:r w:rsidR="0042325E" w:rsidRPr="00207D33">
        <w:t xml:space="preserve">financial benefits in the commercial sector, there is a significantly smaller </w:t>
      </w:r>
      <w:r w:rsidR="00DC24F3">
        <w:t>number</w:t>
      </w:r>
      <w:r w:rsidR="0042325E" w:rsidRPr="00207D33">
        <w:t xml:space="preserve"> of </w:t>
      </w:r>
      <w:r>
        <w:t xml:space="preserve">studies in the </w:t>
      </w:r>
      <w:r w:rsidR="0042325E" w:rsidRPr="00207D33">
        <w:t>residential</w:t>
      </w:r>
      <w:r>
        <w:t xml:space="preserve"> sector</w:t>
      </w:r>
      <w:r w:rsidR="0042325E">
        <w:t xml:space="preserve"> and even fewer studies </w:t>
      </w:r>
      <w:r>
        <w:t>focusing on</w:t>
      </w:r>
      <w:r w:rsidR="0042325E">
        <w:t xml:space="preserve"> the residential rental market. One of the earliest studies of </w:t>
      </w:r>
      <w:r w:rsidR="00391747">
        <w:t>EER</w:t>
      </w:r>
      <w:r w:rsidR="0042325E">
        <w:t xml:space="preserve">s and sales </w:t>
      </w:r>
      <w:r w:rsidR="00391747">
        <w:t xml:space="preserve">prices </w:t>
      </w:r>
      <w:r w:rsidR="0042325E">
        <w:t xml:space="preserve">in the residential sector was conducted </w:t>
      </w:r>
      <w:r w:rsidR="00391747">
        <w:t>in</w:t>
      </w:r>
      <w:r w:rsidR="0042325E">
        <w:t xml:space="preserve"> the Australian Capital Territory, </w:t>
      </w:r>
      <w:r w:rsidR="00391747">
        <w:t xml:space="preserve">and </w:t>
      </w:r>
      <w:r w:rsidR="0042325E">
        <w:t>consider</w:t>
      </w:r>
      <w:r w:rsidR="00391747">
        <w:t>ed</w:t>
      </w:r>
      <w:r w:rsidR="0042325E">
        <w:t xml:space="preserve"> a </w:t>
      </w:r>
      <w:r>
        <w:t>sample</w:t>
      </w:r>
      <w:r w:rsidR="0042325E">
        <w:t xml:space="preserve"> of sales </w:t>
      </w:r>
      <w:r>
        <w:t>of properties with an EER in</w:t>
      </w:r>
      <w:r w:rsidR="0042325E">
        <w:t xml:space="preserve"> 2005 (n</w:t>
      </w:r>
      <w:r w:rsidR="007F1022">
        <w:t xml:space="preserve"> </w:t>
      </w:r>
      <w:r w:rsidR="0042325E">
        <w:t>= 2</w:t>
      </w:r>
      <w:r w:rsidR="008D741A">
        <w:t>,</w:t>
      </w:r>
      <w:r w:rsidR="0042325E">
        <w:t>385) and 2006 (n = 2</w:t>
      </w:r>
      <w:r w:rsidR="008D741A">
        <w:t>,</w:t>
      </w:r>
      <w:r w:rsidR="0042325E">
        <w:t xml:space="preserve">719). </w:t>
      </w:r>
      <w:r w:rsidR="00DC24F3">
        <w:t>Relevant</w:t>
      </w:r>
      <w:r w:rsidR="0042325E">
        <w:t xml:space="preserve"> property records </w:t>
      </w:r>
      <w:r w:rsidR="00DC24F3">
        <w:t xml:space="preserve">were </w:t>
      </w:r>
      <w:r w:rsidR="0042325E">
        <w:t xml:space="preserve">identified through analysis of building certificates held in Canberra, </w:t>
      </w:r>
      <w:r w:rsidR="00DC24F3">
        <w:t xml:space="preserve">and </w:t>
      </w:r>
      <w:r w:rsidR="0042325E">
        <w:t>comprised the EER and extensive building information (Australian Bureau of Statistics, 2008). Th</w:t>
      </w:r>
      <w:r>
        <w:t>e</w:t>
      </w:r>
      <w:r w:rsidR="0042325E">
        <w:t xml:space="preserve"> study us</w:t>
      </w:r>
      <w:r w:rsidR="00DC24F3">
        <w:t>ed</w:t>
      </w:r>
      <w:r w:rsidR="0042325E">
        <w:t xml:space="preserve"> standard hedonic modelling </w:t>
      </w:r>
      <w:r w:rsidR="00DC24F3">
        <w:t xml:space="preserve">to </w:t>
      </w:r>
      <w:r w:rsidR="0042325E">
        <w:t>identif</w:t>
      </w:r>
      <w:r w:rsidR="00DC24F3">
        <w:t>y</w:t>
      </w:r>
      <w:r w:rsidR="0042325E">
        <w:t xml:space="preserve"> a price premium of 1% </w:t>
      </w:r>
      <w:r w:rsidR="00DC24F3">
        <w:t xml:space="preserve">in </w:t>
      </w:r>
      <w:r w:rsidR="0042325E">
        <w:t xml:space="preserve">2005 and 2% </w:t>
      </w:r>
      <w:r w:rsidR="00DC24F3">
        <w:t xml:space="preserve">in </w:t>
      </w:r>
      <w:r w:rsidR="0042325E">
        <w:t>2006 for each half</w:t>
      </w:r>
      <w:r w:rsidR="00DC24F3">
        <w:t>-</w:t>
      </w:r>
      <w:r w:rsidR="0042325E">
        <w:t xml:space="preserve">star increase in the EER. </w:t>
      </w:r>
      <w:r w:rsidR="00A06807">
        <w:t>Th</w:t>
      </w:r>
      <w:r w:rsidR="00DC24F3">
        <w:t>e</w:t>
      </w:r>
      <w:r w:rsidR="00A06807">
        <w:t xml:space="preserve"> study only examined building</w:t>
      </w:r>
      <w:r w:rsidR="00DC24F3">
        <w:t>s</w:t>
      </w:r>
      <w:r w:rsidR="00A06807">
        <w:t xml:space="preserve"> </w:t>
      </w:r>
      <w:r w:rsidR="00DC24F3">
        <w:t>constructed</w:t>
      </w:r>
      <w:r w:rsidR="00A06807">
        <w:t xml:space="preserve"> prior to 1995 that had a </w:t>
      </w:r>
      <w:r w:rsidR="0079625B">
        <w:t>zero- to six-</w:t>
      </w:r>
      <w:r w:rsidR="00A06807">
        <w:t xml:space="preserve">star rating. </w:t>
      </w:r>
      <w:r w:rsidR="0042325E">
        <w:t xml:space="preserve">Although the study was rigorous in </w:t>
      </w:r>
      <w:r w:rsidR="00DC24F3">
        <w:t xml:space="preserve">terms of </w:t>
      </w:r>
      <w:r w:rsidR="0042325E">
        <w:t xml:space="preserve">the number of control variables relating to building features and location, the </w:t>
      </w:r>
      <w:r w:rsidR="00DC24F3">
        <w:t>sample</w:t>
      </w:r>
      <w:r w:rsidR="0042325E">
        <w:t xml:space="preserve"> did not </w:t>
      </w:r>
      <w:r w:rsidR="00DC24F3">
        <w:t>include</w:t>
      </w:r>
      <w:r w:rsidR="0042325E">
        <w:t xml:space="preserve"> all the buildings </w:t>
      </w:r>
      <w:r w:rsidR="00DC24F3">
        <w:t xml:space="preserve">that were </w:t>
      </w:r>
      <w:r w:rsidR="0042325E">
        <w:t>sold</w:t>
      </w:r>
      <w:r w:rsidR="00DC24F3">
        <w:t xml:space="preserve"> during </w:t>
      </w:r>
      <w:r w:rsidR="0042325E">
        <w:t>th</w:t>
      </w:r>
      <w:r>
        <w:t>e</w:t>
      </w:r>
      <w:r w:rsidR="0042325E">
        <w:t xml:space="preserve"> time</w:t>
      </w:r>
      <w:r w:rsidR="00DC24F3">
        <w:t xml:space="preserve"> </w:t>
      </w:r>
      <w:r w:rsidR="0042325E">
        <w:t>frame</w:t>
      </w:r>
      <w:r>
        <w:t xml:space="preserve"> examined</w:t>
      </w:r>
      <w:r w:rsidR="0042325E">
        <w:t xml:space="preserve">. Subsequent residential </w:t>
      </w:r>
      <w:r w:rsidR="00DC24F3">
        <w:t xml:space="preserve">property </w:t>
      </w:r>
      <w:r w:rsidR="0042325E">
        <w:t>studies have mostly focused on sales in Singapore (Deng et al.</w:t>
      </w:r>
      <w:r w:rsidR="007F1022">
        <w:t>,</w:t>
      </w:r>
      <w:r w:rsidR="0042325E">
        <w:t xml:space="preserve"> 2012)</w:t>
      </w:r>
      <w:r w:rsidR="00DC24F3">
        <w:t>,</w:t>
      </w:r>
      <w:r w:rsidR="0042325E">
        <w:t xml:space="preserve"> Tokyo (Fuerst </w:t>
      </w:r>
      <w:r w:rsidR="007F1022">
        <w:t xml:space="preserve">&amp; </w:t>
      </w:r>
      <w:r w:rsidR="0042325E">
        <w:t>Shimizu, 2016)</w:t>
      </w:r>
      <w:r w:rsidR="00DC24F3">
        <w:t>, the</w:t>
      </w:r>
      <w:r w:rsidR="0042325E">
        <w:t xml:space="preserve"> Netherlands (Brou</w:t>
      </w:r>
      <w:r w:rsidR="00AA1AE6">
        <w:t>n</w:t>
      </w:r>
      <w:r w:rsidR="0042325E">
        <w:t xml:space="preserve">en </w:t>
      </w:r>
      <w:r w:rsidR="007F1022">
        <w:t xml:space="preserve">&amp; </w:t>
      </w:r>
      <w:r w:rsidR="0042325E">
        <w:t>Kok, 2011)</w:t>
      </w:r>
      <w:r w:rsidR="00DC24F3">
        <w:t>,</w:t>
      </w:r>
      <w:r w:rsidR="0042325E">
        <w:t xml:space="preserve"> Ireland (Hyland et al., 2013)</w:t>
      </w:r>
      <w:r w:rsidR="00DC24F3">
        <w:t>, the</w:t>
      </w:r>
      <w:r w:rsidR="0042325E">
        <w:t xml:space="preserve"> United Kingdom (Fuerst et al., 2015)</w:t>
      </w:r>
      <w:r w:rsidR="00D95046">
        <w:t>,</w:t>
      </w:r>
      <w:r w:rsidR="0042325E">
        <w:t xml:space="preserve"> Texas (Aroul </w:t>
      </w:r>
      <w:r w:rsidR="007F1022">
        <w:t xml:space="preserve">&amp; </w:t>
      </w:r>
      <w:r w:rsidR="0042325E">
        <w:t>Hansz, 2012) and California (</w:t>
      </w:r>
      <w:r w:rsidR="00B538E9">
        <w:t>Kahn &amp; Kok</w:t>
      </w:r>
      <w:r w:rsidR="0042325E">
        <w:t>, 201</w:t>
      </w:r>
      <w:r w:rsidR="00B538E9">
        <w:t>4</w:t>
      </w:r>
      <w:r w:rsidR="0042325E">
        <w:t>).</w:t>
      </w:r>
      <w:r w:rsidR="0079625B">
        <w:t xml:space="preserve"> </w:t>
      </w:r>
    </w:p>
    <w:p w14:paraId="76CA2ADC" w14:textId="77777777" w:rsidR="004A1FB6" w:rsidRDefault="004A1FB6" w:rsidP="00D26F46"/>
    <w:p w14:paraId="38E3A246" w14:textId="31786032" w:rsidR="0042325E" w:rsidRDefault="0042325E" w:rsidP="00D26F46">
      <w:r w:rsidRPr="00AF7569">
        <w:t>Studies that have considered rental markets</w:t>
      </w:r>
      <w:r>
        <w:t xml:space="preserve"> </w:t>
      </w:r>
      <w:r w:rsidR="00D95046" w:rsidRPr="00AF7569">
        <w:t xml:space="preserve">(usually in </w:t>
      </w:r>
      <w:r w:rsidR="00D95046">
        <w:t>addition to</w:t>
      </w:r>
      <w:r w:rsidR="00D95046" w:rsidRPr="00AF7569">
        <w:t xml:space="preserve"> sales)</w:t>
      </w:r>
      <w:r w:rsidR="00D95046">
        <w:t xml:space="preserve"> </w:t>
      </w:r>
      <w:r>
        <w:t>have focused on European countries or cities</w:t>
      </w:r>
      <w:r w:rsidR="00D95046">
        <w:t>,</w:t>
      </w:r>
      <w:r w:rsidRPr="00AF7569">
        <w:t xml:space="preserve"> </w:t>
      </w:r>
      <w:r>
        <w:t xml:space="preserve">and </w:t>
      </w:r>
      <w:r w:rsidRPr="00AF7569">
        <w:t xml:space="preserve">include a study of European cities and </w:t>
      </w:r>
      <w:r w:rsidR="00A65808">
        <w:t>EPC</w:t>
      </w:r>
      <w:r w:rsidRPr="00AF7569">
        <w:t>s (Bio Intelligence Service et al., 2013)</w:t>
      </w:r>
      <w:r w:rsidR="00D95046">
        <w:t>,</w:t>
      </w:r>
      <w:r w:rsidRPr="00AF7569">
        <w:t xml:space="preserve"> the German residential market (Cajias </w:t>
      </w:r>
      <w:r w:rsidR="007F1022">
        <w:t>&amp;</w:t>
      </w:r>
      <w:r w:rsidR="007F1022" w:rsidRPr="00AF7569">
        <w:t xml:space="preserve"> </w:t>
      </w:r>
      <w:r w:rsidRPr="00AF7569">
        <w:t>Piazolo, 2013)</w:t>
      </w:r>
      <w:r w:rsidR="00D95046">
        <w:t>,</w:t>
      </w:r>
      <w:r w:rsidRPr="00AF7569">
        <w:t xml:space="preserve"> </w:t>
      </w:r>
      <w:r w:rsidR="006E4105">
        <w:t xml:space="preserve">the </w:t>
      </w:r>
      <w:r w:rsidRPr="00AF7569">
        <w:t>Ir</w:t>
      </w:r>
      <w:r w:rsidR="00D95046">
        <w:t>ish</w:t>
      </w:r>
      <w:r w:rsidRPr="00AF7569">
        <w:t xml:space="preserve"> housing market (Hyland et al., 2013) and the Swiss </w:t>
      </w:r>
      <w:r>
        <w:t xml:space="preserve">rental </w:t>
      </w:r>
      <w:r w:rsidRPr="00AF7569">
        <w:t>market (</w:t>
      </w:r>
      <w:r w:rsidR="000C67E0">
        <w:t>Feige</w:t>
      </w:r>
      <w:r w:rsidRPr="00AF7569">
        <w:t xml:space="preserve"> et al., 2013). Similar to the residential sales studies and the commercial studies that incorporate</w:t>
      </w:r>
      <w:r w:rsidR="00A65808">
        <w:t>d</w:t>
      </w:r>
      <w:r w:rsidRPr="00AF7569">
        <w:t xml:space="preserve"> rentals, premiums were identified for </w:t>
      </w:r>
      <w:r w:rsidR="00A65808">
        <w:t>higher-</w:t>
      </w:r>
      <w:r w:rsidRPr="00AF7569">
        <w:t xml:space="preserve">rated properties. However, disclosure bias, </w:t>
      </w:r>
      <w:r w:rsidR="00C24C2E">
        <w:t xml:space="preserve">the </w:t>
      </w:r>
      <w:r w:rsidRPr="00AF7569">
        <w:t xml:space="preserve">number of sales with disclosed ratings and </w:t>
      </w:r>
      <w:r w:rsidR="00C24C2E">
        <w:t xml:space="preserve">the </w:t>
      </w:r>
      <w:r w:rsidRPr="00AF7569">
        <w:t xml:space="preserve">stability of the markets at the time the studies were undertaken place some limitations on the inferences that can be ascribed to </w:t>
      </w:r>
      <w:r w:rsidRPr="00D26F46">
        <w:t>these studies.</w:t>
      </w:r>
      <w:r w:rsidR="0079625B">
        <w:t xml:space="preserve">  </w:t>
      </w:r>
    </w:p>
    <w:p w14:paraId="463E2B6D" w14:textId="77777777" w:rsidR="00F11346" w:rsidRDefault="00F11346" w:rsidP="00D26F46"/>
    <w:p w14:paraId="7FEA0015" w14:textId="3D1185A5" w:rsidR="0042325E" w:rsidRDefault="00F11346" w:rsidP="00D26F46">
      <w:r>
        <w:t xml:space="preserve">Across the European Union and </w:t>
      </w:r>
      <w:r w:rsidR="00C24C2E">
        <w:t xml:space="preserve">the </w:t>
      </w:r>
      <w:r>
        <w:t xml:space="preserve">United Kingdom, various countries have taken slightly different approaches to </w:t>
      </w:r>
      <w:r w:rsidR="007D58DB">
        <w:t xml:space="preserve">the </w:t>
      </w:r>
      <w:r>
        <w:t>disclosure of EPC</w:t>
      </w:r>
      <w:r w:rsidR="00C24C2E">
        <w:t xml:space="preserve"> ratings</w:t>
      </w:r>
      <w:r>
        <w:t xml:space="preserve"> and </w:t>
      </w:r>
      <w:r w:rsidR="007D58DB">
        <w:t xml:space="preserve">the </w:t>
      </w:r>
      <w:r>
        <w:t>timing of requirements. Consequently, this has had flow</w:t>
      </w:r>
      <w:r w:rsidR="00C24C2E">
        <w:t>-</w:t>
      </w:r>
      <w:r>
        <w:t xml:space="preserve">on effects </w:t>
      </w:r>
      <w:r w:rsidR="00C24C2E">
        <w:t>on</w:t>
      </w:r>
      <w:r>
        <w:t xml:space="preserve"> the analysis of the different markets and the implications of disclosure on market dynamics and premiums for higher</w:t>
      </w:r>
      <w:r w:rsidR="00C24C2E">
        <w:t>-</w:t>
      </w:r>
      <w:r>
        <w:t>rated properties. These issues were highlighted in t</w:t>
      </w:r>
      <w:r w:rsidR="0042325E" w:rsidRPr="00D26F46">
        <w:t>he study by Bio Intelligence Services et al. (2013)</w:t>
      </w:r>
      <w:r w:rsidR="00C24C2E">
        <w:t>,</w:t>
      </w:r>
      <w:r w:rsidR="0042325E" w:rsidRPr="00D26F46">
        <w:t xml:space="preserve"> </w:t>
      </w:r>
      <w:r>
        <w:t xml:space="preserve">which </w:t>
      </w:r>
      <w:r w:rsidR="0042325E" w:rsidRPr="00D26F46">
        <w:t xml:space="preserve">examined cities </w:t>
      </w:r>
      <w:r w:rsidR="00C24C2E">
        <w:t xml:space="preserve">in </w:t>
      </w:r>
      <w:r w:rsidR="0042325E" w:rsidRPr="00D26F46">
        <w:t xml:space="preserve">Austria, Belgium, France, Ireland and the United Kingdom. Only Austria, Belgium and Ireland had both sales and rental data. The findings of the study need to be examined in the context of the differences in the markets regarding disclosure and </w:t>
      </w:r>
      <w:r w:rsidR="006E4105">
        <w:t xml:space="preserve">the point in </w:t>
      </w:r>
      <w:r w:rsidR="0042325E" w:rsidRPr="00D26F46">
        <w:t>time</w:t>
      </w:r>
      <w:r w:rsidR="006E4105">
        <w:t xml:space="preserve"> </w:t>
      </w:r>
      <w:r w:rsidR="00C24C2E">
        <w:t>at which</w:t>
      </w:r>
      <w:r w:rsidR="0042325E" w:rsidRPr="00D26F46">
        <w:t xml:space="preserve"> mandatory disclosure </w:t>
      </w:r>
      <w:r w:rsidR="00C24C2E">
        <w:t>was</w:t>
      </w:r>
      <w:r w:rsidR="0042325E" w:rsidRPr="00D26F46">
        <w:t xml:space="preserve"> enforced, as there was some variability across count</w:t>
      </w:r>
      <w:r w:rsidR="006E4105">
        <w:t>r</w:t>
      </w:r>
      <w:r w:rsidR="0042325E" w:rsidRPr="00D26F46">
        <w:t>ies. Further</w:t>
      </w:r>
      <w:r w:rsidR="00C24C2E">
        <w:t>,</w:t>
      </w:r>
      <w:r w:rsidR="0042325E" w:rsidRPr="00D26F46">
        <w:t xml:space="preserve"> trust</w:t>
      </w:r>
      <w:r w:rsidR="00297876">
        <w:t xml:space="preserve"> in</w:t>
      </w:r>
      <w:r w:rsidR="0042325E" w:rsidRPr="00D26F46">
        <w:t xml:space="preserve"> and understanding of what the EPC actually means appeared to be limiting factor</w:t>
      </w:r>
      <w:r w:rsidR="00297876">
        <w:t>s</w:t>
      </w:r>
      <w:r w:rsidR="0042325E" w:rsidRPr="00D26F46">
        <w:t xml:space="preserve"> for the public in the </w:t>
      </w:r>
      <w:r w:rsidR="007A7920">
        <w:t>various</w:t>
      </w:r>
      <w:r w:rsidR="0042325E" w:rsidRPr="00D26F46">
        <w:t xml:space="preserve"> countries. The implications </w:t>
      </w:r>
      <w:r w:rsidR="00297876">
        <w:t>of</w:t>
      </w:r>
      <w:r w:rsidR="0042325E" w:rsidRPr="00D26F46">
        <w:t xml:space="preserve"> </w:t>
      </w:r>
      <w:r w:rsidR="007A7920">
        <w:t>price</w:t>
      </w:r>
      <w:r w:rsidR="0042325E" w:rsidRPr="00D26F46">
        <w:t xml:space="preserve"> premiums </w:t>
      </w:r>
      <w:r w:rsidR="007A7920">
        <w:t>have</w:t>
      </w:r>
      <w:r w:rsidR="0042325E" w:rsidRPr="00D26F46">
        <w:t xml:space="preserve"> not yet </w:t>
      </w:r>
      <w:r w:rsidR="007A7920">
        <w:t xml:space="preserve">been </w:t>
      </w:r>
      <w:r w:rsidR="0042325E" w:rsidRPr="00D26F46">
        <w:t xml:space="preserve">fully realised </w:t>
      </w:r>
      <w:r w:rsidR="00297876">
        <w:t>because of</w:t>
      </w:r>
      <w:r w:rsidR="0042325E" w:rsidRPr="00D26F46">
        <w:t xml:space="preserve"> variations in disclosure, </w:t>
      </w:r>
      <w:r w:rsidR="00297876">
        <w:t xml:space="preserve">the </w:t>
      </w:r>
      <w:r w:rsidR="0042325E" w:rsidRPr="00D26F46">
        <w:t xml:space="preserve">proportion of sales </w:t>
      </w:r>
      <w:r w:rsidR="00297876">
        <w:t xml:space="preserve">of properties </w:t>
      </w:r>
      <w:r w:rsidR="0042325E" w:rsidRPr="00D26F46">
        <w:t>with</w:t>
      </w:r>
      <w:r w:rsidR="00297876">
        <w:t xml:space="preserve"> an</w:t>
      </w:r>
      <w:r w:rsidR="0042325E" w:rsidRPr="00D26F46">
        <w:t xml:space="preserve"> EPC </w:t>
      </w:r>
      <w:r w:rsidR="007A7920">
        <w:t xml:space="preserve">rating </w:t>
      </w:r>
      <w:r w:rsidR="0042325E" w:rsidRPr="00D26F46">
        <w:t>and the stability and robustness of the market. Consequently, whil</w:t>
      </w:r>
      <w:r w:rsidR="00045A3A">
        <w:t>e</w:t>
      </w:r>
      <w:r w:rsidR="0042325E" w:rsidRPr="00D26F46">
        <w:t xml:space="preserve"> the study suggests there is a premium in rents and sale prices (with the exception of Oxford), the limitations </w:t>
      </w:r>
      <w:r w:rsidR="00297876">
        <w:t>of</w:t>
      </w:r>
      <w:r w:rsidR="0042325E" w:rsidRPr="00D26F46">
        <w:t xml:space="preserve"> the </w:t>
      </w:r>
      <w:r w:rsidR="00297876">
        <w:t>study</w:t>
      </w:r>
      <w:r w:rsidR="0042325E" w:rsidRPr="00D26F46">
        <w:t xml:space="preserve"> limit </w:t>
      </w:r>
      <w:r w:rsidR="00297876">
        <w:t>its</w:t>
      </w:r>
      <w:r w:rsidR="0042325E" w:rsidRPr="00D26F46">
        <w:t xml:space="preserve"> reliability</w:t>
      </w:r>
      <w:r w:rsidR="00297876">
        <w:t>.</w:t>
      </w:r>
      <w:r w:rsidR="0042325E" w:rsidRPr="00D26F46">
        <w:t xml:space="preserve"> </w:t>
      </w:r>
      <w:r w:rsidR="00297876">
        <w:t>It is</w:t>
      </w:r>
      <w:r w:rsidR="0042325E" w:rsidRPr="00D26F46">
        <w:t xml:space="preserve"> likely </w:t>
      </w:r>
      <w:r w:rsidR="00297876">
        <w:t xml:space="preserve">that </w:t>
      </w:r>
      <w:r w:rsidR="0042325E" w:rsidRPr="00D26F46">
        <w:t>the</w:t>
      </w:r>
      <w:r w:rsidR="00297876">
        <w:t xml:space="preserve"> study will be</w:t>
      </w:r>
      <w:r w:rsidR="0042325E" w:rsidRPr="00D26F46">
        <w:t xml:space="preserve"> repeated in the future when markets stabilise and </w:t>
      </w:r>
      <w:r w:rsidR="00A57AF5">
        <w:t xml:space="preserve">there is </w:t>
      </w:r>
      <w:r w:rsidR="0042325E" w:rsidRPr="00D26F46">
        <w:t>increased reporting of EPC</w:t>
      </w:r>
      <w:r w:rsidR="00297876">
        <w:t xml:space="preserve"> ratings</w:t>
      </w:r>
      <w:r w:rsidR="0042325E" w:rsidRPr="00D26F46">
        <w:t xml:space="preserve"> in market transactions. </w:t>
      </w:r>
    </w:p>
    <w:p w14:paraId="4DE5A8C5" w14:textId="77777777" w:rsidR="00F11346" w:rsidRDefault="00F11346" w:rsidP="00D26F46"/>
    <w:p w14:paraId="52372E42" w14:textId="2C386033" w:rsidR="00523C7A" w:rsidRDefault="00523C7A" w:rsidP="00523C7A">
      <w:r>
        <w:t>The effect of energy efficiency on residential rental</w:t>
      </w:r>
      <w:r w:rsidR="007A7920">
        <w:t xml:space="preserve"> price</w:t>
      </w:r>
      <w:r>
        <w:t xml:space="preserve">s and time on market was investigated by </w:t>
      </w:r>
      <w:r w:rsidRPr="00D26F46">
        <w:t>Cajias et al. (2017)</w:t>
      </w:r>
      <w:r>
        <w:t>,</w:t>
      </w:r>
      <w:r w:rsidRPr="00D26F46">
        <w:t xml:space="preserve"> </w:t>
      </w:r>
      <w:r>
        <w:t xml:space="preserve">who </w:t>
      </w:r>
      <w:r w:rsidRPr="00D26F46">
        <w:t>use</w:t>
      </w:r>
      <w:r>
        <w:t>d</w:t>
      </w:r>
      <w:r w:rsidRPr="00D26F46">
        <w:t xml:space="preserve"> a semiparametric hedonic model on a sample of 75</w:t>
      </w:r>
      <w:r w:rsidR="007A7920">
        <w:t>0,000</w:t>
      </w:r>
      <w:r w:rsidRPr="00D26F46">
        <w:t xml:space="preserve"> rental transactions in 403 local housing markets in Germany</w:t>
      </w:r>
      <w:r>
        <w:t xml:space="preserve">. They found </w:t>
      </w:r>
      <w:r w:rsidRPr="00D26F46">
        <w:t xml:space="preserve">that energy-efficient rental units are rented out more quickly and at a premium. Conversely, low energy efficiency is associated with lower rents and longer time on market. However, </w:t>
      </w:r>
      <w:r w:rsidR="00297876">
        <w:t xml:space="preserve">the </w:t>
      </w:r>
      <w:r w:rsidRPr="00D26F46">
        <w:t xml:space="preserve">pricing effect of energy efficiency </w:t>
      </w:r>
      <w:r w:rsidR="00297876">
        <w:t>is</w:t>
      </w:r>
      <w:r w:rsidRPr="00D26F46">
        <w:t xml:space="preserve"> much weaker when the analysis is narrowed to the largest metropolitan areas</w:t>
      </w:r>
      <w:r w:rsidR="00297876">
        <w:t>,</w:t>
      </w:r>
      <w:r w:rsidRPr="00D26F46">
        <w:t xml:space="preserve"> which the authors attribute to excess demand and low supply in these markets during the study period. </w:t>
      </w:r>
    </w:p>
    <w:p w14:paraId="29F67F82" w14:textId="77777777" w:rsidR="00523C7A" w:rsidRPr="00D26F46" w:rsidRDefault="00523C7A" w:rsidP="00523C7A"/>
    <w:p w14:paraId="5E32FF85" w14:textId="291CA051" w:rsidR="00F11346" w:rsidRPr="00D26F46" w:rsidRDefault="00FB364C" w:rsidP="00F11346">
      <w:r>
        <w:t>The effect of disclosure</w:t>
      </w:r>
      <w:r w:rsidR="00523C7A">
        <w:t xml:space="preserve">, identified in </w:t>
      </w:r>
      <w:r w:rsidR="00297876">
        <w:t xml:space="preserve">the study by </w:t>
      </w:r>
      <w:r w:rsidR="00523C7A">
        <w:t>Bio Intelligence Services et al. (2013)</w:t>
      </w:r>
      <w:r w:rsidR="00297876">
        <w:t>,</w:t>
      </w:r>
      <w:r w:rsidR="00F11346">
        <w:t xml:space="preserve"> was further highlighted by Hyland et al. (2013</w:t>
      </w:r>
      <w:r w:rsidR="00A57AF5">
        <w:t>).</w:t>
      </w:r>
      <w:r w:rsidR="00F11346">
        <w:t xml:space="preserve"> </w:t>
      </w:r>
      <w:r w:rsidR="0018203D">
        <w:t xml:space="preserve">Their study </w:t>
      </w:r>
      <w:r w:rsidR="00F11346" w:rsidRPr="00D26F46">
        <w:t>examined the</w:t>
      </w:r>
      <w:r w:rsidR="0018203D">
        <w:t xml:space="preserve"> Irish</w:t>
      </w:r>
      <w:r w:rsidR="00F11346" w:rsidRPr="00D26F46">
        <w:t xml:space="preserve"> Building Energy Rating (BER)</w:t>
      </w:r>
      <w:r w:rsidR="00F11346">
        <w:t xml:space="preserve"> certificate, wh</w:t>
      </w:r>
      <w:r w:rsidR="0018203D">
        <w:t>ich mandate</w:t>
      </w:r>
      <w:r w:rsidR="00297876">
        <w:t>d</w:t>
      </w:r>
      <w:r w:rsidR="0018203D">
        <w:t xml:space="preserve"> that</w:t>
      </w:r>
      <w:r w:rsidR="00F11346" w:rsidRPr="00D26F46">
        <w:t xml:space="preserve"> </w:t>
      </w:r>
      <w:r w:rsidR="00F11346">
        <w:t>a</w:t>
      </w:r>
      <w:r w:rsidR="00F11346" w:rsidRPr="00D26F46">
        <w:t xml:space="preserve">ll new buildings </w:t>
      </w:r>
      <w:r>
        <w:t xml:space="preserve">from 2007 onwards </w:t>
      </w:r>
      <w:r w:rsidR="00F11346" w:rsidRPr="00D26F46">
        <w:t>and all existing homes offered for sale or rental</w:t>
      </w:r>
      <w:r>
        <w:t xml:space="preserve"> from 2009</w:t>
      </w:r>
      <w:r w:rsidR="00297876">
        <w:t xml:space="preserve"> onwards had to be rated</w:t>
      </w:r>
      <w:r w:rsidR="00F11346">
        <w:t>.</w:t>
      </w:r>
      <w:r w:rsidR="00F11346" w:rsidRPr="00D26F46">
        <w:t xml:space="preserve"> The </w:t>
      </w:r>
      <w:r w:rsidR="00297876">
        <w:t>study</w:t>
      </w:r>
      <w:r w:rsidR="00F11346" w:rsidRPr="00D26F46">
        <w:t xml:space="preserve"> found that increased energy efficiency had a positive effect on list</w:t>
      </w:r>
      <w:r w:rsidR="00531FF9">
        <w:t>ed</w:t>
      </w:r>
      <w:r w:rsidR="00F11346" w:rsidRPr="00D26F46">
        <w:t xml:space="preserve"> sales and rental prices</w:t>
      </w:r>
      <w:r w:rsidR="00F11346">
        <w:t xml:space="preserve">, </w:t>
      </w:r>
      <w:r w:rsidR="00A57AF5">
        <w:t>although</w:t>
      </w:r>
      <w:r w:rsidR="00F11346">
        <w:t xml:space="preserve"> the </w:t>
      </w:r>
      <w:r w:rsidR="00F11346" w:rsidRPr="00D26F46">
        <w:t>actual transaction price</w:t>
      </w:r>
      <w:r w:rsidR="00531FF9">
        <w:t>s</w:t>
      </w:r>
      <w:r w:rsidR="00F11346">
        <w:t xml:space="preserve"> </w:t>
      </w:r>
      <w:r w:rsidR="00531FF9">
        <w:t>were</w:t>
      </w:r>
      <w:r w:rsidR="00F11346">
        <w:t xml:space="preserve"> not analysed</w:t>
      </w:r>
      <w:r w:rsidR="00F11346" w:rsidRPr="00D26F46">
        <w:t>.</w:t>
      </w:r>
      <w:r w:rsidR="00F11346">
        <w:t xml:space="preserve"> </w:t>
      </w:r>
      <w:r w:rsidR="00531FF9">
        <w:t>The</w:t>
      </w:r>
      <w:r w:rsidR="00A57AF5">
        <w:t xml:space="preserve"> study</w:t>
      </w:r>
      <w:r w:rsidR="00531FF9">
        <w:t xml:space="preserve"> also identified a</w:t>
      </w:r>
      <w:r w:rsidR="00A57AF5">
        <w:t xml:space="preserve"> </w:t>
      </w:r>
      <w:r w:rsidR="00F11346">
        <w:t xml:space="preserve">low level of </w:t>
      </w:r>
      <w:r w:rsidR="00531FF9">
        <w:t xml:space="preserve">BER </w:t>
      </w:r>
      <w:r w:rsidR="00F11346">
        <w:t>disclosure</w:t>
      </w:r>
      <w:r w:rsidR="00531FF9">
        <w:t>, w</w:t>
      </w:r>
      <w:r w:rsidR="00F11346">
        <w:t>here</w:t>
      </w:r>
      <w:r w:rsidR="00531FF9">
        <w:t>by</w:t>
      </w:r>
      <w:r w:rsidR="00F11346">
        <w:t xml:space="preserve"> only</w:t>
      </w:r>
      <w:r w:rsidR="00F11346" w:rsidRPr="00D26F46">
        <w:t xml:space="preserve"> 2.3% of all rental properties and 5% of all properties </w:t>
      </w:r>
      <w:r w:rsidR="00531FF9">
        <w:t xml:space="preserve">offered </w:t>
      </w:r>
      <w:r w:rsidR="00F11346" w:rsidRPr="00D26F46">
        <w:t>for sale</w:t>
      </w:r>
      <w:r w:rsidR="00F11346">
        <w:t xml:space="preserve"> were advertised with a BER</w:t>
      </w:r>
      <w:r w:rsidR="00F11346" w:rsidRPr="00D26F46">
        <w:t xml:space="preserve">. The researchers </w:t>
      </w:r>
      <w:r w:rsidR="00580649">
        <w:t>corrected</w:t>
      </w:r>
      <w:r w:rsidR="00531FF9">
        <w:t xml:space="preserve"> </w:t>
      </w:r>
      <w:r w:rsidR="00F11346" w:rsidRPr="00D26F46">
        <w:t xml:space="preserve">for selection bias and </w:t>
      </w:r>
      <w:r w:rsidR="00531FF9">
        <w:t>found</w:t>
      </w:r>
      <w:r w:rsidR="00F11346" w:rsidRPr="00D26F46">
        <w:t xml:space="preserve"> that location affected the </w:t>
      </w:r>
      <w:r w:rsidR="007A7920">
        <w:t xml:space="preserve">vendors’ </w:t>
      </w:r>
      <w:r w:rsidR="00F11346" w:rsidRPr="00D26F46">
        <w:t xml:space="preserve">decision </w:t>
      </w:r>
      <w:r w:rsidR="00531FF9">
        <w:t xml:space="preserve">on whether </w:t>
      </w:r>
      <w:r w:rsidR="00F11346" w:rsidRPr="00D26F46">
        <w:t>to include the BER. Positive price effects were found for upper</w:t>
      </w:r>
      <w:r w:rsidR="00531FF9">
        <w:t>-</w:t>
      </w:r>
      <w:r w:rsidR="00F11346" w:rsidRPr="00D26F46">
        <w:t xml:space="preserve">level ratings and discounts </w:t>
      </w:r>
      <w:r w:rsidR="007A7920">
        <w:t xml:space="preserve">were evident </w:t>
      </w:r>
      <w:r w:rsidR="00F11346" w:rsidRPr="00D26F46">
        <w:t>for lower</w:t>
      </w:r>
      <w:r w:rsidR="00531FF9">
        <w:t>-</w:t>
      </w:r>
      <w:r w:rsidR="00F11346" w:rsidRPr="00D26F46">
        <w:t xml:space="preserve">level ratings in both rentals and sales, </w:t>
      </w:r>
      <w:r w:rsidR="00531FF9">
        <w:t>but interestingly, for</w:t>
      </w:r>
      <w:r w:rsidR="00F11346" w:rsidRPr="00D26F46">
        <w:t xml:space="preserve"> rentals</w:t>
      </w:r>
      <w:r w:rsidR="00531FF9">
        <w:t>,</w:t>
      </w:r>
      <w:r w:rsidR="00F11346" w:rsidRPr="00D26F46">
        <w:t xml:space="preserve"> the second</w:t>
      </w:r>
      <w:r w:rsidR="00531FF9">
        <w:t>-</w:t>
      </w:r>
      <w:r w:rsidR="00F11346" w:rsidRPr="00D26F46">
        <w:t xml:space="preserve">highest </w:t>
      </w:r>
      <w:r w:rsidR="00531FF9">
        <w:t xml:space="preserve">rating level </w:t>
      </w:r>
      <w:r w:rsidR="00F11346" w:rsidRPr="00D26F46">
        <w:t xml:space="preserve">(level B) </w:t>
      </w:r>
      <w:r w:rsidR="00531FF9">
        <w:t>yielded the highest rental premium</w:t>
      </w:r>
      <w:r w:rsidR="00F11346" w:rsidRPr="00D26F46">
        <w:t xml:space="preserve">. </w:t>
      </w:r>
    </w:p>
    <w:p w14:paraId="7E8863CE" w14:textId="5169D8A9" w:rsidR="00F11346" w:rsidRPr="00D26F46" w:rsidRDefault="00F11346" w:rsidP="00D26F46"/>
    <w:p w14:paraId="3394357D" w14:textId="71601552" w:rsidR="0042325E" w:rsidRPr="00D26F46" w:rsidRDefault="00523C7A" w:rsidP="00D26F46">
      <w:r>
        <w:t xml:space="preserve">In the absence of an actual rating system, </w:t>
      </w:r>
      <w:r w:rsidR="000C67E0">
        <w:t>Feige</w:t>
      </w:r>
      <w:r w:rsidR="0042325E" w:rsidRPr="00D26F46">
        <w:t xml:space="preserve"> et al</w:t>
      </w:r>
      <w:r w:rsidR="007F1022">
        <w:t>.</w:t>
      </w:r>
      <w:r w:rsidR="0042325E" w:rsidRPr="00D26F46">
        <w:t xml:space="preserve"> (2013) investigate</w:t>
      </w:r>
      <w:r>
        <w:t>d</w:t>
      </w:r>
      <w:r w:rsidR="0042325E" w:rsidRPr="00D26F46">
        <w:t xml:space="preserve"> the Swiss rental market </w:t>
      </w:r>
      <w:r w:rsidR="00531FF9">
        <w:t>using</w:t>
      </w:r>
      <w:r w:rsidR="0042325E" w:rsidRPr="00D26F46">
        <w:t xml:space="preserve"> a sample of 2</w:t>
      </w:r>
      <w:r w:rsidR="00E6365D">
        <w:t>,</w:t>
      </w:r>
      <w:r w:rsidR="0042325E" w:rsidRPr="00D26F46">
        <w:t>453 properties</w:t>
      </w:r>
      <w:r>
        <w:t xml:space="preserve">. They used </w:t>
      </w:r>
      <w:r w:rsidR="0042325E" w:rsidRPr="00D26F46">
        <w:t xml:space="preserve">a hedonic model </w:t>
      </w:r>
      <w:r>
        <w:t>and</w:t>
      </w:r>
      <w:r w:rsidR="0042325E" w:rsidRPr="00D26F46">
        <w:t xml:space="preserve"> constructed </w:t>
      </w:r>
      <w:r w:rsidR="00E1672E">
        <w:t xml:space="preserve">a </w:t>
      </w:r>
      <w:r w:rsidR="0042325E" w:rsidRPr="00D26F46">
        <w:t xml:space="preserve">sustainability metric rather than </w:t>
      </w:r>
      <w:r w:rsidR="00E1672E">
        <w:t>using a</w:t>
      </w:r>
      <w:r w:rsidR="00E1672E" w:rsidRPr="00D26F46">
        <w:t xml:space="preserve"> </w:t>
      </w:r>
      <w:r w:rsidR="0042325E" w:rsidRPr="00D26F46">
        <w:t>rating</w:t>
      </w:r>
      <w:r>
        <w:t>. This metric</w:t>
      </w:r>
      <w:r w:rsidR="0042325E" w:rsidRPr="00D26F46">
        <w:t xml:space="preserve"> was based on 36 ‘sustainable’ variables to estimate the effect</w:t>
      </w:r>
      <w:r w:rsidR="00531FF9">
        <w:t>s</w:t>
      </w:r>
      <w:r w:rsidR="0042325E" w:rsidRPr="00D26F46">
        <w:t xml:space="preserve"> of </w:t>
      </w:r>
      <w:r w:rsidR="00531FF9">
        <w:t>various</w:t>
      </w:r>
      <w:r w:rsidR="0042325E" w:rsidRPr="00D26F46">
        <w:t xml:space="preserve"> sustainability features on price. The</w:t>
      </w:r>
      <w:r w:rsidR="00531FF9">
        <w:t>y found</w:t>
      </w:r>
      <w:r w:rsidR="0042325E" w:rsidRPr="00D26F46">
        <w:t xml:space="preserve"> a positive price effect for sustainable housing characteristics, particularly those associated with water efficiency, the health and comfort level</w:t>
      </w:r>
      <w:r w:rsidR="00531FF9">
        <w:t>s</w:t>
      </w:r>
      <w:r w:rsidR="0042325E" w:rsidRPr="00D26F46">
        <w:t xml:space="preserve"> of occupants and building safety and security.</w:t>
      </w:r>
      <w:r>
        <w:t xml:space="preserve"> </w:t>
      </w:r>
      <w:r w:rsidR="00531FF9">
        <w:t>Thus,</w:t>
      </w:r>
      <w:r>
        <w:t xml:space="preserve"> in the absence of a rating system, housing consumers, in this case renters</w:t>
      </w:r>
      <w:r w:rsidR="00531FF9">
        <w:t>,</w:t>
      </w:r>
      <w:r>
        <w:t xml:space="preserve"> are making decisions based on sustainability features in dwelling</w:t>
      </w:r>
      <w:r w:rsidR="00531FF9">
        <w:t>s</w:t>
      </w:r>
      <w:r>
        <w:t xml:space="preserve"> </w:t>
      </w:r>
      <w:r w:rsidR="00531FF9">
        <w:t>where</w:t>
      </w:r>
      <w:r>
        <w:t xml:space="preserve"> no certification </w:t>
      </w:r>
      <w:r w:rsidR="00531FF9">
        <w:t xml:space="preserve">is </w:t>
      </w:r>
      <w:r>
        <w:t xml:space="preserve">evident. </w:t>
      </w:r>
    </w:p>
    <w:p w14:paraId="57D4DBA5" w14:textId="77777777" w:rsidR="0042325E" w:rsidRPr="00D26F46" w:rsidRDefault="0042325E" w:rsidP="00D26F46"/>
    <w:p w14:paraId="1BFB1D9D" w14:textId="08252DE2" w:rsidR="0042325E" w:rsidRDefault="0042325E" w:rsidP="00D26F46">
      <w:r w:rsidRPr="00D26F46">
        <w:t>T</w:t>
      </w:r>
      <w:r w:rsidR="007A7920">
        <w:t>here has been</w:t>
      </w:r>
      <w:r w:rsidR="007A7920" w:rsidRPr="00D26F46">
        <w:t xml:space="preserve"> limited research into market dynamics and value considerations </w:t>
      </w:r>
      <w:r w:rsidR="007A7920">
        <w:t>in t</w:t>
      </w:r>
      <w:r w:rsidRPr="00D26F46">
        <w:t xml:space="preserve">he Australian real estate market, </w:t>
      </w:r>
      <w:r w:rsidR="00531FF9">
        <w:t xml:space="preserve">which is </w:t>
      </w:r>
      <w:r w:rsidRPr="00D26F46">
        <w:t xml:space="preserve">often perceived as a leader in sustainability and governance in relation to buildings (van der Heijden, 2014), compared </w:t>
      </w:r>
      <w:r w:rsidR="006F5CC1">
        <w:t>with</w:t>
      </w:r>
      <w:r w:rsidRPr="00D26F46">
        <w:t xml:space="preserve"> the United States, </w:t>
      </w:r>
      <w:r w:rsidR="006F5CC1">
        <w:t xml:space="preserve">the </w:t>
      </w:r>
      <w:r w:rsidRPr="00D26F46">
        <w:t xml:space="preserve">United Kingdom and Europe. The lack of empirical studies in the Australian context has mostly been </w:t>
      </w:r>
      <w:r w:rsidR="006F5CC1">
        <w:t>the</w:t>
      </w:r>
      <w:r w:rsidRPr="00D26F46">
        <w:t xml:space="preserve"> result of </w:t>
      </w:r>
      <w:r w:rsidR="006F5CC1">
        <w:t xml:space="preserve">limited </w:t>
      </w:r>
      <w:r w:rsidRPr="00D26F46">
        <w:t>data access, reporting of ratings and transparency of ratings. Further, Australia</w:t>
      </w:r>
      <w:r w:rsidR="006F5CC1">
        <w:t xml:space="preserve"> lags behind</w:t>
      </w:r>
      <w:r w:rsidRPr="00D26F46">
        <w:t xml:space="preserve"> </w:t>
      </w:r>
      <w:r w:rsidR="006F5CC1">
        <w:t xml:space="preserve">other developed countries in terms of its </w:t>
      </w:r>
      <w:r w:rsidRPr="00D26F46">
        <w:t xml:space="preserve">approach to energy efficiency in </w:t>
      </w:r>
      <w:r w:rsidR="006F5CC1">
        <w:t>relation to</w:t>
      </w:r>
      <w:r w:rsidRPr="00D26F46">
        <w:t xml:space="preserve"> </w:t>
      </w:r>
      <w:r w:rsidR="007A7920">
        <w:t xml:space="preserve">both </w:t>
      </w:r>
      <w:r w:rsidRPr="00D26F46">
        <w:t xml:space="preserve">existing and new </w:t>
      </w:r>
      <w:r w:rsidR="006F5CC1">
        <w:t xml:space="preserve">residential </w:t>
      </w:r>
      <w:r w:rsidRPr="00D26F46">
        <w:t>buildings</w:t>
      </w:r>
      <w:r w:rsidRPr="00AF7569">
        <w:t>.</w:t>
      </w:r>
    </w:p>
    <w:p w14:paraId="6A0F5D51" w14:textId="77777777" w:rsidR="0042325E" w:rsidRDefault="0042325E" w:rsidP="00D26F46"/>
    <w:p w14:paraId="6A7BEEE0" w14:textId="703884FF" w:rsidR="0042325E" w:rsidRDefault="0042325E" w:rsidP="000A077F">
      <w:pPr>
        <w:pStyle w:val="Heading1"/>
      </w:pPr>
      <w:r>
        <w:t>Methodology</w:t>
      </w:r>
      <w:r w:rsidR="00523C7A">
        <w:t xml:space="preserve"> </w:t>
      </w:r>
    </w:p>
    <w:p w14:paraId="2F36ADFF" w14:textId="77777777" w:rsidR="00DC5DE3" w:rsidRPr="00DC5DE3" w:rsidRDefault="00DC5DE3" w:rsidP="00DC5DE3"/>
    <w:p w14:paraId="0F884EFA" w14:textId="754BB0C5" w:rsidR="00DC5DE3" w:rsidRPr="00B827A8" w:rsidRDefault="0018203D" w:rsidP="00B827A8">
      <w:pPr>
        <w:contextualSpacing/>
        <w:rPr>
          <w:rFonts w:cs="Times New Roman"/>
        </w:rPr>
      </w:pPr>
      <w:r>
        <w:rPr>
          <w:rFonts w:cs="Times New Roman"/>
        </w:rPr>
        <w:t xml:space="preserve">The </w:t>
      </w:r>
      <w:r w:rsidR="00550CBD">
        <w:rPr>
          <w:rFonts w:cs="Times New Roman"/>
        </w:rPr>
        <w:t xml:space="preserve">implicit prices of property attributes and the </w:t>
      </w:r>
      <w:r w:rsidR="007A7920">
        <w:rPr>
          <w:rFonts w:cs="Times New Roman"/>
        </w:rPr>
        <w:t>effect</w:t>
      </w:r>
      <w:r>
        <w:rPr>
          <w:rFonts w:cs="Times New Roman"/>
        </w:rPr>
        <w:t xml:space="preserve"> of EER</w:t>
      </w:r>
      <w:r w:rsidR="00550CBD">
        <w:rPr>
          <w:rFonts w:cs="Times New Roman"/>
        </w:rPr>
        <w:t xml:space="preserve">s </w:t>
      </w:r>
      <w:r w:rsidR="007A7920">
        <w:rPr>
          <w:rFonts w:cs="Times New Roman"/>
        </w:rPr>
        <w:t>on</w:t>
      </w:r>
      <w:r w:rsidR="00550CBD">
        <w:rPr>
          <w:rFonts w:cs="Times New Roman"/>
        </w:rPr>
        <w:t xml:space="preserve"> </w:t>
      </w:r>
      <w:r w:rsidR="006F5CC1">
        <w:rPr>
          <w:rFonts w:cs="Times New Roman"/>
        </w:rPr>
        <w:t xml:space="preserve">sale </w:t>
      </w:r>
      <w:r w:rsidR="00550CBD">
        <w:rPr>
          <w:rFonts w:cs="Times New Roman"/>
        </w:rPr>
        <w:t xml:space="preserve">prices and rents can be </w:t>
      </w:r>
      <w:r w:rsidR="006F5CC1">
        <w:rPr>
          <w:rFonts w:cs="Times New Roman"/>
        </w:rPr>
        <w:t>found using</w:t>
      </w:r>
      <w:r>
        <w:rPr>
          <w:rFonts w:cs="Times New Roman"/>
        </w:rPr>
        <w:t xml:space="preserve"> a hedonic regression of the following functional form: </w:t>
      </w:r>
    </w:p>
    <w:p w14:paraId="7B4A7A39" w14:textId="77777777" w:rsidR="00DC5DE3" w:rsidRPr="00B827A8" w:rsidRDefault="00DC5DE3" w:rsidP="00B827A8">
      <w:pPr>
        <w:contextualSpacing/>
        <w:rPr>
          <w:rFonts w:cs="Times New Roman"/>
          <w:noProof/>
        </w:rPr>
      </w:pPr>
    </w:p>
    <w:p w14:paraId="733FDFC1" w14:textId="73C971B8" w:rsidR="00DC5DE3" w:rsidRPr="00B827A8" w:rsidRDefault="007B7F7D" w:rsidP="00B827A8">
      <w:pPr>
        <w:contextualSpacing/>
        <w:rPr>
          <w:rFonts w:cs="Times New Roman"/>
          <w:noProof/>
          <w:lang w:val="en-US"/>
        </w:rPr>
      </w:pPr>
      <m:oMath>
        <m:sSub>
          <m:sSubPr>
            <m:ctrlPr>
              <w:rPr>
                <w:rFonts w:ascii="Cambria Math" w:hAnsi="Cambria Math" w:cs="Times New Roman"/>
                <w:i/>
                <w:noProof/>
                <w:lang w:val="en-US"/>
              </w:rPr>
            </m:ctrlPr>
          </m:sSubPr>
          <m:e>
            <m:r>
              <w:rPr>
                <w:rFonts w:ascii="Cambria Math" w:hAnsi="Cambria Math" w:cs="Times New Roman"/>
                <w:noProof/>
                <w:lang w:val="en-US"/>
              </w:rPr>
              <m:t>P</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m:t>
            </m:r>
          </m:e>
          <m:sub>
            <m:r>
              <w:rPr>
                <w:rFonts w:ascii="Cambria Math" w:hAnsi="Cambria Math" w:cs="Times New Roman"/>
                <w:noProof/>
                <w:lang w:val="en-US"/>
              </w:rPr>
              <m:t>i</m:t>
            </m:r>
          </m:sub>
        </m:sSub>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j=1</m:t>
            </m:r>
          </m:sub>
          <m:sup>
            <m:r>
              <w:rPr>
                <w:rFonts w:ascii="Cambria Math" w:hAnsi="Cambria Math" w:cs="Times New Roman"/>
                <w:noProof/>
                <w:lang w:val="en-US"/>
              </w:rPr>
              <m:t>J</m:t>
            </m:r>
          </m:sup>
          <m:e>
            <m:sSub>
              <m:sSubPr>
                <m:ctrlPr>
                  <w:rPr>
                    <w:rFonts w:ascii="Cambria Math" w:hAnsi="Cambria Math" w:cs="Times New Roman"/>
                    <w:i/>
                    <w:noProof/>
                    <w:lang w:val="en-US"/>
                  </w:rPr>
                </m:ctrlPr>
              </m:sSubPr>
              <m:e>
                <m:r>
                  <w:rPr>
                    <w:rFonts w:ascii="Cambria Math" w:hAnsi="Cambria Math" w:cs="Times New Roman"/>
                    <w:noProof/>
                    <w:lang w:val="en-US"/>
                  </w:rPr>
                  <m:t>β</m:t>
                </m:r>
              </m:e>
              <m:sub>
                <m:r>
                  <w:rPr>
                    <w:rFonts w:ascii="Cambria Math" w:hAnsi="Cambria Math" w:cs="Times New Roman"/>
                    <w:noProof/>
                    <w:lang w:val="en-US"/>
                  </w:rPr>
                  <m:t>j</m:t>
                </m:r>
              </m:sub>
            </m:sSub>
          </m:e>
        </m:nary>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jit</m:t>
            </m:r>
          </m:sub>
        </m:sSub>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k=1</m:t>
            </m:r>
          </m:sub>
          <m:sup>
            <m:r>
              <w:rPr>
                <w:rFonts w:ascii="Cambria Math" w:hAnsi="Cambria Math" w:cs="Times New Roman"/>
                <w:noProof/>
                <w:lang w:val="en-US"/>
              </w:rPr>
              <m:t>K</m:t>
            </m:r>
          </m:sup>
          <m:e>
            <m:sSub>
              <m:sSubPr>
                <m:ctrlPr>
                  <w:rPr>
                    <w:rFonts w:ascii="Cambria Math" w:hAnsi="Cambria Math" w:cs="Times New Roman"/>
                    <w:i/>
                    <w:noProof/>
                    <w:lang w:val="en-US"/>
                  </w:rPr>
                </m:ctrlPr>
              </m:sSubPr>
              <m:e>
                <m:r>
                  <w:rPr>
                    <w:rFonts w:ascii="Cambria Math" w:hAnsi="Cambria Math" w:cs="Times New Roman"/>
                    <w:noProof/>
                    <w:lang w:val="en-US"/>
                  </w:rPr>
                  <m:t>δ</m:t>
                </m:r>
              </m:e>
              <m:sub>
                <m:r>
                  <w:rPr>
                    <w:rFonts w:ascii="Cambria Math" w:hAnsi="Cambria Math" w:cs="Times New Roman"/>
                    <w:noProof/>
                    <w:lang w:val="en-US"/>
                  </w:rPr>
                  <m:t>i</m:t>
                </m:r>
              </m:sub>
            </m:sSub>
            <m:sSub>
              <m:sSubPr>
                <m:ctrlPr>
                  <w:rPr>
                    <w:rFonts w:ascii="Cambria Math" w:hAnsi="Cambria Math" w:cs="Times New Roman"/>
                    <w:i/>
                    <w:noProof/>
                    <w:lang w:val="en-US"/>
                  </w:rPr>
                </m:ctrlPr>
              </m:sSubPr>
              <m:e>
                <m:r>
                  <w:rPr>
                    <w:rFonts w:ascii="Cambria Math" w:hAnsi="Cambria Math" w:cs="Times New Roman"/>
                    <w:noProof/>
                    <w:lang w:val="en-US"/>
                  </w:rPr>
                  <m:t>SU</m:t>
                </m:r>
              </m:e>
              <m:sub>
                <m:r>
                  <w:rPr>
                    <w:rFonts w:ascii="Cambria Math" w:hAnsi="Cambria Math" w:cs="Times New Roman"/>
                    <w:noProof/>
                    <w:lang w:val="en-US"/>
                  </w:rPr>
                  <m:t>i</m:t>
                </m:r>
              </m:sub>
            </m:sSub>
          </m:e>
        </m:nary>
        <m:r>
          <w:rPr>
            <w:rFonts w:ascii="Cambria Math" w:hAnsi="Cambria Math" w:cs="Times New Roman"/>
            <w:noProof/>
            <w:lang w:val="en-US"/>
          </w:rPr>
          <m:t xml:space="preserve">+ </m:t>
        </m:r>
        <m:nary>
          <m:naryPr>
            <m:chr m:val="∑"/>
            <m:limLoc m:val="subSup"/>
            <m:ctrlPr>
              <w:rPr>
                <w:rFonts w:ascii="Cambria Math" w:hAnsi="Cambria Math" w:cs="Times New Roman"/>
                <w:i/>
                <w:noProof/>
                <w:lang w:val="en-US"/>
              </w:rPr>
            </m:ctrlPr>
          </m:naryPr>
          <m:sub>
            <m:r>
              <w:rPr>
                <w:rFonts w:ascii="Cambria Math" w:hAnsi="Cambria Math" w:cs="Times New Roman"/>
                <w:noProof/>
                <w:lang w:val="en-US"/>
              </w:rPr>
              <m:t>t=1</m:t>
            </m:r>
          </m:sub>
          <m:sup>
            <m:r>
              <w:rPr>
                <w:rFonts w:ascii="Cambria Math" w:hAnsi="Cambria Math" w:cs="Times New Roman"/>
                <w:noProof/>
                <w:lang w:val="en-US"/>
              </w:rPr>
              <m:t>T</m:t>
            </m:r>
          </m:sup>
          <m:e>
            <m:sSub>
              <m:sSubPr>
                <m:ctrlPr>
                  <w:rPr>
                    <w:rFonts w:ascii="Cambria Math" w:hAnsi="Cambria Math" w:cs="Times New Roman"/>
                    <w:i/>
                    <w:noProof/>
                    <w:lang w:val="en-US"/>
                  </w:rPr>
                </m:ctrlPr>
              </m:sSubPr>
              <m:e>
                <m:r>
                  <w:rPr>
                    <w:rFonts w:ascii="Cambria Math" w:hAnsi="Cambria Math" w:cs="Times New Roman"/>
                    <w:noProof/>
                    <w:lang w:val="en-US"/>
                  </w:rPr>
                  <m:t>γ</m:t>
                </m:r>
              </m:e>
              <m:sub>
                <m:r>
                  <w:rPr>
                    <w:rFonts w:ascii="Cambria Math" w:hAnsi="Cambria Math" w:cs="Times New Roman"/>
                    <w:noProof/>
                    <w:lang w:val="en-US"/>
                  </w:rPr>
                  <m:t>i</m:t>
                </m:r>
              </m:sub>
            </m:sSub>
            <m:sSub>
              <m:sSubPr>
                <m:ctrlPr>
                  <w:rPr>
                    <w:rFonts w:ascii="Cambria Math" w:hAnsi="Cambria Math" w:cs="Times New Roman"/>
                    <w:i/>
                    <w:noProof/>
                    <w:lang w:val="en-US"/>
                  </w:rPr>
                </m:ctrlPr>
              </m:sSubPr>
              <m:e>
                <m:r>
                  <w:rPr>
                    <w:rFonts w:ascii="Cambria Math" w:hAnsi="Cambria Math" w:cs="Times New Roman"/>
                    <w:noProof/>
                    <w:lang w:val="en-US"/>
                  </w:rPr>
                  <m:t>C</m:t>
                </m:r>
              </m:e>
              <m:sub>
                <m:r>
                  <w:rPr>
                    <w:rFonts w:ascii="Cambria Math" w:hAnsi="Cambria Math" w:cs="Times New Roman"/>
                    <w:noProof/>
                    <w:lang w:val="en-US"/>
                  </w:rPr>
                  <m:t>t</m:t>
                </m:r>
              </m:sub>
            </m:sSub>
          </m:e>
        </m:nary>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l=1</m:t>
            </m:r>
          </m:sub>
          <m:sup>
            <m:r>
              <w:rPr>
                <w:rFonts w:ascii="Cambria Math" w:hAnsi="Cambria Math" w:cs="Times New Roman"/>
                <w:noProof/>
                <w:lang w:val="en-US"/>
              </w:rPr>
              <m:t>L</m:t>
            </m:r>
          </m:sup>
          <m:e>
            <m:sSub>
              <m:sSubPr>
                <m:ctrlPr>
                  <w:rPr>
                    <w:rFonts w:ascii="Cambria Math" w:hAnsi="Cambria Math" w:cs="Times New Roman"/>
                    <w:i/>
                    <w:noProof/>
                    <w:lang w:val="en-US"/>
                  </w:rPr>
                </m:ctrlPr>
              </m:sSubPr>
              <m:e>
                <m:r>
                  <w:rPr>
                    <w:rFonts w:ascii="Cambria Math" w:hAnsi="Cambria Math" w:cs="Times New Roman"/>
                    <w:noProof/>
                    <w:lang w:val="en-US"/>
                  </w:rPr>
                  <m:t>θ</m:t>
                </m:r>
              </m:e>
              <m:sub>
                <m:r>
                  <w:rPr>
                    <w:rFonts w:ascii="Cambria Math" w:hAnsi="Cambria Math" w:cs="Times New Roman"/>
                    <w:noProof/>
                    <w:lang w:val="en-US"/>
                  </w:rPr>
                  <m:t>i</m:t>
                </m:r>
              </m:sub>
            </m:sSub>
          </m:e>
        </m:nary>
        <m:sSub>
          <m:sSubPr>
            <m:ctrlPr>
              <w:rPr>
                <w:rFonts w:ascii="Cambria Math" w:hAnsi="Cambria Math" w:cs="Times New Roman"/>
                <w:i/>
                <w:noProof/>
                <w:lang w:val="en-US"/>
              </w:rPr>
            </m:ctrlPr>
          </m:sSubPr>
          <m:e>
            <m:r>
              <w:rPr>
                <w:rFonts w:ascii="Cambria Math" w:hAnsi="Cambria Math" w:cs="Times New Roman"/>
                <w:noProof/>
                <w:lang w:val="en-US"/>
              </w:rPr>
              <m:t>E</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μ</m:t>
            </m:r>
          </m:e>
          <m:sub>
            <m:r>
              <w:rPr>
                <w:rFonts w:ascii="Cambria Math" w:hAnsi="Cambria Math" w:cs="Times New Roman"/>
                <w:noProof/>
                <w:lang w:val="en-US"/>
              </w:rPr>
              <m:t>it</m:t>
            </m:r>
          </m:sub>
        </m:sSub>
      </m:oMath>
      <w:r w:rsidR="006F5CC1">
        <w:rPr>
          <w:rFonts w:eastAsiaTheme="minorEastAsia" w:cs="Times New Roman"/>
          <w:noProof/>
          <w:lang w:val="en-US"/>
        </w:rPr>
        <w:t>,</w:t>
      </w:r>
      <w:r w:rsidR="00DC5DE3" w:rsidRPr="00B827A8">
        <w:rPr>
          <w:rFonts w:cs="Times New Roman"/>
          <w:noProof/>
          <w:lang w:val="en-US"/>
        </w:rPr>
        <w:t xml:space="preserve">      </w:t>
      </w:r>
      <w:r w:rsidR="007F1022">
        <w:rPr>
          <w:rFonts w:cs="Times New Roman"/>
          <w:noProof/>
          <w:lang w:val="en-US"/>
        </w:rPr>
        <w:tab/>
      </w:r>
      <w:r w:rsidR="007F1022">
        <w:rPr>
          <w:rFonts w:cs="Times New Roman"/>
          <w:noProof/>
          <w:lang w:val="en-US"/>
        </w:rPr>
        <w:tab/>
      </w:r>
      <w:r w:rsidR="007F1022">
        <w:rPr>
          <w:rFonts w:cs="Times New Roman"/>
          <w:noProof/>
          <w:lang w:val="en-US"/>
        </w:rPr>
        <w:tab/>
      </w:r>
      <w:r w:rsidR="00DC5DE3" w:rsidRPr="00B827A8">
        <w:rPr>
          <w:rFonts w:cs="Times New Roman"/>
          <w:noProof/>
          <w:lang w:val="en-US"/>
        </w:rPr>
        <w:t>(1)</w:t>
      </w:r>
    </w:p>
    <w:p w14:paraId="7477E379" w14:textId="77777777" w:rsidR="00DC5DE3" w:rsidRPr="00B827A8" w:rsidRDefault="00DC5DE3" w:rsidP="00B827A8">
      <w:pPr>
        <w:contextualSpacing/>
        <w:rPr>
          <w:rFonts w:cs="Times New Roman"/>
          <w:noProof/>
          <w:lang w:val="en-US"/>
        </w:rPr>
      </w:pPr>
    </w:p>
    <w:p w14:paraId="365E9C9B" w14:textId="55B800EC" w:rsidR="00DC5DE3" w:rsidRPr="00B827A8" w:rsidRDefault="00DC5DE3" w:rsidP="00B827A8">
      <w:pPr>
        <w:contextualSpacing/>
        <w:rPr>
          <w:rFonts w:cs="Times New Roman"/>
          <w:noProof/>
          <w:lang w:val="en-US"/>
        </w:rPr>
      </w:pPr>
      <w:r w:rsidRPr="00B827A8">
        <w:rPr>
          <w:rFonts w:cs="Times New Roman"/>
          <w:noProof/>
          <w:lang w:val="en-US"/>
        </w:rPr>
        <w:t>where P</w:t>
      </w:r>
      <w:r w:rsidRPr="00B827A8">
        <w:rPr>
          <w:rFonts w:cs="Times New Roman"/>
          <w:noProof/>
          <w:vertAlign w:val="subscript"/>
          <w:lang w:val="en-US"/>
        </w:rPr>
        <w:t>it</w:t>
      </w:r>
      <w:r w:rsidRPr="00B827A8">
        <w:rPr>
          <w:rFonts w:cs="Times New Roman"/>
          <w:noProof/>
          <w:lang w:val="en-US"/>
        </w:rPr>
        <w:t xml:space="preserve"> is the </w:t>
      </w:r>
      <w:r w:rsidR="006F5CC1">
        <w:rPr>
          <w:rFonts w:cs="Times New Roman"/>
          <w:noProof/>
          <w:lang w:val="en-US"/>
        </w:rPr>
        <w:t>sale</w:t>
      </w:r>
      <w:r w:rsidRPr="00B827A8">
        <w:rPr>
          <w:rFonts w:cs="Times New Roman"/>
          <w:noProof/>
          <w:lang w:val="en-US"/>
        </w:rPr>
        <w:t xml:space="preserve"> </w:t>
      </w:r>
      <w:r w:rsidR="00550CBD">
        <w:rPr>
          <w:rFonts w:cs="Times New Roman"/>
          <w:noProof/>
          <w:lang w:val="en-US"/>
        </w:rPr>
        <w:t xml:space="preserve">or rental </w:t>
      </w:r>
      <w:r w:rsidRPr="00B827A8">
        <w:rPr>
          <w:rFonts w:cs="Times New Roman"/>
          <w:noProof/>
          <w:lang w:val="en-US"/>
        </w:rPr>
        <w:t xml:space="preserve">price of </w:t>
      </w:r>
      <w:r w:rsidR="006F5CC1">
        <w:rPr>
          <w:rFonts w:cs="Times New Roman"/>
          <w:noProof/>
          <w:lang w:val="en-US"/>
        </w:rPr>
        <w:t>the</w:t>
      </w:r>
      <w:r w:rsidRPr="00B827A8">
        <w:rPr>
          <w:rFonts w:cs="Times New Roman"/>
          <w:noProof/>
          <w:lang w:val="en-US"/>
        </w:rPr>
        <w:t xml:space="preserve"> property (the natural log of the </w:t>
      </w:r>
      <w:r w:rsidR="006F5CC1">
        <w:rPr>
          <w:rFonts w:cs="Times New Roman"/>
          <w:noProof/>
          <w:lang w:val="en-US"/>
        </w:rPr>
        <w:t>sale</w:t>
      </w:r>
      <w:r w:rsidR="0018203D">
        <w:rPr>
          <w:rFonts w:cs="Times New Roman"/>
          <w:noProof/>
          <w:lang w:val="en-US"/>
        </w:rPr>
        <w:t xml:space="preserve"> price or the</w:t>
      </w:r>
      <w:r w:rsidR="00E121E3">
        <w:rPr>
          <w:rFonts w:cs="Times New Roman"/>
          <w:noProof/>
          <w:lang w:val="en-US"/>
        </w:rPr>
        <w:t xml:space="preserve"> log of the</w:t>
      </w:r>
      <w:r w:rsidR="0018203D">
        <w:rPr>
          <w:rFonts w:cs="Times New Roman"/>
          <w:noProof/>
          <w:lang w:val="en-US"/>
        </w:rPr>
        <w:t xml:space="preserve"> weekly rent</w:t>
      </w:r>
      <w:r w:rsidR="006F5CC1">
        <w:rPr>
          <w:rFonts w:cs="Times New Roman"/>
          <w:noProof/>
          <w:lang w:val="en-US"/>
        </w:rPr>
        <w:t xml:space="preserve"> in Australian dollars</w:t>
      </w:r>
      <w:r w:rsidRPr="00B827A8">
        <w:rPr>
          <w:rFonts w:cs="Times New Roman"/>
          <w:noProof/>
          <w:lang w:val="en-US"/>
        </w:rPr>
        <w:t>), X</w:t>
      </w:r>
      <w:r w:rsidRPr="00B827A8">
        <w:rPr>
          <w:rFonts w:cs="Times New Roman"/>
          <w:noProof/>
          <w:vertAlign w:val="subscript"/>
          <w:lang w:val="en-US"/>
        </w:rPr>
        <w:t>jit</w:t>
      </w:r>
      <w:r w:rsidRPr="00B827A8">
        <w:rPr>
          <w:rFonts w:cs="Times New Roman"/>
          <w:noProof/>
          <w:lang w:val="en-US"/>
        </w:rPr>
        <w:t xml:space="preserve"> is a vector of </w:t>
      </w:r>
      <w:r w:rsidR="00D54F95">
        <w:rPr>
          <w:rFonts w:cs="Times New Roman"/>
          <w:noProof/>
          <w:lang w:val="en-US"/>
        </w:rPr>
        <w:t>variables representing</w:t>
      </w:r>
      <w:r w:rsidRPr="00B827A8">
        <w:rPr>
          <w:rFonts w:cs="Times New Roman"/>
          <w:noProof/>
          <w:lang w:val="en-US"/>
        </w:rPr>
        <w:t xml:space="preserve"> </w:t>
      </w:r>
      <w:r w:rsidR="0018203D">
        <w:rPr>
          <w:rFonts w:cs="Times New Roman"/>
          <w:noProof/>
          <w:lang w:val="en-US"/>
        </w:rPr>
        <w:t>area</w:t>
      </w:r>
      <w:r w:rsidRPr="00B827A8">
        <w:rPr>
          <w:rFonts w:cs="Times New Roman"/>
          <w:noProof/>
          <w:lang w:val="en-US"/>
        </w:rPr>
        <w:t xml:space="preserve"> and physical characteristics</w:t>
      </w:r>
      <w:r w:rsidR="0018203D">
        <w:rPr>
          <w:rFonts w:cs="Times New Roman"/>
          <w:noProof/>
        </w:rPr>
        <w:t>,</w:t>
      </w:r>
      <w:r w:rsidRPr="00B827A8">
        <w:rPr>
          <w:rFonts w:cs="Times New Roman"/>
          <w:noProof/>
        </w:rPr>
        <w:t xml:space="preserve"> </w:t>
      </w:r>
      <w:r w:rsidR="00D54F95">
        <w:rPr>
          <w:rFonts w:cs="Times New Roman"/>
          <w:noProof/>
          <w:lang w:val="en-US"/>
        </w:rPr>
        <w:t>βj are</w:t>
      </w:r>
      <w:r w:rsidRPr="00B827A8">
        <w:rPr>
          <w:rFonts w:cs="Times New Roman"/>
          <w:noProof/>
          <w:lang w:val="en-US"/>
        </w:rPr>
        <w:t xml:space="preserve"> </w:t>
      </w:r>
      <w:r w:rsidR="006F5CC1">
        <w:rPr>
          <w:rFonts w:cs="Times New Roman"/>
          <w:noProof/>
          <w:lang w:val="en-US"/>
        </w:rPr>
        <w:t xml:space="preserve">the </w:t>
      </w:r>
      <w:r w:rsidRPr="00B827A8">
        <w:rPr>
          <w:rFonts w:cs="Times New Roman"/>
          <w:noProof/>
          <w:lang w:val="en-US"/>
        </w:rPr>
        <w:t>parameters to be estimated</w:t>
      </w:r>
      <w:r w:rsidR="006F5CC1">
        <w:rPr>
          <w:rFonts w:cs="Times New Roman"/>
          <w:noProof/>
          <w:lang w:val="en-US"/>
        </w:rPr>
        <w:t xml:space="preserve"> and</w:t>
      </w:r>
      <w:r w:rsidRPr="00B827A8">
        <w:rPr>
          <w:rFonts w:cs="Times New Roman"/>
          <w:noProof/>
          <w:lang w:val="en-US"/>
        </w:rPr>
        <w:t xml:space="preserve"> </w:t>
      </w:r>
      <w:r w:rsidR="0018203D">
        <w:rPr>
          <w:rFonts w:cs="Times New Roman"/>
          <w:noProof/>
          <w:lang w:val="en-US"/>
        </w:rPr>
        <w:t>SU</w:t>
      </w:r>
      <w:r w:rsidRPr="00B827A8">
        <w:rPr>
          <w:rFonts w:cs="Times New Roman"/>
          <w:noProof/>
          <w:lang w:val="en-US"/>
        </w:rPr>
        <w:t>i is a set of</w:t>
      </w:r>
      <w:r w:rsidR="008A12B9">
        <w:rPr>
          <w:rFonts w:cs="Times New Roman"/>
          <w:noProof/>
          <w:lang w:val="en-US"/>
        </w:rPr>
        <w:t xml:space="preserve"> </w:t>
      </w:r>
      <w:r w:rsidR="0018203D">
        <w:rPr>
          <w:rFonts w:cs="Times New Roman"/>
          <w:noProof/>
          <w:lang w:val="en-US"/>
        </w:rPr>
        <w:t xml:space="preserve">indicator variables controlling for </w:t>
      </w:r>
      <w:r w:rsidR="00550CBD">
        <w:rPr>
          <w:rFonts w:cs="Times New Roman"/>
          <w:noProof/>
          <w:lang w:val="en-US"/>
        </w:rPr>
        <w:t xml:space="preserve">suburb-level unobserved </w:t>
      </w:r>
      <w:r w:rsidR="00FB364C">
        <w:rPr>
          <w:rFonts w:cs="Times New Roman"/>
          <w:noProof/>
          <w:lang w:val="en-US"/>
        </w:rPr>
        <w:t>heterogeneity</w:t>
      </w:r>
      <w:r w:rsidRPr="00B827A8">
        <w:rPr>
          <w:rFonts w:cs="Times New Roman"/>
          <w:noProof/>
          <w:lang w:val="en-US"/>
        </w:rPr>
        <w:t>. C</w:t>
      </w:r>
      <w:r w:rsidRPr="00B827A8">
        <w:rPr>
          <w:rFonts w:cs="Times New Roman"/>
          <w:noProof/>
          <w:vertAlign w:val="subscript"/>
          <w:lang w:val="en-US"/>
        </w:rPr>
        <w:t>t</w:t>
      </w:r>
      <w:r w:rsidRPr="00B827A8">
        <w:rPr>
          <w:rFonts w:cs="Times New Roman"/>
          <w:noProof/>
          <w:lang w:val="en-US"/>
        </w:rPr>
        <w:t xml:space="preserve"> </w:t>
      </w:r>
      <w:r w:rsidR="00550CBD">
        <w:rPr>
          <w:rFonts w:cs="Times New Roman"/>
          <w:noProof/>
          <w:lang w:val="en-US"/>
        </w:rPr>
        <w:t>contains time</w:t>
      </w:r>
      <w:r w:rsidR="006F5CC1">
        <w:rPr>
          <w:rFonts w:cs="Times New Roman"/>
          <w:noProof/>
          <w:lang w:val="en-US"/>
        </w:rPr>
        <w:t>-</w:t>
      </w:r>
      <w:r w:rsidR="00550CBD">
        <w:rPr>
          <w:rFonts w:cs="Times New Roman"/>
          <w:noProof/>
          <w:lang w:val="en-US"/>
        </w:rPr>
        <w:t>fixed effects for each quarterly observation</w:t>
      </w:r>
      <w:r w:rsidRPr="00B827A8">
        <w:rPr>
          <w:rFonts w:cs="Times New Roman"/>
          <w:noProof/>
          <w:lang w:val="en-US"/>
        </w:rPr>
        <w:t>, and u</w:t>
      </w:r>
      <w:r w:rsidRPr="00B827A8">
        <w:rPr>
          <w:rFonts w:cs="Times New Roman"/>
          <w:noProof/>
          <w:vertAlign w:val="subscript"/>
          <w:lang w:val="en-US"/>
        </w:rPr>
        <w:t>it</w:t>
      </w:r>
      <w:r w:rsidRPr="00B827A8">
        <w:rPr>
          <w:rFonts w:cs="Times New Roman"/>
          <w:noProof/>
          <w:lang w:val="en-US"/>
        </w:rPr>
        <w:t xml:space="preserve"> is a random error and stochastic disturbance term</w:t>
      </w:r>
      <w:r w:rsidR="00550CBD">
        <w:rPr>
          <w:rFonts w:cs="Times New Roman"/>
          <w:noProof/>
          <w:lang w:val="en-US"/>
        </w:rPr>
        <w:t xml:space="preserve"> </w:t>
      </w:r>
      <w:r w:rsidR="006F5CC1">
        <w:rPr>
          <w:rFonts w:cs="Times New Roman"/>
          <w:noProof/>
          <w:lang w:val="en-US"/>
        </w:rPr>
        <w:t xml:space="preserve">that is </w:t>
      </w:r>
      <w:r w:rsidR="00550CBD">
        <w:rPr>
          <w:rFonts w:cs="Times New Roman"/>
          <w:noProof/>
          <w:lang w:val="en-US"/>
        </w:rPr>
        <w:t xml:space="preserve">assumed to </w:t>
      </w:r>
      <w:r w:rsidR="00550CBD">
        <w:rPr>
          <w:rFonts w:cs="Times New Roman"/>
          <w:noProof/>
          <w:lang w:val="en-US"/>
        </w:rPr>
        <w:lastRenderedPageBreak/>
        <w:t>be normally distributed</w:t>
      </w:r>
      <w:r w:rsidRPr="00B827A8">
        <w:rPr>
          <w:rFonts w:cs="Times New Roman"/>
          <w:noProof/>
          <w:lang w:val="en-US"/>
        </w:rPr>
        <w:t xml:space="preserve"> with a mean of zero and a variance of σ</w:t>
      </w:r>
      <w:r w:rsidRPr="00B827A8">
        <w:rPr>
          <w:rFonts w:cs="Times New Roman"/>
          <w:noProof/>
          <w:vertAlign w:val="subscript"/>
          <w:lang w:val="en-US"/>
        </w:rPr>
        <w:t>2</w:t>
      </w:r>
      <w:r w:rsidRPr="00B827A8">
        <w:rPr>
          <w:rFonts w:cs="Times New Roman"/>
          <w:noProof/>
          <w:lang w:val="en-US"/>
        </w:rPr>
        <w:t xml:space="preserve">. </w:t>
      </w:r>
      <w:r w:rsidR="008A12B9">
        <w:rPr>
          <w:rFonts w:cs="Times New Roman"/>
          <w:noProof/>
          <w:lang w:val="en-US"/>
        </w:rPr>
        <w:t xml:space="preserve">The variables of interest are captured </w:t>
      </w:r>
      <w:r w:rsidR="006F5CC1">
        <w:rPr>
          <w:rFonts w:cs="Times New Roman"/>
          <w:noProof/>
          <w:lang w:val="en-US"/>
        </w:rPr>
        <w:t>using</w:t>
      </w:r>
      <w:r w:rsidR="008A12B9">
        <w:rPr>
          <w:rFonts w:cs="Times New Roman"/>
          <w:noProof/>
          <w:lang w:val="en-US"/>
        </w:rPr>
        <w:t xml:space="preserve"> a set of indicator variables for EER</w:t>
      </w:r>
      <w:r w:rsidR="007A7920">
        <w:rPr>
          <w:rFonts w:cs="Times New Roman"/>
          <w:noProof/>
          <w:lang w:val="en-US"/>
        </w:rPr>
        <w:t>s</w:t>
      </w:r>
      <w:r w:rsidR="00FB364C">
        <w:rPr>
          <w:rFonts w:cs="Times New Roman"/>
          <w:noProof/>
          <w:lang w:val="en-US"/>
        </w:rPr>
        <w:t xml:space="preserve"> with parameters </w:t>
      </w:r>
      <w:r w:rsidR="00FB364C" w:rsidRPr="00B827A8">
        <w:rPr>
          <w:rFonts w:cs="Times New Roman"/>
          <w:i/>
          <w:noProof/>
          <w:lang w:val="en-US"/>
        </w:rPr>
        <w:t>θ</w:t>
      </w:r>
      <w:r w:rsidR="00FB364C" w:rsidRPr="00B827A8">
        <w:rPr>
          <w:rFonts w:cs="Times New Roman"/>
          <w:i/>
          <w:noProof/>
          <w:vertAlign w:val="subscript"/>
          <w:lang w:val="en-US"/>
        </w:rPr>
        <w:t>i</w:t>
      </w:r>
      <w:r w:rsidR="008A12B9">
        <w:rPr>
          <w:rFonts w:cs="Times New Roman"/>
          <w:noProof/>
          <w:lang w:val="en-US"/>
        </w:rPr>
        <w:t xml:space="preserve"> to allow for non-linear variation</w:t>
      </w:r>
      <w:r w:rsidR="006F5CC1">
        <w:rPr>
          <w:rFonts w:cs="Times New Roman"/>
          <w:noProof/>
          <w:lang w:val="en-US"/>
        </w:rPr>
        <w:t>s</w:t>
      </w:r>
      <w:r w:rsidR="008A12B9">
        <w:rPr>
          <w:rFonts w:cs="Times New Roman"/>
          <w:noProof/>
          <w:lang w:val="en-US"/>
        </w:rPr>
        <w:t xml:space="preserve"> in the </w:t>
      </w:r>
      <w:r w:rsidR="007A7920">
        <w:rPr>
          <w:rFonts w:cs="Times New Roman"/>
          <w:noProof/>
          <w:lang w:val="en-US"/>
        </w:rPr>
        <w:t>effects</w:t>
      </w:r>
      <w:r w:rsidR="008A12B9">
        <w:rPr>
          <w:rFonts w:cs="Times New Roman"/>
          <w:noProof/>
          <w:lang w:val="en-US"/>
        </w:rPr>
        <w:t xml:space="preserve"> of energy efficiency</w:t>
      </w:r>
      <w:r w:rsidR="007A7920">
        <w:rPr>
          <w:rFonts w:cs="Times New Roman"/>
          <w:noProof/>
          <w:lang w:val="en-US"/>
        </w:rPr>
        <w:t xml:space="preserve"> on prices</w:t>
      </w:r>
      <w:r w:rsidR="008A12B9" w:rsidRPr="00AE254B">
        <w:rPr>
          <w:rFonts w:cs="Times New Roman"/>
          <w:noProof/>
        </w:rPr>
        <w:t>.</w:t>
      </w:r>
      <w:r w:rsidR="00FB364C">
        <w:rPr>
          <w:rFonts w:cs="Times New Roman"/>
          <w:noProof/>
        </w:rPr>
        <w:t xml:space="preserve"> </w:t>
      </w:r>
      <w:r w:rsidRPr="00B827A8">
        <w:rPr>
          <w:rFonts w:cs="Times New Roman"/>
          <w:noProof/>
          <w:lang w:val="en-US"/>
        </w:rPr>
        <w:t xml:space="preserve">The hedonic </w:t>
      </w:r>
      <w:r w:rsidR="00550CBD">
        <w:rPr>
          <w:rFonts w:cs="Times New Roman"/>
          <w:noProof/>
          <w:lang w:val="en-US"/>
        </w:rPr>
        <w:t>parameters obtained</w:t>
      </w:r>
      <w:r w:rsidRPr="00B827A8">
        <w:rPr>
          <w:rFonts w:cs="Times New Roman"/>
          <w:noProof/>
          <w:lang w:val="en-US"/>
        </w:rPr>
        <w:t xml:space="preserve"> </w:t>
      </w:r>
      <w:r w:rsidR="00550CBD">
        <w:rPr>
          <w:rFonts w:cs="Times New Roman"/>
          <w:noProof/>
          <w:lang w:val="en-US"/>
        </w:rPr>
        <w:t>from each significant regressor</w:t>
      </w:r>
      <w:r w:rsidRPr="00B827A8">
        <w:rPr>
          <w:rFonts w:cs="Times New Roman"/>
          <w:noProof/>
          <w:lang w:val="en-US"/>
        </w:rPr>
        <w:t xml:space="preserve"> are equivalent to their overall contribution to the price.</w:t>
      </w:r>
      <w:r w:rsidR="00550CBD">
        <w:rPr>
          <w:rFonts w:cs="Times New Roman"/>
          <w:noProof/>
          <w:lang w:val="en-US"/>
        </w:rPr>
        <w:t xml:space="preserve"> For ease of interpretation, the obtained parameters of interest approximate </w:t>
      </w:r>
      <w:r w:rsidR="007A32DE">
        <w:rPr>
          <w:rFonts w:cs="Times New Roman"/>
          <w:noProof/>
          <w:lang w:val="en-US"/>
        </w:rPr>
        <w:t>the</w:t>
      </w:r>
      <w:r w:rsidR="007A7920">
        <w:rPr>
          <w:rFonts w:cs="Times New Roman"/>
          <w:noProof/>
          <w:lang w:val="en-US"/>
        </w:rPr>
        <w:t xml:space="preserve"> percentage premiums for</w:t>
      </w:r>
      <w:r w:rsidR="00550CBD">
        <w:rPr>
          <w:rFonts w:cs="Times New Roman"/>
          <w:noProof/>
          <w:lang w:val="en-US"/>
        </w:rPr>
        <w:t xml:space="preserve"> </w:t>
      </w:r>
      <w:r w:rsidR="007A7920">
        <w:rPr>
          <w:rFonts w:cs="Times New Roman"/>
          <w:noProof/>
          <w:lang w:val="en-US"/>
        </w:rPr>
        <w:t xml:space="preserve">sale </w:t>
      </w:r>
      <w:r w:rsidR="00550CBD">
        <w:rPr>
          <w:rFonts w:cs="Times New Roman"/>
          <w:noProof/>
          <w:lang w:val="en-US"/>
        </w:rPr>
        <w:t>price</w:t>
      </w:r>
      <w:r w:rsidR="007A7920">
        <w:rPr>
          <w:rFonts w:cs="Times New Roman"/>
          <w:noProof/>
          <w:lang w:val="en-US"/>
        </w:rPr>
        <w:t>s</w:t>
      </w:r>
      <w:r w:rsidR="00550CBD">
        <w:rPr>
          <w:rFonts w:cs="Times New Roman"/>
          <w:noProof/>
          <w:lang w:val="en-US"/>
        </w:rPr>
        <w:t xml:space="preserve"> and rent</w:t>
      </w:r>
      <w:r w:rsidR="007A7920">
        <w:rPr>
          <w:rFonts w:cs="Times New Roman"/>
          <w:noProof/>
          <w:lang w:val="en-US"/>
        </w:rPr>
        <w:t>s</w:t>
      </w:r>
      <w:r w:rsidR="00550CBD">
        <w:rPr>
          <w:rFonts w:cs="Times New Roman"/>
          <w:noProof/>
          <w:lang w:val="en-US"/>
        </w:rPr>
        <w:t xml:space="preserve">. </w:t>
      </w:r>
    </w:p>
    <w:p w14:paraId="5FBDCDAD" w14:textId="77777777" w:rsidR="00DC5DE3" w:rsidRPr="00DC5DE3" w:rsidRDefault="00DC5DE3" w:rsidP="00DC5DE3"/>
    <w:p w14:paraId="61269BF4" w14:textId="1FF66E3F" w:rsidR="00DC5DE3" w:rsidRPr="00B827A8" w:rsidRDefault="00DC5DE3" w:rsidP="00B827A8">
      <w:pPr>
        <w:contextualSpacing/>
        <w:rPr>
          <w:rFonts w:cs="Times New Roman"/>
          <w:noProof/>
        </w:rPr>
      </w:pPr>
      <w:r w:rsidRPr="00B827A8">
        <w:rPr>
          <w:rFonts w:cs="Times New Roman"/>
          <w:noProof/>
        </w:rPr>
        <w:t xml:space="preserve">The log-linear specification </w:t>
      </w:r>
      <w:r w:rsidR="00550CBD">
        <w:rPr>
          <w:rFonts w:cs="Times New Roman"/>
          <w:noProof/>
        </w:rPr>
        <w:t>is commonly applied in empirical capitalisation studies</w:t>
      </w:r>
      <w:r w:rsidR="007A32DE">
        <w:rPr>
          <w:rFonts w:cs="Times New Roman"/>
          <w:noProof/>
        </w:rPr>
        <w:t>,</w:t>
      </w:r>
      <w:r w:rsidR="001E7F5E">
        <w:rPr>
          <w:rFonts w:cs="Times New Roman"/>
          <w:noProof/>
        </w:rPr>
        <w:t xml:space="preserve"> </w:t>
      </w:r>
      <w:r w:rsidR="00550CBD">
        <w:rPr>
          <w:rFonts w:cs="Times New Roman"/>
          <w:noProof/>
        </w:rPr>
        <w:t xml:space="preserve">as it is less prone to heteroskedasticity and other distorting influences of extreme values and skewed distributions. </w:t>
      </w:r>
      <w:r w:rsidR="000F0250">
        <w:rPr>
          <w:rFonts w:cs="Times New Roman"/>
          <w:noProof/>
        </w:rPr>
        <w:t>T</w:t>
      </w:r>
      <w:r w:rsidRPr="00B827A8">
        <w:rPr>
          <w:rFonts w:cs="Times New Roman"/>
          <w:noProof/>
        </w:rPr>
        <w:t>h</w:t>
      </w:r>
      <w:r w:rsidR="007A32DE">
        <w:rPr>
          <w:rFonts w:cs="Times New Roman"/>
          <w:noProof/>
        </w:rPr>
        <w:t>us, th</w:t>
      </w:r>
      <w:r w:rsidRPr="00B827A8">
        <w:rPr>
          <w:rFonts w:cs="Times New Roman"/>
          <w:noProof/>
        </w:rPr>
        <w:t>e marginal effect</w:t>
      </w:r>
      <w:r w:rsidR="000F0250">
        <w:rPr>
          <w:rFonts w:cs="Times New Roman"/>
          <w:noProof/>
        </w:rPr>
        <w:t xml:space="preserve"> of</w:t>
      </w:r>
      <w:r w:rsidRPr="00B827A8">
        <w:rPr>
          <w:rFonts w:cs="Times New Roman"/>
          <w:noProof/>
        </w:rPr>
        <w:t xml:space="preserve"> each</w:t>
      </w:r>
      <w:r w:rsidR="000F0250">
        <w:rPr>
          <w:rFonts w:cs="Times New Roman"/>
          <w:noProof/>
        </w:rPr>
        <w:t xml:space="preserve"> hedonic</w:t>
      </w:r>
      <w:r w:rsidRPr="00B827A8">
        <w:rPr>
          <w:rFonts w:cs="Times New Roman"/>
          <w:noProof/>
        </w:rPr>
        <w:t xml:space="preserve"> attribute (z) of </w:t>
      </w:r>
      <w:r w:rsidR="000F0250">
        <w:rPr>
          <w:rFonts w:cs="Times New Roman"/>
          <w:noProof/>
        </w:rPr>
        <w:t>a dwelling can</w:t>
      </w:r>
      <w:r w:rsidR="00FB364C">
        <w:rPr>
          <w:rFonts w:cs="Times New Roman"/>
          <w:noProof/>
        </w:rPr>
        <w:t xml:space="preserve"> </w:t>
      </w:r>
      <w:r w:rsidR="000F0250">
        <w:rPr>
          <w:rFonts w:cs="Times New Roman"/>
          <w:noProof/>
        </w:rPr>
        <w:t>be expressed as</w:t>
      </w:r>
      <w:r w:rsidRPr="00B827A8">
        <w:rPr>
          <w:rFonts w:cs="Times New Roman"/>
          <w:noProof/>
        </w:rPr>
        <w:t xml:space="preserve">: </w:t>
      </w:r>
    </w:p>
    <w:p w14:paraId="2139C745" w14:textId="77777777" w:rsidR="00DC5DE3" w:rsidRPr="00B827A8" w:rsidRDefault="00DC5DE3" w:rsidP="00B827A8">
      <w:pPr>
        <w:contextualSpacing/>
        <w:rPr>
          <w:rFonts w:cs="Times New Roman"/>
          <w:noProof/>
        </w:rPr>
      </w:pPr>
    </w:p>
    <w:p w14:paraId="409E5D8F" w14:textId="1BE18906" w:rsidR="00DC5DE3" w:rsidRPr="00B827A8" w:rsidRDefault="007B7F7D" w:rsidP="00B827A8">
      <w:pPr>
        <w:contextualSpacing/>
        <w:rPr>
          <w:rFonts w:eastAsiaTheme="minorEastAsia" w:cs="Times New Roman"/>
          <w:noProof/>
        </w:rPr>
      </w:pPr>
      <m:oMath>
        <m:f>
          <m:fPr>
            <m:ctrlPr>
              <w:rPr>
                <w:rFonts w:ascii="Cambria Math" w:hAnsi="Cambria Math" w:cs="Times New Roman"/>
                <w:i/>
                <w:noProof/>
              </w:rPr>
            </m:ctrlPr>
          </m:fPr>
          <m:num>
            <m:sSub>
              <m:sSubPr>
                <m:ctrlPr>
                  <w:rPr>
                    <w:rFonts w:ascii="Cambria Math" w:hAnsi="Cambria Math" w:cs="Times New Roman"/>
                    <w:i/>
                    <w:noProof/>
                  </w:rPr>
                </m:ctrlPr>
              </m:sSubPr>
              <m:e>
                <m:r>
                  <w:rPr>
                    <w:rFonts w:ascii="Cambria Math" w:hAnsi="Cambria Math" w:cs="Times New Roman"/>
                    <w:noProof/>
                  </w:rPr>
                  <m:t>∂z</m:t>
                </m:r>
              </m:e>
              <m:sub>
                <m:r>
                  <w:rPr>
                    <w:rFonts w:ascii="Cambria Math" w:hAnsi="Cambria Math" w:cs="Times New Roman"/>
                    <w:noProof/>
                  </w:rPr>
                  <m:t>k</m:t>
                </m:r>
              </m:sub>
            </m:sSub>
          </m:num>
          <m:den>
            <m:sSub>
              <m:sSubPr>
                <m:ctrlPr>
                  <w:rPr>
                    <w:rFonts w:ascii="Cambria Math" w:hAnsi="Cambria Math" w:cs="Times New Roman"/>
                    <w:i/>
                    <w:noProof/>
                  </w:rPr>
                </m:ctrlPr>
              </m:sSubPr>
              <m:e>
                <m:r>
                  <w:rPr>
                    <w:rFonts w:ascii="Cambria Math" w:hAnsi="Cambria Math" w:cs="Times New Roman"/>
                    <w:noProof/>
                  </w:rPr>
                  <m:t>∂R</m:t>
                </m:r>
              </m:e>
              <m:sub>
                <m:r>
                  <w:rPr>
                    <w:rFonts w:ascii="Cambria Math" w:hAnsi="Cambria Math" w:cs="Times New Roman"/>
                    <w:noProof/>
                  </w:rPr>
                  <m:t>i</m:t>
                </m:r>
              </m:sub>
            </m:sSub>
          </m:den>
        </m:f>
        <m:r>
          <w:rPr>
            <w:rFonts w:ascii="Cambria Math" w:hAnsi="Cambria Math"/>
          </w:rPr>
          <m:t xml:space="preserve"> = </m:t>
        </m:r>
        <m:sSub>
          <m:sSubPr>
            <m:ctrlPr>
              <w:rPr>
                <w:rFonts w:ascii="Cambria Math" w:hAnsi="Cambria Math"/>
                <w:i/>
              </w:rPr>
            </m:ctrlPr>
          </m:sSubPr>
          <m:e>
            <m:r>
              <w:rPr>
                <w:rFonts w:ascii="Cambria Math" w:hAnsi="Cambria Math"/>
              </w:rPr>
              <m:t>β</m:t>
            </m:r>
          </m:e>
          <m:sub>
            <m:r>
              <w:rPr>
                <w:rFonts w:ascii="Cambria Math" w:hAnsi="Cambria Math"/>
              </w:rPr>
              <m:t>n</m:t>
            </m:r>
          </m:sub>
        </m:sSub>
      </m:oMath>
      <w:r w:rsidR="007A32DE">
        <w:rPr>
          <w:rFonts w:eastAsiaTheme="minorEastAsia" w:cs="Times New Roman"/>
          <w:noProof/>
        </w:rPr>
        <w:t>.</w:t>
      </w:r>
      <w:r w:rsidR="00DC5DE3" w:rsidRPr="00B827A8">
        <w:rPr>
          <w:rFonts w:eastAsiaTheme="minorEastAsia" w:cs="Times New Roman"/>
          <w:noProof/>
        </w:rPr>
        <w:t xml:space="preserve">           </w:t>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7F1022">
        <w:rPr>
          <w:rFonts w:eastAsiaTheme="minorEastAsia" w:cs="Times New Roman"/>
          <w:noProof/>
        </w:rPr>
        <w:tab/>
      </w:r>
      <w:r w:rsidR="00DC5DE3" w:rsidRPr="00B827A8">
        <w:rPr>
          <w:rFonts w:eastAsiaTheme="minorEastAsia" w:cs="Times New Roman"/>
          <w:noProof/>
        </w:rPr>
        <w:t>(</w:t>
      </w:r>
      <w:r w:rsidR="00580649">
        <w:rPr>
          <w:rFonts w:eastAsiaTheme="minorEastAsia" w:cs="Times New Roman"/>
          <w:noProof/>
        </w:rPr>
        <w:t>2</w:t>
      </w:r>
      <w:r w:rsidR="00DC5DE3" w:rsidRPr="00B827A8">
        <w:rPr>
          <w:rFonts w:eastAsiaTheme="minorEastAsia" w:cs="Times New Roman"/>
          <w:noProof/>
        </w:rPr>
        <w:t>)</w:t>
      </w:r>
    </w:p>
    <w:p w14:paraId="16781955" w14:textId="77777777" w:rsidR="00DC5DE3" w:rsidRDefault="00DC5DE3" w:rsidP="00B827A8">
      <w:pPr>
        <w:contextualSpacing/>
        <w:rPr>
          <w:rFonts w:cs="Times New Roman"/>
          <w:noProof/>
        </w:rPr>
      </w:pPr>
    </w:p>
    <w:p w14:paraId="4D4845F4" w14:textId="20B8E4E9" w:rsidR="00DC5DE3" w:rsidRPr="007325DF" w:rsidRDefault="006054ED" w:rsidP="00DC5DE3">
      <w:pPr>
        <w:rPr>
          <w:i/>
        </w:rPr>
      </w:pPr>
      <w:r w:rsidRPr="007325DF">
        <w:rPr>
          <w:i/>
        </w:rPr>
        <w:t xml:space="preserve">Heckman </w:t>
      </w:r>
      <w:r w:rsidR="00E121E3" w:rsidRPr="007325DF">
        <w:rPr>
          <w:i/>
        </w:rPr>
        <w:t>correction</w:t>
      </w:r>
      <w:r w:rsidR="00291090">
        <w:rPr>
          <w:i/>
        </w:rPr>
        <w:t xml:space="preserve"> for rental properties</w:t>
      </w:r>
    </w:p>
    <w:p w14:paraId="50949EDD" w14:textId="77777777" w:rsidR="00580649" w:rsidRDefault="00580649" w:rsidP="009C5EFC">
      <w:pPr>
        <w:rPr>
          <w:lang w:val="en-US"/>
        </w:rPr>
      </w:pPr>
    </w:p>
    <w:p w14:paraId="287C3F41" w14:textId="530D04A2" w:rsidR="00E121E3" w:rsidRDefault="001E7F5E" w:rsidP="007325DF">
      <w:r w:rsidRPr="007325DF">
        <w:t>In addition to</w:t>
      </w:r>
      <w:r w:rsidR="00E121E3" w:rsidRPr="007325DF">
        <w:t xml:space="preserve"> the estimation of a baseline hedonic model as outlined above, we employ a two-stage Heckman regression to account for the possibility that non-disclosure of EER information, particularly in the rental market, is systemati</w:t>
      </w:r>
      <w:r w:rsidR="00F75B7A" w:rsidRPr="007325DF">
        <w:t>c rather than random.</w:t>
      </w:r>
      <w:r w:rsidRPr="007325DF">
        <w:t xml:space="preserve"> A systematic pattern may be suspected because </w:t>
      </w:r>
      <w:r w:rsidR="007A32DE">
        <w:t>owners of properties</w:t>
      </w:r>
      <w:r w:rsidRPr="007325DF">
        <w:t xml:space="preserve"> with lower EER</w:t>
      </w:r>
      <w:r w:rsidR="007A32DE">
        <w:t>s</w:t>
      </w:r>
      <w:r w:rsidRPr="007325DF">
        <w:t xml:space="preserve"> might benefit from not disclosing this information </w:t>
      </w:r>
      <w:r w:rsidR="007A32DE">
        <w:t>during</w:t>
      </w:r>
      <w:r w:rsidRPr="007325DF">
        <w:t xml:space="preserve"> the marketing phase. Hence</w:t>
      </w:r>
      <w:r w:rsidR="007A32DE">
        <w:t>,</w:t>
      </w:r>
      <w:r w:rsidRPr="007325DF">
        <w:t xml:space="preserve"> i</w:t>
      </w:r>
      <w:r w:rsidR="00F75B7A" w:rsidRPr="007325DF">
        <w:t>f rental properties with higher EERs ar</w:t>
      </w:r>
      <w:r w:rsidRPr="007325DF">
        <w:t>e more likely to be displayed</w:t>
      </w:r>
      <w:r w:rsidR="00F75B7A" w:rsidRPr="007325DF">
        <w:t>, this may introduce selection and endogeneity bias</w:t>
      </w:r>
      <w:r w:rsidR="007A32DE">
        <w:t>,</w:t>
      </w:r>
      <w:r w:rsidR="00F75B7A" w:rsidRPr="007325DF">
        <w:t xml:space="preserve"> as we are only able to observe a partial pricing function of energy efficiency for the disclosed part of the market. </w:t>
      </w:r>
      <w:r w:rsidR="007A32DE">
        <w:t>Thus, w</w:t>
      </w:r>
      <w:r w:rsidRPr="007325DF">
        <w:t xml:space="preserve">e specify </w:t>
      </w:r>
      <w:r w:rsidR="00F75B7A" w:rsidRPr="007325DF">
        <w:t xml:space="preserve">the two-stage treatment effects model proposed by Heckman (1979) </w:t>
      </w:r>
      <w:r w:rsidRPr="007325DF">
        <w:t>in the following manner</w:t>
      </w:r>
      <w:r w:rsidR="00F75B7A" w:rsidRPr="007325DF">
        <w:t xml:space="preserve">: </w:t>
      </w:r>
    </w:p>
    <w:p w14:paraId="1E9B2E54" w14:textId="77777777" w:rsidR="006E7F45" w:rsidRPr="007325DF" w:rsidRDefault="006E7F45" w:rsidP="007325DF"/>
    <w:p w14:paraId="67862E41" w14:textId="53C9F3F2" w:rsidR="00580649" w:rsidRDefault="00F75B7A" w:rsidP="00580649">
      <w:pPr>
        <w:autoSpaceDE w:val="0"/>
        <w:autoSpaceDN w:val="0"/>
        <w:spacing w:line="360" w:lineRule="auto"/>
        <w:rPr>
          <w:color w:val="000000"/>
          <w:sz w:val="22"/>
          <w:szCs w:val="22"/>
        </w:rPr>
      </w:pPr>
      <w:r>
        <w:rPr>
          <w:color w:val="000000"/>
          <w:sz w:val="22"/>
          <w:szCs w:val="22"/>
        </w:rPr>
        <w:t>Stage 1: D</w:t>
      </w:r>
      <w:r w:rsidR="00580649">
        <w:rPr>
          <w:color w:val="000000"/>
          <w:sz w:val="22"/>
          <w:szCs w:val="22"/>
        </w:rPr>
        <w:t xml:space="preserve"> = α + </w:t>
      </w:r>
      <w:r w:rsidR="001E7F5E">
        <w:rPr>
          <w:color w:val="000000"/>
          <w:sz w:val="22"/>
          <w:szCs w:val="22"/>
        </w:rPr>
        <w:t>∑</w:t>
      </w:r>
      <w:r w:rsidR="00580649">
        <w:rPr>
          <w:color w:val="000000"/>
          <w:sz w:val="22"/>
          <w:szCs w:val="22"/>
        </w:rPr>
        <w:t>β</w:t>
      </w:r>
      <w:r w:rsidR="001E7F5E" w:rsidRPr="001E7F5E">
        <w:rPr>
          <w:color w:val="000000"/>
          <w:sz w:val="22"/>
          <w:szCs w:val="22"/>
          <w:vertAlign w:val="subscript"/>
        </w:rPr>
        <w:t>i</w:t>
      </w:r>
      <w:r w:rsidR="00580649">
        <w:rPr>
          <w:color w:val="000000"/>
          <w:sz w:val="22"/>
          <w:szCs w:val="22"/>
        </w:rPr>
        <w:t>X</w:t>
      </w:r>
      <w:r w:rsidR="001E7F5E" w:rsidRPr="001E7F5E">
        <w:rPr>
          <w:color w:val="000000"/>
          <w:sz w:val="22"/>
          <w:szCs w:val="22"/>
          <w:vertAlign w:val="subscript"/>
        </w:rPr>
        <w:t>i</w:t>
      </w:r>
      <w:r w:rsidR="00580649">
        <w:rPr>
          <w:color w:val="000000"/>
          <w:sz w:val="22"/>
          <w:szCs w:val="22"/>
        </w:rPr>
        <w:t xml:space="preserve"> + u</w:t>
      </w:r>
    </w:p>
    <w:p w14:paraId="21A9625C" w14:textId="1E0F491C" w:rsidR="00580649" w:rsidRDefault="00580649" w:rsidP="00580649">
      <w:pPr>
        <w:autoSpaceDE w:val="0"/>
        <w:autoSpaceDN w:val="0"/>
        <w:spacing w:line="360" w:lineRule="auto"/>
        <w:rPr>
          <w:color w:val="000000"/>
          <w:sz w:val="22"/>
          <w:szCs w:val="22"/>
        </w:rPr>
      </w:pPr>
      <w:r>
        <w:rPr>
          <w:color w:val="000000"/>
          <w:sz w:val="22"/>
          <w:szCs w:val="22"/>
        </w:rPr>
        <w:t xml:space="preserve">Stage 2: </w:t>
      </w:r>
      <m:oMath>
        <m:sSub>
          <m:sSubPr>
            <m:ctrlPr>
              <w:rPr>
                <w:rFonts w:ascii="Cambria Math" w:hAnsi="Cambria Math" w:cs="Times New Roman"/>
                <w:i/>
                <w:noProof/>
                <w:lang w:val="en-US"/>
              </w:rPr>
            </m:ctrlPr>
          </m:sSubPr>
          <m:e>
            <m:r>
              <w:rPr>
                <w:rFonts w:ascii="Cambria Math" w:hAnsi="Cambria Math" w:cs="Times New Roman"/>
                <w:noProof/>
                <w:lang w:val="en-US"/>
              </w:rPr>
              <m:t>P</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m:t>
            </m:r>
          </m:e>
          <m:sub>
            <m:r>
              <w:rPr>
                <w:rFonts w:ascii="Cambria Math" w:hAnsi="Cambria Math" w:cs="Times New Roman"/>
                <w:noProof/>
                <w:lang w:val="en-US"/>
              </w:rPr>
              <m:t>i</m:t>
            </m:r>
          </m:sub>
        </m:sSub>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j=1</m:t>
            </m:r>
          </m:sub>
          <m:sup>
            <m:r>
              <w:rPr>
                <w:rFonts w:ascii="Cambria Math" w:hAnsi="Cambria Math" w:cs="Times New Roman"/>
                <w:noProof/>
                <w:lang w:val="en-US"/>
              </w:rPr>
              <m:t>J</m:t>
            </m:r>
          </m:sup>
          <m:e>
            <m:sSub>
              <m:sSubPr>
                <m:ctrlPr>
                  <w:rPr>
                    <w:rFonts w:ascii="Cambria Math" w:hAnsi="Cambria Math" w:cs="Times New Roman"/>
                    <w:i/>
                    <w:noProof/>
                    <w:lang w:val="en-US"/>
                  </w:rPr>
                </m:ctrlPr>
              </m:sSubPr>
              <m:e>
                <m:r>
                  <w:rPr>
                    <w:rFonts w:ascii="Cambria Math" w:hAnsi="Cambria Math" w:cs="Times New Roman"/>
                    <w:noProof/>
                    <w:lang w:val="en-US"/>
                  </w:rPr>
                  <m:t>β</m:t>
                </m:r>
              </m:e>
              <m:sub>
                <m:r>
                  <w:rPr>
                    <w:rFonts w:ascii="Cambria Math" w:hAnsi="Cambria Math" w:cs="Times New Roman"/>
                    <w:noProof/>
                    <w:lang w:val="en-US"/>
                  </w:rPr>
                  <m:t>j</m:t>
                </m:r>
              </m:sub>
            </m:sSub>
          </m:e>
        </m:nary>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jit</m:t>
            </m:r>
          </m:sub>
        </m:sSub>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k=1</m:t>
            </m:r>
          </m:sub>
          <m:sup>
            <m:r>
              <w:rPr>
                <w:rFonts w:ascii="Cambria Math" w:hAnsi="Cambria Math" w:cs="Times New Roman"/>
                <w:noProof/>
                <w:lang w:val="en-US"/>
              </w:rPr>
              <m:t>K</m:t>
            </m:r>
          </m:sup>
          <m:e>
            <m:sSub>
              <m:sSubPr>
                <m:ctrlPr>
                  <w:rPr>
                    <w:rFonts w:ascii="Cambria Math" w:hAnsi="Cambria Math" w:cs="Times New Roman"/>
                    <w:i/>
                    <w:noProof/>
                    <w:lang w:val="en-US"/>
                  </w:rPr>
                </m:ctrlPr>
              </m:sSubPr>
              <m:e>
                <m:r>
                  <w:rPr>
                    <w:rFonts w:ascii="Cambria Math" w:hAnsi="Cambria Math" w:cs="Times New Roman"/>
                    <w:noProof/>
                    <w:lang w:val="en-US"/>
                  </w:rPr>
                  <m:t>δ</m:t>
                </m:r>
              </m:e>
              <m:sub>
                <m:r>
                  <w:rPr>
                    <w:rFonts w:ascii="Cambria Math" w:hAnsi="Cambria Math" w:cs="Times New Roman"/>
                    <w:noProof/>
                    <w:lang w:val="en-US"/>
                  </w:rPr>
                  <m:t>i</m:t>
                </m:r>
              </m:sub>
            </m:sSub>
            <m:sSub>
              <m:sSubPr>
                <m:ctrlPr>
                  <w:rPr>
                    <w:rFonts w:ascii="Cambria Math" w:hAnsi="Cambria Math" w:cs="Times New Roman"/>
                    <w:i/>
                    <w:noProof/>
                    <w:lang w:val="en-US"/>
                  </w:rPr>
                </m:ctrlPr>
              </m:sSubPr>
              <m:e>
                <m:r>
                  <w:rPr>
                    <w:rFonts w:ascii="Cambria Math" w:hAnsi="Cambria Math" w:cs="Times New Roman"/>
                    <w:noProof/>
                    <w:lang w:val="en-US"/>
                  </w:rPr>
                  <m:t>SU</m:t>
                </m:r>
              </m:e>
              <m:sub>
                <m:r>
                  <w:rPr>
                    <w:rFonts w:ascii="Cambria Math" w:hAnsi="Cambria Math" w:cs="Times New Roman"/>
                    <w:noProof/>
                    <w:lang w:val="en-US"/>
                  </w:rPr>
                  <m:t>i</m:t>
                </m:r>
              </m:sub>
            </m:sSub>
          </m:e>
        </m:nary>
        <m:r>
          <w:rPr>
            <w:rFonts w:ascii="Cambria Math" w:hAnsi="Cambria Math" w:cs="Times New Roman"/>
            <w:noProof/>
            <w:lang w:val="en-US"/>
          </w:rPr>
          <m:t xml:space="preserve">+ </m:t>
        </m:r>
        <m:nary>
          <m:naryPr>
            <m:chr m:val="∑"/>
            <m:limLoc m:val="subSup"/>
            <m:ctrlPr>
              <w:rPr>
                <w:rFonts w:ascii="Cambria Math" w:hAnsi="Cambria Math" w:cs="Times New Roman"/>
                <w:i/>
                <w:noProof/>
                <w:lang w:val="en-US"/>
              </w:rPr>
            </m:ctrlPr>
          </m:naryPr>
          <m:sub>
            <m:r>
              <w:rPr>
                <w:rFonts w:ascii="Cambria Math" w:hAnsi="Cambria Math" w:cs="Times New Roman"/>
                <w:noProof/>
                <w:lang w:val="en-US"/>
              </w:rPr>
              <m:t>t=1</m:t>
            </m:r>
          </m:sub>
          <m:sup>
            <m:r>
              <w:rPr>
                <w:rFonts w:ascii="Cambria Math" w:hAnsi="Cambria Math" w:cs="Times New Roman"/>
                <w:noProof/>
                <w:lang w:val="en-US"/>
              </w:rPr>
              <m:t>T</m:t>
            </m:r>
          </m:sup>
          <m:e>
            <m:sSub>
              <m:sSubPr>
                <m:ctrlPr>
                  <w:rPr>
                    <w:rFonts w:ascii="Cambria Math" w:hAnsi="Cambria Math" w:cs="Times New Roman"/>
                    <w:i/>
                    <w:noProof/>
                    <w:lang w:val="en-US"/>
                  </w:rPr>
                </m:ctrlPr>
              </m:sSubPr>
              <m:e>
                <m:r>
                  <w:rPr>
                    <w:rFonts w:ascii="Cambria Math" w:hAnsi="Cambria Math" w:cs="Times New Roman"/>
                    <w:noProof/>
                    <w:lang w:val="en-US"/>
                  </w:rPr>
                  <m:t>γ</m:t>
                </m:r>
              </m:e>
              <m:sub>
                <m:r>
                  <w:rPr>
                    <w:rFonts w:ascii="Cambria Math" w:hAnsi="Cambria Math" w:cs="Times New Roman"/>
                    <w:noProof/>
                    <w:lang w:val="en-US"/>
                  </w:rPr>
                  <m:t>i</m:t>
                </m:r>
              </m:sub>
            </m:sSub>
            <m:sSub>
              <m:sSubPr>
                <m:ctrlPr>
                  <w:rPr>
                    <w:rFonts w:ascii="Cambria Math" w:hAnsi="Cambria Math" w:cs="Times New Roman"/>
                    <w:i/>
                    <w:noProof/>
                    <w:lang w:val="en-US"/>
                  </w:rPr>
                </m:ctrlPr>
              </m:sSubPr>
              <m:e>
                <m:r>
                  <w:rPr>
                    <w:rFonts w:ascii="Cambria Math" w:hAnsi="Cambria Math" w:cs="Times New Roman"/>
                    <w:noProof/>
                    <w:lang w:val="en-US"/>
                  </w:rPr>
                  <m:t>C</m:t>
                </m:r>
              </m:e>
              <m:sub>
                <m:r>
                  <w:rPr>
                    <w:rFonts w:ascii="Cambria Math" w:hAnsi="Cambria Math" w:cs="Times New Roman"/>
                    <w:noProof/>
                    <w:lang w:val="en-US"/>
                  </w:rPr>
                  <m:t>t</m:t>
                </m:r>
              </m:sub>
            </m:sSub>
          </m:e>
        </m:nary>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l=1</m:t>
            </m:r>
          </m:sub>
          <m:sup>
            <m:r>
              <w:rPr>
                <w:rFonts w:ascii="Cambria Math" w:hAnsi="Cambria Math" w:cs="Times New Roman"/>
                <w:noProof/>
                <w:lang w:val="en-US"/>
              </w:rPr>
              <m:t>L</m:t>
            </m:r>
          </m:sup>
          <m:e>
            <m:sSub>
              <m:sSubPr>
                <m:ctrlPr>
                  <w:rPr>
                    <w:rFonts w:ascii="Cambria Math" w:hAnsi="Cambria Math" w:cs="Times New Roman"/>
                    <w:i/>
                    <w:noProof/>
                    <w:lang w:val="en-US"/>
                  </w:rPr>
                </m:ctrlPr>
              </m:sSubPr>
              <m:e>
                <m:r>
                  <w:rPr>
                    <w:rFonts w:ascii="Cambria Math" w:hAnsi="Cambria Math" w:cs="Times New Roman"/>
                    <w:noProof/>
                    <w:lang w:val="en-US"/>
                  </w:rPr>
                  <m:t>θ</m:t>
                </m:r>
              </m:e>
              <m:sub>
                <m:r>
                  <w:rPr>
                    <w:rFonts w:ascii="Cambria Math" w:hAnsi="Cambria Math" w:cs="Times New Roman"/>
                    <w:noProof/>
                    <w:lang w:val="en-US"/>
                  </w:rPr>
                  <m:t>i</m:t>
                </m:r>
              </m:sub>
            </m:sSub>
          </m:e>
        </m:nary>
        <m:sSub>
          <m:sSubPr>
            <m:ctrlPr>
              <w:rPr>
                <w:rFonts w:ascii="Cambria Math" w:hAnsi="Cambria Math" w:cs="Times New Roman"/>
                <w:i/>
                <w:noProof/>
                <w:lang w:val="en-US"/>
              </w:rPr>
            </m:ctrlPr>
          </m:sSubPr>
          <m:e>
            <m:r>
              <w:rPr>
                <w:rFonts w:ascii="Cambria Math" w:hAnsi="Cambria Math" w:cs="Times New Roman"/>
                <w:noProof/>
                <w:lang w:val="en-US"/>
              </w:rPr>
              <m:t>E</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ε</m:t>
            </m:r>
          </m:e>
          <m:sub>
            <m:r>
              <w:rPr>
                <w:rFonts w:ascii="Cambria Math" w:hAnsi="Cambria Math" w:cs="Times New Roman"/>
                <w:noProof/>
                <w:lang w:val="en-US"/>
              </w:rPr>
              <m:t>it</m:t>
            </m:r>
          </m:sub>
        </m:sSub>
      </m:oMath>
    </w:p>
    <w:p w14:paraId="7A2F28BA" w14:textId="77777777" w:rsidR="00580649" w:rsidRDefault="00580649" w:rsidP="009C5EFC">
      <w:pPr>
        <w:rPr>
          <w:lang w:val="en-US"/>
        </w:rPr>
      </w:pPr>
    </w:p>
    <w:p w14:paraId="7E3A6872" w14:textId="426EA13F" w:rsidR="00580649" w:rsidRDefault="00580649" w:rsidP="009C5EFC">
      <w:pPr>
        <w:rPr>
          <w:lang w:val="en-US"/>
        </w:rPr>
      </w:pPr>
      <w:r>
        <w:rPr>
          <w:lang w:val="en-US"/>
        </w:rPr>
        <w:t xml:space="preserve">with </w:t>
      </w:r>
    </w:p>
    <w:p w14:paraId="292CC15C" w14:textId="11969AEC" w:rsidR="000A077F" w:rsidRDefault="000A077F" w:rsidP="009C5EFC">
      <w:pPr>
        <w:rPr>
          <w:lang w:val="en-US"/>
        </w:rPr>
      </w:pPr>
    </w:p>
    <w:p w14:paraId="59C20010" w14:textId="71216247" w:rsidR="004D73AF" w:rsidRDefault="004D73AF" w:rsidP="009C5EFC">
      <w:pPr>
        <w:rPr>
          <w:lang w:val="en-US"/>
        </w:rPr>
      </w:pPr>
    </w:p>
    <w:p w14:paraId="28C42D96" w14:textId="15E022C0" w:rsidR="004D73AF" w:rsidRDefault="004D73AF" w:rsidP="009C5EFC">
      <w:pPr>
        <w:rPr>
          <w:lang w:val="en-US"/>
        </w:rPr>
      </w:pPr>
      <m:oMathPara>
        <m:oMath>
          <m:r>
            <w:rPr>
              <w:rFonts w:ascii="Cambria Math" w:hAnsi="Cambria Math"/>
              <w:lang w:val="en-US"/>
            </w:rPr>
            <m:t>D=</m:t>
          </m:r>
          <m:d>
            <m:dPr>
              <m:begChr m:val="{"/>
              <m:endChr m:val=""/>
              <m:ctrlPr>
                <w:rPr>
                  <w:rFonts w:ascii="Cambria Math" w:hAnsi="Cambria Math"/>
                  <w:i/>
                  <w:lang w:val="en-US"/>
                </w:rPr>
              </m:ctrlPr>
            </m:dPr>
            <m:e>
              <m:eqArr>
                <m:eqArrPr>
                  <m:ctrlPr>
                    <w:rPr>
                      <w:rFonts w:ascii="Cambria Math" w:hAnsi="Cambria Math"/>
                      <w:i/>
                      <w:lang w:val="en-US"/>
                    </w:rPr>
                  </m:ctrlPr>
                </m:eqArrPr>
                <m:e>
                  <m:r>
                    <w:rPr>
                      <w:rFonts w:ascii="Cambria Math" w:hAnsi="Cambria Math"/>
                      <w:lang w:val="en-US"/>
                    </w:rPr>
                    <m:t>1=EER is disclosed</m:t>
                  </m:r>
                </m:e>
                <m:e>
                  <m:r>
                    <w:rPr>
                      <w:rFonts w:ascii="Cambria Math" w:hAnsi="Cambria Math"/>
                      <w:lang w:val="en-US"/>
                    </w:rPr>
                    <m:t xml:space="preserve">        0=EER is not disclosed</m:t>
                  </m:r>
                </m:e>
              </m:eqArr>
            </m:e>
          </m:d>
        </m:oMath>
      </m:oMathPara>
    </w:p>
    <w:p w14:paraId="0AC88FB8" w14:textId="77777777" w:rsidR="00291090" w:rsidRDefault="00291090" w:rsidP="009C5EFC">
      <w:pPr>
        <w:rPr>
          <w:lang w:val="en-US"/>
        </w:rPr>
      </w:pPr>
    </w:p>
    <w:p w14:paraId="3B80EE6D" w14:textId="286A22DF" w:rsidR="00580649" w:rsidRPr="007325DF" w:rsidRDefault="00F75B7A" w:rsidP="009C5EFC">
      <w:r w:rsidRPr="007325DF">
        <w:rPr>
          <w:lang w:val="en-US"/>
        </w:rPr>
        <w:t xml:space="preserve">Here, </w:t>
      </w:r>
      <w:r w:rsidR="00580649" w:rsidRPr="007325DF">
        <w:rPr>
          <w:lang w:val="en-US"/>
        </w:rPr>
        <w:t>X</w:t>
      </w:r>
      <w:r w:rsidR="001E7F5E" w:rsidRPr="007325DF">
        <w:rPr>
          <w:vertAlign w:val="subscript"/>
          <w:lang w:val="en-US"/>
        </w:rPr>
        <w:t>i</w:t>
      </w:r>
      <w:r w:rsidR="00580649" w:rsidRPr="007325DF">
        <w:rPr>
          <w:lang w:val="en-US"/>
        </w:rPr>
        <w:t xml:space="preserve"> </w:t>
      </w:r>
      <w:r w:rsidRPr="007325DF">
        <w:t xml:space="preserve">represents a </w:t>
      </w:r>
      <w:r w:rsidR="00580649" w:rsidRPr="007325DF">
        <w:t>vecto</w:t>
      </w:r>
      <w:r w:rsidRPr="007325DF">
        <w:t>r of regressors used to predict the characteristics that lead to non-disclosure</w:t>
      </w:r>
      <w:r w:rsidR="00580649" w:rsidRPr="007325DF">
        <w:t>.</w:t>
      </w:r>
      <w:r w:rsidRPr="007325DF">
        <w:t xml:space="preserve"> While we cannot observe the energy</w:t>
      </w:r>
      <w:r w:rsidR="005210B8">
        <w:t>-</w:t>
      </w:r>
      <w:r w:rsidRPr="007325DF">
        <w:t>efficiency</w:t>
      </w:r>
      <w:r w:rsidR="005210B8">
        <w:t xml:space="preserve"> levels</w:t>
      </w:r>
      <w:r w:rsidRPr="007325DF">
        <w:t xml:space="preserve"> of dwellings </w:t>
      </w:r>
      <w:r w:rsidR="007C2542">
        <w:t>for which</w:t>
      </w:r>
      <w:r w:rsidRPr="007325DF">
        <w:t xml:space="preserve"> this information </w:t>
      </w:r>
      <w:r w:rsidR="007C2542">
        <w:t xml:space="preserve">is not </w:t>
      </w:r>
      <w:r w:rsidRPr="007325DF">
        <w:t>disclosed, we can nevertheless infer some information from the marketing data and property description. The first</w:t>
      </w:r>
      <w:r w:rsidR="007C2542">
        <w:t xml:space="preserve"> </w:t>
      </w:r>
      <w:r w:rsidRPr="007325DF">
        <w:t>stage of our model is</w:t>
      </w:r>
      <w:r w:rsidR="00580649" w:rsidRPr="007325DF">
        <w:t xml:space="preserve"> a maximum-likelihood probit estimatio</w:t>
      </w:r>
      <w:r w:rsidRPr="007325DF">
        <w:t>n of the binary non-disclosure variable</w:t>
      </w:r>
      <w:r w:rsidR="00580649" w:rsidRPr="007325DF">
        <w:t xml:space="preserve">. </w:t>
      </w:r>
      <w:r w:rsidRPr="007325DF">
        <w:t>It is assumed that the</w:t>
      </w:r>
      <w:r w:rsidR="00580649" w:rsidRPr="007325DF">
        <w:t xml:space="preserve"> error terms of the </w:t>
      </w:r>
      <w:r w:rsidRPr="007325DF">
        <w:t xml:space="preserve">two-stage </w:t>
      </w:r>
      <w:r w:rsidR="00580649" w:rsidRPr="007325DF">
        <w:t>equations, u and ε</w:t>
      </w:r>
      <w:r w:rsidR="007C2542">
        <w:t>,</w:t>
      </w:r>
      <w:r w:rsidR="00580649" w:rsidRPr="007325DF">
        <w:t xml:space="preserve"> follow a bivariate normal distribution. </w:t>
      </w:r>
    </w:p>
    <w:p w14:paraId="10054877" w14:textId="77777777" w:rsidR="00E121E3" w:rsidRDefault="00E121E3" w:rsidP="00DC5DE3"/>
    <w:p w14:paraId="2D9547CD" w14:textId="77777777" w:rsidR="00E121E3" w:rsidRPr="0031418B" w:rsidRDefault="00E121E3" w:rsidP="00E121E3">
      <w:pPr>
        <w:contextualSpacing/>
        <w:rPr>
          <w:rFonts w:cs="Times New Roman"/>
          <w:i/>
          <w:noProof/>
        </w:rPr>
      </w:pPr>
      <w:r w:rsidRPr="0031418B">
        <w:rPr>
          <w:rFonts w:cs="Times New Roman"/>
          <w:i/>
          <w:noProof/>
        </w:rPr>
        <w:t>Quantile regression</w:t>
      </w:r>
    </w:p>
    <w:p w14:paraId="52F04E07" w14:textId="77777777" w:rsidR="00E121E3" w:rsidRDefault="00E121E3" w:rsidP="00E121E3">
      <w:pPr>
        <w:contextualSpacing/>
        <w:rPr>
          <w:rFonts w:cs="Times New Roman"/>
          <w:noProof/>
        </w:rPr>
      </w:pPr>
    </w:p>
    <w:p w14:paraId="67EE321D" w14:textId="1E02B748" w:rsidR="00E121E3" w:rsidRDefault="00E121E3" w:rsidP="00E121E3">
      <w:pPr>
        <w:contextualSpacing/>
        <w:rPr>
          <w:rFonts w:cs="Times New Roman"/>
          <w:noProof/>
        </w:rPr>
      </w:pPr>
      <w:r>
        <w:rPr>
          <w:rFonts w:cs="Times New Roman"/>
          <w:noProof/>
        </w:rPr>
        <w:t xml:space="preserve">Following the estimation of the baseline hedonic model as described above, we perform a quantile regression on an identical set of hedonic determinants. The rationale for doing so </w:t>
      </w:r>
      <w:r w:rsidR="006A25B2">
        <w:rPr>
          <w:rFonts w:cs="Times New Roman"/>
          <w:noProof/>
        </w:rPr>
        <w:t xml:space="preserve">is our proposition that a given EER </w:t>
      </w:r>
      <w:r w:rsidR="00291090">
        <w:rPr>
          <w:rFonts w:cs="Times New Roman"/>
          <w:noProof/>
        </w:rPr>
        <w:t>may be valued differently in lower and higher</w:t>
      </w:r>
      <w:r w:rsidR="006A25B2">
        <w:rPr>
          <w:rFonts w:cs="Times New Roman"/>
          <w:noProof/>
        </w:rPr>
        <w:t xml:space="preserve"> segments of the residential market. </w:t>
      </w:r>
      <w:r w:rsidR="00291090">
        <w:rPr>
          <w:rFonts w:cs="Times New Roman"/>
          <w:noProof/>
        </w:rPr>
        <w:t xml:space="preserve">Although it may be argued that a </w:t>
      </w:r>
      <w:r w:rsidR="00A35FD4">
        <w:rPr>
          <w:rFonts w:cs="Times New Roman"/>
          <w:noProof/>
        </w:rPr>
        <w:t xml:space="preserve">fxied </w:t>
      </w:r>
      <w:r w:rsidR="00291090">
        <w:rPr>
          <w:rFonts w:cs="Times New Roman"/>
          <w:noProof/>
        </w:rPr>
        <w:t>set of sustainability features</w:t>
      </w:r>
      <w:r w:rsidR="00A35FD4">
        <w:rPr>
          <w:rFonts w:cs="Times New Roman"/>
          <w:noProof/>
        </w:rPr>
        <w:t xml:space="preserve"> should achieve the same price regardless of the market segment,</w:t>
      </w:r>
      <w:r w:rsidR="00291090">
        <w:rPr>
          <w:rFonts w:cs="Times New Roman"/>
          <w:noProof/>
        </w:rPr>
        <w:t xml:space="preserve"> </w:t>
      </w:r>
      <w:r w:rsidR="00A35FD4">
        <w:rPr>
          <w:rFonts w:cs="Times New Roman"/>
          <w:noProof/>
        </w:rPr>
        <w:t>p</w:t>
      </w:r>
      <w:r w:rsidR="006A25B2">
        <w:rPr>
          <w:rFonts w:cs="Times New Roman"/>
          <w:noProof/>
        </w:rPr>
        <w:t xml:space="preserve">revious work indicates that the </w:t>
      </w:r>
      <w:r w:rsidR="006A25B2">
        <w:rPr>
          <w:rFonts w:cs="Times New Roman"/>
          <w:noProof/>
        </w:rPr>
        <w:lastRenderedPageBreak/>
        <w:t>willingness</w:t>
      </w:r>
      <w:r w:rsidR="00EC44BE">
        <w:rPr>
          <w:rFonts w:cs="Times New Roman"/>
          <w:noProof/>
        </w:rPr>
        <w:t xml:space="preserve"> </w:t>
      </w:r>
      <w:r w:rsidR="006A25B2">
        <w:rPr>
          <w:rFonts w:cs="Times New Roman"/>
          <w:noProof/>
        </w:rPr>
        <w:t>to</w:t>
      </w:r>
      <w:r w:rsidR="00EC44BE">
        <w:rPr>
          <w:rFonts w:cs="Times New Roman"/>
          <w:noProof/>
        </w:rPr>
        <w:t xml:space="preserve"> </w:t>
      </w:r>
      <w:r w:rsidR="006A25B2">
        <w:rPr>
          <w:rFonts w:cs="Times New Roman"/>
          <w:noProof/>
        </w:rPr>
        <w:t xml:space="preserve">pay for an eco-label or </w:t>
      </w:r>
      <w:r w:rsidR="00EC44BE">
        <w:rPr>
          <w:rFonts w:cs="Times New Roman"/>
          <w:noProof/>
        </w:rPr>
        <w:t>EER</w:t>
      </w:r>
      <w:r w:rsidR="006A25B2">
        <w:rPr>
          <w:rFonts w:cs="Times New Roman"/>
          <w:noProof/>
        </w:rPr>
        <w:t xml:space="preserve"> </w:t>
      </w:r>
      <w:r w:rsidR="00A35FD4">
        <w:rPr>
          <w:rFonts w:cs="Times New Roman"/>
          <w:noProof/>
        </w:rPr>
        <w:t xml:space="preserve">is mainly </w:t>
      </w:r>
      <w:r w:rsidR="00291090">
        <w:rPr>
          <w:rFonts w:cs="Times New Roman"/>
          <w:noProof/>
        </w:rPr>
        <w:t xml:space="preserve">prevalent in environmentally conscious </w:t>
      </w:r>
      <w:r w:rsidR="006A25B2">
        <w:rPr>
          <w:rFonts w:cs="Times New Roman"/>
          <w:noProof/>
        </w:rPr>
        <w:t xml:space="preserve">consumers with higher incomes (Fuerst </w:t>
      </w:r>
      <w:r w:rsidR="007F1022">
        <w:rPr>
          <w:rFonts w:cs="Times New Roman"/>
          <w:noProof/>
        </w:rPr>
        <w:t xml:space="preserve">&amp; </w:t>
      </w:r>
      <w:r w:rsidR="006A25B2">
        <w:rPr>
          <w:rFonts w:cs="Times New Roman"/>
          <w:noProof/>
        </w:rPr>
        <w:t>Shimizu</w:t>
      </w:r>
      <w:r w:rsidR="007F1022">
        <w:rPr>
          <w:rFonts w:cs="Times New Roman"/>
          <w:noProof/>
        </w:rPr>
        <w:t>,</w:t>
      </w:r>
      <w:r w:rsidR="006A25B2">
        <w:rPr>
          <w:rFonts w:cs="Times New Roman"/>
          <w:noProof/>
        </w:rPr>
        <w:t xml:space="preserve"> 201</w:t>
      </w:r>
      <w:r w:rsidR="00BF274B">
        <w:rPr>
          <w:rFonts w:cs="Times New Roman"/>
          <w:noProof/>
        </w:rPr>
        <w:t>6</w:t>
      </w:r>
      <w:r w:rsidR="007F1022">
        <w:rPr>
          <w:rFonts w:cs="Times New Roman"/>
          <w:noProof/>
        </w:rPr>
        <w:t>;</w:t>
      </w:r>
      <w:r w:rsidR="006A25B2">
        <w:rPr>
          <w:rFonts w:cs="Times New Roman"/>
          <w:noProof/>
        </w:rPr>
        <w:t xml:space="preserve"> Fuerst et al</w:t>
      </w:r>
      <w:r w:rsidR="007F1022">
        <w:rPr>
          <w:rFonts w:cs="Times New Roman"/>
          <w:noProof/>
        </w:rPr>
        <w:t>.,</w:t>
      </w:r>
      <w:r w:rsidR="006A25B2">
        <w:rPr>
          <w:rFonts w:cs="Times New Roman"/>
          <w:noProof/>
        </w:rPr>
        <w:t xml:space="preserve"> 2016). </w:t>
      </w:r>
      <w:r w:rsidR="00291090">
        <w:rPr>
          <w:rFonts w:cs="Times New Roman"/>
          <w:noProof/>
        </w:rPr>
        <w:t>Following</w:t>
      </w:r>
      <w:r w:rsidR="006A25B2">
        <w:rPr>
          <w:rFonts w:cs="Times New Roman"/>
          <w:noProof/>
        </w:rPr>
        <w:t xml:space="preserve"> Koenker</w:t>
      </w:r>
      <w:r w:rsidR="00291090">
        <w:rPr>
          <w:rFonts w:cs="Times New Roman"/>
          <w:noProof/>
        </w:rPr>
        <w:t>’s</w:t>
      </w:r>
      <w:r w:rsidR="006A25B2">
        <w:rPr>
          <w:rFonts w:cs="Times New Roman"/>
          <w:noProof/>
        </w:rPr>
        <w:t xml:space="preserve"> (2005)</w:t>
      </w:r>
      <w:r w:rsidR="00291090">
        <w:rPr>
          <w:rFonts w:cs="Times New Roman"/>
          <w:noProof/>
        </w:rPr>
        <w:t xml:space="preserve"> general specification</w:t>
      </w:r>
      <w:r w:rsidR="006A25B2">
        <w:rPr>
          <w:rFonts w:cs="Times New Roman"/>
          <w:noProof/>
        </w:rPr>
        <w:t xml:space="preserve">, we estimate the following model: </w:t>
      </w:r>
    </w:p>
    <w:p w14:paraId="38057EFE" w14:textId="77777777" w:rsidR="00E121E3" w:rsidRPr="00B827A8" w:rsidRDefault="00E121E3" w:rsidP="00E121E3">
      <w:pPr>
        <w:contextualSpacing/>
        <w:rPr>
          <w:rFonts w:cs="Times New Roman"/>
          <w:noProof/>
        </w:rPr>
      </w:pPr>
    </w:p>
    <w:p w14:paraId="45E5A4CC" w14:textId="552BA44F" w:rsidR="00E121E3" w:rsidRPr="007F1022" w:rsidRDefault="007B7F7D" w:rsidP="00E121E3">
      <m:oMath>
        <m:sSub>
          <m:sSubPr>
            <m:ctrlPr>
              <w:rPr>
                <w:rFonts w:ascii="Cambria Math" w:hAnsi="Cambria Math" w:cs="Times New Roman"/>
                <w:i/>
                <w:noProof/>
                <w:lang w:val="en-US"/>
              </w:rPr>
            </m:ctrlPr>
          </m:sSubPr>
          <m:e>
            <m:r>
              <w:rPr>
                <w:rFonts w:ascii="Cambria Math" w:hAnsi="Cambria Math" w:cs="Times New Roman"/>
                <w:noProof/>
                <w:lang w:val="en-US"/>
              </w:rPr>
              <m:t>P</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m:t>
            </m:r>
          </m:e>
          <m:sub>
            <m:r>
              <w:rPr>
                <w:rFonts w:ascii="Cambria Math" w:hAnsi="Cambria Math" w:cs="Times New Roman"/>
                <w:noProof/>
                <w:lang w:val="en-US"/>
              </w:rPr>
              <m:t>i</m:t>
            </m:r>
          </m:sub>
        </m:sSub>
        <m:r>
          <w:rPr>
            <w:rFonts w:ascii="Cambria Math" w:hAnsi="Cambria Math" w:cs="Times New Roman"/>
            <w:noProof/>
            <w:lang w:val="en-US"/>
          </w:rPr>
          <m:t>+</m:t>
        </m:r>
        <m:nary>
          <m:naryPr>
            <m:chr m:val="∑"/>
            <m:limLoc m:val="undOvr"/>
            <m:ctrlPr>
              <w:rPr>
                <w:rFonts w:ascii="Cambria Math" w:hAnsi="Cambria Math" w:cs="Times New Roman"/>
                <w:i/>
                <w:noProof/>
                <w:lang w:val="en-US"/>
              </w:rPr>
            </m:ctrlPr>
          </m:naryPr>
          <m:sub>
            <m:r>
              <w:rPr>
                <w:rFonts w:ascii="Cambria Math" w:hAnsi="Cambria Math" w:cs="Times New Roman"/>
                <w:noProof/>
                <w:lang w:val="en-US"/>
              </w:rPr>
              <m:t>j=1</m:t>
            </m:r>
          </m:sub>
          <m:sup>
            <m:r>
              <w:rPr>
                <w:rFonts w:ascii="Cambria Math" w:hAnsi="Cambria Math" w:cs="Times New Roman"/>
                <w:noProof/>
                <w:lang w:val="en-US"/>
              </w:rPr>
              <m:t>J</m:t>
            </m:r>
          </m:sup>
          <m:e>
            <m:sSub>
              <m:sSubPr>
                <m:ctrlPr>
                  <w:rPr>
                    <w:rFonts w:ascii="Cambria Math" w:hAnsi="Cambria Math" w:cs="Times New Roman"/>
                    <w:i/>
                    <w:noProof/>
                    <w:lang w:val="en-US"/>
                  </w:rPr>
                </m:ctrlPr>
              </m:sSubPr>
              <m:e>
                <m:r>
                  <w:rPr>
                    <w:rFonts w:ascii="Cambria Math" w:hAnsi="Cambria Math" w:cs="Times New Roman"/>
                    <w:noProof/>
                    <w:lang w:val="en-US"/>
                  </w:rPr>
                  <m:t>β</m:t>
                </m:r>
              </m:e>
              <m:sub>
                <m:r>
                  <w:rPr>
                    <w:rFonts w:ascii="Cambria Math" w:hAnsi="Cambria Math" w:cs="Times New Roman"/>
                    <w:noProof/>
                    <w:lang w:val="en-US"/>
                  </w:rPr>
                  <m:t>j</m:t>
                </m:r>
              </m:sub>
            </m:sSub>
          </m:e>
        </m:nary>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j</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μ</m:t>
            </m:r>
          </m:e>
          <m:sub>
            <m:r>
              <w:rPr>
                <w:rFonts w:ascii="Cambria Math" w:hAnsi="Cambria Math" w:cs="Times New Roman"/>
                <w:noProof/>
                <w:lang w:val="en-US"/>
              </w:rPr>
              <m:t>it</m:t>
            </m:r>
          </m:sub>
        </m:sSub>
        <m:r>
          <w:rPr>
            <w:rFonts w:ascii="Cambria Math" w:hAnsi="Cambria Math" w:cs="Times New Roman"/>
            <w:noProof/>
            <w:lang w:val="en-US"/>
          </w:rPr>
          <m:t xml:space="preserve">;  </m:t>
        </m:r>
        <m:sSub>
          <m:sSubPr>
            <m:ctrlPr>
              <w:rPr>
                <w:rFonts w:ascii="Cambria Math" w:hAnsi="Cambria Math" w:cs="Times New Roman"/>
                <w:i/>
                <w:noProof/>
                <w:lang w:val="en-US"/>
              </w:rPr>
            </m:ctrlPr>
          </m:sSubPr>
          <m:e>
            <m:r>
              <w:rPr>
                <w:rFonts w:ascii="Cambria Math" w:hAnsi="Cambria Math" w:cs="Times New Roman"/>
                <w:noProof/>
                <w:lang w:val="en-US"/>
              </w:rPr>
              <m:t>Quant</m:t>
            </m:r>
          </m:e>
          <m:sub>
            <m:r>
              <w:rPr>
                <w:rFonts w:ascii="Cambria Math" w:hAnsi="Cambria Math" w:cs="Times New Roman"/>
                <w:noProof/>
                <w:lang w:val="en-US"/>
              </w:rPr>
              <m:t>ϑ</m:t>
            </m:r>
          </m:sub>
        </m:sSub>
        <m:d>
          <m:dPr>
            <m:ctrlPr>
              <w:rPr>
                <w:rFonts w:ascii="Cambria Math" w:hAnsi="Cambria Math" w:cs="Times New Roman"/>
                <w:i/>
                <w:noProof/>
                <w:lang w:val="en-US"/>
              </w:rPr>
            </m:ctrlPr>
          </m:dPr>
          <m:e>
            <m:sSub>
              <m:sSubPr>
                <m:ctrlPr>
                  <w:rPr>
                    <w:rFonts w:ascii="Cambria Math" w:hAnsi="Cambria Math" w:cs="Times New Roman"/>
                    <w:i/>
                    <w:noProof/>
                    <w:lang w:val="en-US"/>
                  </w:rPr>
                </m:ctrlPr>
              </m:sSubPr>
              <m:e>
                <m:r>
                  <w:rPr>
                    <w:rFonts w:ascii="Cambria Math" w:hAnsi="Cambria Math" w:cs="Times New Roman"/>
                    <w:noProof/>
                    <w:lang w:val="en-US"/>
                  </w:rPr>
                  <m:t>P</m:t>
                </m:r>
              </m:e>
              <m:sub>
                <m:r>
                  <w:rPr>
                    <w:rFonts w:ascii="Cambria Math" w:hAnsi="Cambria Math" w:cs="Times New Roman"/>
                    <w:noProof/>
                    <w:lang w:val="en-US"/>
                  </w:rPr>
                  <m:t>it</m:t>
                </m:r>
              </m:sub>
            </m:sSub>
          </m:e>
        </m:d>
        <m:r>
          <w:rPr>
            <w:rFonts w:ascii="Cambria Math" w:hAnsi="Cambria Math" w:cs="Times New Roman"/>
            <w:noProof/>
            <w:lang w:val="en-US"/>
          </w:rPr>
          <m:t>=φ</m:t>
        </m:r>
        <m:sSub>
          <m:sSubPr>
            <m:ctrlPr>
              <w:rPr>
                <w:rFonts w:ascii="Cambria Math" w:hAnsi="Cambria Math" w:cs="Times New Roman"/>
                <w:i/>
                <w:noProof/>
                <w:lang w:val="en-US"/>
              </w:rPr>
            </m:ctrlPr>
          </m:sSubPr>
          <m:e>
            <m:r>
              <w:rPr>
                <w:rFonts w:ascii="Cambria Math" w:hAnsi="Cambria Math" w:cs="Times New Roman"/>
                <w:noProof/>
                <w:lang w:val="en-US"/>
              </w:rPr>
              <m:t>X</m:t>
            </m:r>
          </m:e>
          <m:sub>
            <m:r>
              <w:rPr>
                <w:rFonts w:ascii="Cambria Math" w:hAnsi="Cambria Math" w:cs="Times New Roman"/>
                <w:noProof/>
                <w:lang w:val="en-US"/>
              </w:rPr>
              <m:t>j</m:t>
            </m:r>
          </m:sub>
        </m:sSub>
      </m:oMath>
      <w:r w:rsidR="00EC44BE">
        <w:rPr>
          <w:rFonts w:eastAsiaTheme="minorEastAsia"/>
          <w:lang w:val="en-US"/>
        </w:rPr>
        <w:t>.</w:t>
      </w:r>
    </w:p>
    <w:p w14:paraId="354BC727" w14:textId="77777777" w:rsidR="00E121E3" w:rsidRPr="00DC5DE3" w:rsidRDefault="00E121E3" w:rsidP="00E121E3"/>
    <w:p w14:paraId="35B9C2B1" w14:textId="536ABD48" w:rsidR="00E121E3" w:rsidRDefault="00C86A72" w:rsidP="00DC5DE3">
      <w:r>
        <w:t>Th</w:t>
      </w:r>
      <w:r w:rsidR="00EC44BE">
        <w:t>is</w:t>
      </w:r>
      <w:r>
        <w:t xml:space="preserve"> estimation follows our baseline OLS model in that it uses the same </w:t>
      </w:r>
      <w:r w:rsidRPr="007325DF">
        <w:rPr>
          <w:i/>
        </w:rPr>
        <w:t>X</w:t>
      </w:r>
      <w:r w:rsidRPr="007325DF">
        <w:rPr>
          <w:i/>
          <w:vertAlign w:val="subscript"/>
        </w:rPr>
        <w:t>j</w:t>
      </w:r>
      <w:r>
        <w:rPr>
          <w:i/>
        </w:rPr>
        <w:t xml:space="preserve"> </w:t>
      </w:r>
      <w:r w:rsidRPr="007325DF">
        <w:t>vector of hedonic determinants</w:t>
      </w:r>
      <w:r w:rsidR="00EC44BE">
        <w:t>,</w:t>
      </w:r>
      <w:r>
        <w:t xml:space="preserve"> but instead of an average effect, the </w:t>
      </w:r>
      <w:r>
        <w:rPr>
          <w:rFonts w:ascii="Arial" w:hAnsi="Arial" w:cs="Arial"/>
        </w:rPr>
        <w:t>ϑ</w:t>
      </w:r>
      <w:r>
        <w:t xml:space="preserve">th quantile </w:t>
      </w:r>
      <w:r w:rsidR="00D5224F">
        <w:t xml:space="preserve">is estimated using a check function with asymmetric weights for positive and negative values yielding point estimates for any quantiles in the distribution. </w:t>
      </w:r>
    </w:p>
    <w:p w14:paraId="2F2E8236" w14:textId="77777777" w:rsidR="0042325E" w:rsidRDefault="0042325E" w:rsidP="00D26F46"/>
    <w:p w14:paraId="26461940" w14:textId="40EC547D" w:rsidR="0042325E" w:rsidRDefault="0042325E" w:rsidP="000A077F">
      <w:pPr>
        <w:pStyle w:val="Heading1"/>
      </w:pPr>
      <w:r>
        <w:t>Data</w:t>
      </w:r>
    </w:p>
    <w:p w14:paraId="6A43789A" w14:textId="77777777" w:rsidR="0042325E" w:rsidRDefault="0042325E" w:rsidP="00D26F46"/>
    <w:p w14:paraId="3976894F" w14:textId="66946A00" w:rsidR="0042325E" w:rsidRDefault="0042325E" w:rsidP="00D26F46">
      <w:r>
        <w:t xml:space="preserve">The Australian Capital Territory </w:t>
      </w:r>
      <w:r w:rsidR="00EC44BE">
        <w:t xml:space="preserve">(ACT) </w:t>
      </w:r>
      <w:r w:rsidRPr="004E1458">
        <w:t>is a small</w:t>
      </w:r>
      <w:r w:rsidR="00EC44BE">
        <w:t>,</w:t>
      </w:r>
      <w:r w:rsidR="00A06807">
        <w:t xml:space="preserve"> self-governing</w:t>
      </w:r>
      <w:r w:rsidRPr="004E1458">
        <w:t xml:space="preserve"> territory of 2</w:t>
      </w:r>
      <w:r w:rsidR="008D741A">
        <w:t>,</w:t>
      </w:r>
      <w:r w:rsidRPr="004E1458">
        <w:t xml:space="preserve">358 square kilometres </w:t>
      </w:r>
      <w:r w:rsidR="00EC44BE">
        <w:t>located</w:t>
      </w:r>
      <w:r>
        <w:t xml:space="preserve"> </w:t>
      </w:r>
      <w:r w:rsidR="00EC44BE">
        <w:t>with</w:t>
      </w:r>
      <w:r>
        <w:t xml:space="preserve">in New South Wales, between the cities of Melbourne and Sydney. Canberra, Australia’s </w:t>
      </w:r>
      <w:r w:rsidR="00EC44BE">
        <w:t>national c</w:t>
      </w:r>
      <w:r>
        <w:t>apital, is the only city within th</w:t>
      </w:r>
      <w:r w:rsidR="00EC44BE">
        <w:t>e</w:t>
      </w:r>
      <w:r>
        <w:t xml:space="preserve"> </w:t>
      </w:r>
      <w:r w:rsidR="00EC44BE">
        <w:t>ACT</w:t>
      </w:r>
      <w:r>
        <w:t xml:space="preserve"> and </w:t>
      </w:r>
      <w:r w:rsidR="00EC44BE">
        <w:t>comprises</w:t>
      </w:r>
      <w:r>
        <w:t xml:space="preserve"> the majority of the territory</w:t>
      </w:r>
      <w:r w:rsidR="00EC44BE">
        <w:t>’s</w:t>
      </w:r>
      <w:r>
        <w:t xml:space="preserve"> area. In 2011</w:t>
      </w:r>
      <w:r w:rsidR="00EC44BE">
        <w:t>,</w:t>
      </w:r>
      <w:r>
        <w:t xml:space="preserve"> according to Census data, Canberra</w:t>
      </w:r>
      <w:r w:rsidR="00EC44BE">
        <w:t>’s</w:t>
      </w:r>
      <w:r>
        <w:t xml:space="preserve"> population </w:t>
      </w:r>
      <w:r w:rsidR="00EC44BE">
        <w:t>was</w:t>
      </w:r>
      <w:r>
        <w:t xml:space="preserve"> 356,585</w:t>
      </w:r>
      <w:r w:rsidR="00EC44BE">
        <w:t>,</w:t>
      </w:r>
      <w:r>
        <w:t xml:space="preserve"> and </w:t>
      </w:r>
      <w:r w:rsidR="005210B8">
        <w:t xml:space="preserve">it </w:t>
      </w:r>
      <w:r>
        <w:t xml:space="preserve">is anticipated to be </w:t>
      </w:r>
      <w:r w:rsidR="00EC44BE">
        <w:t>nearly</w:t>
      </w:r>
      <w:r>
        <w:t xml:space="preserve"> 400,000 by the end of 2017. The city is relatively low</w:t>
      </w:r>
      <w:r w:rsidR="00045A3A">
        <w:t xml:space="preserve"> </w:t>
      </w:r>
      <w:r>
        <w:t>density compar</w:t>
      </w:r>
      <w:r w:rsidR="00EC44BE">
        <w:t>ed with</w:t>
      </w:r>
      <w:r>
        <w:t xml:space="preserve"> most </w:t>
      </w:r>
      <w:r w:rsidR="00D9680E">
        <w:t>other</w:t>
      </w:r>
      <w:r>
        <w:t xml:space="preserve"> capital cities in Australia, and the land</w:t>
      </w:r>
      <w:r w:rsidR="00045A3A">
        <w:t xml:space="preserve"> </w:t>
      </w:r>
      <w:r>
        <w:t>tenure</w:t>
      </w:r>
      <w:r w:rsidR="005210B8">
        <w:t xml:space="preserve"> system</w:t>
      </w:r>
      <w:r>
        <w:t xml:space="preserve"> differs from </w:t>
      </w:r>
      <w:r w:rsidR="00D9680E">
        <w:t xml:space="preserve">that </w:t>
      </w:r>
      <w:r w:rsidR="005210B8">
        <w:t>used elsewhere</w:t>
      </w:r>
      <w:r>
        <w:t xml:space="preserve"> in that it is </w:t>
      </w:r>
      <w:r w:rsidR="00D9680E">
        <w:t>based on</w:t>
      </w:r>
      <w:r>
        <w:t xml:space="preserve"> 99</w:t>
      </w:r>
      <w:r w:rsidR="00D9680E">
        <w:t>-</w:t>
      </w:r>
      <w:r>
        <w:t xml:space="preserve">year leases. </w:t>
      </w:r>
      <w:r w:rsidR="005210B8">
        <w:t>There are, o</w:t>
      </w:r>
      <w:r>
        <w:t xml:space="preserve">n average, about </w:t>
      </w:r>
      <w:r w:rsidR="005210B8">
        <w:t>8</w:t>
      </w:r>
      <w:r w:rsidR="008D741A">
        <w:t>,</w:t>
      </w:r>
      <w:r w:rsidR="005210B8">
        <w:t>500</w:t>
      </w:r>
      <w:r>
        <w:t xml:space="preserve"> residential sales in Canberra</w:t>
      </w:r>
      <w:r w:rsidR="00D9680E">
        <w:t xml:space="preserve"> per annum</w:t>
      </w:r>
      <w:r>
        <w:t xml:space="preserve"> (Allhomes, 2017). </w:t>
      </w:r>
      <w:r w:rsidR="00A06807">
        <w:t>The ACT has the highest energy usage per capita in Australia, mostly as a result of the very cold winters and hot summers</w:t>
      </w:r>
      <w:r w:rsidR="00D9680E">
        <w:t xml:space="preserve"> that are characteristic of the region (</w:t>
      </w:r>
      <w:r w:rsidR="00D9680E" w:rsidRPr="003A393B">
        <w:rPr>
          <w:lang w:val="en-AU"/>
        </w:rPr>
        <w:t>DEWHA, 2008a; Environment and Planning, 2015</w:t>
      </w:r>
      <w:r w:rsidR="00D9680E">
        <w:rPr>
          <w:lang w:val="en-AU"/>
        </w:rPr>
        <w:t xml:space="preserve">; </w:t>
      </w:r>
      <w:r w:rsidR="00D9680E">
        <w:t>Pitt &amp; Sherry, 2014</w:t>
      </w:r>
      <w:r w:rsidR="00D9680E">
        <w:rPr>
          <w:lang w:val="en-AU"/>
        </w:rPr>
        <w:t>)</w:t>
      </w:r>
      <w:r w:rsidR="00A06807">
        <w:t xml:space="preserve">. </w:t>
      </w:r>
      <w:r w:rsidR="008C055A">
        <w:t>Consequently,</w:t>
      </w:r>
      <w:r w:rsidR="00A06807">
        <w:t xml:space="preserve"> the use of a thermal</w:t>
      </w:r>
      <w:r w:rsidR="005E2EAA">
        <w:t>-</w:t>
      </w:r>
      <w:r w:rsidR="00A06807">
        <w:t>performance assessment method is an important consideration</w:t>
      </w:r>
      <w:r w:rsidR="008D741A">
        <w:t xml:space="preserve"> for energy consumption</w:t>
      </w:r>
      <w:r w:rsidR="00A06807">
        <w:t xml:space="preserve">. </w:t>
      </w:r>
      <w:r>
        <w:t>As previously mentioned, the ACT is the only state or territory in Australia that has a mandatory residential energy</w:t>
      </w:r>
      <w:r w:rsidR="005210B8">
        <w:t>-</w:t>
      </w:r>
      <w:r>
        <w:t xml:space="preserve">efficiency disclosure program for all properties, governed by the Civil Law Act (Sale of Residential Property) 2003 and the Residential Tenancies Act 1997. </w:t>
      </w:r>
      <w:r w:rsidRPr="005725B4">
        <w:t xml:space="preserve">This </w:t>
      </w:r>
      <w:r w:rsidR="00D9680E">
        <w:t>facilitates</w:t>
      </w:r>
      <w:r w:rsidRPr="005725B4">
        <w:t xml:space="preserve"> an in-depth market study in a concentrated area with a </w:t>
      </w:r>
      <w:r w:rsidR="005210B8">
        <w:t>stable</w:t>
      </w:r>
      <w:r w:rsidRPr="005725B4">
        <w:t xml:space="preserve"> market in relation to EERs</w:t>
      </w:r>
      <w:r w:rsidR="0015510B">
        <w:t>, which</w:t>
      </w:r>
      <w:r w:rsidRPr="005725B4">
        <w:t xml:space="preserve"> have been required since 1999. Further, the data and market </w:t>
      </w:r>
      <w:r w:rsidR="0015510B">
        <w:t xml:space="preserve">that are </w:t>
      </w:r>
      <w:r w:rsidRPr="005725B4">
        <w:t xml:space="preserve">examined are from </w:t>
      </w:r>
      <w:r w:rsidR="0015510B">
        <w:t>a single</w:t>
      </w:r>
      <w:r w:rsidRPr="005725B4">
        <w:t xml:space="preserve"> climate zone, </w:t>
      </w:r>
      <w:r w:rsidR="0015510B">
        <w:t>enabling</w:t>
      </w:r>
      <w:r w:rsidRPr="005725B4">
        <w:t xml:space="preserve"> comparison</w:t>
      </w:r>
      <w:r w:rsidR="0015510B">
        <w:t>s</w:t>
      </w:r>
      <w:r w:rsidRPr="005725B4">
        <w:t xml:space="preserve"> </w:t>
      </w:r>
      <w:r w:rsidR="0015510B">
        <w:t>of</w:t>
      </w:r>
      <w:r w:rsidRPr="005725B4">
        <w:t xml:space="preserve"> ratings </w:t>
      </w:r>
      <w:r w:rsidR="0015510B">
        <w:t>relative</w:t>
      </w:r>
      <w:r w:rsidRPr="005725B4">
        <w:t xml:space="preserve"> </w:t>
      </w:r>
      <w:r w:rsidR="0015510B">
        <w:t xml:space="preserve">to one </w:t>
      </w:r>
      <w:r w:rsidRPr="005725B4">
        <w:t>baseline</w:t>
      </w:r>
      <w:r w:rsidR="0015510B">
        <w:t>,</w:t>
      </w:r>
      <w:r w:rsidRPr="005725B4">
        <w:t xml:space="preserve"> </w:t>
      </w:r>
      <w:r w:rsidR="0015510B">
        <w:t>u</w:t>
      </w:r>
      <w:r w:rsidRPr="005725B4">
        <w:t>nlike</w:t>
      </w:r>
      <w:r w:rsidR="00E44E1A">
        <w:t xml:space="preserve"> most of national-level </w:t>
      </w:r>
      <w:r w:rsidRPr="005725B4">
        <w:t>studies</w:t>
      </w:r>
      <w:r w:rsidR="0015510B">
        <w:t>,</w:t>
      </w:r>
      <w:r>
        <w:t xml:space="preserve"> which </w:t>
      </w:r>
      <w:r w:rsidR="0015510B">
        <w:t>include</w:t>
      </w:r>
      <w:r>
        <w:t xml:space="preserve"> </w:t>
      </w:r>
      <w:r w:rsidR="00E44E1A">
        <w:t xml:space="preserve">large </w:t>
      </w:r>
      <w:r>
        <w:t xml:space="preserve">variations in </w:t>
      </w:r>
      <w:r w:rsidR="008C055A">
        <w:t>climatic zone</w:t>
      </w:r>
      <w:r w:rsidR="0015510B">
        <w:t>s</w:t>
      </w:r>
      <w:r w:rsidR="00E44E1A">
        <w:t>,</w:t>
      </w:r>
      <w:r w:rsidR="008C055A">
        <w:t xml:space="preserve"> </w:t>
      </w:r>
      <w:r w:rsidR="00E44E1A">
        <w:t>emissions profiles and local and regional regulatory requirements</w:t>
      </w:r>
      <w:r>
        <w:t>. Th</w:t>
      </w:r>
      <w:r w:rsidR="005210B8">
        <w:t>us, th</w:t>
      </w:r>
      <w:r>
        <w:t>is study</w:t>
      </w:r>
      <w:r w:rsidR="0015510B">
        <w:t>’s focus</w:t>
      </w:r>
      <w:r>
        <w:t xml:space="preserve"> </w:t>
      </w:r>
      <w:r w:rsidR="0015510B">
        <w:t>on</w:t>
      </w:r>
      <w:r>
        <w:t xml:space="preserve"> the ACT </w:t>
      </w:r>
      <w:r w:rsidR="00E44E1A">
        <w:t>largely removes the</w:t>
      </w:r>
      <w:r w:rsidRPr="005725B4">
        <w:t xml:space="preserve"> bias </w:t>
      </w:r>
      <w:r w:rsidR="0015510B">
        <w:t xml:space="preserve">that is </w:t>
      </w:r>
      <w:r w:rsidRPr="005725B4">
        <w:t xml:space="preserve">often found in datasets </w:t>
      </w:r>
      <w:r w:rsidR="0015510B">
        <w:t>from</w:t>
      </w:r>
      <w:r w:rsidRPr="005725B4">
        <w:t xml:space="preserve"> markets </w:t>
      </w:r>
      <w:r w:rsidR="00E44E1A">
        <w:t>spanning</w:t>
      </w:r>
      <w:r w:rsidR="0015510B">
        <w:t xml:space="preserve"> various</w:t>
      </w:r>
      <w:r w:rsidRPr="005725B4">
        <w:t xml:space="preserve"> states and</w:t>
      </w:r>
      <w:r w:rsidR="0015510B">
        <w:t>/or</w:t>
      </w:r>
      <w:r w:rsidRPr="005725B4">
        <w:t xml:space="preserve"> geographical areas</w:t>
      </w:r>
      <w:r>
        <w:t>.</w:t>
      </w:r>
    </w:p>
    <w:p w14:paraId="137E5B9E" w14:textId="77777777" w:rsidR="0042325E" w:rsidRDefault="0042325E" w:rsidP="00D26F46"/>
    <w:p w14:paraId="718D6D8C" w14:textId="2E3F8BAD" w:rsidR="0042325E" w:rsidRDefault="0042325E" w:rsidP="00D26F46">
      <w:r>
        <w:t>This study investigate</w:t>
      </w:r>
      <w:r w:rsidR="0015510B">
        <w:t>s</w:t>
      </w:r>
      <w:r>
        <w:t xml:space="preserve"> </w:t>
      </w:r>
      <w:r w:rsidRPr="00960928">
        <w:t xml:space="preserve">the </w:t>
      </w:r>
      <w:r>
        <w:t>price implications of an EER for both sold and rented properties in the ACT</w:t>
      </w:r>
      <w:r w:rsidR="00980A6D">
        <w:t xml:space="preserve"> to establish</w:t>
      </w:r>
      <w:r>
        <w:t xml:space="preserve"> whether housing consumers in the ACT </w:t>
      </w:r>
      <w:r w:rsidR="00980A6D">
        <w:t>display</w:t>
      </w:r>
      <w:r>
        <w:t xml:space="preserve"> a preference for premises</w:t>
      </w:r>
      <w:r w:rsidR="00980A6D">
        <w:t xml:space="preserve"> with EERs</w:t>
      </w:r>
      <w:r>
        <w:t xml:space="preserve"> </w:t>
      </w:r>
      <w:r w:rsidR="00980A6D">
        <w:t xml:space="preserve">as </w:t>
      </w:r>
      <w:r>
        <w:t xml:space="preserve">demonstrated </w:t>
      </w:r>
      <w:r w:rsidR="00980A6D">
        <w:t>by price</w:t>
      </w:r>
      <w:r>
        <w:t xml:space="preserve"> premiums </w:t>
      </w:r>
      <w:r w:rsidR="00980A6D">
        <w:t>for properties</w:t>
      </w:r>
      <w:r>
        <w:t xml:space="preserve"> with higher EER</w:t>
      </w:r>
      <w:r w:rsidR="00980A6D">
        <w:t>s</w:t>
      </w:r>
      <w:r>
        <w:t xml:space="preserve">. </w:t>
      </w:r>
      <w:r w:rsidR="00980A6D">
        <w:t>The d</w:t>
      </w:r>
      <w:r w:rsidRPr="00960928">
        <w:t>ata</w:t>
      </w:r>
      <w:r>
        <w:t xml:space="preserve"> </w:t>
      </w:r>
      <w:r w:rsidR="00980A6D">
        <w:t>used in the study were</w:t>
      </w:r>
      <w:r w:rsidRPr="00960928">
        <w:t xml:space="preserve"> collected from All</w:t>
      </w:r>
      <w:r w:rsidR="00980A6D">
        <w:t>h</w:t>
      </w:r>
      <w:r w:rsidRPr="00960928">
        <w:t>omes</w:t>
      </w:r>
      <w:r>
        <w:t>, the main real estate website in the ACT</w:t>
      </w:r>
      <w:r w:rsidR="00980A6D">
        <w:t>,</w:t>
      </w:r>
      <w:r w:rsidRPr="00960928">
        <w:t xml:space="preserve"> through Australian Property Monitor</w:t>
      </w:r>
      <w:r w:rsidR="00980A6D">
        <w:t>s</w:t>
      </w:r>
      <w:r>
        <w:t xml:space="preserve"> (APM)</w:t>
      </w:r>
      <w:r w:rsidR="00980A6D">
        <w:t xml:space="preserve"> and</w:t>
      </w:r>
      <w:r>
        <w:t xml:space="preserve"> </w:t>
      </w:r>
      <w:r w:rsidRPr="00960928">
        <w:t>comprise</w:t>
      </w:r>
      <w:r>
        <w:t>d all</w:t>
      </w:r>
      <w:r w:rsidRPr="00960928">
        <w:t xml:space="preserve"> sales and rental</w:t>
      </w:r>
      <w:r>
        <w:t xml:space="preserve"> transactions</w:t>
      </w:r>
      <w:r w:rsidRPr="00960928">
        <w:t xml:space="preserve"> </w:t>
      </w:r>
      <w:r w:rsidR="00980A6D">
        <w:t>in</w:t>
      </w:r>
      <w:r w:rsidRPr="00960928">
        <w:t xml:space="preserve"> the ACT fro</w:t>
      </w:r>
      <w:r>
        <w:t xml:space="preserve">m January 2011 to December 2016. The data </w:t>
      </w:r>
      <w:r w:rsidR="00980A6D">
        <w:t>included</w:t>
      </w:r>
      <w:r>
        <w:t xml:space="preserve"> information on the properties’ address, reported price (</w:t>
      </w:r>
      <w:r w:rsidR="00980A6D">
        <w:t>sale</w:t>
      </w:r>
      <w:r>
        <w:t xml:space="preserve"> price or </w:t>
      </w:r>
      <w:r w:rsidR="00980A6D">
        <w:t xml:space="preserve">weekly </w:t>
      </w:r>
      <w:r>
        <w:t>rental), transaction date, sale method, EER, listing type, property type, bedrooms, bathrooms, garage, car</w:t>
      </w:r>
      <w:r w:rsidR="00045A3A">
        <w:t>-</w:t>
      </w:r>
      <w:r>
        <w:t>parking arrangements, heating and air conditioning types, swimming pool, sauna and spa. In addition to this information</w:t>
      </w:r>
      <w:r w:rsidR="00980A6D">
        <w:t>,</w:t>
      </w:r>
      <w:r>
        <w:t xml:space="preserve"> the listing summary and listing descriptions were </w:t>
      </w:r>
      <w:r w:rsidR="00980A6D">
        <w:t>provided</w:t>
      </w:r>
      <w:r>
        <w:t xml:space="preserve">. These are the sales/leasing blurbs that are </w:t>
      </w:r>
      <w:r w:rsidR="00980A6D">
        <w:t>used to advertise</w:t>
      </w:r>
      <w:r>
        <w:t xml:space="preserve"> the </w:t>
      </w:r>
      <w:r w:rsidR="00980A6D">
        <w:t>property</w:t>
      </w:r>
      <w:r>
        <w:t xml:space="preserve"> and provide a detailed description of the attributes and characteristics of the property. </w:t>
      </w:r>
      <w:r w:rsidR="00980A6D">
        <w:t xml:space="preserve">Access </w:t>
      </w:r>
      <w:r>
        <w:t xml:space="preserve">to this level of information is unique in comparison </w:t>
      </w:r>
      <w:r w:rsidR="00980A6D">
        <w:t>with</w:t>
      </w:r>
      <w:r>
        <w:t xml:space="preserve"> the usual data that can be obtained through APM. The benefit </w:t>
      </w:r>
      <w:r w:rsidR="00980A6D">
        <w:t>in terms of this study</w:t>
      </w:r>
      <w:r>
        <w:t xml:space="preserve"> is that further characteristics and attributes of the property can be </w:t>
      </w:r>
      <w:r w:rsidR="003B301D">
        <w:t>obtained</w:t>
      </w:r>
      <w:r>
        <w:t xml:space="preserve"> </w:t>
      </w:r>
      <w:r w:rsidR="003B301D">
        <w:t>from</w:t>
      </w:r>
      <w:r>
        <w:t xml:space="preserve"> the listing summaries and descriptions. A range of terms </w:t>
      </w:r>
      <w:r w:rsidR="003B301D">
        <w:t>was</w:t>
      </w:r>
      <w:r>
        <w:t xml:space="preserve"> used in the data</w:t>
      </w:r>
      <w:r w:rsidR="003B301D">
        <w:t>-</w:t>
      </w:r>
      <w:r>
        <w:t>mining</w:t>
      </w:r>
      <w:r w:rsidR="003B301D">
        <w:t xml:space="preserve"> process. These</w:t>
      </w:r>
      <w:r>
        <w:t xml:space="preserve"> were based on </w:t>
      </w:r>
      <w:r w:rsidR="003B301D">
        <w:t xml:space="preserve">an </w:t>
      </w:r>
      <w:r>
        <w:t xml:space="preserve">analysis of common terms used in listing </w:t>
      </w:r>
      <w:r>
        <w:lastRenderedPageBreak/>
        <w:t>descriptions, a</w:t>
      </w:r>
      <w:r w:rsidR="003B301D">
        <w:t>nd</w:t>
      </w:r>
      <w:r>
        <w:t xml:space="preserve"> include</w:t>
      </w:r>
      <w:r w:rsidR="003B301D">
        <w:t>d</w:t>
      </w:r>
      <w:r>
        <w:t xml:space="preserve"> </w:t>
      </w:r>
      <w:r w:rsidR="005210B8">
        <w:t>‘</w:t>
      </w:r>
      <w:r>
        <w:t>renovated</w:t>
      </w:r>
      <w:r w:rsidR="005210B8">
        <w:t>’</w:t>
      </w:r>
      <w:r>
        <w:t xml:space="preserve">, </w:t>
      </w:r>
      <w:r w:rsidR="005210B8">
        <w:t>‘</w:t>
      </w:r>
      <w:r>
        <w:t>refurbished</w:t>
      </w:r>
      <w:r w:rsidR="005210B8">
        <w:t>’</w:t>
      </w:r>
      <w:r>
        <w:t xml:space="preserve">, </w:t>
      </w:r>
      <w:r w:rsidR="005210B8">
        <w:t>‘</w:t>
      </w:r>
      <w:r>
        <w:t>heritage</w:t>
      </w:r>
      <w:r w:rsidR="005210B8">
        <w:t>’</w:t>
      </w:r>
      <w:r>
        <w:t xml:space="preserve">, </w:t>
      </w:r>
      <w:r w:rsidR="005210B8">
        <w:t>‘</w:t>
      </w:r>
      <w:r>
        <w:t>Victorian</w:t>
      </w:r>
      <w:r w:rsidR="005210B8">
        <w:t>’</w:t>
      </w:r>
      <w:r>
        <w:t xml:space="preserve">, </w:t>
      </w:r>
      <w:r w:rsidR="005210B8">
        <w:t>‘</w:t>
      </w:r>
      <w:r>
        <w:t>Federation</w:t>
      </w:r>
      <w:r w:rsidR="005210B8">
        <w:t>’</w:t>
      </w:r>
      <w:r>
        <w:t xml:space="preserve">, </w:t>
      </w:r>
      <w:r w:rsidR="005210B8">
        <w:t>‘</w:t>
      </w:r>
      <w:r>
        <w:t>garden</w:t>
      </w:r>
      <w:r w:rsidR="005210B8">
        <w:t>’</w:t>
      </w:r>
      <w:r>
        <w:t xml:space="preserve">, </w:t>
      </w:r>
      <w:r w:rsidR="005210B8">
        <w:t>‘</w:t>
      </w:r>
      <w:r>
        <w:t>courtyard</w:t>
      </w:r>
      <w:r w:rsidR="005210B8">
        <w:t>’</w:t>
      </w:r>
      <w:r>
        <w:t xml:space="preserve">, </w:t>
      </w:r>
      <w:r w:rsidR="005210B8">
        <w:t>‘</w:t>
      </w:r>
      <w:r>
        <w:t>double glazing</w:t>
      </w:r>
      <w:r w:rsidR="005210B8">
        <w:t>’</w:t>
      </w:r>
      <w:r>
        <w:t xml:space="preserve">, </w:t>
      </w:r>
      <w:r w:rsidR="005210B8">
        <w:t>‘</w:t>
      </w:r>
      <w:r>
        <w:t>insulation</w:t>
      </w:r>
      <w:r w:rsidR="005210B8">
        <w:t>’</w:t>
      </w:r>
      <w:r>
        <w:t xml:space="preserve">, </w:t>
      </w:r>
      <w:r w:rsidR="005210B8">
        <w:t>‘</w:t>
      </w:r>
      <w:r>
        <w:t>solar</w:t>
      </w:r>
      <w:r w:rsidR="003B301D">
        <w:t xml:space="preserve"> </w:t>
      </w:r>
      <w:r w:rsidR="009944DD">
        <w:t>thermal</w:t>
      </w:r>
      <w:r w:rsidR="005210B8">
        <w:t>’</w:t>
      </w:r>
      <w:r w:rsidR="009944DD">
        <w:t xml:space="preserve"> </w:t>
      </w:r>
      <w:r w:rsidR="003B301D">
        <w:t>and</w:t>
      </w:r>
      <w:r>
        <w:t xml:space="preserve"> </w:t>
      </w:r>
      <w:r w:rsidR="005210B8">
        <w:t>‘</w:t>
      </w:r>
      <w:r>
        <w:t>solar photovoltaic</w:t>
      </w:r>
      <w:r w:rsidR="009944DD">
        <w:t xml:space="preserve"> (PV) systems</w:t>
      </w:r>
      <w:r w:rsidR="00872503">
        <w:t>’</w:t>
      </w:r>
      <w:r>
        <w:t xml:space="preserve">. </w:t>
      </w:r>
    </w:p>
    <w:p w14:paraId="59B09A0E" w14:textId="77777777" w:rsidR="0042325E" w:rsidRDefault="0042325E" w:rsidP="00D26F46"/>
    <w:p w14:paraId="6712F136" w14:textId="74520C64" w:rsidR="0042325E" w:rsidRDefault="0042325E" w:rsidP="00D26F46">
      <w:r>
        <w:t xml:space="preserve">The data </w:t>
      </w:r>
      <w:r w:rsidR="003B301D">
        <w:t>were</w:t>
      </w:r>
      <w:r>
        <w:t xml:space="preserve"> also geocoded and used </w:t>
      </w:r>
      <w:r w:rsidR="003B301D">
        <w:t>to</w:t>
      </w:r>
      <w:r>
        <w:t xml:space="preserve"> calculat</w:t>
      </w:r>
      <w:r w:rsidR="003B301D">
        <w:t>e</w:t>
      </w:r>
      <w:r>
        <w:t xml:space="preserve"> distance</w:t>
      </w:r>
      <w:r w:rsidR="00A30862">
        <w:t>-based</w:t>
      </w:r>
      <w:r>
        <w:t xml:space="preserve"> measures</w:t>
      </w:r>
      <w:r w:rsidR="00A30862">
        <w:t>.</w:t>
      </w:r>
      <w:r>
        <w:t xml:space="preserve"> </w:t>
      </w:r>
      <w:r w:rsidR="00A30862">
        <w:t>For each property, distance</w:t>
      </w:r>
      <w:r w:rsidR="003B301D">
        <w:t>s</w:t>
      </w:r>
      <w:r w:rsidR="00A30862">
        <w:t xml:space="preserve"> </w:t>
      </w:r>
      <w:r w:rsidR="009111C0">
        <w:t xml:space="preserve">via street networks were calculated </w:t>
      </w:r>
      <w:r w:rsidR="00A30862">
        <w:t>to</w:t>
      </w:r>
      <w:r>
        <w:t xml:space="preserve"> the </w:t>
      </w:r>
      <w:r w:rsidR="003B301D">
        <w:t>c</w:t>
      </w:r>
      <w:r>
        <w:t xml:space="preserve">entral </w:t>
      </w:r>
      <w:r w:rsidR="003B301D">
        <w:t>b</w:t>
      </w:r>
      <w:r>
        <w:t xml:space="preserve">usiness </w:t>
      </w:r>
      <w:r w:rsidR="003B301D">
        <w:t>d</w:t>
      </w:r>
      <w:r>
        <w:t>istrict,</w:t>
      </w:r>
      <w:r w:rsidR="00A30862">
        <w:t xml:space="preserve"> public transport stops,</w:t>
      </w:r>
      <w:r>
        <w:t xml:space="preserve"> hospital</w:t>
      </w:r>
      <w:r w:rsidR="003B301D">
        <w:t>s</w:t>
      </w:r>
      <w:r>
        <w:t>, schools, supermarkets</w:t>
      </w:r>
      <w:r w:rsidR="00A30862">
        <w:t xml:space="preserve"> and a range of leisure facilities</w:t>
      </w:r>
      <w:r>
        <w:t xml:space="preserve">. </w:t>
      </w:r>
    </w:p>
    <w:p w14:paraId="5CBC948F" w14:textId="77777777" w:rsidR="0042325E" w:rsidRDefault="0042325E" w:rsidP="00D26F46"/>
    <w:p w14:paraId="499C1A06" w14:textId="03078E29" w:rsidR="0042325E" w:rsidRDefault="0042325E" w:rsidP="00D26F46">
      <w:r>
        <w:t xml:space="preserve">One of the limitations of the </w:t>
      </w:r>
      <w:r w:rsidR="00A30862">
        <w:t xml:space="preserve">APM </w:t>
      </w:r>
      <w:r>
        <w:t>data was the lack of information</w:t>
      </w:r>
      <w:r w:rsidR="003B301D">
        <w:t xml:space="preserve"> regarding building age</w:t>
      </w:r>
      <w:r>
        <w:t xml:space="preserve">. </w:t>
      </w:r>
      <w:r w:rsidR="003B301D">
        <w:t>Thus, this</w:t>
      </w:r>
      <w:r>
        <w:t xml:space="preserve"> information </w:t>
      </w:r>
      <w:r w:rsidR="003B301D">
        <w:t>was</w:t>
      </w:r>
      <w:r>
        <w:t xml:space="preserve"> sought </w:t>
      </w:r>
      <w:r w:rsidR="003B301D">
        <w:t>from</w:t>
      </w:r>
      <w:r>
        <w:t xml:space="preserve"> the Environment, Planning and Sustainable Development </w:t>
      </w:r>
      <w:r w:rsidR="003B301D">
        <w:t xml:space="preserve">Directorate </w:t>
      </w:r>
      <w:r>
        <w:t xml:space="preserve">(EPSD) and </w:t>
      </w:r>
      <w:r w:rsidR="003B301D">
        <w:t>from</w:t>
      </w:r>
      <w:r>
        <w:t xml:space="preserve"> valuation data. However, </w:t>
      </w:r>
      <w:r w:rsidR="003B301D">
        <w:t xml:space="preserve">because of the leasehold system that operates </w:t>
      </w:r>
      <w:r>
        <w:t>in the ACT</w:t>
      </w:r>
      <w:r w:rsidR="003B301D">
        <w:t>, statutory valuations</w:t>
      </w:r>
      <w:r>
        <w:t xml:space="preserve"> only utilise the land characteristics and do not keep the building attributes</w:t>
      </w:r>
      <w:r w:rsidR="003B301D">
        <w:t xml:space="preserve"> on file. Further,</w:t>
      </w:r>
      <w:r>
        <w:t xml:space="preserve"> the </w:t>
      </w:r>
      <w:r w:rsidR="001106D5">
        <w:t>EPSD held</w:t>
      </w:r>
      <w:r>
        <w:t xml:space="preserve"> physical</w:t>
      </w:r>
      <w:r w:rsidR="008C055A">
        <w:t xml:space="preserve"> </w:t>
      </w:r>
      <w:r>
        <w:t xml:space="preserve">copies of </w:t>
      </w:r>
      <w:r w:rsidR="001106D5">
        <w:t xml:space="preserve">the </w:t>
      </w:r>
      <w:r>
        <w:t xml:space="preserve">building information, which were </w:t>
      </w:r>
      <w:r w:rsidR="001106D5">
        <w:t>due</w:t>
      </w:r>
      <w:r w:rsidR="0079625B">
        <w:t xml:space="preserve"> </w:t>
      </w:r>
      <w:r w:rsidR="001106D5">
        <w:t>to</w:t>
      </w:r>
      <w:r>
        <w:t xml:space="preserve"> be transferred to an online database</w:t>
      </w:r>
      <w:r w:rsidR="001106D5">
        <w:t xml:space="preserve"> at some point</w:t>
      </w:r>
      <w:r>
        <w:t xml:space="preserve">, </w:t>
      </w:r>
      <w:r w:rsidR="001106D5">
        <w:t>but this</w:t>
      </w:r>
      <w:r>
        <w:t xml:space="preserve"> had not yet </w:t>
      </w:r>
      <w:r w:rsidR="001106D5">
        <w:t>happened</w:t>
      </w:r>
      <w:r w:rsidR="008C055A">
        <w:t xml:space="preserve">, and </w:t>
      </w:r>
      <w:r w:rsidR="001106D5">
        <w:t>thus the records</w:t>
      </w:r>
      <w:r w:rsidR="008C055A">
        <w:t xml:space="preserve"> could not easily </w:t>
      </w:r>
      <w:r w:rsidR="001106D5">
        <w:t>be</w:t>
      </w:r>
      <w:r w:rsidR="008C055A">
        <w:t xml:space="preserve"> analysed</w:t>
      </w:r>
      <w:r>
        <w:t xml:space="preserve">. It was suggested that instead of </w:t>
      </w:r>
      <w:r w:rsidR="001106D5">
        <w:t>physically examining</w:t>
      </w:r>
      <w:r>
        <w:t xml:space="preserve"> every building plan, the </w:t>
      </w:r>
      <w:r w:rsidR="001106D5">
        <w:t xml:space="preserve">date of the </w:t>
      </w:r>
      <w:r>
        <w:t xml:space="preserve">land release could be used as a proxy for building age. </w:t>
      </w:r>
      <w:r w:rsidR="00872503">
        <w:t>As a result of</w:t>
      </w:r>
      <w:r>
        <w:t xml:space="preserve"> the leasehold </w:t>
      </w:r>
      <w:r w:rsidR="001106D5">
        <w:t>system used in</w:t>
      </w:r>
      <w:r>
        <w:t xml:space="preserve"> the ACT, land is released in suburb</w:t>
      </w:r>
      <w:r w:rsidR="001106D5">
        <w:t>an</w:t>
      </w:r>
      <w:r>
        <w:t xml:space="preserve"> parcels, </w:t>
      </w:r>
      <w:r w:rsidR="001106D5">
        <w:t xml:space="preserve">and </w:t>
      </w:r>
      <w:r>
        <w:t xml:space="preserve">the EPSD </w:t>
      </w:r>
      <w:r w:rsidR="001106D5">
        <w:t>was</w:t>
      </w:r>
      <w:r>
        <w:t xml:space="preserve"> able to provide details of when these release</w:t>
      </w:r>
      <w:r w:rsidR="001106D5">
        <w:t>s</w:t>
      </w:r>
      <w:r>
        <w:t xml:space="preserve"> </w:t>
      </w:r>
      <w:r w:rsidR="00872503">
        <w:t xml:space="preserve">had </w:t>
      </w:r>
      <w:r w:rsidR="001106D5">
        <w:t xml:space="preserve">occurred </w:t>
      </w:r>
      <w:r>
        <w:t>for all Canberra</w:t>
      </w:r>
      <w:r w:rsidR="001106D5">
        <w:t xml:space="preserve"> suburbs</w:t>
      </w:r>
      <w:r>
        <w:t xml:space="preserve">. </w:t>
      </w:r>
      <w:r w:rsidR="001106D5">
        <w:t>Given</w:t>
      </w:r>
      <w:r>
        <w:t xml:space="preserve"> the requirement </w:t>
      </w:r>
      <w:r w:rsidR="001106D5">
        <w:t xml:space="preserve">that </w:t>
      </w:r>
      <w:r>
        <w:t xml:space="preserve">building </w:t>
      </w:r>
      <w:r w:rsidR="001106D5">
        <w:t xml:space="preserve">must commence </w:t>
      </w:r>
      <w:r>
        <w:t>within two</w:t>
      </w:r>
      <w:r w:rsidR="001106D5">
        <w:t xml:space="preserve"> </w:t>
      </w:r>
      <w:r>
        <w:t>year</w:t>
      </w:r>
      <w:r w:rsidR="001106D5">
        <w:t>s</w:t>
      </w:r>
      <w:r>
        <w:t xml:space="preserve"> of </w:t>
      </w:r>
      <w:r w:rsidR="001106D5">
        <w:t xml:space="preserve">the </w:t>
      </w:r>
      <w:r>
        <w:t>acquisition of land, the approximate age</w:t>
      </w:r>
      <w:r w:rsidR="001106D5">
        <w:t xml:space="preserve"> of the buildings in each suburban land release w</w:t>
      </w:r>
      <w:r w:rsidR="00872503">
        <w:t>as</w:t>
      </w:r>
      <w:r w:rsidR="001106D5">
        <w:t xml:space="preserve"> able to</w:t>
      </w:r>
      <w:r>
        <w:t xml:space="preserve"> be estimated</w:t>
      </w:r>
      <w:r w:rsidR="00872503">
        <w:t xml:space="preserve"> to within</w:t>
      </w:r>
      <w:r w:rsidR="001106D5">
        <w:t xml:space="preserve"> a year or two</w:t>
      </w:r>
      <w:r w:rsidR="008D1331">
        <w:t>, although there is a limitation to this where demolition and new housing construction may have occurred in the more established areas of the city</w:t>
      </w:r>
      <w:r>
        <w:t xml:space="preserve">. </w:t>
      </w:r>
    </w:p>
    <w:p w14:paraId="049F3D7D" w14:textId="77777777" w:rsidR="0042325E" w:rsidRDefault="0042325E" w:rsidP="00D26F46"/>
    <w:p w14:paraId="7A8B0395" w14:textId="3C4B783D" w:rsidR="00045A3A" w:rsidRDefault="0042325E">
      <w:pPr>
        <w:jc w:val="left"/>
      </w:pPr>
      <w:r>
        <w:t xml:space="preserve">The data set was refined after checking </w:t>
      </w:r>
      <w:r w:rsidR="001106D5">
        <w:t xml:space="preserve">for </w:t>
      </w:r>
      <w:r>
        <w:t xml:space="preserve">and </w:t>
      </w:r>
      <w:r w:rsidR="001106D5">
        <w:t>eliminating</w:t>
      </w:r>
      <w:r>
        <w:t xml:space="preserve"> outliers, extreme value</w:t>
      </w:r>
      <w:r w:rsidR="001106D5">
        <w:t>s</w:t>
      </w:r>
      <w:r>
        <w:t xml:space="preserve"> and entries with inadequate information</w:t>
      </w:r>
      <w:r w:rsidR="001106D5">
        <w:t>, leaving</w:t>
      </w:r>
      <w:r>
        <w:t xml:space="preserve"> 67,607</w:t>
      </w:r>
      <w:r w:rsidRPr="00960928">
        <w:t xml:space="preserve"> rental transactions and </w:t>
      </w:r>
      <w:r>
        <w:t xml:space="preserve">31,061 sales transactions. Summary statistics are </w:t>
      </w:r>
      <w:r w:rsidR="001106D5">
        <w:t>shown</w:t>
      </w:r>
      <w:r>
        <w:t xml:space="preserve"> in</w:t>
      </w:r>
      <w:bookmarkStart w:id="4" w:name="_Ref484186408"/>
      <w:r w:rsidR="00045A3A">
        <w:t xml:space="preserve"> Table 1.</w:t>
      </w:r>
    </w:p>
    <w:p w14:paraId="09D53EE7" w14:textId="77777777" w:rsidR="00045A3A" w:rsidRDefault="00045A3A">
      <w:pPr>
        <w:jc w:val="left"/>
      </w:pPr>
      <w:r>
        <w:br w:type="page"/>
      </w:r>
    </w:p>
    <w:p w14:paraId="5C6AE83D" w14:textId="6E88209F" w:rsidR="00371927" w:rsidRPr="009C5EFC" w:rsidRDefault="00371927" w:rsidP="00D26F46">
      <w:pPr>
        <w:pStyle w:val="Caption"/>
        <w:rPr>
          <w:color w:val="auto"/>
          <w:sz w:val="24"/>
          <w:szCs w:val="24"/>
        </w:rPr>
      </w:pPr>
      <w:r w:rsidRPr="009C5EFC">
        <w:rPr>
          <w:color w:val="auto"/>
          <w:sz w:val="24"/>
          <w:szCs w:val="24"/>
        </w:rPr>
        <w:lastRenderedPageBreak/>
        <w:t xml:space="preserve">Table </w:t>
      </w:r>
      <w:r w:rsidR="003560C4" w:rsidRPr="009C5EFC">
        <w:rPr>
          <w:color w:val="auto"/>
          <w:sz w:val="24"/>
          <w:szCs w:val="24"/>
        </w:rPr>
        <w:fldChar w:fldCharType="begin"/>
      </w:r>
      <w:r w:rsidR="003560C4" w:rsidRPr="009C5EFC">
        <w:rPr>
          <w:color w:val="auto"/>
          <w:sz w:val="24"/>
          <w:szCs w:val="24"/>
        </w:rPr>
        <w:instrText xml:space="preserve"> SEQ Table \* ARABIC </w:instrText>
      </w:r>
      <w:r w:rsidR="003560C4" w:rsidRPr="009C5EFC">
        <w:rPr>
          <w:color w:val="auto"/>
          <w:sz w:val="24"/>
          <w:szCs w:val="24"/>
        </w:rPr>
        <w:fldChar w:fldCharType="separate"/>
      </w:r>
      <w:r w:rsidR="00027262">
        <w:rPr>
          <w:noProof/>
          <w:color w:val="auto"/>
          <w:sz w:val="24"/>
          <w:szCs w:val="24"/>
        </w:rPr>
        <w:t>1</w:t>
      </w:r>
      <w:r w:rsidR="003560C4" w:rsidRPr="009C5EFC">
        <w:rPr>
          <w:noProof/>
          <w:color w:val="auto"/>
          <w:sz w:val="24"/>
          <w:szCs w:val="24"/>
        </w:rPr>
        <w:fldChar w:fldCharType="end"/>
      </w:r>
      <w:bookmarkEnd w:id="4"/>
      <w:r w:rsidRPr="009C5EFC">
        <w:rPr>
          <w:color w:val="auto"/>
          <w:sz w:val="24"/>
          <w:szCs w:val="24"/>
        </w:rPr>
        <w:t>. Summary statistics</w:t>
      </w:r>
    </w:p>
    <w:tbl>
      <w:tblPr>
        <w:tblStyle w:val="PlainTable21"/>
        <w:tblW w:w="0" w:type="auto"/>
        <w:tblLook w:val="04A0" w:firstRow="1" w:lastRow="0" w:firstColumn="1" w:lastColumn="0" w:noHBand="0" w:noVBand="1"/>
      </w:tblPr>
      <w:tblGrid>
        <w:gridCol w:w="923"/>
        <w:gridCol w:w="1135"/>
        <w:gridCol w:w="1115"/>
        <w:gridCol w:w="594"/>
        <w:gridCol w:w="1115"/>
        <w:gridCol w:w="706"/>
      </w:tblGrid>
      <w:tr w:rsidR="009C318D" w:rsidRPr="000A077F" w14:paraId="28A65307" w14:textId="77777777" w:rsidTr="009C5E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single" w:sz="4" w:space="0" w:color="auto"/>
            </w:tcBorders>
            <w:noWrap/>
            <w:hideMark/>
          </w:tcPr>
          <w:p w14:paraId="77FFD00F" w14:textId="77777777" w:rsidR="009C318D" w:rsidRPr="009C5EFC" w:rsidRDefault="009C318D" w:rsidP="009C5EFC">
            <w:pPr>
              <w:spacing w:before="40" w:after="40"/>
              <w:rPr>
                <w:sz w:val="20"/>
                <w:szCs w:val="20"/>
              </w:rPr>
            </w:pPr>
            <w:r w:rsidRPr="009C5EFC">
              <w:rPr>
                <w:sz w:val="20"/>
                <w:szCs w:val="20"/>
              </w:rPr>
              <w:t>Variable</w:t>
            </w:r>
          </w:p>
        </w:tc>
        <w:tc>
          <w:tcPr>
            <w:tcW w:w="0" w:type="dxa"/>
            <w:tcBorders>
              <w:top w:val="single" w:sz="4" w:space="0" w:color="auto"/>
              <w:bottom w:val="single" w:sz="4" w:space="0" w:color="auto"/>
            </w:tcBorders>
            <w:noWrap/>
            <w:hideMark/>
          </w:tcPr>
          <w:p w14:paraId="2BDDD50C" w14:textId="77777777" w:rsidR="009C318D" w:rsidRPr="009C5EFC" w:rsidRDefault="009C318D" w:rsidP="009C5EFC">
            <w:pPr>
              <w:spacing w:before="40" w:after="40"/>
              <w:cnfStyle w:val="100000000000" w:firstRow="1" w:lastRow="0" w:firstColumn="0" w:lastColumn="0" w:oddVBand="0" w:evenVBand="0" w:oddHBand="0" w:evenHBand="0" w:firstRowFirstColumn="0" w:firstRowLastColumn="0" w:lastRowFirstColumn="0" w:lastRowLastColumn="0"/>
              <w:rPr>
                <w:sz w:val="20"/>
                <w:szCs w:val="20"/>
              </w:rPr>
            </w:pPr>
            <w:r w:rsidRPr="009C5EFC">
              <w:rPr>
                <w:sz w:val="20"/>
                <w:szCs w:val="20"/>
              </w:rPr>
              <w:t>Categories</w:t>
            </w:r>
          </w:p>
        </w:tc>
        <w:tc>
          <w:tcPr>
            <w:tcW w:w="0" w:type="dxa"/>
            <w:tcBorders>
              <w:top w:val="single" w:sz="4" w:space="0" w:color="auto"/>
              <w:bottom w:val="single" w:sz="4" w:space="0" w:color="auto"/>
            </w:tcBorders>
            <w:noWrap/>
            <w:hideMark/>
          </w:tcPr>
          <w:p w14:paraId="7843021A" w14:textId="77777777" w:rsidR="009C318D" w:rsidRPr="009C5EFC" w:rsidRDefault="009C318D" w:rsidP="009C5EFC">
            <w:pPr>
              <w:spacing w:before="40" w:after="40"/>
              <w:cnfStyle w:val="100000000000" w:firstRow="1" w:lastRow="0" w:firstColumn="0" w:lastColumn="0" w:oddVBand="0" w:evenVBand="0" w:oddHBand="0" w:evenHBand="0" w:firstRowFirstColumn="0" w:firstRowLastColumn="0" w:lastRowFirstColumn="0" w:lastRowLastColumn="0"/>
              <w:rPr>
                <w:sz w:val="20"/>
                <w:szCs w:val="20"/>
              </w:rPr>
            </w:pPr>
            <w:r w:rsidRPr="009C5EFC">
              <w:rPr>
                <w:sz w:val="20"/>
                <w:szCs w:val="20"/>
              </w:rPr>
              <w:t>Frequency</w:t>
            </w:r>
          </w:p>
        </w:tc>
        <w:tc>
          <w:tcPr>
            <w:tcW w:w="0" w:type="dxa"/>
            <w:tcBorders>
              <w:top w:val="single" w:sz="4" w:space="0" w:color="auto"/>
              <w:bottom w:val="single" w:sz="4" w:space="0" w:color="auto"/>
              <w:right w:val="single" w:sz="4" w:space="0" w:color="auto"/>
            </w:tcBorders>
            <w:noWrap/>
            <w:hideMark/>
          </w:tcPr>
          <w:p w14:paraId="3DB489FE" w14:textId="77777777" w:rsidR="009C318D" w:rsidRPr="009C5EFC" w:rsidRDefault="009C318D" w:rsidP="009C5EFC">
            <w:pPr>
              <w:spacing w:before="40" w:after="40"/>
              <w:cnfStyle w:val="100000000000" w:firstRow="1" w:lastRow="0" w:firstColumn="0" w:lastColumn="0" w:oddVBand="0" w:evenVBand="0" w:oddHBand="0" w:evenHBand="0" w:firstRowFirstColumn="0" w:firstRowLastColumn="0" w:lastRowFirstColumn="0" w:lastRowLastColumn="0"/>
              <w:rPr>
                <w:sz w:val="20"/>
                <w:szCs w:val="20"/>
              </w:rPr>
            </w:pPr>
            <w:r w:rsidRPr="009C5EFC">
              <w:rPr>
                <w:sz w:val="20"/>
                <w:szCs w:val="20"/>
              </w:rPr>
              <w:t>% of total</w:t>
            </w:r>
          </w:p>
        </w:tc>
        <w:tc>
          <w:tcPr>
            <w:tcW w:w="0" w:type="dxa"/>
            <w:tcBorders>
              <w:top w:val="single" w:sz="4" w:space="0" w:color="auto"/>
              <w:left w:val="single" w:sz="4" w:space="0" w:color="auto"/>
              <w:bottom w:val="single" w:sz="4" w:space="0" w:color="auto"/>
            </w:tcBorders>
            <w:noWrap/>
            <w:hideMark/>
          </w:tcPr>
          <w:p w14:paraId="521EBA80" w14:textId="77777777" w:rsidR="009C318D" w:rsidRPr="009C5EFC" w:rsidRDefault="009C318D" w:rsidP="009C5EFC">
            <w:pPr>
              <w:spacing w:before="40" w:after="40"/>
              <w:cnfStyle w:val="100000000000" w:firstRow="1" w:lastRow="0" w:firstColumn="0" w:lastColumn="0" w:oddVBand="0" w:evenVBand="0" w:oddHBand="0" w:evenHBand="0" w:firstRowFirstColumn="0" w:firstRowLastColumn="0" w:lastRowFirstColumn="0" w:lastRowLastColumn="0"/>
              <w:rPr>
                <w:sz w:val="20"/>
                <w:szCs w:val="20"/>
              </w:rPr>
            </w:pPr>
            <w:r w:rsidRPr="009C5EFC">
              <w:rPr>
                <w:sz w:val="20"/>
                <w:szCs w:val="20"/>
              </w:rPr>
              <w:t>Frequency</w:t>
            </w:r>
          </w:p>
        </w:tc>
        <w:tc>
          <w:tcPr>
            <w:tcW w:w="0" w:type="dxa"/>
            <w:tcBorders>
              <w:top w:val="single" w:sz="4" w:space="0" w:color="auto"/>
              <w:bottom w:val="single" w:sz="4" w:space="0" w:color="auto"/>
            </w:tcBorders>
            <w:noWrap/>
            <w:hideMark/>
          </w:tcPr>
          <w:p w14:paraId="7FE5A98C" w14:textId="77777777" w:rsidR="009C318D" w:rsidRPr="009C5EFC" w:rsidRDefault="009C318D" w:rsidP="009C5EFC">
            <w:pPr>
              <w:spacing w:before="40" w:after="40"/>
              <w:cnfStyle w:val="100000000000" w:firstRow="1" w:lastRow="0" w:firstColumn="0" w:lastColumn="0" w:oddVBand="0" w:evenVBand="0" w:oddHBand="0" w:evenHBand="0" w:firstRowFirstColumn="0" w:firstRowLastColumn="0" w:lastRowFirstColumn="0" w:lastRowLastColumn="0"/>
              <w:rPr>
                <w:sz w:val="20"/>
                <w:szCs w:val="20"/>
              </w:rPr>
            </w:pPr>
            <w:r w:rsidRPr="009C5EFC">
              <w:rPr>
                <w:sz w:val="20"/>
                <w:szCs w:val="20"/>
              </w:rPr>
              <w:t>% of total</w:t>
            </w:r>
          </w:p>
        </w:tc>
      </w:tr>
      <w:tr w:rsidR="006D26E7" w:rsidRPr="000A077F" w14:paraId="15A83641"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single" w:sz="4" w:space="0" w:color="auto"/>
            </w:tcBorders>
            <w:noWrap/>
            <w:hideMark/>
          </w:tcPr>
          <w:p w14:paraId="0FCBEE11" w14:textId="77777777" w:rsidR="006D26E7" w:rsidRPr="009C5EFC" w:rsidRDefault="006D26E7" w:rsidP="009C5EFC">
            <w:pPr>
              <w:spacing w:before="40" w:after="40"/>
              <w:rPr>
                <w:sz w:val="20"/>
                <w:szCs w:val="20"/>
              </w:rPr>
            </w:pPr>
          </w:p>
        </w:tc>
        <w:tc>
          <w:tcPr>
            <w:tcW w:w="0" w:type="dxa"/>
            <w:tcBorders>
              <w:top w:val="single" w:sz="4" w:space="0" w:color="auto"/>
              <w:bottom w:val="single" w:sz="4" w:space="0" w:color="auto"/>
            </w:tcBorders>
            <w:noWrap/>
            <w:hideMark/>
          </w:tcPr>
          <w:p w14:paraId="1D78B056" w14:textId="77777777" w:rsidR="006D26E7" w:rsidRPr="009C5EFC" w:rsidRDefault="006D26E7"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c>
          <w:tcPr>
            <w:tcW w:w="0" w:type="dxa"/>
            <w:gridSpan w:val="2"/>
            <w:tcBorders>
              <w:top w:val="single" w:sz="4" w:space="0" w:color="auto"/>
              <w:bottom w:val="single" w:sz="4" w:space="0" w:color="auto"/>
              <w:right w:val="single" w:sz="4" w:space="0" w:color="auto"/>
            </w:tcBorders>
            <w:noWrap/>
            <w:hideMark/>
          </w:tcPr>
          <w:p w14:paraId="4CC919C2" w14:textId="1006395C" w:rsidR="006D26E7" w:rsidRPr="009C5EFC" w:rsidRDefault="006D26E7"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Sales</w:t>
            </w:r>
          </w:p>
        </w:tc>
        <w:tc>
          <w:tcPr>
            <w:tcW w:w="0" w:type="dxa"/>
            <w:gridSpan w:val="2"/>
            <w:tcBorders>
              <w:top w:val="single" w:sz="4" w:space="0" w:color="auto"/>
              <w:left w:val="single" w:sz="4" w:space="0" w:color="auto"/>
              <w:bottom w:val="single" w:sz="4" w:space="0" w:color="auto"/>
            </w:tcBorders>
            <w:noWrap/>
            <w:hideMark/>
          </w:tcPr>
          <w:p w14:paraId="1ABB11D7" w14:textId="7B9CDE81" w:rsidR="006D26E7" w:rsidRPr="009C5EFC" w:rsidRDefault="006D26E7"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Rental</w:t>
            </w:r>
          </w:p>
        </w:tc>
      </w:tr>
      <w:tr w:rsidR="009C318D" w:rsidRPr="000A077F" w14:paraId="46050C2A" w14:textId="77777777" w:rsidTr="009C5EFC">
        <w:tc>
          <w:tcPr>
            <w:cnfStyle w:val="001000000000" w:firstRow="0" w:lastRow="0" w:firstColumn="1" w:lastColumn="0" w:oddVBand="0" w:evenVBand="0" w:oddHBand="0" w:evenHBand="0" w:firstRowFirstColumn="0" w:firstRowLastColumn="0" w:lastRowFirstColumn="0" w:lastRowLastColumn="0"/>
            <w:tcW w:w="0" w:type="dxa"/>
            <w:gridSpan w:val="2"/>
            <w:tcBorders>
              <w:top w:val="single" w:sz="4" w:space="0" w:color="auto"/>
              <w:bottom w:val="nil"/>
            </w:tcBorders>
            <w:noWrap/>
            <w:hideMark/>
          </w:tcPr>
          <w:p w14:paraId="71362A96" w14:textId="77777777" w:rsidR="009C318D" w:rsidRPr="009C5EFC" w:rsidRDefault="009C318D" w:rsidP="009C5EFC">
            <w:pPr>
              <w:spacing w:before="40" w:after="40"/>
              <w:jc w:val="left"/>
              <w:rPr>
                <w:sz w:val="20"/>
                <w:szCs w:val="20"/>
              </w:rPr>
            </w:pPr>
            <w:r w:rsidRPr="009C5EFC">
              <w:rPr>
                <w:sz w:val="20"/>
                <w:szCs w:val="20"/>
              </w:rPr>
              <w:t>Property Type</w:t>
            </w:r>
          </w:p>
        </w:tc>
        <w:tc>
          <w:tcPr>
            <w:tcW w:w="0" w:type="dxa"/>
            <w:tcBorders>
              <w:top w:val="single" w:sz="4" w:space="0" w:color="auto"/>
              <w:bottom w:val="nil"/>
            </w:tcBorders>
            <w:noWrap/>
            <w:hideMark/>
          </w:tcPr>
          <w:p w14:paraId="460CA79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bottom w:val="nil"/>
              <w:right w:val="single" w:sz="4" w:space="0" w:color="auto"/>
            </w:tcBorders>
            <w:noWrap/>
            <w:hideMark/>
          </w:tcPr>
          <w:p w14:paraId="6E852EE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left w:val="single" w:sz="4" w:space="0" w:color="auto"/>
              <w:bottom w:val="nil"/>
            </w:tcBorders>
            <w:noWrap/>
            <w:hideMark/>
          </w:tcPr>
          <w:p w14:paraId="06645957"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bottom w:val="nil"/>
            </w:tcBorders>
            <w:noWrap/>
            <w:hideMark/>
          </w:tcPr>
          <w:p w14:paraId="52C40BC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r>
      <w:tr w:rsidR="009C318D" w:rsidRPr="000A077F" w14:paraId="43B9C4D1"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AB0818C"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7066ACF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 xml:space="preserve">Apartment </w:t>
            </w:r>
          </w:p>
        </w:tc>
        <w:tc>
          <w:tcPr>
            <w:tcW w:w="0" w:type="dxa"/>
            <w:tcBorders>
              <w:top w:val="nil"/>
              <w:bottom w:val="nil"/>
            </w:tcBorders>
            <w:noWrap/>
            <w:hideMark/>
          </w:tcPr>
          <w:p w14:paraId="2E06D9D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4395</w:t>
            </w:r>
          </w:p>
        </w:tc>
        <w:tc>
          <w:tcPr>
            <w:tcW w:w="0" w:type="dxa"/>
            <w:tcBorders>
              <w:top w:val="nil"/>
              <w:bottom w:val="nil"/>
              <w:right w:val="single" w:sz="4" w:space="0" w:color="auto"/>
            </w:tcBorders>
            <w:noWrap/>
            <w:hideMark/>
          </w:tcPr>
          <w:p w14:paraId="57E02A61"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12%</w:t>
            </w:r>
          </w:p>
        </w:tc>
        <w:tc>
          <w:tcPr>
            <w:tcW w:w="0" w:type="dxa"/>
            <w:tcBorders>
              <w:top w:val="nil"/>
              <w:left w:val="single" w:sz="4" w:space="0" w:color="auto"/>
              <w:bottom w:val="nil"/>
            </w:tcBorders>
            <w:noWrap/>
            <w:hideMark/>
          </w:tcPr>
          <w:p w14:paraId="4DC6AF31" w14:textId="5EAB1DD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23</w:t>
            </w:r>
            <w:r w:rsidR="003560C4" w:rsidRPr="009C5EFC">
              <w:rPr>
                <w:sz w:val="20"/>
                <w:szCs w:val="20"/>
              </w:rPr>
              <w:t>,</w:t>
            </w:r>
            <w:r w:rsidRPr="009C5EFC">
              <w:rPr>
                <w:sz w:val="20"/>
                <w:szCs w:val="20"/>
              </w:rPr>
              <w:t>677</w:t>
            </w:r>
          </w:p>
        </w:tc>
        <w:tc>
          <w:tcPr>
            <w:tcW w:w="0" w:type="dxa"/>
            <w:tcBorders>
              <w:top w:val="nil"/>
              <w:bottom w:val="nil"/>
            </w:tcBorders>
            <w:noWrap/>
            <w:hideMark/>
          </w:tcPr>
          <w:p w14:paraId="5A3BD07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33.2%</w:t>
            </w:r>
          </w:p>
        </w:tc>
      </w:tr>
      <w:tr w:rsidR="009C318D" w:rsidRPr="000A077F" w14:paraId="5DE5A39F"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8C0605D"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173DB2D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Cottage</w:t>
            </w:r>
          </w:p>
        </w:tc>
        <w:tc>
          <w:tcPr>
            <w:tcW w:w="0" w:type="dxa"/>
            <w:tcBorders>
              <w:top w:val="nil"/>
              <w:bottom w:val="nil"/>
            </w:tcBorders>
            <w:noWrap/>
            <w:hideMark/>
          </w:tcPr>
          <w:p w14:paraId="3502C0E4"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23</w:t>
            </w:r>
          </w:p>
        </w:tc>
        <w:tc>
          <w:tcPr>
            <w:tcW w:w="0" w:type="dxa"/>
            <w:tcBorders>
              <w:top w:val="nil"/>
              <w:bottom w:val="nil"/>
              <w:right w:val="single" w:sz="4" w:space="0" w:color="auto"/>
            </w:tcBorders>
            <w:noWrap/>
            <w:hideMark/>
          </w:tcPr>
          <w:p w14:paraId="45AEBC0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5B7114A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141</w:t>
            </w:r>
          </w:p>
        </w:tc>
        <w:tc>
          <w:tcPr>
            <w:tcW w:w="0" w:type="dxa"/>
            <w:tcBorders>
              <w:top w:val="nil"/>
              <w:bottom w:val="nil"/>
            </w:tcBorders>
            <w:noWrap/>
            <w:hideMark/>
          </w:tcPr>
          <w:p w14:paraId="1C32A4B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0.2%</w:t>
            </w:r>
          </w:p>
        </w:tc>
      </w:tr>
      <w:tr w:rsidR="009C318D" w:rsidRPr="000A077F" w14:paraId="3C7755BB"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DC2EBDE"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49DF8D13" w14:textId="6902BC7A"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 xml:space="preserve">Courtyard </w:t>
            </w:r>
            <w:r w:rsidR="003560C4" w:rsidRPr="009C5EFC">
              <w:rPr>
                <w:sz w:val="20"/>
                <w:szCs w:val="20"/>
              </w:rPr>
              <w:t>H</w:t>
            </w:r>
            <w:r w:rsidRPr="009C5EFC">
              <w:rPr>
                <w:sz w:val="20"/>
                <w:szCs w:val="20"/>
              </w:rPr>
              <w:t>ome</w:t>
            </w:r>
          </w:p>
        </w:tc>
        <w:tc>
          <w:tcPr>
            <w:tcW w:w="0" w:type="dxa"/>
            <w:tcBorders>
              <w:top w:val="nil"/>
              <w:bottom w:val="nil"/>
            </w:tcBorders>
            <w:noWrap/>
            <w:hideMark/>
          </w:tcPr>
          <w:p w14:paraId="2033DB2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59</w:t>
            </w:r>
          </w:p>
        </w:tc>
        <w:tc>
          <w:tcPr>
            <w:tcW w:w="0" w:type="dxa"/>
            <w:tcBorders>
              <w:top w:val="nil"/>
              <w:bottom w:val="nil"/>
              <w:right w:val="single" w:sz="4" w:space="0" w:color="auto"/>
            </w:tcBorders>
            <w:noWrap/>
            <w:hideMark/>
          </w:tcPr>
          <w:p w14:paraId="006C6648"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599C813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135</w:t>
            </w:r>
          </w:p>
        </w:tc>
        <w:tc>
          <w:tcPr>
            <w:tcW w:w="0" w:type="dxa"/>
            <w:tcBorders>
              <w:top w:val="nil"/>
              <w:bottom w:val="nil"/>
            </w:tcBorders>
            <w:noWrap/>
            <w:hideMark/>
          </w:tcPr>
          <w:p w14:paraId="64160980"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0.2%</w:t>
            </w:r>
          </w:p>
        </w:tc>
      </w:tr>
      <w:tr w:rsidR="009C318D" w:rsidRPr="000A077F" w14:paraId="00396FD3"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920C5CB"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0950D4F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Dual Occupancy</w:t>
            </w:r>
          </w:p>
        </w:tc>
        <w:tc>
          <w:tcPr>
            <w:tcW w:w="0" w:type="dxa"/>
            <w:tcBorders>
              <w:top w:val="nil"/>
              <w:bottom w:val="nil"/>
            </w:tcBorders>
            <w:noWrap/>
            <w:hideMark/>
          </w:tcPr>
          <w:p w14:paraId="7D05CD0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280</w:t>
            </w:r>
          </w:p>
        </w:tc>
        <w:tc>
          <w:tcPr>
            <w:tcW w:w="0" w:type="dxa"/>
            <w:tcBorders>
              <w:top w:val="nil"/>
              <w:bottom w:val="nil"/>
              <w:right w:val="single" w:sz="4" w:space="0" w:color="auto"/>
            </w:tcBorders>
            <w:noWrap/>
            <w:hideMark/>
          </w:tcPr>
          <w:p w14:paraId="6296AD0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nil"/>
            </w:tcBorders>
            <w:noWrap/>
            <w:hideMark/>
          </w:tcPr>
          <w:p w14:paraId="4979B825"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427</w:t>
            </w:r>
          </w:p>
        </w:tc>
        <w:tc>
          <w:tcPr>
            <w:tcW w:w="0" w:type="dxa"/>
            <w:tcBorders>
              <w:top w:val="nil"/>
              <w:bottom w:val="nil"/>
            </w:tcBorders>
            <w:noWrap/>
            <w:hideMark/>
          </w:tcPr>
          <w:p w14:paraId="5D9A36E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0.6%</w:t>
            </w:r>
          </w:p>
        </w:tc>
      </w:tr>
      <w:tr w:rsidR="009C318D" w:rsidRPr="000A077F" w14:paraId="4C705308"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3683A9B3"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74120CC5"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Duplex</w:t>
            </w:r>
          </w:p>
        </w:tc>
        <w:tc>
          <w:tcPr>
            <w:tcW w:w="0" w:type="dxa"/>
            <w:tcBorders>
              <w:top w:val="nil"/>
              <w:bottom w:val="nil"/>
            </w:tcBorders>
            <w:noWrap/>
            <w:hideMark/>
          </w:tcPr>
          <w:p w14:paraId="7380DA7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233</w:t>
            </w:r>
          </w:p>
        </w:tc>
        <w:tc>
          <w:tcPr>
            <w:tcW w:w="0" w:type="dxa"/>
            <w:tcBorders>
              <w:top w:val="nil"/>
              <w:bottom w:val="nil"/>
              <w:right w:val="single" w:sz="4" w:space="0" w:color="auto"/>
            </w:tcBorders>
            <w:noWrap/>
            <w:hideMark/>
          </w:tcPr>
          <w:p w14:paraId="314B40E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nil"/>
            </w:tcBorders>
            <w:noWrap/>
            <w:hideMark/>
          </w:tcPr>
          <w:p w14:paraId="2F06E1F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1279</w:t>
            </w:r>
          </w:p>
        </w:tc>
        <w:tc>
          <w:tcPr>
            <w:tcW w:w="0" w:type="dxa"/>
            <w:tcBorders>
              <w:top w:val="nil"/>
              <w:bottom w:val="nil"/>
            </w:tcBorders>
            <w:noWrap/>
            <w:hideMark/>
          </w:tcPr>
          <w:p w14:paraId="3617DC6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1.8%</w:t>
            </w:r>
          </w:p>
        </w:tc>
      </w:tr>
      <w:tr w:rsidR="009C318D" w:rsidRPr="000A077F" w14:paraId="6F093289"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0C2E4967"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66C2B2A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House</w:t>
            </w:r>
          </w:p>
        </w:tc>
        <w:tc>
          <w:tcPr>
            <w:tcW w:w="0" w:type="dxa"/>
            <w:tcBorders>
              <w:top w:val="nil"/>
              <w:bottom w:val="nil"/>
            </w:tcBorders>
            <w:noWrap/>
            <w:hideMark/>
          </w:tcPr>
          <w:p w14:paraId="564DBB3D" w14:textId="45116B92"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24</w:t>
            </w:r>
            <w:r w:rsidR="003560C4" w:rsidRPr="009C5EFC">
              <w:rPr>
                <w:sz w:val="20"/>
                <w:szCs w:val="20"/>
              </w:rPr>
              <w:t>,</w:t>
            </w:r>
            <w:r w:rsidRPr="009C5EFC">
              <w:rPr>
                <w:sz w:val="20"/>
                <w:szCs w:val="20"/>
              </w:rPr>
              <w:t>509</w:t>
            </w:r>
          </w:p>
        </w:tc>
        <w:tc>
          <w:tcPr>
            <w:tcW w:w="0" w:type="dxa"/>
            <w:tcBorders>
              <w:top w:val="nil"/>
              <w:bottom w:val="nil"/>
              <w:right w:val="single" w:sz="4" w:space="0" w:color="auto"/>
            </w:tcBorders>
            <w:noWrap/>
            <w:hideMark/>
          </w:tcPr>
          <w:p w14:paraId="7F1500E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69%</w:t>
            </w:r>
          </w:p>
        </w:tc>
        <w:tc>
          <w:tcPr>
            <w:tcW w:w="0" w:type="dxa"/>
            <w:tcBorders>
              <w:top w:val="nil"/>
              <w:left w:val="single" w:sz="4" w:space="0" w:color="auto"/>
              <w:bottom w:val="nil"/>
            </w:tcBorders>
            <w:noWrap/>
            <w:hideMark/>
          </w:tcPr>
          <w:p w14:paraId="63D18845" w14:textId="65A4BCBC"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26</w:t>
            </w:r>
            <w:r w:rsidR="003560C4" w:rsidRPr="009C5EFC">
              <w:rPr>
                <w:sz w:val="20"/>
                <w:szCs w:val="20"/>
              </w:rPr>
              <w:t>,</w:t>
            </w:r>
            <w:r w:rsidRPr="009C5EFC">
              <w:rPr>
                <w:sz w:val="20"/>
                <w:szCs w:val="20"/>
              </w:rPr>
              <w:t>020</w:t>
            </w:r>
          </w:p>
        </w:tc>
        <w:tc>
          <w:tcPr>
            <w:tcW w:w="0" w:type="dxa"/>
            <w:tcBorders>
              <w:top w:val="nil"/>
              <w:bottom w:val="nil"/>
            </w:tcBorders>
            <w:noWrap/>
            <w:hideMark/>
          </w:tcPr>
          <w:p w14:paraId="7865A8C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36.5%</w:t>
            </w:r>
          </w:p>
        </w:tc>
      </w:tr>
      <w:tr w:rsidR="009C318D" w:rsidRPr="000A077F" w14:paraId="79602893"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EE49400"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320EA2E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Investment Property</w:t>
            </w:r>
          </w:p>
        </w:tc>
        <w:tc>
          <w:tcPr>
            <w:tcW w:w="0" w:type="dxa"/>
            <w:tcBorders>
              <w:top w:val="nil"/>
              <w:bottom w:val="nil"/>
            </w:tcBorders>
            <w:noWrap/>
            <w:hideMark/>
          </w:tcPr>
          <w:p w14:paraId="768D89FB"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82</w:t>
            </w:r>
          </w:p>
        </w:tc>
        <w:tc>
          <w:tcPr>
            <w:tcW w:w="0" w:type="dxa"/>
            <w:tcBorders>
              <w:top w:val="nil"/>
              <w:bottom w:val="nil"/>
              <w:right w:val="single" w:sz="4" w:space="0" w:color="auto"/>
            </w:tcBorders>
            <w:noWrap/>
            <w:hideMark/>
          </w:tcPr>
          <w:p w14:paraId="2EF35640"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484096A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c>
          <w:tcPr>
            <w:tcW w:w="0" w:type="dxa"/>
            <w:tcBorders>
              <w:top w:val="nil"/>
              <w:bottom w:val="nil"/>
            </w:tcBorders>
            <w:noWrap/>
            <w:hideMark/>
          </w:tcPr>
          <w:p w14:paraId="70E0C12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r>
      <w:tr w:rsidR="009C318D" w:rsidRPr="000A077F" w14:paraId="741BF259"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79017D05"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49261F21" w14:textId="77777777" w:rsidR="009C318D" w:rsidRPr="009C5EFC" w:rsidRDefault="009C318D" w:rsidP="009C5EFC">
            <w:pPr>
              <w:spacing w:before="40" w:after="40"/>
              <w:jc w:val="left"/>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House and Land Package</w:t>
            </w:r>
          </w:p>
        </w:tc>
        <w:tc>
          <w:tcPr>
            <w:tcW w:w="0" w:type="dxa"/>
            <w:tcBorders>
              <w:top w:val="nil"/>
              <w:bottom w:val="nil"/>
            </w:tcBorders>
            <w:noWrap/>
            <w:hideMark/>
          </w:tcPr>
          <w:p w14:paraId="568507A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244</w:t>
            </w:r>
          </w:p>
        </w:tc>
        <w:tc>
          <w:tcPr>
            <w:tcW w:w="0" w:type="dxa"/>
            <w:tcBorders>
              <w:top w:val="nil"/>
              <w:bottom w:val="nil"/>
              <w:right w:val="single" w:sz="4" w:space="0" w:color="auto"/>
            </w:tcBorders>
            <w:noWrap/>
            <w:hideMark/>
          </w:tcPr>
          <w:p w14:paraId="4882B91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nil"/>
            </w:tcBorders>
            <w:noWrap/>
            <w:hideMark/>
          </w:tcPr>
          <w:p w14:paraId="5A03FFD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nil"/>
              <w:bottom w:val="nil"/>
            </w:tcBorders>
            <w:noWrap/>
            <w:hideMark/>
          </w:tcPr>
          <w:p w14:paraId="667A124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r>
      <w:tr w:rsidR="009C318D" w:rsidRPr="000A077F" w14:paraId="1BA152B8"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F2D4840"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3739AC4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Studio</w:t>
            </w:r>
          </w:p>
        </w:tc>
        <w:tc>
          <w:tcPr>
            <w:tcW w:w="0" w:type="dxa"/>
            <w:tcBorders>
              <w:top w:val="nil"/>
              <w:bottom w:val="nil"/>
            </w:tcBorders>
            <w:noWrap/>
            <w:hideMark/>
          </w:tcPr>
          <w:p w14:paraId="3A92B7F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17</w:t>
            </w:r>
          </w:p>
        </w:tc>
        <w:tc>
          <w:tcPr>
            <w:tcW w:w="0" w:type="dxa"/>
            <w:tcBorders>
              <w:top w:val="nil"/>
              <w:bottom w:val="nil"/>
              <w:right w:val="single" w:sz="4" w:space="0" w:color="auto"/>
            </w:tcBorders>
            <w:noWrap/>
            <w:hideMark/>
          </w:tcPr>
          <w:p w14:paraId="29A97ED1"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6672CED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524</w:t>
            </w:r>
          </w:p>
        </w:tc>
        <w:tc>
          <w:tcPr>
            <w:tcW w:w="0" w:type="dxa"/>
            <w:tcBorders>
              <w:top w:val="nil"/>
              <w:bottom w:val="nil"/>
            </w:tcBorders>
            <w:noWrap/>
            <w:hideMark/>
          </w:tcPr>
          <w:p w14:paraId="5D763A24"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0.7%</w:t>
            </w:r>
          </w:p>
        </w:tc>
      </w:tr>
      <w:tr w:rsidR="009C318D" w:rsidRPr="000A077F" w14:paraId="7662F5BA"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16EF15F1"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6D2981C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Townhouse</w:t>
            </w:r>
          </w:p>
        </w:tc>
        <w:tc>
          <w:tcPr>
            <w:tcW w:w="0" w:type="dxa"/>
            <w:tcBorders>
              <w:top w:val="nil"/>
              <w:bottom w:val="nil"/>
            </w:tcBorders>
            <w:noWrap/>
            <w:hideMark/>
          </w:tcPr>
          <w:p w14:paraId="6C63ED0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4460</w:t>
            </w:r>
          </w:p>
        </w:tc>
        <w:tc>
          <w:tcPr>
            <w:tcW w:w="0" w:type="dxa"/>
            <w:tcBorders>
              <w:top w:val="nil"/>
              <w:bottom w:val="nil"/>
              <w:right w:val="single" w:sz="4" w:space="0" w:color="auto"/>
            </w:tcBorders>
            <w:noWrap/>
            <w:hideMark/>
          </w:tcPr>
          <w:p w14:paraId="508A1C6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13%</w:t>
            </w:r>
          </w:p>
        </w:tc>
        <w:tc>
          <w:tcPr>
            <w:tcW w:w="0" w:type="dxa"/>
            <w:tcBorders>
              <w:top w:val="nil"/>
              <w:left w:val="single" w:sz="4" w:space="0" w:color="auto"/>
              <w:bottom w:val="nil"/>
            </w:tcBorders>
            <w:noWrap/>
            <w:hideMark/>
          </w:tcPr>
          <w:p w14:paraId="5D70B864" w14:textId="7BE96D42"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11</w:t>
            </w:r>
            <w:r w:rsidR="003560C4" w:rsidRPr="009C5EFC">
              <w:rPr>
                <w:sz w:val="20"/>
                <w:szCs w:val="20"/>
              </w:rPr>
              <w:t>,</w:t>
            </w:r>
            <w:r w:rsidRPr="009C5EFC">
              <w:rPr>
                <w:sz w:val="20"/>
                <w:szCs w:val="20"/>
              </w:rPr>
              <w:t>553</w:t>
            </w:r>
          </w:p>
        </w:tc>
        <w:tc>
          <w:tcPr>
            <w:tcW w:w="0" w:type="dxa"/>
            <w:tcBorders>
              <w:top w:val="nil"/>
              <w:bottom w:val="nil"/>
            </w:tcBorders>
            <w:noWrap/>
            <w:hideMark/>
          </w:tcPr>
          <w:p w14:paraId="485EC2C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16.2%</w:t>
            </w:r>
          </w:p>
        </w:tc>
      </w:tr>
      <w:tr w:rsidR="009C318D" w:rsidRPr="000A077F" w14:paraId="42486FDF"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D79CB91"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54836233"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Unit</w:t>
            </w:r>
          </w:p>
        </w:tc>
        <w:tc>
          <w:tcPr>
            <w:tcW w:w="0" w:type="dxa"/>
            <w:tcBorders>
              <w:top w:val="nil"/>
              <w:bottom w:val="nil"/>
            </w:tcBorders>
            <w:noWrap/>
            <w:hideMark/>
          </w:tcPr>
          <w:p w14:paraId="4F5B274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1109</w:t>
            </w:r>
          </w:p>
        </w:tc>
        <w:tc>
          <w:tcPr>
            <w:tcW w:w="0" w:type="dxa"/>
            <w:tcBorders>
              <w:top w:val="nil"/>
              <w:bottom w:val="nil"/>
              <w:right w:val="single" w:sz="4" w:space="0" w:color="auto"/>
            </w:tcBorders>
            <w:noWrap/>
            <w:hideMark/>
          </w:tcPr>
          <w:p w14:paraId="76FEA615"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3%</w:t>
            </w:r>
          </w:p>
        </w:tc>
        <w:tc>
          <w:tcPr>
            <w:tcW w:w="0" w:type="dxa"/>
            <w:tcBorders>
              <w:top w:val="nil"/>
              <w:left w:val="single" w:sz="4" w:space="0" w:color="auto"/>
              <w:bottom w:val="nil"/>
            </w:tcBorders>
            <w:noWrap/>
            <w:hideMark/>
          </w:tcPr>
          <w:p w14:paraId="223664EC"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7268</w:t>
            </w:r>
          </w:p>
        </w:tc>
        <w:tc>
          <w:tcPr>
            <w:tcW w:w="0" w:type="dxa"/>
            <w:tcBorders>
              <w:top w:val="nil"/>
              <w:bottom w:val="nil"/>
            </w:tcBorders>
            <w:noWrap/>
            <w:hideMark/>
          </w:tcPr>
          <w:p w14:paraId="1BCA7DC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10.2%</w:t>
            </w:r>
          </w:p>
        </w:tc>
      </w:tr>
      <w:tr w:rsidR="009C318D" w:rsidRPr="000A077F" w14:paraId="1E8948F2"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single" w:sz="4" w:space="0" w:color="auto"/>
            </w:tcBorders>
            <w:noWrap/>
            <w:hideMark/>
          </w:tcPr>
          <w:p w14:paraId="6FF88E68" w14:textId="77777777" w:rsidR="009C318D" w:rsidRPr="009C5EFC" w:rsidRDefault="009C318D" w:rsidP="009C5EFC">
            <w:pPr>
              <w:spacing w:before="40" w:after="40"/>
              <w:rPr>
                <w:sz w:val="20"/>
                <w:szCs w:val="20"/>
              </w:rPr>
            </w:pPr>
          </w:p>
        </w:tc>
        <w:tc>
          <w:tcPr>
            <w:tcW w:w="0" w:type="dxa"/>
            <w:tcBorders>
              <w:top w:val="nil"/>
              <w:bottom w:val="single" w:sz="4" w:space="0" w:color="auto"/>
            </w:tcBorders>
            <w:noWrap/>
            <w:hideMark/>
          </w:tcPr>
          <w:p w14:paraId="2D7C282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Villa</w:t>
            </w:r>
          </w:p>
        </w:tc>
        <w:tc>
          <w:tcPr>
            <w:tcW w:w="0" w:type="dxa"/>
            <w:tcBorders>
              <w:top w:val="nil"/>
              <w:bottom w:val="single" w:sz="4" w:space="0" w:color="auto"/>
            </w:tcBorders>
            <w:noWrap/>
            <w:hideMark/>
          </w:tcPr>
          <w:p w14:paraId="0F1D9AD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237</w:t>
            </w:r>
          </w:p>
        </w:tc>
        <w:tc>
          <w:tcPr>
            <w:tcW w:w="0" w:type="dxa"/>
            <w:tcBorders>
              <w:top w:val="nil"/>
              <w:bottom w:val="single" w:sz="4" w:space="0" w:color="auto"/>
              <w:right w:val="single" w:sz="4" w:space="0" w:color="auto"/>
            </w:tcBorders>
            <w:noWrap/>
            <w:hideMark/>
          </w:tcPr>
          <w:p w14:paraId="7DC9094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single" w:sz="4" w:space="0" w:color="auto"/>
            </w:tcBorders>
            <w:noWrap/>
            <w:hideMark/>
          </w:tcPr>
          <w:p w14:paraId="2476FD2F"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191</w:t>
            </w:r>
          </w:p>
        </w:tc>
        <w:tc>
          <w:tcPr>
            <w:tcW w:w="0" w:type="dxa"/>
            <w:tcBorders>
              <w:top w:val="nil"/>
              <w:bottom w:val="single" w:sz="4" w:space="0" w:color="auto"/>
            </w:tcBorders>
            <w:noWrap/>
            <w:hideMark/>
          </w:tcPr>
          <w:p w14:paraId="03DBB3B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0.3%</w:t>
            </w:r>
          </w:p>
        </w:tc>
      </w:tr>
      <w:tr w:rsidR="009C318D" w:rsidRPr="000A077F" w14:paraId="4F14DC84"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2"/>
            <w:tcBorders>
              <w:top w:val="single" w:sz="4" w:space="0" w:color="auto"/>
              <w:bottom w:val="nil"/>
            </w:tcBorders>
            <w:noWrap/>
            <w:hideMark/>
          </w:tcPr>
          <w:p w14:paraId="13C035DF" w14:textId="77777777" w:rsidR="009C318D" w:rsidRPr="009C5EFC" w:rsidRDefault="009C318D" w:rsidP="009C5EFC">
            <w:pPr>
              <w:spacing w:before="40" w:after="40"/>
              <w:jc w:val="left"/>
              <w:rPr>
                <w:sz w:val="20"/>
                <w:szCs w:val="20"/>
              </w:rPr>
            </w:pPr>
            <w:r w:rsidRPr="009C5EFC">
              <w:rPr>
                <w:sz w:val="20"/>
                <w:szCs w:val="20"/>
              </w:rPr>
              <w:t>Age of Dwelling</w:t>
            </w:r>
          </w:p>
        </w:tc>
        <w:tc>
          <w:tcPr>
            <w:tcW w:w="0" w:type="dxa"/>
            <w:tcBorders>
              <w:top w:val="single" w:sz="4" w:space="0" w:color="auto"/>
              <w:bottom w:val="nil"/>
            </w:tcBorders>
            <w:noWrap/>
            <w:hideMark/>
          </w:tcPr>
          <w:p w14:paraId="4FDF6A34"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c>
          <w:tcPr>
            <w:tcW w:w="0" w:type="dxa"/>
            <w:tcBorders>
              <w:top w:val="single" w:sz="4" w:space="0" w:color="auto"/>
              <w:bottom w:val="nil"/>
              <w:right w:val="single" w:sz="4" w:space="0" w:color="auto"/>
            </w:tcBorders>
            <w:noWrap/>
            <w:hideMark/>
          </w:tcPr>
          <w:p w14:paraId="48FA1D9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c>
          <w:tcPr>
            <w:tcW w:w="0" w:type="dxa"/>
            <w:tcBorders>
              <w:top w:val="single" w:sz="4" w:space="0" w:color="auto"/>
              <w:left w:val="single" w:sz="4" w:space="0" w:color="auto"/>
              <w:bottom w:val="nil"/>
            </w:tcBorders>
            <w:noWrap/>
            <w:hideMark/>
          </w:tcPr>
          <w:p w14:paraId="3E4DF562"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c>
          <w:tcPr>
            <w:tcW w:w="0" w:type="dxa"/>
            <w:tcBorders>
              <w:top w:val="single" w:sz="4" w:space="0" w:color="auto"/>
              <w:bottom w:val="nil"/>
            </w:tcBorders>
            <w:noWrap/>
            <w:hideMark/>
          </w:tcPr>
          <w:p w14:paraId="4FCB8E0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p>
        </w:tc>
      </w:tr>
      <w:tr w:rsidR="009C318D" w:rsidRPr="000A077F" w14:paraId="3EDC93FD"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E5C8759"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6EC1418A" w14:textId="2905808E"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1800</w:t>
            </w:r>
            <w:r w:rsidR="003560C4" w:rsidRPr="009C5EFC">
              <w:rPr>
                <w:sz w:val="20"/>
                <w:szCs w:val="20"/>
              </w:rPr>
              <w:t>–</w:t>
            </w:r>
            <w:r w:rsidRPr="009C5EFC">
              <w:rPr>
                <w:sz w:val="20"/>
                <w:szCs w:val="20"/>
              </w:rPr>
              <w:t>1920</w:t>
            </w:r>
          </w:p>
        </w:tc>
        <w:tc>
          <w:tcPr>
            <w:tcW w:w="0" w:type="dxa"/>
            <w:tcBorders>
              <w:top w:val="nil"/>
              <w:bottom w:val="nil"/>
            </w:tcBorders>
            <w:noWrap/>
            <w:hideMark/>
          </w:tcPr>
          <w:p w14:paraId="06FC2DAB"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10</w:t>
            </w:r>
          </w:p>
        </w:tc>
        <w:tc>
          <w:tcPr>
            <w:tcW w:w="0" w:type="dxa"/>
            <w:tcBorders>
              <w:top w:val="nil"/>
              <w:bottom w:val="nil"/>
              <w:right w:val="single" w:sz="4" w:space="0" w:color="auto"/>
            </w:tcBorders>
            <w:noWrap/>
            <w:hideMark/>
          </w:tcPr>
          <w:p w14:paraId="1370A734"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63CB4490"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193</w:t>
            </w:r>
          </w:p>
        </w:tc>
        <w:tc>
          <w:tcPr>
            <w:tcW w:w="0" w:type="dxa"/>
            <w:tcBorders>
              <w:top w:val="nil"/>
              <w:bottom w:val="nil"/>
            </w:tcBorders>
            <w:noWrap/>
            <w:hideMark/>
          </w:tcPr>
          <w:p w14:paraId="08123DE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0.3%</w:t>
            </w:r>
          </w:p>
        </w:tc>
      </w:tr>
      <w:tr w:rsidR="009C318D" w:rsidRPr="000A077F" w14:paraId="1D164827"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2F26340B"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67A74962" w14:textId="53219CDA"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1921</w:t>
            </w:r>
            <w:r w:rsidR="003560C4" w:rsidRPr="009C5EFC">
              <w:rPr>
                <w:sz w:val="20"/>
                <w:szCs w:val="20"/>
              </w:rPr>
              <w:t>–</w:t>
            </w:r>
            <w:r w:rsidRPr="009C5EFC">
              <w:rPr>
                <w:sz w:val="20"/>
                <w:szCs w:val="20"/>
              </w:rPr>
              <w:t>1940</w:t>
            </w:r>
          </w:p>
        </w:tc>
        <w:tc>
          <w:tcPr>
            <w:tcW w:w="0" w:type="dxa"/>
            <w:tcBorders>
              <w:top w:val="nil"/>
              <w:bottom w:val="nil"/>
            </w:tcBorders>
            <w:noWrap/>
            <w:hideMark/>
          </w:tcPr>
          <w:p w14:paraId="17B72812"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4686</w:t>
            </w:r>
          </w:p>
        </w:tc>
        <w:tc>
          <w:tcPr>
            <w:tcW w:w="0" w:type="dxa"/>
            <w:tcBorders>
              <w:top w:val="nil"/>
              <w:bottom w:val="nil"/>
              <w:right w:val="single" w:sz="4" w:space="0" w:color="auto"/>
            </w:tcBorders>
            <w:noWrap/>
            <w:hideMark/>
          </w:tcPr>
          <w:p w14:paraId="6888EA7E"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13%</w:t>
            </w:r>
          </w:p>
        </w:tc>
        <w:tc>
          <w:tcPr>
            <w:tcW w:w="0" w:type="dxa"/>
            <w:tcBorders>
              <w:top w:val="nil"/>
              <w:left w:val="single" w:sz="4" w:space="0" w:color="auto"/>
              <w:bottom w:val="nil"/>
            </w:tcBorders>
            <w:noWrap/>
            <w:hideMark/>
          </w:tcPr>
          <w:p w14:paraId="6798C734" w14:textId="272CFDDA"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15</w:t>
            </w:r>
            <w:r w:rsidR="003560C4" w:rsidRPr="009C5EFC">
              <w:rPr>
                <w:sz w:val="20"/>
                <w:szCs w:val="20"/>
              </w:rPr>
              <w:t>,</w:t>
            </w:r>
            <w:r w:rsidRPr="009C5EFC">
              <w:rPr>
                <w:sz w:val="20"/>
                <w:szCs w:val="20"/>
              </w:rPr>
              <w:t>829</w:t>
            </w:r>
          </w:p>
        </w:tc>
        <w:tc>
          <w:tcPr>
            <w:tcW w:w="0" w:type="dxa"/>
            <w:tcBorders>
              <w:top w:val="nil"/>
              <w:bottom w:val="nil"/>
            </w:tcBorders>
            <w:noWrap/>
            <w:hideMark/>
          </w:tcPr>
          <w:p w14:paraId="6B1EF12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22.2%</w:t>
            </w:r>
          </w:p>
        </w:tc>
      </w:tr>
      <w:tr w:rsidR="009C318D" w:rsidRPr="000A077F" w14:paraId="2DC21F58"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7ADAB1B1"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32DFD5FA" w14:textId="4B8B4C28"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1941</w:t>
            </w:r>
            <w:r w:rsidR="003560C4" w:rsidRPr="009C5EFC">
              <w:rPr>
                <w:sz w:val="20"/>
                <w:szCs w:val="20"/>
              </w:rPr>
              <w:t>–</w:t>
            </w:r>
            <w:r w:rsidRPr="009C5EFC">
              <w:rPr>
                <w:sz w:val="20"/>
                <w:szCs w:val="20"/>
              </w:rPr>
              <w:t>1960</w:t>
            </w:r>
          </w:p>
        </w:tc>
        <w:tc>
          <w:tcPr>
            <w:tcW w:w="0" w:type="dxa"/>
            <w:tcBorders>
              <w:top w:val="nil"/>
              <w:bottom w:val="nil"/>
            </w:tcBorders>
            <w:noWrap/>
            <w:hideMark/>
          </w:tcPr>
          <w:p w14:paraId="5020A944"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2357</w:t>
            </w:r>
          </w:p>
        </w:tc>
        <w:tc>
          <w:tcPr>
            <w:tcW w:w="0" w:type="dxa"/>
            <w:tcBorders>
              <w:top w:val="nil"/>
              <w:bottom w:val="nil"/>
              <w:right w:val="single" w:sz="4" w:space="0" w:color="auto"/>
            </w:tcBorders>
            <w:noWrap/>
            <w:hideMark/>
          </w:tcPr>
          <w:p w14:paraId="100A808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7%</w:t>
            </w:r>
          </w:p>
        </w:tc>
        <w:tc>
          <w:tcPr>
            <w:tcW w:w="0" w:type="dxa"/>
            <w:tcBorders>
              <w:top w:val="nil"/>
              <w:left w:val="single" w:sz="4" w:space="0" w:color="auto"/>
              <w:bottom w:val="nil"/>
            </w:tcBorders>
            <w:noWrap/>
            <w:hideMark/>
          </w:tcPr>
          <w:p w14:paraId="7DF27BCF"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6924</w:t>
            </w:r>
          </w:p>
        </w:tc>
        <w:tc>
          <w:tcPr>
            <w:tcW w:w="0" w:type="dxa"/>
            <w:tcBorders>
              <w:top w:val="nil"/>
              <w:bottom w:val="nil"/>
            </w:tcBorders>
            <w:noWrap/>
            <w:hideMark/>
          </w:tcPr>
          <w:p w14:paraId="5A84A53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9.7%</w:t>
            </w:r>
          </w:p>
        </w:tc>
      </w:tr>
      <w:tr w:rsidR="009C318D" w:rsidRPr="000A077F" w14:paraId="32E1A7FC"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0B3944F2"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2F16A074" w14:textId="39F58920"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1961</w:t>
            </w:r>
            <w:r w:rsidR="003560C4" w:rsidRPr="009C5EFC">
              <w:rPr>
                <w:sz w:val="20"/>
                <w:szCs w:val="20"/>
              </w:rPr>
              <w:t>–</w:t>
            </w:r>
            <w:r w:rsidRPr="009C5EFC">
              <w:rPr>
                <w:sz w:val="20"/>
                <w:szCs w:val="20"/>
              </w:rPr>
              <w:t>1980</w:t>
            </w:r>
          </w:p>
        </w:tc>
        <w:tc>
          <w:tcPr>
            <w:tcW w:w="0" w:type="dxa"/>
            <w:tcBorders>
              <w:top w:val="nil"/>
              <w:bottom w:val="nil"/>
            </w:tcBorders>
            <w:noWrap/>
            <w:hideMark/>
          </w:tcPr>
          <w:p w14:paraId="12163FE2" w14:textId="48589DC6"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14</w:t>
            </w:r>
            <w:r w:rsidR="003560C4" w:rsidRPr="009C5EFC">
              <w:rPr>
                <w:sz w:val="20"/>
                <w:szCs w:val="20"/>
              </w:rPr>
              <w:t>,</w:t>
            </w:r>
            <w:r w:rsidRPr="009C5EFC">
              <w:rPr>
                <w:sz w:val="20"/>
                <w:szCs w:val="20"/>
              </w:rPr>
              <w:t>333</w:t>
            </w:r>
          </w:p>
        </w:tc>
        <w:tc>
          <w:tcPr>
            <w:tcW w:w="0" w:type="dxa"/>
            <w:tcBorders>
              <w:top w:val="nil"/>
              <w:bottom w:val="nil"/>
              <w:right w:val="single" w:sz="4" w:space="0" w:color="auto"/>
            </w:tcBorders>
            <w:noWrap/>
            <w:hideMark/>
          </w:tcPr>
          <w:p w14:paraId="7A9D8E5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40%</w:t>
            </w:r>
          </w:p>
        </w:tc>
        <w:tc>
          <w:tcPr>
            <w:tcW w:w="0" w:type="dxa"/>
            <w:tcBorders>
              <w:top w:val="nil"/>
              <w:left w:val="single" w:sz="4" w:space="0" w:color="auto"/>
              <w:bottom w:val="nil"/>
            </w:tcBorders>
            <w:noWrap/>
            <w:hideMark/>
          </w:tcPr>
          <w:p w14:paraId="096AF6F4" w14:textId="04134F8B"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23</w:t>
            </w:r>
            <w:r w:rsidR="003560C4" w:rsidRPr="009C5EFC">
              <w:rPr>
                <w:sz w:val="20"/>
                <w:szCs w:val="20"/>
              </w:rPr>
              <w:t>,</w:t>
            </w:r>
            <w:r w:rsidRPr="009C5EFC">
              <w:rPr>
                <w:sz w:val="20"/>
                <w:szCs w:val="20"/>
              </w:rPr>
              <w:t>206</w:t>
            </w:r>
          </w:p>
        </w:tc>
        <w:tc>
          <w:tcPr>
            <w:tcW w:w="0" w:type="dxa"/>
            <w:tcBorders>
              <w:top w:val="nil"/>
              <w:bottom w:val="nil"/>
            </w:tcBorders>
            <w:noWrap/>
            <w:hideMark/>
          </w:tcPr>
          <w:p w14:paraId="6790A39D"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32.6%</w:t>
            </w:r>
          </w:p>
        </w:tc>
      </w:tr>
      <w:tr w:rsidR="009C318D" w:rsidRPr="000A077F" w14:paraId="7E7CDD1E"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15F6423F"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23581A3E" w14:textId="1B9A6E5D"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1981</w:t>
            </w:r>
            <w:r w:rsidR="003560C4" w:rsidRPr="009C5EFC">
              <w:rPr>
                <w:sz w:val="20"/>
                <w:szCs w:val="20"/>
              </w:rPr>
              <w:t>–</w:t>
            </w:r>
            <w:r w:rsidRPr="009C5EFC">
              <w:rPr>
                <w:sz w:val="20"/>
                <w:szCs w:val="20"/>
              </w:rPr>
              <w:t>2000</w:t>
            </w:r>
          </w:p>
        </w:tc>
        <w:tc>
          <w:tcPr>
            <w:tcW w:w="0" w:type="dxa"/>
            <w:tcBorders>
              <w:top w:val="nil"/>
              <w:bottom w:val="nil"/>
            </w:tcBorders>
            <w:noWrap/>
            <w:hideMark/>
          </w:tcPr>
          <w:p w14:paraId="05F38E93" w14:textId="0AA997B0"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10</w:t>
            </w:r>
            <w:r w:rsidR="003560C4" w:rsidRPr="009C5EFC">
              <w:rPr>
                <w:sz w:val="20"/>
                <w:szCs w:val="20"/>
              </w:rPr>
              <w:t>,</w:t>
            </w:r>
            <w:r w:rsidRPr="009C5EFC">
              <w:rPr>
                <w:sz w:val="20"/>
                <w:szCs w:val="20"/>
              </w:rPr>
              <w:t>211</w:t>
            </w:r>
          </w:p>
        </w:tc>
        <w:tc>
          <w:tcPr>
            <w:tcW w:w="0" w:type="dxa"/>
            <w:tcBorders>
              <w:top w:val="nil"/>
              <w:bottom w:val="nil"/>
              <w:right w:val="single" w:sz="4" w:space="0" w:color="auto"/>
            </w:tcBorders>
            <w:noWrap/>
            <w:hideMark/>
          </w:tcPr>
          <w:p w14:paraId="6BB14CE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29%</w:t>
            </w:r>
          </w:p>
        </w:tc>
        <w:tc>
          <w:tcPr>
            <w:tcW w:w="0" w:type="dxa"/>
            <w:tcBorders>
              <w:top w:val="nil"/>
              <w:left w:val="single" w:sz="4" w:space="0" w:color="auto"/>
              <w:bottom w:val="nil"/>
            </w:tcBorders>
            <w:noWrap/>
            <w:hideMark/>
          </w:tcPr>
          <w:p w14:paraId="0BE04045" w14:textId="73DF3593"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18</w:t>
            </w:r>
            <w:r w:rsidR="003560C4" w:rsidRPr="009C5EFC">
              <w:rPr>
                <w:sz w:val="20"/>
                <w:szCs w:val="20"/>
              </w:rPr>
              <w:t>,</w:t>
            </w:r>
            <w:r w:rsidRPr="009C5EFC">
              <w:rPr>
                <w:sz w:val="20"/>
                <w:szCs w:val="20"/>
              </w:rPr>
              <w:t>075</w:t>
            </w:r>
          </w:p>
        </w:tc>
        <w:tc>
          <w:tcPr>
            <w:tcW w:w="0" w:type="dxa"/>
            <w:tcBorders>
              <w:top w:val="nil"/>
              <w:bottom w:val="nil"/>
            </w:tcBorders>
            <w:noWrap/>
            <w:hideMark/>
          </w:tcPr>
          <w:p w14:paraId="350E3E6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25.4%</w:t>
            </w:r>
          </w:p>
        </w:tc>
      </w:tr>
      <w:tr w:rsidR="009C318D" w:rsidRPr="000A077F" w14:paraId="77DCC57F"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single" w:sz="4" w:space="0" w:color="auto"/>
            </w:tcBorders>
            <w:noWrap/>
            <w:hideMark/>
          </w:tcPr>
          <w:p w14:paraId="173BB0BA" w14:textId="77777777" w:rsidR="009C318D" w:rsidRPr="009C5EFC" w:rsidRDefault="009C318D" w:rsidP="009C5EFC">
            <w:pPr>
              <w:spacing w:before="40" w:after="40"/>
              <w:rPr>
                <w:sz w:val="20"/>
                <w:szCs w:val="20"/>
              </w:rPr>
            </w:pPr>
          </w:p>
        </w:tc>
        <w:tc>
          <w:tcPr>
            <w:tcW w:w="0" w:type="dxa"/>
            <w:tcBorders>
              <w:top w:val="nil"/>
              <w:bottom w:val="single" w:sz="4" w:space="0" w:color="auto"/>
            </w:tcBorders>
            <w:noWrap/>
            <w:hideMark/>
          </w:tcPr>
          <w:p w14:paraId="67F7878A" w14:textId="0E88A22E"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2000+</w:t>
            </w:r>
          </w:p>
        </w:tc>
        <w:tc>
          <w:tcPr>
            <w:tcW w:w="0" w:type="dxa"/>
            <w:tcBorders>
              <w:top w:val="nil"/>
              <w:bottom w:val="single" w:sz="4" w:space="0" w:color="auto"/>
            </w:tcBorders>
            <w:noWrap/>
            <w:hideMark/>
          </w:tcPr>
          <w:p w14:paraId="1E17AD4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4060</w:t>
            </w:r>
          </w:p>
        </w:tc>
        <w:tc>
          <w:tcPr>
            <w:tcW w:w="0" w:type="dxa"/>
            <w:tcBorders>
              <w:top w:val="nil"/>
              <w:bottom w:val="single" w:sz="4" w:space="0" w:color="auto"/>
              <w:right w:val="single" w:sz="4" w:space="0" w:color="auto"/>
            </w:tcBorders>
            <w:noWrap/>
            <w:hideMark/>
          </w:tcPr>
          <w:p w14:paraId="0D5F1EBD"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11%</w:t>
            </w:r>
          </w:p>
        </w:tc>
        <w:tc>
          <w:tcPr>
            <w:tcW w:w="0" w:type="dxa"/>
            <w:tcBorders>
              <w:top w:val="nil"/>
              <w:left w:val="single" w:sz="4" w:space="0" w:color="auto"/>
              <w:bottom w:val="single" w:sz="4" w:space="0" w:color="auto"/>
            </w:tcBorders>
            <w:noWrap/>
            <w:hideMark/>
          </w:tcPr>
          <w:p w14:paraId="152AF701"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6988</w:t>
            </w:r>
          </w:p>
        </w:tc>
        <w:tc>
          <w:tcPr>
            <w:tcW w:w="0" w:type="dxa"/>
            <w:tcBorders>
              <w:top w:val="nil"/>
              <w:bottom w:val="single" w:sz="4" w:space="0" w:color="auto"/>
            </w:tcBorders>
            <w:noWrap/>
            <w:hideMark/>
          </w:tcPr>
          <w:p w14:paraId="2C5299A3"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9.8%</w:t>
            </w:r>
          </w:p>
        </w:tc>
      </w:tr>
      <w:tr w:rsidR="009C318D" w:rsidRPr="000A077F" w14:paraId="20FD1EB2" w14:textId="77777777" w:rsidTr="009C5EFC">
        <w:tc>
          <w:tcPr>
            <w:cnfStyle w:val="001000000000" w:firstRow="0" w:lastRow="0" w:firstColumn="1" w:lastColumn="0" w:oddVBand="0" w:evenVBand="0" w:oddHBand="0" w:evenHBand="0" w:firstRowFirstColumn="0" w:firstRowLastColumn="0" w:lastRowFirstColumn="0" w:lastRowLastColumn="0"/>
            <w:tcW w:w="0" w:type="dxa"/>
            <w:gridSpan w:val="2"/>
            <w:tcBorders>
              <w:top w:val="single" w:sz="4" w:space="0" w:color="7F7F7F" w:themeColor="text1" w:themeTint="80"/>
              <w:bottom w:val="nil"/>
            </w:tcBorders>
            <w:noWrap/>
            <w:hideMark/>
          </w:tcPr>
          <w:p w14:paraId="6B919DAF" w14:textId="2AC281A0" w:rsidR="009C318D" w:rsidRPr="009C5EFC" w:rsidRDefault="009C318D" w:rsidP="009C5EFC">
            <w:pPr>
              <w:spacing w:before="40" w:after="40"/>
              <w:jc w:val="left"/>
              <w:rPr>
                <w:sz w:val="20"/>
                <w:szCs w:val="20"/>
              </w:rPr>
            </w:pPr>
            <w:r w:rsidRPr="009C5EFC">
              <w:rPr>
                <w:sz w:val="20"/>
                <w:szCs w:val="20"/>
              </w:rPr>
              <w:t xml:space="preserve">Number of </w:t>
            </w:r>
            <w:r w:rsidR="003560C4" w:rsidRPr="009C5EFC">
              <w:rPr>
                <w:sz w:val="20"/>
                <w:szCs w:val="20"/>
              </w:rPr>
              <w:t>B</w:t>
            </w:r>
            <w:r w:rsidRPr="009C5EFC">
              <w:rPr>
                <w:sz w:val="20"/>
                <w:szCs w:val="20"/>
              </w:rPr>
              <w:t>edrooms</w:t>
            </w:r>
          </w:p>
        </w:tc>
        <w:tc>
          <w:tcPr>
            <w:tcW w:w="0" w:type="dxa"/>
            <w:tcBorders>
              <w:top w:val="single" w:sz="4" w:space="0" w:color="7F7F7F" w:themeColor="text1" w:themeTint="80"/>
              <w:bottom w:val="nil"/>
            </w:tcBorders>
            <w:noWrap/>
            <w:hideMark/>
          </w:tcPr>
          <w:p w14:paraId="4C5B28D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7F7F7F" w:themeColor="text1" w:themeTint="80"/>
              <w:bottom w:val="nil"/>
              <w:right w:val="single" w:sz="4" w:space="0" w:color="auto"/>
            </w:tcBorders>
            <w:noWrap/>
            <w:hideMark/>
          </w:tcPr>
          <w:p w14:paraId="603B0AC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7F7F7F" w:themeColor="text1" w:themeTint="80"/>
              <w:left w:val="single" w:sz="4" w:space="0" w:color="auto"/>
              <w:bottom w:val="nil"/>
            </w:tcBorders>
            <w:noWrap/>
            <w:hideMark/>
          </w:tcPr>
          <w:p w14:paraId="5419A7D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7F7F7F" w:themeColor="text1" w:themeTint="80"/>
              <w:bottom w:val="nil"/>
            </w:tcBorders>
            <w:noWrap/>
            <w:hideMark/>
          </w:tcPr>
          <w:p w14:paraId="7748053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r>
      <w:tr w:rsidR="009C318D" w:rsidRPr="000A077F" w14:paraId="5E4AFABF"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298F5521"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7AC18AE2"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bottom w:val="nil"/>
            </w:tcBorders>
            <w:noWrap/>
            <w:hideMark/>
          </w:tcPr>
          <w:p w14:paraId="6DF9ED45"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20</w:t>
            </w:r>
          </w:p>
        </w:tc>
        <w:tc>
          <w:tcPr>
            <w:tcW w:w="0" w:type="dxa"/>
            <w:tcBorders>
              <w:top w:val="nil"/>
              <w:bottom w:val="nil"/>
              <w:right w:val="single" w:sz="4" w:space="0" w:color="auto"/>
            </w:tcBorders>
            <w:noWrap/>
            <w:hideMark/>
          </w:tcPr>
          <w:p w14:paraId="281062E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17B02FD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81</w:t>
            </w:r>
          </w:p>
        </w:tc>
        <w:tc>
          <w:tcPr>
            <w:tcW w:w="0" w:type="dxa"/>
            <w:tcBorders>
              <w:top w:val="nil"/>
              <w:bottom w:val="nil"/>
            </w:tcBorders>
            <w:noWrap/>
            <w:hideMark/>
          </w:tcPr>
          <w:p w14:paraId="5D27E361"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0.1%</w:t>
            </w:r>
          </w:p>
        </w:tc>
      </w:tr>
      <w:tr w:rsidR="009C318D" w:rsidRPr="000A077F" w14:paraId="4AB396E3"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7D824A8C"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0A72E2E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w:t>
            </w:r>
          </w:p>
        </w:tc>
        <w:tc>
          <w:tcPr>
            <w:tcW w:w="0" w:type="dxa"/>
            <w:tcBorders>
              <w:top w:val="nil"/>
              <w:bottom w:val="nil"/>
            </w:tcBorders>
            <w:noWrap/>
            <w:hideMark/>
          </w:tcPr>
          <w:p w14:paraId="7477B67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1953</w:t>
            </w:r>
          </w:p>
        </w:tc>
        <w:tc>
          <w:tcPr>
            <w:tcW w:w="0" w:type="dxa"/>
            <w:tcBorders>
              <w:top w:val="nil"/>
              <w:bottom w:val="nil"/>
              <w:right w:val="single" w:sz="4" w:space="0" w:color="auto"/>
            </w:tcBorders>
            <w:noWrap/>
            <w:hideMark/>
          </w:tcPr>
          <w:p w14:paraId="2FA011C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w:t>
            </w:r>
          </w:p>
        </w:tc>
        <w:tc>
          <w:tcPr>
            <w:tcW w:w="0" w:type="dxa"/>
            <w:tcBorders>
              <w:top w:val="nil"/>
              <w:left w:val="single" w:sz="4" w:space="0" w:color="auto"/>
              <w:bottom w:val="nil"/>
            </w:tcBorders>
            <w:noWrap/>
            <w:hideMark/>
          </w:tcPr>
          <w:p w14:paraId="2AD6E69F" w14:textId="59661B9B"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15</w:t>
            </w:r>
            <w:r w:rsidR="003560C4" w:rsidRPr="009C5EFC">
              <w:rPr>
                <w:sz w:val="20"/>
                <w:szCs w:val="20"/>
              </w:rPr>
              <w:t>,</w:t>
            </w:r>
            <w:r w:rsidRPr="009C5EFC">
              <w:rPr>
                <w:sz w:val="20"/>
                <w:szCs w:val="20"/>
              </w:rPr>
              <w:t>942</w:t>
            </w:r>
          </w:p>
        </w:tc>
        <w:tc>
          <w:tcPr>
            <w:tcW w:w="0" w:type="dxa"/>
            <w:tcBorders>
              <w:top w:val="nil"/>
              <w:bottom w:val="nil"/>
            </w:tcBorders>
            <w:noWrap/>
            <w:hideMark/>
          </w:tcPr>
          <w:p w14:paraId="115A27BF"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22.4%</w:t>
            </w:r>
          </w:p>
        </w:tc>
      </w:tr>
      <w:tr w:rsidR="009C318D" w:rsidRPr="000A077F" w14:paraId="0EBAB9BF"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6B06DC3"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196FAFE1"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w:t>
            </w:r>
          </w:p>
        </w:tc>
        <w:tc>
          <w:tcPr>
            <w:tcW w:w="0" w:type="dxa"/>
            <w:tcBorders>
              <w:top w:val="nil"/>
              <w:bottom w:val="nil"/>
            </w:tcBorders>
            <w:noWrap/>
            <w:hideMark/>
          </w:tcPr>
          <w:p w14:paraId="6CBAFCA3"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5014</w:t>
            </w:r>
          </w:p>
        </w:tc>
        <w:tc>
          <w:tcPr>
            <w:tcW w:w="0" w:type="dxa"/>
            <w:tcBorders>
              <w:top w:val="nil"/>
              <w:bottom w:val="nil"/>
              <w:right w:val="single" w:sz="4" w:space="0" w:color="auto"/>
            </w:tcBorders>
            <w:noWrap/>
            <w:hideMark/>
          </w:tcPr>
          <w:p w14:paraId="5C7AF85E"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14%</w:t>
            </w:r>
          </w:p>
        </w:tc>
        <w:tc>
          <w:tcPr>
            <w:tcW w:w="0" w:type="dxa"/>
            <w:tcBorders>
              <w:top w:val="nil"/>
              <w:left w:val="single" w:sz="4" w:space="0" w:color="auto"/>
              <w:bottom w:val="nil"/>
            </w:tcBorders>
            <w:noWrap/>
            <w:hideMark/>
          </w:tcPr>
          <w:p w14:paraId="7497116D" w14:textId="3D3DE459"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19</w:t>
            </w:r>
            <w:r w:rsidR="003560C4" w:rsidRPr="009C5EFC">
              <w:rPr>
                <w:sz w:val="20"/>
                <w:szCs w:val="20"/>
              </w:rPr>
              <w:t>,</w:t>
            </w:r>
            <w:r w:rsidRPr="009C5EFC">
              <w:rPr>
                <w:sz w:val="20"/>
                <w:szCs w:val="20"/>
              </w:rPr>
              <w:t>776</w:t>
            </w:r>
          </w:p>
        </w:tc>
        <w:tc>
          <w:tcPr>
            <w:tcW w:w="0" w:type="dxa"/>
            <w:tcBorders>
              <w:top w:val="nil"/>
              <w:bottom w:val="nil"/>
            </w:tcBorders>
            <w:noWrap/>
            <w:hideMark/>
          </w:tcPr>
          <w:p w14:paraId="6284764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27.8%</w:t>
            </w:r>
          </w:p>
        </w:tc>
      </w:tr>
      <w:tr w:rsidR="009C318D" w:rsidRPr="000A077F" w14:paraId="19691731"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2C748517"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0D229FBF"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3</w:t>
            </w:r>
          </w:p>
        </w:tc>
        <w:tc>
          <w:tcPr>
            <w:tcW w:w="0" w:type="dxa"/>
            <w:tcBorders>
              <w:top w:val="nil"/>
              <w:bottom w:val="nil"/>
            </w:tcBorders>
            <w:noWrap/>
            <w:hideMark/>
          </w:tcPr>
          <w:p w14:paraId="04571471" w14:textId="55173D70"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14</w:t>
            </w:r>
            <w:r w:rsidR="003560C4" w:rsidRPr="009C5EFC">
              <w:rPr>
                <w:sz w:val="20"/>
                <w:szCs w:val="20"/>
              </w:rPr>
              <w:t>,</w:t>
            </w:r>
            <w:r w:rsidRPr="009C5EFC">
              <w:rPr>
                <w:sz w:val="20"/>
                <w:szCs w:val="20"/>
              </w:rPr>
              <w:t>910</w:t>
            </w:r>
          </w:p>
        </w:tc>
        <w:tc>
          <w:tcPr>
            <w:tcW w:w="0" w:type="dxa"/>
            <w:tcBorders>
              <w:top w:val="nil"/>
              <w:bottom w:val="nil"/>
              <w:right w:val="single" w:sz="4" w:space="0" w:color="auto"/>
            </w:tcBorders>
            <w:noWrap/>
            <w:hideMark/>
          </w:tcPr>
          <w:p w14:paraId="1BB7F36B"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42%</w:t>
            </w:r>
          </w:p>
        </w:tc>
        <w:tc>
          <w:tcPr>
            <w:tcW w:w="0" w:type="dxa"/>
            <w:tcBorders>
              <w:top w:val="nil"/>
              <w:left w:val="single" w:sz="4" w:space="0" w:color="auto"/>
              <w:bottom w:val="nil"/>
            </w:tcBorders>
            <w:noWrap/>
            <w:hideMark/>
          </w:tcPr>
          <w:p w14:paraId="7B020478" w14:textId="0A6DF869"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24</w:t>
            </w:r>
            <w:r w:rsidR="003560C4" w:rsidRPr="009C5EFC">
              <w:rPr>
                <w:sz w:val="20"/>
                <w:szCs w:val="20"/>
              </w:rPr>
              <w:t>,</w:t>
            </w:r>
            <w:r w:rsidRPr="009C5EFC">
              <w:rPr>
                <w:sz w:val="20"/>
                <w:szCs w:val="20"/>
              </w:rPr>
              <w:t>202</w:t>
            </w:r>
          </w:p>
        </w:tc>
        <w:tc>
          <w:tcPr>
            <w:tcW w:w="0" w:type="dxa"/>
            <w:tcBorders>
              <w:top w:val="nil"/>
              <w:bottom w:val="nil"/>
            </w:tcBorders>
            <w:noWrap/>
            <w:hideMark/>
          </w:tcPr>
          <w:p w14:paraId="17725D1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34.0%</w:t>
            </w:r>
          </w:p>
        </w:tc>
      </w:tr>
      <w:tr w:rsidR="009C318D" w:rsidRPr="000A077F" w14:paraId="543B4E8E"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FAB673F"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1DA4E1C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w:t>
            </w:r>
          </w:p>
        </w:tc>
        <w:tc>
          <w:tcPr>
            <w:tcW w:w="0" w:type="dxa"/>
            <w:tcBorders>
              <w:top w:val="nil"/>
              <w:bottom w:val="nil"/>
            </w:tcBorders>
            <w:noWrap/>
            <w:hideMark/>
          </w:tcPr>
          <w:p w14:paraId="5976A646" w14:textId="779CE766"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11</w:t>
            </w:r>
            <w:r w:rsidR="003560C4" w:rsidRPr="009C5EFC">
              <w:rPr>
                <w:sz w:val="20"/>
                <w:szCs w:val="20"/>
              </w:rPr>
              <w:t>,</w:t>
            </w:r>
            <w:r w:rsidRPr="009C5EFC">
              <w:rPr>
                <w:sz w:val="20"/>
                <w:szCs w:val="20"/>
              </w:rPr>
              <w:t>225</w:t>
            </w:r>
          </w:p>
        </w:tc>
        <w:tc>
          <w:tcPr>
            <w:tcW w:w="0" w:type="dxa"/>
            <w:tcBorders>
              <w:top w:val="nil"/>
              <w:bottom w:val="nil"/>
              <w:right w:val="single" w:sz="4" w:space="0" w:color="auto"/>
            </w:tcBorders>
            <w:noWrap/>
            <w:hideMark/>
          </w:tcPr>
          <w:p w14:paraId="37D5A57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31%</w:t>
            </w:r>
          </w:p>
        </w:tc>
        <w:tc>
          <w:tcPr>
            <w:tcW w:w="0" w:type="dxa"/>
            <w:tcBorders>
              <w:top w:val="nil"/>
              <w:left w:val="single" w:sz="4" w:space="0" w:color="auto"/>
              <w:bottom w:val="nil"/>
            </w:tcBorders>
            <w:noWrap/>
            <w:hideMark/>
          </w:tcPr>
          <w:p w14:paraId="1A3AB95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9433</w:t>
            </w:r>
          </w:p>
        </w:tc>
        <w:tc>
          <w:tcPr>
            <w:tcW w:w="0" w:type="dxa"/>
            <w:tcBorders>
              <w:top w:val="nil"/>
              <w:bottom w:val="nil"/>
            </w:tcBorders>
            <w:noWrap/>
            <w:hideMark/>
          </w:tcPr>
          <w:p w14:paraId="59E57EB8"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13.2%</w:t>
            </w:r>
          </w:p>
        </w:tc>
      </w:tr>
      <w:tr w:rsidR="009C318D" w:rsidRPr="000A077F" w14:paraId="6F48D4D0"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02418524"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269D6A9B"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w:t>
            </w:r>
          </w:p>
        </w:tc>
        <w:tc>
          <w:tcPr>
            <w:tcW w:w="0" w:type="dxa"/>
            <w:tcBorders>
              <w:top w:val="nil"/>
              <w:bottom w:val="nil"/>
            </w:tcBorders>
            <w:noWrap/>
            <w:hideMark/>
          </w:tcPr>
          <w:p w14:paraId="000F7C74"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2075</w:t>
            </w:r>
          </w:p>
        </w:tc>
        <w:tc>
          <w:tcPr>
            <w:tcW w:w="0" w:type="dxa"/>
            <w:tcBorders>
              <w:top w:val="nil"/>
              <w:bottom w:val="nil"/>
              <w:right w:val="single" w:sz="4" w:space="0" w:color="auto"/>
            </w:tcBorders>
            <w:noWrap/>
            <w:hideMark/>
          </w:tcPr>
          <w:p w14:paraId="6D2624D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w:t>
            </w:r>
          </w:p>
        </w:tc>
        <w:tc>
          <w:tcPr>
            <w:tcW w:w="0" w:type="dxa"/>
            <w:tcBorders>
              <w:top w:val="nil"/>
              <w:left w:val="single" w:sz="4" w:space="0" w:color="auto"/>
              <w:bottom w:val="nil"/>
            </w:tcBorders>
            <w:noWrap/>
            <w:hideMark/>
          </w:tcPr>
          <w:p w14:paraId="6B60168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1072</w:t>
            </w:r>
          </w:p>
        </w:tc>
        <w:tc>
          <w:tcPr>
            <w:tcW w:w="0" w:type="dxa"/>
            <w:tcBorders>
              <w:top w:val="nil"/>
              <w:bottom w:val="nil"/>
            </w:tcBorders>
            <w:noWrap/>
            <w:hideMark/>
          </w:tcPr>
          <w:p w14:paraId="604C6EF0"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1.5%</w:t>
            </w:r>
          </w:p>
        </w:tc>
      </w:tr>
      <w:tr w:rsidR="009C318D" w:rsidRPr="000A077F" w14:paraId="16E479B9"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single" w:sz="4" w:space="0" w:color="auto"/>
            </w:tcBorders>
            <w:noWrap/>
            <w:hideMark/>
          </w:tcPr>
          <w:p w14:paraId="5819116B" w14:textId="77777777" w:rsidR="009C318D" w:rsidRPr="009C5EFC" w:rsidRDefault="009C318D" w:rsidP="009C5EFC">
            <w:pPr>
              <w:spacing w:before="40" w:after="40"/>
              <w:rPr>
                <w:sz w:val="20"/>
                <w:szCs w:val="20"/>
              </w:rPr>
            </w:pPr>
          </w:p>
        </w:tc>
        <w:tc>
          <w:tcPr>
            <w:tcW w:w="0" w:type="dxa"/>
            <w:tcBorders>
              <w:top w:val="nil"/>
              <w:bottom w:val="single" w:sz="4" w:space="0" w:color="auto"/>
            </w:tcBorders>
            <w:noWrap/>
            <w:hideMark/>
          </w:tcPr>
          <w:p w14:paraId="54BE186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w:t>
            </w:r>
          </w:p>
        </w:tc>
        <w:tc>
          <w:tcPr>
            <w:tcW w:w="0" w:type="dxa"/>
            <w:tcBorders>
              <w:top w:val="nil"/>
              <w:bottom w:val="single" w:sz="4" w:space="0" w:color="auto"/>
            </w:tcBorders>
            <w:noWrap/>
            <w:hideMark/>
          </w:tcPr>
          <w:p w14:paraId="1BBAFBC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457</w:t>
            </w:r>
          </w:p>
        </w:tc>
        <w:tc>
          <w:tcPr>
            <w:tcW w:w="0" w:type="dxa"/>
            <w:tcBorders>
              <w:top w:val="nil"/>
              <w:bottom w:val="single" w:sz="4" w:space="0" w:color="auto"/>
              <w:right w:val="single" w:sz="4" w:space="0" w:color="auto"/>
            </w:tcBorders>
            <w:noWrap/>
            <w:hideMark/>
          </w:tcPr>
          <w:p w14:paraId="6F5A3C1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single" w:sz="4" w:space="0" w:color="auto"/>
            </w:tcBorders>
            <w:noWrap/>
            <w:hideMark/>
          </w:tcPr>
          <w:p w14:paraId="73C011AC"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709</w:t>
            </w:r>
          </w:p>
        </w:tc>
        <w:tc>
          <w:tcPr>
            <w:tcW w:w="0" w:type="dxa"/>
            <w:tcBorders>
              <w:top w:val="nil"/>
              <w:bottom w:val="single" w:sz="4" w:space="0" w:color="auto"/>
            </w:tcBorders>
            <w:noWrap/>
            <w:hideMark/>
          </w:tcPr>
          <w:p w14:paraId="2A72F31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1.0%</w:t>
            </w:r>
          </w:p>
        </w:tc>
      </w:tr>
      <w:tr w:rsidR="009C318D" w:rsidRPr="000A077F" w14:paraId="7928D39C" w14:textId="77777777" w:rsidTr="009C5EFC">
        <w:tc>
          <w:tcPr>
            <w:cnfStyle w:val="001000000000" w:firstRow="0" w:lastRow="0" w:firstColumn="1" w:lastColumn="0" w:oddVBand="0" w:evenVBand="0" w:oddHBand="0" w:evenHBand="0" w:firstRowFirstColumn="0" w:firstRowLastColumn="0" w:lastRowFirstColumn="0" w:lastRowLastColumn="0"/>
            <w:tcW w:w="0" w:type="dxa"/>
            <w:gridSpan w:val="2"/>
            <w:tcBorders>
              <w:top w:val="single" w:sz="4" w:space="0" w:color="auto"/>
              <w:bottom w:val="nil"/>
            </w:tcBorders>
            <w:noWrap/>
            <w:hideMark/>
          </w:tcPr>
          <w:p w14:paraId="561E62CE" w14:textId="77777777" w:rsidR="009C318D" w:rsidRPr="009C5EFC" w:rsidRDefault="009C318D" w:rsidP="009C5EFC">
            <w:pPr>
              <w:spacing w:before="40" w:after="40"/>
              <w:jc w:val="left"/>
              <w:rPr>
                <w:sz w:val="20"/>
                <w:szCs w:val="20"/>
              </w:rPr>
            </w:pPr>
            <w:r w:rsidRPr="009C5EFC">
              <w:rPr>
                <w:sz w:val="20"/>
                <w:szCs w:val="20"/>
              </w:rPr>
              <w:t>Energy Efficiency Rating</w:t>
            </w:r>
          </w:p>
        </w:tc>
        <w:tc>
          <w:tcPr>
            <w:tcW w:w="0" w:type="dxa"/>
            <w:tcBorders>
              <w:top w:val="single" w:sz="4" w:space="0" w:color="auto"/>
              <w:bottom w:val="nil"/>
            </w:tcBorders>
            <w:noWrap/>
            <w:hideMark/>
          </w:tcPr>
          <w:p w14:paraId="66C1664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bottom w:val="nil"/>
              <w:right w:val="single" w:sz="4" w:space="0" w:color="auto"/>
            </w:tcBorders>
            <w:noWrap/>
            <w:hideMark/>
          </w:tcPr>
          <w:p w14:paraId="247EA6A3"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left w:val="single" w:sz="4" w:space="0" w:color="auto"/>
              <w:bottom w:val="nil"/>
            </w:tcBorders>
            <w:noWrap/>
            <w:hideMark/>
          </w:tcPr>
          <w:p w14:paraId="29CB8F10"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c>
          <w:tcPr>
            <w:tcW w:w="0" w:type="dxa"/>
            <w:tcBorders>
              <w:top w:val="single" w:sz="4" w:space="0" w:color="auto"/>
              <w:bottom w:val="nil"/>
            </w:tcBorders>
            <w:noWrap/>
            <w:hideMark/>
          </w:tcPr>
          <w:p w14:paraId="013C161C"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p>
        </w:tc>
      </w:tr>
      <w:tr w:rsidR="009C318D" w:rsidRPr="000A077F" w14:paraId="1FF4C613"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2E4B04A8"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0EFE5F2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Not Disclosed</w:t>
            </w:r>
          </w:p>
        </w:tc>
        <w:tc>
          <w:tcPr>
            <w:tcW w:w="0" w:type="dxa"/>
            <w:tcBorders>
              <w:top w:val="nil"/>
              <w:bottom w:val="nil"/>
            </w:tcBorders>
            <w:noWrap/>
            <w:hideMark/>
          </w:tcPr>
          <w:p w14:paraId="4F94FE89"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244</w:t>
            </w:r>
          </w:p>
        </w:tc>
        <w:tc>
          <w:tcPr>
            <w:tcW w:w="0" w:type="dxa"/>
            <w:tcBorders>
              <w:top w:val="nil"/>
              <w:bottom w:val="nil"/>
              <w:right w:val="single" w:sz="4" w:space="0" w:color="auto"/>
            </w:tcBorders>
            <w:noWrap/>
            <w:hideMark/>
          </w:tcPr>
          <w:p w14:paraId="21F59D6C"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nil"/>
            </w:tcBorders>
            <w:noWrap/>
            <w:hideMark/>
          </w:tcPr>
          <w:p w14:paraId="66A4EEEE" w14:textId="37DF91F6"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48</w:t>
            </w:r>
            <w:r w:rsidR="003560C4" w:rsidRPr="009C5EFC">
              <w:rPr>
                <w:sz w:val="20"/>
                <w:szCs w:val="20"/>
              </w:rPr>
              <w:t>,</w:t>
            </w:r>
            <w:r w:rsidRPr="009C5EFC">
              <w:rPr>
                <w:sz w:val="20"/>
                <w:szCs w:val="20"/>
              </w:rPr>
              <w:t>576</w:t>
            </w:r>
          </w:p>
        </w:tc>
        <w:tc>
          <w:tcPr>
            <w:tcW w:w="0" w:type="dxa"/>
            <w:tcBorders>
              <w:top w:val="nil"/>
              <w:bottom w:val="nil"/>
            </w:tcBorders>
            <w:noWrap/>
            <w:hideMark/>
          </w:tcPr>
          <w:p w14:paraId="606F113A"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68.2%</w:t>
            </w:r>
          </w:p>
        </w:tc>
      </w:tr>
      <w:tr w:rsidR="009C318D" w:rsidRPr="000A077F" w14:paraId="2DD6D4FD"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0C5F7EE1"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46932527"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bottom w:val="nil"/>
            </w:tcBorders>
            <w:noWrap/>
            <w:hideMark/>
          </w:tcPr>
          <w:p w14:paraId="1605117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1664</w:t>
            </w:r>
          </w:p>
        </w:tc>
        <w:tc>
          <w:tcPr>
            <w:tcW w:w="0" w:type="dxa"/>
            <w:tcBorders>
              <w:top w:val="nil"/>
              <w:bottom w:val="nil"/>
              <w:right w:val="single" w:sz="4" w:space="0" w:color="auto"/>
            </w:tcBorders>
            <w:noWrap/>
            <w:hideMark/>
          </w:tcPr>
          <w:p w14:paraId="5B7C33A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w:t>
            </w:r>
          </w:p>
        </w:tc>
        <w:tc>
          <w:tcPr>
            <w:tcW w:w="0" w:type="dxa"/>
            <w:tcBorders>
              <w:top w:val="nil"/>
              <w:left w:val="single" w:sz="4" w:space="0" w:color="auto"/>
              <w:bottom w:val="nil"/>
            </w:tcBorders>
            <w:noWrap/>
            <w:hideMark/>
          </w:tcPr>
          <w:p w14:paraId="46D6B907"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5629</w:t>
            </w:r>
          </w:p>
        </w:tc>
        <w:tc>
          <w:tcPr>
            <w:tcW w:w="0" w:type="dxa"/>
            <w:tcBorders>
              <w:top w:val="nil"/>
              <w:bottom w:val="nil"/>
            </w:tcBorders>
            <w:noWrap/>
            <w:hideMark/>
          </w:tcPr>
          <w:p w14:paraId="36852B3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7.9%</w:t>
            </w:r>
          </w:p>
        </w:tc>
      </w:tr>
      <w:tr w:rsidR="009C318D" w:rsidRPr="000A077F" w14:paraId="6CC57E4A"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25B5ADC0"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45D76F4C"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w:t>
            </w:r>
          </w:p>
        </w:tc>
        <w:tc>
          <w:tcPr>
            <w:tcW w:w="0" w:type="dxa"/>
            <w:tcBorders>
              <w:top w:val="nil"/>
              <w:bottom w:val="nil"/>
            </w:tcBorders>
            <w:noWrap/>
            <w:hideMark/>
          </w:tcPr>
          <w:p w14:paraId="74D59A90"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5705</w:t>
            </w:r>
          </w:p>
        </w:tc>
        <w:tc>
          <w:tcPr>
            <w:tcW w:w="0" w:type="dxa"/>
            <w:tcBorders>
              <w:top w:val="nil"/>
              <w:bottom w:val="nil"/>
              <w:right w:val="single" w:sz="4" w:space="0" w:color="auto"/>
            </w:tcBorders>
            <w:noWrap/>
            <w:hideMark/>
          </w:tcPr>
          <w:p w14:paraId="41976BFE"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16%</w:t>
            </w:r>
          </w:p>
        </w:tc>
        <w:tc>
          <w:tcPr>
            <w:tcW w:w="0" w:type="dxa"/>
            <w:tcBorders>
              <w:top w:val="nil"/>
              <w:left w:val="single" w:sz="4" w:space="0" w:color="auto"/>
              <w:bottom w:val="nil"/>
            </w:tcBorders>
            <w:noWrap/>
            <w:hideMark/>
          </w:tcPr>
          <w:p w14:paraId="6916B57B"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968</w:t>
            </w:r>
          </w:p>
        </w:tc>
        <w:tc>
          <w:tcPr>
            <w:tcW w:w="0" w:type="dxa"/>
            <w:tcBorders>
              <w:top w:val="nil"/>
              <w:bottom w:val="nil"/>
            </w:tcBorders>
            <w:noWrap/>
            <w:hideMark/>
          </w:tcPr>
          <w:p w14:paraId="273D1118"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1.4%</w:t>
            </w:r>
          </w:p>
        </w:tc>
      </w:tr>
      <w:tr w:rsidR="009C318D" w:rsidRPr="000A077F" w14:paraId="5923B854"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F8ABC0A"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385CBFD9"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w:t>
            </w:r>
          </w:p>
        </w:tc>
        <w:tc>
          <w:tcPr>
            <w:tcW w:w="0" w:type="dxa"/>
            <w:tcBorders>
              <w:top w:val="nil"/>
              <w:bottom w:val="nil"/>
            </w:tcBorders>
            <w:noWrap/>
            <w:hideMark/>
          </w:tcPr>
          <w:p w14:paraId="5938B72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6223</w:t>
            </w:r>
          </w:p>
        </w:tc>
        <w:tc>
          <w:tcPr>
            <w:tcW w:w="0" w:type="dxa"/>
            <w:tcBorders>
              <w:top w:val="nil"/>
              <w:bottom w:val="nil"/>
              <w:right w:val="single" w:sz="4" w:space="0" w:color="auto"/>
            </w:tcBorders>
            <w:noWrap/>
            <w:hideMark/>
          </w:tcPr>
          <w:p w14:paraId="6FD8474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17%</w:t>
            </w:r>
          </w:p>
        </w:tc>
        <w:tc>
          <w:tcPr>
            <w:tcW w:w="0" w:type="dxa"/>
            <w:tcBorders>
              <w:top w:val="nil"/>
              <w:left w:val="single" w:sz="4" w:space="0" w:color="auto"/>
              <w:bottom w:val="nil"/>
            </w:tcBorders>
            <w:noWrap/>
            <w:hideMark/>
          </w:tcPr>
          <w:p w14:paraId="5732B03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1233</w:t>
            </w:r>
          </w:p>
        </w:tc>
        <w:tc>
          <w:tcPr>
            <w:tcW w:w="0" w:type="dxa"/>
            <w:tcBorders>
              <w:top w:val="nil"/>
              <w:bottom w:val="nil"/>
            </w:tcBorders>
            <w:noWrap/>
            <w:hideMark/>
          </w:tcPr>
          <w:p w14:paraId="4E9F87A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1.7%</w:t>
            </w:r>
          </w:p>
        </w:tc>
      </w:tr>
      <w:tr w:rsidR="009C318D" w:rsidRPr="000A077F" w14:paraId="0FBD4298"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A63643A"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6208EC9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3</w:t>
            </w:r>
          </w:p>
        </w:tc>
        <w:tc>
          <w:tcPr>
            <w:tcW w:w="0" w:type="dxa"/>
            <w:tcBorders>
              <w:top w:val="nil"/>
              <w:bottom w:val="nil"/>
            </w:tcBorders>
            <w:noWrap/>
            <w:hideMark/>
          </w:tcPr>
          <w:p w14:paraId="0B6A6AA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4386</w:t>
            </w:r>
          </w:p>
        </w:tc>
        <w:tc>
          <w:tcPr>
            <w:tcW w:w="0" w:type="dxa"/>
            <w:tcBorders>
              <w:top w:val="nil"/>
              <w:bottom w:val="nil"/>
              <w:right w:val="single" w:sz="4" w:space="0" w:color="auto"/>
            </w:tcBorders>
            <w:noWrap/>
            <w:hideMark/>
          </w:tcPr>
          <w:p w14:paraId="0C8A48C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12%</w:t>
            </w:r>
          </w:p>
        </w:tc>
        <w:tc>
          <w:tcPr>
            <w:tcW w:w="0" w:type="dxa"/>
            <w:tcBorders>
              <w:top w:val="nil"/>
              <w:left w:val="single" w:sz="4" w:space="0" w:color="auto"/>
              <w:bottom w:val="nil"/>
            </w:tcBorders>
            <w:noWrap/>
            <w:hideMark/>
          </w:tcPr>
          <w:p w14:paraId="3017F342"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1252</w:t>
            </w:r>
          </w:p>
        </w:tc>
        <w:tc>
          <w:tcPr>
            <w:tcW w:w="0" w:type="dxa"/>
            <w:tcBorders>
              <w:top w:val="nil"/>
              <w:bottom w:val="nil"/>
            </w:tcBorders>
            <w:noWrap/>
            <w:hideMark/>
          </w:tcPr>
          <w:p w14:paraId="21DBFE73"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1.8%</w:t>
            </w:r>
          </w:p>
        </w:tc>
      </w:tr>
      <w:tr w:rsidR="009C318D" w:rsidRPr="000A077F" w14:paraId="424AD720"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AB07943"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0F28FA73"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4</w:t>
            </w:r>
          </w:p>
        </w:tc>
        <w:tc>
          <w:tcPr>
            <w:tcW w:w="0" w:type="dxa"/>
            <w:tcBorders>
              <w:top w:val="nil"/>
              <w:bottom w:val="nil"/>
            </w:tcBorders>
            <w:noWrap/>
            <w:hideMark/>
          </w:tcPr>
          <w:p w14:paraId="321CD1F7"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5515</w:t>
            </w:r>
          </w:p>
        </w:tc>
        <w:tc>
          <w:tcPr>
            <w:tcW w:w="0" w:type="dxa"/>
            <w:tcBorders>
              <w:top w:val="nil"/>
              <w:bottom w:val="nil"/>
              <w:right w:val="single" w:sz="4" w:space="0" w:color="auto"/>
            </w:tcBorders>
            <w:noWrap/>
            <w:hideMark/>
          </w:tcPr>
          <w:p w14:paraId="16AFAF73"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15%</w:t>
            </w:r>
          </w:p>
        </w:tc>
        <w:tc>
          <w:tcPr>
            <w:tcW w:w="0" w:type="dxa"/>
            <w:tcBorders>
              <w:top w:val="nil"/>
              <w:left w:val="single" w:sz="4" w:space="0" w:color="auto"/>
              <w:bottom w:val="nil"/>
            </w:tcBorders>
            <w:noWrap/>
            <w:hideMark/>
          </w:tcPr>
          <w:p w14:paraId="6CEA838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2859</w:t>
            </w:r>
          </w:p>
        </w:tc>
        <w:tc>
          <w:tcPr>
            <w:tcW w:w="0" w:type="dxa"/>
            <w:tcBorders>
              <w:top w:val="nil"/>
              <w:bottom w:val="nil"/>
            </w:tcBorders>
            <w:noWrap/>
            <w:hideMark/>
          </w:tcPr>
          <w:p w14:paraId="7BC4A715"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4.0%</w:t>
            </w:r>
          </w:p>
        </w:tc>
      </w:tr>
      <w:tr w:rsidR="009C318D" w:rsidRPr="000A077F" w14:paraId="043E87BA"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C2BC243"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45C863CC"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w:t>
            </w:r>
          </w:p>
        </w:tc>
        <w:tc>
          <w:tcPr>
            <w:tcW w:w="0" w:type="dxa"/>
            <w:tcBorders>
              <w:top w:val="nil"/>
              <w:bottom w:val="nil"/>
            </w:tcBorders>
            <w:noWrap/>
            <w:hideMark/>
          </w:tcPr>
          <w:p w14:paraId="33A972A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5393</w:t>
            </w:r>
          </w:p>
        </w:tc>
        <w:tc>
          <w:tcPr>
            <w:tcW w:w="0" w:type="dxa"/>
            <w:tcBorders>
              <w:top w:val="nil"/>
              <w:bottom w:val="nil"/>
              <w:right w:val="single" w:sz="4" w:space="0" w:color="auto"/>
            </w:tcBorders>
            <w:noWrap/>
            <w:hideMark/>
          </w:tcPr>
          <w:p w14:paraId="06A17ACB"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15%</w:t>
            </w:r>
          </w:p>
        </w:tc>
        <w:tc>
          <w:tcPr>
            <w:tcW w:w="0" w:type="dxa"/>
            <w:tcBorders>
              <w:top w:val="nil"/>
              <w:left w:val="single" w:sz="4" w:space="0" w:color="auto"/>
              <w:bottom w:val="nil"/>
            </w:tcBorders>
            <w:noWrap/>
            <w:hideMark/>
          </w:tcPr>
          <w:p w14:paraId="7BF081B4"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4684</w:t>
            </w:r>
          </w:p>
        </w:tc>
        <w:tc>
          <w:tcPr>
            <w:tcW w:w="0" w:type="dxa"/>
            <w:tcBorders>
              <w:top w:val="nil"/>
              <w:bottom w:val="nil"/>
            </w:tcBorders>
            <w:noWrap/>
            <w:hideMark/>
          </w:tcPr>
          <w:p w14:paraId="54ACCCED"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6.6%</w:t>
            </w:r>
          </w:p>
        </w:tc>
      </w:tr>
      <w:tr w:rsidR="009C318D" w:rsidRPr="000A077F" w14:paraId="5C965F76"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DE9A610"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37949632"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w:t>
            </w:r>
          </w:p>
        </w:tc>
        <w:tc>
          <w:tcPr>
            <w:tcW w:w="0" w:type="dxa"/>
            <w:tcBorders>
              <w:top w:val="nil"/>
              <w:bottom w:val="nil"/>
            </w:tcBorders>
            <w:noWrap/>
            <w:hideMark/>
          </w:tcPr>
          <w:p w14:paraId="5A52C2AC"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6174</w:t>
            </w:r>
          </w:p>
        </w:tc>
        <w:tc>
          <w:tcPr>
            <w:tcW w:w="0" w:type="dxa"/>
            <w:tcBorders>
              <w:top w:val="nil"/>
              <w:bottom w:val="nil"/>
              <w:right w:val="single" w:sz="4" w:space="0" w:color="auto"/>
            </w:tcBorders>
            <w:noWrap/>
            <w:hideMark/>
          </w:tcPr>
          <w:p w14:paraId="34031767"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17%</w:t>
            </w:r>
          </w:p>
        </w:tc>
        <w:tc>
          <w:tcPr>
            <w:tcW w:w="0" w:type="dxa"/>
            <w:tcBorders>
              <w:top w:val="nil"/>
              <w:left w:val="single" w:sz="4" w:space="0" w:color="auto"/>
              <w:bottom w:val="nil"/>
            </w:tcBorders>
            <w:noWrap/>
            <w:hideMark/>
          </w:tcPr>
          <w:p w14:paraId="75A598D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5268</w:t>
            </w:r>
          </w:p>
        </w:tc>
        <w:tc>
          <w:tcPr>
            <w:tcW w:w="0" w:type="dxa"/>
            <w:tcBorders>
              <w:top w:val="nil"/>
              <w:bottom w:val="nil"/>
            </w:tcBorders>
            <w:noWrap/>
            <w:hideMark/>
          </w:tcPr>
          <w:p w14:paraId="6CE65D4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7.4%</w:t>
            </w:r>
          </w:p>
        </w:tc>
      </w:tr>
      <w:tr w:rsidR="009C318D" w:rsidRPr="000A077F" w14:paraId="328F6AA4"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0FD921E3"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17F5CA26"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7</w:t>
            </w:r>
          </w:p>
        </w:tc>
        <w:tc>
          <w:tcPr>
            <w:tcW w:w="0" w:type="dxa"/>
            <w:tcBorders>
              <w:top w:val="nil"/>
              <w:bottom w:val="nil"/>
            </w:tcBorders>
            <w:noWrap/>
            <w:hideMark/>
          </w:tcPr>
          <w:p w14:paraId="4B58CE9F"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247</w:t>
            </w:r>
          </w:p>
        </w:tc>
        <w:tc>
          <w:tcPr>
            <w:tcW w:w="0" w:type="dxa"/>
            <w:tcBorders>
              <w:top w:val="nil"/>
              <w:bottom w:val="nil"/>
              <w:right w:val="single" w:sz="4" w:space="0" w:color="auto"/>
            </w:tcBorders>
            <w:noWrap/>
            <w:hideMark/>
          </w:tcPr>
          <w:p w14:paraId="28FB9A28"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w:t>
            </w:r>
          </w:p>
        </w:tc>
        <w:tc>
          <w:tcPr>
            <w:tcW w:w="0" w:type="dxa"/>
            <w:tcBorders>
              <w:top w:val="nil"/>
              <w:left w:val="single" w:sz="4" w:space="0" w:color="auto"/>
              <w:bottom w:val="nil"/>
            </w:tcBorders>
            <w:noWrap/>
            <w:hideMark/>
          </w:tcPr>
          <w:p w14:paraId="5755B5B0"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516</w:t>
            </w:r>
          </w:p>
        </w:tc>
        <w:tc>
          <w:tcPr>
            <w:tcW w:w="0" w:type="dxa"/>
            <w:tcBorders>
              <w:top w:val="nil"/>
              <w:bottom w:val="nil"/>
            </w:tcBorders>
            <w:noWrap/>
            <w:hideMark/>
          </w:tcPr>
          <w:p w14:paraId="0E2813E2"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0.7%</w:t>
            </w:r>
          </w:p>
        </w:tc>
      </w:tr>
      <w:tr w:rsidR="009C318D" w:rsidRPr="000A077F" w14:paraId="3A8719ED"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42FAEF7E"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2FC28D6A"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8</w:t>
            </w:r>
          </w:p>
        </w:tc>
        <w:tc>
          <w:tcPr>
            <w:tcW w:w="0" w:type="dxa"/>
            <w:tcBorders>
              <w:top w:val="nil"/>
              <w:bottom w:val="nil"/>
            </w:tcBorders>
            <w:noWrap/>
            <w:hideMark/>
          </w:tcPr>
          <w:p w14:paraId="55B7F0C6"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93</w:t>
            </w:r>
          </w:p>
        </w:tc>
        <w:tc>
          <w:tcPr>
            <w:tcW w:w="0" w:type="dxa"/>
            <w:tcBorders>
              <w:top w:val="nil"/>
              <w:bottom w:val="nil"/>
              <w:right w:val="single" w:sz="4" w:space="0" w:color="auto"/>
            </w:tcBorders>
            <w:noWrap/>
            <w:hideMark/>
          </w:tcPr>
          <w:p w14:paraId="0C9CD0E5"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7706A96B"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199</w:t>
            </w:r>
          </w:p>
        </w:tc>
        <w:tc>
          <w:tcPr>
            <w:tcW w:w="0" w:type="dxa"/>
            <w:tcBorders>
              <w:top w:val="nil"/>
              <w:bottom w:val="nil"/>
            </w:tcBorders>
            <w:noWrap/>
            <w:hideMark/>
          </w:tcPr>
          <w:p w14:paraId="559E71F8"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0.3%</w:t>
            </w:r>
          </w:p>
        </w:tc>
      </w:tr>
      <w:tr w:rsidR="009C318D" w:rsidRPr="000A077F" w14:paraId="4D04885B" w14:textId="77777777" w:rsidTr="009C5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14:paraId="6BFA62F9" w14:textId="77777777" w:rsidR="009C318D" w:rsidRPr="009C5EFC" w:rsidRDefault="009C318D" w:rsidP="009C5EFC">
            <w:pPr>
              <w:spacing w:before="40" w:after="40"/>
              <w:rPr>
                <w:sz w:val="20"/>
                <w:szCs w:val="20"/>
              </w:rPr>
            </w:pPr>
          </w:p>
        </w:tc>
        <w:tc>
          <w:tcPr>
            <w:tcW w:w="0" w:type="dxa"/>
            <w:tcBorders>
              <w:top w:val="nil"/>
              <w:bottom w:val="nil"/>
            </w:tcBorders>
            <w:noWrap/>
            <w:hideMark/>
          </w:tcPr>
          <w:p w14:paraId="7FB3EE67"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9</w:t>
            </w:r>
          </w:p>
        </w:tc>
        <w:tc>
          <w:tcPr>
            <w:tcW w:w="0" w:type="dxa"/>
            <w:tcBorders>
              <w:top w:val="nil"/>
              <w:bottom w:val="nil"/>
            </w:tcBorders>
            <w:noWrap/>
            <w:hideMark/>
          </w:tcPr>
          <w:p w14:paraId="34CDE0AD"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10</w:t>
            </w:r>
          </w:p>
        </w:tc>
        <w:tc>
          <w:tcPr>
            <w:tcW w:w="0" w:type="dxa"/>
            <w:tcBorders>
              <w:top w:val="nil"/>
              <w:bottom w:val="nil"/>
              <w:right w:val="single" w:sz="4" w:space="0" w:color="auto"/>
            </w:tcBorders>
            <w:noWrap/>
            <w:hideMark/>
          </w:tcPr>
          <w:p w14:paraId="59311F0B"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nil"/>
            </w:tcBorders>
            <w:noWrap/>
            <w:hideMark/>
          </w:tcPr>
          <w:p w14:paraId="4C80CCCD"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26</w:t>
            </w:r>
          </w:p>
        </w:tc>
        <w:tc>
          <w:tcPr>
            <w:tcW w:w="0" w:type="dxa"/>
            <w:tcBorders>
              <w:top w:val="nil"/>
              <w:bottom w:val="nil"/>
            </w:tcBorders>
            <w:noWrap/>
            <w:hideMark/>
          </w:tcPr>
          <w:p w14:paraId="043DAC38" w14:textId="77777777" w:rsidR="009C318D" w:rsidRPr="009C5EFC" w:rsidRDefault="009C318D" w:rsidP="009C5EFC">
            <w:pPr>
              <w:spacing w:before="40" w:after="40"/>
              <w:cnfStyle w:val="000000100000" w:firstRow="0" w:lastRow="0" w:firstColumn="0" w:lastColumn="0" w:oddVBand="0" w:evenVBand="0" w:oddHBand="1" w:evenHBand="0" w:firstRowFirstColumn="0" w:firstRowLastColumn="0" w:lastRowFirstColumn="0" w:lastRowLastColumn="0"/>
              <w:rPr>
                <w:sz w:val="20"/>
                <w:szCs w:val="20"/>
              </w:rPr>
            </w:pPr>
            <w:r w:rsidRPr="009C5EFC">
              <w:rPr>
                <w:sz w:val="20"/>
                <w:szCs w:val="20"/>
              </w:rPr>
              <w:t>0.0%</w:t>
            </w:r>
          </w:p>
        </w:tc>
      </w:tr>
      <w:tr w:rsidR="009C318D" w:rsidRPr="000A077F" w14:paraId="4392A245" w14:textId="77777777" w:rsidTr="009C5EFC">
        <w:tc>
          <w:tcPr>
            <w:cnfStyle w:val="001000000000" w:firstRow="0" w:lastRow="0" w:firstColumn="1" w:lastColumn="0" w:oddVBand="0" w:evenVBand="0" w:oddHBand="0" w:evenHBand="0" w:firstRowFirstColumn="0" w:firstRowLastColumn="0" w:lastRowFirstColumn="0" w:lastRowLastColumn="0"/>
            <w:tcW w:w="0" w:type="dxa"/>
            <w:tcBorders>
              <w:top w:val="nil"/>
              <w:bottom w:val="single" w:sz="4" w:space="0" w:color="auto"/>
            </w:tcBorders>
            <w:noWrap/>
            <w:hideMark/>
          </w:tcPr>
          <w:p w14:paraId="41EFE4BF" w14:textId="77777777" w:rsidR="009C318D" w:rsidRPr="009C5EFC" w:rsidRDefault="009C318D" w:rsidP="009C5EFC">
            <w:pPr>
              <w:spacing w:before="40" w:after="40"/>
              <w:rPr>
                <w:sz w:val="20"/>
                <w:szCs w:val="20"/>
              </w:rPr>
            </w:pPr>
          </w:p>
        </w:tc>
        <w:tc>
          <w:tcPr>
            <w:tcW w:w="0" w:type="dxa"/>
            <w:tcBorders>
              <w:top w:val="nil"/>
              <w:bottom w:val="single" w:sz="4" w:space="0" w:color="auto"/>
            </w:tcBorders>
            <w:noWrap/>
            <w:hideMark/>
          </w:tcPr>
          <w:p w14:paraId="2B275D7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10</w:t>
            </w:r>
          </w:p>
        </w:tc>
        <w:tc>
          <w:tcPr>
            <w:tcW w:w="0" w:type="dxa"/>
            <w:tcBorders>
              <w:top w:val="nil"/>
              <w:bottom w:val="single" w:sz="4" w:space="0" w:color="auto"/>
            </w:tcBorders>
            <w:noWrap/>
            <w:hideMark/>
          </w:tcPr>
          <w:p w14:paraId="203A3FAE"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bottom w:val="single" w:sz="4" w:space="0" w:color="auto"/>
              <w:right w:val="single" w:sz="4" w:space="0" w:color="auto"/>
            </w:tcBorders>
            <w:noWrap/>
            <w:hideMark/>
          </w:tcPr>
          <w:p w14:paraId="75A9C3AF"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w:t>
            </w:r>
          </w:p>
        </w:tc>
        <w:tc>
          <w:tcPr>
            <w:tcW w:w="0" w:type="dxa"/>
            <w:tcBorders>
              <w:top w:val="nil"/>
              <w:left w:val="single" w:sz="4" w:space="0" w:color="auto"/>
              <w:bottom w:val="single" w:sz="4" w:space="0" w:color="auto"/>
            </w:tcBorders>
            <w:noWrap/>
            <w:hideMark/>
          </w:tcPr>
          <w:p w14:paraId="0CC509BD"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5</w:t>
            </w:r>
          </w:p>
        </w:tc>
        <w:tc>
          <w:tcPr>
            <w:tcW w:w="0" w:type="dxa"/>
            <w:tcBorders>
              <w:top w:val="nil"/>
              <w:bottom w:val="single" w:sz="4" w:space="0" w:color="auto"/>
            </w:tcBorders>
            <w:noWrap/>
            <w:hideMark/>
          </w:tcPr>
          <w:p w14:paraId="7E134031" w14:textId="77777777" w:rsidR="009C318D" w:rsidRPr="009C5EFC" w:rsidRDefault="009C318D" w:rsidP="009C5EFC">
            <w:pPr>
              <w:spacing w:before="40" w:after="40"/>
              <w:cnfStyle w:val="000000000000" w:firstRow="0" w:lastRow="0" w:firstColumn="0" w:lastColumn="0" w:oddVBand="0" w:evenVBand="0" w:oddHBand="0" w:evenHBand="0" w:firstRowFirstColumn="0" w:firstRowLastColumn="0" w:lastRowFirstColumn="0" w:lastRowLastColumn="0"/>
              <w:rPr>
                <w:sz w:val="20"/>
                <w:szCs w:val="20"/>
              </w:rPr>
            </w:pPr>
            <w:r w:rsidRPr="009C5EFC">
              <w:rPr>
                <w:sz w:val="20"/>
                <w:szCs w:val="20"/>
              </w:rPr>
              <w:t>0.0%</w:t>
            </w:r>
          </w:p>
        </w:tc>
      </w:tr>
    </w:tbl>
    <w:p w14:paraId="275E83FF" w14:textId="599553AD" w:rsidR="009C318D" w:rsidRDefault="009C318D" w:rsidP="00D26F46"/>
    <w:p w14:paraId="50B80C8E" w14:textId="77777777" w:rsidR="004670BF" w:rsidRPr="009C318D" w:rsidRDefault="004670BF" w:rsidP="00D26F46"/>
    <w:p w14:paraId="7320931C" w14:textId="77777777" w:rsidR="00CA5362" w:rsidRDefault="00CA5362" w:rsidP="000A077F">
      <w:pPr>
        <w:pStyle w:val="Heading1"/>
      </w:pPr>
      <w:r>
        <w:t>Results</w:t>
      </w:r>
    </w:p>
    <w:p w14:paraId="43B888E4" w14:textId="77777777" w:rsidR="00CA5362" w:rsidRDefault="00CA5362"/>
    <w:p w14:paraId="37CE4C59" w14:textId="03A7361A" w:rsidR="002308A0" w:rsidRDefault="009B64A9" w:rsidP="00D26F46">
      <w:pPr>
        <w:autoSpaceDE w:val="0"/>
        <w:autoSpaceDN w:val="0"/>
        <w:adjustRightInd w:val="0"/>
      </w:pPr>
      <w:r>
        <w:t>As outlined in the previous section</w:t>
      </w:r>
      <w:r w:rsidR="002308A0">
        <w:t xml:space="preserve">, the </w:t>
      </w:r>
      <w:r w:rsidR="00BC4010">
        <w:t>effect</w:t>
      </w:r>
      <w:r w:rsidR="002308A0">
        <w:t xml:space="preserve"> of </w:t>
      </w:r>
      <w:r w:rsidR="00AD73A5">
        <w:t>EER</w:t>
      </w:r>
      <w:r w:rsidR="002308A0">
        <w:t xml:space="preserve">s </w:t>
      </w:r>
      <w:r w:rsidR="00BC4010">
        <w:t>on</w:t>
      </w:r>
      <w:r w:rsidR="002308A0">
        <w:t xml:space="preserve"> </w:t>
      </w:r>
      <w:r w:rsidR="00BC4010">
        <w:t>residential sale and rental</w:t>
      </w:r>
      <w:r w:rsidR="002308A0">
        <w:t xml:space="preserve"> prices</w:t>
      </w:r>
      <w:r w:rsidR="00DC5DE3">
        <w:t xml:space="preserve"> is estimated</w:t>
      </w:r>
      <w:r w:rsidR="002308A0">
        <w:t xml:space="preserve"> </w:t>
      </w:r>
      <w:r w:rsidR="00AD73A5">
        <w:t>using</w:t>
      </w:r>
      <w:r w:rsidR="002308A0">
        <w:t xml:space="preserve"> a comprehensive dataset of transaction prices </w:t>
      </w:r>
      <w:r w:rsidR="00540844">
        <w:t xml:space="preserve">observed between 2011 and 2016 </w:t>
      </w:r>
      <w:r w:rsidR="00AD73A5">
        <w:t>for</w:t>
      </w:r>
      <w:r w:rsidR="002308A0">
        <w:t xml:space="preserve"> </w:t>
      </w:r>
      <w:r w:rsidR="00DC5DE3">
        <w:t xml:space="preserve">a range of </w:t>
      </w:r>
      <w:r w:rsidR="002308A0">
        <w:t>residential property types. The log of the transaction price</w:t>
      </w:r>
      <w:r w:rsidR="009724A4">
        <w:t xml:space="preserve"> is explained as a function of hedonic characteristics, notably prope</w:t>
      </w:r>
      <w:r w:rsidR="00175C44">
        <w:t xml:space="preserve">rty type, number of bedrooms and features such as heating and cooling systems, swimming pool </w:t>
      </w:r>
      <w:r w:rsidR="00AD73A5">
        <w:t xml:space="preserve">and </w:t>
      </w:r>
      <w:r w:rsidR="00175C44">
        <w:t xml:space="preserve">spa. </w:t>
      </w:r>
      <w:r w:rsidR="007A0060">
        <w:t>The location of the property is captured by the distance to the Canberra CBD, the nearest librar</w:t>
      </w:r>
      <w:r w:rsidR="00175C44">
        <w:t xml:space="preserve">y, public transportation stop, airport, shopping and leisure facilities. </w:t>
      </w:r>
      <w:r w:rsidR="009724A4">
        <w:t>The main variable of interest in this model is the EER</w:t>
      </w:r>
      <w:r w:rsidR="00AD73A5">
        <w:t>,</w:t>
      </w:r>
      <w:r w:rsidR="009724A4">
        <w:t xml:space="preserve"> which is expressed as a series of binary variables</w:t>
      </w:r>
      <w:r w:rsidR="00AD73A5">
        <w:t>,</w:t>
      </w:r>
      <w:r w:rsidR="009724A4">
        <w:t xml:space="preserve"> each score</w:t>
      </w:r>
      <w:r w:rsidR="00AD73A5">
        <w:t>d</w:t>
      </w:r>
      <w:r w:rsidR="009724A4">
        <w:t xml:space="preserve"> on </w:t>
      </w:r>
      <w:r w:rsidR="00AD73A5">
        <w:t>a scale of</w:t>
      </w:r>
      <w:r w:rsidR="009724A4">
        <w:t xml:space="preserve"> 0</w:t>
      </w:r>
      <w:r w:rsidR="00AD73A5">
        <w:t>–</w:t>
      </w:r>
      <w:r w:rsidR="009724A4">
        <w:t xml:space="preserve">10 to obtain their own capitalisation coefficient </w:t>
      </w:r>
      <w:r w:rsidR="00D83FC7">
        <w:t>without</w:t>
      </w:r>
      <w:r w:rsidR="007A0060">
        <w:t xml:space="preserve"> assuming a particular linear</w:t>
      </w:r>
      <w:r w:rsidR="00D83FC7">
        <w:t xml:space="preserve"> or non-linear functional form. </w:t>
      </w:r>
      <w:r w:rsidR="00DC5DE3">
        <w:t xml:space="preserve">The results for sales and rental transactions </w:t>
      </w:r>
      <w:r w:rsidR="00AD73A5">
        <w:t xml:space="preserve">are presented </w:t>
      </w:r>
      <w:r w:rsidR="00DC5DE3">
        <w:t>separately</w:t>
      </w:r>
      <w:r w:rsidR="00AD73A5">
        <w:t xml:space="preserve"> below</w:t>
      </w:r>
      <w:r w:rsidR="00DC5DE3">
        <w:t xml:space="preserve">. </w:t>
      </w:r>
    </w:p>
    <w:p w14:paraId="49B21A80" w14:textId="77777777" w:rsidR="007A0060" w:rsidRDefault="007A0060" w:rsidP="00D26F46">
      <w:pPr>
        <w:autoSpaceDE w:val="0"/>
        <w:autoSpaceDN w:val="0"/>
        <w:adjustRightInd w:val="0"/>
      </w:pPr>
    </w:p>
    <w:p w14:paraId="0800B02E" w14:textId="5B380F52" w:rsidR="00715BF5" w:rsidRPr="00715BF5" w:rsidRDefault="00715BF5" w:rsidP="009C5EFC">
      <w:pPr>
        <w:pStyle w:val="Heading3"/>
      </w:pPr>
      <w:r w:rsidRPr="00715BF5">
        <w:t>Evidence from sales transactions</w:t>
      </w:r>
    </w:p>
    <w:p w14:paraId="1D738079" w14:textId="77777777" w:rsidR="00715BF5" w:rsidRPr="00424FE3" w:rsidRDefault="00715BF5" w:rsidP="00D26F46">
      <w:pPr>
        <w:autoSpaceDE w:val="0"/>
        <w:autoSpaceDN w:val="0"/>
        <w:adjustRightInd w:val="0"/>
      </w:pPr>
    </w:p>
    <w:p w14:paraId="77FE9B86" w14:textId="0E1EDF88" w:rsidR="002308A0" w:rsidRDefault="00011447" w:rsidP="00D26F46">
      <w:pPr>
        <w:autoSpaceDE w:val="0"/>
        <w:autoSpaceDN w:val="0"/>
        <w:adjustRightInd w:val="0"/>
      </w:pPr>
      <w:r>
        <w:t>Table 2</w:t>
      </w:r>
      <w:r w:rsidR="00424FE3" w:rsidRPr="00424FE3">
        <w:t xml:space="preserve"> shows the estimation results for sales transacti</w:t>
      </w:r>
      <w:r w:rsidR="00424FE3">
        <w:t xml:space="preserve">ons. Model 1 is the baseline model for testing </w:t>
      </w:r>
      <w:r w:rsidR="00AC20B3">
        <w:t>whether</w:t>
      </w:r>
      <w:r w:rsidR="00424FE3">
        <w:t xml:space="preserve"> EER</w:t>
      </w:r>
      <w:r w:rsidR="00AC20B3">
        <w:t>s</w:t>
      </w:r>
      <w:r w:rsidR="00424FE3">
        <w:t xml:space="preserve"> are associated with price effects. The goodness of fit is in line with expectations (adjusted R2 of 79%) and the control variables exhibit the expected sign</w:t>
      </w:r>
      <w:r w:rsidR="00540844">
        <w:t>s and magnitudes. In particular</w:t>
      </w:r>
      <w:r w:rsidR="00BC4010">
        <w:t>,</w:t>
      </w:r>
      <w:r w:rsidR="00424FE3">
        <w:t xml:space="preserve"> number of bedrooms, bathrooms, </w:t>
      </w:r>
      <w:r w:rsidR="00A03D0E">
        <w:t>garden, outdoor spa, swimming pool,</w:t>
      </w:r>
      <w:r w:rsidR="00424FE3">
        <w:t xml:space="preserve"> </w:t>
      </w:r>
      <w:r w:rsidR="00A03D0E">
        <w:t>parking spaces</w:t>
      </w:r>
      <w:r w:rsidR="00AC20B3">
        <w:t xml:space="preserve"> and</w:t>
      </w:r>
      <w:r w:rsidR="00A03D0E">
        <w:t xml:space="preserve"> state of repair/renovation are all positively associated with </w:t>
      </w:r>
      <w:r w:rsidR="00540844">
        <w:t>the transaction price of a property. As expected, time on market and sale price are inversely related. As time on market is</w:t>
      </w:r>
      <w:r w:rsidR="00AC20B3">
        <w:t>,</w:t>
      </w:r>
      <w:r w:rsidR="00540844">
        <w:t xml:space="preserve"> strictly speaking</w:t>
      </w:r>
      <w:r w:rsidR="00AC20B3">
        <w:t>,</w:t>
      </w:r>
      <w:r w:rsidR="00540844">
        <w:t xml:space="preserve"> endogenous with price, </w:t>
      </w:r>
      <w:r w:rsidR="006C3279">
        <w:t xml:space="preserve">this variable was </w:t>
      </w:r>
      <w:r w:rsidR="00540844">
        <w:t>omitted in a robustness estimation</w:t>
      </w:r>
      <w:r w:rsidR="00AC20B3">
        <w:t>,</w:t>
      </w:r>
      <w:r w:rsidR="00540844">
        <w:t xml:space="preserve"> but the results were </w:t>
      </w:r>
      <w:r w:rsidR="00BC4010">
        <w:t>generally</w:t>
      </w:r>
      <w:r w:rsidR="00540844">
        <w:t xml:space="preserve"> similar. Further significant price drivers were found in keywords relating to architectural style. </w:t>
      </w:r>
      <w:r w:rsidR="00BC4010">
        <w:t>‘</w:t>
      </w:r>
      <w:r w:rsidR="00540844">
        <w:t>Victorian style</w:t>
      </w:r>
      <w:r w:rsidR="00BC4010">
        <w:t>’</w:t>
      </w:r>
      <w:r w:rsidR="00540844">
        <w:t xml:space="preserve">, </w:t>
      </w:r>
      <w:r w:rsidR="00BC4010">
        <w:t>‘</w:t>
      </w:r>
      <w:r w:rsidR="00540844">
        <w:t>heritage</w:t>
      </w:r>
      <w:r w:rsidR="00BC4010">
        <w:t>’</w:t>
      </w:r>
      <w:r w:rsidR="00540844">
        <w:t xml:space="preserve">, </w:t>
      </w:r>
      <w:r w:rsidR="00BC4010">
        <w:t>‘</w:t>
      </w:r>
      <w:r w:rsidR="00540844">
        <w:t>modern</w:t>
      </w:r>
      <w:r w:rsidR="00BC4010">
        <w:t>’</w:t>
      </w:r>
      <w:r w:rsidR="00540844">
        <w:t xml:space="preserve"> and </w:t>
      </w:r>
      <w:r w:rsidR="00BC4010">
        <w:t>‘</w:t>
      </w:r>
      <w:r w:rsidR="00540844">
        <w:t>contemporary</w:t>
      </w:r>
      <w:r w:rsidR="00BC4010">
        <w:t>’</w:t>
      </w:r>
      <w:r w:rsidR="00540844">
        <w:t xml:space="preserve"> properties</w:t>
      </w:r>
      <w:r w:rsidR="00AC20B3">
        <w:t>,</w:t>
      </w:r>
      <w:r w:rsidR="00F3008D">
        <w:t xml:space="preserve"> as well as </w:t>
      </w:r>
      <w:r w:rsidR="00BC4010">
        <w:t>‘</w:t>
      </w:r>
      <w:r w:rsidR="00F3008D">
        <w:t>refurbished</w:t>
      </w:r>
      <w:r w:rsidR="00BC4010">
        <w:t>’</w:t>
      </w:r>
      <w:r w:rsidR="00F3008D">
        <w:t xml:space="preserve"> and </w:t>
      </w:r>
      <w:r w:rsidR="00BC4010">
        <w:t>‘</w:t>
      </w:r>
      <w:r w:rsidR="00F3008D">
        <w:t>renovated</w:t>
      </w:r>
      <w:r w:rsidR="00BC4010">
        <w:t>’</w:t>
      </w:r>
      <w:r w:rsidR="00F3008D">
        <w:t xml:space="preserve"> properties</w:t>
      </w:r>
      <w:r w:rsidR="00AC20B3">
        <w:t>,</w:t>
      </w:r>
      <w:r w:rsidR="00540844">
        <w:t xml:space="preserve"> were associated with a </w:t>
      </w:r>
      <w:r w:rsidR="00F3008D">
        <w:t xml:space="preserve">price </w:t>
      </w:r>
      <w:r w:rsidR="00540844">
        <w:t xml:space="preserve">premium. By contrast, </w:t>
      </w:r>
      <w:r w:rsidR="00BC4010">
        <w:t xml:space="preserve">properties with </w:t>
      </w:r>
      <w:r w:rsidR="00540844">
        <w:t>the keywords ‘updated</w:t>
      </w:r>
      <w:r w:rsidR="00F3008D">
        <w:t xml:space="preserve">’ and ‘older style’ attracted a price discount despite their seemingly positive </w:t>
      </w:r>
      <w:r w:rsidR="00BC4010">
        <w:t>message</w:t>
      </w:r>
      <w:r w:rsidR="00F3008D">
        <w:t xml:space="preserve">. A possible explanation </w:t>
      </w:r>
      <w:r w:rsidR="00AC20B3">
        <w:t xml:space="preserve">for this </w:t>
      </w:r>
      <w:r w:rsidR="00F3008D">
        <w:t xml:space="preserve">is that these keywords may implicitly signal lower quality </w:t>
      </w:r>
      <w:r w:rsidR="00AC20B3">
        <w:t xml:space="preserve">in terms </w:t>
      </w:r>
      <w:r w:rsidR="00F3008D">
        <w:t>of features or the general condition of the property. Apart from fixed effects controlling for time of transaction</w:t>
      </w:r>
      <w:r w:rsidR="00AC20B3">
        <w:t xml:space="preserve"> (by quarter)</w:t>
      </w:r>
      <w:r w:rsidR="00F3008D">
        <w:t xml:space="preserve"> </w:t>
      </w:r>
      <w:r w:rsidR="00AC20B3">
        <w:t xml:space="preserve">over </w:t>
      </w:r>
      <w:r w:rsidR="00F3008D">
        <w:t xml:space="preserve">the </w:t>
      </w:r>
      <w:r w:rsidR="008D1331">
        <w:t>five</w:t>
      </w:r>
      <w:r w:rsidR="006C3279">
        <w:t>-year</w:t>
      </w:r>
      <w:r w:rsidR="00F3008D">
        <w:t xml:space="preserve"> period</w:t>
      </w:r>
      <w:r w:rsidR="00AC20B3">
        <w:t xml:space="preserve"> studied</w:t>
      </w:r>
      <w:r w:rsidR="00F3008D">
        <w:t xml:space="preserve">, property type and suburb </w:t>
      </w:r>
      <w:r w:rsidR="00AC20B3">
        <w:t xml:space="preserve">in which </w:t>
      </w:r>
      <w:r w:rsidR="00F3008D">
        <w:t xml:space="preserve">the property is located, we include a range of area-specific variables, </w:t>
      </w:r>
      <w:r w:rsidR="00AC20B3">
        <w:t xml:space="preserve">including </w:t>
      </w:r>
      <w:r w:rsidR="00F3008D">
        <w:t>both the distance-based measures</w:t>
      </w:r>
      <w:r w:rsidR="00AC20B3">
        <w:t xml:space="preserve"> and their squares</w:t>
      </w:r>
      <w:r w:rsidR="00F3008D">
        <w:t>, as described above. For most of these measures, greater distance is negatively associated with price. The socioeconomic profile of a neighbourhood as captured by the log of the</w:t>
      </w:r>
      <w:r w:rsidR="00E44E1A">
        <w:t xml:space="preserve"> Socio-Economic Indexes for Areas</w:t>
      </w:r>
      <w:r w:rsidR="00F3008D">
        <w:t xml:space="preserve"> </w:t>
      </w:r>
      <w:r w:rsidR="00E44E1A">
        <w:t>(</w:t>
      </w:r>
      <w:r w:rsidR="00F3008D">
        <w:t>SEIFA</w:t>
      </w:r>
      <w:r w:rsidR="00E44E1A">
        <w:t>)</w:t>
      </w:r>
      <w:r w:rsidR="00F3008D">
        <w:t xml:space="preserve"> score is also found to </w:t>
      </w:r>
      <w:r w:rsidR="00B9410B">
        <w:t xml:space="preserve">significantly </w:t>
      </w:r>
      <w:r w:rsidR="00F3008D">
        <w:t>affect house prices. Turning to the variable</w:t>
      </w:r>
      <w:r w:rsidR="00A057BC">
        <w:t>s</w:t>
      </w:r>
      <w:r w:rsidR="00F3008D">
        <w:t xml:space="preserve"> of interest, </w:t>
      </w:r>
      <w:r w:rsidR="005300EA">
        <w:t xml:space="preserve">star ratings </w:t>
      </w:r>
      <w:r w:rsidR="00A057BC">
        <w:t xml:space="preserve">are generally found to </w:t>
      </w:r>
      <w:r w:rsidR="00B17FD1">
        <w:t>affect</w:t>
      </w:r>
      <w:r w:rsidR="00A057BC">
        <w:t xml:space="preserve"> prices in the expected manner. Starting with the lowest star rating of </w:t>
      </w:r>
      <w:r w:rsidR="00B9410B">
        <w:t>0,</w:t>
      </w:r>
      <w:r w:rsidR="00A057BC">
        <w:t xml:space="preserve"> which attracts a discount of 3.1% compared </w:t>
      </w:r>
      <w:r w:rsidR="00B9410B">
        <w:t>with</w:t>
      </w:r>
      <w:r w:rsidR="00A057BC">
        <w:t xml:space="preserve"> </w:t>
      </w:r>
      <w:r w:rsidR="00B9410B">
        <w:t xml:space="preserve">a </w:t>
      </w:r>
      <w:r w:rsidR="00595C5F">
        <w:t>three–</w:t>
      </w:r>
      <w:r w:rsidR="00A057BC">
        <w:t>star</w:t>
      </w:r>
      <w:r w:rsidR="00595C5F">
        <w:t xml:space="preserve"> </w:t>
      </w:r>
      <w:r w:rsidR="00A057BC">
        <w:t xml:space="preserve">rated dwelling, the </w:t>
      </w:r>
      <w:r w:rsidR="00B17FD1">
        <w:t>price paid for</w:t>
      </w:r>
      <w:r w:rsidR="00A057BC">
        <w:t xml:space="preserve"> energy efficiency </w:t>
      </w:r>
      <w:r w:rsidR="009944DD">
        <w:t>rises</w:t>
      </w:r>
      <w:r w:rsidR="00A057BC">
        <w:t xml:space="preserve"> as the star rating increases. A notable exception is the group with the highest ratings (</w:t>
      </w:r>
      <w:r w:rsidR="00595C5F">
        <w:t>eight</w:t>
      </w:r>
      <w:r w:rsidR="00A057BC">
        <w:t xml:space="preserve"> and above)</w:t>
      </w:r>
      <w:r w:rsidR="009944DD">
        <w:t>,</w:t>
      </w:r>
      <w:r w:rsidR="00A057BC">
        <w:t xml:space="preserve"> for which no significant premium was found. In contrast to </w:t>
      </w:r>
      <w:r w:rsidR="009944DD">
        <w:t>earlier</w:t>
      </w:r>
      <w:r w:rsidR="00A057BC">
        <w:t xml:space="preserve"> studies </w:t>
      </w:r>
      <w:r w:rsidR="009944DD">
        <w:t>that</w:t>
      </w:r>
      <w:r w:rsidR="00A057BC">
        <w:t xml:space="preserve"> </w:t>
      </w:r>
      <w:r w:rsidR="009944DD">
        <w:t>found</w:t>
      </w:r>
      <w:r w:rsidR="00A057BC">
        <w:t xml:space="preserve"> particularly high premiums for the highest</w:t>
      </w:r>
      <w:r w:rsidR="0079625B">
        <w:t xml:space="preserve"> </w:t>
      </w:r>
      <w:r w:rsidR="00B17FD1">
        <w:t>rated properties</w:t>
      </w:r>
      <w:r w:rsidR="00A057BC">
        <w:t>, there is no evidence that buyers view these highly rated properties as positional or signalling</w:t>
      </w:r>
      <w:r w:rsidR="009944DD">
        <w:t>,</w:t>
      </w:r>
      <w:r w:rsidR="00A057BC">
        <w:t xml:space="preserve"> or even reward </w:t>
      </w:r>
      <w:r w:rsidR="009944DD">
        <w:t xml:space="preserve">the possibility of </w:t>
      </w:r>
      <w:r w:rsidR="00A057BC">
        <w:t>utility cost savings with a higher price. While this finding is counterintuitive</w:t>
      </w:r>
      <w:r w:rsidR="00247310">
        <w:t xml:space="preserve"> and possibly attributable to </w:t>
      </w:r>
      <w:r w:rsidR="009944DD">
        <w:t xml:space="preserve">the </w:t>
      </w:r>
      <w:r w:rsidR="00247310">
        <w:t>small sample size</w:t>
      </w:r>
      <w:r w:rsidR="00A057BC">
        <w:t>, the second</w:t>
      </w:r>
      <w:r w:rsidR="009944DD">
        <w:t>-</w:t>
      </w:r>
      <w:r w:rsidR="00A057BC">
        <w:t xml:space="preserve">highest category </w:t>
      </w:r>
      <w:r w:rsidR="00A057BC">
        <w:lastRenderedPageBreak/>
        <w:t>(</w:t>
      </w:r>
      <w:r w:rsidR="00595C5F">
        <w:t>seven</w:t>
      </w:r>
      <w:r w:rsidR="00A057BC">
        <w:t xml:space="preserve"> stars) </w:t>
      </w:r>
      <w:r w:rsidR="00B17FD1">
        <w:t>provides</w:t>
      </w:r>
      <w:r w:rsidR="00A057BC">
        <w:t xml:space="preserve"> a notably higher premium (9.4%) compared </w:t>
      </w:r>
      <w:r w:rsidR="009944DD">
        <w:t>with</w:t>
      </w:r>
      <w:r w:rsidR="00A057BC">
        <w:t xml:space="preserve"> the </w:t>
      </w:r>
      <w:r w:rsidR="0079625B">
        <w:t xml:space="preserve">six </w:t>
      </w:r>
      <w:r w:rsidR="009111C0">
        <w:t>-star</w:t>
      </w:r>
      <w:r w:rsidR="00A057BC">
        <w:t xml:space="preserve"> </w:t>
      </w:r>
      <w:r w:rsidR="009944DD">
        <w:t xml:space="preserve">category (2.4%), which is the </w:t>
      </w:r>
      <w:r w:rsidR="00A057BC">
        <w:t>mandatory requirement</w:t>
      </w:r>
      <w:r w:rsidR="00B17FD1">
        <w:t xml:space="preserve"> level</w:t>
      </w:r>
      <w:r w:rsidR="00A057BC">
        <w:t xml:space="preserve">. This may </w:t>
      </w:r>
      <w:r w:rsidR="00247310">
        <w:t xml:space="preserve">serve as indication that exceeding building code standards is recognised and rewarded in the marketplace. </w:t>
      </w:r>
    </w:p>
    <w:p w14:paraId="6EFFD3A0" w14:textId="77777777" w:rsidR="00247310" w:rsidRDefault="00247310" w:rsidP="00D26F46">
      <w:pPr>
        <w:autoSpaceDE w:val="0"/>
        <w:autoSpaceDN w:val="0"/>
        <w:adjustRightInd w:val="0"/>
      </w:pPr>
    </w:p>
    <w:p w14:paraId="676688D3" w14:textId="3AF07D6D" w:rsidR="00247310" w:rsidRDefault="00247310" w:rsidP="00D26F46">
      <w:pPr>
        <w:autoSpaceDE w:val="0"/>
        <w:autoSpaceDN w:val="0"/>
        <w:adjustRightInd w:val="0"/>
      </w:pPr>
      <w:r>
        <w:t>Apart from EER</w:t>
      </w:r>
      <w:r w:rsidR="009944DD">
        <w:t>s</w:t>
      </w:r>
      <w:r>
        <w:t>, the model includes features relat</w:t>
      </w:r>
      <w:r w:rsidR="009944DD">
        <w:t>ed</w:t>
      </w:r>
      <w:r>
        <w:t xml:space="preserve"> to heating and cooling systems. While no significant premium is found for </w:t>
      </w:r>
      <w:r w:rsidR="009944DD">
        <w:t xml:space="preserve">solar </w:t>
      </w:r>
      <w:r>
        <w:t xml:space="preserve">PV and thermal systems, there is clear evidence </w:t>
      </w:r>
      <w:r w:rsidR="00F72ADF">
        <w:t>of</w:t>
      </w:r>
      <w:r>
        <w:t xml:space="preserve"> the importance of the type of heating system</w:t>
      </w:r>
      <w:r w:rsidR="00F72ADF">
        <w:t xml:space="preserve"> that is installed</w:t>
      </w:r>
      <w:r>
        <w:t xml:space="preserve">. For example, electric </w:t>
      </w:r>
      <w:r w:rsidR="00F72ADF">
        <w:t>and</w:t>
      </w:r>
      <w:r>
        <w:t xml:space="preserve"> gas heating </w:t>
      </w:r>
      <w:r w:rsidR="00F72ADF">
        <w:t xml:space="preserve">systems, </w:t>
      </w:r>
      <w:r>
        <w:t xml:space="preserve">which tend to be associated with </w:t>
      </w:r>
      <w:r w:rsidR="00B17FD1">
        <w:t>higher</w:t>
      </w:r>
      <w:r>
        <w:t xml:space="preserve"> energy </w:t>
      </w:r>
      <w:r w:rsidR="00B17FD1">
        <w:t>costs</w:t>
      </w:r>
      <w:r>
        <w:t xml:space="preserve"> and a </w:t>
      </w:r>
      <w:r w:rsidR="00F72ADF">
        <w:t>less</w:t>
      </w:r>
      <w:r>
        <w:t xml:space="preserve"> favourable emissions profile</w:t>
      </w:r>
      <w:r w:rsidR="00F72ADF">
        <w:t>,</w:t>
      </w:r>
      <w:r>
        <w:t xml:space="preserve"> </w:t>
      </w:r>
      <w:r w:rsidR="00F72ADF">
        <w:t>resulted in</w:t>
      </w:r>
      <w:r>
        <w:t xml:space="preserve"> a 4.5% and 1.5% discount</w:t>
      </w:r>
      <w:r w:rsidR="00F72ADF">
        <w:t>,</w:t>
      </w:r>
      <w:r>
        <w:t xml:space="preserve"> respectively</w:t>
      </w:r>
      <w:r w:rsidR="00E44E1A">
        <w:t>, relative to the baseline heating system</w:t>
      </w:r>
      <w:r>
        <w:t xml:space="preserve">. The pricing evidence also reveals that evaporative </w:t>
      </w:r>
      <w:bookmarkStart w:id="5" w:name="_Hlk489798624"/>
      <w:r>
        <w:t>air</w:t>
      </w:r>
      <w:r w:rsidR="00595C5F">
        <w:t xml:space="preserve"> </w:t>
      </w:r>
      <w:r>
        <w:t xml:space="preserve">conditioning </w:t>
      </w:r>
      <w:bookmarkEnd w:id="5"/>
      <w:r>
        <w:t xml:space="preserve">attracts a premium over other </w:t>
      </w:r>
      <w:r w:rsidR="00B209F9">
        <w:t>air</w:t>
      </w:r>
      <w:r w:rsidR="00595C5F">
        <w:t xml:space="preserve"> </w:t>
      </w:r>
      <w:r w:rsidR="00B209F9">
        <w:t xml:space="preserve">conditioning </w:t>
      </w:r>
      <w:r>
        <w:t>systems.</w:t>
      </w:r>
    </w:p>
    <w:p w14:paraId="5D80F2B5" w14:textId="77777777" w:rsidR="00247310" w:rsidRDefault="00247310" w:rsidP="00D26F46">
      <w:pPr>
        <w:autoSpaceDE w:val="0"/>
        <w:autoSpaceDN w:val="0"/>
        <w:adjustRightInd w:val="0"/>
      </w:pPr>
    </w:p>
    <w:p w14:paraId="13F4340B" w14:textId="3A688187" w:rsidR="00155152" w:rsidRDefault="00247310" w:rsidP="00D26F46">
      <w:pPr>
        <w:autoSpaceDE w:val="0"/>
        <w:autoSpaceDN w:val="0"/>
        <w:adjustRightInd w:val="0"/>
      </w:pPr>
      <w:r>
        <w:t xml:space="preserve">Model 2 is a variation of the baseline model </w:t>
      </w:r>
      <w:r w:rsidR="00B209F9">
        <w:t>that</w:t>
      </w:r>
      <w:r>
        <w:t xml:space="preserve"> omits the star ratings and </w:t>
      </w:r>
      <w:r w:rsidR="00155152">
        <w:t>instead uses keywords associated with the energy</w:t>
      </w:r>
      <w:r w:rsidR="00B209F9">
        <w:t>-</w:t>
      </w:r>
      <w:r w:rsidR="00155152">
        <w:t>efficiency assessment.</w:t>
      </w:r>
      <w:r w:rsidR="00C525E1">
        <w:t xml:space="preserve"> The purpose of this model is to test </w:t>
      </w:r>
      <w:r w:rsidR="00B209F9">
        <w:t>whether</w:t>
      </w:r>
      <w:r w:rsidR="00C525E1">
        <w:t xml:space="preserve"> information about energy efficiency is reflected in transaction prices even if it is provided outside the context of the mandatory EER system. The results </w:t>
      </w:r>
      <w:r w:rsidR="00B17FD1">
        <w:t>show that</w:t>
      </w:r>
      <w:r w:rsidR="00C525E1">
        <w:t xml:space="preserve"> b</w:t>
      </w:r>
      <w:r w:rsidR="00155152">
        <w:t>etter</w:t>
      </w:r>
      <w:r w:rsidR="00B209F9">
        <w:t>-</w:t>
      </w:r>
      <w:r w:rsidR="00155152">
        <w:t xml:space="preserve">quality windows (double glazing) and thermal insulation are both associated with a significant price premium. All other </w:t>
      </w:r>
      <w:r w:rsidR="00C525E1">
        <w:t xml:space="preserve">regression </w:t>
      </w:r>
      <w:r w:rsidR="00155152">
        <w:t xml:space="preserve">coefficients are similar to the baseline estimation. Model 3 </w:t>
      </w:r>
      <w:r w:rsidR="00C525E1">
        <w:t>tests</w:t>
      </w:r>
      <w:r w:rsidR="00155152">
        <w:t xml:space="preserve"> the effect</w:t>
      </w:r>
      <w:r w:rsidR="00B209F9">
        <w:t>s</w:t>
      </w:r>
      <w:r w:rsidR="00155152">
        <w:t xml:space="preserve"> of </w:t>
      </w:r>
      <w:r w:rsidR="00C525E1">
        <w:t xml:space="preserve">all </w:t>
      </w:r>
      <w:r w:rsidR="00155152">
        <w:t>the aforementioned drivers</w:t>
      </w:r>
      <w:r w:rsidR="00B209F9">
        <w:t>,</w:t>
      </w:r>
      <w:r w:rsidR="00155152">
        <w:t xml:space="preserve"> but instead of property price, time on market is used as the dependent variable. The results </w:t>
      </w:r>
      <w:r w:rsidR="00B209F9">
        <w:t>show</w:t>
      </w:r>
      <w:r w:rsidR="00155152">
        <w:t xml:space="preserve"> that properties </w:t>
      </w:r>
      <w:r w:rsidR="00B209F9">
        <w:t>at</w:t>
      </w:r>
      <w:r w:rsidR="00155152">
        <w:t xml:space="preserve"> both ends of the energy</w:t>
      </w:r>
      <w:r w:rsidR="00B209F9">
        <w:t>-</w:t>
      </w:r>
      <w:r w:rsidR="00155152">
        <w:t>efficiency spectrum remain on the market for longe</w:t>
      </w:r>
      <w:r w:rsidR="002C41FF">
        <w:t xml:space="preserve">r than </w:t>
      </w:r>
      <w:r w:rsidR="00B209F9">
        <w:t>those</w:t>
      </w:r>
      <w:r w:rsidR="002C41FF">
        <w:t xml:space="preserve"> in the middle of the </w:t>
      </w:r>
      <w:r w:rsidR="00B209F9">
        <w:t>spectrum</w:t>
      </w:r>
      <w:r w:rsidR="00155152">
        <w:t>.</w:t>
      </w:r>
      <w:r w:rsidR="002C41FF">
        <w:t xml:space="preserve"> </w:t>
      </w:r>
      <w:r w:rsidR="00B209F9">
        <w:t>A</w:t>
      </w:r>
      <w:r w:rsidR="00155152">
        <w:t xml:space="preserve"> solar PV system is found to be associated </w:t>
      </w:r>
      <w:r w:rsidR="002C41FF">
        <w:t xml:space="preserve">with </w:t>
      </w:r>
      <w:r w:rsidR="00B209F9">
        <w:t xml:space="preserve">a </w:t>
      </w:r>
      <w:r w:rsidR="002C41FF">
        <w:t>reduced marketing period</w:t>
      </w:r>
      <w:r w:rsidR="00B209F9">
        <w:t>,</w:t>
      </w:r>
      <w:r w:rsidR="002C41FF">
        <w:t xml:space="preserve"> as are evaporative and split air</w:t>
      </w:r>
      <w:r w:rsidR="00595C5F">
        <w:t xml:space="preserve"> </w:t>
      </w:r>
      <w:r w:rsidR="002C41FF">
        <w:t>conditioning</w:t>
      </w:r>
      <w:r w:rsidR="00B209F9">
        <w:t xml:space="preserve"> systems</w:t>
      </w:r>
      <w:r w:rsidR="002C41FF">
        <w:t xml:space="preserve">. </w:t>
      </w:r>
    </w:p>
    <w:p w14:paraId="64150BF8" w14:textId="77777777" w:rsidR="00F3008D" w:rsidRDefault="00F3008D" w:rsidP="00D26F46">
      <w:pPr>
        <w:autoSpaceDE w:val="0"/>
        <w:autoSpaceDN w:val="0"/>
        <w:adjustRightInd w:val="0"/>
      </w:pPr>
    </w:p>
    <w:p w14:paraId="636CB7C1" w14:textId="5EF530C1" w:rsidR="00CA5362" w:rsidRPr="00715BF5" w:rsidRDefault="0009554C" w:rsidP="00D26F46">
      <w:pPr>
        <w:rPr>
          <w:i/>
        </w:rPr>
      </w:pPr>
      <w:r>
        <w:rPr>
          <w:i/>
        </w:rPr>
        <w:t>Evidence from leas</w:t>
      </w:r>
      <w:r w:rsidR="00B209F9">
        <w:rPr>
          <w:i/>
        </w:rPr>
        <w:t>e</w:t>
      </w:r>
      <w:r w:rsidR="00715BF5" w:rsidRPr="00715BF5">
        <w:rPr>
          <w:i/>
        </w:rPr>
        <w:t xml:space="preserve"> transactions</w:t>
      </w:r>
    </w:p>
    <w:p w14:paraId="4FEB75E5" w14:textId="77777777" w:rsidR="00D83FC7" w:rsidRDefault="00D83FC7" w:rsidP="00D26F46"/>
    <w:p w14:paraId="12A22F52" w14:textId="5B34D7D0" w:rsidR="00715BF5" w:rsidRDefault="008A2575" w:rsidP="00D26F46">
      <w:r>
        <w:t xml:space="preserve">The estimation of EER effects on rental prices as evidenced in lease transactions is broadly similar to </w:t>
      </w:r>
      <w:r w:rsidR="00B209F9">
        <w:t xml:space="preserve">that </w:t>
      </w:r>
      <w:r w:rsidR="0025793A">
        <w:t xml:space="preserve">shown </w:t>
      </w:r>
      <w:r w:rsidR="00B209F9">
        <w:t xml:space="preserve">in </w:t>
      </w:r>
      <w:r>
        <w:t xml:space="preserve">the sales transaction hedonic model described above. Model 1 provides a </w:t>
      </w:r>
      <w:r w:rsidR="00B209F9">
        <w:t xml:space="preserve">separate </w:t>
      </w:r>
      <w:r>
        <w:t>baseline estimation for each star rating</w:t>
      </w:r>
      <w:r w:rsidR="00B209F9">
        <w:t>,</w:t>
      </w:r>
      <w:r>
        <w:t xml:space="preserve"> along with coefficient estimates for a vector of other property and area characteristics. Based on nearly 60</w:t>
      </w:r>
      <w:r w:rsidR="0025793A">
        <w:t>,000</w:t>
      </w:r>
      <w:r>
        <w:t xml:space="preserve"> </w:t>
      </w:r>
      <w:r w:rsidR="006C3279">
        <w:t xml:space="preserve">lease </w:t>
      </w:r>
      <w:r>
        <w:t xml:space="preserve">transactions, a hedonic model can be fitted </w:t>
      </w:r>
      <w:r w:rsidR="0025793A">
        <w:t xml:space="preserve">that </w:t>
      </w:r>
      <w:r>
        <w:t xml:space="preserve">explains </w:t>
      </w:r>
      <w:r w:rsidR="0025793A">
        <w:t>approximately</w:t>
      </w:r>
      <w:r>
        <w:t xml:space="preserve"> 77% of the variation</w:t>
      </w:r>
      <w:r w:rsidR="0025793A">
        <w:t>s</w:t>
      </w:r>
      <w:r>
        <w:t xml:space="preserve"> in rental prices. The effects of general property characteristics and amenities are </w:t>
      </w:r>
      <w:r w:rsidR="0025793A">
        <w:t xml:space="preserve">similar </w:t>
      </w:r>
      <w:r>
        <w:t xml:space="preserve">to the results from the sales models and to those reported in the extant literature. Regarding the variables of interest, </w:t>
      </w:r>
      <w:r w:rsidR="00BA7ED5">
        <w:t xml:space="preserve">a </w:t>
      </w:r>
      <w:r w:rsidR="00011FB0">
        <w:t xml:space="preserve">lower </w:t>
      </w:r>
      <w:r w:rsidR="00BA7ED5">
        <w:t xml:space="preserve">star rating results in a discount of approximately 2.8% and 2.4% for </w:t>
      </w:r>
      <w:r w:rsidR="00595C5F">
        <w:t>zero</w:t>
      </w:r>
      <w:r w:rsidR="0025793A">
        <w:t xml:space="preserve">-star and </w:t>
      </w:r>
      <w:r w:rsidR="00595C5F">
        <w:t>one–</w:t>
      </w:r>
      <w:r w:rsidR="00BA7ED5">
        <w:t>star</w:t>
      </w:r>
      <w:r w:rsidR="00595C5F">
        <w:t xml:space="preserve"> </w:t>
      </w:r>
      <w:r w:rsidR="0025793A">
        <w:t>rated</w:t>
      </w:r>
      <w:r w:rsidR="00BA7ED5">
        <w:t xml:space="preserve"> </w:t>
      </w:r>
      <w:r w:rsidR="0025793A">
        <w:t>properties</w:t>
      </w:r>
      <w:r w:rsidR="00B17FD1">
        <w:t>, respectively,</w:t>
      </w:r>
      <w:r w:rsidR="0025793A">
        <w:t xml:space="preserve"> </w:t>
      </w:r>
      <w:r w:rsidR="00BA7ED5">
        <w:t>relative to</w:t>
      </w:r>
      <w:r w:rsidR="008B7FBC">
        <w:t xml:space="preserve"> the common</w:t>
      </w:r>
      <w:r w:rsidR="00BA7ED5">
        <w:t xml:space="preserve"> </w:t>
      </w:r>
      <w:r w:rsidR="00595C5F">
        <w:t>three–</w:t>
      </w:r>
      <w:r w:rsidR="00BA7ED5">
        <w:t>star</w:t>
      </w:r>
      <w:r w:rsidR="00595C5F">
        <w:t xml:space="preserve"> </w:t>
      </w:r>
      <w:r w:rsidR="00BA7ED5">
        <w:t>rated ren</w:t>
      </w:r>
      <w:r w:rsidR="003740F5">
        <w:t xml:space="preserve">tal properties. Conversely, </w:t>
      </w:r>
      <w:r w:rsidR="00BA7ED5">
        <w:t>properties</w:t>
      </w:r>
      <w:r w:rsidR="003740F5">
        <w:t xml:space="preserve"> with </w:t>
      </w:r>
      <w:r w:rsidR="00011FB0">
        <w:t>higher</w:t>
      </w:r>
      <w:r w:rsidR="003740F5">
        <w:t xml:space="preserve"> </w:t>
      </w:r>
      <w:r w:rsidR="0025793A">
        <w:t>EER</w:t>
      </w:r>
      <w:r w:rsidR="003740F5">
        <w:t>s</w:t>
      </w:r>
      <w:r w:rsidR="00BA7ED5">
        <w:t xml:space="preserve"> </w:t>
      </w:r>
      <w:r w:rsidR="0025793A">
        <w:t>attract</w:t>
      </w:r>
      <w:r w:rsidR="00BA7ED5">
        <w:t xml:space="preserve"> small but </w:t>
      </w:r>
      <w:r w:rsidR="0025793A">
        <w:t xml:space="preserve">statistically </w:t>
      </w:r>
      <w:r w:rsidR="00BA7ED5">
        <w:t xml:space="preserve">significant rental premiums. A </w:t>
      </w:r>
      <w:r w:rsidR="00595C5F">
        <w:t>five</w:t>
      </w:r>
      <w:r w:rsidR="00BA7ED5">
        <w:t xml:space="preserve">-star rating is associated with </w:t>
      </w:r>
      <w:r w:rsidR="0025793A">
        <w:t xml:space="preserve">a </w:t>
      </w:r>
      <w:r w:rsidR="00BA7ED5">
        <w:t>3.5% rent</w:t>
      </w:r>
      <w:r w:rsidR="0025793A">
        <w:t>al</w:t>
      </w:r>
      <w:r w:rsidR="00BA7ED5">
        <w:t xml:space="preserve"> </w:t>
      </w:r>
      <w:r w:rsidR="0025793A">
        <w:t xml:space="preserve">premium compared with </w:t>
      </w:r>
      <w:r w:rsidR="00595C5F">
        <w:t>three–</w:t>
      </w:r>
      <w:r w:rsidR="0025793A">
        <w:t>star</w:t>
      </w:r>
      <w:r w:rsidR="00595C5F">
        <w:t xml:space="preserve"> </w:t>
      </w:r>
      <w:r w:rsidR="0025793A">
        <w:t>rated properties, while the premiums for</w:t>
      </w:r>
      <w:r w:rsidR="00BA7ED5">
        <w:t xml:space="preserve"> </w:t>
      </w:r>
      <w:r w:rsidR="00595C5F">
        <w:t>six</w:t>
      </w:r>
      <w:r w:rsidR="0025793A">
        <w:t xml:space="preserve">-, </w:t>
      </w:r>
      <w:r w:rsidR="00595C5F">
        <w:t>seven</w:t>
      </w:r>
      <w:r w:rsidR="0025793A">
        <w:t xml:space="preserve">- and </w:t>
      </w:r>
      <w:r w:rsidR="00595C5F">
        <w:t>eight- to ten</w:t>
      </w:r>
      <w:r w:rsidR="0025793A">
        <w:t xml:space="preserve">-star properties </w:t>
      </w:r>
      <w:r w:rsidR="00BA7ED5">
        <w:t>are 3.6%, 2.6% and 3.5%</w:t>
      </w:r>
      <w:r w:rsidR="0025793A">
        <w:t>, respectively</w:t>
      </w:r>
      <w:r w:rsidR="00BA7ED5">
        <w:t xml:space="preserve">. </w:t>
      </w:r>
      <w:r w:rsidR="0025793A">
        <w:t>As can be seen, t</w:t>
      </w:r>
      <w:r w:rsidR="00BA7ED5">
        <w:t xml:space="preserve">he </w:t>
      </w:r>
      <w:r w:rsidR="0025793A">
        <w:t>rise in</w:t>
      </w:r>
      <w:r w:rsidR="00BA7ED5">
        <w:t xml:space="preserve"> premiums in the above-average </w:t>
      </w:r>
      <w:r w:rsidR="0025793A">
        <w:t xml:space="preserve">EER </w:t>
      </w:r>
      <w:r w:rsidR="00BA7ED5">
        <w:t xml:space="preserve">categories </w:t>
      </w:r>
      <w:r w:rsidR="003740F5">
        <w:t>is not linear</w:t>
      </w:r>
      <w:r w:rsidR="0025793A">
        <w:t>,</w:t>
      </w:r>
      <w:r w:rsidR="003740F5">
        <w:t xml:space="preserve"> as </w:t>
      </w:r>
      <w:r w:rsidR="00BA7ED5">
        <w:t>the highest</w:t>
      </w:r>
      <w:r w:rsidR="00595C5F">
        <w:t xml:space="preserve"> </w:t>
      </w:r>
      <w:r w:rsidR="00BA7ED5">
        <w:t>rat</w:t>
      </w:r>
      <w:r w:rsidR="0025793A">
        <w:t>ed properties</w:t>
      </w:r>
      <w:r w:rsidR="00BA7ED5">
        <w:t xml:space="preserve"> do not </w:t>
      </w:r>
      <w:r w:rsidR="0025793A">
        <w:t>attract</w:t>
      </w:r>
      <w:r w:rsidR="00BA7ED5">
        <w:t xml:space="preserve"> the highest premiums. </w:t>
      </w:r>
      <w:r w:rsidR="003740F5">
        <w:t xml:space="preserve">Hence, these findings do not support </w:t>
      </w:r>
      <w:r w:rsidR="0025793A">
        <w:t>those in</w:t>
      </w:r>
      <w:r w:rsidR="003740F5">
        <w:t xml:space="preserve"> other markets</w:t>
      </w:r>
      <w:r w:rsidR="0025793A">
        <w:t xml:space="preserve"> studied</w:t>
      </w:r>
      <w:r w:rsidR="003740F5">
        <w:t xml:space="preserve"> (e.g.</w:t>
      </w:r>
      <w:r w:rsidR="007F1022">
        <w:t>,</w:t>
      </w:r>
      <w:r w:rsidR="003740F5">
        <w:t xml:space="preserve"> Fuerst et al</w:t>
      </w:r>
      <w:r w:rsidR="006C3279">
        <w:t>.</w:t>
      </w:r>
      <w:r w:rsidR="007F1022">
        <w:t>,</w:t>
      </w:r>
      <w:r w:rsidR="003740F5">
        <w:t xml:space="preserve"> 2016) </w:t>
      </w:r>
      <w:r w:rsidR="0025793A">
        <w:t>wherein</w:t>
      </w:r>
      <w:r w:rsidR="003740F5">
        <w:t xml:space="preserve"> highly energy</w:t>
      </w:r>
      <w:r w:rsidR="0025793A">
        <w:t>-</w:t>
      </w:r>
      <w:r w:rsidR="003740F5">
        <w:t>efficient properties are</w:t>
      </w:r>
      <w:r w:rsidR="00BA7ED5">
        <w:t xml:space="preserve"> </w:t>
      </w:r>
      <w:r w:rsidR="00B17FD1">
        <w:t xml:space="preserve">seen as </w:t>
      </w:r>
      <w:r w:rsidR="00BA7ED5">
        <w:t xml:space="preserve">a positional good in the residential market. </w:t>
      </w:r>
    </w:p>
    <w:p w14:paraId="403B0606" w14:textId="77777777" w:rsidR="00BA7ED5" w:rsidRDefault="00BA7ED5" w:rsidP="00D26F46"/>
    <w:p w14:paraId="3362FC8E" w14:textId="2D95801B" w:rsidR="00BA7ED5" w:rsidRDefault="0018491B" w:rsidP="00D26F46">
      <w:r>
        <w:t xml:space="preserve">The second model confirms that rental </w:t>
      </w:r>
      <w:r w:rsidR="0025793A">
        <w:t>prices</w:t>
      </w:r>
      <w:r>
        <w:t xml:space="preserve"> respond positively and significantly to</w:t>
      </w:r>
      <w:r w:rsidR="00DC6679">
        <w:t xml:space="preserve"> the presence of</w:t>
      </w:r>
      <w:r>
        <w:t xml:space="preserve"> insulation and energy</w:t>
      </w:r>
      <w:r w:rsidR="00A63A66">
        <w:t>-effici</w:t>
      </w:r>
      <w:r w:rsidR="00DC6679">
        <w:t>ent windows. Solar PV systems, central heating and several other types of heating systems are also associated with higher rents</w:t>
      </w:r>
      <w:r w:rsidR="0025793A">
        <w:t>,</w:t>
      </w:r>
      <w:r w:rsidR="00DC6679">
        <w:t xml:space="preserve"> as </w:t>
      </w:r>
      <w:r w:rsidR="0025793A">
        <w:t>are</w:t>
      </w:r>
      <w:r w:rsidR="00DC6679">
        <w:t xml:space="preserve"> evaporative cooling and split</w:t>
      </w:r>
      <w:r w:rsidR="0025793A">
        <w:t>-</w:t>
      </w:r>
      <w:r w:rsidR="00DC6679">
        <w:t>system air</w:t>
      </w:r>
      <w:r w:rsidR="00595C5F">
        <w:t xml:space="preserve"> </w:t>
      </w:r>
      <w:r w:rsidR="00DC6679">
        <w:t xml:space="preserve">conditioning. As in the sales market, certain types of heating systems, in particular gas and electric </w:t>
      </w:r>
      <w:r w:rsidR="00742518">
        <w:t>systems,</w:t>
      </w:r>
      <w:r w:rsidR="00DC6679">
        <w:t xml:space="preserve"> </w:t>
      </w:r>
      <w:r w:rsidR="00742518">
        <w:t>attract</w:t>
      </w:r>
      <w:r w:rsidR="00DC6679">
        <w:t xml:space="preserve"> lower rents. </w:t>
      </w:r>
    </w:p>
    <w:p w14:paraId="50DEBF10" w14:textId="77777777" w:rsidR="00DC6679" w:rsidRDefault="00DC6679" w:rsidP="00D26F46"/>
    <w:p w14:paraId="0C5499E3" w14:textId="299C5CF3" w:rsidR="00DC6679" w:rsidRDefault="00DC6679" w:rsidP="00D26F46">
      <w:r>
        <w:t xml:space="preserve">Model 3 proceeds with the estimation of a Heckman model for the rental market to correct for any self-selection in the disclosure of </w:t>
      </w:r>
      <w:r w:rsidR="00742518">
        <w:t>EER</w:t>
      </w:r>
      <w:r>
        <w:t xml:space="preserve">s. </w:t>
      </w:r>
      <w:r w:rsidR="00446FBE">
        <w:t xml:space="preserve">The diagnostics (athrho) confirm the existence of </w:t>
      </w:r>
      <w:r w:rsidR="00742518">
        <w:t xml:space="preserve">a </w:t>
      </w:r>
      <w:r w:rsidR="00446FBE">
        <w:lastRenderedPageBreak/>
        <w:t xml:space="preserve">significant </w:t>
      </w:r>
      <w:r w:rsidR="00742518">
        <w:t xml:space="preserve">degree of </w:t>
      </w:r>
      <w:r w:rsidR="00446FBE">
        <w:t xml:space="preserve">self-selection. When the Heckman correction for suppressed EERs is applied, the positive </w:t>
      </w:r>
      <w:r w:rsidR="00B17FD1">
        <w:t>effect</w:t>
      </w:r>
      <w:r w:rsidR="00446FBE">
        <w:t xml:space="preserve"> of EERs </w:t>
      </w:r>
      <w:r w:rsidR="00B17FD1">
        <w:t xml:space="preserve">on </w:t>
      </w:r>
      <w:r w:rsidR="00B67353">
        <w:t xml:space="preserve">rental </w:t>
      </w:r>
      <w:r w:rsidR="00B17FD1">
        <w:t xml:space="preserve">prices </w:t>
      </w:r>
      <w:r w:rsidR="00446FBE">
        <w:t xml:space="preserve">is still found </w:t>
      </w:r>
      <w:r w:rsidR="00742518">
        <w:t xml:space="preserve">to be </w:t>
      </w:r>
      <w:r w:rsidR="00446FBE">
        <w:t>significant in the estimation.</w:t>
      </w:r>
      <w:r w:rsidR="00B67353">
        <w:t xml:space="preserve"> Compared to the OLS baseline model (Model 1), the Heckman-corrected coefficients for higher EER ratings are considerably higher, implying that once non-disclosure bias is taken into account, </w:t>
      </w:r>
      <w:r w:rsidR="00E0317B">
        <w:t>the pricing differences between low and high energy efficiency in dwellings become even more pronounced.</w:t>
      </w:r>
      <w:r w:rsidR="00B67353">
        <w:t xml:space="preserve"> </w:t>
      </w:r>
      <w:r w:rsidR="00E0317B">
        <w:t>The Heck</w:t>
      </w:r>
      <w:r w:rsidR="00CB7509">
        <w:t>man model also conveys</w:t>
      </w:r>
      <w:r w:rsidR="00E0317B">
        <w:t xml:space="preserve"> information regarding the patterns relating to non-disclosure. </w:t>
      </w:r>
      <w:r w:rsidR="00446FBE">
        <w:t>The first</w:t>
      </w:r>
      <w:r w:rsidR="00CB7509">
        <w:t xml:space="preserve"> stage of the estimation confirms</w:t>
      </w:r>
      <w:r w:rsidR="00446FBE">
        <w:t xml:space="preserve"> that the decision to disclose an EER is systematically </w:t>
      </w:r>
      <w:r w:rsidR="00742518">
        <w:t xml:space="preserve">affected </w:t>
      </w:r>
      <w:r w:rsidR="00446FBE">
        <w:t xml:space="preserve">by a number of factors, including location and property characteristics. Disclosure occurs more frequently </w:t>
      </w:r>
      <w:r w:rsidR="00742518">
        <w:t>in relation to</w:t>
      </w:r>
      <w:r w:rsidR="00446FBE">
        <w:t xml:space="preserve"> apartment</w:t>
      </w:r>
      <w:r w:rsidR="00742518">
        <w:t>s</w:t>
      </w:r>
      <w:r w:rsidR="00446FBE">
        <w:t xml:space="preserve"> than units. This may be </w:t>
      </w:r>
      <w:r w:rsidR="00742518">
        <w:t>because</w:t>
      </w:r>
      <w:r w:rsidR="00446FBE">
        <w:t xml:space="preserve"> apartment buildings are more likely to be managed by more professional landlords </w:t>
      </w:r>
      <w:r w:rsidR="00742518">
        <w:t>or</w:t>
      </w:r>
      <w:r w:rsidR="00446FBE">
        <w:t xml:space="preserve"> property </w:t>
      </w:r>
      <w:r w:rsidR="00742518">
        <w:t xml:space="preserve">management </w:t>
      </w:r>
      <w:r w:rsidR="00446FBE">
        <w:t>companies</w:t>
      </w:r>
      <w:r w:rsidR="00742518">
        <w:t>,</w:t>
      </w:r>
      <w:r w:rsidR="006C3279">
        <w:t xml:space="preserve"> and </w:t>
      </w:r>
      <w:r w:rsidR="00742518">
        <w:t xml:space="preserve">have </w:t>
      </w:r>
      <w:r w:rsidR="006C3279">
        <w:t xml:space="preserve">possibly </w:t>
      </w:r>
      <w:r w:rsidR="00742518">
        <w:t>been</w:t>
      </w:r>
      <w:r w:rsidR="006C3279">
        <w:t xml:space="preserve"> constructed</w:t>
      </w:r>
      <w:r w:rsidR="00742518">
        <w:t xml:space="preserve"> more recently</w:t>
      </w:r>
      <w:r w:rsidR="00446FBE">
        <w:t>. More importantly, the first</w:t>
      </w:r>
      <w:r w:rsidR="00742518">
        <w:t>-</w:t>
      </w:r>
      <w:r w:rsidR="00446FBE">
        <w:t xml:space="preserve">stage Heckman estimation </w:t>
      </w:r>
      <w:r w:rsidR="00742518">
        <w:t>supports</w:t>
      </w:r>
      <w:r w:rsidR="00446FBE">
        <w:t xml:space="preserve"> the hypothesis that the presence of sustainability features such as energy-efficient heating systems, windows and insulation</w:t>
      </w:r>
      <w:r w:rsidR="00742518">
        <w:t>,</w:t>
      </w:r>
      <w:r w:rsidR="00446FBE">
        <w:t xml:space="preserve"> along with solar panels</w:t>
      </w:r>
      <w:r w:rsidR="00742518">
        <w:t>,</w:t>
      </w:r>
      <w:r w:rsidR="00446FBE">
        <w:t xml:space="preserve"> make</w:t>
      </w:r>
      <w:r w:rsidR="00742518">
        <w:t>s</w:t>
      </w:r>
      <w:r w:rsidR="00446FBE">
        <w:t xml:space="preserve"> disclosure of the EER more likely. </w:t>
      </w:r>
    </w:p>
    <w:p w14:paraId="5460F1C7" w14:textId="77777777" w:rsidR="00AB3963" w:rsidRDefault="00AB3963" w:rsidP="00D26F46"/>
    <w:p w14:paraId="3FC44FA1" w14:textId="5E33E283" w:rsidR="00446FBE" w:rsidRDefault="00446FBE" w:rsidP="00D26F46">
      <w:r>
        <w:t xml:space="preserve">The fourth model predicts the time on market of a rental property as a function of the regressors specified above. </w:t>
      </w:r>
      <w:r w:rsidR="009C1932">
        <w:t>While a number of favourable characteristics such as the presence of a garden or modern heating and cooling systems reduce time on market, no significant overall effect of EER</w:t>
      </w:r>
      <w:r w:rsidR="00742518">
        <w:t>s</w:t>
      </w:r>
      <w:r w:rsidR="009C1932">
        <w:t xml:space="preserve"> on time on market is found. </w:t>
      </w:r>
    </w:p>
    <w:p w14:paraId="5DD6F127" w14:textId="77777777" w:rsidR="009C1932" w:rsidRDefault="009C1932" w:rsidP="00D26F46"/>
    <w:p w14:paraId="71040401" w14:textId="6365C57A" w:rsidR="00B530F2" w:rsidRDefault="009C1932" w:rsidP="00D26F46">
      <w:r>
        <w:t xml:space="preserve">The fifth and sixth model estimations show the results of introducing interaction terms with EERs. Model 5 tests for differential effects of the EER in </w:t>
      </w:r>
      <w:r w:rsidR="00B17FD1">
        <w:t xml:space="preserve">relation to </w:t>
      </w:r>
      <w:r>
        <w:t xml:space="preserve">particular property types. </w:t>
      </w:r>
      <w:r w:rsidR="00C628F9">
        <w:t>The results reveal some complex pricing patterns</w:t>
      </w:r>
      <w:r w:rsidR="00742518">
        <w:t>,</w:t>
      </w:r>
      <w:r w:rsidR="00C628F9">
        <w:t xml:space="preserve"> which are illustrated in Figure </w:t>
      </w:r>
      <w:r w:rsidR="0053293A">
        <w:t>2</w:t>
      </w:r>
      <w:r w:rsidR="00C628F9">
        <w:t xml:space="preserve">. </w:t>
      </w:r>
      <w:r w:rsidR="00992776">
        <w:t>O</w:t>
      </w:r>
      <w:r w:rsidR="00C628F9">
        <w:t>nly apartments</w:t>
      </w:r>
      <w:r w:rsidR="00992776">
        <w:t>/units</w:t>
      </w:r>
      <w:r w:rsidR="00C628F9">
        <w:t xml:space="preserve"> appear to be </w:t>
      </w:r>
      <w:r w:rsidR="00742518">
        <w:t xml:space="preserve">significantly </w:t>
      </w:r>
      <w:r w:rsidR="00C628F9">
        <w:t>discounted for failing to achieve a standard energy</w:t>
      </w:r>
      <w:r w:rsidR="00742518">
        <w:t>-</w:t>
      </w:r>
      <w:r w:rsidR="00C628F9">
        <w:t>efficiency level</w:t>
      </w:r>
      <w:r w:rsidR="00992776">
        <w:t>. Conversely,</w:t>
      </w:r>
      <w:r w:rsidR="00C628F9">
        <w:t xml:space="preserve"> higher levels of energy efficiency appear to receive proportionately larger rewards for </w:t>
      </w:r>
      <w:r w:rsidR="00992776">
        <w:t>apartments</w:t>
      </w:r>
      <w:r w:rsidR="00742518">
        <w:t>/</w:t>
      </w:r>
      <w:r w:rsidR="00C628F9">
        <w:t>units</w:t>
      </w:r>
      <w:r w:rsidR="00742518">
        <w:t xml:space="preserve"> compared with houses</w:t>
      </w:r>
      <w:r w:rsidR="00AA1AE6">
        <w:t xml:space="preserve">, except for </w:t>
      </w:r>
      <w:r w:rsidR="00742518">
        <w:t xml:space="preserve">those in </w:t>
      </w:r>
      <w:r w:rsidR="00AA1AE6">
        <w:t>the highest EER category.</w:t>
      </w:r>
    </w:p>
    <w:p w14:paraId="706F3FE6" w14:textId="77777777" w:rsidR="00FC079E" w:rsidRDefault="00FC079E" w:rsidP="00D26F46"/>
    <w:p w14:paraId="6732C900" w14:textId="41394A5B" w:rsidR="00446FBE" w:rsidRDefault="00F8613F" w:rsidP="00D26F46">
      <w:r>
        <w:t xml:space="preserve">The socioeconomic implications of the implied cost of energy efficiency </w:t>
      </w:r>
      <w:r w:rsidR="00742518">
        <w:t>are</w:t>
      </w:r>
      <w:r>
        <w:t xml:space="preserve"> relevant, particularly in the rental market. T</w:t>
      </w:r>
      <w:r w:rsidR="00B17FD1">
        <w:t>hus</w:t>
      </w:r>
      <w:r>
        <w:t xml:space="preserve">, we perform a quantile regression to study the effect of non-disclosure on the pricing of relevant features for each decile of the rent distribution. A preliminary exploration of </w:t>
      </w:r>
      <w:r w:rsidR="00742518">
        <w:t xml:space="preserve">the </w:t>
      </w:r>
      <w:r>
        <w:t xml:space="preserve">basic distribution statistics suggests a number of associations. </w:t>
      </w:r>
      <w:r w:rsidR="00992776">
        <w:t xml:space="preserve">While Figure </w:t>
      </w:r>
      <w:r w:rsidR="0053293A">
        <w:t>3</w:t>
      </w:r>
      <w:r w:rsidR="00992776">
        <w:t xml:space="preserve"> indicates that low </w:t>
      </w:r>
      <w:r w:rsidR="00742518">
        <w:t>EER</w:t>
      </w:r>
      <w:r w:rsidR="00992776">
        <w:t xml:space="preserve">s are more likely to be found in more socially deprived areas, Figure </w:t>
      </w:r>
      <w:r w:rsidR="0053293A">
        <w:t>4</w:t>
      </w:r>
      <w:r w:rsidR="00992776">
        <w:t xml:space="preserve"> </w:t>
      </w:r>
      <w:r w:rsidR="00742518">
        <w:t>shows</w:t>
      </w:r>
      <w:r w:rsidR="00992776">
        <w:t xml:space="preserve"> that these disadvantaged areas</w:t>
      </w:r>
      <w:r w:rsidR="003B460A">
        <w:t>, as measured by the SEIFA score,</w:t>
      </w:r>
      <w:r w:rsidR="00992776">
        <w:t xml:space="preserve"> also have disproportionately higher levels of EER non-disclosure, potentially adding to the asymmetric information problem identified above. </w:t>
      </w:r>
      <w:r>
        <w:t xml:space="preserve">Hence, it appears that these areas suffer from </w:t>
      </w:r>
      <w:r w:rsidR="00742518">
        <w:t>the</w:t>
      </w:r>
      <w:r>
        <w:t xml:space="preserve"> ‘double disadvantage’ of non-disclosure and </w:t>
      </w:r>
      <w:r w:rsidR="002B13C0">
        <w:t>low</w:t>
      </w:r>
      <w:r w:rsidR="00FC079E">
        <w:t>–</w:t>
      </w:r>
      <w:r>
        <w:t>energy</w:t>
      </w:r>
      <w:r w:rsidR="00FC079E">
        <w:t xml:space="preserve"> </w:t>
      </w:r>
      <w:r>
        <w:t xml:space="preserve">efficiency dwelling stock. </w:t>
      </w:r>
      <w:r w:rsidR="00CA68F8">
        <w:t xml:space="preserve">Figure </w:t>
      </w:r>
      <w:r w:rsidR="002B13C0">
        <w:t>4</w:t>
      </w:r>
      <w:r>
        <w:t xml:space="preserve"> </w:t>
      </w:r>
      <w:r w:rsidR="002B13C0">
        <w:t>shows</w:t>
      </w:r>
      <w:r>
        <w:t xml:space="preserve"> the quantile regression coefficients of interest, comparing the pricing of energy-efficiency features of disclosers and non-disclosers for the two most important features </w:t>
      </w:r>
      <w:r w:rsidR="002B13C0">
        <w:t>of</w:t>
      </w:r>
      <w:r>
        <w:t xml:space="preserve"> the EER assessment, </w:t>
      </w:r>
      <w:r w:rsidR="00FC079E">
        <w:t>that is,</w:t>
      </w:r>
      <w:r w:rsidR="00CA68F8">
        <w:t xml:space="preserve"> </w:t>
      </w:r>
      <w:r>
        <w:t xml:space="preserve">insulation and </w:t>
      </w:r>
      <w:r w:rsidR="004A7B88">
        <w:t>window</w:t>
      </w:r>
      <w:r w:rsidR="00CA68F8">
        <w:t xml:space="preserve"> </w:t>
      </w:r>
      <w:r>
        <w:t xml:space="preserve">quality. </w:t>
      </w:r>
      <w:r w:rsidR="002B13C0">
        <w:t>It can be seen</w:t>
      </w:r>
      <w:r>
        <w:t xml:space="preserve"> </w:t>
      </w:r>
      <w:r w:rsidR="00D234D6">
        <w:t xml:space="preserve">that the presence of double-glazed windows </w:t>
      </w:r>
      <w:r w:rsidR="002B13C0">
        <w:t>attracts</w:t>
      </w:r>
      <w:r w:rsidR="00D234D6">
        <w:t xml:space="preserve"> a higher rental </w:t>
      </w:r>
      <w:r w:rsidR="002B13C0">
        <w:t>price</w:t>
      </w:r>
      <w:r w:rsidR="00D234D6">
        <w:t xml:space="preserve"> than having adequate insulation</w:t>
      </w:r>
      <w:r w:rsidR="00CA68F8">
        <w:t xml:space="preserve"> </w:t>
      </w:r>
      <w:r w:rsidR="002B13C0">
        <w:t>in</w:t>
      </w:r>
      <w:r w:rsidR="00CA68F8">
        <w:t xml:space="preserve"> all segments of the rental market</w:t>
      </w:r>
      <w:r w:rsidR="002B13C0">
        <w:t>,</w:t>
      </w:r>
      <w:r w:rsidR="00D234D6">
        <w:t xml:space="preserve"> which probably </w:t>
      </w:r>
      <w:r w:rsidR="002B13C0">
        <w:t>reflects</w:t>
      </w:r>
      <w:r w:rsidR="00D234D6">
        <w:t xml:space="preserve"> the cost of retrofitting each of these measures. </w:t>
      </w:r>
      <w:r w:rsidR="00CA68F8">
        <w:t>Further, i</w:t>
      </w:r>
      <w:r w:rsidR="00D234D6">
        <w:t xml:space="preserve">t is noteworthy that EER disclosure plays only a negligible role </w:t>
      </w:r>
      <w:r w:rsidR="002B13C0">
        <w:t>in relation to</w:t>
      </w:r>
      <w:r w:rsidR="00D234D6">
        <w:t xml:space="preserve"> insulation</w:t>
      </w:r>
      <w:r w:rsidR="002B13C0">
        <w:t>,</w:t>
      </w:r>
      <w:r w:rsidR="00D234D6">
        <w:t xml:space="preserve"> but</w:t>
      </w:r>
      <w:r w:rsidR="00CA68F8">
        <w:t xml:space="preserve"> has a </w:t>
      </w:r>
      <w:r w:rsidR="002B13C0">
        <w:t>greater</w:t>
      </w:r>
      <w:r w:rsidR="00CA68F8">
        <w:t xml:space="preserve"> impact on the implicit pricing of energy-efficient windows</w:t>
      </w:r>
      <w:r w:rsidR="00D234D6">
        <w:t>. The</w:t>
      </w:r>
      <w:r w:rsidR="002B13C0">
        <w:t>se</w:t>
      </w:r>
      <w:r w:rsidR="00D234D6">
        <w:t xml:space="preserve"> findings suggest that</w:t>
      </w:r>
      <w:r w:rsidR="00CA68F8">
        <w:t xml:space="preserve"> tenants in the </w:t>
      </w:r>
      <w:r w:rsidR="00D234D6">
        <w:t>lower two</w:t>
      </w:r>
      <w:r w:rsidR="002B13C0">
        <w:t>-</w:t>
      </w:r>
      <w:r w:rsidR="00D234D6">
        <w:t xml:space="preserve">thirds of the rental market </w:t>
      </w:r>
      <w:r w:rsidR="00CA68F8">
        <w:t>exhibit a lower willingness to pay for double-glazed windows when the EER is not disclosed</w:t>
      </w:r>
      <w:r w:rsidR="002B13C0">
        <w:t>,</w:t>
      </w:r>
      <w:r w:rsidR="00CA68F8">
        <w:t xml:space="preserve"> even when the windows are explicitly mentioned in the marketing material. However, t</w:t>
      </w:r>
      <w:r w:rsidR="00D234D6">
        <w:t xml:space="preserve">his relationship </w:t>
      </w:r>
      <w:r w:rsidR="002B13C0">
        <w:t xml:space="preserve">is </w:t>
      </w:r>
      <w:r w:rsidR="00D234D6">
        <w:t>reverse</w:t>
      </w:r>
      <w:r w:rsidR="002B13C0">
        <w:t>d</w:t>
      </w:r>
      <w:r w:rsidR="00D234D6">
        <w:t xml:space="preserve"> </w:t>
      </w:r>
      <w:r w:rsidR="002B13C0">
        <w:t>in</w:t>
      </w:r>
      <w:r w:rsidR="00D234D6">
        <w:t xml:space="preserve"> the </w:t>
      </w:r>
      <w:r w:rsidR="002B13C0">
        <w:t xml:space="preserve">two </w:t>
      </w:r>
      <w:r w:rsidR="00D234D6">
        <w:t>highest</w:t>
      </w:r>
      <w:r w:rsidR="00CA68F8">
        <w:t xml:space="preserve"> market deciles</w:t>
      </w:r>
      <w:r w:rsidR="00D234D6">
        <w:t>.</w:t>
      </w:r>
      <w:r w:rsidR="00CA68F8">
        <w:t xml:space="preserve"> Apart from unobserved heterogeneity, th</w:t>
      </w:r>
      <w:r w:rsidR="002B13C0">
        <w:t>is</w:t>
      </w:r>
      <w:r w:rsidR="00CA68F8">
        <w:t xml:space="preserve"> difference may be attributed to varying abilities of tenant groups to gauge the energy efficiency of a property when an easy-to-understand overall rating is </w:t>
      </w:r>
      <w:r w:rsidR="002B13C0">
        <w:t>not provided</w:t>
      </w:r>
      <w:r w:rsidR="00CA68F8">
        <w:t xml:space="preserve"> and tenants are </w:t>
      </w:r>
      <w:r w:rsidR="002B13C0">
        <w:t>forced to rely on</w:t>
      </w:r>
      <w:r w:rsidR="00CA68F8">
        <w:t xml:space="preserve"> other channels such as marketing brochures, conversations with letting agents or property viewings. </w:t>
      </w:r>
    </w:p>
    <w:p w14:paraId="785AA767" w14:textId="77777777" w:rsidR="00CD7C9B" w:rsidRDefault="00CD7C9B" w:rsidP="00D26F46"/>
    <w:p w14:paraId="5CD26118" w14:textId="77777777" w:rsidR="00CA5362" w:rsidRDefault="00CA5362" w:rsidP="000A077F">
      <w:pPr>
        <w:pStyle w:val="Heading1"/>
      </w:pPr>
      <w:r>
        <w:lastRenderedPageBreak/>
        <w:t>Discussion</w:t>
      </w:r>
    </w:p>
    <w:p w14:paraId="0DE3CAD6" w14:textId="77777777" w:rsidR="00CA5362" w:rsidRDefault="00CA5362" w:rsidP="00D26F46"/>
    <w:p w14:paraId="78701268" w14:textId="465E7539" w:rsidR="0011646C" w:rsidRDefault="001C33BC" w:rsidP="00A51F1E">
      <w:r>
        <w:t xml:space="preserve">The results of the empirical analysis support the existence of </w:t>
      </w:r>
      <w:r w:rsidR="004A7B88">
        <w:t>positive effects</w:t>
      </w:r>
      <w:r>
        <w:t xml:space="preserve"> of energy efficiency </w:t>
      </w:r>
      <w:r w:rsidR="004A7B88">
        <w:t>on</w:t>
      </w:r>
      <w:r>
        <w:t xml:space="preserve"> house prices and rents. </w:t>
      </w:r>
      <w:r w:rsidR="00095088">
        <w:t xml:space="preserve">In particular, a large increase in the price premium is observed </w:t>
      </w:r>
      <w:r w:rsidR="004A7B88">
        <w:t>for</w:t>
      </w:r>
      <w:r w:rsidR="00095088">
        <w:t xml:space="preserve"> </w:t>
      </w:r>
      <w:r w:rsidR="00FC079E">
        <w:t>seven–</w:t>
      </w:r>
      <w:r w:rsidR="00095088">
        <w:t>star-rated properties</w:t>
      </w:r>
      <w:r w:rsidR="004A7B88">
        <w:t xml:space="preserve"> compared with </w:t>
      </w:r>
      <w:r w:rsidR="00FC079E">
        <w:t>six–</w:t>
      </w:r>
      <w:r w:rsidR="004A7B88">
        <w:t>star</w:t>
      </w:r>
      <w:r w:rsidR="00FC079E">
        <w:t xml:space="preserve"> </w:t>
      </w:r>
      <w:r w:rsidR="004A7B88">
        <w:t>rated properties</w:t>
      </w:r>
      <w:r w:rsidR="00095088">
        <w:t xml:space="preserve">. This may be explained by the fact that </w:t>
      </w:r>
      <w:r w:rsidR="00FC079E">
        <w:t>seven–</w:t>
      </w:r>
      <w:r w:rsidR="00095088">
        <w:t>star</w:t>
      </w:r>
      <w:r w:rsidR="00FC079E">
        <w:t xml:space="preserve"> </w:t>
      </w:r>
      <w:r w:rsidR="00095088">
        <w:t>rated properties signal to the market that their energy-efficiency specification exceeds the mandatory requirements for new construction (</w:t>
      </w:r>
      <w:r w:rsidR="00FC079E">
        <w:t>six</w:t>
      </w:r>
      <w:r w:rsidR="00095088">
        <w:t xml:space="preserve"> stars). </w:t>
      </w:r>
      <w:r w:rsidR="00AB7A32">
        <w:t>However, t</w:t>
      </w:r>
      <w:r>
        <w:t xml:space="preserve">he </w:t>
      </w:r>
      <w:r w:rsidR="00095088">
        <w:t xml:space="preserve">results of our study show that the </w:t>
      </w:r>
      <w:r>
        <w:t xml:space="preserve">progression of price discounts and premiums is non-linear. </w:t>
      </w:r>
      <w:r w:rsidR="00E97194">
        <w:t xml:space="preserve">This </w:t>
      </w:r>
      <w:r w:rsidR="00AA1AE6">
        <w:t xml:space="preserve">finding differs </w:t>
      </w:r>
      <w:r w:rsidR="009111C0">
        <w:t xml:space="preserve">from </w:t>
      </w:r>
      <w:r w:rsidR="00AB7A32">
        <w:t xml:space="preserve">that of </w:t>
      </w:r>
      <w:r w:rsidR="00095088">
        <w:t>a</w:t>
      </w:r>
      <w:r w:rsidR="009111C0">
        <w:t xml:space="preserve"> previous study (ABS, 2008)</w:t>
      </w:r>
      <w:r w:rsidR="004A7B88">
        <w:t>,</w:t>
      </w:r>
      <w:r w:rsidR="009111C0">
        <w:t xml:space="preserve"> which</w:t>
      </w:r>
      <w:r w:rsidR="00095088">
        <w:t xml:space="preserve"> </w:t>
      </w:r>
      <w:r w:rsidR="00AA1AE6">
        <w:t>report</w:t>
      </w:r>
      <w:r w:rsidR="009111C0">
        <w:t>ed</w:t>
      </w:r>
      <w:r w:rsidR="00AA1AE6">
        <w:t xml:space="preserve"> a linear relationship</w:t>
      </w:r>
      <w:r w:rsidR="008C055A">
        <w:t xml:space="preserve">. </w:t>
      </w:r>
      <w:r w:rsidR="00095088">
        <w:t>However, it supports</w:t>
      </w:r>
      <w:r w:rsidR="00D4676C">
        <w:t xml:space="preserve"> </w:t>
      </w:r>
      <w:r w:rsidR="00095088">
        <w:t>the findings of</w:t>
      </w:r>
      <w:r w:rsidR="00D4676C">
        <w:t xml:space="preserve"> Hyland (2013), whereby the second</w:t>
      </w:r>
      <w:r w:rsidR="00AB7A32">
        <w:t>-</w:t>
      </w:r>
      <w:r w:rsidR="00D4676C">
        <w:t xml:space="preserve">highest energy rating </w:t>
      </w:r>
      <w:r w:rsidR="00AB7A32">
        <w:t>attracted a higher</w:t>
      </w:r>
      <w:r w:rsidR="00D4676C">
        <w:t xml:space="preserve"> premium than the </w:t>
      </w:r>
      <w:r w:rsidR="00095088">
        <w:t>highest</w:t>
      </w:r>
      <w:r w:rsidR="00D4676C">
        <w:t xml:space="preserve"> rating. </w:t>
      </w:r>
      <w:r>
        <w:t xml:space="preserve">It remains unclear why </w:t>
      </w:r>
      <w:r w:rsidR="00095088">
        <w:t>prices</w:t>
      </w:r>
      <w:r>
        <w:t xml:space="preserve"> </w:t>
      </w:r>
      <w:r w:rsidR="00095088">
        <w:t xml:space="preserve">were not highest </w:t>
      </w:r>
      <w:r>
        <w:t xml:space="preserve">in the </w:t>
      </w:r>
      <w:r w:rsidR="00095088">
        <w:t xml:space="preserve">top EER </w:t>
      </w:r>
      <w:r>
        <w:t>category (</w:t>
      </w:r>
      <w:r w:rsidR="00FC079E">
        <w:t>eight to ten</w:t>
      </w:r>
      <w:r w:rsidR="00095088">
        <w:t>-</w:t>
      </w:r>
      <w:r>
        <w:t>star</w:t>
      </w:r>
      <w:r w:rsidR="00095088">
        <w:t xml:space="preserve"> rating</w:t>
      </w:r>
      <w:r>
        <w:t>s)</w:t>
      </w:r>
      <w:r w:rsidR="00095088">
        <w:t>,</w:t>
      </w:r>
      <w:r w:rsidR="00AA1AE6">
        <w:t xml:space="preserve"> which is at odds with the findings of most residential market studies</w:t>
      </w:r>
      <w:r w:rsidR="00095088">
        <w:t>,</w:t>
      </w:r>
      <w:r w:rsidR="00AA1AE6">
        <w:t xml:space="preserve"> including Fuerst et al</w:t>
      </w:r>
      <w:r w:rsidR="007F1022">
        <w:t>.</w:t>
      </w:r>
      <w:r w:rsidR="00AA1AE6">
        <w:t xml:space="preserve"> (2015</w:t>
      </w:r>
      <w:r w:rsidR="0011646C">
        <w:t xml:space="preserve"> &amp; 2016</w:t>
      </w:r>
      <w:r w:rsidR="00AA1AE6">
        <w:t>) and Cajias et al</w:t>
      </w:r>
      <w:r w:rsidR="007F1022">
        <w:t>.</w:t>
      </w:r>
      <w:r w:rsidR="00AA1AE6">
        <w:t xml:space="preserve"> (2017)</w:t>
      </w:r>
      <w:r w:rsidR="0011646C">
        <w:t xml:space="preserve">. </w:t>
      </w:r>
    </w:p>
    <w:p w14:paraId="2CF4DC47" w14:textId="77777777" w:rsidR="0011646C" w:rsidRDefault="0011646C" w:rsidP="00A51F1E"/>
    <w:p w14:paraId="04CCAA57" w14:textId="5A9955E1" w:rsidR="0011646C" w:rsidRDefault="004076D2" w:rsidP="00A51F1E">
      <w:r>
        <w:t xml:space="preserve">A possible explanation of </w:t>
      </w:r>
      <w:r w:rsidR="00AE21FC">
        <w:t xml:space="preserve">higher </w:t>
      </w:r>
      <w:r>
        <w:t>prices</w:t>
      </w:r>
      <w:r w:rsidR="00AE21FC">
        <w:t xml:space="preserve"> not </w:t>
      </w:r>
      <w:r w:rsidR="00D840BA">
        <w:t xml:space="preserve">being </w:t>
      </w:r>
      <w:r w:rsidR="00AE21FC">
        <w:t>identified</w:t>
      </w:r>
      <w:r>
        <w:t xml:space="preserve"> in the highest categories may be reflective of</w:t>
      </w:r>
      <w:r w:rsidR="00A51F1E">
        <w:t xml:space="preserve"> satisficing, (</w:t>
      </w:r>
      <w:r>
        <w:t xml:space="preserve">Simon, </w:t>
      </w:r>
      <w:r w:rsidR="00775885">
        <w:t>1972</w:t>
      </w:r>
      <w:r w:rsidR="00A51F1E">
        <w:t xml:space="preserve">).  </w:t>
      </w:r>
      <w:r w:rsidR="004D73AF">
        <w:t>A</w:t>
      </w:r>
      <w:r w:rsidR="00A51F1E">
        <w:t xml:space="preserve">chieving six stars is </w:t>
      </w:r>
      <w:r w:rsidR="0011646C">
        <w:t>consi</w:t>
      </w:r>
      <w:r w:rsidR="00D60E7F">
        <w:t>dered</w:t>
      </w:r>
      <w:r w:rsidR="00A51F1E">
        <w:t xml:space="preserve"> </w:t>
      </w:r>
      <w:r w:rsidR="00D60E7F">
        <w:t>standard</w:t>
      </w:r>
      <w:r w:rsidR="0011646C">
        <w:t xml:space="preserve"> while</w:t>
      </w:r>
      <w:r w:rsidR="00A51F1E">
        <w:t xml:space="preserve"> pursuing </w:t>
      </w:r>
      <w:r w:rsidR="0011646C">
        <w:t>and attaining the seven stars may be</w:t>
      </w:r>
      <w:r w:rsidR="00A51F1E">
        <w:t xml:space="preserve"> </w:t>
      </w:r>
      <w:r w:rsidR="00D60E7F">
        <w:t>considered</w:t>
      </w:r>
      <w:r w:rsidR="0011646C">
        <w:t xml:space="preserve"> ‘moderately green’</w:t>
      </w:r>
      <w:r w:rsidR="00775885">
        <w:t xml:space="preserve"> as the difficulties of pursuing higher ratings or alternatives is bounded by uncertainty, lack of information and details of </w:t>
      </w:r>
      <w:r w:rsidR="00D60E7F">
        <w:t xml:space="preserve">proven </w:t>
      </w:r>
      <w:r w:rsidR="00775885">
        <w:t>benefits</w:t>
      </w:r>
      <w:r w:rsidR="00D60E7F">
        <w:t xml:space="preserve"> and outcomes</w:t>
      </w:r>
      <w:r w:rsidR="0011646C">
        <w:t>.</w:t>
      </w:r>
      <w:r w:rsidR="0071217A">
        <w:t xml:space="preserve"> </w:t>
      </w:r>
      <w:r w:rsidR="00A51F1E">
        <w:t>As a result</w:t>
      </w:r>
      <w:r w:rsidR="00775885">
        <w:t>, bounded rationality</w:t>
      </w:r>
      <w:r w:rsidR="00D60E7F">
        <w:t xml:space="preserve"> may</w:t>
      </w:r>
      <w:r w:rsidR="0011646C">
        <w:t xml:space="preserve"> </w:t>
      </w:r>
      <w:r w:rsidR="00775885">
        <w:t xml:space="preserve">explain </w:t>
      </w:r>
      <w:r w:rsidR="00D60E7F">
        <w:t>why the highest categories of energy efficiency do no</w:t>
      </w:r>
      <w:r w:rsidR="0011646C">
        <w:t>t achieve the highest premiums. In a similar vein, DeCanio (1993) argues that firms may not pursue optimal energy efficiency levels when management attention and resources are scarce and need to be focussed on areas that are of strategic importance to the survival of the firm.</w:t>
      </w:r>
      <w:r w:rsidR="0072533C">
        <w:t xml:space="preserve"> It appears plausible that home buyers may predominantly focus on key factors such as location and size of the property which might lead to lower demand for </w:t>
      </w:r>
      <w:r w:rsidR="009A0743">
        <w:t xml:space="preserve">above average </w:t>
      </w:r>
      <w:r w:rsidR="0072533C">
        <w:t xml:space="preserve">energy efficiency levels, particularly in markets where green properties are few and far between and hence potentially unable to </w:t>
      </w:r>
      <w:r w:rsidR="009A0743">
        <w:t xml:space="preserve">fulfil all the higher-ranked criteria in addition to energy efficiency criteria. It is also worth noting that only about 0.30% of properties in our sample achieve a standard above 7 stars. </w:t>
      </w:r>
    </w:p>
    <w:p w14:paraId="721D70F7" w14:textId="77777777" w:rsidR="00E97194" w:rsidRDefault="00E97194" w:rsidP="00D26F46"/>
    <w:p w14:paraId="6905875A" w14:textId="4C53B5F2" w:rsidR="00CA5362" w:rsidRDefault="001C33BC" w:rsidP="00D26F46">
      <w:r>
        <w:t xml:space="preserve">Regarding the </w:t>
      </w:r>
      <w:r w:rsidR="008A2B38">
        <w:t>time</w:t>
      </w:r>
      <w:r w:rsidR="00095088">
        <w:t>-</w:t>
      </w:r>
      <w:r w:rsidR="008A2B38">
        <w:t>on</w:t>
      </w:r>
      <w:r w:rsidR="00095088">
        <w:t>-</w:t>
      </w:r>
      <w:r w:rsidR="008A2B38">
        <w:t xml:space="preserve">market analysis, the results seem to suggest that properties with mid-range EERs sell more quickly than others. A possible explanation </w:t>
      </w:r>
      <w:r w:rsidR="00095088">
        <w:t xml:space="preserve">for this </w:t>
      </w:r>
      <w:r w:rsidR="008A2B38">
        <w:t xml:space="preserve">is that these properties are </w:t>
      </w:r>
      <w:r w:rsidR="00095088">
        <w:t>characterised</w:t>
      </w:r>
      <w:r w:rsidR="008A2B38">
        <w:t xml:space="preserve"> by greater fungibility. By contrast, properties </w:t>
      </w:r>
      <w:r w:rsidR="005E367A">
        <w:t>at</w:t>
      </w:r>
      <w:r w:rsidR="008A2B38">
        <w:t xml:space="preserve"> either the high or the low end</w:t>
      </w:r>
      <w:r w:rsidR="00155152">
        <w:t xml:space="preserve"> of</w:t>
      </w:r>
      <w:r w:rsidR="008A2B38">
        <w:t xml:space="preserve"> the EER</w:t>
      </w:r>
      <w:r w:rsidR="00155152">
        <w:t xml:space="preserve"> scale</w:t>
      </w:r>
      <w:r w:rsidR="008A2B38">
        <w:t xml:space="preserve"> may be regarded as atypical</w:t>
      </w:r>
      <w:r w:rsidR="005E367A">
        <w:t>,</w:t>
      </w:r>
      <w:r w:rsidR="008A2B38">
        <w:t xml:space="preserve"> at least in some respects</w:t>
      </w:r>
      <w:r w:rsidR="005E367A">
        <w:t>,</w:t>
      </w:r>
      <w:r w:rsidR="008A2B38">
        <w:t xml:space="preserve"> which may imply </w:t>
      </w:r>
      <w:r w:rsidR="005E367A">
        <w:t xml:space="preserve">a </w:t>
      </w:r>
      <w:r w:rsidR="008A2B38">
        <w:t>lower probability of matching buyers</w:t>
      </w:r>
      <w:r w:rsidR="00A10CAE">
        <w:t xml:space="preserve"> and sellers within a given time period</w:t>
      </w:r>
      <w:r w:rsidR="005E367A">
        <w:t>,</w:t>
      </w:r>
      <w:r w:rsidR="00A10CAE">
        <w:t xml:space="preserve"> and hence longer marketing periods</w:t>
      </w:r>
      <w:r w:rsidR="00155152">
        <w:t xml:space="preserve">. </w:t>
      </w:r>
      <w:r w:rsidR="00E97194">
        <w:t xml:space="preserve">This concurs with </w:t>
      </w:r>
      <w:r w:rsidR="005E367A">
        <w:t xml:space="preserve">the findings of </w:t>
      </w:r>
      <w:r w:rsidR="00E97194">
        <w:t>Cajias et al. (2017)</w:t>
      </w:r>
      <w:r w:rsidR="005E367A">
        <w:t>,</w:t>
      </w:r>
      <w:r w:rsidR="00E97194">
        <w:t xml:space="preserve"> who found that propert</w:t>
      </w:r>
      <w:r w:rsidR="00A30862">
        <w:t>i</w:t>
      </w:r>
      <w:r w:rsidR="00E97194">
        <w:t>es that were considered more energy efficient rented</w:t>
      </w:r>
      <w:r w:rsidR="00EB1149">
        <w:t xml:space="preserve"> more quickly. However, the divergent finding in the present </w:t>
      </w:r>
      <w:r w:rsidR="00E97194">
        <w:t xml:space="preserve">study is </w:t>
      </w:r>
      <w:r w:rsidR="005E367A">
        <w:t xml:space="preserve">that properties in </w:t>
      </w:r>
      <w:r w:rsidR="00E97194">
        <w:t>the mid</w:t>
      </w:r>
      <w:r w:rsidR="005E367A">
        <w:t>-</w:t>
      </w:r>
      <w:r w:rsidR="00E97194">
        <w:t>range</w:t>
      </w:r>
      <w:r w:rsidR="005E367A">
        <w:t xml:space="preserve"> in terms of energy efficiency</w:t>
      </w:r>
      <w:r w:rsidR="00E97194">
        <w:t xml:space="preserve"> rent</w:t>
      </w:r>
      <w:r w:rsidR="005E367A">
        <w:t>ed</w:t>
      </w:r>
      <w:r w:rsidR="00E97194">
        <w:t xml:space="preserve"> more quickly, whil</w:t>
      </w:r>
      <w:r w:rsidR="00FC079E">
        <w:t>e</w:t>
      </w:r>
      <w:r w:rsidR="00E97194">
        <w:t xml:space="preserve"> those at the upper or lower ends </w:t>
      </w:r>
      <w:r w:rsidR="005E367A">
        <w:t>of the scale required</w:t>
      </w:r>
      <w:r w:rsidR="00E97194">
        <w:t xml:space="preserve"> longer marketing periods. </w:t>
      </w:r>
    </w:p>
    <w:p w14:paraId="14266B47" w14:textId="77777777" w:rsidR="00CA5362" w:rsidRDefault="00CA5362" w:rsidP="00D26F46"/>
    <w:p w14:paraId="2EDC6899" w14:textId="40AF5D6F" w:rsidR="002C41FF" w:rsidRDefault="008A2B38" w:rsidP="00D26F46">
      <w:r>
        <w:t>A further pertinent finding</w:t>
      </w:r>
      <w:r w:rsidR="00072E5D">
        <w:t xml:space="preserve"> </w:t>
      </w:r>
      <w:r w:rsidR="005E367A">
        <w:t>relates to</w:t>
      </w:r>
      <w:r w:rsidR="00072E5D">
        <w:t xml:space="preserve"> the discounts applied to</w:t>
      </w:r>
      <w:r w:rsidR="00DC6679">
        <w:t xml:space="preserve"> </w:t>
      </w:r>
      <w:r w:rsidR="008307F1">
        <w:t>a number of heating and cooling systems. For example, properties with</w:t>
      </w:r>
      <w:r w:rsidR="00D10A0B">
        <w:t xml:space="preserve"> certain types of</w:t>
      </w:r>
      <w:r w:rsidR="008307F1">
        <w:t xml:space="preserve"> </w:t>
      </w:r>
      <w:r w:rsidR="00DC6679">
        <w:t>g</w:t>
      </w:r>
      <w:r w:rsidR="008307F1">
        <w:t xml:space="preserve">as or electric heating </w:t>
      </w:r>
      <w:r w:rsidR="005E367A">
        <w:t xml:space="preserve">systems </w:t>
      </w:r>
      <w:r w:rsidR="008307F1">
        <w:t xml:space="preserve">were found to be </w:t>
      </w:r>
      <w:r w:rsidR="005E367A">
        <w:t xml:space="preserve">significantly </w:t>
      </w:r>
      <w:r w:rsidR="008307F1">
        <w:t xml:space="preserve">discounted in </w:t>
      </w:r>
      <w:r w:rsidR="005E367A">
        <w:t xml:space="preserve">terms of </w:t>
      </w:r>
      <w:r w:rsidR="008307F1">
        <w:t>both sales and rental</w:t>
      </w:r>
      <w:r w:rsidR="005E367A">
        <w:t xml:space="preserve"> price</w:t>
      </w:r>
      <w:r w:rsidR="008307F1">
        <w:t>s</w:t>
      </w:r>
      <w:r w:rsidR="005E367A">
        <w:t>. This was</w:t>
      </w:r>
      <w:r w:rsidR="008307F1">
        <w:t xml:space="preserve"> possibly </w:t>
      </w:r>
      <w:r w:rsidR="005E367A">
        <w:t>because of</w:t>
      </w:r>
      <w:r w:rsidR="008307F1">
        <w:t xml:space="preserve"> </w:t>
      </w:r>
      <w:r w:rsidR="005E367A">
        <w:t xml:space="preserve">the </w:t>
      </w:r>
      <w:r w:rsidR="008307F1">
        <w:t xml:space="preserve">higher anticipated monthly outgoings compared </w:t>
      </w:r>
      <w:r w:rsidR="005E367A">
        <w:t>with</w:t>
      </w:r>
      <w:r w:rsidR="008307F1">
        <w:t xml:space="preserve"> </w:t>
      </w:r>
      <w:r w:rsidR="005E367A">
        <w:t xml:space="preserve">properties with </w:t>
      </w:r>
      <w:r w:rsidR="008307F1">
        <w:t>more efficient heating systems and</w:t>
      </w:r>
      <w:r w:rsidR="00072E5D">
        <w:t>/or</w:t>
      </w:r>
      <w:r w:rsidR="008307F1">
        <w:t xml:space="preserve"> the relatively high environmental cost</w:t>
      </w:r>
      <w:r w:rsidR="005E367A">
        <w:t>s</w:t>
      </w:r>
      <w:r w:rsidR="008307F1">
        <w:t xml:space="preserve"> associated with the</w:t>
      </w:r>
      <w:r w:rsidR="005E367A">
        <w:t>se systems</w:t>
      </w:r>
      <w:r w:rsidR="008307F1">
        <w:t xml:space="preserve">. </w:t>
      </w:r>
      <w:r w:rsidR="00072E5D">
        <w:t xml:space="preserve">In </w:t>
      </w:r>
      <w:r w:rsidR="005E367A">
        <w:t xml:space="preserve">relation to </w:t>
      </w:r>
      <w:r w:rsidR="00072E5D">
        <w:t>the time</w:t>
      </w:r>
      <w:r w:rsidR="005E367A">
        <w:t>-</w:t>
      </w:r>
      <w:r w:rsidR="00072E5D">
        <w:t>on</w:t>
      </w:r>
      <w:r w:rsidR="005E367A">
        <w:t>-</w:t>
      </w:r>
      <w:r w:rsidR="00072E5D">
        <w:t xml:space="preserve">market analysis, </w:t>
      </w:r>
      <w:r w:rsidR="002C41FF">
        <w:t xml:space="preserve">a solar PV system </w:t>
      </w:r>
      <w:r w:rsidR="005E367A">
        <w:t>was</w:t>
      </w:r>
      <w:r w:rsidR="002C41FF">
        <w:t xml:space="preserve"> found to be associated with reduced marketing periods</w:t>
      </w:r>
      <w:r w:rsidR="00072E5D">
        <w:t xml:space="preserve"> </w:t>
      </w:r>
      <w:r w:rsidR="005E367A">
        <w:t>for</w:t>
      </w:r>
      <w:r w:rsidR="00072E5D">
        <w:t xml:space="preserve"> property</w:t>
      </w:r>
      <w:r w:rsidR="005E367A">
        <w:t xml:space="preserve"> sales,</w:t>
      </w:r>
      <w:r w:rsidR="002C41FF">
        <w:t xml:space="preserve"> as </w:t>
      </w:r>
      <w:r w:rsidR="005E367A">
        <w:t>were</w:t>
      </w:r>
      <w:r w:rsidR="002C41FF">
        <w:t xml:space="preserve"> evaporative and split</w:t>
      </w:r>
      <w:r w:rsidR="005E367A">
        <w:t>-system</w:t>
      </w:r>
      <w:r w:rsidR="002C41FF">
        <w:t xml:space="preserve"> air</w:t>
      </w:r>
      <w:r w:rsidR="00FC079E">
        <w:t xml:space="preserve"> </w:t>
      </w:r>
      <w:r w:rsidR="00072E5D">
        <w:t>conditioning. This could be interpreted as further evidence that</w:t>
      </w:r>
      <w:r w:rsidR="002C41FF">
        <w:t xml:space="preserve"> </w:t>
      </w:r>
      <w:r w:rsidR="00072E5D">
        <w:t>energy efficiency and environmentally friendly technologies are recognised as desirable features in real estate transactions</w:t>
      </w:r>
      <w:r w:rsidR="005E367A">
        <w:t>,</w:t>
      </w:r>
      <w:r w:rsidR="00A30862">
        <w:t xml:space="preserve"> </w:t>
      </w:r>
      <w:r w:rsidR="00AA1AE6">
        <w:t>w</w:t>
      </w:r>
      <w:r w:rsidR="00E97194">
        <w:t>hich concurs</w:t>
      </w:r>
      <w:r w:rsidR="00A30862">
        <w:t xml:space="preserve"> with </w:t>
      </w:r>
      <w:r w:rsidR="005E367A">
        <w:t xml:space="preserve">the findings of </w:t>
      </w:r>
      <w:r w:rsidR="00A30862">
        <w:t>existing studies, for example</w:t>
      </w:r>
      <w:r w:rsidR="00E97194">
        <w:t xml:space="preserve"> F</w:t>
      </w:r>
      <w:r w:rsidR="00AA1AE6">
        <w:t>ei</w:t>
      </w:r>
      <w:r w:rsidR="00E97194">
        <w:t>ge et al.</w:t>
      </w:r>
      <w:r w:rsidR="00A30862">
        <w:t>’s</w:t>
      </w:r>
      <w:r w:rsidR="00E97194">
        <w:t xml:space="preserve"> (2013) </w:t>
      </w:r>
      <w:r w:rsidR="00A30862">
        <w:t xml:space="preserve">quantification of willingness to pay for </w:t>
      </w:r>
      <w:r w:rsidR="004A7B88">
        <w:t>various</w:t>
      </w:r>
      <w:r w:rsidR="00A30862">
        <w:t xml:space="preserve"> energy</w:t>
      </w:r>
      <w:r w:rsidR="004A7B88">
        <w:t>-</w:t>
      </w:r>
      <w:r w:rsidR="00A30862">
        <w:t>efficiency features</w:t>
      </w:r>
      <w:r w:rsidR="00DA29AF">
        <w:t>.</w:t>
      </w:r>
    </w:p>
    <w:p w14:paraId="44DB3089" w14:textId="77777777" w:rsidR="004A1FB6" w:rsidRDefault="004A1FB6" w:rsidP="00D26F46"/>
    <w:p w14:paraId="6C3C7E89" w14:textId="77777777" w:rsidR="00DC6679" w:rsidRDefault="00DC6679" w:rsidP="00D26F46"/>
    <w:p w14:paraId="0043BF5B" w14:textId="1613FF85" w:rsidR="00A10CAE" w:rsidRDefault="00072E5D" w:rsidP="00A10CAE">
      <w:r>
        <w:t>Regarding the analysis of EER non-disclosure</w:t>
      </w:r>
      <w:r w:rsidR="00446FBE">
        <w:t>, the first</w:t>
      </w:r>
      <w:r w:rsidR="005E367A">
        <w:t>-</w:t>
      </w:r>
      <w:r w:rsidR="00446FBE">
        <w:t xml:space="preserve">stage Heckman estimation </w:t>
      </w:r>
      <w:r w:rsidR="005E367A">
        <w:t>supports</w:t>
      </w:r>
      <w:r w:rsidR="00446FBE">
        <w:t xml:space="preserve"> the hypothesis that the presence of sustainability features such as energy-efficient heating systems, windows and insulation</w:t>
      </w:r>
      <w:r w:rsidR="005E367A">
        <w:t>,</w:t>
      </w:r>
      <w:r w:rsidR="00446FBE">
        <w:t xml:space="preserve"> along with solar panels</w:t>
      </w:r>
      <w:r w:rsidR="005E367A">
        <w:t>,</w:t>
      </w:r>
      <w:r w:rsidR="00446FBE">
        <w:t xml:space="preserve"> make</w:t>
      </w:r>
      <w:r w:rsidR="005E367A">
        <w:t>s</w:t>
      </w:r>
      <w:r w:rsidR="00446FBE">
        <w:t xml:space="preserve"> disclosure of the EER more likely.</w:t>
      </w:r>
      <w:r>
        <w:t xml:space="preserve"> While the actual energy</w:t>
      </w:r>
      <w:r w:rsidR="004A7B88">
        <w:t>-</w:t>
      </w:r>
      <w:r>
        <w:t xml:space="preserve">efficiency </w:t>
      </w:r>
      <w:r w:rsidR="004A7B88">
        <w:t xml:space="preserve">level </w:t>
      </w:r>
      <w:r>
        <w:t xml:space="preserve">of properties </w:t>
      </w:r>
      <w:r w:rsidR="004A7B88">
        <w:t xml:space="preserve">for which the EER is not disclosed </w:t>
      </w:r>
      <w:r>
        <w:t xml:space="preserve">remains unknown, </w:t>
      </w:r>
      <w:r w:rsidR="00AC411E">
        <w:t xml:space="preserve">the results indicate that </w:t>
      </w:r>
      <w:r>
        <w:t xml:space="preserve">a non-trivial </w:t>
      </w:r>
      <w:r w:rsidR="00082F8D">
        <w:t>proportion</w:t>
      </w:r>
      <w:r>
        <w:t xml:space="preserve"> of landlords respond to the predicted </w:t>
      </w:r>
      <w:r w:rsidR="00AC411E">
        <w:t xml:space="preserve">moral hazard situation </w:t>
      </w:r>
      <w:r w:rsidR="00082F8D">
        <w:t xml:space="preserve">by </w:t>
      </w:r>
      <w:r w:rsidR="00AC411E">
        <w:t>choos</w:t>
      </w:r>
      <w:r w:rsidR="00082F8D">
        <w:t>ing</w:t>
      </w:r>
      <w:r>
        <w:t xml:space="preserve"> not to disclose unfavourable rating information. </w:t>
      </w:r>
      <w:r w:rsidR="00A10CAE">
        <w:t xml:space="preserve">This not only puts landlords who </w:t>
      </w:r>
      <w:r w:rsidR="00D234D6">
        <w:t xml:space="preserve">voluntarily </w:t>
      </w:r>
      <w:r w:rsidR="00A10CAE">
        <w:t>disclose a low rating at a disadvantage</w:t>
      </w:r>
      <w:r w:rsidR="00082F8D">
        <w:t>,</w:t>
      </w:r>
      <w:r w:rsidR="00A10CAE">
        <w:t xml:space="preserve"> but may also lead to other </w:t>
      </w:r>
      <w:r w:rsidR="00D234D6">
        <w:t xml:space="preserve">adverse </w:t>
      </w:r>
      <w:r w:rsidR="00A10CAE">
        <w:t>consequences of the well</w:t>
      </w:r>
      <w:r w:rsidR="00082F8D">
        <w:t>-known</w:t>
      </w:r>
      <w:r w:rsidR="00A10CAE">
        <w:t xml:space="preserve"> ‘lemons’ problem, </w:t>
      </w:r>
      <w:r w:rsidR="00082F8D">
        <w:t xml:space="preserve">in </w:t>
      </w:r>
      <w:r w:rsidR="00A10CAE">
        <w:t xml:space="preserve">particular pricing below market value of non-disclosure properties with higher </w:t>
      </w:r>
      <w:r w:rsidR="00082F8D">
        <w:t>EER</w:t>
      </w:r>
      <w:r w:rsidR="00A10CAE">
        <w:t>s</w:t>
      </w:r>
      <w:r w:rsidR="00082F8D">
        <w:t>,</w:t>
      </w:r>
      <w:r w:rsidR="00A10CAE">
        <w:t xml:space="preserve"> as well as an adverse selection problem</w:t>
      </w:r>
      <w:r w:rsidR="00082F8D">
        <w:t>,</w:t>
      </w:r>
      <w:r w:rsidR="00A10CAE">
        <w:t xml:space="preserve"> which </w:t>
      </w:r>
      <w:r w:rsidR="00082F8D">
        <w:t>suggests</w:t>
      </w:r>
      <w:r w:rsidR="00A10CAE">
        <w:t xml:space="preserve"> that property owners have an incentive to offer low-rated properties to the rental </w:t>
      </w:r>
      <w:r w:rsidR="00082F8D">
        <w:t xml:space="preserve">market segment </w:t>
      </w:r>
      <w:r w:rsidR="00A10CAE">
        <w:t xml:space="preserve">rather than </w:t>
      </w:r>
      <w:r w:rsidR="00082F8D">
        <w:t xml:space="preserve">the </w:t>
      </w:r>
      <w:r w:rsidR="00A10CAE">
        <w:t>owner-occupied market segment</w:t>
      </w:r>
      <w:r w:rsidR="00082F8D">
        <w:t>,</w:t>
      </w:r>
      <w:r w:rsidR="00A10CAE">
        <w:t xml:space="preserve"> where EER disclosure is mandatory. </w:t>
      </w:r>
      <w:r w:rsidR="00D4676C">
        <w:t>Further</w:t>
      </w:r>
      <w:r w:rsidR="00082F8D">
        <w:t>,</w:t>
      </w:r>
      <w:r w:rsidR="00D4676C">
        <w:t xml:space="preserve"> the findings of this study</w:t>
      </w:r>
      <w:r w:rsidR="00082F8D">
        <w:t xml:space="preserve"> indicat</w:t>
      </w:r>
      <w:r w:rsidR="0053237F">
        <w:t>e</w:t>
      </w:r>
      <w:r w:rsidR="00D4676C">
        <w:t xml:space="preserve"> that certain sustainability and energy</w:t>
      </w:r>
      <w:r w:rsidR="00082F8D">
        <w:t>-</w:t>
      </w:r>
      <w:r w:rsidR="00D4676C">
        <w:t>efficiency features, but no</w:t>
      </w:r>
      <w:r w:rsidR="00082F8D">
        <w:t>t</w:t>
      </w:r>
      <w:r w:rsidR="00D4676C">
        <w:t xml:space="preserve"> </w:t>
      </w:r>
      <w:r w:rsidR="00082F8D">
        <w:t>EERs</w:t>
      </w:r>
      <w:r w:rsidR="00D4676C">
        <w:t xml:space="preserve">, are </w:t>
      </w:r>
      <w:r w:rsidR="00082F8D">
        <w:t>attracting</w:t>
      </w:r>
      <w:r w:rsidR="00D4676C">
        <w:t xml:space="preserve"> premium</w:t>
      </w:r>
      <w:r w:rsidR="00082F8D">
        <w:t xml:space="preserve"> prices</w:t>
      </w:r>
      <w:r w:rsidR="00D4676C">
        <w:t xml:space="preserve"> suggest that a ‘lemons’ market may already be operating. </w:t>
      </w:r>
    </w:p>
    <w:p w14:paraId="6A88F397" w14:textId="77777777" w:rsidR="00C628F9" w:rsidRDefault="00C628F9" w:rsidP="00D26F46"/>
    <w:p w14:paraId="33CBE5A3" w14:textId="77777777" w:rsidR="00CA5362" w:rsidRDefault="00CA5362" w:rsidP="000A077F">
      <w:pPr>
        <w:pStyle w:val="Heading1"/>
      </w:pPr>
      <w:r>
        <w:t>Conclusion</w:t>
      </w:r>
    </w:p>
    <w:p w14:paraId="30356CAB" w14:textId="77777777" w:rsidR="00371927" w:rsidRDefault="00371927" w:rsidP="00D26F46"/>
    <w:p w14:paraId="0C96966B" w14:textId="22A04C0F" w:rsidR="00371927" w:rsidRDefault="00304932" w:rsidP="00D26F46">
      <w:r>
        <w:t>This paper set</w:t>
      </w:r>
      <w:r w:rsidR="00D10A0B">
        <w:t>s</w:t>
      </w:r>
      <w:r>
        <w:t xml:space="preserve"> out to test empirically </w:t>
      </w:r>
      <w:r w:rsidR="00082F8D">
        <w:t>whether</w:t>
      </w:r>
      <w:r>
        <w:t xml:space="preserve"> </w:t>
      </w:r>
      <w:r w:rsidR="00082F8D">
        <w:t>EER</w:t>
      </w:r>
      <w:r>
        <w:t xml:space="preserve">s </w:t>
      </w:r>
      <w:r w:rsidR="004A7B88">
        <w:t>affect</w:t>
      </w:r>
      <w:r>
        <w:t xml:space="preserve"> both property </w:t>
      </w:r>
      <w:r w:rsidR="00082F8D">
        <w:t>sales</w:t>
      </w:r>
      <w:r>
        <w:t xml:space="preserve"> prices and rents in the ACT, the only Australian housing market with mandatory </w:t>
      </w:r>
      <w:r w:rsidR="00082F8D">
        <w:t>EER</w:t>
      </w:r>
      <w:r>
        <w:t xml:space="preserve">s. Using a comprehensive dataset of sales and lease transactions </w:t>
      </w:r>
      <w:r w:rsidR="004A7B88">
        <w:t>for</w:t>
      </w:r>
      <w:r>
        <w:t xml:space="preserve"> the </w:t>
      </w:r>
      <w:r w:rsidR="004A7B88">
        <w:t xml:space="preserve">period </w:t>
      </w:r>
      <w:r>
        <w:t>2011</w:t>
      </w:r>
      <w:r w:rsidR="00082F8D">
        <w:t>–20</w:t>
      </w:r>
      <w:r>
        <w:t>16</w:t>
      </w:r>
      <w:r w:rsidR="00A32379">
        <w:t>, we appl</w:t>
      </w:r>
      <w:r w:rsidR="00082F8D">
        <w:t>ied</w:t>
      </w:r>
      <w:r>
        <w:t xml:space="preserve"> a hedonic framework</w:t>
      </w:r>
      <w:r w:rsidR="00A32379">
        <w:t xml:space="preserve"> to the vector of property and area characteristics </w:t>
      </w:r>
      <w:r w:rsidR="00082F8D">
        <w:t>to</w:t>
      </w:r>
      <w:r w:rsidR="00A32379">
        <w:t xml:space="preserve"> explain observed prices</w:t>
      </w:r>
      <w:r>
        <w:t xml:space="preserve">. </w:t>
      </w:r>
      <w:r w:rsidR="00A32379">
        <w:t>The overall conclusion from this empirical analysis is that the reported energy</w:t>
      </w:r>
      <w:r w:rsidR="00082F8D">
        <w:t>-</w:t>
      </w:r>
      <w:r w:rsidR="00A32379">
        <w:t>efficiency</w:t>
      </w:r>
      <w:r w:rsidR="00165717">
        <w:t xml:space="preserve"> level</w:t>
      </w:r>
      <w:r w:rsidR="00A32379">
        <w:t xml:space="preserve"> </w:t>
      </w:r>
      <w:r w:rsidR="001C33BC">
        <w:t xml:space="preserve">and other characteristics that are not part of the formal assessment such as heating and cooling systems or the presence of solar power generators are </w:t>
      </w:r>
      <w:r w:rsidR="00082F8D">
        <w:t xml:space="preserve">significantly </w:t>
      </w:r>
      <w:r w:rsidR="00A32379">
        <w:t>reflected in rents and sales prices</w:t>
      </w:r>
      <w:r w:rsidR="00082F8D">
        <w:t>,</w:t>
      </w:r>
      <w:r w:rsidR="00165717">
        <w:t xml:space="preserve"> as tenants and buyers are likely to </w:t>
      </w:r>
      <w:r w:rsidR="004A7B88">
        <w:t>estimate</w:t>
      </w:r>
      <w:r w:rsidR="00165717">
        <w:t xml:space="preserve"> their expected utility costs </w:t>
      </w:r>
      <w:r w:rsidR="00082F8D">
        <w:t>based on</w:t>
      </w:r>
      <w:r w:rsidR="00165717">
        <w:t xml:space="preserve"> the EER</w:t>
      </w:r>
      <w:r w:rsidR="00A32379">
        <w:t xml:space="preserve">. </w:t>
      </w:r>
      <w:r w:rsidR="00165717">
        <w:t>If the aim of introducing the EER system in the late 1990s was to provide a greater level of energy</w:t>
      </w:r>
      <w:r w:rsidR="00082F8D">
        <w:t>-</w:t>
      </w:r>
      <w:r w:rsidR="00165717">
        <w:t>efficiency disclosure</w:t>
      </w:r>
      <w:r w:rsidR="004A7B88">
        <w:t>,</w:t>
      </w:r>
      <w:r w:rsidR="00165717">
        <w:t xml:space="preserve"> </w:t>
      </w:r>
      <w:r w:rsidR="00082F8D">
        <w:t xml:space="preserve">and </w:t>
      </w:r>
      <w:r w:rsidR="004A7B88">
        <w:t>thus</w:t>
      </w:r>
      <w:r w:rsidR="00165717">
        <w:t xml:space="preserve"> correct price distortions </w:t>
      </w:r>
      <w:r w:rsidR="00082F8D">
        <w:t xml:space="preserve">resulting </w:t>
      </w:r>
      <w:r w:rsidR="00165717">
        <w:t xml:space="preserve">from information asymmetries, the </w:t>
      </w:r>
      <w:r w:rsidR="00082F8D">
        <w:t>findings</w:t>
      </w:r>
      <w:r w:rsidR="00165717">
        <w:t xml:space="preserve"> </w:t>
      </w:r>
      <w:r w:rsidR="00082F8D">
        <w:t xml:space="preserve">of </w:t>
      </w:r>
      <w:r w:rsidR="00165717">
        <w:t xml:space="preserve">this study suggest that this goal has been achieved. </w:t>
      </w:r>
    </w:p>
    <w:p w14:paraId="2237E39A" w14:textId="77777777" w:rsidR="00165717" w:rsidRDefault="00165717" w:rsidP="00D26F46"/>
    <w:p w14:paraId="12BB52D0" w14:textId="2162AF94" w:rsidR="00304932" w:rsidRDefault="00165717" w:rsidP="00D26F46">
      <w:r>
        <w:t xml:space="preserve">However, non-disclosure rates </w:t>
      </w:r>
      <w:r w:rsidR="00082F8D">
        <w:t>of more than</w:t>
      </w:r>
      <w:r>
        <w:t xml:space="preserve"> 50% in the rental market continue to </w:t>
      </w:r>
      <w:r w:rsidR="006C3279">
        <w:t xml:space="preserve">compromise </w:t>
      </w:r>
      <w:r>
        <w:t>the consistency of the EER scheme</w:t>
      </w:r>
      <w:r w:rsidR="00D4676C">
        <w:t xml:space="preserve"> and </w:t>
      </w:r>
      <w:r w:rsidR="00082F8D">
        <w:t xml:space="preserve">the perceived </w:t>
      </w:r>
      <w:r w:rsidR="00D4676C">
        <w:t>value of sustainability and energy efficiency in the market</w:t>
      </w:r>
      <w:r>
        <w:t xml:space="preserve">. Our analysis </w:t>
      </w:r>
      <w:r w:rsidR="00D85860">
        <w:t xml:space="preserve">shows that the option </w:t>
      </w:r>
      <w:r w:rsidR="009E4A04">
        <w:t>not to disclose</w:t>
      </w:r>
      <w:r w:rsidR="00D85860">
        <w:t xml:space="preserve"> the </w:t>
      </w:r>
      <w:r w:rsidR="009E4A04">
        <w:t>EER</w:t>
      </w:r>
      <w:r w:rsidR="00D85860">
        <w:t xml:space="preserve"> of a rental property presents a moral hazard for landlords of </w:t>
      </w:r>
      <w:r w:rsidR="009E4A04">
        <w:t>low-rated</w:t>
      </w:r>
      <w:r w:rsidR="00D85860">
        <w:t xml:space="preserve"> properties. </w:t>
      </w:r>
      <w:r w:rsidR="001C33BC">
        <w:t xml:space="preserve">Indeed, our findings </w:t>
      </w:r>
      <w:r w:rsidR="009E4A04">
        <w:t>indicate</w:t>
      </w:r>
      <w:r w:rsidR="001C33BC">
        <w:t xml:space="preserve"> that the likelihood of EER disclosure increases in line with the number of energy-efficient features a property </w:t>
      </w:r>
      <w:r w:rsidR="009E4A04">
        <w:t xml:space="preserve">has, </w:t>
      </w:r>
      <w:r w:rsidR="001C33BC">
        <w:t xml:space="preserve">as </w:t>
      </w:r>
      <w:r w:rsidR="009E4A04">
        <w:t>revealed</w:t>
      </w:r>
      <w:r w:rsidR="001C33BC">
        <w:t xml:space="preserve"> in the </w:t>
      </w:r>
      <w:r w:rsidR="00D26F46">
        <w:t>marketing material</w:t>
      </w:r>
      <w:r w:rsidR="001C33BC">
        <w:t xml:space="preserve">. </w:t>
      </w:r>
      <w:r w:rsidR="00D85860">
        <w:t xml:space="preserve">Although our analysis suggests that vital information about, for example, insulation and </w:t>
      </w:r>
      <w:r w:rsidR="009E4A04">
        <w:t xml:space="preserve">window </w:t>
      </w:r>
      <w:r w:rsidR="00D85860">
        <w:t>quality</w:t>
      </w:r>
      <w:r w:rsidR="009E4A04">
        <w:t xml:space="preserve"> that is provided through other channels in the absence of an EER </w:t>
      </w:r>
      <w:r w:rsidR="00D85860">
        <w:t>will be reflected in rents, it appears likely that market distortions will persist</w:t>
      </w:r>
      <w:r w:rsidR="009E4A04">
        <w:t>,</w:t>
      </w:r>
      <w:r w:rsidR="00D85860">
        <w:t xml:space="preserve"> as tenants </w:t>
      </w:r>
      <w:r w:rsidR="009E4A04">
        <w:t xml:space="preserve">are forced to </w:t>
      </w:r>
      <w:r w:rsidR="00D85860">
        <w:t>base their willingness</w:t>
      </w:r>
      <w:r w:rsidR="009E4A04">
        <w:t xml:space="preserve"> </w:t>
      </w:r>
      <w:r w:rsidR="00D85860">
        <w:t>to</w:t>
      </w:r>
      <w:r w:rsidR="009E4A04">
        <w:t xml:space="preserve"> </w:t>
      </w:r>
      <w:r w:rsidR="00D85860">
        <w:t>pay on incomplete information</w:t>
      </w:r>
      <w:r w:rsidR="00D4676C">
        <w:t xml:space="preserve">, </w:t>
      </w:r>
      <w:r w:rsidR="009E4A04">
        <w:t xml:space="preserve">likely </w:t>
      </w:r>
      <w:r w:rsidR="00D4676C">
        <w:t>leading to a ‘lemon</w:t>
      </w:r>
      <w:r w:rsidR="009E4A04">
        <w:t>s</w:t>
      </w:r>
      <w:r w:rsidR="00D4676C">
        <w:t xml:space="preserve">’ market, which could undermine the objectives of enhancing the energy efficiency and sustainability of the existing residential </w:t>
      </w:r>
      <w:r w:rsidR="009E4A04">
        <w:t>stock</w:t>
      </w:r>
      <w:r w:rsidR="00D85860">
        <w:t>. From a market and asset</w:t>
      </w:r>
      <w:r w:rsidR="009E4A04">
        <w:t>-</w:t>
      </w:r>
      <w:r w:rsidR="00D85860">
        <w:t xml:space="preserve">pricing perspective, it thus seems preferable to extend the </w:t>
      </w:r>
      <w:r w:rsidR="006C3279">
        <w:t xml:space="preserve">mandatory </w:t>
      </w:r>
      <w:r w:rsidR="0032403A">
        <w:t xml:space="preserve">requirement to obtain and </w:t>
      </w:r>
      <w:r w:rsidR="009E4A04">
        <w:t>disclose</w:t>
      </w:r>
      <w:r w:rsidR="0032403A">
        <w:t xml:space="preserve"> a valid </w:t>
      </w:r>
      <w:r w:rsidR="009E4A04">
        <w:t>EER</w:t>
      </w:r>
      <w:r w:rsidR="0032403A">
        <w:t xml:space="preserve"> to the rental market</w:t>
      </w:r>
      <w:r w:rsidR="006C3279">
        <w:t xml:space="preserve">. </w:t>
      </w:r>
    </w:p>
    <w:p w14:paraId="0815467D" w14:textId="77777777" w:rsidR="00371927" w:rsidRDefault="00371927" w:rsidP="00D26F46"/>
    <w:p w14:paraId="333DE50E" w14:textId="77777777" w:rsidR="00371927" w:rsidRDefault="00371927" w:rsidP="000A077F">
      <w:pPr>
        <w:pStyle w:val="Heading1"/>
      </w:pPr>
      <w:r>
        <w:t>Acknowledgements</w:t>
      </w:r>
    </w:p>
    <w:p w14:paraId="2AB44AEC" w14:textId="77777777" w:rsidR="000A077F" w:rsidRDefault="000A077F" w:rsidP="00D26F46">
      <w:pPr>
        <w:rPr>
          <w:i/>
        </w:rPr>
      </w:pPr>
    </w:p>
    <w:p w14:paraId="6DD2A82F" w14:textId="70BD7C39" w:rsidR="0097185C" w:rsidRDefault="00334673" w:rsidP="00D26F46">
      <w:r>
        <w:rPr>
          <w:i/>
        </w:rPr>
        <w:t>We are grateful to the Thrive Research Hub,</w:t>
      </w:r>
      <w:r w:rsidR="00371927" w:rsidRPr="00334673">
        <w:rPr>
          <w:i/>
        </w:rPr>
        <w:t xml:space="preserve"> the Faculty of Architecture, Building and Planning</w:t>
      </w:r>
      <w:r w:rsidR="003560C4">
        <w:rPr>
          <w:i/>
        </w:rPr>
        <w:t>,</w:t>
      </w:r>
      <w:r w:rsidR="00371927" w:rsidRPr="00334673">
        <w:rPr>
          <w:i/>
        </w:rPr>
        <w:t xml:space="preserve"> and the University of Melbourne for providing funding to purchase the data for th</w:t>
      </w:r>
      <w:r w:rsidR="008B7FBC">
        <w:rPr>
          <w:i/>
        </w:rPr>
        <w:t>is</w:t>
      </w:r>
      <w:r w:rsidR="00371927" w:rsidRPr="00334673">
        <w:rPr>
          <w:i/>
        </w:rPr>
        <w:t xml:space="preserve"> study</w:t>
      </w:r>
      <w:r w:rsidR="003560C4">
        <w:rPr>
          <w:i/>
        </w:rPr>
        <w:t xml:space="preserve">. </w:t>
      </w:r>
      <w:r w:rsidR="008D63EC">
        <w:rPr>
          <w:i/>
        </w:rPr>
        <w:t xml:space="preserve">The support of the Cambridge University Land Society is also gratefully acknowledged. </w:t>
      </w:r>
      <w:r w:rsidR="00A30862">
        <w:rPr>
          <w:i/>
        </w:rPr>
        <w:t xml:space="preserve">Andy Krause </w:t>
      </w:r>
      <w:r w:rsidR="008B7FBC">
        <w:rPr>
          <w:i/>
        </w:rPr>
        <w:t>provided valuable help</w:t>
      </w:r>
      <w:r w:rsidR="00A30862">
        <w:rPr>
          <w:i/>
        </w:rPr>
        <w:t xml:space="preserve"> with data processing</w:t>
      </w:r>
      <w:r w:rsidR="00D4676C">
        <w:rPr>
          <w:i/>
        </w:rPr>
        <w:t xml:space="preserve"> and the </w:t>
      </w:r>
      <w:r w:rsidR="00D4676C" w:rsidRPr="00D4676C">
        <w:rPr>
          <w:i/>
        </w:rPr>
        <w:t>Department of Environment, Planning and Sustainable Development</w:t>
      </w:r>
      <w:r w:rsidR="003560C4">
        <w:rPr>
          <w:i/>
        </w:rPr>
        <w:t>,</w:t>
      </w:r>
      <w:r w:rsidR="00D4676C">
        <w:rPr>
          <w:i/>
        </w:rPr>
        <w:t xml:space="preserve"> assisted with information relating to building </w:t>
      </w:r>
      <w:r w:rsidR="00D4676C">
        <w:rPr>
          <w:i/>
        </w:rPr>
        <w:lastRenderedPageBreak/>
        <w:t>age</w:t>
      </w:r>
      <w:r w:rsidR="008B7FBC">
        <w:rPr>
          <w:i/>
        </w:rPr>
        <w:t>.</w:t>
      </w:r>
      <w:r w:rsidR="00347B12">
        <w:rPr>
          <w:i/>
        </w:rPr>
        <w:t xml:space="preserve"> Vanessa Morris from the ACT Government </w:t>
      </w:r>
      <w:r w:rsidR="008B7FBC">
        <w:rPr>
          <w:i/>
        </w:rPr>
        <w:t>provided comments</w:t>
      </w:r>
      <w:r w:rsidR="00347B12">
        <w:rPr>
          <w:i/>
        </w:rPr>
        <w:t xml:space="preserve"> </w:t>
      </w:r>
      <w:r w:rsidR="008B7FBC">
        <w:rPr>
          <w:i/>
        </w:rPr>
        <w:t xml:space="preserve">which helped improve the quality of an </w:t>
      </w:r>
      <w:r w:rsidR="00347B12">
        <w:rPr>
          <w:i/>
        </w:rPr>
        <w:t>earlier draft of this paper</w:t>
      </w:r>
      <w:r w:rsidR="008B7FBC">
        <w:rPr>
          <w:i/>
        </w:rPr>
        <w:t xml:space="preserve">. </w:t>
      </w:r>
      <w:r w:rsidR="0097185C">
        <w:br w:type="page"/>
      </w:r>
    </w:p>
    <w:p w14:paraId="458B0A23" w14:textId="37312E98" w:rsidR="00CA5362" w:rsidRDefault="00A464F0" w:rsidP="000A077F">
      <w:pPr>
        <w:pStyle w:val="Heading1"/>
      </w:pPr>
      <w:r>
        <w:lastRenderedPageBreak/>
        <w:t>References</w:t>
      </w:r>
    </w:p>
    <w:p w14:paraId="2017414F" w14:textId="77777777" w:rsidR="00A464F0" w:rsidRDefault="00A464F0" w:rsidP="00D26F46"/>
    <w:p w14:paraId="11B1C695" w14:textId="77777777" w:rsidR="00CA33FA" w:rsidRPr="00147497" w:rsidRDefault="00CA33FA" w:rsidP="00EF79F7"/>
    <w:p w14:paraId="0998FC40" w14:textId="73BDD463" w:rsidR="00EF79F7" w:rsidRPr="00147497" w:rsidRDefault="00EF79F7" w:rsidP="00EF79F7">
      <w:r w:rsidRPr="00147497">
        <w:t>Akerlof, G. A. (1970). The market for</w:t>
      </w:r>
      <w:r w:rsidR="005740FF" w:rsidRPr="00147497">
        <w:t xml:space="preserve"> ‘</w:t>
      </w:r>
      <w:r w:rsidRPr="00147497">
        <w:t>lemons</w:t>
      </w:r>
      <w:r w:rsidR="005740FF" w:rsidRPr="00147497">
        <w:t>’</w:t>
      </w:r>
      <w:r w:rsidRPr="00147497">
        <w:t xml:space="preserve">: Quality uncertainty and the market mechanism. </w:t>
      </w:r>
      <w:r w:rsidRPr="00147497">
        <w:rPr>
          <w:i/>
          <w:iCs/>
        </w:rPr>
        <w:t xml:space="preserve">The </w:t>
      </w:r>
      <w:r w:rsidR="005740FF" w:rsidRPr="00147497">
        <w:rPr>
          <w:i/>
          <w:iCs/>
        </w:rPr>
        <w:t>Q</w:t>
      </w:r>
      <w:r w:rsidRPr="00147497">
        <w:rPr>
          <w:i/>
          <w:iCs/>
        </w:rPr>
        <w:t xml:space="preserve">uarterly </w:t>
      </w:r>
      <w:r w:rsidR="005740FF" w:rsidRPr="00147497">
        <w:rPr>
          <w:i/>
          <w:iCs/>
        </w:rPr>
        <w:t>J</w:t>
      </w:r>
      <w:r w:rsidRPr="00147497">
        <w:rPr>
          <w:i/>
          <w:iCs/>
        </w:rPr>
        <w:t xml:space="preserve">ournal of </w:t>
      </w:r>
      <w:r w:rsidR="005740FF" w:rsidRPr="00147497">
        <w:rPr>
          <w:i/>
          <w:iCs/>
        </w:rPr>
        <w:t>E</w:t>
      </w:r>
      <w:r w:rsidRPr="00147497">
        <w:rPr>
          <w:i/>
          <w:iCs/>
        </w:rPr>
        <w:t>conomics</w:t>
      </w:r>
      <w:r w:rsidRPr="009C5EFC">
        <w:rPr>
          <w:i/>
        </w:rPr>
        <w:t xml:space="preserve">, </w:t>
      </w:r>
      <w:r w:rsidR="005740FF" w:rsidRPr="009C5EFC">
        <w:rPr>
          <w:i/>
        </w:rPr>
        <w:t>84</w:t>
      </w:r>
      <w:r w:rsidR="005740FF" w:rsidRPr="00147497">
        <w:t xml:space="preserve">(3), </w:t>
      </w:r>
      <w:r w:rsidRPr="00147497">
        <w:t>488</w:t>
      </w:r>
      <w:r w:rsidR="005740FF" w:rsidRPr="00147497">
        <w:t>–</w:t>
      </w:r>
      <w:r w:rsidRPr="00147497">
        <w:t>500.</w:t>
      </w:r>
    </w:p>
    <w:p w14:paraId="4646176D" w14:textId="77777777" w:rsidR="00EF79F7" w:rsidRPr="00147497" w:rsidRDefault="00EF79F7" w:rsidP="00D26F46"/>
    <w:p w14:paraId="472A28BC" w14:textId="5065D66D" w:rsidR="00B46F7C" w:rsidRPr="00147497" w:rsidRDefault="00B46F7C" w:rsidP="00D26F46">
      <w:r w:rsidRPr="00147497">
        <w:t>Allhomes</w:t>
      </w:r>
      <w:r w:rsidR="005740FF" w:rsidRPr="00147497">
        <w:t>.</w:t>
      </w:r>
      <w:r w:rsidRPr="00147497">
        <w:t xml:space="preserve"> (2017)</w:t>
      </w:r>
      <w:r w:rsidR="005740FF" w:rsidRPr="00147497">
        <w:t>.</w:t>
      </w:r>
      <w:r w:rsidRPr="00147497">
        <w:t xml:space="preserve"> ACT </w:t>
      </w:r>
      <w:r w:rsidR="005740FF" w:rsidRPr="00147497">
        <w:t>r</w:t>
      </w:r>
      <w:r w:rsidRPr="00147497">
        <w:t xml:space="preserve">eal </w:t>
      </w:r>
      <w:r w:rsidR="005740FF" w:rsidRPr="00147497">
        <w:t>e</w:t>
      </w:r>
      <w:r w:rsidRPr="00147497">
        <w:t xml:space="preserve">state </w:t>
      </w:r>
      <w:r w:rsidR="005740FF" w:rsidRPr="00147497">
        <w:t>m</w:t>
      </w:r>
      <w:r w:rsidRPr="00147497">
        <w:t xml:space="preserve">arket </w:t>
      </w:r>
      <w:r w:rsidR="005740FF" w:rsidRPr="00147497">
        <w:t>t</w:t>
      </w:r>
      <w:r w:rsidRPr="00147497">
        <w:t xml:space="preserve">rends </w:t>
      </w:r>
      <w:r w:rsidR="005740FF" w:rsidRPr="00147497">
        <w:t>r</w:t>
      </w:r>
      <w:r w:rsidRPr="00147497">
        <w:t>eport</w:t>
      </w:r>
      <w:r w:rsidR="005740FF" w:rsidRPr="00147497">
        <w:t xml:space="preserve">. Retrieved </w:t>
      </w:r>
      <w:r w:rsidRPr="00147497">
        <w:t xml:space="preserve">from www.allhomes.com.au/ah/research/property-report </w:t>
      </w:r>
    </w:p>
    <w:p w14:paraId="3985BF64" w14:textId="77777777" w:rsidR="00B46F7C" w:rsidRPr="00147497" w:rsidRDefault="00B46F7C" w:rsidP="00D26F46"/>
    <w:p w14:paraId="057312E0" w14:textId="65EABF49" w:rsidR="005E45E3" w:rsidRPr="00147497" w:rsidRDefault="005E45E3" w:rsidP="005E45E3">
      <w:r w:rsidRPr="00147497">
        <w:t xml:space="preserve">Aroul, R. </w:t>
      </w:r>
      <w:r w:rsidR="005740FF" w:rsidRPr="00147497">
        <w:t xml:space="preserve">&amp; </w:t>
      </w:r>
      <w:r w:rsidRPr="00147497">
        <w:t xml:space="preserve">Hansz, J. </w:t>
      </w:r>
      <w:r w:rsidR="005740FF" w:rsidRPr="00147497">
        <w:t>(</w:t>
      </w:r>
      <w:r w:rsidRPr="00147497">
        <w:t>2012</w:t>
      </w:r>
      <w:r w:rsidR="005740FF" w:rsidRPr="00147497">
        <w:t>)</w:t>
      </w:r>
      <w:r w:rsidRPr="00147497">
        <w:t xml:space="preserve">. The </w:t>
      </w:r>
      <w:r w:rsidR="005740FF" w:rsidRPr="00147497">
        <w:t>v</w:t>
      </w:r>
      <w:r w:rsidRPr="00147497">
        <w:t xml:space="preserve">alue of </w:t>
      </w:r>
      <w:r w:rsidR="005740FF" w:rsidRPr="00147497">
        <w:t>‘g</w:t>
      </w:r>
      <w:r w:rsidRPr="00147497">
        <w:t>reen</w:t>
      </w:r>
      <w:r w:rsidR="005740FF" w:rsidRPr="00147497">
        <w:t>’</w:t>
      </w:r>
      <w:r w:rsidRPr="00147497">
        <w:t xml:space="preserve">: Evidence from the </w:t>
      </w:r>
      <w:r w:rsidR="005740FF" w:rsidRPr="00147497">
        <w:t>f</w:t>
      </w:r>
      <w:r w:rsidRPr="00147497">
        <w:t xml:space="preserve">irst </w:t>
      </w:r>
      <w:r w:rsidR="005740FF" w:rsidRPr="00147497">
        <w:t>m</w:t>
      </w:r>
      <w:r w:rsidRPr="00147497">
        <w:t xml:space="preserve">andatory </w:t>
      </w:r>
      <w:r w:rsidR="005740FF" w:rsidRPr="00147497">
        <w:t>r</w:t>
      </w:r>
      <w:r w:rsidRPr="00147497">
        <w:t xml:space="preserve">esidential </w:t>
      </w:r>
      <w:r w:rsidR="005740FF" w:rsidRPr="00147497">
        <w:t>g</w:t>
      </w:r>
      <w:r w:rsidRPr="00147497">
        <w:t xml:space="preserve">reen </w:t>
      </w:r>
      <w:r w:rsidR="005740FF" w:rsidRPr="00147497">
        <w:t>b</w:t>
      </w:r>
      <w:r w:rsidRPr="00147497">
        <w:t xml:space="preserve">uilding </w:t>
      </w:r>
      <w:r w:rsidR="005740FF" w:rsidRPr="00147497">
        <w:t>p</w:t>
      </w:r>
      <w:r w:rsidRPr="00147497">
        <w:t xml:space="preserve">rogram. </w:t>
      </w:r>
      <w:r w:rsidRPr="009C5EFC">
        <w:rPr>
          <w:i/>
        </w:rPr>
        <w:t>Journal of Real Estate Research, 34</w:t>
      </w:r>
      <w:r w:rsidR="005740FF" w:rsidRPr="00147497">
        <w:t>(</w:t>
      </w:r>
      <w:r w:rsidRPr="00147497">
        <w:t>1): 27</w:t>
      </w:r>
      <w:r w:rsidR="005740FF" w:rsidRPr="00147497">
        <w:t>–</w:t>
      </w:r>
      <w:r w:rsidRPr="00147497">
        <w:t>49.</w:t>
      </w:r>
    </w:p>
    <w:p w14:paraId="2AA7BFA4" w14:textId="77777777" w:rsidR="005E45E3" w:rsidRPr="00147497" w:rsidRDefault="005E45E3" w:rsidP="005E45E3"/>
    <w:p w14:paraId="34C569E9" w14:textId="57F21157" w:rsidR="00D03219" w:rsidRDefault="00D03219" w:rsidP="00147497">
      <w:r w:rsidRPr="00D03219">
        <w:t xml:space="preserve">Australian Bureau of Statistics, </w:t>
      </w:r>
      <w:r>
        <w:t>(</w:t>
      </w:r>
      <w:r w:rsidRPr="00D03219">
        <w:t>2008</w:t>
      </w:r>
      <w:r>
        <w:t xml:space="preserve">) Energy Efficiency Rating and House Price in the ACT: Modelling the relationship of energy efficiency attributes to house price: the case of detached houses sold in the Australian Capital Territory in 2005 and 2006, Report prepared for Department of the Environment, Water, Heritage and the Arts, Commonwealth of Australia, Canberra. </w:t>
      </w:r>
    </w:p>
    <w:p w14:paraId="147CDC39" w14:textId="77777777" w:rsidR="00D03219" w:rsidRDefault="00D03219" w:rsidP="00147497"/>
    <w:p w14:paraId="16C2722F" w14:textId="77777777" w:rsidR="00147497" w:rsidRPr="006C1168" w:rsidRDefault="00147497" w:rsidP="00147497">
      <w:r w:rsidRPr="006C1168">
        <w:t xml:space="preserve">Australian Bureau of Statistics. (2011). </w:t>
      </w:r>
      <w:r w:rsidRPr="006C1168">
        <w:rPr>
          <w:i/>
        </w:rPr>
        <w:t>Census quickStats</w:t>
      </w:r>
      <w:r w:rsidRPr="006C1168">
        <w:t xml:space="preserve">. Retrieved from </w:t>
      </w:r>
      <w:hyperlink r:id="rId8" w:history="1">
        <w:r w:rsidRPr="006C1168">
          <w:rPr>
            <w:rStyle w:val="Hyperlink"/>
          </w:rPr>
          <w:t>www.censusdata.abs.gov.au/census_services/getproduct/census/2011/quickstat/810059009?opendocument&amp;navpos=220</w:t>
        </w:r>
      </w:hyperlink>
    </w:p>
    <w:p w14:paraId="5D59D83C" w14:textId="77777777" w:rsidR="00147497" w:rsidRDefault="00147497" w:rsidP="00D26F46"/>
    <w:p w14:paraId="45E92A2A" w14:textId="2DC587B5" w:rsidR="00484A38" w:rsidRPr="00147497" w:rsidRDefault="005E45E3" w:rsidP="00D26F46">
      <w:r w:rsidRPr="00147497">
        <w:t xml:space="preserve">Bowman, R. &amp; Wills, J. (2008). </w:t>
      </w:r>
      <w:r w:rsidRPr="009C5EFC">
        <w:rPr>
          <w:i/>
        </w:rPr>
        <w:t xml:space="preserve">Valuing green: </w:t>
      </w:r>
      <w:r w:rsidR="005740FF" w:rsidRPr="009C5EFC">
        <w:rPr>
          <w:i/>
        </w:rPr>
        <w:t>H</w:t>
      </w:r>
      <w:r w:rsidRPr="009C5EFC">
        <w:rPr>
          <w:i/>
        </w:rPr>
        <w:t>ow green buildings affect property values and getting the valuation method right.</w:t>
      </w:r>
      <w:r w:rsidRPr="00147497">
        <w:t xml:space="preserve"> </w:t>
      </w:r>
      <w:r w:rsidR="005740FF" w:rsidRPr="00147497">
        <w:t xml:space="preserve">Sydney: </w:t>
      </w:r>
      <w:r w:rsidRPr="00147497">
        <w:rPr>
          <w:iCs/>
        </w:rPr>
        <w:t>Green Building Council of Australia</w:t>
      </w:r>
      <w:r w:rsidR="005740FF" w:rsidRPr="00147497">
        <w:t>.</w:t>
      </w:r>
      <w:r w:rsidRPr="00147497">
        <w:t xml:space="preserve"> </w:t>
      </w:r>
      <w:r w:rsidR="005740FF" w:rsidRPr="00147497">
        <w:t xml:space="preserve">Retrieved </w:t>
      </w:r>
      <w:r w:rsidRPr="00147497">
        <w:t xml:space="preserve">from </w:t>
      </w:r>
      <w:r w:rsidRPr="00147497">
        <w:rPr>
          <w:iCs/>
        </w:rPr>
        <w:t>www.gbca.org.au/docs/NSC0009_ValuingGreen.pdf</w:t>
      </w:r>
    </w:p>
    <w:p w14:paraId="7D432F59" w14:textId="77777777" w:rsidR="00A44DDF" w:rsidRPr="00147497" w:rsidRDefault="00A44DDF" w:rsidP="00D26F46"/>
    <w:p w14:paraId="5A0721A4" w14:textId="6F76DEF5" w:rsidR="005725B4" w:rsidRPr="00147497" w:rsidRDefault="005725B4" w:rsidP="00D26F46">
      <w:r w:rsidRPr="00147497">
        <w:t xml:space="preserve">Brounen, D. </w:t>
      </w:r>
      <w:r w:rsidR="005740FF" w:rsidRPr="00147497">
        <w:t xml:space="preserve">&amp; </w:t>
      </w:r>
      <w:r w:rsidRPr="00147497">
        <w:t xml:space="preserve">Kok, N. </w:t>
      </w:r>
      <w:r w:rsidR="005740FF" w:rsidRPr="00147497">
        <w:t>(</w:t>
      </w:r>
      <w:r w:rsidRPr="00147497">
        <w:t>2011</w:t>
      </w:r>
      <w:r w:rsidR="005740FF" w:rsidRPr="00147497">
        <w:t>)</w:t>
      </w:r>
      <w:r w:rsidRPr="00147497">
        <w:t xml:space="preserve">. On the economics of energy labels in the housing market. </w:t>
      </w:r>
      <w:r w:rsidRPr="009C5EFC">
        <w:rPr>
          <w:i/>
        </w:rPr>
        <w:t>Journal of Environmental Economics and Management, 62</w:t>
      </w:r>
      <w:r w:rsidR="005740FF" w:rsidRPr="00147497">
        <w:t xml:space="preserve">, </w:t>
      </w:r>
      <w:r w:rsidRPr="00147497">
        <w:t>166</w:t>
      </w:r>
      <w:r w:rsidR="005740FF" w:rsidRPr="00147497">
        <w:t>–</w:t>
      </w:r>
      <w:r w:rsidRPr="00147497">
        <w:t>179.</w:t>
      </w:r>
    </w:p>
    <w:p w14:paraId="5EA2761B" w14:textId="77777777" w:rsidR="005725B4" w:rsidRPr="00147497" w:rsidRDefault="005725B4" w:rsidP="00D26F46"/>
    <w:p w14:paraId="65F9AEE7" w14:textId="6EA9AA07" w:rsidR="00982FEE" w:rsidRPr="00147497" w:rsidRDefault="00982FEE" w:rsidP="00982FEE">
      <w:r w:rsidRPr="00147497">
        <w:t>Chan, E. H., Qian, Q. K. &amp; Lam, P. T. (2009). The market for green building in developed Asian cities—</w:t>
      </w:r>
      <w:r w:rsidR="005740FF" w:rsidRPr="00147497">
        <w:t>T</w:t>
      </w:r>
      <w:r w:rsidRPr="00147497">
        <w:t xml:space="preserve">he perspectives of building designers. </w:t>
      </w:r>
      <w:r w:rsidRPr="00147497">
        <w:rPr>
          <w:i/>
          <w:iCs/>
        </w:rPr>
        <w:t>Energy Policy</w:t>
      </w:r>
      <w:r w:rsidRPr="00147497">
        <w:t xml:space="preserve">, </w:t>
      </w:r>
      <w:r w:rsidRPr="00147497">
        <w:rPr>
          <w:i/>
          <w:iCs/>
        </w:rPr>
        <w:t>37</w:t>
      </w:r>
      <w:r w:rsidRPr="00147497">
        <w:t>(8), 3061</w:t>
      </w:r>
      <w:r w:rsidR="005740FF" w:rsidRPr="00147497">
        <w:t>–</w:t>
      </w:r>
      <w:r w:rsidRPr="00147497">
        <w:t>3070.</w:t>
      </w:r>
    </w:p>
    <w:p w14:paraId="553922C7" w14:textId="77777777" w:rsidR="00982FEE" w:rsidRPr="00147497" w:rsidRDefault="00982FEE" w:rsidP="009D660F"/>
    <w:p w14:paraId="195E9247" w14:textId="0C1FBA69" w:rsidR="009D660F" w:rsidRPr="00147497" w:rsidRDefault="009D660F" w:rsidP="009D660F">
      <w:r w:rsidRPr="00147497">
        <w:t xml:space="preserve">Chee, T. T. (2012). The </w:t>
      </w:r>
      <w:r w:rsidR="005740FF" w:rsidRPr="00147497">
        <w:t>f</w:t>
      </w:r>
      <w:r w:rsidRPr="00147497">
        <w:t xml:space="preserve">allacy behind the </w:t>
      </w:r>
      <w:r w:rsidR="005740FF" w:rsidRPr="00147497">
        <w:t>i</w:t>
      </w:r>
      <w:r w:rsidRPr="00147497">
        <w:t xml:space="preserve">nflated </w:t>
      </w:r>
      <w:r w:rsidR="005740FF" w:rsidRPr="00147497">
        <w:t>f</w:t>
      </w:r>
      <w:r w:rsidRPr="00147497">
        <w:t>lats</w:t>
      </w:r>
      <w:r w:rsidR="005740FF" w:rsidRPr="00147497">
        <w:t>—W</w:t>
      </w:r>
      <w:r w:rsidRPr="00147497">
        <w:t xml:space="preserve">ill </w:t>
      </w:r>
      <w:r w:rsidR="005740FF" w:rsidRPr="00147497">
        <w:t>s</w:t>
      </w:r>
      <w:r w:rsidRPr="00147497">
        <w:t xml:space="preserve">tandardizing </w:t>
      </w:r>
      <w:r w:rsidR="005740FF" w:rsidRPr="00147497">
        <w:t>t</w:t>
      </w:r>
      <w:r w:rsidRPr="00147497">
        <w:t xml:space="preserve">erms </w:t>
      </w:r>
      <w:r w:rsidR="005740FF" w:rsidRPr="00147497">
        <w:t>m</w:t>
      </w:r>
      <w:r w:rsidRPr="00147497">
        <w:t xml:space="preserve">ake </w:t>
      </w:r>
      <w:r w:rsidR="005740FF" w:rsidRPr="00147497">
        <w:t>r</w:t>
      </w:r>
      <w:r w:rsidRPr="00147497">
        <w:t>esidential-</w:t>
      </w:r>
      <w:r w:rsidR="005740FF" w:rsidRPr="00147497">
        <w:t>m</w:t>
      </w:r>
      <w:r w:rsidRPr="00147497">
        <w:t xml:space="preserve">arket </w:t>
      </w:r>
      <w:r w:rsidR="005740FF" w:rsidRPr="00147497">
        <w:t>p</w:t>
      </w:r>
      <w:r w:rsidRPr="00147497">
        <w:t xml:space="preserve">rices in China </w:t>
      </w:r>
      <w:r w:rsidR="005740FF" w:rsidRPr="00147497">
        <w:t>c</w:t>
      </w:r>
      <w:r w:rsidRPr="00147497">
        <w:t xml:space="preserve">ollapse. </w:t>
      </w:r>
      <w:r w:rsidRPr="009C5EFC">
        <w:rPr>
          <w:i/>
          <w:iCs/>
        </w:rPr>
        <w:t>International Law and Management Review, 8</w:t>
      </w:r>
      <w:r w:rsidRPr="00147497">
        <w:t>(2), 35</w:t>
      </w:r>
      <w:r w:rsidR="005740FF" w:rsidRPr="00147497">
        <w:t>–</w:t>
      </w:r>
      <w:r w:rsidRPr="00147497">
        <w:t>62.</w:t>
      </w:r>
    </w:p>
    <w:p w14:paraId="7C65D12B" w14:textId="77777777" w:rsidR="009D660F" w:rsidRPr="00147497" w:rsidRDefault="009D660F" w:rsidP="00D26F46"/>
    <w:p w14:paraId="1999C85F" w14:textId="0190539E" w:rsidR="005725B4" w:rsidRPr="00147497" w:rsidRDefault="005725B4" w:rsidP="00D26F46">
      <w:r w:rsidRPr="00147497">
        <w:t>Chegut, A., Eichholtz, P.</w:t>
      </w:r>
      <w:r w:rsidR="005740FF" w:rsidRPr="00147497">
        <w:t xml:space="preserve"> &amp;</w:t>
      </w:r>
      <w:r w:rsidRPr="00147497">
        <w:t xml:space="preserve"> Kok, N. (201</w:t>
      </w:r>
      <w:r w:rsidR="00FB5759" w:rsidRPr="00147497">
        <w:t>3</w:t>
      </w:r>
      <w:r w:rsidRPr="00147497">
        <w:t>)</w:t>
      </w:r>
      <w:r w:rsidR="005740FF" w:rsidRPr="00147497">
        <w:t>.</w:t>
      </w:r>
      <w:r w:rsidRPr="00147497">
        <w:t xml:space="preserve"> Supply, </w:t>
      </w:r>
      <w:r w:rsidR="005740FF" w:rsidRPr="00147497">
        <w:t>d</w:t>
      </w:r>
      <w:r w:rsidRPr="00147497">
        <w:t xml:space="preserve">emand, and the </w:t>
      </w:r>
      <w:r w:rsidR="005740FF" w:rsidRPr="00147497">
        <w:t>v</w:t>
      </w:r>
      <w:r w:rsidRPr="00147497">
        <w:t xml:space="preserve">alue of </w:t>
      </w:r>
      <w:r w:rsidR="005740FF" w:rsidRPr="00147497">
        <w:t>g</w:t>
      </w:r>
      <w:r w:rsidRPr="00147497">
        <w:t xml:space="preserve">reen </w:t>
      </w:r>
      <w:r w:rsidR="005740FF" w:rsidRPr="00147497">
        <w:t>b</w:t>
      </w:r>
      <w:r w:rsidRPr="00147497">
        <w:t>uildings</w:t>
      </w:r>
      <w:r w:rsidR="005740FF" w:rsidRPr="00147497">
        <w:t>.</w:t>
      </w:r>
      <w:r w:rsidRPr="00147497">
        <w:t xml:space="preserve"> </w:t>
      </w:r>
      <w:r w:rsidRPr="009C5EFC">
        <w:rPr>
          <w:i/>
        </w:rPr>
        <w:t>Urban Studies, 51</w:t>
      </w:r>
      <w:r w:rsidRPr="00147497">
        <w:t>(1), 22–43.</w:t>
      </w:r>
    </w:p>
    <w:p w14:paraId="55F5E572" w14:textId="77777777" w:rsidR="00147497" w:rsidRDefault="00147497" w:rsidP="00147497">
      <w:pPr>
        <w:rPr>
          <w:i/>
        </w:rPr>
      </w:pPr>
    </w:p>
    <w:p w14:paraId="29BBEEF1" w14:textId="29CA6E4A" w:rsidR="00147497" w:rsidRPr="006C1168" w:rsidRDefault="00147497" w:rsidP="00147497">
      <w:r w:rsidRPr="006C1168">
        <w:rPr>
          <w:i/>
        </w:rPr>
        <w:t>Civil Law Act</w:t>
      </w:r>
      <w:r w:rsidRPr="006C1168">
        <w:t xml:space="preserve"> (2003) (Sale of Residential Property) (ACT).</w:t>
      </w:r>
    </w:p>
    <w:p w14:paraId="3BA8A0D4" w14:textId="77777777" w:rsidR="005725B4" w:rsidRPr="00147497" w:rsidRDefault="005725B4" w:rsidP="00D26F46"/>
    <w:p w14:paraId="4F2EC752" w14:textId="345996F8" w:rsidR="005725B4" w:rsidRPr="00147497" w:rsidRDefault="005725B4" w:rsidP="00D26F46">
      <w:r w:rsidRPr="00147497">
        <w:t xml:space="preserve">Deng, Y., Li, Z. &amp; Quigley, J. M. (2012). Economic returns to energy-efficient investments in the housing market: </w:t>
      </w:r>
      <w:r w:rsidR="00727323" w:rsidRPr="00147497">
        <w:t>E</w:t>
      </w:r>
      <w:r w:rsidRPr="00147497">
        <w:t xml:space="preserve">vidence from Singapore. </w:t>
      </w:r>
      <w:r w:rsidRPr="009C5EFC">
        <w:rPr>
          <w:i/>
        </w:rPr>
        <w:t>Regional Science and Urban Economics, 42</w:t>
      </w:r>
      <w:r w:rsidRPr="00147497">
        <w:t>(3), 506</w:t>
      </w:r>
      <w:r w:rsidR="00727323" w:rsidRPr="00147497">
        <w:t>–</w:t>
      </w:r>
      <w:r w:rsidRPr="00147497">
        <w:t>515.</w:t>
      </w:r>
    </w:p>
    <w:p w14:paraId="50A17A9E" w14:textId="69297884" w:rsidR="005725B4" w:rsidRDefault="005725B4" w:rsidP="00D26F46"/>
    <w:p w14:paraId="40591394" w14:textId="5F85ABE2" w:rsidR="007B1B07" w:rsidRPr="007B1B07" w:rsidRDefault="007B1B07" w:rsidP="007B1B07">
      <w:pPr>
        <w:jc w:val="left"/>
        <w:rPr>
          <w:rFonts w:ascii="Times New Roman" w:eastAsia="Times New Roman" w:hAnsi="Times New Roman" w:cs="Times New Roman"/>
          <w:lang w:eastAsia="en-GB"/>
        </w:rPr>
      </w:pPr>
      <w:r w:rsidRPr="007B1B07">
        <w:rPr>
          <w:rFonts w:ascii="Times New Roman" w:eastAsia="Times New Roman" w:hAnsi="Times New Roman" w:cs="Times New Roman"/>
          <w:lang w:eastAsia="en-GB"/>
        </w:rPr>
        <w:t xml:space="preserve">Daughety, A. F., &amp; Reinganum, J. F. (2008). Communicating quality: a unified model of disclosure and signalling. </w:t>
      </w:r>
      <w:r>
        <w:rPr>
          <w:rFonts w:ascii="Times New Roman" w:eastAsia="Times New Roman" w:hAnsi="Times New Roman" w:cs="Times New Roman"/>
          <w:i/>
          <w:iCs/>
          <w:lang w:eastAsia="en-GB"/>
        </w:rPr>
        <w:t>The RAND Journal of E</w:t>
      </w:r>
      <w:r w:rsidRPr="007B1B07">
        <w:rPr>
          <w:rFonts w:ascii="Times New Roman" w:eastAsia="Times New Roman" w:hAnsi="Times New Roman" w:cs="Times New Roman"/>
          <w:i/>
          <w:iCs/>
          <w:lang w:eastAsia="en-GB"/>
        </w:rPr>
        <w:t>conomics</w:t>
      </w:r>
      <w:r w:rsidRPr="007B1B07">
        <w:rPr>
          <w:rFonts w:ascii="Times New Roman" w:eastAsia="Times New Roman" w:hAnsi="Times New Roman" w:cs="Times New Roman"/>
          <w:lang w:eastAsia="en-GB"/>
        </w:rPr>
        <w:t xml:space="preserve">, </w:t>
      </w:r>
      <w:r w:rsidRPr="007B1B07">
        <w:rPr>
          <w:rFonts w:ascii="Times New Roman" w:eastAsia="Times New Roman" w:hAnsi="Times New Roman" w:cs="Times New Roman"/>
          <w:i/>
          <w:iCs/>
          <w:lang w:eastAsia="en-GB"/>
        </w:rPr>
        <w:t>39</w:t>
      </w:r>
      <w:r w:rsidRPr="007B1B07">
        <w:rPr>
          <w:rFonts w:ascii="Times New Roman" w:eastAsia="Times New Roman" w:hAnsi="Times New Roman" w:cs="Times New Roman"/>
          <w:lang w:eastAsia="en-GB"/>
        </w:rPr>
        <w:t>(4), 973-989.</w:t>
      </w:r>
    </w:p>
    <w:p w14:paraId="77014494" w14:textId="06B0DFCD" w:rsidR="007B1B07" w:rsidRDefault="007B1B07" w:rsidP="00D26F46"/>
    <w:p w14:paraId="4A865CAA" w14:textId="77777777" w:rsidR="007B1B07" w:rsidRPr="00147497" w:rsidRDefault="007B1B07" w:rsidP="00D26F46"/>
    <w:p w14:paraId="0B5D5927" w14:textId="77777777" w:rsidR="0043308A" w:rsidRDefault="0043308A" w:rsidP="0043308A">
      <w:r w:rsidRPr="00196922">
        <w:t>Dermisi</w:t>
      </w:r>
      <w:r>
        <w:t>, S.</w:t>
      </w:r>
      <w:r w:rsidRPr="00196922">
        <w:t xml:space="preserve"> (</w:t>
      </w:r>
      <w:r w:rsidRPr="007C5750">
        <w:rPr>
          <w:iCs/>
        </w:rPr>
        <w:t>2009</w:t>
      </w:r>
      <w:r w:rsidRPr="00196922">
        <w:t xml:space="preserve">) Effect of LEED Ratings and Levels on Office Property Assessed and Market Values. </w:t>
      </w:r>
      <w:r w:rsidRPr="007C5750">
        <w:rPr>
          <w:i/>
        </w:rPr>
        <w:t>Journal of Sustainable Real Estate: 2009</w:t>
      </w:r>
      <w:r w:rsidRPr="00196922">
        <w:t xml:space="preserve">, Vol. 1, No. 1, pp. 23-47. </w:t>
      </w:r>
    </w:p>
    <w:p w14:paraId="68FB1783" w14:textId="742010CB" w:rsidR="00196922" w:rsidRPr="00147497" w:rsidRDefault="00196922" w:rsidP="00D26F46"/>
    <w:p w14:paraId="07A08ED0" w14:textId="1B651615" w:rsidR="0043308A" w:rsidRPr="0043308A" w:rsidRDefault="0043308A" w:rsidP="0043308A">
      <w:r w:rsidRPr="0043308A">
        <w:lastRenderedPageBreak/>
        <w:t>Dermisi</w:t>
      </w:r>
      <w:r>
        <w:t>, S</w:t>
      </w:r>
      <w:r w:rsidRPr="0043308A">
        <w:t xml:space="preserve"> (</w:t>
      </w:r>
      <w:r w:rsidRPr="0043308A">
        <w:rPr>
          <w:i/>
          <w:iCs/>
        </w:rPr>
        <w:t>2014</w:t>
      </w:r>
      <w:r w:rsidRPr="0043308A">
        <w:t xml:space="preserve">) A Study of LEED vs. Non-LEED Office Buildings Spatial &amp; Mass Transit Proximity in Downtown Chicago. Journal of Sustainable Real Estate: 2014, Vol. 6, No. 2, pp. 115-142. </w:t>
      </w:r>
    </w:p>
    <w:p w14:paraId="6E6274CA" w14:textId="77777777" w:rsidR="005725B4" w:rsidRPr="00147497" w:rsidRDefault="005725B4" w:rsidP="00D26F46"/>
    <w:p w14:paraId="52274D30" w14:textId="0B6C4E6C" w:rsidR="005725B4" w:rsidRPr="00147497" w:rsidRDefault="005725B4" w:rsidP="00D26F46">
      <w:r w:rsidRPr="00147497">
        <w:t xml:space="preserve">Eichholtz, P., Kok, N. </w:t>
      </w:r>
      <w:r w:rsidR="00727323" w:rsidRPr="00147497">
        <w:t xml:space="preserve">&amp; </w:t>
      </w:r>
      <w:r w:rsidRPr="00147497">
        <w:t>Quigley, J. (2010a)</w:t>
      </w:r>
      <w:r w:rsidR="00727323" w:rsidRPr="00147497">
        <w:t>.</w:t>
      </w:r>
      <w:r w:rsidRPr="00147497">
        <w:t xml:space="preserve"> Doing well by doing good: </w:t>
      </w:r>
      <w:r w:rsidR="00727323" w:rsidRPr="00147497">
        <w:t>G</w:t>
      </w:r>
      <w:r w:rsidRPr="00147497">
        <w:t>reen office buildings</w:t>
      </w:r>
      <w:r w:rsidR="00727323" w:rsidRPr="00147497">
        <w:t>.</w:t>
      </w:r>
      <w:r w:rsidRPr="00147497">
        <w:t xml:space="preserve"> </w:t>
      </w:r>
      <w:r w:rsidRPr="009C5EFC">
        <w:rPr>
          <w:i/>
        </w:rPr>
        <w:t>American Economic Review, 100</w:t>
      </w:r>
      <w:r w:rsidRPr="00147497">
        <w:t>(5), 2494</w:t>
      </w:r>
      <w:r w:rsidR="00727323" w:rsidRPr="00147497">
        <w:t>–</w:t>
      </w:r>
      <w:r w:rsidRPr="00147497">
        <w:t>2511.</w:t>
      </w:r>
    </w:p>
    <w:p w14:paraId="48C9022E" w14:textId="77777777" w:rsidR="005725B4" w:rsidRPr="00147497" w:rsidRDefault="005725B4" w:rsidP="00D26F46"/>
    <w:p w14:paraId="41D60C71" w14:textId="77777777" w:rsidR="00147497" w:rsidRPr="006C1168" w:rsidRDefault="00147497" w:rsidP="00147497">
      <w:r w:rsidRPr="006C1168">
        <w:t xml:space="preserve">European Commission (DG Energy). (2013). </w:t>
      </w:r>
      <w:r w:rsidRPr="006C1168">
        <w:rPr>
          <w:i/>
        </w:rPr>
        <w:t>Energy performance certificates in buildings and their impact on transaction prices and rents in selected EU countries: Final report</w:t>
      </w:r>
      <w:r w:rsidRPr="006C1168">
        <w:t xml:space="preserve">. Retrieved from www.buildingrating.org/document/energy-performance-certificates-buildings-and-their-impact-transaction-prices-and-rents </w:t>
      </w:r>
    </w:p>
    <w:p w14:paraId="09C7B118" w14:textId="77777777" w:rsidR="00147497" w:rsidRDefault="00147497" w:rsidP="00D26F46"/>
    <w:p w14:paraId="62656D16" w14:textId="62406292" w:rsidR="005725B4" w:rsidRPr="00147497" w:rsidRDefault="005725B4" w:rsidP="00D26F46">
      <w:r w:rsidRPr="00147497">
        <w:t>Feige, A.</w:t>
      </w:r>
      <w:r w:rsidR="00727323" w:rsidRPr="00147497">
        <w:t>,</w:t>
      </w:r>
      <w:r w:rsidRPr="00147497">
        <w:t xml:space="preserve"> Mcallister, P. </w:t>
      </w:r>
      <w:r w:rsidR="00727323" w:rsidRPr="00147497">
        <w:t>&amp;</w:t>
      </w:r>
      <w:r w:rsidRPr="00147497">
        <w:t xml:space="preserve"> Wallbaum, H. (2013)</w:t>
      </w:r>
      <w:r w:rsidR="00727323" w:rsidRPr="00147497">
        <w:t>.</w:t>
      </w:r>
      <w:r w:rsidRPr="00147497">
        <w:t xml:space="preserve"> Rental price and sustainability ratings: </w:t>
      </w:r>
      <w:r w:rsidR="00727323" w:rsidRPr="00147497">
        <w:t>W</w:t>
      </w:r>
      <w:r w:rsidRPr="00147497">
        <w:t xml:space="preserve">hich sustainability criteria are really paying back? </w:t>
      </w:r>
      <w:r w:rsidRPr="009C5EFC">
        <w:rPr>
          <w:i/>
        </w:rPr>
        <w:t>Construction Management and Economics, 31</w:t>
      </w:r>
      <w:r w:rsidRPr="00147497">
        <w:t>(4), 322</w:t>
      </w:r>
      <w:r w:rsidR="00727323" w:rsidRPr="00147497">
        <w:t>–</w:t>
      </w:r>
      <w:r w:rsidRPr="00147497">
        <w:t>334.</w:t>
      </w:r>
    </w:p>
    <w:p w14:paraId="6816BEAE" w14:textId="777F11E9" w:rsidR="005725B4" w:rsidRDefault="005725B4" w:rsidP="00D26F46"/>
    <w:p w14:paraId="60DF1EE3" w14:textId="38DB87CF" w:rsidR="001667AC" w:rsidRDefault="001667AC" w:rsidP="001667AC">
      <w:r w:rsidRPr="0011646C">
        <w:t>F</w:t>
      </w:r>
      <w:r w:rsidRPr="001667AC">
        <w:t>ishm</w:t>
      </w:r>
      <w:r>
        <w:t>an</w:t>
      </w:r>
      <w:r w:rsidRPr="0011646C">
        <w:t>, M.J.</w:t>
      </w:r>
      <w:r w:rsidRPr="001667AC">
        <w:t>;</w:t>
      </w:r>
      <w:r w:rsidRPr="0011646C">
        <w:t xml:space="preserve"> </w:t>
      </w:r>
      <w:r w:rsidRPr="001667AC">
        <w:t>H</w:t>
      </w:r>
      <w:r>
        <w:t>agerty</w:t>
      </w:r>
      <w:r w:rsidRPr="0011646C">
        <w:t>, K.M. “Mandatory versus Voluntary Disclosure in Markets with Informed and Uninformed</w:t>
      </w:r>
      <w:r>
        <w:t xml:space="preserve"> </w:t>
      </w:r>
      <w:r w:rsidRPr="0011646C">
        <w:t xml:space="preserve">Customers.” </w:t>
      </w:r>
      <w:r w:rsidRPr="0011646C">
        <w:rPr>
          <w:i/>
        </w:rPr>
        <w:t>Journal of Law, Economics, and Organization</w:t>
      </w:r>
      <w:r w:rsidRPr="0011646C">
        <w:t xml:space="preserve">, </w:t>
      </w:r>
      <w:r>
        <w:t>19/2003 45-63</w:t>
      </w:r>
      <w:r w:rsidRPr="0011646C">
        <w:t>.</w:t>
      </w:r>
    </w:p>
    <w:p w14:paraId="1F5E3CD9" w14:textId="77777777" w:rsidR="001667AC" w:rsidRPr="00147497" w:rsidRDefault="001667AC" w:rsidP="00D26F46"/>
    <w:p w14:paraId="4B9E034F" w14:textId="29AC13F3" w:rsidR="005725B4" w:rsidRPr="00147497" w:rsidRDefault="005725B4" w:rsidP="00D26F46">
      <w:r w:rsidRPr="00147497">
        <w:t>Fuerst, F.</w:t>
      </w:r>
      <w:r w:rsidR="00727323" w:rsidRPr="00147497">
        <w:t xml:space="preserve"> &amp;</w:t>
      </w:r>
      <w:r w:rsidRPr="00147497">
        <w:t xml:space="preserve"> McAllister, P. (2011a)</w:t>
      </w:r>
      <w:r w:rsidR="00727323" w:rsidRPr="00147497">
        <w:t>.</w:t>
      </w:r>
      <w:r w:rsidRPr="00147497">
        <w:t xml:space="preserve"> Green </w:t>
      </w:r>
      <w:r w:rsidR="00727323" w:rsidRPr="00147497">
        <w:t>n</w:t>
      </w:r>
      <w:r w:rsidRPr="00147497">
        <w:t xml:space="preserve">oise or </w:t>
      </w:r>
      <w:r w:rsidR="00727323" w:rsidRPr="00147497">
        <w:t>g</w:t>
      </w:r>
      <w:r w:rsidRPr="00147497">
        <w:t xml:space="preserve">reen </w:t>
      </w:r>
      <w:r w:rsidR="00727323" w:rsidRPr="00147497">
        <w:t>v</w:t>
      </w:r>
      <w:r w:rsidRPr="00147497">
        <w:t xml:space="preserve">alue? Measuring the </w:t>
      </w:r>
      <w:r w:rsidR="00727323" w:rsidRPr="00147497">
        <w:t>e</w:t>
      </w:r>
      <w:r w:rsidRPr="00147497">
        <w:t xml:space="preserve">ffects of </w:t>
      </w:r>
      <w:r w:rsidR="00727323" w:rsidRPr="00147497">
        <w:t>e</w:t>
      </w:r>
      <w:r w:rsidRPr="00147497">
        <w:t xml:space="preserve">nvironmental </w:t>
      </w:r>
      <w:r w:rsidR="00727323" w:rsidRPr="00147497">
        <w:t>c</w:t>
      </w:r>
      <w:r w:rsidRPr="00147497">
        <w:t xml:space="preserve">ertification on </w:t>
      </w:r>
      <w:r w:rsidR="00727323" w:rsidRPr="00147497">
        <w:t>o</w:t>
      </w:r>
      <w:r w:rsidRPr="00147497">
        <w:t xml:space="preserve">ffice </w:t>
      </w:r>
      <w:r w:rsidR="00727323" w:rsidRPr="00147497">
        <w:t>v</w:t>
      </w:r>
      <w:r w:rsidRPr="00147497">
        <w:t>alues</w:t>
      </w:r>
      <w:r w:rsidR="00727323" w:rsidRPr="00147497">
        <w:t>.</w:t>
      </w:r>
      <w:r w:rsidRPr="00147497">
        <w:t xml:space="preserve"> </w:t>
      </w:r>
      <w:r w:rsidRPr="009C5EFC">
        <w:rPr>
          <w:i/>
        </w:rPr>
        <w:t>Real Estate Economics, 39</w:t>
      </w:r>
      <w:r w:rsidRPr="00147497">
        <w:t>, 45–69</w:t>
      </w:r>
      <w:r w:rsidR="00727323" w:rsidRPr="00147497">
        <w:t>.</w:t>
      </w:r>
    </w:p>
    <w:p w14:paraId="3CAEB4B6" w14:textId="77777777" w:rsidR="005725B4" w:rsidRPr="00147497" w:rsidRDefault="005725B4" w:rsidP="00D26F46"/>
    <w:p w14:paraId="6EB05CBD" w14:textId="7A26F78E" w:rsidR="005725B4" w:rsidRPr="00147497" w:rsidRDefault="005725B4" w:rsidP="00D26F46">
      <w:r w:rsidRPr="00147497">
        <w:t>Fuerst, F.</w:t>
      </w:r>
      <w:r w:rsidR="00727323" w:rsidRPr="00147497">
        <w:t xml:space="preserve"> &amp;</w:t>
      </w:r>
      <w:r w:rsidRPr="00147497">
        <w:t xml:space="preserve"> McAllister, P. (2011b)</w:t>
      </w:r>
      <w:r w:rsidR="00727323" w:rsidRPr="00147497">
        <w:t>.</w:t>
      </w:r>
      <w:r w:rsidRPr="00147497">
        <w:t xml:space="preserve"> The impact of </w:t>
      </w:r>
      <w:r w:rsidR="00727323" w:rsidRPr="00147497">
        <w:t>e</w:t>
      </w:r>
      <w:r w:rsidRPr="00147497">
        <w:t xml:space="preserve">nergy </w:t>
      </w:r>
      <w:r w:rsidR="00727323" w:rsidRPr="00147497">
        <w:t>p</w:t>
      </w:r>
      <w:r w:rsidRPr="00147497">
        <w:t xml:space="preserve">erformance </w:t>
      </w:r>
      <w:r w:rsidR="00727323" w:rsidRPr="00147497">
        <w:t>c</w:t>
      </w:r>
      <w:r w:rsidRPr="00147497">
        <w:t>ertificates on the rental and capital values of commercial property assets</w:t>
      </w:r>
      <w:r w:rsidR="00727323" w:rsidRPr="00147497">
        <w:t>.</w:t>
      </w:r>
      <w:r w:rsidRPr="00147497">
        <w:t xml:space="preserve"> </w:t>
      </w:r>
      <w:r w:rsidRPr="009C5EFC">
        <w:rPr>
          <w:i/>
        </w:rPr>
        <w:t>Energy Policy, 39</w:t>
      </w:r>
      <w:r w:rsidRPr="00147497">
        <w:t xml:space="preserve">, </w:t>
      </w:r>
      <w:r w:rsidR="00FE1B83" w:rsidRPr="00147497">
        <w:t>6608</w:t>
      </w:r>
      <w:r w:rsidR="00727323" w:rsidRPr="00147497">
        <w:t>–</w:t>
      </w:r>
      <w:r w:rsidR="00FE1B83" w:rsidRPr="00147497">
        <w:t>6614</w:t>
      </w:r>
      <w:r w:rsidR="00727323" w:rsidRPr="00147497">
        <w:t>.</w:t>
      </w:r>
    </w:p>
    <w:p w14:paraId="07F1CF56" w14:textId="77777777" w:rsidR="005725B4" w:rsidRPr="00147497" w:rsidRDefault="005725B4" w:rsidP="00D26F46"/>
    <w:p w14:paraId="62ABBD5A" w14:textId="3E3CA928" w:rsidR="005725B4" w:rsidRPr="00147497" w:rsidRDefault="005725B4" w:rsidP="00D26F46">
      <w:r w:rsidRPr="00147497">
        <w:t>Fuerst, F., McAllister, P., Nanda, A.</w:t>
      </w:r>
      <w:r w:rsidR="00727323" w:rsidRPr="00147497">
        <w:t xml:space="preserve"> &amp;</w:t>
      </w:r>
      <w:r w:rsidRPr="00147497">
        <w:t xml:space="preserve"> Wyatt, P. (2015)</w:t>
      </w:r>
      <w:r w:rsidR="00727323" w:rsidRPr="00147497">
        <w:t>.</w:t>
      </w:r>
      <w:r w:rsidRPr="00147497">
        <w:t xml:space="preserve"> Does energy efficiency matter to home-buyers? An investigation of EPC ratings and transaction prices in England</w:t>
      </w:r>
      <w:r w:rsidR="00727323" w:rsidRPr="00147497">
        <w:t>.</w:t>
      </w:r>
      <w:r w:rsidRPr="00147497">
        <w:t xml:space="preserve"> </w:t>
      </w:r>
      <w:r w:rsidRPr="009C5EFC">
        <w:rPr>
          <w:i/>
        </w:rPr>
        <w:t>Energy Economics, 48</w:t>
      </w:r>
      <w:r w:rsidR="00727323" w:rsidRPr="00147497">
        <w:t>,</w:t>
      </w:r>
      <w:r w:rsidRPr="00147497">
        <w:t xml:space="preserve"> 145</w:t>
      </w:r>
      <w:r w:rsidR="00727323" w:rsidRPr="00147497">
        <w:t>–</w:t>
      </w:r>
      <w:r w:rsidRPr="00147497">
        <w:t>156.</w:t>
      </w:r>
    </w:p>
    <w:p w14:paraId="12B2440A" w14:textId="5BE8E9BB" w:rsidR="00BF274B" w:rsidRPr="00147497" w:rsidRDefault="00BF274B" w:rsidP="00D26F46"/>
    <w:p w14:paraId="06B704E6" w14:textId="7791F7E6" w:rsidR="00BF274B" w:rsidRPr="009C5EFC" w:rsidRDefault="00BF274B" w:rsidP="00BF274B">
      <w:pPr>
        <w:rPr>
          <w:rFonts w:eastAsia="Times New Roman" w:cs="Times New Roman"/>
          <w:lang w:eastAsia="en-GB"/>
        </w:rPr>
      </w:pPr>
      <w:r w:rsidRPr="009C5EFC">
        <w:rPr>
          <w:rFonts w:eastAsia="Times New Roman" w:cs="Times New Roman"/>
          <w:lang w:eastAsia="en-GB"/>
        </w:rPr>
        <w:t xml:space="preserve">Fuerst, F., Oikarinen, E. &amp; Harjunen, O. (2016). Green signalling effects in the market for energy-efficient residential buildings. </w:t>
      </w:r>
      <w:r w:rsidRPr="009C5EFC">
        <w:rPr>
          <w:rFonts w:eastAsia="Times New Roman" w:cs="Times New Roman"/>
          <w:i/>
          <w:iCs/>
          <w:lang w:eastAsia="en-GB"/>
        </w:rPr>
        <w:t>Applied Energy</w:t>
      </w:r>
      <w:r w:rsidRPr="009C5EFC">
        <w:rPr>
          <w:rFonts w:eastAsia="Times New Roman" w:cs="Times New Roman"/>
          <w:lang w:eastAsia="en-GB"/>
        </w:rPr>
        <w:t xml:space="preserve">, </w:t>
      </w:r>
      <w:r w:rsidRPr="009C5EFC">
        <w:rPr>
          <w:rFonts w:eastAsia="Times New Roman" w:cs="Times New Roman"/>
          <w:i/>
          <w:iCs/>
          <w:lang w:eastAsia="en-GB"/>
        </w:rPr>
        <w:t>180</w:t>
      </w:r>
      <w:r w:rsidRPr="009C5EFC">
        <w:rPr>
          <w:rFonts w:eastAsia="Times New Roman" w:cs="Times New Roman"/>
          <w:lang w:eastAsia="en-GB"/>
        </w:rPr>
        <w:t>, 560</w:t>
      </w:r>
      <w:r w:rsidR="00727323" w:rsidRPr="009C5EFC">
        <w:rPr>
          <w:rFonts w:eastAsia="Times New Roman" w:cs="Times New Roman"/>
          <w:lang w:eastAsia="en-GB"/>
        </w:rPr>
        <w:t>–</w:t>
      </w:r>
      <w:r w:rsidRPr="009C5EFC">
        <w:rPr>
          <w:rFonts w:eastAsia="Times New Roman" w:cs="Times New Roman"/>
          <w:lang w:eastAsia="en-GB"/>
        </w:rPr>
        <w:t>571.</w:t>
      </w:r>
    </w:p>
    <w:p w14:paraId="718C1EDA" w14:textId="77777777" w:rsidR="005725B4" w:rsidRPr="00147497" w:rsidRDefault="005725B4" w:rsidP="00D26F46"/>
    <w:p w14:paraId="27888663" w14:textId="64C65E77" w:rsidR="005725B4" w:rsidRPr="00147497" w:rsidRDefault="005725B4" w:rsidP="00D26F46">
      <w:r w:rsidRPr="00147497">
        <w:t>Fuerst, F.</w:t>
      </w:r>
      <w:r w:rsidR="00727323" w:rsidRPr="00147497">
        <w:t xml:space="preserve"> &amp;</w:t>
      </w:r>
      <w:r w:rsidRPr="00147497">
        <w:t xml:space="preserve"> Shimizu, C. (2016)</w:t>
      </w:r>
      <w:r w:rsidR="00727323" w:rsidRPr="00147497">
        <w:t>.</w:t>
      </w:r>
      <w:r w:rsidRPr="00147497">
        <w:t xml:space="preserve"> Green luxury goods? The economics of eco-labels in the Japanese housing market</w:t>
      </w:r>
      <w:r w:rsidR="00727323" w:rsidRPr="00147497">
        <w:t>.</w:t>
      </w:r>
      <w:r w:rsidRPr="00147497">
        <w:t xml:space="preserve"> </w:t>
      </w:r>
      <w:r w:rsidRPr="009C5EFC">
        <w:rPr>
          <w:i/>
        </w:rPr>
        <w:t>Journal of the Japanese and International Economies, 39</w:t>
      </w:r>
      <w:r w:rsidR="00727323" w:rsidRPr="00147497">
        <w:t>(</w:t>
      </w:r>
      <w:r w:rsidRPr="00147497">
        <w:t>C</w:t>
      </w:r>
      <w:r w:rsidR="00727323" w:rsidRPr="00147497">
        <w:t>)</w:t>
      </w:r>
      <w:r w:rsidRPr="00147497">
        <w:t>, 108–122.</w:t>
      </w:r>
    </w:p>
    <w:p w14:paraId="3B983ABD" w14:textId="77777777" w:rsidR="005725B4" w:rsidRPr="00147497" w:rsidRDefault="005725B4" w:rsidP="00D26F46"/>
    <w:p w14:paraId="5A123608" w14:textId="39B3956F" w:rsidR="005725B4" w:rsidRPr="00147497" w:rsidRDefault="005725B4" w:rsidP="00D26F46">
      <w:r w:rsidRPr="00147497">
        <w:t xml:space="preserve">Gabe, J. &amp; Rehm, M. (2014). Do tenants pay energy efficiency rent premiums? </w:t>
      </w:r>
      <w:r w:rsidRPr="009C5EFC">
        <w:rPr>
          <w:i/>
        </w:rPr>
        <w:t>Journal of Property Investment &amp; Finance, 32</w:t>
      </w:r>
      <w:r w:rsidRPr="00147497">
        <w:t>(4), 333</w:t>
      </w:r>
      <w:r w:rsidR="00727323" w:rsidRPr="00147497">
        <w:t>–</w:t>
      </w:r>
      <w:r w:rsidRPr="00147497">
        <w:t>351.</w:t>
      </w:r>
    </w:p>
    <w:p w14:paraId="07AFB4CA" w14:textId="364394B1" w:rsidR="005725B4" w:rsidRPr="00147497" w:rsidRDefault="005725B4" w:rsidP="00D26F46"/>
    <w:p w14:paraId="59AC196C" w14:textId="2F9609D9" w:rsidR="00BF274B" w:rsidRPr="00C24C2E" w:rsidRDefault="00BF274B" w:rsidP="007325DF">
      <w:pPr>
        <w:spacing w:after="120"/>
        <w:rPr>
          <w:lang w:val="en-US"/>
        </w:rPr>
      </w:pPr>
      <w:r w:rsidRPr="00710A0A">
        <w:rPr>
          <w:lang w:val="en-US"/>
        </w:rPr>
        <w:t xml:space="preserve">Heckman, J. (1979). Sample </w:t>
      </w:r>
      <w:r w:rsidR="00727323" w:rsidRPr="00FB7E60">
        <w:rPr>
          <w:lang w:val="en-US"/>
        </w:rPr>
        <w:t>s</w:t>
      </w:r>
      <w:r w:rsidRPr="00BB2F7D">
        <w:rPr>
          <w:lang w:val="en-US"/>
        </w:rPr>
        <w:t>ele</w:t>
      </w:r>
      <w:r w:rsidRPr="00E558EE">
        <w:rPr>
          <w:lang w:val="en-US"/>
        </w:rPr>
        <w:t xml:space="preserve">ction </w:t>
      </w:r>
      <w:r w:rsidR="00727323" w:rsidRPr="00AC66EF">
        <w:rPr>
          <w:lang w:val="en-US"/>
        </w:rPr>
        <w:t>b</w:t>
      </w:r>
      <w:r w:rsidRPr="00AC66EF">
        <w:rPr>
          <w:lang w:val="en-US"/>
        </w:rPr>
        <w:t xml:space="preserve">ias as a </w:t>
      </w:r>
      <w:r w:rsidR="00727323" w:rsidRPr="00AC66EF">
        <w:rPr>
          <w:lang w:val="en-US"/>
        </w:rPr>
        <w:t>s</w:t>
      </w:r>
      <w:r w:rsidRPr="00746FEB">
        <w:rPr>
          <w:lang w:val="en-US"/>
        </w:rPr>
        <w:t>pecification</w:t>
      </w:r>
      <w:r w:rsidR="00727323" w:rsidRPr="00746FEB">
        <w:rPr>
          <w:lang w:val="en-US"/>
        </w:rPr>
        <w:t xml:space="preserve"> e</w:t>
      </w:r>
      <w:r w:rsidRPr="00746FEB">
        <w:rPr>
          <w:lang w:val="en-US"/>
        </w:rPr>
        <w:t xml:space="preserve">rror. </w:t>
      </w:r>
      <w:r w:rsidRPr="00086565">
        <w:rPr>
          <w:i/>
          <w:lang w:val="en-US"/>
        </w:rPr>
        <w:t>Econometrica</w:t>
      </w:r>
      <w:r w:rsidRPr="00086565">
        <w:rPr>
          <w:lang w:val="en-US"/>
        </w:rPr>
        <w:t>, 47, 153</w:t>
      </w:r>
      <w:r w:rsidR="00727323" w:rsidRPr="00AB3963">
        <w:rPr>
          <w:lang w:val="en-US"/>
        </w:rPr>
        <w:t>–</w:t>
      </w:r>
      <w:r w:rsidRPr="00C24C2E">
        <w:rPr>
          <w:lang w:val="en-US"/>
        </w:rPr>
        <w:t>161.</w:t>
      </w:r>
    </w:p>
    <w:p w14:paraId="66325AC6" w14:textId="77777777" w:rsidR="00BF274B" w:rsidRPr="00147497" w:rsidRDefault="00BF274B" w:rsidP="00D26F46"/>
    <w:p w14:paraId="349303CA" w14:textId="5F51BE31" w:rsidR="00982FEE" w:rsidRPr="00147497" w:rsidRDefault="00982FEE" w:rsidP="00982FEE">
      <w:r w:rsidRPr="00147497">
        <w:t xml:space="preserve">Ho, D. C. W., Chau, K. W., Leung, H. F., Wong, S. K., Cheung, K. C., Yau, Y., ... &amp; Wong, W. S. (2005). A sustainable framework of building quality assessment for achieving a sustainable urban environment. In </w:t>
      </w:r>
      <w:r w:rsidRPr="009C5EFC">
        <w:rPr>
          <w:i/>
          <w:iCs/>
        </w:rPr>
        <w:t>Proceedings of the 2005 World Sustainable Building Conference</w:t>
      </w:r>
      <w:r w:rsidRPr="00147497">
        <w:t xml:space="preserve">. </w:t>
      </w:r>
      <w:r w:rsidR="00727323" w:rsidRPr="00147497">
        <w:t xml:space="preserve">Tokyo: </w:t>
      </w:r>
      <w:r w:rsidRPr="00147497">
        <w:t>Institute of International Harmonization for Building and Housing.</w:t>
      </w:r>
    </w:p>
    <w:p w14:paraId="4157E8B7" w14:textId="77777777" w:rsidR="00982FEE" w:rsidRPr="00147497" w:rsidRDefault="00982FEE" w:rsidP="00D26F46"/>
    <w:p w14:paraId="7AB761BA" w14:textId="69C9BD5C" w:rsidR="005725B4" w:rsidRPr="00147497" w:rsidRDefault="005725B4" w:rsidP="00D26F46">
      <w:r w:rsidRPr="00147497">
        <w:t>Lee, T.</w:t>
      </w:r>
      <w:r w:rsidR="00727323" w:rsidRPr="00147497">
        <w:t xml:space="preserve"> &amp;</w:t>
      </w:r>
      <w:r w:rsidRPr="00147497">
        <w:t xml:space="preserve"> Wang, Y. (2010</w:t>
      </w:r>
      <w:r w:rsidR="00727323" w:rsidRPr="00147497">
        <w:t>, 1–3 December</w:t>
      </w:r>
      <w:r w:rsidRPr="00147497">
        <w:t>)</w:t>
      </w:r>
      <w:r w:rsidR="00727323" w:rsidRPr="00147497">
        <w:t>.</w:t>
      </w:r>
      <w:r w:rsidRPr="00147497">
        <w:t xml:space="preserve"> </w:t>
      </w:r>
      <w:r w:rsidRPr="009C5EFC">
        <w:rPr>
          <w:i/>
        </w:rPr>
        <w:t xml:space="preserve">Mandatory </w:t>
      </w:r>
      <w:r w:rsidR="00727323" w:rsidRPr="009C5EFC">
        <w:rPr>
          <w:i/>
        </w:rPr>
        <w:t>d</w:t>
      </w:r>
      <w:r w:rsidRPr="009C5EFC">
        <w:rPr>
          <w:i/>
        </w:rPr>
        <w:t>iscl</w:t>
      </w:r>
      <w:r w:rsidR="00727323" w:rsidRPr="009C5EFC">
        <w:rPr>
          <w:i/>
        </w:rPr>
        <w:t>o</w:t>
      </w:r>
      <w:r w:rsidRPr="009C5EFC">
        <w:rPr>
          <w:i/>
        </w:rPr>
        <w:t xml:space="preserve">sure of </w:t>
      </w:r>
      <w:r w:rsidR="00727323" w:rsidRPr="009C5EFC">
        <w:rPr>
          <w:i/>
        </w:rPr>
        <w:t>e</w:t>
      </w:r>
      <w:r w:rsidRPr="009C5EFC">
        <w:rPr>
          <w:i/>
        </w:rPr>
        <w:t xml:space="preserve">nergy </w:t>
      </w:r>
      <w:r w:rsidR="00727323" w:rsidRPr="009C5EFC">
        <w:rPr>
          <w:i/>
        </w:rPr>
        <w:t>e</w:t>
      </w:r>
      <w:r w:rsidRPr="009C5EFC">
        <w:rPr>
          <w:i/>
        </w:rPr>
        <w:t xml:space="preserve">fficiency for </w:t>
      </w:r>
      <w:r w:rsidR="00727323" w:rsidRPr="009C5EFC">
        <w:rPr>
          <w:i/>
        </w:rPr>
        <w:t>r</w:t>
      </w:r>
      <w:r w:rsidRPr="009C5EFC">
        <w:rPr>
          <w:i/>
        </w:rPr>
        <w:t>esidences</w:t>
      </w:r>
      <w:r w:rsidR="00727323" w:rsidRPr="009C5EFC">
        <w:rPr>
          <w:i/>
        </w:rPr>
        <w:t>—</w:t>
      </w:r>
      <w:r w:rsidRPr="009C5EFC">
        <w:rPr>
          <w:i/>
        </w:rPr>
        <w:t xml:space="preserve">History and </w:t>
      </w:r>
      <w:r w:rsidR="00727323" w:rsidRPr="009C5EFC">
        <w:rPr>
          <w:i/>
        </w:rPr>
        <w:t>c</w:t>
      </w:r>
      <w:r w:rsidRPr="009C5EFC">
        <w:rPr>
          <w:i/>
        </w:rPr>
        <w:t xml:space="preserve">ompliance in the A.C.T. </w:t>
      </w:r>
      <w:r w:rsidR="00727323" w:rsidRPr="009C5EFC">
        <w:rPr>
          <w:i/>
        </w:rPr>
        <w:t>s</w:t>
      </w:r>
      <w:r w:rsidRPr="009C5EFC">
        <w:rPr>
          <w:i/>
        </w:rPr>
        <w:t xml:space="preserve">ales and </w:t>
      </w:r>
      <w:r w:rsidR="00727323" w:rsidRPr="009C5EFC">
        <w:rPr>
          <w:i/>
        </w:rPr>
        <w:t>r</w:t>
      </w:r>
      <w:r w:rsidRPr="009C5EFC">
        <w:rPr>
          <w:i/>
        </w:rPr>
        <w:t xml:space="preserve">ental </w:t>
      </w:r>
      <w:r w:rsidR="00727323" w:rsidRPr="009C5EFC">
        <w:rPr>
          <w:i/>
        </w:rPr>
        <w:t>m</w:t>
      </w:r>
      <w:r w:rsidRPr="009C5EFC">
        <w:rPr>
          <w:i/>
        </w:rPr>
        <w:t>arkets</w:t>
      </w:r>
      <w:r w:rsidR="00727323" w:rsidRPr="00147497">
        <w:t>. Paper</w:t>
      </w:r>
      <w:r w:rsidRPr="00147497">
        <w:t xml:space="preserve"> presented at Solar2010, the 48th AuSES Annual Conference, Canberra, Australia, </w:t>
      </w:r>
      <w:r w:rsidR="00727323" w:rsidRPr="00147497">
        <w:t>Retrieved</w:t>
      </w:r>
      <w:r w:rsidRPr="00147497">
        <w:t xml:space="preserve"> from www.exemplary.com.au/.../Lee%20and%20Wang%20-%20Mandatory%20Disclosure.pdf </w:t>
      </w:r>
    </w:p>
    <w:p w14:paraId="682D0D2F" w14:textId="77777777" w:rsidR="005725B4" w:rsidRPr="00147497" w:rsidRDefault="005725B4" w:rsidP="00D26F46"/>
    <w:p w14:paraId="69FCFC4A" w14:textId="4F80A47C" w:rsidR="00673780" w:rsidRPr="00147497" w:rsidRDefault="00673780" w:rsidP="00D26F46">
      <w:r w:rsidRPr="00147497">
        <w:t xml:space="preserve">Levin, J. (2001). Information and the </w:t>
      </w:r>
      <w:r w:rsidR="00727323" w:rsidRPr="00147497">
        <w:t>m</w:t>
      </w:r>
      <w:r w:rsidRPr="00147497">
        <w:t xml:space="preserve">arket for </w:t>
      </w:r>
      <w:r w:rsidR="00727323" w:rsidRPr="00147497">
        <w:t>l</w:t>
      </w:r>
      <w:r w:rsidRPr="00147497">
        <w:t xml:space="preserve">emons. </w:t>
      </w:r>
      <w:r w:rsidRPr="009C5EFC">
        <w:rPr>
          <w:i/>
          <w:iCs/>
        </w:rPr>
        <w:t>RAND Journal of Economics</w:t>
      </w:r>
      <w:r w:rsidRPr="009C5EFC">
        <w:rPr>
          <w:i/>
        </w:rPr>
        <w:t xml:space="preserve">, </w:t>
      </w:r>
      <w:r w:rsidR="00021587" w:rsidRPr="009C5EFC">
        <w:rPr>
          <w:i/>
        </w:rPr>
        <w:t>32</w:t>
      </w:r>
      <w:r w:rsidR="00021587" w:rsidRPr="00147497">
        <w:t xml:space="preserve">(4), </w:t>
      </w:r>
      <w:r w:rsidRPr="00147497">
        <w:t>657</w:t>
      </w:r>
      <w:r w:rsidR="00727323" w:rsidRPr="00147497">
        <w:t>–</w:t>
      </w:r>
      <w:r w:rsidRPr="00147497">
        <w:t>666.</w:t>
      </w:r>
    </w:p>
    <w:p w14:paraId="6546D8CF" w14:textId="77777777" w:rsidR="00673780" w:rsidRPr="00147497" w:rsidRDefault="00673780" w:rsidP="00D26F46"/>
    <w:p w14:paraId="235FC494" w14:textId="01976D36" w:rsidR="005725B4" w:rsidRPr="00147497" w:rsidRDefault="005725B4" w:rsidP="00D26F46">
      <w:r w:rsidRPr="00147497">
        <w:t>Lombard, L.P., Ortiz, J.</w:t>
      </w:r>
      <w:r w:rsidR="00021587" w:rsidRPr="00147497">
        <w:t xml:space="preserve"> &amp;</w:t>
      </w:r>
      <w:r w:rsidRPr="00147497">
        <w:t xml:space="preserve"> Pout, C. (2007)</w:t>
      </w:r>
      <w:r w:rsidR="00021587" w:rsidRPr="00147497">
        <w:t>.</w:t>
      </w:r>
      <w:r w:rsidRPr="00147497">
        <w:t xml:space="preserve"> A review of buildings energy consumption information</w:t>
      </w:r>
      <w:r w:rsidR="00021587" w:rsidRPr="00147497">
        <w:t xml:space="preserve">. </w:t>
      </w:r>
      <w:r w:rsidRPr="009C5EFC">
        <w:rPr>
          <w:i/>
        </w:rPr>
        <w:t>Energy and Buildings, 40</w:t>
      </w:r>
      <w:r w:rsidRPr="00147497">
        <w:t>, 394–398.</w:t>
      </w:r>
    </w:p>
    <w:p w14:paraId="2C0528F3" w14:textId="375102DA" w:rsidR="005725B4" w:rsidRDefault="005725B4" w:rsidP="00D26F46"/>
    <w:p w14:paraId="6DCB3159" w14:textId="77777777" w:rsidR="0053293A" w:rsidRPr="008926C5" w:rsidRDefault="0053293A" w:rsidP="0053293A">
      <w:pPr>
        <w:jc w:val="left"/>
        <w:rPr>
          <w:rFonts w:ascii="Times New Roman" w:eastAsia="Times New Roman" w:hAnsi="Times New Roman" w:cs="Times New Roman"/>
          <w:lang w:eastAsia="en-GB"/>
        </w:rPr>
      </w:pPr>
      <w:r w:rsidRPr="0053293A">
        <w:rPr>
          <w:rFonts w:ascii="Times New Roman" w:eastAsia="Times New Roman" w:hAnsi="Times New Roman" w:cs="Times New Roman"/>
          <w:lang w:eastAsia="en-GB"/>
        </w:rPr>
        <w:t xml:space="preserve">Kahn, M. E., &amp; </w:t>
      </w:r>
      <w:r>
        <w:rPr>
          <w:rFonts w:ascii="Times New Roman" w:eastAsia="Times New Roman" w:hAnsi="Times New Roman" w:cs="Times New Roman"/>
          <w:lang w:eastAsia="en-GB"/>
        </w:rPr>
        <w:t>Kok, N. (2014). The Capitalization of Green Labels in the California Housing M</w:t>
      </w:r>
      <w:r w:rsidRPr="0053293A">
        <w:rPr>
          <w:rFonts w:ascii="Times New Roman" w:eastAsia="Times New Roman" w:hAnsi="Times New Roman" w:cs="Times New Roman"/>
          <w:lang w:eastAsia="en-GB"/>
        </w:rPr>
        <w:t xml:space="preserve">arket. </w:t>
      </w:r>
      <w:r w:rsidRPr="0053293A">
        <w:rPr>
          <w:rFonts w:ascii="Times New Roman" w:eastAsia="Times New Roman" w:hAnsi="Times New Roman" w:cs="Times New Roman"/>
          <w:i/>
          <w:iCs/>
          <w:lang w:eastAsia="en-GB"/>
        </w:rPr>
        <w:t>Regional Science and Urban Economics</w:t>
      </w:r>
      <w:r w:rsidRPr="0053293A">
        <w:rPr>
          <w:rFonts w:ascii="Times New Roman" w:eastAsia="Times New Roman" w:hAnsi="Times New Roman" w:cs="Times New Roman"/>
          <w:lang w:eastAsia="en-GB"/>
        </w:rPr>
        <w:t xml:space="preserve">, </w:t>
      </w:r>
      <w:r w:rsidRPr="0053293A">
        <w:rPr>
          <w:rFonts w:ascii="Times New Roman" w:eastAsia="Times New Roman" w:hAnsi="Times New Roman" w:cs="Times New Roman"/>
          <w:i/>
          <w:iCs/>
          <w:lang w:eastAsia="en-GB"/>
        </w:rPr>
        <w:t>47</w:t>
      </w:r>
      <w:r w:rsidRPr="0053293A">
        <w:rPr>
          <w:rFonts w:ascii="Times New Roman" w:eastAsia="Times New Roman" w:hAnsi="Times New Roman" w:cs="Times New Roman"/>
          <w:lang w:eastAsia="en-GB"/>
        </w:rPr>
        <w:t>, 25-34.</w:t>
      </w:r>
    </w:p>
    <w:p w14:paraId="0325BC23" w14:textId="29455ABB" w:rsidR="00BB0066" w:rsidRPr="009C5EFC" w:rsidRDefault="00BB0066" w:rsidP="00BB0066">
      <w:pPr>
        <w:rPr>
          <w:rFonts w:eastAsia="Times New Roman" w:cs="Times New Roman"/>
          <w:lang w:eastAsia="en-GB"/>
        </w:rPr>
      </w:pPr>
      <w:r w:rsidRPr="009C5EFC">
        <w:rPr>
          <w:rFonts w:eastAsia="Times New Roman" w:cs="Times New Roman"/>
          <w:lang w:eastAsia="en-GB"/>
        </w:rPr>
        <w:t xml:space="preserve">Koenker, R. (2005). </w:t>
      </w:r>
      <w:r w:rsidRPr="009C5EFC">
        <w:rPr>
          <w:rFonts w:eastAsia="Times New Roman" w:cs="Times New Roman"/>
          <w:i/>
          <w:iCs/>
          <w:lang w:eastAsia="en-GB"/>
        </w:rPr>
        <w:t xml:space="preserve">Quantile </w:t>
      </w:r>
      <w:r w:rsidR="00021587" w:rsidRPr="009C5EFC">
        <w:rPr>
          <w:rFonts w:eastAsia="Times New Roman" w:cs="Times New Roman"/>
          <w:i/>
          <w:iCs/>
          <w:lang w:eastAsia="en-GB"/>
        </w:rPr>
        <w:t>r</w:t>
      </w:r>
      <w:r w:rsidRPr="009C5EFC">
        <w:rPr>
          <w:rFonts w:eastAsia="Times New Roman" w:cs="Times New Roman"/>
          <w:i/>
          <w:iCs/>
          <w:lang w:eastAsia="en-GB"/>
        </w:rPr>
        <w:t>egression</w:t>
      </w:r>
      <w:r w:rsidRPr="009C5EFC">
        <w:rPr>
          <w:rFonts w:eastAsia="Times New Roman" w:cs="Times New Roman"/>
          <w:lang w:eastAsia="en-GB"/>
        </w:rPr>
        <w:t xml:space="preserve"> (</w:t>
      </w:r>
      <w:r w:rsidR="00BA0D60" w:rsidRPr="009C5EFC">
        <w:rPr>
          <w:rFonts w:eastAsia="Times New Roman" w:cs="Times New Roman"/>
          <w:lang w:eastAsia="en-GB"/>
        </w:rPr>
        <w:t xml:space="preserve">Economic Society Monographs </w:t>
      </w:r>
      <w:r w:rsidRPr="009C5EFC">
        <w:rPr>
          <w:rFonts w:eastAsia="Times New Roman" w:cs="Times New Roman"/>
          <w:lang w:eastAsia="en-GB"/>
        </w:rPr>
        <w:t>No. 38). Cambridge University Press.</w:t>
      </w:r>
    </w:p>
    <w:p w14:paraId="47CAA0A2" w14:textId="77777777" w:rsidR="00BB0066" w:rsidRPr="00147497" w:rsidRDefault="00BB0066" w:rsidP="00D26F46"/>
    <w:p w14:paraId="09BC2669" w14:textId="27AEFADA" w:rsidR="005433B2" w:rsidRDefault="005433B2" w:rsidP="00D26F46"/>
    <w:p w14:paraId="711D759E" w14:textId="77777777" w:rsidR="0053293A" w:rsidRPr="00147497" w:rsidRDefault="0053293A" w:rsidP="00D26F46"/>
    <w:p w14:paraId="734D4BBD" w14:textId="7B096F8E" w:rsidR="005433B2" w:rsidRPr="00147497" w:rsidRDefault="005433B2" w:rsidP="00D26F46">
      <w:r w:rsidRPr="00147497">
        <w:t xml:space="preserve">Kotha, S., Rajgopal, S. &amp; Rindova, V. (2001). Reputation building and performance: An empirical analysis of the top-50 pure internet firms. </w:t>
      </w:r>
      <w:r w:rsidRPr="009C5EFC">
        <w:rPr>
          <w:i/>
          <w:iCs/>
        </w:rPr>
        <w:t>European Management Journal</w:t>
      </w:r>
      <w:r w:rsidRPr="009C5EFC">
        <w:rPr>
          <w:i/>
        </w:rPr>
        <w:t xml:space="preserve">, </w:t>
      </w:r>
      <w:r w:rsidRPr="009C5EFC">
        <w:rPr>
          <w:i/>
          <w:iCs/>
        </w:rPr>
        <w:t>19</w:t>
      </w:r>
      <w:r w:rsidRPr="00147497">
        <w:t>(6), 571</w:t>
      </w:r>
      <w:r w:rsidR="00BA0D60" w:rsidRPr="00147497">
        <w:t>–</w:t>
      </w:r>
      <w:r w:rsidRPr="00147497">
        <w:t>586.</w:t>
      </w:r>
    </w:p>
    <w:p w14:paraId="0019C9CD" w14:textId="77777777" w:rsidR="005725B4" w:rsidRPr="00147497" w:rsidRDefault="005725B4" w:rsidP="00D26F46"/>
    <w:p w14:paraId="4447E5AE" w14:textId="6CFA665B" w:rsidR="00BA6CD2" w:rsidRPr="00147497" w:rsidRDefault="00BA6CD2" w:rsidP="00BA6CD2">
      <w:r w:rsidRPr="00147497">
        <w:t xml:space="preserve">Merschbrock, C. &amp; Nordahl-Rolfsen, C. (2015). Managing expectations of BIM product quality: </w:t>
      </w:r>
      <w:r w:rsidR="00BA0D60" w:rsidRPr="00147497">
        <w:t>A</w:t>
      </w:r>
      <w:r w:rsidRPr="00147497">
        <w:t xml:space="preserve"> ‘lemon market’</w:t>
      </w:r>
      <w:r w:rsidR="00BA0D60" w:rsidRPr="00147497">
        <w:t xml:space="preserve"> </w:t>
      </w:r>
      <w:r w:rsidRPr="00147497">
        <w:t xml:space="preserve">theory view. </w:t>
      </w:r>
      <w:r w:rsidRPr="009C5EFC">
        <w:rPr>
          <w:i/>
          <w:iCs/>
        </w:rPr>
        <w:t>Building Information Modelling (BIM) in Design, Construction and Operations</w:t>
      </w:r>
      <w:r w:rsidRPr="009C5EFC">
        <w:rPr>
          <w:i/>
        </w:rPr>
        <w:t xml:space="preserve">, </w:t>
      </w:r>
      <w:r w:rsidRPr="009C5EFC">
        <w:rPr>
          <w:i/>
          <w:iCs/>
        </w:rPr>
        <w:t>149</w:t>
      </w:r>
      <w:r w:rsidRPr="00147497">
        <w:t>, 253.</w:t>
      </w:r>
    </w:p>
    <w:p w14:paraId="33534ECA" w14:textId="77777777" w:rsidR="00BB0066" w:rsidRPr="00147497" w:rsidRDefault="00BB0066" w:rsidP="00782272"/>
    <w:p w14:paraId="5C809E19" w14:textId="6849214A" w:rsidR="00BB0066" w:rsidRPr="009C5EFC" w:rsidRDefault="00BB0066" w:rsidP="007325DF">
      <w:pPr>
        <w:autoSpaceDE w:val="0"/>
        <w:autoSpaceDN w:val="0"/>
        <w:adjustRightInd w:val="0"/>
        <w:rPr>
          <w:rFonts w:cs="TimesNewRomanPS"/>
        </w:rPr>
      </w:pPr>
      <w:r w:rsidRPr="009C5EFC">
        <w:rPr>
          <w:rFonts w:cs="TimesNewRomanPS"/>
        </w:rPr>
        <w:t>Milgrom, P.</w:t>
      </w:r>
      <w:r w:rsidR="0074784F" w:rsidRPr="009C5EFC">
        <w:rPr>
          <w:rFonts w:cs="TimesNewRomanPS"/>
        </w:rPr>
        <w:t xml:space="preserve"> (1981).</w:t>
      </w:r>
      <w:r w:rsidRPr="009C5EFC">
        <w:rPr>
          <w:rFonts w:cs="TimesNewRomanPS"/>
        </w:rPr>
        <w:t xml:space="preserve"> Good </w:t>
      </w:r>
      <w:r w:rsidR="0074784F" w:rsidRPr="009C5EFC">
        <w:rPr>
          <w:rFonts w:cs="TimesNewRomanPS"/>
        </w:rPr>
        <w:t>n</w:t>
      </w:r>
      <w:r w:rsidRPr="009C5EFC">
        <w:rPr>
          <w:rFonts w:cs="TimesNewRomanPS"/>
        </w:rPr>
        <w:t xml:space="preserve">ews and </w:t>
      </w:r>
      <w:r w:rsidR="0074784F" w:rsidRPr="009C5EFC">
        <w:rPr>
          <w:rFonts w:cs="TimesNewRomanPS"/>
        </w:rPr>
        <w:t>b</w:t>
      </w:r>
      <w:r w:rsidRPr="009C5EFC">
        <w:rPr>
          <w:rFonts w:cs="TimesNewRomanPS"/>
        </w:rPr>
        <w:t xml:space="preserve">ad </w:t>
      </w:r>
      <w:r w:rsidR="0074784F" w:rsidRPr="009C5EFC">
        <w:rPr>
          <w:rFonts w:cs="TimesNewRomanPS"/>
        </w:rPr>
        <w:t>n</w:t>
      </w:r>
      <w:r w:rsidRPr="009C5EFC">
        <w:rPr>
          <w:rFonts w:cs="TimesNewRomanPS"/>
        </w:rPr>
        <w:t xml:space="preserve">ews: Representation </w:t>
      </w:r>
      <w:r w:rsidR="0074784F" w:rsidRPr="009C5EFC">
        <w:rPr>
          <w:rFonts w:cs="TimesNewRomanPS"/>
        </w:rPr>
        <w:t>t</w:t>
      </w:r>
      <w:r w:rsidRPr="009C5EFC">
        <w:rPr>
          <w:rFonts w:cs="TimesNewRomanPS"/>
        </w:rPr>
        <w:t xml:space="preserve">heorems and </w:t>
      </w:r>
      <w:r w:rsidR="0074784F" w:rsidRPr="009C5EFC">
        <w:rPr>
          <w:rFonts w:cs="TimesNewRomanPS"/>
        </w:rPr>
        <w:t>a</w:t>
      </w:r>
      <w:r w:rsidRPr="009C5EFC">
        <w:rPr>
          <w:rFonts w:cs="TimesNewRomanPS"/>
        </w:rPr>
        <w:t xml:space="preserve">pplications. </w:t>
      </w:r>
      <w:r w:rsidRPr="009C5EFC">
        <w:rPr>
          <w:rFonts w:cs="TimesNewRomanPS-Italic"/>
          <w:i/>
          <w:iCs/>
        </w:rPr>
        <w:t>Bell Journal of Economics</w:t>
      </w:r>
      <w:r w:rsidRPr="009C5EFC">
        <w:rPr>
          <w:rFonts w:cs="TimesNewRomanPS"/>
          <w:i/>
        </w:rPr>
        <w:t>, 12</w:t>
      </w:r>
      <w:r w:rsidR="0074784F" w:rsidRPr="009C5EFC">
        <w:rPr>
          <w:rFonts w:cs="TimesNewRomanPS"/>
        </w:rPr>
        <w:t>(2)</w:t>
      </w:r>
      <w:r w:rsidRPr="009C5EFC">
        <w:rPr>
          <w:rFonts w:cs="TimesNewRomanPS"/>
        </w:rPr>
        <w:t>, 380–391.</w:t>
      </w:r>
    </w:p>
    <w:p w14:paraId="454721C1" w14:textId="77777777" w:rsidR="00BB0066" w:rsidRPr="00147497" w:rsidRDefault="00BB0066" w:rsidP="007325DF">
      <w:pPr>
        <w:autoSpaceDE w:val="0"/>
        <w:autoSpaceDN w:val="0"/>
        <w:adjustRightInd w:val="0"/>
      </w:pPr>
    </w:p>
    <w:p w14:paraId="3F4F38E5" w14:textId="7231C574" w:rsidR="00782272" w:rsidRPr="00147497" w:rsidRDefault="00782272" w:rsidP="00782272">
      <w:r w:rsidRPr="00147497">
        <w:t xml:space="preserve">Miller, E. </w:t>
      </w:r>
      <w:r w:rsidR="0074784F" w:rsidRPr="00147497">
        <w:t xml:space="preserve">&amp; </w:t>
      </w:r>
      <w:r w:rsidRPr="00147497">
        <w:t>Buys, L. (2008)</w:t>
      </w:r>
      <w:r w:rsidR="0074784F" w:rsidRPr="00147497">
        <w:t>.</w:t>
      </w:r>
      <w:r w:rsidRPr="00147497">
        <w:t xml:space="preserve"> Retrofitting </w:t>
      </w:r>
      <w:r w:rsidR="0074784F" w:rsidRPr="00147497">
        <w:t>c</w:t>
      </w:r>
      <w:r w:rsidRPr="00147497">
        <w:t xml:space="preserve">ommercial </w:t>
      </w:r>
      <w:r w:rsidR="0074784F" w:rsidRPr="00147497">
        <w:t>o</w:t>
      </w:r>
      <w:r w:rsidRPr="00147497">
        <w:t xml:space="preserve">ffice </w:t>
      </w:r>
      <w:r w:rsidR="0074784F" w:rsidRPr="00147497">
        <w:t>b</w:t>
      </w:r>
      <w:r w:rsidRPr="00147497">
        <w:t xml:space="preserve">uildings for </w:t>
      </w:r>
      <w:r w:rsidR="0074784F" w:rsidRPr="00147497">
        <w:t>s</w:t>
      </w:r>
      <w:r w:rsidRPr="00147497">
        <w:t>ustainability: Tenants</w:t>
      </w:r>
      <w:r w:rsidR="0074784F" w:rsidRPr="00147497">
        <w:t>’</w:t>
      </w:r>
      <w:r w:rsidRPr="00147497">
        <w:t xml:space="preserve"> </w:t>
      </w:r>
      <w:r w:rsidR="0074784F" w:rsidRPr="00147497">
        <w:t>p</w:t>
      </w:r>
      <w:r w:rsidRPr="00147497">
        <w:t>erspectives. Journal of Property Investment &amp; Finance, 26(6), 552</w:t>
      </w:r>
      <w:r w:rsidR="0079625B">
        <w:t>–</w:t>
      </w:r>
      <w:r w:rsidRPr="00147497">
        <w:t>561.</w:t>
      </w:r>
    </w:p>
    <w:p w14:paraId="5D4686ED" w14:textId="77777777" w:rsidR="00782272" w:rsidRPr="00147497" w:rsidRDefault="00782272" w:rsidP="00D26F46"/>
    <w:p w14:paraId="785F7B23" w14:textId="5909562A" w:rsidR="005725B4" w:rsidRPr="00147497" w:rsidRDefault="005725B4" w:rsidP="00D26F46">
      <w:r w:rsidRPr="00147497">
        <w:t>Miller, N., Spivey, J. &amp; Florence, A. (2008) ‘Does Green Pay Off?’, Journal of Real Estate Portfolio Management, 14(4), 385</w:t>
      </w:r>
      <w:r w:rsidR="0079625B">
        <w:t>–</w:t>
      </w:r>
      <w:r w:rsidRPr="00147497">
        <w:t>400.</w:t>
      </w:r>
    </w:p>
    <w:p w14:paraId="0203DA5E" w14:textId="77777777" w:rsidR="005725B4" w:rsidRPr="00147497" w:rsidRDefault="005725B4" w:rsidP="00D26F46">
      <w:r w:rsidRPr="00147497">
        <w:t xml:space="preserve"> </w:t>
      </w:r>
    </w:p>
    <w:p w14:paraId="68DCF195" w14:textId="77777777" w:rsidR="005725B4" w:rsidRPr="00147497" w:rsidRDefault="005725B4" w:rsidP="00D26F46">
      <w:r w:rsidRPr="00147497">
        <w:t xml:space="preserve">Newell, G., MacFarlane, J., Kok, N. (2011), Building Better Returns: A study of the financial performance of Green Office Buildings in Australia, Australian Property Institute and Property Funds Association, September 2011, Sydney.  </w:t>
      </w:r>
    </w:p>
    <w:p w14:paraId="7F2CCC20" w14:textId="77777777" w:rsidR="005725B4" w:rsidRPr="00147497" w:rsidRDefault="005725B4" w:rsidP="00D26F46"/>
    <w:p w14:paraId="749FE726" w14:textId="08D3D6C7" w:rsidR="005725B4" w:rsidRPr="00147497" w:rsidRDefault="005725B4" w:rsidP="00D26F46">
      <w:r w:rsidRPr="00147497">
        <w:t>Newell, G., MacFarlane, J., Walker, R. (2014) Assessing energy rating premiums in the performance of green office buildings in Australia</w:t>
      </w:r>
      <w:r w:rsidR="0074784F" w:rsidRPr="00147497">
        <w:t>.</w:t>
      </w:r>
      <w:r w:rsidRPr="00147497">
        <w:t xml:space="preserve"> </w:t>
      </w:r>
      <w:r w:rsidRPr="009C5EFC">
        <w:rPr>
          <w:i/>
        </w:rPr>
        <w:t>Journal of Property Investment and Finance, 32</w:t>
      </w:r>
      <w:r w:rsidRPr="00147497">
        <w:t>(4), 352–370.</w:t>
      </w:r>
    </w:p>
    <w:p w14:paraId="3573A301" w14:textId="77777777" w:rsidR="005725B4" w:rsidRPr="00147497" w:rsidRDefault="005725B4" w:rsidP="00D26F46"/>
    <w:p w14:paraId="69E752F0" w14:textId="49690EAF" w:rsidR="005653A2" w:rsidRPr="00147497" w:rsidRDefault="005653A2" w:rsidP="00D26F46">
      <w:r w:rsidRPr="00147497">
        <w:t xml:space="preserve">Palm, P. (2015). The office market: </w:t>
      </w:r>
      <w:r w:rsidR="0074784F" w:rsidRPr="00147497">
        <w:t>A</w:t>
      </w:r>
      <w:r w:rsidRPr="00147497">
        <w:t xml:space="preserve"> lemon market? A study of the Malmö CBD office market. </w:t>
      </w:r>
      <w:r w:rsidRPr="009C5EFC">
        <w:rPr>
          <w:i/>
          <w:iCs/>
        </w:rPr>
        <w:t>Journal of Property Investment &amp; Finance</w:t>
      </w:r>
      <w:r w:rsidRPr="009C5EFC">
        <w:rPr>
          <w:i/>
        </w:rPr>
        <w:t xml:space="preserve">, </w:t>
      </w:r>
      <w:r w:rsidRPr="009C5EFC">
        <w:rPr>
          <w:i/>
          <w:iCs/>
        </w:rPr>
        <w:t>33</w:t>
      </w:r>
      <w:r w:rsidRPr="00147497">
        <w:t>(2), 140</w:t>
      </w:r>
      <w:r w:rsidR="0074784F" w:rsidRPr="00147497">
        <w:t>–</w:t>
      </w:r>
      <w:r w:rsidRPr="00147497">
        <w:t>155.</w:t>
      </w:r>
    </w:p>
    <w:p w14:paraId="6FD8C415" w14:textId="77777777" w:rsidR="005653A2" w:rsidRPr="00147497" w:rsidRDefault="005653A2" w:rsidP="00D26F46"/>
    <w:p w14:paraId="140EF502" w14:textId="6013F50C" w:rsidR="005E45E3" w:rsidRPr="00147497" w:rsidRDefault="005E45E3" w:rsidP="00B827A8">
      <w:r w:rsidRPr="00147497">
        <w:t>Pape, A. (2013)</w:t>
      </w:r>
      <w:r w:rsidR="0074784F" w:rsidRPr="00147497">
        <w:t>.</w:t>
      </w:r>
      <w:r w:rsidRPr="00147497">
        <w:t xml:space="preserve"> </w:t>
      </w:r>
      <w:r w:rsidRPr="009C5EFC">
        <w:rPr>
          <w:i/>
        </w:rPr>
        <w:t xml:space="preserve">Energy </w:t>
      </w:r>
      <w:r w:rsidR="0074784F" w:rsidRPr="009C5EFC">
        <w:rPr>
          <w:i/>
        </w:rPr>
        <w:t>e</w:t>
      </w:r>
      <w:r w:rsidRPr="009C5EFC">
        <w:rPr>
          <w:i/>
        </w:rPr>
        <w:t xml:space="preserve">fficiency and </w:t>
      </w:r>
      <w:r w:rsidR="0074784F" w:rsidRPr="009C5EFC">
        <w:rPr>
          <w:i/>
        </w:rPr>
        <w:t>p</w:t>
      </w:r>
      <w:r w:rsidRPr="009C5EFC">
        <w:rPr>
          <w:i/>
        </w:rPr>
        <w:t xml:space="preserve">eople on </w:t>
      </w:r>
      <w:r w:rsidR="0074784F" w:rsidRPr="009C5EFC">
        <w:rPr>
          <w:i/>
        </w:rPr>
        <w:t>l</w:t>
      </w:r>
      <w:r w:rsidRPr="009C5EFC">
        <w:rPr>
          <w:i/>
        </w:rPr>
        <w:t xml:space="preserve">ow </w:t>
      </w:r>
      <w:r w:rsidR="0074784F" w:rsidRPr="009C5EFC">
        <w:rPr>
          <w:i/>
        </w:rPr>
        <w:t>i</w:t>
      </w:r>
      <w:r w:rsidRPr="009C5EFC">
        <w:rPr>
          <w:i/>
        </w:rPr>
        <w:t xml:space="preserve">ncomes: Improving </w:t>
      </w:r>
      <w:r w:rsidR="0074784F" w:rsidRPr="009C5EFC">
        <w:rPr>
          <w:i/>
        </w:rPr>
        <w:t>a</w:t>
      </w:r>
      <w:r w:rsidRPr="009C5EFC">
        <w:rPr>
          <w:i/>
        </w:rPr>
        <w:t>ffordability</w:t>
      </w:r>
      <w:r w:rsidR="0074784F" w:rsidRPr="00147497">
        <w:rPr>
          <w:i/>
        </w:rPr>
        <w:t xml:space="preserve"> </w:t>
      </w:r>
      <w:r w:rsidR="0074784F" w:rsidRPr="00147497">
        <w:t>(</w:t>
      </w:r>
      <w:r w:rsidRPr="00147497">
        <w:t xml:space="preserve">Report for </w:t>
      </w:r>
      <w:r w:rsidR="0074784F" w:rsidRPr="00147497">
        <w:t xml:space="preserve">the </w:t>
      </w:r>
      <w:r w:rsidRPr="00147497">
        <w:t>Australian Council of Social Science</w:t>
      </w:r>
      <w:r w:rsidR="0074784F" w:rsidRPr="00147497">
        <w:t>).</w:t>
      </w:r>
      <w:r w:rsidRPr="00147497">
        <w:t xml:space="preserve"> </w:t>
      </w:r>
      <w:r w:rsidR="0074784F" w:rsidRPr="00147497">
        <w:t>Retrieved</w:t>
      </w:r>
      <w:r w:rsidRPr="00147497">
        <w:t xml:space="preserve"> from </w:t>
      </w:r>
      <w:hyperlink r:id="rId9" w:history="1">
        <w:r w:rsidRPr="00147497">
          <w:rPr>
            <w:rStyle w:val="Hyperlink"/>
          </w:rPr>
          <w:t>www.acoss.org.au/energy-low-income-households/</w:t>
        </w:r>
      </w:hyperlink>
    </w:p>
    <w:p w14:paraId="139F739B" w14:textId="77777777" w:rsidR="005E45E3" w:rsidRPr="00147497" w:rsidRDefault="005E45E3" w:rsidP="00B827A8"/>
    <w:p w14:paraId="3C8D48A8" w14:textId="2CA68677" w:rsidR="00C219D4" w:rsidRPr="00147497" w:rsidRDefault="00C219D4" w:rsidP="00B827A8">
      <w:r w:rsidRPr="00147497">
        <w:t xml:space="preserve">Pitt </w:t>
      </w:r>
      <w:r w:rsidR="0074784F" w:rsidRPr="00147497">
        <w:t xml:space="preserve">&amp; </w:t>
      </w:r>
      <w:r w:rsidRPr="00147497">
        <w:t>Sherry (2014)</w:t>
      </w:r>
      <w:r w:rsidR="0074784F" w:rsidRPr="00147497">
        <w:t>.</w:t>
      </w:r>
      <w:r w:rsidRPr="00147497">
        <w:t xml:space="preserve"> </w:t>
      </w:r>
      <w:r w:rsidRPr="009C5EFC">
        <w:rPr>
          <w:i/>
        </w:rPr>
        <w:t>Reporting the energy efficiency of residential tenancies in the ACT: Options analysis</w:t>
      </w:r>
      <w:r w:rsidRPr="00147497">
        <w:t>.</w:t>
      </w:r>
      <w:r w:rsidR="0074784F" w:rsidRPr="00147497">
        <w:t xml:space="preserve"> Retrieved from</w:t>
      </w:r>
      <w:r w:rsidR="0079625B">
        <w:t xml:space="preserve"> </w:t>
      </w:r>
      <w:r w:rsidR="0074784F" w:rsidRPr="00147497">
        <w:t>www.environment.act.gov.au/__data/assets/pdf_file/0005/701186/</w:t>
      </w:r>
      <w:r w:rsidR="0074784F" w:rsidRPr="00147497">
        <w:br/>
        <w:t>Attachment-A-Energy-Efficiency-Information-for-Tenants-Final-Consultation-Report.pdf</w:t>
      </w:r>
    </w:p>
    <w:p w14:paraId="2A9F5939" w14:textId="77777777" w:rsidR="00C219D4" w:rsidRPr="00147497" w:rsidRDefault="00C219D4" w:rsidP="00B827A8"/>
    <w:p w14:paraId="48680031" w14:textId="22058561" w:rsidR="00001B9F" w:rsidRPr="00147497" w:rsidRDefault="00001B9F" w:rsidP="00B827A8">
      <w:r w:rsidRPr="00147497">
        <w:t>Property Council of Australia</w:t>
      </w:r>
      <w:r w:rsidR="0074784F" w:rsidRPr="00147497">
        <w:t>.</w:t>
      </w:r>
      <w:r w:rsidRPr="00147497">
        <w:t xml:space="preserve"> (2016)</w:t>
      </w:r>
      <w:r w:rsidR="0074784F" w:rsidRPr="00147497">
        <w:t>.</w:t>
      </w:r>
      <w:r w:rsidRPr="00147497">
        <w:t xml:space="preserve"> </w:t>
      </w:r>
      <w:r w:rsidRPr="009C5EFC">
        <w:rPr>
          <w:i/>
        </w:rPr>
        <w:t>Retrofitting mid-tier buildings</w:t>
      </w:r>
      <w:r w:rsidR="0074784F" w:rsidRPr="00147497">
        <w:t xml:space="preserve"> [</w:t>
      </w:r>
      <w:r w:rsidRPr="00147497">
        <w:t xml:space="preserve">Press </w:t>
      </w:r>
      <w:r w:rsidR="0074784F" w:rsidRPr="00147497">
        <w:t>r</w:t>
      </w:r>
      <w:r w:rsidRPr="00147497">
        <w:t>elease</w:t>
      </w:r>
      <w:r w:rsidR="0074784F" w:rsidRPr="00147497">
        <w:t>].</w:t>
      </w:r>
      <w:r w:rsidRPr="00147497">
        <w:t xml:space="preserve"> </w:t>
      </w:r>
      <w:r w:rsidR="0074784F" w:rsidRPr="00147497">
        <w:t>Retrieved</w:t>
      </w:r>
      <w:r w:rsidRPr="00147497">
        <w:t xml:space="preserve"> from www.propertycouncil.com.au/Web/Content/News/National/2016/Retrofitting_mid-tier_buildings.aspx</w:t>
      </w:r>
    </w:p>
    <w:p w14:paraId="75B9E642" w14:textId="77777777" w:rsidR="00001B9F" w:rsidRPr="00147497" w:rsidRDefault="00001B9F" w:rsidP="00B827A8"/>
    <w:p w14:paraId="598D1849" w14:textId="61D0C87A" w:rsidR="00645A79" w:rsidRPr="00147497" w:rsidRDefault="00645A79" w:rsidP="00645A79">
      <w:r w:rsidRPr="00147497">
        <w:lastRenderedPageBreak/>
        <w:t xml:space="preserve">Qian, Q. K., Chan, E. H. &amp; Choy, L. H. (2013). How transaction costs affect real estate developers entering into the building energy efficiency (BEE) market? </w:t>
      </w:r>
      <w:r w:rsidRPr="009C5EFC">
        <w:rPr>
          <w:i/>
          <w:iCs/>
        </w:rPr>
        <w:t>Habitat International</w:t>
      </w:r>
      <w:r w:rsidRPr="009C5EFC">
        <w:rPr>
          <w:i/>
        </w:rPr>
        <w:t xml:space="preserve">, </w:t>
      </w:r>
      <w:r w:rsidRPr="009C5EFC">
        <w:rPr>
          <w:i/>
          <w:iCs/>
        </w:rPr>
        <w:t>37</w:t>
      </w:r>
      <w:r w:rsidRPr="00147497">
        <w:t>, 138</w:t>
      </w:r>
      <w:r w:rsidR="0074784F" w:rsidRPr="00147497">
        <w:t>–</w:t>
      </w:r>
      <w:r w:rsidRPr="00147497">
        <w:t>147.</w:t>
      </w:r>
    </w:p>
    <w:p w14:paraId="121A1659" w14:textId="77777777" w:rsidR="00645A79" w:rsidRPr="00147497" w:rsidRDefault="00645A79" w:rsidP="00D26F46"/>
    <w:p w14:paraId="30411D21" w14:textId="4D6A3BF0" w:rsidR="005725B4" w:rsidRPr="00147497" w:rsidRDefault="005725B4" w:rsidP="00D26F46">
      <w:r w:rsidRPr="00147497">
        <w:t>Reichardt, A., Fuerst, F., Rottke, N.</w:t>
      </w:r>
      <w:r w:rsidR="0074784F" w:rsidRPr="00147497">
        <w:t xml:space="preserve"> </w:t>
      </w:r>
      <w:r w:rsidRPr="00147497">
        <w:t>B.</w:t>
      </w:r>
      <w:r w:rsidR="0074784F" w:rsidRPr="00147497">
        <w:t xml:space="preserve"> &amp;</w:t>
      </w:r>
      <w:r w:rsidRPr="00147497">
        <w:t xml:space="preserve"> Zietz, J. (2012)</w:t>
      </w:r>
      <w:r w:rsidR="0074784F" w:rsidRPr="00147497">
        <w:t>.</w:t>
      </w:r>
      <w:r w:rsidRPr="00147497">
        <w:t xml:space="preserve"> Sustainable </w:t>
      </w:r>
      <w:r w:rsidR="0074784F" w:rsidRPr="00147497">
        <w:t>b</w:t>
      </w:r>
      <w:r w:rsidRPr="00147497">
        <w:t xml:space="preserve">uilding </w:t>
      </w:r>
      <w:r w:rsidR="0074784F" w:rsidRPr="00147497">
        <w:t>c</w:t>
      </w:r>
      <w:r w:rsidRPr="00147497">
        <w:t xml:space="preserve">ertification and the </w:t>
      </w:r>
      <w:r w:rsidR="0074784F" w:rsidRPr="00147497">
        <w:t>r</w:t>
      </w:r>
      <w:r w:rsidRPr="00147497">
        <w:t>ent premium: A panel data approach</w:t>
      </w:r>
      <w:r w:rsidR="0074784F" w:rsidRPr="00147497">
        <w:t>.</w:t>
      </w:r>
      <w:r w:rsidRPr="00147497">
        <w:t xml:space="preserve"> </w:t>
      </w:r>
      <w:r w:rsidRPr="009C5EFC">
        <w:rPr>
          <w:i/>
        </w:rPr>
        <w:t>Journal of Real Estate Research, 34</w:t>
      </w:r>
      <w:r w:rsidRPr="00147497">
        <w:t>, 99</w:t>
      </w:r>
      <w:r w:rsidR="0074784F" w:rsidRPr="00147497">
        <w:t>–</w:t>
      </w:r>
      <w:r w:rsidRPr="00147497">
        <w:t>126</w:t>
      </w:r>
      <w:r w:rsidR="0074784F" w:rsidRPr="00147497">
        <w:t>.</w:t>
      </w:r>
    </w:p>
    <w:p w14:paraId="4D074491" w14:textId="77777777" w:rsidR="005725B4" w:rsidRPr="00147497" w:rsidRDefault="005725B4" w:rsidP="00D26F46"/>
    <w:p w14:paraId="0FA28D0E" w14:textId="041709E8" w:rsidR="00FB5B91" w:rsidRDefault="00FB5B91" w:rsidP="003A30EC">
      <w:r>
        <w:t xml:space="preserve">Simon, H., (1972) </w:t>
      </w:r>
      <w:r w:rsidR="000C1F14">
        <w:t xml:space="preserve">Chapter 8: </w:t>
      </w:r>
      <w:r>
        <w:t xml:space="preserve">Theories of Bounded Rationality, </w:t>
      </w:r>
      <w:r w:rsidR="000C1F14">
        <w:t>In:</w:t>
      </w:r>
      <w:r w:rsidR="004F18A4">
        <w:t xml:space="preserve"> McGuire, C.B., Radner, R., (ed.)</w:t>
      </w:r>
      <w:r w:rsidR="004149FA">
        <w:t xml:space="preserve"> </w:t>
      </w:r>
      <w:r w:rsidR="004149FA" w:rsidRPr="0011646C">
        <w:rPr>
          <w:i/>
        </w:rPr>
        <w:t>Decision and Organization</w:t>
      </w:r>
      <w:r w:rsidR="004149FA">
        <w:t>,</w:t>
      </w:r>
      <w:r w:rsidR="004F18A4">
        <w:t xml:space="preserve"> North-Hlland Publishing Company, Amsterdam</w:t>
      </w:r>
      <w:r w:rsidR="004149FA">
        <w:t xml:space="preserve"> </w:t>
      </w:r>
    </w:p>
    <w:p w14:paraId="1FBA7D82" w14:textId="77777777" w:rsidR="00FB5B91" w:rsidRDefault="00FB5B91" w:rsidP="003A30EC"/>
    <w:p w14:paraId="72EAD0D2" w14:textId="6A0A1452" w:rsidR="003A30EC" w:rsidRPr="00147497" w:rsidRDefault="003A30EC" w:rsidP="003A30EC">
      <w:r w:rsidRPr="00147497">
        <w:t xml:space="preserve">Sedlacek, S. &amp; Maier, G. (2012). Can green building councils serve as third party governance institutions? An economic and institutional analysis. </w:t>
      </w:r>
      <w:r w:rsidRPr="009C5EFC">
        <w:rPr>
          <w:i/>
          <w:iCs/>
        </w:rPr>
        <w:t xml:space="preserve">Energy </w:t>
      </w:r>
      <w:r w:rsidR="0074784F" w:rsidRPr="009C5EFC">
        <w:rPr>
          <w:i/>
          <w:iCs/>
        </w:rPr>
        <w:t>P</w:t>
      </w:r>
      <w:r w:rsidRPr="009C5EFC">
        <w:rPr>
          <w:i/>
          <w:iCs/>
        </w:rPr>
        <w:t>olicy</w:t>
      </w:r>
      <w:r w:rsidRPr="009C5EFC">
        <w:rPr>
          <w:i/>
        </w:rPr>
        <w:t>,</w:t>
      </w:r>
      <w:r w:rsidRPr="00147497">
        <w:t xml:space="preserve"> </w:t>
      </w:r>
      <w:r w:rsidRPr="00147497">
        <w:rPr>
          <w:i/>
          <w:iCs/>
        </w:rPr>
        <w:t>49</w:t>
      </w:r>
      <w:r w:rsidRPr="00147497">
        <w:t>, 479</w:t>
      </w:r>
      <w:r w:rsidR="0074784F" w:rsidRPr="00147497">
        <w:t>–</w:t>
      </w:r>
      <w:r w:rsidRPr="00147497">
        <w:t>487.</w:t>
      </w:r>
    </w:p>
    <w:p w14:paraId="58C2AA01" w14:textId="77777777" w:rsidR="003A30EC" w:rsidRPr="00147497" w:rsidRDefault="003A30EC" w:rsidP="00D26F46"/>
    <w:p w14:paraId="2ADE56C1" w14:textId="62747C14" w:rsidR="005725B4" w:rsidRPr="00147497" w:rsidRDefault="005725B4" w:rsidP="00D26F46">
      <w:r w:rsidRPr="00147497">
        <w:t>Surmann, M., Brunauer, W.</w:t>
      </w:r>
      <w:r w:rsidR="0074784F" w:rsidRPr="00147497">
        <w:t xml:space="preserve"> &amp;</w:t>
      </w:r>
      <w:r w:rsidRPr="00147497">
        <w:t xml:space="preserve"> Bienert, S. (2015)</w:t>
      </w:r>
      <w:r w:rsidR="0074784F" w:rsidRPr="00147497">
        <w:t>.</w:t>
      </w:r>
      <w:r w:rsidRPr="00147497">
        <w:t xml:space="preserve"> How does energy efficiency influence the </w:t>
      </w:r>
      <w:r w:rsidR="0074784F" w:rsidRPr="00147497">
        <w:t>m</w:t>
      </w:r>
      <w:r w:rsidRPr="00147497">
        <w:t xml:space="preserve">arket </w:t>
      </w:r>
      <w:r w:rsidR="0074784F" w:rsidRPr="00147497">
        <w:t>v</w:t>
      </w:r>
      <w:r w:rsidRPr="00147497">
        <w:t xml:space="preserve">alue of office buildings in Germany and does this effect increase over time? </w:t>
      </w:r>
      <w:r w:rsidRPr="009C5EFC">
        <w:rPr>
          <w:i/>
        </w:rPr>
        <w:t>Journal of European Real Estate Research,</w:t>
      </w:r>
      <w:r w:rsidR="0074784F" w:rsidRPr="00147497">
        <w:rPr>
          <w:i/>
        </w:rPr>
        <w:t xml:space="preserve"> </w:t>
      </w:r>
      <w:r w:rsidRPr="009C5EFC">
        <w:rPr>
          <w:i/>
        </w:rPr>
        <w:t>8</w:t>
      </w:r>
      <w:r w:rsidR="0074784F" w:rsidRPr="00147497">
        <w:t>(</w:t>
      </w:r>
      <w:r w:rsidRPr="00147497">
        <w:t>3</w:t>
      </w:r>
      <w:r w:rsidR="00147497" w:rsidRPr="00147497">
        <w:t>)</w:t>
      </w:r>
      <w:r w:rsidRPr="00147497">
        <w:t>,</w:t>
      </w:r>
      <w:r w:rsidR="00147497" w:rsidRPr="00147497">
        <w:t xml:space="preserve"> </w:t>
      </w:r>
      <w:r w:rsidRPr="00147497">
        <w:t>243</w:t>
      </w:r>
      <w:r w:rsidR="00147497" w:rsidRPr="00147497">
        <w:t>–</w:t>
      </w:r>
      <w:r w:rsidRPr="00147497">
        <w:t>266</w:t>
      </w:r>
      <w:r w:rsidR="00147497" w:rsidRPr="00147497">
        <w:t>.</w:t>
      </w:r>
    </w:p>
    <w:p w14:paraId="2EB2E90E" w14:textId="1259E2E2" w:rsidR="005725B4" w:rsidRDefault="005725B4" w:rsidP="00D26F46"/>
    <w:p w14:paraId="1D61A416" w14:textId="137E556C" w:rsidR="0089235F" w:rsidRPr="0011646C" w:rsidRDefault="00F65C7B" w:rsidP="0011646C">
      <w:pPr>
        <w:jc w:val="left"/>
        <w:rPr>
          <w:rFonts w:ascii="Times New Roman" w:eastAsia="Times New Roman" w:hAnsi="Times New Roman" w:cs="Times New Roman"/>
          <w:lang w:eastAsia="en-GB"/>
        </w:rPr>
      </w:pPr>
      <w:r w:rsidRPr="00F65C7B">
        <w:rPr>
          <w:rFonts w:ascii="Times New Roman" w:eastAsia="Times New Roman" w:hAnsi="Times New Roman" w:cs="Times New Roman"/>
          <w:lang w:eastAsia="en-GB"/>
        </w:rPr>
        <w:t>Sutherland, R. J. (1991). Marke</w:t>
      </w:r>
      <w:r>
        <w:rPr>
          <w:rFonts w:ascii="Times New Roman" w:eastAsia="Times New Roman" w:hAnsi="Times New Roman" w:cs="Times New Roman"/>
          <w:lang w:eastAsia="en-GB"/>
        </w:rPr>
        <w:t>t Barriers to Energy-Efficiency I</w:t>
      </w:r>
      <w:r w:rsidRPr="00F65C7B">
        <w:rPr>
          <w:rFonts w:ascii="Times New Roman" w:eastAsia="Times New Roman" w:hAnsi="Times New Roman" w:cs="Times New Roman"/>
          <w:lang w:eastAsia="en-GB"/>
        </w:rPr>
        <w:t xml:space="preserve">nvestments. </w:t>
      </w:r>
      <w:r w:rsidRPr="00F65C7B">
        <w:rPr>
          <w:rFonts w:ascii="Times New Roman" w:eastAsia="Times New Roman" w:hAnsi="Times New Roman" w:cs="Times New Roman"/>
          <w:i/>
          <w:iCs/>
          <w:lang w:eastAsia="en-GB"/>
        </w:rPr>
        <w:t>The Energy Journal</w:t>
      </w:r>
      <w:r w:rsidRPr="00F65C7B">
        <w:rPr>
          <w:rFonts w:ascii="Times New Roman" w:eastAsia="Times New Roman" w:hAnsi="Times New Roman" w:cs="Times New Roman"/>
          <w:lang w:eastAsia="en-GB"/>
        </w:rPr>
        <w:t>, 15-34.</w:t>
      </w:r>
    </w:p>
    <w:p w14:paraId="571B2B02" w14:textId="77777777" w:rsidR="0089235F" w:rsidRPr="00147497" w:rsidRDefault="0089235F" w:rsidP="00D26F46"/>
    <w:p w14:paraId="0730A305" w14:textId="1B0A0E7C" w:rsidR="00FE5A3D" w:rsidRPr="00147497" w:rsidRDefault="00FE5A3D" w:rsidP="00FE5A3D">
      <w:r w:rsidRPr="00147497">
        <w:t>Myers, G., Reed, R., &amp; Robinson, J. (2008). Sustainable property</w:t>
      </w:r>
      <w:r w:rsidR="00147497" w:rsidRPr="00147497">
        <w:t>—T</w:t>
      </w:r>
      <w:r w:rsidRPr="00147497">
        <w:t xml:space="preserve">he future of the New Zealand Market. </w:t>
      </w:r>
      <w:r w:rsidRPr="00147497">
        <w:rPr>
          <w:i/>
          <w:iCs/>
        </w:rPr>
        <w:t>Pacific Rim Property Research Journal</w:t>
      </w:r>
      <w:r w:rsidRPr="00147497">
        <w:t xml:space="preserve">, </w:t>
      </w:r>
      <w:r w:rsidRPr="00147497">
        <w:rPr>
          <w:i/>
          <w:iCs/>
        </w:rPr>
        <w:t>14</w:t>
      </w:r>
      <w:r w:rsidRPr="00147497">
        <w:t>(3), 298</w:t>
      </w:r>
      <w:r w:rsidR="00147497" w:rsidRPr="00147497">
        <w:t>–</w:t>
      </w:r>
      <w:r w:rsidRPr="00147497">
        <w:t>321.</w:t>
      </w:r>
    </w:p>
    <w:p w14:paraId="3036DFB0" w14:textId="77777777" w:rsidR="00FE5A3D" w:rsidRPr="00147497" w:rsidRDefault="00FE5A3D" w:rsidP="00D26F46"/>
    <w:p w14:paraId="20A387BE" w14:textId="27F1E301" w:rsidR="005725B4" w:rsidRPr="00147497" w:rsidRDefault="005725B4" w:rsidP="009C5EFC">
      <w:pPr>
        <w:spacing w:before="240"/>
      </w:pPr>
      <w:r w:rsidRPr="00147497">
        <w:t>Warren-Myers, G. (2016)</w:t>
      </w:r>
      <w:r w:rsidR="00147497" w:rsidRPr="00147497">
        <w:t>.</w:t>
      </w:r>
      <w:r w:rsidRPr="00147497">
        <w:t xml:space="preserve"> Sustainability evolution in the Australia property market: </w:t>
      </w:r>
      <w:r w:rsidR="00147497" w:rsidRPr="00147497">
        <w:t>E</w:t>
      </w:r>
      <w:r w:rsidRPr="00147497">
        <w:t>xamining valuers’ comprehensive, knowledge and value</w:t>
      </w:r>
      <w:r w:rsidR="00147497" w:rsidRPr="00147497">
        <w:t>.</w:t>
      </w:r>
      <w:r w:rsidRPr="00147497">
        <w:t xml:space="preserve"> </w:t>
      </w:r>
      <w:r w:rsidRPr="009C5EFC">
        <w:rPr>
          <w:i/>
        </w:rPr>
        <w:t>Journal of Property Investment and Finance, 34</w:t>
      </w:r>
      <w:r w:rsidR="00147497" w:rsidRPr="009C5EFC">
        <w:t>(</w:t>
      </w:r>
      <w:r w:rsidRPr="00147497">
        <w:t>6</w:t>
      </w:r>
      <w:r w:rsidR="00147497" w:rsidRPr="00147497">
        <w:t>)</w:t>
      </w:r>
      <w:r w:rsidRPr="00147497">
        <w:t>.</w:t>
      </w:r>
    </w:p>
    <w:p w14:paraId="3C9B4CB4" w14:textId="77777777" w:rsidR="005725B4" w:rsidRPr="00147497" w:rsidRDefault="005725B4" w:rsidP="00D26F46"/>
    <w:p w14:paraId="2CDA7693" w14:textId="29C93A9E" w:rsidR="005725B4" w:rsidRPr="00147497" w:rsidRDefault="005725B4" w:rsidP="00D26F46">
      <w:r w:rsidRPr="00147497">
        <w:t xml:space="preserve">Wiley, J., Benefield, J. </w:t>
      </w:r>
      <w:r w:rsidR="00147497" w:rsidRPr="00147497">
        <w:t xml:space="preserve">&amp; </w:t>
      </w:r>
      <w:r w:rsidRPr="00147497">
        <w:t xml:space="preserve">Johnson, K. </w:t>
      </w:r>
      <w:r w:rsidR="00147497" w:rsidRPr="00147497">
        <w:t>(</w:t>
      </w:r>
      <w:r w:rsidRPr="00147497">
        <w:t>2010</w:t>
      </w:r>
      <w:r w:rsidR="00147497" w:rsidRPr="00147497">
        <w:t>)</w:t>
      </w:r>
      <w:r w:rsidRPr="00147497">
        <w:t xml:space="preserve">. Green </w:t>
      </w:r>
      <w:r w:rsidR="00147497" w:rsidRPr="00147497">
        <w:t>d</w:t>
      </w:r>
      <w:r w:rsidRPr="00147497">
        <w:t xml:space="preserve">esign and the </w:t>
      </w:r>
      <w:r w:rsidR="00147497" w:rsidRPr="00147497">
        <w:t>m</w:t>
      </w:r>
      <w:r w:rsidRPr="00147497">
        <w:t xml:space="preserve">arket for </w:t>
      </w:r>
      <w:r w:rsidR="00147497" w:rsidRPr="00147497">
        <w:t>c</w:t>
      </w:r>
      <w:r w:rsidRPr="00147497">
        <w:t xml:space="preserve">ommercial </w:t>
      </w:r>
      <w:r w:rsidR="00147497" w:rsidRPr="00147497">
        <w:t>o</w:t>
      </w:r>
      <w:r w:rsidRPr="00147497">
        <w:t xml:space="preserve">ffice </w:t>
      </w:r>
      <w:r w:rsidR="00147497" w:rsidRPr="00147497">
        <w:t>s</w:t>
      </w:r>
      <w:r w:rsidRPr="00147497">
        <w:t xml:space="preserve">pace. </w:t>
      </w:r>
      <w:r w:rsidRPr="009C5EFC">
        <w:rPr>
          <w:i/>
        </w:rPr>
        <w:t xml:space="preserve">Journal of Real </w:t>
      </w:r>
      <w:r w:rsidR="00147497" w:rsidRPr="009C5EFC">
        <w:rPr>
          <w:i/>
        </w:rPr>
        <w:t>Es</w:t>
      </w:r>
      <w:r w:rsidRPr="009C5EFC">
        <w:rPr>
          <w:i/>
        </w:rPr>
        <w:t>tate Finance and Economics, 41</w:t>
      </w:r>
      <w:r w:rsidRPr="00147497">
        <w:t>(2)</w:t>
      </w:r>
      <w:r w:rsidR="00147497" w:rsidRPr="00147497">
        <w:t>,</w:t>
      </w:r>
      <w:r w:rsidRPr="00147497">
        <w:t xml:space="preserve"> 228</w:t>
      </w:r>
      <w:r w:rsidR="00147497" w:rsidRPr="00147497">
        <w:t>–</w:t>
      </w:r>
      <w:r w:rsidRPr="00147497">
        <w:t>243.</w:t>
      </w:r>
    </w:p>
    <w:p w14:paraId="2C6DFA7C" w14:textId="77777777" w:rsidR="005725B4" w:rsidRPr="00147497" w:rsidRDefault="005725B4" w:rsidP="00D26F46"/>
    <w:p w14:paraId="37DC4D07" w14:textId="51BDDDEB" w:rsidR="005725B4" w:rsidRPr="00147497" w:rsidRDefault="005725B4" w:rsidP="00D26F46">
      <w:r w:rsidRPr="00147497">
        <w:t>Van der Heijden, J. (2014)</w:t>
      </w:r>
      <w:r w:rsidR="00147497" w:rsidRPr="00147497">
        <w:t>.</w:t>
      </w:r>
      <w:r w:rsidRPr="00147497">
        <w:t xml:space="preserve"> </w:t>
      </w:r>
      <w:r w:rsidRPr="009C5EFC">
        <w:rPr>
          <w:i/>
        </w:rPr>
        <w:t xml:space="preserve">Governance for </w:t>
      </w:r>
      <w:r w:rsidR="00147497" w:rsidRPr="009C5EFC">
        <w:rPr>
          <w:i/>
        </w:rPr>
        <w:t>u</w:t>
      </w:r>
      <w:r w:rsidRPr="009C5EFC">
        <w:rPr>
          <w:i/>
        </w:rPr>
        <w:t xml:space="preserve">rban </w:t>
      </w:r>
      <w:r w:rsidR="00147497" w:rsidRPr="009C5EFC">
        <w:rPr>
          <w:i/>
        </w:rPr>
        <w:t>s</w:t>
      </w:r>
      <w:r w:rsidRPr="009C5EFC">
        <w:rPr>
          <w:i/>
        </w:rPr>
        <w:t xml:space="preserve">ustainability and </w:t>
      </w:r>
      <w:r w:rsidR="00147497" w:rsidRPr="009C5EFC">
        <w:rPr>
          <w:i/>
        </w:rPr>
        <w:t>r</w:t>
      </w:r>
      <w:r w:rsidRPr="009C5EFC">
        <w:rPr>
          <w:i/>
        </w:rPr>
        <w:t xml:space="preserve">esilience: Responding to </w:t>
      </w:r>
      <w:r w:rsidR="00147497" w:rsidRPr="009C5EFC">
        <w:rPr>
          <w:i/>
        </w:rPr>
        <w:t>c</w:t>
      </w:r>
      <w:r w:rsidRPr="009C5EFC">
        <w:rPr>
          <w:i/>
        </w:rPr>
        <w:t xml:space="preserve">limate </w:t>
      </w:r>
      <w:r w:rsidR="00147497" w:rsidRPr="009C5EFC">
        <w:rPr>
          <w:i/>
        </w:rPr>
        <w:t>c</w:t>
      </w:r>
      <w:r w:rsidRPr="009C5EFC">
        <w:rPr>
          <w:i/>
        </w:rPr>
        <w:t xml:space="preserve">hange and the </w:t>
      </w:r>
      <w:r w:rsidR="00147497" w:rsidRPr="009C5EFC">
        <w:rPr>
          <w:i/>
        </w:rPr>
        <w:t>r</w:t>
      </w:r>
      <w:r w:rsidRPr="009C5EFC">
        <w:rPr>
          <w:i/>
        </w:rPr>
        <w:t xml:space="preserve">elevance of the </w:t>
      </w:r>
      <w:r w:rsidR="00147497" w:rsidRPr="009C5EFC">
        <w:rPr>
          <w:i/>
        </w:rPr>
        <w:t>b</w:t>
      </w:r>
      <w:r w:rsidRPr="009C5EFC">
        <w:rPr>
          <w:i/>
        </w:rPr>
        <w:t xml:space="preserve">uilt </w:t>
      </w:r>
      <w:r w:rsidR="00147497" w:rsidRPr="009C5EFC">
        <w:rPr>
          <w:i/>
        </w:rPr>
        <w:t>e</w:t>
      </w:r>
      <w:r w:rsidRPr="009C5EFC">
        <w:rPr>
          <w:i/>
        </w:rPr>
        <w:t>nvironment</w:t>
      </w:r>
      <w:r w:rsidR="00147497" w:rsidRPr="00147497">
        <w:t xml:space="preserve">. </w:t>
      </w:r>
      <w:r w:rsidR="00CA33FA" w:rsidRPr="00147497">
        <w:t>http://dx.doi.org/10.4337/9781782548133</w:t>
      </w:r>
    </w:p>
    <w:p w14:paraId="21348515" w14:textId="77777777" w:rsidR="00CA33FA" w:rsidRDefault="00CA33FA" w:rsidP="00D26F46"/>
    <w:p w14:paraId="157C6B56" w14:textId="3E8D8681" w:rsidR="00274DE3" w:rsidRDefault="00274DE3" w:rsidP="00D26F46">
      <w:r>
        <w:br w:type="page"/>
      </w:r>
    </w:p>
    <w:p w14:paraId="566DC71F" w14:textId="5327E822" w:rsidR="008228BD" w:rsidRDefault="00F847B9" w:rsidP="00D26F46">
      <w:r>
        <w:rPr>
          <w:noProof/>
          <w:lang w:eastAsia="en-GB"/>
        </w:rPr>
        <w:lastRenderedPageBreak/>
        <w:drawing>
          <wp:inline distT="0" distB="0" distL="0" distR="0" wp14:anchorId="3D015338" wp14:editId="27D4EF11">
            <wp:extent cx="4572000" cy="274320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291A160" w14:textId="4CFB04B3" w:rsidR="00F847B9" w:rsidRPr="000A0A13" w:rsidRDefault="00F847B9" w:rsidP="00F847B9">
      <w:pPr>
        <w:rPr>
          <w:b/>
        </w:rPr>
      </w:pPr>
      <w:r>
        <w:rPr>
          <w:b/>
        </w:rPr>
        <w:t xml:space="preserve">Figure 1: Disclosure rates of EER information in the ACT rental market. </w:t>
      </w:r>
    </w:p>
    <w:p w14:paraId="6D1C99B0" w14:textId="000D8AD4" w:rsidR="008228BD" w:rsidRDefault="008228BD" w:rsidP="00D26F46"/>
    <w:p w14:paraId="2293861D" w14:textId="108CC8A0" w:rsidR="00F847B9" w:rsidRDefault="00F847B9" w:rsidP="00D26F46"/>
    <w:p w14:paraId="03F96B2F" w14:textId="77777777" w:rsidR="00F847B9" w:rsidRDefault="00F847B9" w:rsidP="00D26F46"/>
    <w:p w14:paraId="24520576" w14:textId="04EF8986" w:rsidR="005A18FE" w:rsidRDefault="005A18FE" w:rsidP="005A18FE">
      <w:r>
        <w:rPr>
          <w:noProof/>
          <w:lang w:eastAsia="en-GB"/>
        </w:rPr>
        <w:drawing>
          <wp:inline distT="0" distB="0" distL="0" distR="0" wp14:anchorId="461F791F" wp14:editId="30BBA135">
            <wp:extent cx="5652135" cy="3088640"/>
            <wp:effectExtent l="0" t="0" r="12065" b="1016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47B98FE" w14:textId="44A934C5" w:rsidR="000A077F" w:rsidRDefault="000A077F" w:rsidP="005A18FE"/>
    <w:p w14:paraId="63EFBD6B" w14:textId="0A44789B" w:rsidR="000A077F" w:rsidRPr="000A0A13" w:rsidRDefault="000A077F" w:rsidP="000A077F">
      <w:pPr>
        <w:rPr>
          <w:b/>
        </w:rPr>
      </w:pPr>
      <w:r>
        <w:rPr>
          <w:b/>
        </w:rPr>
        <w:t xml:space="preserve">Figure </w:t>
      </w:r>
      <w:r w:rsidR="008228BD">
        <w:rPr>
          <w:b/>
        </w:rPr>
        <w:t>2</w:t>
      </w:r>
      <w:r>
        <w:rPr>
          <w:b/>
        </w:rPr>
        <w:t xml:space="preserve">: Hedonic estimates of EER rental price effects by star rating and property type (reference category is a </w:t>
      </w:r>
      <w:r w:rsidR="000B2BF1">
        <w:rPr>
          <w:b/>
        </w:rPr>
        <w:t>zero</w:t>
      </w:r>
      <w:r>
        <w:rPr>
          <w:b/>
        </w:rPr>
        <w:t>-rated house)</w:t>
      </w:r>
    </w:p>
    <w:p w14:paraId="7F4290A7" w14:textId="77777777" w:rsidR="000A077F" w:rsidRDefault="000A077F" w:rsidP="000A077F"/>
    <w:p w14:paraId="4396FD16" w14:textId="183BD46F" w:rsidR="008001D2" w:rsidRDefault="008001D2" w:rsidP="00D26F46">
      <w:pPr>
        <w:rPr>
          <w:b/>
        </w:rPr>
      </w:pPr>
      <w:r w:rsidRPr="008001D2">
        <w:rPr>
          <w:noProof/>
          <w:lang w:eastAsia="en-GB"/>
        </w:rPr>
        <w:lastRenderedPageBreak/>
        <w:drawing>
          <wp:inline distT="0" distB="0" distL="0" distR="0" wp14:anchorId="4A5157A0" wp14:editId="7D3710C9">
            <wp:extent cx="5727700" cy="3274695"/>
            <wp:effectExtent l="0" t="0" r="12700" b="1905"/>
            <wp:docPr id="2" name="Chart 2">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6A44B51" w14:textId="77777777" w:rsidR="000A077F" w:rsidRDefault="000A077F" w:rsidP="000A077F">
      <w:pPr>
        <w:rPr>
          <w:b/>
          <w:bCs/>
        </w:rPr>
      </w:pPr>
    </w:p>
    <w:p w14:paraId="628D53EB" w14:textId="7FD39345" w:rsidR="000A077F" w:rsidRDefault="000A077F" w:rsidP="000A077F">
      <w:pPr>
        <w:rPr>
          <w:b/>
        </w:rPr>
      </w:pPr>
      <w:r>
        <w:rPr>
          <w:b/>
          <w:bCs/>
        </w:rPr>
        <w:t xml:space="preserve">Figure </w:t>
      </w:r>
      <w:r w:rsidR="0053293A">
        <w:rPr>
          <w:b/>
          <w:bCs/>
        </w:rPr>
        <w:t>3</w:t>
      </w:r>
      <w:r>
        <w:rPr>
          <w:b/>
          <w:bCs/>
        </w:rPr>
        <w:t xml:space="preserve">: </w:t>
      </w:r>
      <w:r w:rsidRPr="008001D2">
        <w:rPr>
          <w:b/>
          <w:bCs/>
        </w:rPr>
        <w:t>EER Distribution by SEIFA score (deciles) of areas</w:t>
      </w:r>
    </w:p>
    <w:p w14:paraId="20822E36" w14:textId="77777777" w:rsidR="008001D2" w:rsidRDefault="008001D2" w:rsidP="00D26F46">
      <w:pPr>
        <w:rPr>
          <w:b/>
        </w:rPr>
      </w:pPr>
    </w:p>
    <w:p w14:paraId="4F7F721A" w14:textId="338D8EBE" w:rsidR="008001D2" w:rsidRDefault="008001D2" w:rsidP="00D26F46">
      <w:pPr>
        <w:rPr>
          <w:b/>
        </w:rPr>
      </w:pPr>
      <w:r w:rsidRPr="008001D2">
        <w:rPr>
          <w:b/>
          <w:noProof/>
          <w:lang w:eastAsia="en-GB"/>
        </w:rPr>
        <w:drawing>
          <wp:inline distT="0" distB="0" distL="0" distR="0" wp14:anchorId="58A9EC3C" wp14:editId="514E657E">
            <wp:extent cx="5727700" cy="3385820"/>
            <wp:effectExtent l="0" t="0" r="12700" b="1778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F9E13CE" w14:textId="77777777" w:rsidR="000A077F" w:rsidRDefault="000A077F" w:rsidP="000A077F">
      <w:pPr>
        <w:rPr>
          <w:b/>
          <w:bCs/>
        </w:rPr>
      </w:pPr>
    </w:p>
    <w:p w14:paraId="54D180A1" w14:textId="72C5AA69" w:rsidR="000A077F" w:rsidRDefault="000A077F" w:rsidP="000A077F">
      <w:pPr>
        <w:rPr>
          <w:b/>
        </w:rPr>
      </w:pPr>
      <w:r>
        <w:rPr>
          <w:b/>
          <w:bCs/>
        </w:rPr>
        <w:t xml:space="preserve">Figure </w:t>
      </w:r>
      <w:r w:rsidR="0053293A">
        <w:rPr>
          <w:b/>
          <w:bCs/>
        </w:rPr>
        <w:t>4</w:t>
      </w:r>
      <w:r>
        <w:rPr>
          <w:b/>
          <w:bCs/>
        </w:rPr>
        <w:t xml:space="preserve">: </w:t>
      </w:r>
      <w:r w:rsidRPr="008001D2">
        <w:rPr>
          <w:b/>
          <w:bCs/>
        </w:rPr>
        <w:t>EER non-disclosure by SEIFA score band</w:t>
      </w:r>
    </w:p>
    <w:p w14:paraId="3B67BA3F" w14:textId="77777777" w:rsidR="000A077F" w:rsidRDefault="000A077F">
      <w:pPr>
        <w:jc w:val="left"/>
        <w:rPr>
          <w:b/>
        </w:rPr>
      </w:pPr>
      <w:r>
        <w:rPr>
          <w:b/>
        </w:rPr>
        <w:br w:type="page"/>
      </w:r>
    </w:p>
    <w:p w14:paraId="0EA8E0BF" w14:textId="2169031B" w:rsidR="00E17459" w:rsidRPr="000A0A13" w:rsidRDefault="00E17459" w:rsidP="00D26F46">
      <w:pPr>
        <w:rPr>
          <w:b/>
        </w:rPr>
      </w:pPr>
      <w:r w:rsidRPr="000A0A13">
        <w:rPr>
          <w:b/>
        </w:rPr>
        <w:lastRenderedPageBreak/>
        <w:t xml:space="preserve">Table </w:t>
      </w:r>
      <w:r w:rsidR="0039353D">
        <w:rPr>
          <w:b/>
        </w:rPr>
        <w:t>2</w:t>
      </w:r>
      <w:r w:rsidRPr="000A0A13">
        <w:rPr>
          <w:b/>
        </w:rPr>
        <w:t>: Energy</w:t>
      </w:r>
      <w:r w:rsidR="00E558EE">
        <w:rPr>
          <w:b/>
        </w:rPr>
        <w:t>-</w:t>
      </w:r>
      <w:r>
        <w:rPr>
          <w:b/>
        </w:rPr>
        <w:t>efficiency</w:t>
      </w:r>
      <w:r w:rsidRPr="000A0A13">
        <w:rPr>
          <w:b/>
        </w:rPr>
        <w:t xml:space="preserve"> </w:t>
      </w:r>
      <w:r>
        <w:rPr>
          <w:b/>
        </w:rPr>
        <w:t>r</w:t>
      </w:r>
      <w:r w:rsidRPr="000A0A13">
        <w:rPr>
          <w:b/>
        </w:rPr>
        <w:t xml:space="preserve">ating and </w:t>
      </w:r>
      <w:r>
        <w:rPr>
          <w:b/>
        </w:rPr>
        <w:t>p</w:t>
      </w:r>
      <w:r w:rsidRPr="000A0A13">
        <w:rPr>
          <w:b/>
        </w:rPr>
        <w:t xml:space="preserve">rice: </w:t>
      </w:r>
      <w:r>
        <w:rPr>
          <w:b/>
        </w:rPr>
        <w:t>h</w:t>
      </w:r>
      <w:r w:rsidRPr="000A0A13">
        <w:rPr>
          <w:b/>
        </w:rPr>
        <w:t xml:space="preserve">edonic </w:t>
      </w:r>
      <w:r>
        <w:rPr>
          <w:b/>
        </w:rPr>
        <w:t>e</w:t>
      </w:r>
      <w:r w:rsidRPr="000A0A13">
        <w:rPr>
          <w:b/>
        </w:rPr>
        <w:t>stimations</w:t>
      </w:r>
    </w:p>
    <w:p w14:paraId="7FC2C3F1" w14:textId="25C33B50" w:rsidR="00E17459" w:rsidRDefault="00C525E1" w:rsidP="00D26F46">
      <w:pPr>
        <w:rPr>
          <w:b/>
        </w:rPr>
      </w:pPr>
      <w:r>
        <w:rPr>
          <w:b/>
        </w:rPr>
        <w:t>(d</w:t>
      </w:r>
      <w:r w:rsidR="00E17459" w:rsidRPr="000A0A13">
        <w:rPr>
          <w:b/>
        </w:rPr>
        <w:t>ependent variabl</w:t>
      </w:r>
      <w:r w:rsidR="00BD4972">
        <w:rPr>
          <w:b/>
        </w:rPr>
        <w:t>e: log of property transaction price in A$</w:t>
      </w:r>
      <w:r w:rsidR="00E17459" w:rsidRPr="000A0A13">
        <w:rPr>
          <w:b/>
        </w:rPr>
        <w:t>)</w:t>
      </w:r>
    </w:p>
    <w:p w14:paraId="58C566A8" w14:textId="77777777" w:rsidR="002F4914" w:rsidRDefault="002F4914" w:rsidP="00D26F46">
      <w:pPr>
        <w:rPr>
          <w:b/>
        </w:rPr>
      </w:pPr>
    </w:p>
    <w:tbl>
      <w:tblPr>
        <w:tblW w:w="0" w:type="auto"/>
        <w:tblBorders>
          <w:top w:val="single" w:sz="4" w:space="0" w:color="auto"/>
          <w:bottom w:val="single" w:sz="4" w:space="0" w:color="auto"/>
        </w:tblBorders>
        <w:tblLook w:val="0000" w:firstRow="0" w:lastRow="0" w:firstColumn="0" w:lastColumn="0" w:noHBand="0" w:noVBand="0"/>
      </w:tblPr>
      <w:tblGrid>
        <w:gridCol w:w="2479"/>
        <w:gridCol w:w="1490"/>
        <w:gridCol w:w="1462"/>
        <w:gridCol w:w="1833"/>
      </w:tblGrid>
      <w:tr w:rsidR="00F27DC4" w:rsidRPr="000A077F" w14:paraId="4F74C8CC" w14:textId="77777777" w:rsidTr="00A17F8A">
        <w:trPr>
          <w:tblHeader/>
        </w:trPr>
        <w:tc>
          <w:tcPr>
            <w:tcW w:w="0" w:type="auto"/>
            <w:tcBorders>
              <w:top w:val="single" w:sz="4" w:space="0" w:color="auto"/>
              <w:bottom w:val="nil"/>
            </w:tcBorders>
          </w:tcPr>
          <w:p w14:paraId="6BD8C49F"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p>
        </w:tc>
        <w:tc>
          <w:tcPr>
            <w:tcW w:w="0" w:type="auto"/>
            <w:tcBorders>
              <w:top w:val="single" w:sz="4" w:space="0" w:color="auto"/>
              <w:bottom w:val="nil"/>
            </w:tcBorders>
          </w:tcPr>
          <w:p w14:paraId="75FBFD79" w14:textId="54A8F035" w:rsidR="002F4914" w:rsidRPr="009C5EFC" w:rsidRDefault="000B2BF1" w:rsidP="009C5EFC">
            <w:pPr>
              <w:widowControl w:val="0"/>
              <w:tabs>
                <w:tab w:val="decimal" w:pos="91"/>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1</w:t>
            </w:r>
          </w:p>
        </w:tc>
        <w:tc>
          <w:tcPr>
            <w:tcW w:w="0" w:type="auto"/>
            <w:tcBorders>
              <w:top w:val="single" w:sz="4" w:space="0" w:color="auto"/>
              <w:bottom w:val="nil"/>
            </w:tcBorders>
          </w:tcPr>
          <w:p w14:paraId="5F37F295" w14:textId="70141371" w:rsidR="002F4914" w:rsidRPr="009C5EFC" w:rsidRDefault="000B2BF1" w:rsidP="009C5EFC">
            <w:pPr>
              <w:widowControl w:val="0"/>
              <w:tabs>
                <w:tab w:val="decimal" w:pos="28"/>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w:t>
            </w:r>
          </w:p>
        </w:tc>
        <w:tc>
          <w:tcPr>
            <w:tcW w:w="0" w:type="auto"/>
            <w:tcBorders>
              <w:top w:val="single" w:sz="4" w:space="0" w:color="auto"/>
              <w:bottom w:val="nil"/>
            </w:tcBorders>
          </w:tcPr>
          <w:p w14:paraId="00622010" w14:textId="4D3ACF5C" w:rsidR="002F4914" w:rsidRPr="009C5EFC" w:rsidRDefault="000B2BF1" w:rsidP="009C5EFC">
            <w:pPr>
              <w:widowControl w:val="0"/>
              <w:tabs>
                <w:tab w:val="decimal" w:pos="120"/>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3</w:t>
            </w:r>
          </w:p>
        </w:tc>
      </w:tr>
      <w:tr w:rsidR="00F548F4" w:rsidRPr="000A077F" w14:paraId="62B6173A" w14:textId="77777777" w:rsidTr="00A17F8A">
        <w:trPr>
          <w:tblHeader/>
        </w:trPr>
        <w:tc>
          <w:tcPr>
            <w:tcW w:w="0" w:type="auto"/>
            <w:tcBorders>
              <w:top w:val="nil"/>
              <w:bottom w:val="single" w:sz="4" w:space="0" w:color="auto"/>
            </w:tcBorders>
          </w:tcPr>
          <w:p w14:paraId="4E4822C9"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p>
        </w:tc>
        <w:tc>
          <w:tcPr>
            <w:tcW w:w="0" w:type="auto"/>
            <w:tcBorders>
              <w:top w:val="nil"/>
              <w:bottom w:val="single" w:sz="4" w:space="0" w:color="auto"/>
            </w:tcBorders>
          </w:tcPr>
          <w:p w14:paraId="406B57BB" w14:textId="6431D942"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 xml:space="preserve">Log </w:t>
            </w:r>
            <w:r w:rsidR="00F27DC4">
              <w:rPr>
                <w:rFonts w:cs="Times New Roman"/>
                <w:color w:val="000000"/>
                <w:sz w:val="20"/>
                <w:szCs w:val="20"/>
              </w:rPr>
              <w:t>P</w:t>
            </w:r>
            <w:r w:rsidRPr="009C5EFC">
              <w:rPr>
                <w:rFonts w:cs="Times New Roman"/>
                <w:color w:val="000000"/>
                <w:sz w:val="20"/>
                <w:szCs w:val="20"/>
              </w:rPr>
              <w:t>rice</w:t>
            </w:r>
          </w:p>
        </w:tc>
        <w:tc>
          <w:tcPr>
            <w:tcW w:w="0" w:type="auto"/>
            <w:tcBorders>
              <w:top w:val="nil"/>
              <w:bottom w:val="single" w:sz="4" w:space="0" w:color="auto"/>
            </w:tcBorders>
          </w:tcPr>
          <w:p w14:paraId="71116B2F" w14:textId="676894D6"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 xml:space="preserve">Log </w:t>
            </w:r>
            <w:r w:rsidR="00F27DC4">
              <w:rPr>
                <w:rFonts w:cs="Times New Roman"/>
                <w:color w:val="000000"/>
                <w:sz w:val="20"/>
                <w:szCs w:val="20"/>
              </w:rPr>
              <w:t>P</w:t>
            </w:r>
            <w:r w:rsidRPr="009C5EFC">
              <w:rPr>
                <w:rFonts w:cs="Times New Roman"/>
                <w:color w:val="000000"/>
                <w:sz w:val="20"/>
                <w:szCs w:val="20"/>
              </w:rPr>
              <w:t>rice</w:t>
            </w:r>
          </w:p>
        </w:tc>
        <w:tc>
          <w:tcPr>
            <w:tcW w:w="0" w:type="auto"/>
            <w:tcBorders>
              <w:top w:val="nil"/>
              <w:bottom w:val="single" w:sz="4" w:space="0" w:color="auto"/>
            </w:tcBorders>
          </w:tcPr>
          <w:p w14:paraId="4449EA80" w14:textId="7BB04B04"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 xml:space="preserve">Log </w:t>
            </w:r>
            <w:r w:rsidR="00F27DC4">
              <w:rPr>
                <w:rFonts w:cs="Times New Roman"/>
                <w:color w:val="000000"/>
                <w:sz w:val="20"/>
                <w:szCs w:val="20"/>
              </w:rPr>
              <w:t>T</w:t>
            </w:r>
            <w:r w:rsidRPr="009C5EFC">
              <w:rPr>
                <w:rFonts w:cs="Times New Roman"/>
                <w:color w:val="000000"/>
                <w:sz w:val="20"/>
                <w:szCs w:val="20"/>
              </w:rPr>
              <w:t xml:space="preserve">ime on </w:t>
            </w:r>
            <w:r w:rsidR="00F27DC4">
              <w:rPr>
                <w:rFonts w:cs="Times New Roman"/>
                <w:color w:val="000000"/>
                <w:sz w:val="20"/>
                <w:szCs w:val="20"/>
              </w:rPr>
              <w:t>M</w:t>
            </w:r>
            <w:r w:rsidRPr="009C5EFC">
              <w:rPr>
                <w:rFonts w:cs="Times New Roman"/>
                <w:color w:val="000000"/>
                <w:sz w:val="20"/>
                <w:szCs w:val="20"/>
              </w:rPr>
              <w:t>arket</w:t>
            </w:r>
          </w:p>
        </w:tc>
      </w:tr>
      <w:tr w:rsidR="002F4914" w:rsidRPr="000A077F" w14:paraId="2098C959" w14:textId="77777777" w:rsidTr="009C5EFC">
        <w:tc>
          <w:tcPr>
            <w:tcW w:w="0" w:type="auto"/>
            <w:tcBorders>
              <w:top w:val="single" w:sz="4" w:space="0" w:color="auto"/>
            </w:tcBorders>
          </w:tcPr>
          <w:p w14:paraId="7EA5E708"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0</w:t>
            </w:r>
          </w:p>
        </w:tc>
        <w:tc>
          <w:tcPr>
            <w:tcW w:w="0" w:type="auto"/>
            <w:tcBorders>
              <w:top w:val="single" w:sz="4" w:space="0" w:color="auto"/>
            </w:tcBorders>
          </w:tcPr>
          <w:p w14:paraId="3D9D0B61" w14:textId="353AD728"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0.0310</w:t>
            </w:r>
            <w:r w:rsidR="002F4914" w:rsidRPr="009C5EFC">
              <w:rPr>
                <w:rFonts w:cs="Times New Roman"/>
                <w:color w:val="000000"/>
                <w:sz w:val="20"/>
                <w:szCs w:val="20"/>
                <w:vertAlign w:val="superscript"/>
              </w:rPr>
              <w:t>***</w:t>
            </w:r>
          </w:p>
        </w:tc>
        <w:tc>
          <w:tcPr>
            <w:tcW w:w="0" w:type="auto"/>
            <w:tcBorders>
              <w:top w:val="single" w:sz="4" w:space="0" w:color="auto"/>
            </w:tcBorders>
          </w:tcPr>
          <w:p w14:paraId="4CCA4A40"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Borders>
              <w:top w:val="single" w:sz="4" w:space="0" w:color="auto"/>
            </w:tcBorders>
          </w:tcPr>
          <w:p w14:paraId="078F5411"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0.0543</w:t>
            </w:r>
            <w:r w:rsidRPr="009C5EFC">
              <w:rPr>
                <w:rFonts w:cs="Times New Roman"/>
                <w:color w:val="000000"/>
                <w:sz w:val="20"/>
                <w:szCs w:val="20"/>
                <w:vertAlign w:val="superscript"/>
              </w:rPr>
              <w:t>*</w:t>
            </w:r>
          </w:p>
        </w:tc>
      </w:tr>
      <w:tr w:rsidR="002F4914" w:rsidRPr="000A077F" w14:paraId="1B559781" w14:textId="77777777" w:rsidTr="009C5EFC">
        <w:tc>
          <w:tcPr>
            <w:tcW w:w="0" w:type="auto"/>
          </w:tcPr>
          <w:p w14:paraId="20712583"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1</w:t>
            </w:r>
          </w:p>
        </w:tc>
        <w:tc>
          <w:tcPr>
            <w:tcW w:w="0" w:type="auto"/>
          </w:tcPr>
          <w:p w14:paraId="2FB8E5B0" w14:textId="2D5CF95E"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0.0272</w:t>
            </w:r>
            <w:r w:rsidR="002F4914" w:rsidRPr="009C5EFC">
              <w:rPr>
                <w:rFonts w:cs="Times New Roman"/>
                <w:color w:val="000000"/>
                <w:sz w:val="20"/>
                <w:szCs w:val="20"/>
                <w:vertAlign w:val="superscript"/>
              </w:rPr>
              <w:t>***</w:t>
            </w:r>
          </w:p>
        </w:tc>
        <w:tc>
          <w:tcPr>
            <w:tcW w:w="0" w:type="auto"/>
          </w:tcPr>
          <w:p w14:paraId="6350554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1BE42B15"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0.0191</w:t>
            </w:r>
          </w:p>
        </w:tc>
      </w:tr>
      <w:tr w:rsidR="002F4914" w:rsidRPr="000A077F" w14:paraId="6C697BCC" w14:textId="77777777" w:rsidTr="009C5EFC">
        <w:tc>
          <w:tcPr>
            <w:tcW w:w="0" w:type="auto"/>
          </w:tcPr>
          <w:p w14:paraId="3DA1DF4B"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2</w:t>
            </w:r>
          </w:p>
        </w:tc>
        <w:tc>
          <w:tcPr>
            <w:tcW w:w="0" w:type="auto"/>
          </w:tcPr>
          <w:p w14:paraId="06001944" w14:textId="62D74AD6"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0.0181</w:t>
            </w:r>
            <w:r w:rsidR="002F4914" w:rsidRPr="009C5EFC">
              <w:rPr>
                <w:rFonts w:cs="Times New Roman"/>
                <w:color w:val="000000"/>
                <w:sz w:val="20"/>
                <w:szCs w:val="20"/>
                <w:vertAlign w:val="superscript"/>
              </w:rPr>
              <w:t>***</w:t>
            </w:r>
          </w:p>
        </w:tc>
        <w:tc>
          <w:tcPr>
            <w:tcW w:w="0" w:type="auto"/>
          </w:tcPr>
          <w:p w14:paraId="4CD5F116"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468EB95A" w14:textId="785EDCB7"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0.0013</w:t>
            </w:r>
          </w:p>
        </w:tc>
      </w:tr>
      <w:tr w:rsidR="002F4914" w:rsidRPr="000A077F" w14:paraId="79C5DC7B" w14:textId="77777777" w:rsidTr="009C5EFC">
        <w:tc>
          <w:tcPr>
            <w:tcW w:w="0" w:type="auto"/>
          </w:tcPr>
          <w:p w14:paraId="25BF339A"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3</w:t>
            </w:r>
          </w:p>
        </w:tc>
        <w:tc>
          <w:tcPr>
            <w:tcW w:w="0" w:type="auto"/>
          </w:tcPr>
          <w:p w14:paraId="332B6367" w14:textId="60367994" w:rsidR="002F4914" w:rsidRPr="009C5EFC" w:rsidRDefault="00951863"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 xml:space="preserve">    </w:t>
            </w:r>
            <w:r w:rsidR="002F4914" w:rsidRPr="009C5EFC">
              <w:rPr>
                <w:rFonts w:cs="Times New Roman"/>
                <w:color w:val="000000"/>
                <w:sz w:val="20"/>
                <w:szCs w:val="20"/>
              </w:rPr>
              <w:t>reference</w:t>
            </w:r>
          </w:p>
        </w:tc>
        <w:tc>
          <w:tcPr>
            <w:tcW w:w="0" w:type="auto"/>
          </w:tcPr>
          <w:p w14:paraId="229132B2"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3752AD0F"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p>
        </w:tc>
      </w:tr>
      <w:tr w:rsidR="002F4914" w:rsidRPr="000A077F" w14:paraId="26EB9DAF" w14:textId="77777777" w:rsidTr="009C5EFC">
        <w:tc>
          <w:tcPr>
            <w:tcW w:w="0" w:type="auto"/>
          </w:tcPr>
          <w:p w14:paraId="36A85830"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4</w:t>
            </w:r>
          </w:p>
        </w:tc>
        <w:tc>
          <w:tcPr>
            <w:tcW w:w="0" w:type="auto"/>
          </w:tcPr>
          <w:p w14:paraId="734C0CD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0.000423</w:t>
            </w:r>
          </w:p>
        </w:tc>
        <w:tc>
          <w:tcPr>
            <w:tcW w:w="0" w:type="auto"/>
          </w:tcPr>
          <w:p w14:paraId="47967BE9"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731C7CC6" w14:textId="6A4644AD"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0.0017</w:t>
            </w:r>
          </w:p>
        </w:tc>
      </w:tr>
      <w:tr w:rsidR="002F4914" w:rsidRPr="000A077F" w14:paraId="0229D140" w14:textId="77777777" w:rsidTr="009C5EFC">
        <w:tc>
          <w:tcPr>
            <w:tcW w:w="0" w:type="auto"/>
          </w:tcPr>
          <w:p w14:paraId="380D0FD3"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5</w:t>
            </w:r>
          </w:p>
        </w:tc>
        <w:tc>
          <w:tcPr>
            <w:tcW w:w="0" w:type="auto"/>
          </w:tcPr>
          <w:p w14:paraId="6824F5E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0.0200</w:t>
            </w:r>
            <w:r w:rsidRPr="009C5EFC">
              <w:rPr>
                <w:rFonts w:cs="Times New Roman"/>
                <w:color w:val="000000"/>
                <w:sz w:val="20"/>
                <w:szCs w:val="20"/>
                <w:vertAlign w:val="superscript"/>
              </w:rPr>
              <w:t>***</w:t>
            </w:r>
          </w:p>
        </w:tc>
        <w:tc>
          <w:tcPr>
            <w:tcW w:w="0" w:type="auto"/>
          </w:tcPr>
          <w:p w14:paraId="6CFAA077"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65EAF79B"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0.0312</w:t>
            </w:r>
          </w:p>
        </w:tc>
      </w:tr>
      <w:tr w:rsidR="002F4914" w:rsidRPr="000A077F" w14:paraId="2DA4F126" w14:textId="77777777" w:rsidTr="009C5EFC">
        <w:tc>
          <w:tcPr>
            <w:tcW w:w="0" w:type="auto"/>
          </w:tcPr>
          <w:p w14:paraId="194D32D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6</w:t>
            </w:r>
          </w:p>
        </w:tc>
        <w:tc>
          <w:tcPr>
            <w:tcW w:w="0" w:type="auto"/>
          </w:tcPr>
          <w:p w14:paraId="41A4D4A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0.0237</w:t>
            </w:r>
            <w:r w:rsidRPr="009C5EFC">
              <w:rPr>
                <w:rFonts w:cs="Times New Roman"/>
                <w:color w:val="000000"/>
                <w:sz w:val="20"/>
                <w:szCs w:val="20"/>
                <w:vertAlign w:val="superscript"/>
              </w:rPr>
              <w:t>***</w:t>
            </w:r>
          </w:p>
        </w:tc>
        <w:tc>
          <w:tcPr>
            <w:tcW w:w="0" w:type="auto"/>
          </w:tcPr>
          <w:p w14:paraId="6B7ED40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7B98BD59"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0.144</w:t>
            </w:r>
            <w:r w:rsidRPr="009C5EFC">
              <w:rPr>
                <w:rFonts w:cs="Times New Roman"/>
                <w:color w:val="000000"/>
                <w:sz w:val="20"/>
                <w:szCs w:val="20"/>
                <w:vertAlign w:val="superscript"/>
              </w:rPr>
              <w:t>***</w:t>
            </w:r>
          </w:p>
        </w:tc>
      </w:tr>
      <w:tr w:rsidR="002F4914" w:rsidRPr="000A077F" w14:paraId="7CD1CC2A" w14:textId="77777777" w:rsidTr="009C5EFC">
        <w:tc>
          <w:tcPr>
            <w:tcW w:w="0" w:type="auto"/>
          </w:tcPr>
          <w:p w14:paraId="2BC41559"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7</w:t>
            </w:r>
          </w:p>
        </w:tc>
        <w:tc>
          <w:tcPr>
            <w:tcW w:w="0" w:type="auto"/>
          </w:tcPr>
          <w:p w14:paraId="1C73C94E"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0.0936</w:t>
            </w:r>
            <w:r w:rsidRPr="009C5EFC">
              <w:rPr>
                <w:rFonts w:cs="Times New Roman"/>
                <w:color w:val="000000"/>
                <w:sz w:val="20"/>
                <w:szCs w:val="20"/>
                <w:vertAlign w:val="superscript"/>
              </w:rPr>
              <w:t>***</w:t>
            </w:r>
          </w:p>
        </w:tc>
        <w:tc>
          <w:tcPr>
            <w:tcW w:w="0" w:type="auto"/>
          </w:tcPr>
          <w:p w14:paraId="20FE843D"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5F23D5E6"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0.450</w:t>
            </w:r>
            <w:r w:rsidRPr="009C5EFC">
              <w:rPr>
                <w:rFonts w:cs="Times New Roman"/>
                <w:color w:val="000000"/>
                <w:sz w:val="20"/>
                <w:szCs w:val="20"/>
                <w:vertAlign w:val="superscript"/>
              </w:rPr>
              <w:t>***</w:t>
            </w:r>
          </w:p>
        </w:tc>
      </w:tr>
      <w:tr w:rsidR="002F4914" w:rsidRPr="000A077F" w14:paraId="2028D0BB" w14:textId="77777777" w:rsidTr="009C5EFC">
        <w:tc>
          <w:tcPr>
            <w:tcW w:w="0" w:type="auto"/>
          </w:tcPr>
          <w:p w14:paraId="179271E1"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8, 9 &amp; 10</w:t>
            </w:r>
          </w:p>
        </w:tc>
        <w:tc>
          <w:tcPr>
            <w:tcW w:w="0" w:type="auto"/>
          </w:tcPr>
          <w:p w14:paraId="682779B6"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0.0273</w:t>
            </w:r>
          </w:p>
        </w:tc>
        <w:tc>
          <w:tcPr>
            <w:tcW w:w="0" w:type="auto"/>
          </w:tcPr>
          <w:p w14:paraId="4D752511"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221BD0DF"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0.21</w:t>
            </w:r>
          </w:p>
        </w:tc>
      </w:tr>
      <w:tr w:rsidR="002F4914" w:rsidRPr="000A077F" w14:paraId="17ACBAF9" w14:textId="77777777" w:rsidTr="009C5EFC">
        <w:tc>
          <w:tcPr>
            <w:tcW w:w="0" w:type="auto"/>
          </w:tcPr>
          <w:p w14:paraId="58DC67FB"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EER not disclosed</w:t>
            </w:r>
          </w:p>
        </w:tc>
        <w:tc>
          <w:tcPr>
            <w:tcW w:w="0" w:type="auto"/>
          </w:tcPr>
          <w:p w14:paraId="1A8DDE0E" w14:textId="24C585C7"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0.0118</w:t>
            </w:r>
          </w:p>
        </w:tc>
        <w:tc>
          <w:tcPr>
            <w:tcW w:w="0" w:type="auto"/>
          </w:tcPr>
          <w:p w14:paraId="4F8C78B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5AFF8561"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0.250</w:t>
            </w:r>
            <w:r w:rsidRPr="009C5EFC">
              <w:rPr>
                <w:rFonts w:cs="Times New Roman"/>
                <w:color w:val="000000"/>
                <w:sz w:val="20"/>
                <w:szCs w:val="20"/>
                <w:vertAlign w:val="superscript"/>
              </w:rPr>
              <w:t>***</w:t>
            </w:r>
          </w:p>
        </w:tc>
      </w:tr>
      <w:tr w:rsidR="002F4914" w:rsidRPr="000A077F" w14:paraId="1AD566EA" w14:textId="77777777" w:rsidTr="009C5EFC">
        <w:tc>
          <w:tcPr>
            <w:tcW w:w="0" w:type="auto"/>
          </w:tcPr>
          <w:p w14:paraId="588DA90A"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Solar Photovoltaics</w:t>
            </w:r>
          </w:p>
        </w:tc>
        <w:tc>
          <w:tcPr>
            <w:tcW w:w="0" w:type="auto"/>
          </w:tcPr>
          <w:p w14:paraId="4D9AC284"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0.0191</w:t>
            </w:r>
          </w:p>
        </w:tc>
        <w:tc>
          <w:tcPr>
            <w:tcW w:w="0" w:type="auto"/>
          </w:tcPr>
          <w:p w14:paraId="452532A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0.0201</w:t>
            </w:r>
          </w:p>
        </w:tc>
        <w:tc>
          <w:tcPr>
            <w:tcW w:w="0" w:type="auto"/>
          </w:tcPr>
          <w:p w14:paraId="3F14C4F9" w14:textId="48A9F078"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0.132</w:t>
            </w:r>
            <w:r w:rsidR="002F4914" w:rsidRPr="009C5EFC">
              <w:rPr>
                <w:rFonts w:cs="Times New Roman"/>
                <w:color w:val="000000"/>
                <w:sz w:val="20"/>
                <w:szCs w:val="20"/>
                <w:vertAlign w:val="superscript"/>
              </w:rPr>
              <w:t>**</w:t>
            </w:r>
          </w:p>
        </w:tc>
      </w:tr>
      <w:tr w:rsidR="002F4914" w:rsidRPr="000A077F" w14:paraId="4FBC1F9B" w14:textId="77777777" w:rsidTr="009C5EFC">
        <w:tc>
          <w:tcPr>
            <w:tcW w:w="0" w:type="auto"/>
          </w:tcPr>
          <w:p w14:paraId="07D9EC6A"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Solar Hot Water</w:t>
            </w:r>
          </w:p>
        </w:tc>
        <w:tc>
          <w:tcPr>
            <w:tcW w:w="0" w:type="auto"/>
          </w:tcPr>
          <w:p w14:paraId="4E4F43F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0.00894</w:t>
            </w:r>
          </w:p>
        </w:tc>
        <w:tc>
          <w:tcPr>
            <w:tcW w:w="0" w:type="auto"/>
          </w:tcPr>
          <w:p w14:paraId="51EF7A67"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0.008</w:t>
            </w:r>
          </w:p>
        </w:tc>
        <w:tc>
          <w:tcPr>
            <w:tcW w:w="0" w:type="auto"/>
          </w:tcPr>
          <w:p w14:paraId="6B379E2D" w14:textId="3A7B08E1"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0.0387</w:t>
            </w:r>
          </w:p>
        </w:tc>
      </w:tr>
      <w:tr w:rsidR="002F4914" w:rsidRPr="000A077F" w14:paraId="5A7DCEF4" w14:textId="77777777" w:rsidTr="009C5EFC">
        <w:tc>
          <w:tcPr>
            <w:tcW w:w="0" w:type="auto"/>
          </w:tcPr>
          <w:p w14:paraId="7F154F80"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Central Heating</w:t>
            </w:r>
          </w:p>
        </w:tc>
        <w:tc>
          <w:tcPr>
            <w:tcW w:w="0" w:type="auto"/>
          </w:tcPr>
          <w:p w14:paraId="6F97EBAA"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0.0216</w:t>
            </w:r>
            <w:r w:rsidRPr="009C5EFC">
              <w:rPr>
                <w:rFonts w:cs="Times New Roman"/>
                <w:color w:val="000000"/>
                <w:sz w:val="20"/>
                <w:szCs w:val="20"/>
                <w:vertAlign w:val="superscript"/>
              </w:rPr>
              <w:t>***</w:t>
            </w:r>
          </w:p>
        </w:tc>
        <w:tc>
          <w:tcPr>
            <w:tcW w:w="0" w:type="auto"/>
          </w:tcPr>
          <w:p w14:paraId="3238D6DD"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0.0219</w:t>
            </w:r>
            <w:r w:rsidRPr="009C5EFC">
              <w:rPr>
                <w:rFonts w:cs="Times New Roman"/>
                <w:color w:val="000000"/>
                <w:sz w:val="20"/>
                <w:szCs w:val="20"/>
                <w:vertAlign w:val="superscript"/>
              </w:rPr>
              <w:t>***</w:t>
            </w:r>
          </w:p>
        </w:tc>
        <w:tc>
          <w:tcPr>
            <w:tcW w:w="0" w:type="auto"/>
          </w:tcPr>
          <w:p w14:paraId="4997AABC"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0.152</w:t>
            </w:r>
            <w:r w:rsidRPr="009C5EFC">
              <w:rPr>
                <w:rFonts w:cs="Times New Roman"/>
                <w:color w:val="000000"/>
                <w:sz w:val="20"/>
                <w:szCs w:val="20"/>
                <w:vertAlign w:val="superscript"/>
              </w:rPr>
              <w:t>***</w:t>
            </w:r>
          </w:p>
        </w:tc>
      </w:tr>
      <w:tr w:rsidR="002F4914" w:rsidRPr="000A077F" w14:paraId="29EE99C4" w14:textId="77777777" w:rsidTr="009C5EFC">
        <w:tc>
          <w:tcPr>
            <w:tcW w:w="0" w:type="auto"/>
          </w:tcPr>
          <w:p w14:paraId="27794C9F"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Gas Heating</w:t>
            </w:r>
          </w:p>
        </w:tc>
        <w:tc>
          <w:tcPr>
            <w:tcW w:w="0" w:type="auto"/>
          </w:tcPr>
          <w:p w14:paraId="737D2B67" w14:textId="1D107F0D"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0.0150</w:t>
            </w:r>
            <w:r w:rsidR="002F4914" w:rsidRPr="009C5EFC">
              <w:rPr>
                <w:rFonts w:cs="Times New Roman"/>
                <w:color w:val="000000"/>
                <w:sz w:val="20"/>
                <w:szCs w:val="20"/>
                <w:vertAlign w:val="superscript"/>
              </w:rPr>
              <w:t>***</w:t>
            </w:r>
          </w:p>
        </w:tc>
        <w:tc>
          <w:tcPr>
            <w:tcW w:w="0" w:type="auto"/>
          </w:tcPr>
          <w:p w14:paraId="23F6FEBD" w14:textId="1CE6CB00"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0.0156</w:t>
            </w:r>
            <w:r w:rsidR="002F4914" w:rsidRPr="009C5EFC">
              <w:rPr>
                <w:rFonts w:cs="Times New Roman"/>
                <w:color w:val="000000"/>
                <w:sz w:val="20"/>
                <w:szCs w:val="20"/>
                <w:vertAlign w:val="superscript"/>
              </w:rPr>
              <w:t>***</w:t>
            </w:r>
          </w:p>
        </w:tc>
        <w:tc>
          <w:tcPr>
            <w:tcW w:w="0" w:type="auto"/>
          </w:tcPr>
          <w:p w14:paraId="559756ED"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0.0239</w:t>
            </w:r>
          </w:p>
        </w:tc>
      </w:tr>
      <w:tr w:rsidR="002F4914" w:rsidRPr="000A077F" w14:paraId="2353DDDA" w14:textId="77777777" w:rsidTr="009C5EFC">
        <w:tc>
          <w:tcPr>
            <w:tcW w:w="0" w:type="auto"/>
          </w:tcPr>
          <w:p w14:paraId="418DBB9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Heating Slab</w:t>
            </w:r>
          </w:p>
        </w:tc>
        <w:tc>
          <w:tcPr>
            <w:tcW w:w="0" w:type="auto"/>
          </w:tcPr>
          <w:p w14:paraId="75632D7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0.104</w:t>
            </w:r>
            <w:r w:rsidRPr="009C5EFC">
              <w:rPr>
                <w:rFonts w:cs="Times New Roman"/>
                <w:color w:val="000000"/>
                <w:sz w:val="20"/>
                <w:szCs w:val="20"/>
                <w:vertAlign w:val="superscript"/>
              </w:rPr>
              <w:t>***</w:t>
            </w:r>
          </w:p>
        </w:tc>
        <w:tc>
          <w:tcPr>
            <w:tcW w:w="0" w:type="auto"/>
          </w:tcPr>
          <w:p w14:paraId="78D4B167"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0.106</w:t>
            </w:r>
            <w:r w:rsidRPr="009C5EFC">
              <w:rPr>
                <w:rFonts w:cs="Times New Roman"/>
                <w:color w:val="000000"/>
                <w:sz w:val="20"/>
                <w:szCs w:val="20"/>
                <w:vertAlign w:val="superscript"/>
              </w:rPr>
              <w:t>***</w:t>
            </w:r>
          </w:p>
        </w:tc>
        <w:tc>
          <w:tcPr>
            <w:tcW w:w="0" w:type="auto"/>
          </w:tcPr>
          <w:p w14:paraId="12A6C803"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0.0432</w:t>
            </w:r>
          </w:p>
        </w:tc>
      </w:tr>
      <w:tr w:rsidR="002F4914" w:rsidRPr="000A077F" w14:paraId="06AFFE29" w14:textId="77777777" w:rsidTr="009C5EFC">
        <w:tc>
          <w:tcPr>
            <w:tcW w:w="0" w:type="auto"/>
          </w:tcPr>
          <w:p w14:paraId="6372C7F7" w14:textId="5C3A1A4B"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Reverse </w:t>
            </w:r>
            <w:r w:rsidR="00A17F8A">
              <w:rPr>
                <w:rFonts w:cs="Times New Roman"/>
                <w:color w:val="000000"/>
                <w:sz w:val="20"/>
                <w:szCs w:val="20"/>
              </w:rPr>
              <w:t>C</w:t>
            </w:r>
            <w:r w:rsidRPr="009C5EFC">
              <w:rPr>
                <w:rFonts w:cs="Times New Roman"/>
                <w:color w:val="000000"/>
                <w:sz w:val="20"/>
                <w:szCs w:val="20"/>
              </w:rPr>
              <w:t xml:space="preserve">ycle </w:t>
            </w:r>
            <w:r w:rsidR="00A17F8A">
              <w:rPr>
                <w:rFonts w:cs="Times New Roman"/>
                <w:color w:val="000000"/>
                <w:sz w:val="20"/>
                <w:szCs w:val="20"/>
              </w:rPr>
              <w:t>H</w:t>
            </w:r>
            <w:r w:rsidRPr="009C5EFC">
              <w:rPr>
                <w:rFonts w:cs="Times New Roman"/>
                <w:color w:val="000000"/>
                <w:sz w:val="20"/>
                <w:szCs w:val="20"/>
              </w:rPr>
              <w:t>eating</w:t>
            </w:r>
          </w:p>
        </w:tc>
        <w:tc>
          <w:tcPr>
            <w:tcW w:w="0" w:type="auto"/>
          </w:tcPr>
          <w:p w14:paraId="456E2B6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0.0508</w:t>
            </w:r>
            <w:r w:rsidRPr="009C5EFC">
              <w:rPr>
                <w:rFonts w:cs="Times New Roman"/>
                <w:color w:val="000000"/>
                <w:sz w:val="20"/>
                <w:szCs w:val="20"/>
                <w:vertAlign w:val="superscript"/>
              </w:rPr>
              <w:t>***</w:t>
            </w:r>
          </w:p>
        </w:tc>
        <w:tc>
          <w:tcPr>
            <w:tcW w:w="0" w:type="auto"/>
          </w:tcPr>
          <w:p w14:paraId="2E8475CC"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0.0518</w:t>
            </w:r>
            <w:r w:rsidRPr="009C5EFC">
              <w:rPr>
                <w:rFonts w:cs="Times New Roman"/>
                <w:color w:val="000000"/>
                <w:sz w:val="20"/>
                <w:szCs w:val="20"/>
                <w:vertAlign w:val="superscript"/>
              </w:rPr>
              <w:t>***</w:t>
            </w:r>
          </w:p>
        </w:tc>
        <w:tc>
          <w:tcPr>
            <w:tcW w:w="0" w:type="auto"/>
          </w:tcPr>
          <w:p w14:paraId="2AA7E95A"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0.183</w:t>
            </w:r>
            <w:r w:rsidRPr="009C5EFC">
              <w:rPr>
                <w:rFonts w:cs="Times New Roman"/>
                <w:color w:val="000000"/>
                <w:sz w:val="20"/>
                <w:szCs w:val="20"/>
                <w:vertAlign w:val="superscript"/>
              </w:rPr>
              <w:t>***</w:t>
            </w:r>
          </w:p>
        </w:tc>
      </w:tr>
      <w:tr w:rsidR="002F4914" w:rsidRPr="000A077F" w14:paraId="711C746E" w14:textId="77777777" w:rsidTr="009C5EFC">
        <w:tc>
          <w:tcPr>
            <w:tcW w:w="0" w:type="auto"/>
          </w:tcPr>
          <w:p w14:paraId="28B623EB" w14:textId="3C0F86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Wood </w:t>
            </w:r>
            <w:r w:rsidR="00A17F8A">
              <w:rPr>
                <w:rFonts w:cs="Times New Roman"/>
                <w:color w:val="000000"/>
                <w:sz w:val="20"/>
                <w:szCs w:val="20"/>
              </w:rPr>
              <w:t>H</w:t>
            </w:r>
            <w:r w:rsidRPr="009C5EFC">
              <w:rPr>
                <w:rFonts w:cs="Times New Roman"/>
                <w:color w:val="000000"/>
                <w:sz w:val="20"/>
                <w:szCs w:val="20"/>
              </w:rPr>
              <w:t>eating</w:t>
            </w:r>
          </w:p>
        </w:tc>
        <w:tc>
          <w:tcPr>
            <w:tcW w:w="0" w:type="auto"/>
          </w:tcPr>
          <w:p w14:paraId="6E8CAA9C"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0.0294</w:t>
            </w:r>
            <w:r w:rsidRPr="009C5EFC">
              <w:rPr>
                <w:rFonts w:cs="Times New Roman"/>
                <w:color w:val="000000"/>
                <w:sz w:val="20"/>
                <w:szCs w:val="20"/>
                <w:vertAlign w:val="superscript"/>
              </w:rPr>
              <w:t>***</w:t>
            </w:r>
          </w:p>
        </w:tc>
        <w:tc>
          <w:tcPr>
            <w:tcW w:w="0" w:type="auto"/>
          </w:tcPr>
          <w:p w14:paraId="257A2460"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0.0254</w:t>
            </w:r>
            <w:r w:rsidRPr="009C5EFC">
              <w:rPr>
                <w:rFonts w:cs="Times New Roman"/>
                <w:color w:val="000000"/>
                <w:sz w:val="20"/>
                <w:szCs w:val="20"/>
                <w:vertAlign w:val="superscript"/>
              </w:rPr>
              <w:t>***</w:t>
            </w:r>
          </w:p>
        </w:tc>
        <w:tc>
          <w:tcPr>
            <w:tcW w:w="0" w:type="auto"/>
          </w:tcPr>
          <w:p w14:paraId="59D23A89"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0.041</w:t>
            </w:r>
          </w:p>
        </w:tc>
      </w:tr>
      <w:tr w:rsidR="002F4914" w:rsidRPr="000A077F" w14:paraId="3799267E" w14:textId="77777777" w:rsidTr="009C5EFC">
        <w:tc>
          <w:tcPr>
            <w:tcW w:w="0" w:type="auto"/>
          </w:tcPr>
          <w:p w14:paraId="6BAB97EB"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Central Gas Heating</w:t>
            </w:r>
          </w:p>
        </w:tc>
        <w:tc>
          <w:tcPr>
            <w:tcW w:w="0" w:type="auto"/>
          </w:tcPr>
          <w:p w14:paraId="30F00B3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0.00636</w:t>
            </w:r>
            <w:r w:rsidRPr="009C5EFC">
              <w:rPr>
                <w:rFonts w:cs="Times New Roman"/>
                <w:color w:val="000000"/>
                <w:sz w:val="20"/>
                <w:szCs w:val="20"/>
                <w:vertAlign w:val="superscript"/>
              </w:rPr>
              <w:t>*</w:t>
            </w:r>
          </w:p>
        </w:tc>
        <w:tc>
          <w:tcPr>
            <w:tcW w:w="0" w:type="auto"/>
          </w:tcPr>
          <w:p w14:paraId="03EBAFD4"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0.00525</w:t>
            </w:r>
          </w:p>
        </w:tc>
        <w:tc>
          <w:tcPr>
            <w:tcW w:w="0" w:type="auto"/>
          </w:tcPr>
          <w:p w14:paraId="03C4FFE2"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0.0144</w:t>
            </w:r>
          </w:p>
        </w:tc>
      </w:tr>
      <w:tr w:rsidR="002F4914" w:rsidRPr="000A077F" w14:paraId="7E4D2FAE" w14:textId="77777777" w:rsidTr="009C5EFC">
        <w:tc>
          <w:tcPr>
            <w:tcW w:w="0" w:type="auto"/>
          </w:tcPr>
          <w:p w14:paraId="09667BC1" w14:textId="3AA64731"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Electric </w:t>
            </w:r>
            <w:r w:rsidR="00A17F8A">
              <w:rPr>
                <w:rFonts w:cs="Times New Roman"/>
                <w:color w:val="000000"/>
                <w:sz w:val="20"/>
                <w:szCs w:val="20"/>
              </w:rPr>
              <w:t>H</w:t>
            </w:r>
            <w:r w:rsidRPr="009C5EFC">
              <w:rPr>
                <w:rFonts w:cs="Times New Roman"/>
                <w:color w:val="000000"/>
                <w:sz w:val="20"/>
                <w:szCs w:val="20"/>
              </w:rPr>
              <w:t>eating</w:t>
            </w:r>
          </w:p>
        </w:tc>
        <w:tc>
          <w:tcPr>
            <w:tcW w:w="0" w:type="auto"/>
          </w:tcPr>
          <w:p w14:paraId="3BA655A2" w14:textId="1805F2FA"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0.0453</w:t>
            </w:r>
            <w:r w:rsidR="002F4914" w:rsidRPr="009C5EFC">
              <w:rPr>
                <w:rFonts w:cs="Times New Roman"/>
                <w:color w:val="000000"/>
                <w:sz w:val="20"/>
                <w:szCs w:val="20"/>
                <w:vertAlign w:val="superscript"/>
              </w:rPr>
              <w:t>***</w:t>
            </w:r>
          </w:p>
        </w:tc>
        <w:tc>
          <w:tcPr>
            <w:tcW w:w="0" w:type="auto"/>
          </w:tcPr>
          <w:p w14:paraId="772FFC5E" w14:textId="374721EF"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0.0475</w:t>
            </w:r>
            <w:r w:rsidR="002F4914" w:rsidRPr="009C5EFC">
              <w:rPr>
                <w:rFonts w:cs="Times New Roman"/>
                <w:color w:val="000000"/>
                <w:sz w:val="20"/>
                <w:szCs w:val="20"/>
                <w:vertAlign w:val="superscript"/>
              </w:rPr>
              <w:t>***</w:t>
            </w:r>
          </w:p>
        </w:tc>
        <w:tc>
          <w:tcPr>
            <w:tcW w:w="0" w:type="auto"/>
          </w:tcPr>
          <w:p w14:paraId="06F19E29"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0.0044</w:t>
            </w:r>
          </w:p>
        </w:tc>
      </w:tr>
      <w:tr w:rsidR="002F4914" w:rsidRPr="000A077F" w14:paraId="0ED52789" w14:textId="77777777" w:rsidTr="009C5EFC">
        <w:tc>
          <w:tcPr>
            <w:tcW w:w="0" w:type="auto"/>
          </w:tcPr>
          <w:p w14:paraId="722B2D87"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Heating Other</w:t>
            </w:r>
          </w:p>
        </w:tc>
        <w:tc>
          <w:tcPr>
            <w:tcW w:w="0" w:type="auto"/>
          </w:tcPr>
          <w:p w14:paraId="7D7E960A" w14:textId="3EEDA1BF"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0.0315</w:t>
            </w:r>
          </w:p>
        </w:tc>
        <w:tc>
          <w:tcPr>
            <w:tcW w:w="0" w:type="auto"/>
          </w:tcPr>
          <w:p w14:paraId="7C4F0387" w14:textId="3D62E0A6"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0.028</w:t>
            </w:r>
          </w:p>
        </w:tc>
        <w:tc>
          <w:tcPr>
            <w:tcW w:w="0" w:type="auto"/>
          </w:tcPr>
          <w:p w14:paraId="7E4742A8"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0.0859</w:t>
            </w:r>
          </w:p>
        </w:tc>
      </w:tr>
      <w:tr w:rsidR="002F4914" w:rsidRPr="000A077F" w14:paraId="30833A8C" w14:textId="77777777" w:rsidTr="009C5EFC">
        <w:tc>
          <w:tcPr>
            <w:tcW w:w="0" w:type="auto"/>
          </w:tcPr>
          <w:p w14:paraId="225A7A07"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Evaporative AC</w:t>
            </w:r>
          </w:p>
        </w:tc>
        <w:tc>
          <w:tcPr>
            <w:tcW w:w="0" w:type="auto"/>
          </w:tcPr>
          <w:p w14:paraId="04082E6C"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0.0189</w:t>
            </w:r>
            <w:r w:rsidRPr="009C5EFC">
              <w:rPr>
                <w:rFonts w:cs="Times New Roman"/>
                <w:color w:val="000000"/>
                <w:sz w:val="20"/>
                <w:szCs w:val="20"/>
                <w:vertAlign w:val="superscript"/>
              </w:rPr>
              <w:t>***</w:t>
            </w:r>
          </w:p>
        </w:tc>
        <w:tc>
          <w:tcPr>
            <w:tcW w:w="0" w:type="auto"/>
          </w:tcPr>
          <w:p w14:paraId="48E98A79"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0.0198</w:t>
            </w:r>
            <w:r w:rsidRPr="009C5EFC">
              <w:rPr>
                <w:rFonts w:cs="Times New Roman"/>
                <w:color w:val="000000"/>
                <w:sz w:val="20"/>
                <w:szCs w:val="20"/>
                <w:vertAlign w:val="superscript"/>
              </w:rPr>
              <w:t>***</w:t>
            </w:r>
          </w:p>
        </w:tc>
        <w:tc>
          <w:tcPr>
            <w:tcW w:w="0" w:type="auto"/>
          </w:tcPr>
          <w:p w14:paraId="4272285C" w14:textId="155105FE"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0.0413</w:t>
            </w:r>
            <w:r w:rsidR="002F4914" w:rsidRPr="009C5EFC">
              <w:rPr>
                <w:rFonts w:cs="Times New Roman"/>
                <w:color w:val="000000"/>
                <w:sz w:val="20"/>
                <w:szCs w:val="20"/>
                <w:vertAlign w:val="superscript"/>
              </w:rPr>
              <w:t>*</w:t>
            </w:r>
          </w:p>
        </w:tc>
      </w:tr>
      <w:tr w:rsidR="002F4914" w:rsidRPr="000A077F" w14:paraId="369786F2" w14:textId="77777777" w:rsidTr="009C5EFC">
        <w:tc>
          <w:tcPr>
            <w:tcW w:w="0" w:type="auto"/>
          </w:tcPr>
          <w:p w14:paraId="3569E0A1" w14:textId="4D6D2056"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Split</w:t>
            </w:r>
            <w:r w:rsidR="005E2EAA">
              <w:rPr>
                <w:rFonts w:cs="Times New Roman"/>
                <w:color w:val="000000"/>
                <w:sz w:val="20"/>
                <w:szCs w:val="20"/>
              </w:rPr>
              <w:t>-s</w:t>
            </w:r>
            <w:r w:rsidRPr="009C5EFC">
              <w:rPr>
                <w:rFonts w:cs="Times New Roman"/>
                <w:color w:val="000000"/>
                <w:sz w:val="20"/>
                <w:szCs w:val="20"/>
              </w:rPr>
              <w:t>ystem AC</w:t>
            </w:r>
          </w:p>
        </w:tc>
        <w:tc>
          <w:tcPr>
            <w:tcW w:w="0" w:type="auto"/>
          </w:tcPr>
          <w:p w14:paraId="39DB5D2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0.00542</w:t>
            </w:r>
          </w:p>
        </w:tc>
        <w:tc>
          <w:tcPr>
            <w:tcW w:w="0" w:type="auto"/>
          </w:tcPr>
          <w:p w14:paraId="2F925546"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0.0058</w:t>
            </w:r>
          </w:p>
        </w:tc>
        <w:tc>
          <w:tcPr>
            <w:tcW w:w="0" w:type="auto"/>
          </w:tcPr>
          <w:p w14:paraId="1BDE34AD" w14:textId="6E7E5FC7"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0.0368</w:t>
            </w:r>
            <w:r w:rsidR="002F4914" w:rsidRPr="009C5EFC">
              <w:rPr>
                <w:rFonts w:cs="Times New Roman"/>
                <w:color w:val="000000"/>
                <w:sz w:val="20"/>
                <w:szCs w:val="20"/>
                <w:vertAlign w:val="superscript"/>
              </w:rPr>
              <w:t>*</w:t>
            </w:r>
          </w:p>
        </w:tc>
      </w:tr>
      <w:tr w:rsidR="002F4914" w:rsidRPr="000A077F" w14:paraId="16366F72" w14:textId="77777777" w:rsidTr="009C5EFC">
        <w:tc>
          <w:tcPr>
            <w:tcW w:w="0" w:type="auto"/>
          </w:tcPr>
          <w:p w14:paraId="6E20D14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AC Other</w:t>
            </w:r>
          </w:p>
        </w:tc>
        <w:tc>
          <w:tcPr>
            <w:tcW w:w="0" w:type="auto"/>
          </w:tcPr>
          <w:p w14:paraId="7C0A3336"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0.00414</w:t>
            </w:r>
          </w:p>
        </w:tc>
        <w:tc>
          <w:tcPr>
            <w:tcW w:w="0" w:type="auto"/>
          </w:tcPr>
          <w:p w14:paraId="2E5BA052"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0.00468</w:t>
            </w:r>
          </w:p>
        </w:tc>
        <w:tc>
          <w:tcPr>
            <w:tcW w:w="0" w:type="auto"/>
          </w:tcPr>
          <w:p w14:paraId="0C222D74"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0.0128</w:t>
            </w:r>
          </w:p>
        </w:tc>
      </w:tr>
      <w:tr w:rsidR="002F4914" w:rsidRPr="000A077F" w14:paraId="50C54540" w14:textId="77777777" w:rsidTr="009C5EFC">
        <w:tc>
          <w:tcPr>
            <w:tcW w:w="0" w:type="auto"/>
          </w:tcPr>
          <w:p w14:paraId="415E13A6" w14:textId="3F560794"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Spa </w:t>
            </w:r>
            <w:r w:rsidR="00A17F8A">
              <w:rPr>
                <w:rFonts w:cs="Times New Roman"/>
                <w:color w:val="000000"/>
                <w:sz w:val="20"/>
                <w:szCs w:val="20"/>
              </w:rPr>
              <w:t>B</w:t>
            </w:r>
            <w:r w:rsidRPr="009C5EFC">
              <w:rPr>
                <w:rFonts w:cs="Times New Roman"/>
                <w:color w:val="000000"/>
                <w:sz w:val="20"/>
                <w:szCs w:val="20"/>
              </w:rPr>
              <w:t xml:space="preserve">ath </w:t>
            </w:r>
            <w:r w:rsidR="00A17F8A">
              <w:rPr>
                <w:rFonts w:cs="Times New Roman"/>
                <w:color w:val="000000"/>
                <w:sz w:val="20"/>
                <w:szCs w:val="20"/>
              </w:rPr>
              <w:t>I</w:t>
            </w:r>
            <w:r w:rsidRPr="009C5EFC">
              <w:rPr>
                <w:rFonts w:cs="Times New Roman"/>
                <w:color w:val="000000"/>
                <w:sz w:val="20"/>
                <w:szCs w:val="20"/>
              </w:rPr>
              <w:t>ndoor</w:t>
            </w:r>
          </w:p>
        </w:tc>
        <w:tc>
          <w:tcPr>
            <w:tcW w:w="0" w:type="auto"/>
          </w:tcPr>
          <w:p w14:paraId="512499BA"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0.0123</w:t>
            </w:r>
          </w:p>
        </w:tc>
        <w:tc>
          <w:tcPr>
            <w:tcW w:w="0" w:type="auto"/>
          </w:tcPr>
          <w:p w14:paraId="042A46EC"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0.0144</w:t>
            </w:r>
          </w:p>
        </w:tc>
        <w:tc>
          <w:tcPr>
            <w:tcW w:w="0" w:type="auto"/>
          </w:tcPr>
          <w:p w14:paraId="64EF70BF"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0.0499</w:t>
            </w:r>
          </w:p>
        </w:tc>
      </w:tr>
      <w:tr w:rsidR="002F4914" w:rsidRPr="000A077F" w14:paraId="72FB76C8" w14:textId="77777777" w:rsidTr="009C5EFC">
        <w:tc>
          <w:tcPr>
            <w:tcW w:w="0" w:type="auto"/>
          </w:tcPr>
          <w:p w14:paraId="3AFE7760"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Spa Outdoor</w:t>
            </w:r>
          </w:p>
        </w:tc>
        <w:tc>
          <w:tcPr>
            <w:tcW w:w="0" w:type="auto"/>
          </w:tcPr>
          <w:p w14:paraId="4F367085"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0.0720</w:t>
            </w:r>
            <w:r w:rsidRPr="009C5EFC">
              <w:rPr>
                <w:rFonts w:cs="Times New Roman"/>
                <w:color w:val="000000"/>
                <w:sz w:val="20"/>
                <w:szCs w:val="20"/>
                <w:vertAlign w:val="superscript"/>
              </w:rPr>
              <w:t>***</w:t>
            </w:r>
          </w:p>
        </w:tc>
        <w:tc>
          <w:tcPr>
            <w:tcW w:w="0" w:type="auto"/>
          </w:tcPr>
          <w:p w14:paraId="76878591"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0.0725</w:t>
            </w:r>
            <w:r w:rsidRPr="009C5EFC">
              <w:rPr>
                <w:rFonts w:cs="Times New Roman"/>
                <w:color w:val="000000"/>
                <w:sz w:val="20"/>
                <w:szCs w:val="20"/>
                <w:vertAlign w:val="superscript"/>
              </w:rPr>
              <w:t>***</w:t>
            </w:r>
          </w:p>
        </w:tc>
        <w:tc>
          <w:tcPr>
            <w:tcW w:w="0" w:type="auto"/>
          </w:tcPr>
          <w:p w14:paraId="481BF10E"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0.021</w:t>
            </w:r>
          </w:p>
        </w:tc>
      </w:tr>
      <w:tr w:rsidR="002F4914" w:rsidRPr="000A077F" w14:paraId="217D8CD5" w14:textId="77777777" w:rsidTr="009C5EFC">
        <w:tc>
          <w:tcPr>
            <w:tcW w:w="0" w:type="auto"/>
          </w:tcPr>
          <w:p w14:paraId="3408C88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Swimming Pool</w:t>
            </w:r>
          </w:p>
        </w:tc>
        <w:tc>
          <w:tcPr>
            <w:tcW w:w="0" w:type="auto"/>
          </w:tcPr>
          <w:p w14:paraId="5002804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0.0609</w:t>
            </w:r>
            <w:r w:rsidRPr="009C5EFC">
              <w:rPr>
                <w:rFonts w:cs="Times New Roman"/>
                <w:color w:val="000000"/>
                <w:sz w:val="20"/>
                <w:szCs w:val="20"/>
                <w:vertAlign w:val="superscript"/>
              </w:rPr>
              <w:t>***</w:t>
            </w:r>
          </w:p>
        </w:tc>
        <w:tc>
          <w:tcPr>
            <w:tcW w:w="0" w:type="auto"/>
          </w:tcPr>
          <w:p w14:paraId="0B00AA7F"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0.0621</w:t>
            </w:r>
            <w:r w:rsidRPr="009C5EFC">
              <w:rPr>
                <w:rFonts w:cs="Times New Roman"/>
                <w:color w:val="000000"/>
                <w:sz w:val="20"/>
                <w:szCs w:val="20"/>
                <w:vertAlign w:val="superscript"/>
              </w:rPr>
              <w:t>***</w:t>
            </w:r>
          </w:p>
        </w:tc>
        <w:tc>
          <w:tcPr>
            <w:tcW w:w="0" w:type="auto"/>
          </w:tcPr>
          <w:p w14:paraId="3399772B"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0.0445</w:t>
            </w:r>
          </w:p>
        </w:tc>
      </w:tr>
      <w:tr w:rsidR="002F4914" w:rsidRPr="000A077F" w14:paraId="71784F4B" w14:textId="77777777" w:rsidTr="009C5EFC">
        <w:tc>
          <w:tcPr>
            <w:tcW w:w="0" w:type="auto"/>
          </w:tcPr>
          <w:p w14:paraId="6890838B"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Sauna</w:t>
            </w:r>
          </w:p>
        </w:tc>
        <w:tc>
          <w:tcPr>
            <w:tcW w:w="0" w:type="auto"/>
          </w:tcPr>
          <w:p w14:paraId="0B13663B" w14:textId="626D7C0D"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0.0393</w:t>
            </w:r>
          </w:p>
        </w:tc>
        <w:tc>
          <w:tcPr>
            <w:tcW w:w="0" w:type="auto"/>
          </w:tcPr>
          <w:p w14:paraId="0245AD25" w14:textId="1D3CE860"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0.0363</w:t>
            </w:r>
          </w:p>
        </w:tc>
        <w:tc>
          <w:tcPr>
            <w:tcW w:w="0" w:type="auto"/>
          </w:tcPr>
          <w:p w14:paraId="46101166"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0.134</w:t>
            </w:r>
          </w:p>
        </w:tc>
      </w:tr>
      <w:tr w:rsidR="002F4914" w:rsidRPr="000A077F" w14:paraId="6A0C973D" w14:textId="77777777" w:rsidTr="009C5EFC">
        <w:tc>
          <w:tcPr>
            <w:tcW w:w="0" w:type="auto"/>
          </w:tcPr>
          <w:p w14:paraId="2F86EDE7"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Bedrooms</w:t>
            </w:r>
          </w:p>
        </w:tc>
        <w:tc>
          <w:tcPr>
            <w:tcW w:w="0" w:type="auto"/>
          </w:tcPr>
          <w:p w14:paraId="666181E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0.172</w:t>
            </w:r>
            <w:r w:rsidRPr="009C5EFC">
              <w:rPr>
                <w:rFonts w:cs="Times New Roman"/>
                <w:color w:val="000000"/>
                <w:sz w:val="20"/>
                <w:szCs w:val="20"/>
                <w:vertAlign w:val="superscript"/>
              </w:rPr>
              <w:t>***</w:t>
            </w:r>
          </w:p>
        </w:tc>
        <w:tc>
          <w:tcPr>
            <w:tcW w:w="0" w:type="auto"/>
          </w:tcPr>
          <w:p w14:paraId="45C20DC1"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0.172</w:t>
            </w:r>
            <w:r w:rsidRPr="009C5EFC">
              <w:rPr>
                <w:rFonts w:cs="Times New Roman"/>
                <w:color w:val="000000"/>
                <w:sz w:val="20"/>
                <w:szCs w:val="20"/>
                <w:vertAlign w:val="superscript"/>
              </w:rPr>
              <w:t>***</w:t>
            </w:r>
          </w:p>
        </w:tc>
        <w:tc>
          <w:tcPr>
            <w:tcW w:w="0" w:type="auto"/>
          </w:tcPr>
          <w:p w14:paraId="409688D8"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0.0559</w:t>
            </w:r>
            <w:r w:rsidRPr="009C5EFC">
              <w:rPr>
                <w:rFonts w:cs="Times New Roman"/>
                <w:color w:val="000000"/>
                <w:sz w:val="20"/>
                <w:szCs w:val="20"/>
                <w:vertAlign w:val="superscript"/>
              </w:rPr>
              <w:t>***</w:t>
            </w:r>
          </w:p>
        </w:tc>
      </w:tr>
      <w:tr w:rsidR="002F4914" w:rsidRPr="000A077F" w14:paraId="1F30CACC" w14:textId="77777777" w:rsidTr="009C5EFC">
        <w:tc>
          <w:tcPr>
            <w:tcW w:w="0" w:type="auto"/>
          </w:tcPr>
          <w:p w14:paraId="0012F806" w14:textId="44AB62B2"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Time</w:t>
            </w:r>
            <w:r w:rsidR="00C525E1" w:rsidRPr="009C5EFC">
              <w:rPr>
                <w:rFonts w:cs="Times New Roman"/>
                <w:color w:val="000000"/>
                <w:sz w:val="20"/>
                <w:szCs w:val="20"/>
              </w:rPr>
              <w:t xml:space="preserve"> </w:t>
            </w:r>
            <w:r w:rsidRPr="009C5EFC">
              <w:rPr>
                <w:rFonts w:cs="Times New Roman"/>
                <w:color w:val="000000"/>
                <w:sz w:val="20"/>
                <w:szCs w:val="20"/>
              </w:rPr>
              <w:t>on</w:t>
            </w:r>
            <w:r w:rsidR="00C525E1" w:rsidRPr="009C5EFC">
              <w:rPr>
                <w:rFonts w:cs="Times New Roman"/>
                <w:color w:val="000000"/>
                <w:sz w:val="20"/>
                <w:szCs w:val="20"/>
              </w:rPr>
              <w:t xml:space="preserve"> </w:t>
            </w:r>
            <w:r w:rsidR="00A17F8A">
              <w:rPr>
                <w:rFonts w:cs="Times New Roman"/>
                <w:color w:val="000000"/>
                <w:sz w:val="20"/>
                <w:szCs w:val="20"/>
              </w:rPr>
              <w:t>M</w:t>
            </w:r>
            <w:r w:rsidRPr="009C5EFC">
              <w:rPr>
                <w:rFonts w:cs="Times New Roman"/>
                <w:color w:val="000000"/>
                <w:sz w:val="20"/>
                <w:szCs w:val="20"/>
              </w:rPr>
              <w:t>arket</w:t>
            </w:r>
            <w:r w:rsidR="00C525E1" w:rsidRPr="009C5EFC">
              <w:rPr>
                <w:rFonts w:cs="Times New Roman"/>
                <w:color w:val="000000"/>
                <w:sz w:val="20"/>
                <w:szCs w:val="20"/>
              </w:rPr>
              <w:t xml:space="preserve"> (log)</w:t>
            </w:r>
          </w:p>
        </w:tc>
        <w:tc>
          <w:tcPr>
            <w:tcW w:w="0" w:type="auto"/>
          </w:tcPr>
          <w:p w14:paraId="72C1B121" w14:textId="7DF62CDD"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0.0262</w:t>
            </w:r>
            <w:r w:rsidR="002F4914" w:rsidRPr="009C5EFC">
              <w:rPr>
                <w:rFonts w:cs="Times New Roman"/>
                <w:color w:val="000000"/>
                <w:sz w:val="20"/>
                <w:szCs w:val="20"/>
                <w:vertAlign w:val="superscript"/>
              </w:rPr>
              <w:t>***</w:t>
            </w:r>
          </w:p>
        </w:tc>
        <w:tc>
          <w:tcPr>
            <w:tcW w:w="0" w:type="auto"/>
          </w:tcPr>
          <w:p w14:paraId="0BB52C9D" w14:textId="68241132"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0.0258</w:t>
            </w:r>
            <w:r w:rsidR="002F4914" w:rsidRPr="009C5EFC">
              <w:rPr>
                <w:rFonts w:cs="Times New Roman"/>
                <w:color w:val="000000"/>
                <w:sz w:val="20"/>
                <w:szCs w:val="20"/>
                <w:vertAlign w:val="superscript"/>
              </w:rPr>
              <w:t>***</w:t>
            </w:r>
          </w:p>
        </w:tc>
        <w:tc>
          <w:tcPr>
            <w:tcW w:w="0" w:type="auto"/>
          </w:tcPr>
          <w:p w14:paraId="407D3A42"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p>
        </w:tc>
      </w:tr>
      <w:tr w:rsidR="002F4914" w:rsidRPr="000A077F" w14:paraId="747452C2" w14:textId="77777777" w:rsidTr="009C5EFC">
        <w:tc>
          <w:tcPr>
            <w:tcW w:w="0" w:type="auto"/>
          </w:tcPr>
          <w:p w14:paraId="2DE0BF44"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Bathrooms</w:t>
            </w:r>
          </w:p>
        </w:tc>
        <w:tc>
          <w:tcPr>
            <w:tcW w:w="0" w:type="auto"/>
          </w:tcPr>
          <w:p w14:paraId="22164E4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0.0400</w:t>
            </w:r>
            <w:r w:rsidRPr="009C5EFC">
              <w:rPr>
                <w:rFonts w:cs="Times New Roman"/>
                <w:color w:val="000000"/>
                <w:sz w:val="20"/>
                <w:szCs w:val="20"/>
                <w:vertAlign w:val="superscript"/>
              </w:rPr>
              <w:t>***</w:t>
            </w:r>
          </w:p>
        </w:tc>
        <w:tc>
          <w:tcPr>
            <w:tcW w:w="0" w:type="auto"/>
          </w:tcPr>
          <w:p w14:paraId="4CC69519"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0.0405</w:t>
            </w:r>
            <w:r w:rsidRPr="009C5EFC">
              <w:rPr>
                <w:rFonts w:cs="Times New Roman"/>
                <w:color w:val="000000"/>
                <w:sz w:val="20"/>
                <w:szCs w:val="20"/>
                <w:vertAlign w:val="superscript"/>
              </w:rPr>
              <w:t>***</w:t>
            </w:r>
          </w:p>
        </w:tc>
        <w:tc>
          <w:tcPr>
            <w:tcW w:w="0" w:type="auto"/>
          </w:tcPr>
          <w:p w14:paraId="7952B19A" w14:textId="4AB48F31"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0.0118</w:t>
            </w:r>
          </w:p>
        </w:tc>
      </w:tr>
      <w:tr w:rsidR="002F4914" w:rsidRPr="000A077F" w14:paraId="0F80C6B9" w14:textId="77777777" w:rsidTr="009C5EFC">
        <w:tc>
          <w:tcPr>
            <w:tcW w:w="0" w:type="auto"/>
          </w:tcPr>
          <w:p w14:paraId="2D97D962"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Garden</w:t>
            </w:r>
          </w:p>
        </w:tc>
        <w:tc>
          <w:tcPr>
            <w:tcW w:w="0" w:type="auto"/>
          </w:tcPr>
          <w:p w14:paraId="357B56A6"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0.0372</w:t>
            </w:r>
            <w:r w:rsidRPr="009C5EFC">
              <w:rPr>
                <w:rFonts w:cs="Times New Roman"/>
                <w:color w:val="000000"/>
                <w:sz w:val="20"/>
                <w:szCs w:val="20"/>
                <w:vertAlign w:val="superscript"/>
              </w:rPr>
              <w:t>***</w:t>
            </w:r>
          </w:p>
        </w:tc>
        <w:tc>
          <w:tcPr>
            <w:tcW w:w="0" w:type="auto"/>
          </w:tcPr>
          <w:p w14:paraId="57B7F42C"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0.0363</w:t>
            </w:r>
            <w:r w:rsidRPr="009C5EFC">
              <w:rPr>
                <w:rFonts w:cs="Times New Roman"/>
                <w:color w:val="000000"/>
                <w:sz w:val="20"/>
                <w:szCs w:val="20"/>
                <w:vertAlign w:val="superscript"/>
              </w:rPr>
              <w:t>***</w:t>
            </w:r>
          </w:p>
        </w:tc>
        <w:tc>
          <w:tcPr>
            <w:tcW w:w="0" w:type="auto"/>
          </w:tcPr>
          <w:p w14:paraId="471F1BF8" w14:textId="0BE63773"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0.0657</w:t>
            </w:r>
            <w:r w:rsidR="002F4914" w:rsidRPr="009C5EFC">
              <w:rPr>
                <w:rFonts w:cs="Times New Roman"/>
                <w:color w:val="000000"/>
                <w:sz w:val="20"/>
                <w:szCs w:val="20"/>
                <w:vertAlign w:val="superscript"/>
              </w:rPr>
              <w:t>***</w:t>
            </w:r>
          </w:p>
        </w:tc>
      </w:tr>
      <w:tr w:rsidR="002F4914" w:rsidRPr="000A077F" w14:paraId="46DF0663" w14:textId="77777777" w:rsidTr="009C5EFC">
        <w:tc>
          <w:tcPr>
            <w:tcW w:w="0" w:type="auto"/>
          </w:tcPr>
          <w:p w14:paraId="5A546193"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Garage</w:t>
            </w:r>
          </w:p>
        </w:tc>
        <w:tc>
          <w:tcPr>
            <w:tcW w:w="0" w:type="auto"/>
          </w:tcPr>
          <w:p w14:paraId="72303158"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0.0339</w:t>
            </w:r>
            <w:r w:rsidRPr="009C5EFC">
              <w:rPr>
                <w:rFonts w:cs="Times New Roman"/>
                <w:color w:val="000000"/>
                <w:sz w:val="20"/>
                <w:szCs w:val="20"/>
                <w:vertAlign w:val="superscript"/>
              </w:rPr>
              <w:t>***</w:t>
            </w:r>
          </w:p>
        </w:tc>
        <w:tc>
          <w:tcPr>
            <w:tcW w:w="0" w:type="auto"/>
          </w:tcPr>
          <w:p w14:paraId="3DE2013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0.0357</w:t>
            </w:r>
            <w:r w:rsidRPr="009C5EFC">
              <w:rPr>
                <w:rFonts w:cs="Times New Roman"/>
                <w:color w:val="000000"/>
                <w:sz w:val="20"/>
                <w:szCs w:val="20"/>
                <w:vertAlign w:val="superscript"/>
              </w:rPr>
              <w:t>***</w:t>
            </w:r>
          </w:p>
        </w:tc>
        <w:tc>
          <w:tcPr>
            <w:tcW w:w="0" w:type="auto"/>
          </w:tcPr>
          <w:p w14:paraId="22558BC0" w14:textId="19E9F8CB"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0.00573</w:t>
            </w:r>
          </w:p>
        </w:tc>
      </w:tr>
      <w:tr w:rsidR="002F4914" w:rsidRPr="000A077F" w14:paraId="798A93CC" w14:textId="77777777" w:rsidTr="009C5EFC">
        <w:tc>
          <w:tcPr>
            <w:tcW w:w="0" w:type="auto"/>
          </w:tcPr>
          <w:p w14:paraId="7504E24C" w14:textId="7D4AB5B2"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Allocated </w:t>
            </w:r>
            <w:r w:rsidR="00A17F8A">
              <w:rPr>
                <w:rFonts w:cs="Times New Roman"/>
                <w:color w:val="000000"/>
                <w:sz w:val="20"/>
                <w:szCs w:val="20"/>
              </w:rPr>
              <w:t>C</w:t>
            </w:r>
            <w:r w:rsidRPr="009C5EFC">
              <w:rPr>
                <w:rFonts w:cs="Times New Roman"/>
                <w:color w:val="000000"/>
                <w:sz w:val="20"/>
                <w:szCs w:val="20"/>
              </w:rPr>
              <w:t xml:space="preserve">ar </w:t>
            </w:r>
            <w:r w:rsidR="00A17F8A">
              <w:rPr>
                <w:rFonts w:cs="Times New Roman"/>
                <w:color w:val="000000"/>
                <w:sz w:val="20"/>
                <w:szCs w:val="20"/>
              </w:rPr>
              <w:t>S</w:t>
            </w:r>
            <w:r w:rsidRPr="009C5EFC">
              <w:rPr>
                <w:rFonts w:cs="Times New Roman"/>
                <w:color w:val="000000"/>
                <w:sz w:val="20"/>
                <w:szCs w:val="20"/>
              </w:rPr>
              <w:t>pace</w:t>
            </w:r>
          </w:p>
        </w:tc>
        <w:tc>
          <w:tcPr>
            <w:tcW w:w="0" w:type="auto"/>
          </w:tcPr>
          <w:p w14:paraId="576A71BF"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0.00737</w:t>
            </w:r>
            <w:r w:rsidRPr="009C5EFC">
              <w:rPr>
                <w:rFonts w:cs="Times New Roman"/>
                <w:color w:val="000000"/>
                <w:sz w:val="20"/>
                <w:szCs w:val="20"/>
                <w:vertAlign w:val="superscript"/>
              </w:rPr>
              <w:t>*</w:t>
            </w:r>
          </w:p>
        </w:tc>
        <w:tc>
          <w:tcPr>
            <w:tcW w:w="0" w:type="auto"/>
          </w:tcPr>
          <w:p w14:paraId="299A9B3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0.00780</w:t>
            </w:r>
            <w:r w:rsidRPr="009C5EFC">
              <w:rPr>
                <w:rFonts w:cs="Times New Roman"/>
                <w:color w:val="000000"/>
                <w:sz w:val="20"/>
                <w:szCs w:val="20"/>
                <w:vertAlign w:val="superscript"/>
              </w:rPr>
              <w:t>*</w:t>
            </w:r>
          </w:p>
        </w:tc>
        <w:tc>
          <w:tcPr>
            <w:tcW w:w="0" w:type="auto"/>
          </w:tcPr>
          <w:p w14:paraId="2B410C88"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0.0576</w:t>
            </w:r>
            <w:r w:rsidRPr="009C5EFC">
              <w:rPr>
                <w:rFonts w:cs="Times New Roman"/>
                <w:color w:val="000000"/>
                <w:sz w:val="20"/>
                <w:szCs w:val="20"/>
                <w:vertAlign w:val="superscript"/>
              </w:rPr>
              <w:t>***</w:t>
            </w:r>
          </w:p>
        </w:tc>
      </w:tr>
      <w:tr w:rsidR="002F4914" w:rsidRPr="000A077F" w14:paraId="732E38A2" w14:textId="77777777" w:rsidTr="009C5EFC">
        <w:tc>
          <w:tcPr>
            <w:tcW w:w="0" w:type="auto"/>
          </w:tcPr>
          <w:p w14:paraId="5454E382"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Courtyard</w:t>
            </w:r>
          </w:p>
        </w:tc>
        <w:tc>
          <w:tcPr>
            <w:tcW w:w="0" w:type="auto"/>
          </w:tcPr>
          <w:p w14:paraId="57A8C95E" w14:textId="36295E35"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0.000536</w:t>
            </w:r>
          </w:p>
        </w:tc>
        <w:tc>
          <w:tcPr>
            <w:tcW w:w="0" w:type="auto"/>
          </w:tcPr>
          <w:p w14:paraId="0141FE82"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0.000782</w:t>
            </w:r>
          </w:p>
        </w:tc>
        <w:tc>
          <w:tcPr>
            <w:tcW w:w="0" w:type="auto"/>
          </w:tcPr>
          <w:p w14:paraId="5BCD6F28"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0.0131</w:t>
            </w:r>
          </w:p>
        </w:tc>
      </w:tr>
      <w:tr w:rsidR="002F4914" w:rsidRPr="000A077F" w14:paraId="055AD9DB" w14:textId="77777777" w:rsidTr="009C5EFC">
        <w:tc>
          <w:tcPr>
            <w:tcW w:w="0" w:type="auto"/>
          </w:tcPr>
          <w:p w14:paraId="4F3F81C2" w14:textId="6C0FEA7F"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Parking </w:t>
            </w:r>
            <w:r w:rsidR="00A17F8A">
              <w:rPr>
                <w:rFonts w:cs="Times New Roman"/>
                <w:color w:val="000000"/>
                <w:sz w:val="20"/>
                <w:szCs w:val="20"/>
              </w:rPr>
              <w:t>C</w:t>
            </w:r>
            <w:r w:rsidRPr="009C5EFC">
              <w:rPr>
                <w:rFonts w:cs="Times New Roman"/>
                <w:color w:val="000000"/>
                <w:sz w:val="20"/>
                <w:szCs w:val="20"/>
              </w:rPr>
              <w:t>ombined</w:t>
            </w:r>
          </w:p>
        </w:tc>
        <w:tc>
          <w:tcPr>
            <w:tcW w:w="0" w:type="auto"/>
          </w:tcPr>
          <w:p w14:paraId="5261C053"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0.0143</w:t>
            </w:r>
            <w:r w:rsidRPr="009C5EFC">
              <w:rPr>
                <w:rFonts w:cs="Times New Roman"/>
                <w:color w:val="000000"/>
                <w:sz w:val="20"/>
                <w:szCs w:val="20"/>
                <w:vertAlign w:val="superscript"/>
              </w:rPr>
              <w:t>***</w:t>
            </w:r>
          </w:p>
        </w:tc>
        <w:tc>
          <w:tcPr>
            <w:tcW w:w="0" w:type="auto"/>
          </w:tcPr>
          <w:p w14:paraId="0B1C099F"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0.0130</w:t>
            </w:r>
            <w:r w:rsidRPr="009C5EFC">
              <w:rPr>
                <w:rFonts w:cs="Times New Roman"/>
                <w:color w:val="000000"/>
                <w:sz w:val="20"/>
                <w:szCs w:val="20"/>
                <w:vertAlign w:val="superscript"/>
              </w:rPr>
              <w:t>***</w:t>
            </w:r>
          </w:p>
        </w:tc>
        <w:tc>
          <w:tcPr>
            <w:tcW w:w="0" w:type="auto"/>
          </w:tcPr>
          <w:p w14:paraId="4DA9C797" w14:textId="39A402C6"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0.0113</w:t>
            </w:r>
          </w:p>
        </w:tc>
      </w:tr>
      <w:tr w:rsidR="002F4914" w:rsidRPr="000A077F" w14:paraId="200400A1" w14:textId="77777777" w:rsidTr="009C5EFC">
        <w:tc>
          <w:tcPr>
            <w:tcW w:w="0" w:type="auto"/>
          </w:tcPr>
          <w:p w14:paraId="09644C8D"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Renovated</w:t>
            </w:r>
          </w:p>
        </w:tc>
        <w:tc>
          <w:tcPr>
            <w:tcW w:w="0" w:type="auto"/>
          </w:tcPr>
          <w:p w14:paraId="67D97438"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0.0121</w:t>
            </w:r>
            <w:r w:rsidRPr="009C5EFC">
              <w:rPr>
                <w:rFonts w:cs="Times New Roman"/>
                <w:color w:val="000000"/>
                <w:sz w:val="20"/>
                <w:szCs w:val="20"/>
                <w:vertAlign w:val="superscript"/>
              </w:rPr>
              <w:t>***</w:t>
            </w:r>
          </w:p>
        </w:tc>
        <w:tc>
          <w:tcPr>
            <w:tcW w:w="0" w:type="auto"/>
          </w:tcPr>
          <w:p w14:paraId="1C4C6EA0"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0.00795</w:t>
            </w:r>
            <w:r w:rsidRPr="009C5EFC">
              <w:rPr>
                <w:rFonts w:cs="Times New Roman"/>
                <w:color w:val="000000"/>
                <w:sz w:val="20"/>
                <w:szCs w:val="20"/>
                <w:vertAlign w:val="superscript"/>
              </w:rPr>
              <w:t>***</w:t>
            </w:r>
          </w:p>
        </w:tc>
        <w:tc>
          <w:tcPr>
            <w:tcW w:w="0" w:type="auto"/>
          </w:tcPr>
          <w:p w14:paraId="3B3CA147" w14:textId="640B2A7D"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0.0586</w:t>
            </w:r>
            <w:r w:rsidR="002F4914" w:rsidRPr="009C5EFC">
              <w:rPr>
                <w:rFonts w:cs="Times New Roman"/>
                <w:color w:val="000000"/>
                <w:sz w:val="20"/>
                <w:szCs w:val="20"/>
                <w:vertAlign w:val="superscript"/>
              </w:rPr>
              <w:t>***</w:t>
            </w:r>
          </w:p>
        </w:tc>
      </w:tr>
      <w:tr w:rsidR="002F4914" w:rsidRPr="000A077F" w14:paraId="092ADD80" w14:textId="77777777" w:rsidTr="009C5EFC">
        <w:tc>
          <w:tcPr>
            <w:tcW w:w="0" w:type="auto"/>
          </w:tcPr>
          <w:p w14:paraId="5498E02D"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Updated</w:t>
            </w:r>
          </w:p>
        </w:tc>
        <w:tc>
          <w:tcPr>
            <w:tcW w:w="0" w:type="auto"/>
          </w:tcPr>
          <w:p w14:paraId="07DD0753" w14:textId="1B69DEF8"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0.0137</w:t>
            </w:r>
            <w:r w:rsidR="002F4914" w:rsidRPr="009C5EFC">
              <w:rPr>
                <w:rFonts w:cs="Times New Roman"/>
                <w:color w:val="000000"/>
                <w:sz w:val="20"/>
                <w:szCs w:val="20"/>
                <w:vertAlign w:val="superscript"/>
              </w:rPr>
              <w:t>***</w:t>
            </w:r>
          </w:p>
        </w:tc>
        <w:tc>
          <w:tcPr>
            <w:tcW w:w="0" w:type="auto"/>
          </w:tcPr>
          <w:p w14:paraId="456EC0FC" w14:textId="479B969A"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0.0169</w:t>
            </w:r>
            <w:r w:rsidR="002F4914" w:rsidRPr="009C5EFC">
              <w:rPr>
                <w:rFonts w:cs="Times New Roman"/>
                <w:color w:val="000000"/>
                <w:sz w:val="20"/>
                <w:szCs w:val="20"/>
                <w:vertAlign w:val="superscript"/>
              </w:rPr>
              <w:t>***</w:t>
            </w:r>
          </w:p>
        </w:tc>
        <w:tc>
          <w:tcPr>
            <w:tcW w:w="0" w:type="auto"/>
          </w:tcPr>
          <w:p w14:paraId="44EE687A" w14:textId="36ED68DD"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0.0581</w:t>
            </w:r>
            <w:r w:rsidR="002F4914" w:rsidRPr="009C5EFC">
              <w:rPr>
                <w:rFonts w:cs="Times New Roman"/>
                <w:color w:val="000000"/>
                <w:sz w:val="20"/>
                <w:szCs w:val="20"/>
                <w:vertAlign w:val="superscript"/>
              </w:rPr>
              <w:t>***</w:t>
            </w:r>
          </w:p>
        </w:tc>
      </w:tr>
      <w:tr w:rsidR="002F4914" w:rsidRPr="000A077F" w14:paraId="236B8DA5" w14:textId="77777777" w:rsidTr="009C5EFC">
        <w:tc>
          <w:tcPr>
            <w:tcW w:w="0" w:type="auto"/>
          </w:tcPr>
          <w:p w14:paraId="4C802E6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Refurbished</w:t>
            </w:r>
          </w:p>
        </w:tc>
        <w:tc>
          <w:tcPr>
            <w:tcW w:w="0" w:type="auto"/>
          </w:tcPr>
          <w:p w14:paraId="6C81C48A"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0.0246</w:t>
            </w:r>
            <w:r w:rsidRPr="009C5EFC">
              <w:rPr>
                <w:rFonts w:cs="Times New Roman"/>
                <w:color w:val="000000"/>
                <w:sz w:val="20"/>
                <w:szCs w:val="20"/>
                <w:vertAlign w:val="superscript"/>
              </w:rPr>
              <w:t>**</w:t>
            </w:r>
          </w:p>
        </w:tc>
        <w:tc>
          <w:tcPr>
            <w:tcW w:w="0" w:type="auto"/>
          </w:tcPr>
          <w:p w14:paraId="495DE422"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0.0238</w:t>
            </w:r>
            <w:r w:rsidRPr="009C5EFC">
              <w:rPr>
                <w:rFonts w:cs="Times New Roman"/>
                <w:color w:val="000000"/>
                <w:sz w:val="20"/>
                <w:szCs w:val="20"/>
                <w:vertAlign w:val="superscript"/>
              </w:rPr>
              <w:t>**</w:t>
            </w:r>
          </w:p>
        </w:tc>
        <w:tc>
          <w:tcPr>
            <w:tcW w:w="0" w:type="auto"/>
          </w:tcPr>
          <w:p w14:paraId="3205CBE3"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0.00288</w:t>
            </w:r>
          </w:p>
        </w:tc>
      </w:tr>
      <w:tr w:rsidR="002F4914" w:rsidRPr="000A077F" w14:paraId="4D0C1EA4" w14:textId="77777777" w:rsidTr="009C5EFC">
        <w:tc>
          <w:tcPr>
            <w:tcW w:w="0" w:type="auto"/>
          </w:tcPr>
          <w:p w14:paraId="7025C609"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Contemporary</w:t>
            </w:r>
          </w:p>
        </w:tc>
        <w:tc>
          <w:tcPr>
            <w:tcW w:w="0" w:type="auto"/>
          </w:tcPr>
          <w:p w14:paraId="742B31F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0.0639</w:t>
            </w:r>
            <w:r w:rsidRPr="009C5EFC">
              <w:rPr>
                <w:rFonts w:cs="Times New Roman"/>
                <w:color w:val="000000"/>
                <w:sz w:val="20"/>
                <w:szCs w:val="20"/>
                <w:vertAlign w:val="superscript"/>
              </w:rPr>
              <w:t>***</w:t>
            </w:r>
          </w:p>
        </w:tc>
        <w:tc>
          <w:tcPr>
            <w:tcW w:w="0" w:type="auto"/>
          </w:tcPr>
          <w:p w14:paraId="3828C3BF"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0.0658</w:t>
            </w:r>
            <w:r w:rsidRPr="009C5EFC">
              <w:rPr>
                <w:rFonts w:cs="Times New Roman"/>
                <w:color w:val="000000"/>
                <w:sz w:val="20"/>
                <w:szCs w:val="20"/>
                <w:vertAlign w:val="superscript"/>
              </w:rPr>
              <w:t>***</w:t>
            </w:r>
          </w:p>
        </w:tc>
        <w:tc>
          <w:tcPr>
            <w:tcW w:w="0" w:type="auto"/>
          </w:tcPr>
          <w:p w14:paraId="0EEA4956"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0.0195</w:t>
            </w:r>
          </w:p>
        </w:tc>
      </w:tr>
      <w:tr w:rsidR="002F4914" w:rsidRPr="000A077F" w14:paraId="2C90EFB3" w14:textId="77777777" w:rsidTr="009C5EFC">
        <w:tc>
          <w:tcPr>
            <w:tcW w:w="0" w:type="auto"/>
          </w:tcPr>
          <w:p w14:paraId="65004E78" w14:textId="4CDCB4BC"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Recently </w:t>
            </w:r>
            <w:r w:rsidR="00A17F8A">
              <w:rPr>
                <w:rFonts w:cs="Times New Roman"/>
                <w:color w:val="000000"/>
                <w:sz w:val="20"/>
                <w:szCs w:val="20"/>
              </w:rPr>
              <w:t>C</w:t>
            </w:r>
            <w:r w:rsidRPr="009C5EFC">
              <w:rPr>
                <w:rFonts w:cs="Times New Roman"/>
                <w:color w:val="000000"/>
                <w:sz w:val="20"/>
                <w:szCs w:val="20"/>
              </w:rPr>
              <w:t>onstructed</w:t>
            </w:r>
          </w:p>
        </w:tc>
        <w:tc>
          <w:tcPr>
            <w:tcW w:w="0" w:type="auto"/>
          </w:tcPr>
          <w:p w14:paraId="57CF4A14"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0.0382</w:t>
            </w:r>
          </w:p>
        </w:tc>
        <w:tc>
          <w:tcPr>
            <w:tcW w:w="0" w:type="auto"/>
          </w:tcPr>
          <w:p w14:paraId="4659BE1A"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0.0371</w:t>
            </w:r>
          </w:p>
        </w:tc>
        <w:tc>
          <w:tcPr>
            <w:tcW w:w="0" w:type="auto"/>
          </w:tcPr>
          <w:p w14:paraId="7BDEC74E"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0.648</w:t>
            </w:r>
            <w:r w:rsidRPr="009C5EFC">
              <w:rPr>
                <w:rFonts w:cs="Times New Roman"/>
                <w:color w:val="000000"/>
                <w:sz w:val="20"/>
                <w:szCs w:val="20"/>
                <w:vertAlign w:val="superscript"/>
              </w:rPr>
              <w:t>***</w:t>
            </w:r>
          </w:p>
        </w:tc>
      </w:tr>
      <w:tr w:rsidR="002F4914" w:rsidRPr="000A077F" w14:paraId="719DB7E9" w14:textId="77777777" w:rsidTr="009C5EFC">
        <w:tc>
          <w:tcPr>
            <w:tcW w:w="0" w:type="auto"/>
          </w:tcPr>
          <w:p w14:paraId="4F488350"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Older style</w:t>
            </w:r>
          </w:p>
        </w:tc>
        <w:tc>
          <w:tcPr>
            <w:tcW w:w="0" w:type="auto"/>
          </w:tcPr>
          <w:p w14:paraId="2BE2735F" w14:textId="4A0E70F4"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0.105</w:t>
            </w:r>
            <w:r w:rsidR="002F4914" w:rsidRPr="009C5EFC">
              <w:rPr>
                <w:rFonts w:cs="Times New Roman"/>
                <w:color w:val="000000"/>
                <w:sz w:val="20"/>
                <w:szCs w:val="20"/>
                <w:vertAlign w:val="superscript"/>
              </w:rPr>
              <w:t>***</w:t>
            </w:r>
          </w:p>
        </w:tc>
        <w:tc>
          <w:tcPr>
            <w:tcW w:w="0" w:type="auto"/>
          </w:tcPr>
          <w:p w14:paraId="2970DF27" w14:textId="2710269F"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0.112</w:t>
            </w:r>
            <w:r w:rsidR="002F4914" w:rsidRPr="009C5EFC">
              <w:rPr>
                <w:rFonts w:cs="Times New Roman"/>
                <w:color w:val="000000"/>
                <w:sz w:val="20"/>
                <w:szCs w:val="20"/>
                <w:vertAlign w:val="superscript"/>
              </w:rPr>
              <w:t>***</w:t>
            </w:r>
          </w:p>
        </w:tc>
        <w:tc>
          <w:tcPr>
            <w:tcW w:w="0" w:type="auto"/>
          </w:tcPr>
          <w:p w14:paraId="6A2D9443" w14:textId="31A65D68"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0.121</w:t>
            </w:r>
          </w:p>
        </w:tc>
      </w:tr>
      <w:tr w:rsidR="002F4914" w:rsidRPr="000A077F" w14:paraId="34F951F2" w14:textId="77777777" w:rsidTr="009C5EFC">
        <w:tc>
          <w:tcPr>
            <w:tcW w:w="0" w:type="auto"/>
          </w:tcPr>
          <w:p w14:paraId="4AA56339"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lastRenderedPageBreak/>
              <w:t>Edwardian</w:t>
            </w:r>
          </w:p>
        </w:tc>
        <w:tc>
          <w:tcPr>
            <w:tcW w:w="0" w:type="auto"/>
          </w:tcPr>
          <w:p w14:paraId="45DC6C08"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w:t>
            </w:r>
          </w:p>
        </w:tc>
        <w:tc>
          <w:tcPr>
            <w:tcW w:w="0" w:type="auto"/>
          </w:tcPr>
          <w:p w14:paraId="34293F1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w:t>
            </w:r>
          </w:p>
        </w:tc>
        <w:tc>
          <w:tcPr>
            <w:tcW w:w="0" w:type="auto"/>
          </w:tcPr>
          <w:p w14:paraId="2D65C9BE"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w:t>
            </w:r>
          </w:p>
        </w:tc>
      </w:tr>
      <w:tr w:rsidR="002F4914" w:rsidRPr="000A077F" w14:paraId="025FF2FF" w14:textId="77777777" w:rsidTr="009C5EFC">
        <w:tc>
          <w:tcPr>
            <w:tcW w:w="0" w:type="auto"/>
          </w:tcPr>
          <w:p w14:paraId="5BC9752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Victorian</w:t>
            </w:r>
          </w:p>
        </w:tc>
        <w:tc>
          <w:tcPr>
            <w:tcW w:w="0" w:type="auto"/>
          </w:tcPr>
          <w:p w14:paraId="5AA10508"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0.0755</w:t>
            </w:r>
            <w:r w:rsidRPr="009C5EFC">
              <w:rPr>
                <w:rFonts w:cs="Times New Roman"/>
                <w:color w:val="000000"/>
                <w:sz w:val="20"/>
                <w:szCs w:val="20"/>
                <w:vertAlign w:val="superscript"/>
              </w:rPr>
              <w:t>*</w:t>
            </w:r>
          </w:p>
        </w:tc>
        <w:tc>
          <w:tcPr>
            <w:tcW w:w="0" w:type="auto"/>
          </w:tcPr>
          <w:p w14:paraId="6E4ADAE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0.0727</w:t>
            </w:r>
            <w:r w:rsidRPr="009C5EFC">
              <w:rPr>
                <w:rFonts w:cs="Times New Roman"/>
                <w:color w:val="000000"/>
                <w:sz w:val="20"/>
                <w:szCs w:val="20"/>
                <w:vertAlign w:val="superscript"/>
              </w:rPr>
              <w:t>*</w:t>
            </w:r>
          </w:p>
        </w:tc>
        <w:tc>
          <w:tcPr>
            <w:tcW w:w="0" w:type="auto"/>
          </w:tcPr>
          <w:p w14:paraId="48BC7EF9" w14:textId="565A28BC"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0.0667</w:t>
            </w:r>
          </w:p>
        </w:tc>
      </w:tr>
      <w:tr w:rsidR="002F4914" w:rsidRPr="000A077F" w14:paraId="111FA095" w14:textId="77777777" w:rsidTr="009C5EFC">
        <w:tc>
          <w:tcPr>
            <w:tcW w:w="0" w:type="auto"/>
          </w:tcPr>
          <w:p w14:paraId="35F9E0A0"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Heritage</w:t>
            </w:r>
          </w:p>
        </w:tc>
        <w:tc>
          <w:tcPr>
            <w:tcW w:w="0" w:type="auto"/>
          </w:tcPr>
          <w:p w14:paraId="4E2B389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0.126</w:t>
            </w:r>
            <w:r w:rsidRPr="009C5EFC">
              <w:rPr>
                <w:rFonts w:cs="Times New Roman"/>
                <w:color w:val="000000"/>
                <w:sz w:val="20"/>
                <w:szCs w:val="20"/>
                <w:vertAlign w:val="superscript"/>
              </w:rPr>
              <w:t>***</w:t>
            </w:r>
          </w:p>
        </w:tc>
        <w:tc>
          <w:tcPr>
            <w:tcW w:w="0" w:type="auto"/>
          </w:tcPr>
          <w:p w14:paraId="6B27AB63"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0.120</w:t>
            </w:r>
            <w:r w:rsidRPr="009C5EFC">
              <w:rPr>
                <w:rFonts w:cs="Times New Roman"/>
                <w:color w:val="000000"/>
                <w:sz w:val="20"/>
                <w:szCs w:val="20"/>
                <w:vertAlign w:val="superscript"/>
              </w:rPr>
              <w:t>***</w:t>
            </w:r>
          </w:p>
        </w:tc>
        <w:tc>
          <w:tcPr>
            <w:tcW w:w="0" w:type="auto"/>
          </w:tcPr>
          <w:p w14:paraId="6BE6D253" w14:textId="5BD998D9"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0.0482</w:t>
            </w:r>
          </w:p>
        </w:tc>
      </w:tr>
      <w:tr w:rsidR="002F4914" w:rsidRPr="000A077F" w14:paraId="06A73ECF" w14:textId="77777777" w:rsidTr="009C5EFC">
        <w:tc>
          <w:tcPr>
            <w:tcW w:w="0" w:type="auto"/>
          </w:tcPr>
          <w:p w14:paraId="0560334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Modern</w:t>
            </w:r>
          </w:p>
        </w:tc>
        <w:tc>
          <w:tcPr>
            <w:tcW w:w="0" w:type="auto"/>
          </w:tcPr>
          <w:p w14:paraId="569CA2CE"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0.0121</w:t>
            </w:r>
            <w:r w:rsidRPr="009C5EFC">
              <w:rPr>
                <w:rFonts w:cs="Times New Roman"/>
                <w:color w:val="000000"/>
                <w:sz w:val="20"/>
                <w:szCs w:val="20"/>
                <w:vertAlign w:val="superscript"/>
              </w:rPr>
              <w:t>***</w:t>
            </w:r>
          </w:p>
        </w:tc>
        <w:tc>
          <w:tcPr>
            <w:tcW w:w="0" w:type="auto"/>
          </w:tcPr>
          <w:p w14:paraId="521E9B84"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0.0141</w:t>
            </w:r>
            <w:r w:rsidRPr="009C5EFC">
              <w:rPr>
                <w:rFonts w:cs="Times New Roman"/>
                <w:color w:val="000000"/>
                <w:sz w:val="20"/>
                <w:szCs w:val="20"/>
                <w:vertAlign w:val="superscript"/>
              </w:rPr>
              <w:t>***</w:t>
            </w:r>
          </w:p>
        </w:tc>
        <w:tc>
          <w:tcPr>
            <w:tcW w:w="0" w:type="auto"/>
          </w:tcPr>
          <w:p w14:paraId="7B40F941"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0.00637</w:t>
            </w:r>
          </w:p>
        </w:tc>
      </w:tr>
      <w:tr w:rsidR="002F4914" w:rsidRPr="000A077F" w14:paraId="311024E5" w14:textId="77777777" w:rsidTr="009C5EFC">
        <w:tc>
          <w:tcPr>
            <w:tcW w:w="0" w:type="auto"/>
          </w:tcPr>
          <w:p w14:paraId="592138FB"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Art Deco</w:t>
            </w:r>
          </w:p>
        </w:tc>
        <w:tc>
          <w:tcPr>
            <w:tcW w:w="0" w:type="auto"/>
          </w:tcPr>
          <w:p w14:paraId="6A93CE5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0.0565</w:t>
            </w:r>
          </w:p>
        </w:tc>
        <w:tc>
          <w:tcPr>
            <w:tcW w:w="0" w:type="auto"/>
          </w:tcPr>
          <w:p w14:paraId="43600C04"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0.0526</w:t>
            </w:r>
          </w:p>
        </w:tc>
        <w:tc>
          <w:tcPr>
            <w:tcW w:w="0" w:type="auto"/>
          </w:tcPr>
          <w:p w14:paraId="56B9CD91"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0.083</w:t>
            </w:r>
          </w:p>
        </w:tc>
      </w:tr>
      <w:tr w:rsidR="002F4914" w:rsidRPr="000A077F" w14:paraId="037EF305" w14:textId="77777777" w:rsidTr="009C5EFC">
        <w:tc>
          <w:tcPr>
            <w:tcW w:w="0" w:type="auto"/>
          </w:tcPr>
          <w:p w14:paraId="53642A46"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Federation</w:t>
            </w:r>
          </w:p>
        </w:tc>
        <w:tc>
          <w:tcPr>
            <w:tcW w:w="0" w:type="auto"/>
          </w:tcPr>
          <w:p w14:paraId="44B6AB6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0.0219</w:t>
            </w:r>
          </w:p>
        </w:tc>
        <w:tc>
          <w:tcPr>
            <w:tcW w:w="0" w:type="auto"/>
          </w:tcPr>
          <w:p w14:paraId="2EDA5E71"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0.0232</w:t>
            </w:r>
            <w:r w:rsidRPr="009C5EFC">
              <w:rPr>
                <w:rFonts w:cs="Times New Roman"/>
                <w:color w:val="000000"/>
                <w:sz w:val="20"/>
                <w:szCs w:val="20"/>
                <w:vertAlign w:val="superscript"/>
              </w:rPr>
              <w:t>*</w:t>
            </w:r>
          </w:p>
        </w:tc>
        <w:tc>
          <w:tcPr>
            <w:tcW w:w="0" w:type="auto"/>
          </w:tcPr>
          <w:p w14:paraId="0A65EE98" w14:textId="45C9B3E5"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0.00368</w:t>
            </w:r>
          </w:p>
        </w:tc>
      </w:tr>
      <w:tr w:rsidR="002F4914" w:rsidRPr="000A077F" w14:paraId="62019BE4" w14:textId="77777777" w:rsidTr="009C5EFC">
        <w:tc>
          <w:tcPr>
            <w:tcW w:w="0" w:type="auto"/>
          </w:tcPr>
          <w:p w14:paraId="383DCA54" w14:textId="6B3FBA52" w:rsidR="002F4914" w:rsidRPr="00572B0B" w:rsidRDefault="00572B0B" w:rsidP="009C5EFC">
            <w:pPr>
              <w:widowControl w:val="0"/>
              <w:autoSpaceDE w:val="0"/>
              <w:autoSpaceDN w:val="0"/>
              <w:adjustRightInd w:val="0"/>
              <w:spacing w:before="40" w:after="40"/>
              <w:rPr>
                <w:rFonts w:cs="Times New Roman"/>
                <w:color w:val="000000"/>
                <w:sz w:val="20"/>
                <w:szCs w:val="20"/>
                <w:vertAlign w:val="superscript"/>
              </w:rPr>
            </w:pPr>
            <w:r>
              <w:rPr>
                <w:rFonts w:cs="Times New Roman"/>
                <w:color w:val="000000"/>
                <w:sz w:val="20"/>
                <w:szCs w:val="20"/>
              </w:rPr>
              <w:t xml:space="preserve">ln </w:t>
            </w:r>
            <w:r w:rsidR="002F4914" w:rsidRPr="009C5EFC">
              <w:rPr>
                <w:rFonts w:cs="Times New Roman"/>
                <w:color w:val="000000"/>
                <w:sz w:val="20"/>
                <w:szCs w:val="20"/>
              </w:rPr>
              <w:t xml:space="preserve">SEIFA </w:t>
            </w:r>
            <w:r w:rsidR="00A17F8A">
              <w:rPr>
                <w:rFonts w:cs="Times New Roman"/>
                <w:color w:val="000000"/>
                <w:sz w:val="20"/>
                <w:szCs w:val="20"/>
              </w:rPr>
              <w:t>S</w:t>
            </w:r>
            <w:r>
              <w:rPr>
                <w:rFonts w:cs="Times New Roman"/>
                <w:color w:val="000000"/>
                <w:sz w:val="20"/>
                <w:szCs w:val="20"/>
              </w:rPr>
              <w:t>core (sq)</w:t>
            </w:r>
          </w:p>
        </w:tc>
        <w:tc>
          <w:tcPr>
            <w:tcW w:w="0" w:type="auto"/>
          </w:tcPr>
          <w:p w14:paraId="3587C53E"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0.00000122</w:t>
            </w:r>
            <w:r w:rsidRPr="009C5EFC">
              <w:rPr>
                <w:rFonts w:cs="Times New Roman"/>
                <w:color w:val="000000"/>
                <w:sz w:val="20"/>
                <w:szCs w:val="20"/>
                <w:vertAlign w:val="superscript"/>
              </w:rPr>
              <w:t>***</w:t>
            </w:r>
          </w:p>
        </w:tc>
        <w:tc>
          <w:tcPr>
            <w:tcW w:w="0" w:type="auto"/>
          </w:tcPr>
          <w:p w14:paraId="34A6B55D"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0.00000119</w:t>
            </w:r>
            <w:r w:rsidRPr="009C5EFC">
              <w:rPr>
                <w:rFonts w:cs="Times New Roman"/>
                <w:color w:val="000000"/>
                <w:sz w:val="20"/>
                <w:szCs w:val="20"/>
                <w:vertAlign w:val="superscript"/>
              </w:rPr>
              <w:t>***</w:t>
            </w:r>
          </w:p>
        </w:tc>
        <w:tc>
          <w:tcPr>
            <w:tcW w:w="0" w:type="auto"/>
          </w:tcPr>
          <w:p w14:paraId="7A888274"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0.00000085</w:t>
            </w:r>
          </w:p>
        </w:tc>
      </w:tr>
      <w:tr w:rsidR="002F4914" w:rsidRPr="000A077F" w14:paraId="37B59868" w14:textId="77777777" w:rsidTr="009C5EFC">
        <w:tc>
          <w:tcPr>
            <w:tcW w:w="0" w:type="auto"/>
          </w:tcPr>
          <w:p w14:paraId="72C66E7D"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Distance to CBD</w:t>
            </w:r>
          </w:p>
        </w:tc>
        <w:tc>
          <w:tcPr>
            <w:tcW w:w="0" w:type="auto"/>
          </w:tcPr>
          <w:p w14:paraId="4189AA7F" w14:textId="3AF22748"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0.0000726</w:t>
            </w:r>
            <w:r w:rsidR="002F4914" w:rsidRPr="009C5EFC">
              <w:rPr>
                <w:rFonts w:cs="Times New Roman"/>
                <w:color w:val="000000"/>
                <w:sz w:val="20"/>
                <w:szCs w:val="20"/>
                <w:vertAlign w:val="superscript"/>
              </w:rPr>
              <w:t>***</w:t>
            </w:r>
          </w:p>
        </w:tc>
        <w:tc>
          <w:tcPr>
            <w:tcW w:w="0" w:type="auto"/>
          </w:tcPr>
          <w:p w14:paraId="595E91FE" w14:textId="76D9BC09"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0.0000730</w:t>
            </w:r>
            <w:r w:rsidR="002F4914" w:rsidRPr="009C5EFC">
              <w:rPr>
                <w:rFonts w:cs="Times New Roman"/>
                <w:color w:val="000000"/>
                <w:sz w:val="20"/>
                <w:szCs w:val="20"/>
                <w:vertAlign w:val="superscript"/>
              </w:rPr>
              <w:t>***</w:t>
            </w:r>
          </w:p>
        </w:tc>
        <w:tc>
          <w:tcPr>
            <w:tcW w:w="0" w:type="auto"/>
          </w:tcPr>
          <w:p w14:paraId="1C139E88" w14:textId="1A0F9F08"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0.00000616</w:t>
            </w:r>
          </w:p>
        </w:tc>
      </w:tr>
      <w:tr w:rsidR="002F4914" w:rsidRPr="000A077F" w14:paraId="0B9BA95F" w14:textId="77777777" w:rsidTr="009C5EFC">
        <w:tc>
          <w:tcPr>
            <w:tcW w:w="0" w:type="auto"/>
          </w:tcPr>
          <w:p w14:paraId="4CA48ED2" w14:textId="6454AFD3"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A</w:t>
            </w:r>
            <w:r w:rsidRPr="009C5EFC">
              <w:rPr>
                <w:rFonts w:cs="Times New Roman"/>
                <w:color w:val="000000"/>
                <w:sz w:val="20"/>
                <w:szCs w:val="20"/>
              </w:rPr>
              <w:t>irport</w:t>
            </w:r>
          </w:p>
        </w:tc>
        <w:tc>
          <w:tcPr>
            <w:tcW w:w="0" w:type="auto"/>
          </w:tcPr>
          <w:p w14:paraId="6007DB3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0.0000889</w:t>
            </w:r>
            <w:r w:rsidRPr="009C5EFC">
              <w:rPr>
                <w:rFonts w:cs="Times New Roman"/>
                <w:color w:val="000000"/>
                <w:sz w:val="20"/>
                <w:szCs w:val="20"/>
                <w:vertAlign w:val="superscript"/>
              </w:rPr>
              <w:t>***</w:t>
            </w:r>
          </w:p>
        </w:tc>
        <w:tc>
          <w:tcPr>
            <w:tcW w:w="0" w:type="auto"/>
          </w:tcPr>
          <w:p w14:paraId="2872A1E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0.0000844</w:t>
            </w:r>
            <w:r w:rsidRPr="009C5EFC">
              <w:rPr>
                <w:rFonts w:cs="Times New Roman"/>
                <w:color w:val="000000"/>
                <w:sz w:val="20"/>
                <w:szCs w:val="20"/>
                <w:vertAlign w:val="superscript"/>
              </w:rPr>
              <w:t>***</w:t>
            </w:r>
          </w:p>
        </w:tc>
        <w:tc>
          <w:tcPr>
            <w:tcW w:w="0" w:type="auto"/>
          </w:tcPr>
          <w:p w14:paraId="50BA0697"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0.0000457</w:t>
            </w:r>
          </w:p>
        </w:tc>
      </w:tr>
      <w:tr w:rsidR="002F4914" w:rsidRPr="000A077F" w14:paraId="2F7B07BC" w14:textId="77777777" w:rsidTr="009C5EFC">
        <w:tc>
          <w:tcPr>
            <w:tcW w:w="0" w:type="auto"/>
          </w:tcPr>
          <w:p w14:paraId="6DBD652B" w14:textId="7320776A"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B</w:t>
            </w:r>
            <w:r w:rsidRPr="009C5EFC">
              <w:rPr>
                <w:rFonts w:cs="Times New Roman"/>
                <w:color w:val="000000"/>
                <w:sz w:val="20"/>
                <w:szCs w:val="20"/>
              </w:rPr>
              <w:t>us</w:t>
            </w:r>
            <w:r w:rsidR="00A17F8A">
              <w:rPr>
                <w:rFonts w:cs="Times New Roman"/>
                <w:color w:val="000000"/>
                <w:sz w:val="20"/>
                <w:szCs w:val="20"/>
              </w:rPr>
              <w:t xml:space="preserve"> S</w:t>
            </w:r>
            <w:r w:rsidRPr="009C5EFC">
              <w:rPr>
                <w:rFonts w:cs="Times New Roman"/>
                <w:color w:val="000000"/>
                <w:sz w:val="20"/>
                <w:szCs w:val="20"/>
              </w:rPr>
              <w:t>top</w:t>
            </w:r>
          </w:p>
        </w:tc>
        <w:tc>
          <w:tcPr>
            <w:tcW w:w="0" w:type="auto"/>
          </w:tcPr>
          <w:p w14:paraId="15DF23A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0.000141</w:t>
            </w:r>
            <w:r w:rsidRPr="009C5EFC">
              <w:rPr>
                <w:rFonts w:cs="Times New Roman"/>
                <w:color w:val="000000"/>
                <w:sz w:val="20"/>
                <w:szCs w:val="20"/>
                <w:vertAlign w:val="superscript"/>
              </w:rPr>
              <w:t>***</w:t>
            </w:r>
          </w:p>
        </w:tc>
        <w:tc>
          <w:tcPr>
            <w:tcW w:w="0" w:type="auto"/>
          </w:tcPr>
          <w:p w14:paraId="2C67690E"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0.000144</w:t>
            </w:r>
            <w:r w:rsidRPr="009C5EFC">
              <w:rPr>
                <w:rFonts w:cs="Times New Roman"/>
                <w:color w:val="000000"/>
                <w:sz w:val="20"/>
                <w:szCs w:val="20"/>
                <w:vertAlign w:val="superscript"/>
              </w:rPr>
              <w:t>***</w:t>
            </w:r>
          </w:p>
        </w:tc>
        <w:tc>
          <w:tcPr>
            <w:tcW w:w="0" w:type="auto"/>
          </w:tcPr>
          <w:p w14:paraId="1635F815" w14:textId="3F920BF4"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0.000051</w:t>
            </w:r>
          </w:p>
        </w:tc>
      </w:tr>
      <w:tr w:rsidR="002F4914" w:rsidRPr="000A077F" w14:paraId="3F39ECBF" w14:textId="77777777" w:rsidTr="009C5EFC">
        <w:tc>
          <w:tcPr>
            <w:tcW w:w="0" w:type="auto"/>
          </w:tcPr>
          <w:p w14:paraId="1DE4836D" w14:textId="60E15F96"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H</w:t>
            </w:r>
            <w:r w:rsidRPr="009C5EFC">
              <w:rPr>
                <w:rFonts w:cs="Times New Roman"/>
                <w:color w:val="000000"/>
                <w:sz w:val="20"/>
                <w:szCs w:val="20"/>
              </w:rPr>
              <w:t>ospital</w:t>
            </w:r>
          </w:p>
        </w:tc>
        <w:tc>
          <w:tcPr>
            <w:tcW w:w="0" w:type="auto"/>
          </w:tcPr>
          <w:p w14:paraId="6292B50D"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0.0000441</w:t>
            </w:r>
            <w:r w:rsidRPr="009C5EFC">
              <w:rPr>
                <w:rFonts w:cs="Times New Roman"/>
                <w:color w:val="000000"/>
                <w:sz w:val="20"/>
                <w:szCs w:val="20"/>
                <w:vertAlign w:val="superscript"/>
              </w:rPr>
              <w:t>***</w:t>
            </w:r>
          </w:p>
        </w:tc>
        <w:tc>
          <w:tcPr>
            <w:tcW w:w="0" w:type="auto"/>
          </w:tcPr>
          <w:p w14:paraId="3138A65D"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0.0000437</w:t>
            </w:r>
            <w:r w:rsidRPr="009C5EFC">
              <w:rPr>
                <w:rFonts w:cs="Times New Roman"/>
                <w:color w:val="000000"/>
                <w:sz w:val="20"/>
                <w:szCs w:val="20"/>
                <w:vertAlign w:val="superscript"/>
              </w:rPr>
              <w:t>***</w:t>
            </w:r>
          </w:p>
        </w:tc>
        <w:tc>
          <w:tcPr>
            <w:tcW w:w="0" w:type="auto"/>
          </w:tcPr>
          <w:p w14:paraId="6553142D" w14:textId="411CF66D"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0.0000128</w:t>
            </w:r>
          </w:p>
        </w:tc>
      </w:tr>
      <w:tr w:rsidR="002F4914" w:rsidRPr="000A077F" w14:paraId="3C87CFC4" w14:textId="77777777" w:rsidTr="009C5EFC">
        <w:tc>
          <w:tcPr>
            <w:tcW w:w="0" w:type="auto"/>
          </w:tcPr>
          <w:p w14:paraId="2C3C3288" w14:textId="0F2693E2"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L</w:t>
            </w:r>
            <w:r w:rsidRPr="009C5EFC">
              <w:rPr>
                <w:rFonts w:cs="Times New Roman"/>
                <w:color w:val="000000"/>
                <w:sz w:val="20"/>
                <w:szCs w:val="20"/>
              </w:rPr>
              <w:t>ibrary</w:t>
            </w:r>
          </w:p>
        </w:tc>
        <w:tc>
          <w:tcPr>
            <w:tcW w:w="0" w:type="auto"/>
          </w:tcPr>
          <w:p w14:paraId="1C6B4866"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7.25E-06</w:t>
            </w:r>
          </w:p>
        </w:tc>
        <w:tc>
          <w:tcPr>
            <w:tcW w:w="0" w:type="auto"/>
          </w:tcPr>
          <w:p w14:paraId="5AC54559"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0.0000108</w:t>
            </w:r>
          </w:p>
        </w:tc>
        <w:tc>
          <w:tcPr>
            <w:tcW w:w="0" w:type="auto"/>
          </w:tcPr>
          <w:p w14:paraId="5D024E6F"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0.0000446</w:t>
            </w:r>
          </w:p>
        </w:tc>
      </w:tr>
      <w:tr w:rsidR="002F4914" w:rsidRPr="000A077F" w14:paraId="1B3400E2" w14:textId="77777777" w:rsidTr="009C5EFC">
        <w:tc>
          <w:tcPr>
            <w:tcW w:w="0" w:type="auto"/>
          </w:tcPr>
          <w:p w14:paraId="413A6B11" w14:textId="5604083C"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P</w:t>
            </w:r>
            <w:r w:rsidRPr="009C5EFC">
              <w:rPr>
                <w:rFonts w:cs="Times New Roman"/>
                <w:color w:val="000000"/>
                <w:sz w:val="20"/>
                <w:szCs w:val="20"/>
              </w:rPr>
              <w:t>layground</w:t>
            </w:r>
          </w:p>
        </w:tc>
        <w:tc>
          <w:tcPr>
            <w:tcW w:w="0" w:type="auto"/>
          </w:tcPr>
          <w:p w14:paraId="792A555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0.0000358</w:t>
            </w:r>
            <w:r w:rsidRPr="009C5EFC">
              <w:rPr>
                <w:rFonts w:cs="Times New Roman"/>
                <w:color w:val="000000"/>
                <w:sz w:val="20"/>
                <w:szCs w:val="20"/>
                <w:vertAlign w:val="superscript"/>
              </w:rPr>
              <w:t>***</w:t>
            </w:r>
          </w:p>
        </w:tc>
        <w:tc>
          <w:tcPr>
            <w:tcW w:w="0" w:type="auto"/>
          </w:tcPr>
          <w:p w14:paraId="68191FEE"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0.0000361</w:t>
            </w:r>
            <w:r w:rsidRPr="009C5EFC">
              <w:rPr>
                <w:rFonts w:cs="Times New Roman"/>
                <w:color w:val="000000"/>
                <w:sz w:val="20"/>
                <w:szCs w:val="20"/>
                <w:vertAlign w:val="superscript"/>
              </w:rPr>
              <w:t>***</w:t>
            </w:r>
          </w:p>
        </w:tc>
        <w:tc>
          <w:tcPr>
            <w:tcW w:w="0" w:type="auto"/>
          </w:tcPr>
          <w:p w14:paraId="26EADD2E"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0.000128</w:t>
            </w:r>
            <w:r w:rsidRPr="009C5EFC">
              <w:rPr>
                <w:rFonts w:cs="Times New Roman"/>
                <w:color w:val="000000"/>
                <w:sz w:val="20"/>
                <w:szCs w:val="20"/>
                <w:vertAlign w:val="superscript"/>
              </w:rPr>
              <w:t>***</w:t>
            </w:r>
          </w:p>
        </w:tc>
      </w:tr>
      <w:tr w:rsidR="002F4914" w:rsidRPr="000A077F" w14:paraId="055B3BDF" w14:textId="77777777" w:rsidTr="009C5EFC">
        <w:tc>
          <w:tcPr>
            <w:tcW w:w="0" w:type="auto"/>
          </w:tcPr>
          <w:p w14:paraId="3512A968" w14:textId="73BCDC68"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S</w:t>
            </w:r>
            <w:r w:rsidRPr="009C5EFC">
              <w:rPr>
                <w:rFonts w:cs="Times New Roman"/>
                <w:color w:val="000000"/>
                <w:sz w:val="20"/>
                <w:szCs w:val="20"/>
              </w:rPr>
              <w:t>chool</w:t>
            </w:r>
          </w:p>
        </w:tc>
        <w:tc>
          <w:tcPr>
            <w:tcW w:w="0" w:type="auto"/>
          </w:tcPr>
          <w:p w14:paraId="27F9C350" w14:textId="2F60703A"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1.41E-05</w:t>
            </w:r>
          </w:p>
        </w:tc>
        <w:tc>
          <w:tcPr>
            <w:tcW w:w="0" w:type="auto"/>
          </w:tcPr>
          <w:p w14:paraId="33C6A74F" w14:textId="21BE3105"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0.000013</w:t>
            </w:r>
          </w:p>
        </w:tc>
        <w:tc>
          <w:tcPr>
            <w:tcW w:w="0" w:type="auto"/>
          </w:tcPr>
          <w:p w14:paraId="670D53F8" w14:textId="186B5F64"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0.0000551</w:t>
            </w:r>
          </w:p>
        </w:tc>
      </w:tr>
      <w:tr w:rsidR="002F4914" w:rsidRPr="000A077F" w14:paraId="0E034920" w14:textId="77777777" w:rsidTr="009C5EFC">
        <w:tc>
          <w:tcPr>
            <w:tcW w:w="0" w:type="auto"/>
          </w:tcPr>
          <w:p w14:paraId="18148745" w14:textId="6A37393F"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S</w:t>
            </w:r>
            <w:r w:rsidRPr="009C5EFC">
              <w:rPr>
                <w:rFonts w:cs="Times New Roman"/>
                <w:color w:val="000000"/>
                <w:sz w:val="20"/>
                <w:szCs w:val="20"/>
              </w:rPr>
              <w:t>hopping</w:t>
            </w:r>
          </w:p>
        </w:tc>
        <w:tc>
          <w:tcPr>
            <w:tcW w:w="0" w:type="auto"/>
          </w:tcPr>
          <w:p w14:paraId="669630D0" w14:textId="639C0F62"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0.0000365</w:t>
            </w:r>
            <w:r w:rsidR="002F4914" w:rsidRPr="009C5EFC">
              <w:rPr>
                <w:rFonts w:cs="Times New Roman"/>
                <w:color w:val="000000"/>
                <w:sz w:val="20"/>
                <w:szCs w:val="20"/>
                <w:vertAlign w:val="superscript"/>
              </w:rPr>
              <w:t>***</w:t>
            </w:r>
          </w:p>
        </w:tc>
        <w:tc>
          <w:tcPr>
            <w:tcW w:w="0" w:type="auto"/>
          </w:tcPr>
          <w:p w14:paraId="2ADB9818" w14:textId="75071936"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0.0000408</w:t>
            </w:r>
            <w:r w:rsidR="002F4914" w:rsidRPr="009C5EFC">
              <w:rPr>
                <w:rFonts w:cs="Times New Roman"/>
                <w:color w:val="000000"/>
                <w:sz w:val="20"/>
                <w:szCs w:val="20"/>
                <w:vertAlign w:val="superscript"/>
              </w:rPr>
              <w:t>***</w:t>
            </w:r>
          </w:p>
        </w:tc>
        <w:tc>
          <w:tcPr>
            <w:tcW w:w="0" w:type="auto"/>
          </w:tcPr>
          <w:p w14:paraId="4566A636" w14:textId="2C5F1B10"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0.0000506</w:t>
            </w:r>
          </w:p>
        </w:tc>
      </w:tr>
      <w:tr w:rsidR="002F4914" w:rsidRPr="000A077F" w14:paraId="0B083720" w14:textId="77777777" w:rsidTr="009C5EFC">
        <w:tc>
          <w:tcPr>
            <w:tcW w:w="0" w:type="auto"/>
          </w:tcPr>
          <w:p w14:paraId="2F190C7E" w14:textId="579E04C3"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w:t>
            </w:r>
            <w:r w:rsidR="00A17F8A">
              <w:rPr>
                <w:rFonts w:cs="Times New Roman"/>
                <w:color w:val="000000"/>
                <w:sz w:val="20"/>
                <w:szCs w:val="20"/>
              </w:rPr>
              <w:t>to S</w:t>
            </w:r>
            <w:r w:rsidRPr="009C5EFC">
              <w:rPr>
                <w:rFonts w:cs="Times New Roman"/>
                <w:color w:val="000000"/>
                <w:sz w:val="20"/>
                <w:szCs w:val="20"/>
              </w:rPr>
              <w:t>upermarket</w:t>
            </w:r>
          </w:p>
        </w:tc>
        <w:tc>
          <w:tcPr>
            <w:tcW w:w="0" w:type="auto"/>
          </w:tcPr>
          <w:p w14:paraId="6F011CA1"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0.0000318</w:t>
            </w:r>
            <w:r w:rsidRPr="009C5EFC">
              <w:rPr>
                <w:rFonts w:cs="Times New Roman"/>
                <w:color w:val="000000"/>
                <w:sz w:val="20"/>
                <w:szCs w:val="20"/>
                <w:vertAlign w:val="superscript"/>
              </w:rPr>
              <w:t>***</w:t>
            </w:r>
          </w:p>
        </w:tc>
        <w:tc>
          <w:tcPr>
            <w:tcW w:w="0" w:type="auto"/>
          </w:tcPr>
          <w:p w14:paraId="18B44B0B"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0.0000286</w:t>
            </w:r>
            <w:r w:rsidRPr="009C5EFC">
              <w:rPr>
                <w:rFonts w:cs="Times New Roman"/>
                <w:color w:val="000000"/>
                <w:sz w:val="20"/>
                <w:szCs w:val="20"/>
                <w:vertAlign w:val="superscript"/>
              </w:rPr>
              <w:t>***</w:t>
            </w:r>
          </w:p>
        </w:tc>
        <w:tc>
          <w:tcPr>
            <w:tcW w:w="0" w:type="auto"/>
          </w:tcPr>
          <w:p w14:paraId="57AFB6E4" w14:textId="64297F69"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0.0000308</w:t>
            </w:r>
          </w:p>
        </w:tc>
      </w:tr>
      <w:tr w:rsidR="002F4914" w:rsidRPr="000A077F" w14:paraId="3DA0FAC6" w14:textId="77777777" w:rsidTr="009C5EFC">
        <w:tc>
          <w:tcPr>
            <w:tcW w:w="0" w:type="auto"/>
          </w:tcPr>
          <w:p w14:paraId="5537887C" w14:textId="2709BF6E"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R</w:t>
            </w:r>
            <w:r w:rsidRPr="009C5EFC">
              <w:rPr>
                <w:rFonts w:cs="Times New Roman"/>
                <w:color w:val="000000"/>
                <w:sz w:val="20"/>
                <w:szCs w:val="20"/>
              </w:rPr>
              <w:t>eserve</w:t>
            </w:r>
          </w:p>
        </w:tc>
        <w:tc>
          <w:tcPr>
            <w:tcW w:w="0" w:type="auto"/>
          </w:tcPr>
          <w:p w14:paraId="4E7BF049" w14:textId="3C01A219"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0.0000395</w:t>
            </w:r>
            <w:r w:rsidR="002F4914" w:rsidRPr="009C5EFC">
              <w:rPr>
                <w:rFonts w:cs="Times New Roman"/>
                <w:color w:val="000000"/>
                <w:sz w:val="20"/>
                <w:szCs w:val="20"/>
                <w:vertAlign w:val="superscript"/>
              </w:rPr>
              <w:t>***</w:t>
            </w:r>
          </w:p>
        </w:tc>
        <w:tc>
          <w:tcPr>
            <w:tcW w:w="0" w:type="auto"/>
          </w:tcPr>
          <w:p w14:paraId="03BE084D" w14:textId="25B46955"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0.0000372</w:t>
            </w:r>
            <w:r w:rsidR="002F4914" w:rsidRPr="009C5EFC">
              <w:rPr>
                <w:rFonts w:cs="Times New Roman"/>
                <w:color w:val="000000"/>
                <w:sz w:val="20"/>
                <w:szCs w:val="20"/>
                <w:vertAlign w:val="superscript"/>
              </w:rPr>
              <w:t>***</w:t>
            </w:r>
          </w:p>
        </w:tc>
        <w:tc>
          <w:tcPr>
            <w:tcW w:w="0" w:type="auto"/>
          </w:tcPr>
          <w:p w14:paraId="2C51150A"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0.0000309</w:t>
            </w:r>
            <w:r w:rsidRPr="009C5EFC">
              <w:rPr>
                <w:rFonts w:cs="Times New Roman"/>
                <w:color w:val="000000"/>
                <w:sz w:val="20"/>
                <w:szCs w:val="20"/>
                <w:vertAlign w:val="superscript"/>
              </w:rPr>
              <w:t>*</w:t>
            </w:r>
          </w:p>
        </w:tc>
      </w:tr>
      <w:tr w:rsidR="002F4914" w:rsidRPr="000A077F" w14:paraId="3C2BBEBA" w14:textId="77777777" w:rsidTr="009C5EFC">
        <w:tc>
          <w:tcPr>
            <w:tcW w:w="0" w:type="auto"/>
          </w:tcPr>
          <w:p w14:paraId="63C1451C" w14:textId="1539A9F6"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S</w:t>
            </w:r>
            <w:r w:rsidRPr="009C5EFC">
              <w:rPr>
                <w:rFonts w:cs="Times New Roman"/>
                <w:color w:val="000000"/>
                <w:sz w:val="20"/>
                <w:szCs w:val="20"/>
              </w:rPr>
              <w:t>portsgrounds</w:t>
            </w:r>
          </w:p>
        </w:tc>
        <w:tc>
          <w:tcPr>
            <w:tcW w:w="0" w:type="auto"/>
          </w:tcPr>
          <w:p w14:paraId="08853272"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0.0000214</w:t>
            </w:r>
            <w:r w:rsidRPr="009C5EFC">
              <w:rPr>
                <w:rFonts w:cs="Times New Roman"/>
                <w:color w:val="000000"/>
                <w:sz w:val="20"/>
                <w:szCs w:val="20"/>
                <w:vertAlign w:val="superscript"/>
              </w:rPr>
              <w:t>***</w:t>
            </w:r>
          </w:p>
        </w:tc>
        <w:tc>
          <w:tcPr>
            <w:tcW w:w="0" w:type="auto"/>
          </w:tcPr>
          <w:p w14:paraId="78ECE8C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0.0000223</w:t>
            </w:r>
            <w:r w:rsidRPr="009C5EFC">
              <w:rPr>
                <w:rFonts w:cs="Times New Roman"/>
                <w:color w:val="000000"/>
                <w:sz w:val="20"/>
                <w:szCs w:val="20"/>
                <w:vertAlign w:val="superscript"/>
              </w:rPr>
              <w:t>***</w:t>
            </w:r>
          </w:p>
        </w:tc>
        <w:tc>
          <w:tcPr>
            <w:tcW w:w="0" w:type="auto"/>
          </w:tcPr>
          <w:p w14:paraId="33AAD7F6" w14:textId="603A122A"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0.0000231</w:t>
            </w:r>
          </w:p>
        </w:tc>
      </w:tr>
      <w:tr w:rsidR="002F4914" w:rsidRPr="000A077F" w14:paraId="7BBCF249" w14:textId="77777777" w:rsidTr="009C5EFC">
        <w:tc>
          <w:tcPr>
            <w:tcW w:w="0" w:type="auto"/>
          </w:tcPr>
          <w:p w14:paraId="7540AE8C"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Distance to CBD (sq)</w:t>
            </w:r>
          </w:p>
        </w:tc>
        <w:tc>
          <w:tcPr>
            <w:tcW w:w="0" w:type="auto"/>
          </w:tcPr>
          <w:p w14:paraId="4D752DEA" w14:textId="77777777" w:rsidR="002F4914" w:rsidRPr="009C5EFC" w:rsidRDefault="002F4914" w:rsidP="009C5EFC">
            <w:pPr>
              <w:widowControl w:val="0"/>
              <w:tabs>
                <w:tab w:val="decimal" w:pos="313"/>
              </w:tabs>
              <w:autoSpaceDE w:val="0"/>
              <w:autoSpaceDN w:val="0"/>
              <w:adjustRightInd w:val="0"/>
              <w:spacing w:before="40" w:after="40"/>
              <w:jc w:val="left"/>
              <w:rPr>
                <w:rFonts w:cs="Calibri"/>
                <w:color w:val="000000"/>
                <w:sz w:val="20"/>
                <w:szCs w:val="20"/>
              </w:rPr>
            </w:pPr>
          </w:p>
        </w:tc>
        <w:tc>
          <w:tcPr>
            <w:tcW w:w="0" w:type="auto"/>
          </w:tcPr>
          <w:p w14:paraId="236F49FE"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4.75E-10</w:t>
            </w:r>
          </w:p>
        </w:tc>
        <w:tc>
          <w:tcPr>
            <w:tcW w:w="0" w:type="auto"/>
          </w:tcPr>
          <w:p w14:paraId="7F7662E5" w14:textId="2ED7C042"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8.08E-10</w:t>
            </w:r>
          </w:p>
        </w:tc>
      </w:tr>
      <w:tr w:rsidR="002F4914" w:rsidRPr="000A077F" w14:paraId="5A734079" w14:textId="77777777" w:rsidTr="009C5EFC">
        <w:tc>
          <w:tcPr>
            <w:tcW w:w="0" w:type="auto"/>
          </w:tcPr>
          <w:p w14:paraId="1AA7C78B" w14:textId="25F76624"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A</w:t>
            </w:r>
            <w:r w:rsidRPr="009C5EFC">
              <w:rPr>
                <w:rFonts w:cs="Times New Roman"/>
                <w:color w:val="000000"/>
                <w:sz w:val="20"/>
                <w:szCs w:val="20"/>
              </w:rPr>
              <w:t>irport (sq)</w:t>
            </w:r>
          </w:p>
        </w:tc>
        <w:tc>
          <w:tcPr>
            <w:tcW w:w="0" w:type="auto"/>
          </w:tcPr>
          <w:p w14:paraId="319EDE10" w14:textId="1F163578"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1.91e-09</w:t>
            </w:r>
            <w:r w:rsidR="002F4914" w:rsidRPr="009C5EFC">
              <w:rPr>
                <w:rFonts w:cs="Times New Roman"/>
                <w:color w:val="000000"/>
                <w:sz w:val="20"/>
                <w:szCs w:val="20"/>
                <w:vertAlign w:val="superscript"/>
              </w:rPr>
              <w:t>***</w:t>
            </w:r>
          </w:p>
        </w:tc>
        <w:tc>
          <w:tcPr>
            <w:tcW w:w="0" w:type="auto"/>
          </w:tcPr>
          <w:p w14:paraId="36B9D8FD" w14:textId="320DED86"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1.68e-09</w:t>
            </w:r>
            <w:r w:rsidR="002F4914" w:rsidRPr="009C5EFC">
              <w:rPr>
                <w:rFonts w:cs="Times New Roman"/>
                <w:color w:val="000000"/>
                <w:sz w:val="20"/>
                <w:szCs w:val="20"/>
                <w:vertAlign w:val="superscript"/>
              </w:rPr>
              <w:t>***</w:t>
            </w:r>
          </w:p>
        </w:tc>
        <w:tc>
          <w:tcPr>
            <w:tcW w:w="0" w:type="auto"/>
          </w:tcPr>
          <w:p w14:paraId="12C63F33" w14:textId="5B5DF89B"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1.15E-09</w:t>
            </w:r>
          </w:p>
        </w:tc>
      </w:tr>
      <w:tr w:rsidR="002F4914" w:rsidRPr="000A077F" w14:paraId="3A35651A" w14:textId="77777777" w:rsidTr="009C5EFC">
        <w:tc>
          <w:tcPr>
            <w:tcW w:w="0" w:type="auto"/>
          </w:tcPr>
          <w:p w14:paraId="127D3D99" w14:textId="7AB4550E"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B</w:t>
            </w:r>
            <w:r w:rsidRPr="009C5EFC">
              <w:rPr>
                <w:rFonts w:cs="Times New Roman"/>
                <w:color w:val="000000"/>
                <w:sz w:val="20"/>
                <w:szCs w:val="20"/>
              </w:rPr>
              <w:t>us</w:t>
            </w:r>
            <w:r w:rsidR="00C838E6" w:rsidRPr="009C5EFC">
              <w:rPr>
                <w:rFonts w:cs="Times New Roman"/>
                <w:color w:val="000000"/>
                <w:sz w:val="20"/>
                <w:szCs w:val="20"/>
              </w:rPr>
              <w:t xml:space="preserve"> </w:t>
            </w:r>
            <w:r w:rsidR="00A17F8A">
              <w:rPr>
                <w:rFonts w:cs="Times New Roman"/>
                <w:color w:val="000000"/>
                <w:sz w:val="20"/>
                <w:szCs w:val="20"/>
              </w:rPr>
              <w:t>S</w:t>
            </w:r>
            <w:r w:rsidRPr="009C5EFC">
              <w:rPr>
                <w:rFonts w:cs="Times New Roman"/>
                <w:color w:val="000000"/>
                <w:sz w:val="20"/>
                <w:szCs w:val="20"/>
              </w:rPr>
              <w:t>top (sq)</w:t>
            </w:r>
          </w:p>
        </w:tc>
        <w:tc>
          <w:tcPr>
            <w:tcW w:w="0" w:type="auto"/>
          </w:tcPr>
          <w:p w14:paraId="69B0CFAD" w14:textId="732FF0D8"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1.98E-08</w:t>
            </w:r>
          </w:p>
        </w:tc>
        <w:tc>
          <w:tcPr>
            <w:tcW w:w="0" w:type="auto"/>
          </w:tcPr>
          <w:p w14:paraId="3F1C096C" w14:textId="11378AEE"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2.21E-08</w:t>
            </w:r>
          </w:p>
        </w:tc>
        <w:tc>
          <w:tcPr>
            <w:tcW w:w="0" w:type="auto"/>
          </w:tcPr>
          <w:p w14:paraId="31A24B74" w14:textId="1AD974B3"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1.63E-08</w:t>
            </w:r>
          </w:p>
        </w:tc>
      </w:tr>
      <w:tr w:rsidR="002F4914" w:rsidRPr="000A077F" w14:paraId="4424D2B2" w14:textId="77777777" w:rsidTr="009C5EFC">
        <w:tc>
          <w:tcPr>
            <w:tcW w:w="0" w:type="auto"/>
          </w:tcPr>
          <w:p w14:paraId="2D74669F" w14:textId="235EBF43"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H</w:t>
            </w:r>
            <w:r w:rsidRPr="009C5EFC">
              <w:rPr>
                <w:rFonts w:cs="Times New Roman"/>
                <w:color w:val="000000"/>
                <w:sz w:val="20"/>
                <w:szCs w:val="20"/>
              </w:rPr>
              <w:t>ospital (sq)</w:t>
            </w:r>
          </w:p>
        </w:tc>
        <w:tc>
          <w:tcPr>
            <w:tcW w:w="0" w:type="auto"/>
          </w:tcPr>
          <w:p w14:paraId="6591A2DF" w14:textId="04DC24B7"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1.55e-09</w:t>
            </w:r>
            <w:r w:rsidR="002F4914" w:rsidRPr="009C5EFC">
              <w:rPr>
                <w:rFonts w:cs="Times New Roman"/>
                <w:color w:val="000000"/>
                <w:sz w:val="20"/>
                <w:szCs w:val="20"/>
                <w:vertAlign w:val="superscript"/>
              </w:rPr>
              <w:t>**</w:t>
            </w:r>
          </w:p>
        </w:tc>
        <w:tc>
          <w:tcPr>
            <w:tcW w:w="0" w:type="auto"/>
          </w:tcPr>
          <w:p w14:paraId="1F223F4C" w14:textId="0C793CE0"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1.36e-09</w:t>
            </w:r>
            <w:r w:rsidR="002F4914" w:rsidRPr="009C5EFC">
              <w:rPr>
                <w:rFonts w:cs="Times New Roman"/>
                <w:color w:val="000000"/>
                <w:sz w:val="20"/>
                <w:szCs w:val="20"/>
                <w:vertAlign w:val="superscript"/>
              </w:rPr>
              <w:t>*</w:t>
            </w:r>
          </w:p>
        </w:tc>
        <w:tc>
          <w:tcPr>
            <w:tcW w:w="0" w:type="auto"/>
          </w:tcPr>
          <w:p w14:paraId="7FE30ADE"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4.89e-09</w:t>
            </w:r>
            <w:r w:rsidRPr="009C5EFC">
              <w:rPr>
                <w:rFonts w:cs="Times New Roman"/>
                <w:color w:val="000000"/>
                <w:sz w:val="20"/>
                <w:szCs w:val="20"/>
                <w:vertAlign w:val="superscript"/>
              </w:rPr>
              <w:t>*</w:t>
            </w:r>
          </w:p>
        </w:tc>
      </w:tr>
      <w:tr w:rsidR="002F4914" w:rsidRPr="000A077F" w14:paraId="490725BB" w14:textId="77777777" w:rsidTr="009C5EFC">
        <w:tc>
          <w:tcPr>
            <w:tcW w:w="0" w:type="auto"/>
          </w:tcPr>
          <w:p w14:paraId="53B3CDCE" w14:textId="2221204A"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L</w:t>
            </w:r>
            <w:r w:rsidRPr="009C5EFC">
              <w:rPr>
                <w:rFonts w:cs="Times New Roman"/>
                <w:color w:val="000000"/>
                <w:sz w:val="20"/>
                <w:szCs w:val="20"/>
              </w:rPr>
              <w:t>ibrary (sq)</w:t>
            </w:r>
          </w:p>
        </w:tc>
        <w:tc>
          <w:tcPr>
            <w:tcW w:w="0" w:type="auto"/>
          </w:tcPr>
          <w:p w14:paraId="33EB3B31"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2.33e-09</w:t>
            </w:r>
            <w:r w:rsidRPr="009C5EFC">
              <w:rPr>
                <w:rFonts w:cs="Times New Roman"/>
                <w:color w:val="000000"/>
                <w:sz w:val="20"/>
                <w:szCs w:val="20"/>
                <w:vertAlign w:val="superscript"/>
              </w:rPr>
              <w:t>*</w:t>
            </w:r>
          </w:p>
        </w:tc>
        <w:tc>
          <w:tcPr>
            <w:tcW w:w="0" w:type="auto"/>
          </w:tcPr>
          <w:p w14:paraId="624A9B1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1.89e-09</w:t>
            </w:r>
            <w:r w:rsidRPr="009C5EFC">
              <w:rPr>
                <w:rFonts w:cs="Times New Roman"/>
                <w:color w:val="000000"/>
                <w:sz w:val="20"/>
                <w:szCs w:val="20"/>
                <w:vertAlign w:val="superscript"/>
              </w:rPr>
              <w:t>*</w:t>
            </w:r>
          </w:p>
        </w:tc>
        <w:tc>
          <w:tcPr>
            <w:tcW w:w="0" w:type="auto"/>
          </w:tcPr>
          <w:p w14:paraId="632CCED1" w14:textId="6BE07239"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7.18E-09</w:t>
            </w:r>
          </w:p>
        </w:tc>
      </w:tr>
      <w:tr w:rsidR="002F4914" w:rsidRPr="000A077F" w14:paraId="5519FA8C" w14:textId="77777777" w:rsidTr="009C5EFC">
        <w:tc>
          <w:tcPr>
            <w:tcW w:w="0" w:type="auto"/>
          </w:tcPr>
          <w:p w14:paraId="323F4FCD" w14:textId="1C8AEF84"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P</w:t>
            </w:r>
            <w:r w:rsidRPr="009C5EFC">
              <w:rPr>
                <w:rFonts w:cs="Times New Roman"/>
                <w:color w:val="000000"/>
                <w:sz w:val="20"/>
                <w:szCs w:val="20"/>
              </w:rPr>
              <w:t>layground (sq)</w:t>
            </w:r>
          </w:p>
        </w:tc>
        <w:tc>
          <w:tcPr>
            <w:tcW w:w="0" w:type="auto"/>
          </w:tcPr>
          <w:p w14:paraId="41E52F48" w14:textId="191369B5"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1.40e-08</w:t>
            </w:r>
            <w:r w:rsidR="002F4914" w:rsidRPr="009C5EFC">
              <w:rPr>
                <w:rFonts w:cs="Times New Roman"/>
                <w:color w:val="000000"/>
                <w:sz w:val="20"/>
                <w:szCs w:val="20"/>
                <w:vertAlign w:val="superscript"/>
              </w:rPr>
              <w:t>***</w:t>
            </w:r>
          </w:p>
        </w:tc>
        <w:tc>
          <w:tcPr>
            <w:tcW w:w="0" w:type="auto"/>
          </w:tcPr>
          <w:p w14:paraId="1053C5C2" w14:textId="18CAF490"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1.38e-08</w:t>
            </w:r>
            <w:r w:rsidR="002F4914" w:rsidRPr="009C5EFC">
              <w:rPr>
                <w:rFonts w:cs="Times New Roman"/>
                <w:color w:val="000000"/>
                <w:sz w:val="20"/>
                <w:szCs w:val="20"/>
                <w:vertAlign w:val="superscript"/>
              </w:rPr>
              <w:t>***</w:t>
            </w:r>
          </w:p>
        </w:tc>
        <w:tc>
          <w:tcPr>
            <w:tcW w:w="0" w:type="auto"/>
          </w:tcPr>
          <w:p w14:paraId="78D66CD4" w14:textId="3D14E771"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3.83e-08</w:t>
            </w:r>
            <w:r w:rsidR="002F4914" w:rsidRPr="009C5EFC">
              <w:rPr>
                <w:rFonts w:cs="Times New Roman"/>
                <w:color w:val="000000"/>
                <w:sz w:val="20"/>
                <w:szCs w:val="20"/>
                <w:vertAlign w:val="superscript"/>
              </w:rPr>
              <w:t>**</w:t>
            </w:r>
          </w:p>
        </w:tc>
      </w:tr>
      <w:tr w:rsidR="002F4914" w:rsidRPr="000A077F" w14:paraId="2D18A1EA" w14:textId="77777777" w:rsidTr="009C5EFC">
        <w:tc>
          <w:tcPr>
            <w:tcW w:w="0" w:type="auto"/>
          </w:tcPr>
          <w:p w14:paraId="60ADBEAC" w14:textId="65FFBD8E"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S</w:t>
            </w:r>
            <w:r w:rsidRPr="009C5EFC">
              <w:rPr>
                <w:rFonts w:cs="Times New Roman"/>
                <w:color w:val="000000"/>
                <w:sz w:val="20"/>
                <w:szCs w:val="20"/>
              </w:rPr>
              <w:t>chool (sq)</w:t>
            </w:r>
          </w:p>
        </w:tc>
        <w:tc>
          <w:tcPr>
            <w:tcW w:w="0" w:type="auto"/>
          </w:tcPr>
          <w:p w14:paraId="0478C952"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1.45e-08</w:t>
            </w:r>
            <w:r w:rsidRPr="009C5EFC">
              <w:rPr>
                <w:rFonts w:cs="Times New Roman"/>
                <w:color w:val="000000"/>
                <w:sz w:val="20"/>
                <w:szCs w:val="20"/>
                <w:vertAlign w:val="superscript"/>
              </w:rPr>
              <w:t>**</w:t>
            </w:r>
          </w:p>
        </w:tc>
        <w:tc>
          <w:tcPr>
            <w:tcW w:w="0" w:type="auto"/>
          </w:tcPr>
          <w:p w14:paraId="28CFF36E"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1.47e-08</w:t>
            </w:r>
            <w:r w:rsidRPr="009C5EFC">
              <w:rPr>
                <w:rFonts w:cs="Times New Roman"/>
                <w:color w:val="000000"/>
                <w:sz w:val="20"/>
                <w:szCs w:val="20"/>
                <w:vertAlign w:val="superscript"/>
              </w:rPr>
              <w:t>**</w:t>
            </w:r>
          </w:p>
        </w:tc>
        <w:tc>
          <w:tcPr>
            <w:tcW w:w="0" w:type="auto"/>
          </w:tcPr>
          <w:p w14:paraId="4CBA95FB"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3.52E-08</w:t>
            </w:r>
          </w:p>
        </w:tc>
      </w:tr>
      <w:tr w:rsidR="002F4914" w:rsidRPr="000A077F" w14:paraId="5B939A35" w14:textId="77777777" w:rsidTr="009C5EFC">
        <w:tc>
          <w:tcPr>
            <w:tcW w:w="0" w:type="auto"/>
          </w:tcPr>
          <w:p w14:paraId="25085EC8" w14:textId="1F17D2D2"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to </w:t>
            </w:r>
            <w:r w:rsidR="00A17F8A">
              <w:rPr>
                <w:rFonts w:cs="Times New Roman"/>
                <w:color w:val="000000"/>
                <w:sz w:val="20"/>
                <w:szCs w:val="20"/>
              </w:rPr>
              <w:t>S</w:t>
            </w:r>
            <w:r w:rsidRPr="009C5EFC">
              <w:rPr>
                <w:rFonts w:cs="Times New Roman"/>
                <w:color w:val="000000"/>
                <w:sz w:val="20"/>
                <w:szCs w:val="20"/>
              </w:rPr>
              <w:t>hopping (sq)</w:t>
            </w:r>
          </w:p>
        </w:tc>
        <w:tc>
          <w:tcPr>
            <w:tcW w:w="0" w:type="auto"/>
          </w:tcPr>
          <w:p w14:paraId="4D28F127"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1.66E-09</w:t>
            </w:r>
          </w:p>
        </w:tc>
        <w:tc>
          <w:tcPr>
            <w:tcW w:w="0" w:type="auto"/>
          </w:tcPr>
          <w:p w14:paraId="36B83E7C"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2.34E-09</w:t>
            </w:r>
          </w:p>
        </w:tc>
        <w:tc>
          <w:tcPr>
            <w:tcW w:w="0" w:type="auto"/>
          </w:tcPr>
          <w:p w14:paraId="5541E24D"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1.08E-08</w:t>
            </w:r>
          </w:p>
        </w:tc>
      </w:tr>
      <w:tr w:rsidR="002F4914" w:rsidRPr="000A077F" w14:paraId="78113C1B" w14:textId="77777777" w:rsidTr="009C5EFC">
        <w:tc>
          <w:tcPr>
            <w:tcW w:w="0" w:type="auto"/>
          </w:tcPr>
          <w:p w14:paraId="488FD538" w14:textId="6FFF7AC8"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Distance </w:t>
            </w:r>
            <w:r w:rsidR="00A17F8A">
              <w:rPr>
                <w:rFonts w:cs="Times New Roman"/>
                <w:color w:val="000000"/>
                <w:sz w:val="20"/>
                <w:szCs w:val="20"/>
              </w:rPr>
              <w:t>to S</w:t>
            </w:r>
            <w:r w:rsidRPr="009C5EFC">
              <w:rPr>
                <w:rFonts w:cs="Times New Roman"/>
                <w:color w:val="000000"/>
                <w:sz w:val="20"/>
                <w:szCs w:val="20"/>
              </w:rPr>
              <w:t>upermarket (sq)</w:t>
            </w:r>
          </w:p>
        </w:tc>
        <w:tc>
          <w:tcPr>
            <w:tcW w:w="0" w:type="auto"/>
          </w:tcPr>
          <w:p w14:paraId="50F3A9BF" w14:textId="37164936"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5.93E-09</w:t>
            </w:r>
          </w:p>
        </w:tc>
        <w:tc>
          <w:tcPr>
            <w:tcW w:w="0" w:type="auto"/>
          </w:tcPr>
          <w:p w14:paraId="2EC3ED83" w14:textId="6D036E83"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4.31E-09</w:t>
            </w:r>
          </w:p>
        </w:tc>
        <w:tc>
          <w:tcPr>
            <w:tcW w:w="0" w:type="auto"/>
          </w:tcPr>
          <w:p w14:paraId="2D7B8E5C"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3.34E-09</w:t>
            </w:r>
          </w:p>
        </w:tc>
      </w:tr>
      <w:tr w:rsidR="002F4914" w:rsidRPr="000A077F" w14:paraId="59131A8D" w14:textId="77777777" w:rsidTr="009C5EFC">
        <w:tc>
          <w:tcPr>
            <w:tcW w:w="0" w:type="auto"/>
          </w:tcPr>
          <w:p w14:paraId="483BCC19"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Sustainability</w:t>
            </w:r>
          </w:p>
        </w:tc>
        <w:tc>
          <w:tcPr>
            <w:tcW w:w="0" w:type="auto"/>
          </w:tcPr>
          <w:p w14:paraId="3911B153"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76CC999C" w14:textId="37B385E3"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0.00567</w:t>
            </w:r>
          </w:p>
        </w:tc>
        <w:tc>
          <w:tcPr>
            <w:tcW w:w="0" w:type="auto"/>
          </w:tcPr>
          <w:p w14:paraId="222DFB6C"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p>
        </w:tc>
      </w:tr>
      <w:tr w:rsidR="002F4914" w:rsidRPr="000A077F" w14:paraId="73E19932" w14:textId="77777777" w:rsidTr="009C5EFC">
        <w:tc>
          <w:tcPr>
            <w:tcW w:w="0" w:type="auto"/>
          </w:tcPr>
          <w:p w14:paraId="4CEE7587" w14:textId="7D241753"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Double </w:t>
            </w:r>
            <w:r w:rsidR="00A17F8A">
              <w:rPr>
                <w:rFonts w:cs="Times New Roman"/>
                <w:color w:val="000000"/>
                <w:sz w:val="20"/>
                <w:szCs w:val="20"/>
              </w:rPr>
              <w:t>G</w:t>
            </w:r>
            <w:r w:rsidRPr="009C5EFC">
              <w:rPr>
                <w:rFonts w:cs="Times New Roman"/>
                <w:color w:val="000000"/>
                <w:sz w:val="20"/>
                <w:szCs w:val="20"/>
              </w:rPr>
              <w:t>lazing</w:t>
            </w:r>
          </w:p>
        </w:tc>
        <w:tc>
          <w:tcPr>
            <w:tcW w:w="0" w:type="auto"/>
          </w:tcPr>
          <w:p w14:paraId="731FA1DE"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1F91BC15"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0.100</w:t>
            </w:r>
            <w:r w:rsidRPr="009C5EFC">
              <w:rPr>
                <w:rFonts w:cs="Times New Roman"/>
                <w:color w:val="000000"/>
                <w:sz w:val="20"/>
                <w:szCs w:val="20"/>
                <w:vertAlign w:val="superscript"/>
              </w:rPr>
              <w:t>***</w:t>
            </w:r>
          </w:p>
        </w:tc>
        <w:tc>
          <w:tcPr>
            <w:tcW w:w="0" w:type="auto"/>
          </w:tcPr>
          <w:p w14:paraId="34E943FA"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p>
        </w:tc>
      </w:tr>
      <w:tr w:rsidR="002F4914" w:rsidRPr="000A077F" w14:paraId="287627B9" w14:textId="77777777" w:rsidTr="009C5EFC">
        <w:tc>
          <w:tcPr>
            <w:tcW w:w="0" w:type="auto"/>
          </w:tcPr>
          <w:p w14:paraId="30BF0907"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Insulation</w:t>
            </w:r>
          </w:p>
        </w:tc>
        <w:tc>
          <w:tcPr>
            <w:tcW w:w="0" w:type="auto"/>
          </w:tcPr>
          <w:p w14:paraId="2BCA20BE"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0456F2A4"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0.0304</w:t>
            </w:r>
            <w:r w:rsidRPr="009C5EFC">
              <w:rPr>
                <w:rFonts w:cs="Times New Roman"/>
                <w:color w:val="000000"/>
                <w:sz w:val="20"/>
                <w:szCs w:val="20"/>
                <w:vertAlign w:val="superscript"/>
              </w:rPr>
              <w:t>***</w:t>
            </w:r>
          </w:p>
        </w:tc>
        <w:tc>
          <w:tcPr>
            <w:tcW w:w="0" w:type="auto"/>
          </w:tcPr>
          <w:p w14:paraId="16A73A59"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p>
        </w:tc>
      </w:tr>
      <w:tr w:rsidR="002F4914" w:rsidRPr="000A077F" w14:paraId="7C5545C3" w14:textId="77777777" w:rsidTr="009C5EFC">
        <w:tc>
          <w:tcPr>
            <w:tcW w:w="0" w:type="auto"/>
          </w:tcPr>
          <w:p w14:paraId="57DEB14F" w14:textId="72C8C94C" w:rsidR="002F4914" w:rsidRPr="009C5EFC" w:rsidRDefault="00C525E1"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Price (log)</w:t>
            </w:r>
          </w:p>
        </w:tc>
        <w:tc>
          <w:tcPr>
            <w:tcW w:w="0" w:type="auto"/>
          </w:tcPr>
          <w:p w14:paraId="1544FA05"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12384EE3"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15370F5E" w14:textId="6C9FBE64" w:rsidR="002F4914" w:rsidRPr="009C5EFC" w:rsidRDefault="000B2BF1"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Pr>
                <w:rFonts w:cs="Times New Roman"/>
                <w:color w:val="000000"/>
                <w:sz w:val="20"/>
                <w:szCs w:val="20"/>
              </w:rPr>
              <w:t>–</w:t>
            </w:r>
            <w:r w:rsidR="002F4914" w:rsidRPr="009C5EFC">
              <w:rPr>
                <w:rFonts w:cs="Times New Roman"/>
                <w:color w:val="000000"/>
                <w:sz w:val="20"/>
                <w:szCs w:val="20"/>
              </w:rPr>
              <w:t>0.0794</w:t>
            </w:r>
            <w:r w:rsidR="002F4914" w:rsidRPr="009C5EFC">
              <w:rPr>
                <w:rFonts w:cs="Times New Roman"/>
                <w:color w:val="000000"/>
                <w:sz w:val="20"/>
                <w:szCs w:val="20"/>
                <w:vertAlign w:val="superscript"/>
              </w:rPr>
              <w:t>***</w:t>
            </w:r>
          </w:p>
        </w:tc>
      </w:tr>
      <w:tr w:rsidR="002F4914" w:rsidRPr="000A077F" w14:paraId="548CE19B" w14:textId="77777777" w:rsidTr="009C5EFC">
        <w:tc>
          <w:tcPr>
            <w:tcW w:w="0" w:type="auto"/>
          </w:tcPr>
          <w:p w14:paraId="6E624804"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p>
        </w:tc>
        <w:tc>
          <w:tcPr>
            <w:tcW w:w="0" w:type="auto"/>
          </w:tcPr>
          <w:p w14:paraId="4B71BD2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6572A389"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79F8B035" w14:textId="4757EA41"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w:t>
            </w:r>
            <w:r w:rsidR="000B2BF1">
              <w:rPr>
                <w:rFonts w:cs="Times New Roman"/>
                <w:color w:val="000000"/>
                <w:sz w:val="20"/>
                <w:szCs w:val="20"/>
              </w:rPr>
              <w:t>–</w:t>
            </w:r>
            <w:r w:rsidRPr="009C5EFC">
              <w:rPr>
                <w:rFonts w:cs="Times New Roman"/>
                <w:color w:val="000000"/>
                <w:sz w:val="20"/>
                <w:szCs w:val="20"/>
              </w:rPr>
              <w:t>4.75)</w:t>
            </w:r>
          </w:p>
        </w:tc>
      </w:tr>
      <w:tr w:rsidR="002F4914" w:rsidRPr="000A077F" w14:paraId="234DF781" w14:textId="77777777" w:rsidTr="009C5EFC">
        <w:tc>
          <w:tcPr>
            <w:tcW w:w="0" w:type="auto"/>
          </w:tcPr>
          <w:p w14:paraId="3BB7D6FE" w14:textId="77777777"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Furnished</w:t>
            </w:r>
          </w:p>
        </w:tc>
        <w:tc>
          <w:tcPr>
            <w:tcW w:w="0" w:type="auto"/>
          </w:tcPr>
          <w:p w14:paraId="16BFA664"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p>
        </w:tc>
        <w:tc>
          <w:tcPr>
            <w:tcW w:w="0" w:type="auto"/>
          </w:tcPr>
          <w:p w14:paraId="515F152E"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p>
        </w:tc>
        <w:tc>
          <w:tcPr>
            <w:tcW w:w="0" w:type="auto"/>
          </w:tcPr>
          <w:p w14:paraId="47BC7128"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0.154</w:t>
            </w:r>
            <w:r w:rsidRPr="009C5EFC">
              <w:rPr>
                <w:rFonts w:cs="Times New Roman"/>
                <w:color w:val="000000"/>
                <w:sz w:val="20"/>
                <w:szCs w:val="20"/>
                <w:vertAlign w:val="superscript"/>
              </w:rPr>
              <w:t>**</w:t>
            </w:r>
          </w:p>
        </w:tc>
      </w:tr>
      <w:tr w:rsidR="00F27DC4" w:rsidRPr="000A077F" w14:paraId="38E01D87" w14:textId="77777777" w:rsidTr="00A17F8A">
        <w:tc>
          <w:tcPr>
            <w:tcW w:w="0" w:type="auto"/>
          </w:tcPr>
          <w:p w14:paraId="011CDFE4" w14:textId="6C9B94AE" w:rsidR="002F4914" w:rsidRPr="009C5EFC" w:rsidRDefault="002701CD" w:rsidP="009C5EFC">
            <w:pPr>
              <w:widowControl w:val="0"/>
              <w:autoSpaceDE w:val="0"/>
              <w:autoSpaceDN w:val="0"/>
              <w:adjustRightInd w:val="0"/>
              <w:spacing w:before="40" w:after="40"/>
              <w:rPr>
                <w:rFonts w:cs="Times New Roman"/>
                <w:color w:val="000000"/>
                <w:sz w:val="20"/>
                <w:szCs w:val="20"/>
              </w:rPr>
            </w:pPr>
            <w:r>
              <w:rPr>
                <w:rFonts w:cs="Times New Roman"/>
                <w:color w:val="000000"/>
                <w:sz w:val="20"/>
                <w:szCs w:val="20"/>
              </w:rPr>
              <w:t>Constant</w:t>
            </w:r>
          </w:p>
        </w:tc>
        <w:tc>
          <w:tcPr>
            <w:tcW w:w="0" w:type="auto"/>
          </w:tcPr>
          <w:p w14:paraId="4BC5E101"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10.76</w:t>
            </w:r>
            <w:r w:rsidRPr="009C5EFC">
              <w:rPr>
                <w:rFonts w:cs="Times New Roman"/>
                <w:color w:val="000000"/>
                <w:sz w:val="20"/>
                <w:szCs w:val="20"/>
                <w:vertAlign w:val="superscript"/>
              </w:rPr>
              <w:t>***</w:t>
            </w:r>
          </w:p>
        </w:tc>
        <w:tc>
          <w:tcPr>
            <w:tcW w:w="0" w:type="auto"/>
          </w:tcPr>
          <w:p w14:paraId="0155BF8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10.82</w:t>
            </w:r>
            <w:r w:rsidRPr="009C5EFC">
              <w:rPr>
                <w:rFonts w:cs="Times New Roman"/>
                <w:color w:val="000000"/>
                <w:sz w:val="20"/>
                <w:szCs w:val="20"/>
                <w:vertAlign w:val="superscript"/>
              </w:rPr>
              <w:t>***</w:t>
            </w:r>
          </w:p>
        </w:tc>
        <w:tc>
          <w:tcPr>
            <w:tcW w:w="0" w:type="auto"/>
          </w:tcPr>
          <w:p w14:paraId="51A16D04"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vertAlign w:val="superscript"/>
              </w:rPr>
            </w:pPr>
            <w:r w:rsidRPr="009C5EFC">
              <w:rPr>
                <w:rFonts w:cs="Times New Roman"/>
                <w:color w:val="000000"/>
                <w:sz w:val="20"/>
                <w:szCs w:val="20"/>
              </w:rPr>
              <w:t>4.743</w:t>
            </w:r>
            <w:r w:rsidRPr="009C5EFC">
              <w:rPr>
                <w:rFonts w:cs="Times New Roman"/>
                <w:color w:val="000000"/>
                <w:sz w:val="20"/>
                <w:szCs w:val="20"/>
                <w:vertAlign w:val="superscript"/>
              </w:rPr>
              <w:t>***</w:t>
            </w:r>
          </w:p>
        </w:tc>
      </w:tr>
      <w:tr w:rsidR="002F4914" w:rsidRPr="000A077F" w14:paraId="75C93E60" w14:textId="77777777" w:rsidTr="009C5EFC">
        <w:tc>
          <w:tcPr>
            <w:tcW w:w="0" w:type="auto"/>
          </w:tcPr>
          <w:p w14:paraId="08D998A4" w14:textId="4E29CCF3"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Quarterly </w:t>
            </w:r>
            <w:r w:rsidR="00F27DC4">
              <w:rPr>
                <w:rFonts w:cs="Times New Roman"/>
                <w:color w:val="000000"/>
                <w:sz w:val="20"/>
                <w:szCs w:val="20"/>
              </w:rPr>
              <w:t>F</w:t>
            </w:r>
            <w:r w:rsidRPr="009C5EFC">
              <w:rPr>
                <w:rFonts w:cs="Times New Roman"/>
                <w:color w:val="000000"/>
                <w:sz w:val="20"/>
                <w:szCs w:val="20"/>
              </w:rPr>
              <w:t xml:space="preserve">ixed </w:t>
            </w:r>
            <w:r w:rsidR="00F27DC4">
              <w:rPr>
                <w:rFonts w:cs="Times New Roman"/>
                <w:color w:val="000000"/>
                <w:sz w:val="20"/>
                <w:szCs w:val="20"/>
              </w:rPr>
              <w:t>E</w:t>
            </w:r>
            <w:r w:rsidRPr="009C5EFC">
              <w:rPr>
                <w:rFonts w:cs="Times New Roman"/>
                <w:color w:val="000000"/>
                <w:sz w:val="20"/>
                <w:szCs w:val="20"/>
              </w:rPr>
              <w:t xml:space="preserve">ffects </w:t>
            </w:r>
          </w:p>
        </w:tc>
        <w:tc>
          <w:tcPr>
            <w:tcW w:w="0" w:type="auto"/>
          </w:tcPr>
          <w:p w14:paraId="1EC181D4"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009E68FA"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582DF2D2"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r>
      <w:tr w:rsidR="002F4914" w:rsidRPr="000A077F" w14:paraId="65A7BA68" w14:textId="77777777" w:rsidTr="009C5EFC">
        <w:tc>
          <w:tcPr>
            <w:tcW w:w="0" w:type="auto"/>
          </w:tcPr>
          <w:p w14:paraId="446AD73F" w14:textId="31565698"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Property </w:t>
            </w:r>
            <w:r w:rsidR="00F27DC4">
              <w:rPr>
                <w:rFonts w:cs="Times New Roman"/>
                <w:color w:val="000000"/>
                <w:sz w:val="20"/>
                <w:szCs w:val="20"/>
              </w:rPr>
              <w:t>T</w:t>
            </w:r>
            <w:r w:rsidRPr="009C5EFC">
              <w:rPr>
                <w:rFonts w:cs="Times New Roman"/>
                <w:color w:val="000000"/>
                <w:sz w:val="20"/>
                <w:szCs w:val="20"/>
              </w:rPr>
              <w:t xml:space="preserve">ype </w:t>
            </w:r>
            <w:r w:rsidR="00F27DC4">
              <w:rPr>
                <w:rFonts w:cs="Times New Roman"/>
                <w:color w:val="000000"/>
                <w:sz w:val="20"/>
                <w:szCs w:val="20"/>
              </w:rPr>
              <w:t>F</w:t>
            </w:r>
            <w:r w:rsidRPr="009C5EFC">
              <w:rPr>
                <w:rFonts w:cs="Times New Roman"/>
                <w:color w:val="000000"/>
                <w:sz w:val="20"/>
                <w:szCs w:val="20"/>
              </w:rPr>
              <w:t xml:space="preserve">ixed </w:t>
            </w:r>
            <w:r w:rsidR="00F27DC4">
              <w:rPr>
                <w:rFonts w:cs="Times New Roman"/>
                <w:color w:val="000000"/>
                <w:sz w:val="20"/>
                <w:szCs w:val="20"/>
              </w:rPr>
              <w:t>E</w:t>
            </w:r>
            <w:r w:rsidRPr="009C5EFC">
              <w:rPr>
                <w:rFonts w:cs="Times New Roman"/>
                <w:color w:val="000000"/>
                <w:sz w:val="20"/>
                <w:szCs w:val="20"/>
              </w:rPr>
              <w:t xml:space="preserve">ffects </w:t>
            </w:r>
          </w:p>
        </w:tc>
        <w:tc>
          <w:tcPr>
            <w:tcW w:w="0" w:type="auto"/>
          </w:tcPr>
          <w:p w14:paraId="51D054CB"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4051BF7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1B2B42A0"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r>
      <w:tr w:rsidR="002F4914" w:rsidRPr="000A077F" w14:paraId="1996D018" w14:textId="77777777" w:rsidTr="009C5EFC">
        <w:tc>
          <w:tcPr>
            <w:tcW w:w="0" w:type="auto"/>
          </w:tcPr>
          <w:p w14:paraId="6EA71027" w14:textId="642E3FA1" w:rsidR="002F4914" w:rsidRPr="009C5EFC" w:rsidRDefault="002F4914" w:rsidP="009C5EFC">
            <w:pPr>
              <w:widowControl w:val="0"/>
              <w:autoSpaceDE w:val="0"/>
              <w:autoSpaceDN w:val="0"/>
              <w:adjustRightInd w:val="0"/>
              <w:spacing w:before="40" w:after="40"/>
              <w:rPr>
                <w:rFonts w:cs="Times New Roman"/>
                <w:color w:val="000000"/>
                <w:sz w:val="20"/>
                <w:szCs w:val="20"/>
              </w:rPr>
            </w:pPr>
            <w:r w:rsidRPr="009C5EFC">
              <w:rPr>
                <w:rFonts w:cs="Times New Roman"/>
                <w:color w:val="000000"/>
                <w:sz w:val="20"/>
                <w:szCs w:val="20"/>
              </w:rPr>
              <w:t xml:space="preserve">Suburb </w:t>
            </w:r>
            <w:r w:rsidR="00F27DC4">
              <w:rPr>
                <w:rFonts w:cs="Times New Roman"/>
                <w:color w:val="000000"/>
                <w:sz w:val="20"/>
                <w:szCs w:val="20"/>
              </w:rPr>
              <w:t>F</w:t>
            </w:r>
            <w:r w:rsidRPr="009C5EFC">
              <w:rPr>
                <w:rFonts w:cs="Times New Roman"/>
                <w:color w:val="000000"/>
                <w:sz w:val="20"/>
                <w:szCs w:val="20"/>
              </w:rPr>
              <w:t xml:space="preserve">ixed </w:t>
            </w:r>
            <w:r w:rsidR="00F27DC4">
              <w:rPr>
                <w:rFonts w:cs="Times New Roman"/>
                <w:color w:val="000000"/>
                <w:sz w:val="20"/>
                <w:szCs w:val="20"/>
              </w:rPr>
              <w:t>E</w:t>
            </w:r>
            <w:r w:rsidRPr="009C5EFC">
              <w:rPr>
                <w:rFonts w:cs="Times New Roman"/>
                <w:color w:val="000000"/>
                <w:sz w:val="20"/>
                <w:szCs w:val="20"/>
              </w:rPr>
              <w:t>ffects</w:t>
            </w:r>
          </w:p>
        </w:tc>
        <w:tc>
          <w:tcPr>
            <w:tcW w:w="0" w:type="auto"/>
          </w:tcPr>
          <w:p w14:paraId="1A23A95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65247480"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c>
          <w:tcPr>
            <w:tcW w:w="0" w:type="auto"/>
          </w:tcPr>
          <w:p w14:paraId="4296430B"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Yes</w:t>
            </w:r>
          </w:p>
        </w:tc>
      </w:tr>
      <w:tr w:rsidR="002F4914" w:rsidRPr="000A077F" w14:paraId="3B4C3B49" w14:textId="77777777" w:rsidTr="009C5EFC">
        <w:tc>
          <w:tcPr>
            <w:tcW w:w="0" w:type="auto"/>
          </w:tcPr>
          <w:p w14:paraId="49B9ED0E" w14:textId="77777777" w:rsidR="002F4914" w:rsidRPr="009C5EFC" w:rsidRDefault="002F4914" w:rsidP="009C5EFC">
            <w:pPr>
              <w:widowControl w:val="0"/>
              <w:autoSpaceDE w:val="0"/>
              <w:autoSpaceDN w:val="0"/>
              <w:adjustRightInd w:val="0"/>
              <w:spacing w:before="40" w:after="40"/>
              <w:rPr>
                <w:rFonts w:cs="Times New Roman"/>
                <w:i/>
                <w:iCs/>
                <w:color w:val="000000"/>
                <w:sz w:val="20"/>
                <w:szCs w:val="20"/>
              </w:rPr>
            </w:pPr>
            <w:r w:rsidRPr="009C5EFC">
              <w:rPr>
                <w:rFonts w:cs="Times New Roman"/>
                <w:i/>
                <w:iCs/>
                <w:color w:val="000000"/>
                <w:sz w:val="20"/>
                <w:szCs w:val="20"/>
              </w:rPr>
              <w:t>N</w:t>
            </w:r>
          </w:p>
        </w:tc>
        <w:tc>
          <w:tcPr>
            <w:tcW w:w="0" w:type="auto"/>
          </w:tcPr>
          <w:p w14:paraId="7CC7FEBC"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31,061</w:t>
            </w:r>
          </w:p>
        </w:tc>
        <w:tc>
          <w:tcPr>
            <w:tcW w:w="0" w:type="auto"/>
          </w:tcPr>
          <w:p w14:paraId="1F846B8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31,061</w:t>
            </w:r>
          </w:p>
        </w:tc>
        <w:tc>
          <w:tcPr>
            <w:tcW w:w="0" w:type="auto"/>
          </w:tcPr>
          <w:p w14:paraId="361E165A"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31,600</w:t>
            </w:r>
          </w:p>
        </w:tc>
      </w:tr>
      <w:tr w:rsidR="002F4914" w:rsidRPr="000A077F" w14:paraId="409AC05E" w14:textId="77777777" w:rsidTr="009C5EFC">
        <w:tc>
          <w:tcPr>
            <w:tcW w:w="0" w:type="auto"/>
          </w:tcPr>
          <w:p w14:paraId="768B2905" w14:textId="77777777" w:rsidR="002F4914" w:rsidRPr="009C5EFC" w:rsidRDefault="002F4914" w:rsidP="009C5EFC">
            <w:pPr>
              <w:widowControl w:val="0"/>
              <w:autoSpaceDE w:val="0"/>
              <w:autoSpaceDN w:val="0"/>
              <w:adjustRightInd w:val="0"/>
              <w:spacing w:before="40" w:after="40"/>
              <w:rPr>
                <w:rFonts w:cs="Times New Roman"/>
                <w:color w:val="000000"/>
                <w:sz w:val="20"/>
                <w:szCs w:val="20"/>
                <w:vertAlign w:val="superscript"/>
              </w:rPr>
            </w:pPr>
            <w:r w:rsidRPr="009C5EFC">
              <w:rPr>
                <w:rFonts w:cs="Times New Roman"/>
                <w:i/>
                <w:iCs/>
                <w:color w:val="000000"/>
                <w:sz w:val="20"/>
                <w:szCs w:val="20"/>
              </w:rPr>
              <w:t>R</w:t>
            </w:r>
            <w:r w:rsidRPr="009C5EFC">
              <w:rPr>
                <w:rFonts w:cs="Times New Roman"/>
                <w:color w:val="000000"/>
                <w:sz w:val="20"/>
                <w:szCs w:val="20"/>
                <w:vertAlign w:val="superscript"/>
              </w:rPr>
              <w:t>2</w:t>
            </w:r>
          </w:p>
        </w:tc>
        <w:tc>
          <w:tcPr>
            <w:tcW w:w="0" w:type="auto"/>
          </w:tcPr>
          <w:p w14:paraId="53B1AC49"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0.788</w:t>
            </w:r>
          </w:p>
        </w:tc>
        <w:tc>
          <w:tcPr>
            <w:tcW w:w="0" w:type="auto"/>
          </w:tcPr>
          <w:p w14:paraId="622B55F1"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0.787</w:t>
            </w:r>
          </w:p>
        </w:tc>
        <w:tc>
          <w:tcPr>
            <w:tcW w:w="0" w:type="auto"/>
          </w:tcPr>
          <w:p w14:paraId="338CEE32"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0.165</w:t>
            </w:r>
          </w:p>
        </w:tc>
      </w:tr>
      <w:tr w:rsidR="002F4914" w:rsidRPr="000A077F" w14:paraId="28EFD6F6" w14:textId="77777777" w:rsidTr="009C5EFC">
        <w:tc>
          <w:tcPr>
            <w:tcW w:w="0" w:type="auto"/>
          </w:tcPr>
          <w:p w14:paraId="0BD2A593" w14:textId="77777777" w:rsidR="002F4914" w:rsidRPr="009C5EFC" w:rsidRDefault="002F4914" w:rsidP="009C5EFC">
            <w:pPr>
              <w:widowControl w:val="0"/>
              <w:autoSpaceDE w:val="0"/>
              <w:autoSpaceDN w:val="0"/>
              <w:adjustRightInd w:val="0"/>
              <w:spacing w:before="40" w:after="40"/>
              <w:rPr>
                <w:rFonts w:cs="Times New Roman"/>
                <w:color w:val="000000"/>
                <w:sz w:val="20"/>
                <w:szCs w:val="20"/>
                <w:vertAlign w:val="superscript"/>
              </w:rPr>
            </w:pPr>
            <w:r w:rsidRPr="009C5EFC">
              <w:rPr>
                <w:rFonts w:cs="Times New Roman"/>
                <w:color w:val="000000"/>
                <w:sz w:val="20"/>
                <w:szCs w:val="20"/>
              </w:rPr>
              <w:t xml:space="preserve">adj. </w:t>
            </w:r>
            <w:r w:rsidRPr="009C5EFC">
              <w:rPr>
                <w:rFonts w:cs="Times New Roman"/>
                <w:i/>
                <w:iCs/>
                <w:color w:val="000000"/>
                <w:sz w:val="20"/>
                <w:szCs w:val="20"/>
              </w:rPr>
              <w:t>R</w:t>
            </w:r>
            <w:r w:rsidRPr="009C5EFC">
              <w:rPr>
                <w:rFonts w:cs="Times New Roman"/>
                <w:color w:val="000000"/>
                <w:sz w:val="20"/>
                <w:szCs w:val="20"/>
                <w:vertAlign w:val="superscript"/>
              </w:rPr>
              <w:t>2</w:t>
            </w:r>
          </w:p>
        </w:tc>
        <w:tc>
          <w:tcPr>
            <w:tcW w:w="0" w:type="auto"/>
          </w:tcPr>
          <w:p w14:paraId="2B26C08F" w14:textId="77777777" w:rsidR="002F4914" w:rsidRPr="009C5EFC" w:rsidRDefault="002F4914" w:rsidP="009C5EFC">
            <w:pPr>
              <w:widowControl w:val="0"/>
              <w:tabs>
                <w:tab w:val="decimal" w:pos="313"/>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0.786</w:t>
            </w:r>
          </w:p>
        </w:tc>
        <w:tc>
          <w:tcPr>
            <w:tcW w:w="0" w:type="auto"/>
          </w:tcPr>
          <w:p w14:paraId="08B604B8" w14:textId="77777777" w:rsidR="002F4914" w:rsidRPr="009C5EFC" w:rsidRDefault="002F4914" w:rsidP="009C5EFC">
            <w:pPr>
              <w:widowControl w:val="0"/>
              <w:tabs>
                <w:tab w:val="decimal" w:pos="285"/>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0.786</w:t>
            </w:r>
          </w:p>
        </w:tc>
        <w:tc>
          <w:tcPr>
            <w:tcW w:w="0" w:type="auto"/>
          </w:tcPr>
          <w:p w14:paraId="49DFC75B" w14:textId="77777777"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0.16</w:t>
            </w:r>
          </w:p>
        </w:tc>
      </w:tr>
      <w:tr w:rsidR="002F4914" w:rsidRPr="000A077F" w14:paraId="76C37520" w14:textId="77777777" w:rsidTr="009C5EFC">
        <w:tc>
          <w:tcPr>
            <w:tcW w:w="0" w:type="auto"/>
          </w:tcPr>
          <w:p w14:paraId="14165A3C" w14:textId="77777777" w:rsidR="002F4914" w:rsidRPr="009C5EFC" w:rsidRDefault="002F4914" w:rsidP="009C5EFC">
            <w:pPr>
              <w:widowControl w:val="0"/>
              <w:autoSpaceDE w:val="0"/>
              <w:autoSpaceDN w:val="0"/>
              <w:adjustRightInd w:val="0"/>
              <w:spacing w:before="40" w:after="40"/>
              <w:rPr>
                <w:rFonts w:cs="Times New Roman"/>
                <w:i/>
                <w:iCs/>
                <w:color w:val="000000"/>
                <w:sz w:val="20"/>
                <w:szCs w:val="20"/>
              </w:rPr>
            </w:pPr>
            <w:r w:rsidRPr="009C5EFC">
              <w:rPr>
                <w:rFonts w:cs="Times New Roman"/>
                <w:i/>
                <w:iCs/>
                <w:color w:val="000000"/>
                <w:sz w:val="20"/>
                <w:szCs w:val="20"/>
              </w:rPr>
              <w:t>AIC</w:t>
            </w:r>
          </w:p>
        </w:tc>
        <w:tc>
          <w:tcPr>
            <w:tcW w:w="0" w:type="auto"/>
          </w:tcPr>
          <w:p w14:paraId="3890727C" w14:textId="5D4BF261"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22</w:t>
            </w:r>
            <w:r w:rsidR="00F27DC4">
              <w:rPr>
                <w:rFonts w:cs="Times New Roman"/>
                <w:color w:val="000000"/>
                <w:sz w:val="20"/>
                <w:szCs w:val="20"/>
              </w:rPr>
              <w:t>,</w:t>
            </w:r>
            <w:r w:rsidR="002F4914" w:rsidRPr="009C5EFC">
              <w:rPr>
                <w:rFonts w:cs="Times New Roman"/>
                <w:color w:val="000000"/>
                <w:sz w:val="20"/>
                <w:szCs w:val="20"/>
              </w:rPr>
              <w:t>690</w:t>
            </w:r>
          </w:p>
        </w:tc>
        <w:tc>
          <w:tcPr>
            <w:tcW w:w="0" w:type="auto"/>
          </w:tcPr>
          <w:p w14:paraId="1884CBDA" w14:textId="459E6CD9"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22</w:t>
            </w:r>
            <w:r w:rsidR="00F27DC4">
              <w:rPr>
                <w:rFonts w:cs="Times New Roman"/>
                <w:color w:val="000000"/>
                <w:sz w:val="20"/>
                <w:szCs w:val="20"/>
              </w:rPr>
              <w:t>,</w:t>
            </w:r>
            <w:r w:rsidR="002F4914" w:rsidRPr="009C5EFC">
              <w:rPr>
                <w:rFonts w:cs="Times New Roman"/>
                <w:color w:val="000000"/>
                <w:sz w:val="20"/>
                <w:szCs w:val="20"/>
              </w:rPr>
              <w:t>652</w:t>
            </w:r>
          </w:p>
        </w:tc>
        <w:tc>
          <w:tcPr>
            <w:tcW w:w="0" w:type="auto"/>
          </w:tcPr>
          <w:p w14:paraId="398D24A4" w14:textId="67A81B65"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73</w:t>
            </w:r>
            <w:r w:rsidR="00F27DC4">
              <w:rPr>
                <w:rFonts w:cs="Times New Roman"/>
                <w:color w:val="000000"/>
                <w:sz w:val="20"/>
                <w:szCs w:val="20"/>
              </w:rPr>
              <w:t>,</w:t>
            </w:r>
            <w:r w:rsidRPr="009C5EFC">
              <w:rPr>
                <w:rFonts w:cs="Times New Roman"/>
                <w:color w:val="000000"/>
                <w:sz w:val="20"/>
                <w:szCs w:val="20"/>
              </w:rPr>
              <w:t>048</w:t>
            </w:r>
          </w:p>
        </w:tc>
      </w:tr>
      <w:tr w:rsidR="002F4914" w:rsidRPr="000A077F" w14:paraId="2A3ADCA1" w14:textId="77777777" w:rsidTr="009C5EFC">
        <w:tc>
          <w:tcPr>
            <w:tcW w:w="0" w:type="auto"/>
          </w:tcPr>
          <w:p w14:paraId="43714CC1" w14:textId="77777777" w:rsidR="002F4914" w:rsidRPr="009C5EFC" w:rsidRDefault="002F4914" w:rsidP="009C5EFC">
            <w:pPr>
              <w:widowControl w:val="0"/>
              <w:autoSpaceDE w:val="0"/>
              <w:autoSpaceDN w:val="0"/>
              <w:adjustRightInd w:val="0"/>
              <w:spacing w:before="40" w:after="40"/>
              <w:rPr>
                <w:rFonts w:cs="Times New Roman"/>
                <w:i/>
                <w:iCs/>
                <w:color w:val="000000"/>
                <w:sz w:val="20"/>
                <w:szCs w:val="20"/>
              </w:rPr>
            </w:pPr>
            <w:r w:rsidRPr="009C5EFC">
              <w:rPr>
                <w:rFonts w:cs="Times New Roman"/>
                <w:i/>
                <w:iCs/>
                <w:color w:val="000000"/>
                <w:sz w:val="20"/>
                <w:szCs w:val="20"/>
              </w:rPr>
              <w:t>BIC</w:t>
            </w:r>
          </w:p>
        </w:tc>
        <w:tc>
          <w:tcPr>
            <w:tcW w:w="0" w:type="auto"/>
          </w:tcPr>
          <w:p w14:paraId="6C9A52F7" w14:textId="69C2931A" w:rsidR="002F4914" w:rsidRPr="009C5EFC" w:rsidRDefault="000B2BF1" w:rsidP="009C5EFC">
            <w:pPr>
              <w:widowControl w:val="0"/>
              <w:tabs>
                <w:tab w:val="decimal" w:pos="313"/>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20</w:t>
            </w:r>
            <w:r w:rsidR="00F27DC4">
              <w:rPr>
                <w:rFonts w:cs="Times New Roman"/>
                <w:color w:val="000000"/>
                <w:sz w:val="20"/>
                <w:szCs w:val="20"/>
              </w:rPr>
              <w:t>,</w:t>
            </w:r>
            <w:r w:rsidR="002F4914" w:rsidRPr="009C5EFC">
              <w:rPr>
                <w:rFonts w:cs="Times New Roman"/>
                <w:color w:val="000000"/>
                <w:sz w:val="20"/>
                <w:szCs w:val="20"/>
              </w:rPr>
              <w:t>987</w:t>
            </w:r>
          </w:p>
        </w:tc>
        <w:tc>
          <w:tcPr>
            <w:tcW w:w="0" w:type="auto"/>
          </w:tcPr>
          <w:p w14:paraId="776DB92D" w14:textId="68923737" w:rsidR="002F4914" w:rsidRPr="009C5EFC" w:rsidRDefault="000B2BF1" w:rsidP="009C5EFC">
            <w:pPr>
              <w:widowControl w:val="0"/>
              <w:tabs>
                <w:tab w:val="decimal" w:pos="285"/>
              </w:tabs>
              <w:autoSpaceDE w:val="0"/>
              <w:autoSpaceDN w:val="0"/>
              <w:adjustRightInd w:val="0"/>
              <w:spacing w:before="40" w:after="40"/>
              <w:jc w:val="left"/>
              <w:rPr>
                <w:rFonts w:cs="Times New Roman"/>
                <w:color w:val="000000"/>
                <w:sz w:val="20"/>
                <w:szCs w:val="20"/>
              </w:rPr>
            </w:pPr>
            <w:r>
              <w:rPr>
                <w:rFonts w:cs="Times New Roman"/>
                <w:color w:val="000000"/>
                <w:sz w:val="20"/>
                <w:szCs w:val="20"/>
              </w:rPr>
              <w:t>–</w:t>
            </w:r>
            <w:r w:rsidR="002F4914" w:rsidRPr="009C5EFC">
              <w:rPr>
                <w:rFonts w:cs="Times New Roman"/>
                <w:color w:val="000000"/>
                <w:sz w:val="20"/>
                <w:szCs w:val="20"/>
              </w:rPr>
              <w:t>21</w:t>
            </w:r>
            <w:r w:rsidR="00F27DC4">
              <w:rPr>
                <w:rFonts w:cs="Times New Roman"/>
                <w:color w:val="000000"/>
                <w:sz w:val="20"/>
                <w:szCs w:val="20"/>
              </w:rPr>
              <w:t>,</w:t>
            </w:r>
            <w:r w:rsidR="002F4914" w:rsidRPr="009C5EFC">
              <w:rPr>
                <w:rFonts w:cs="Times New Roman"/>
                <w:color w:val="000000"/>
                <w:sz w:val="20"/>
                <w:szCs w:val="20"/>
              </w:rPr>
              <w:t>000</w:t>
            </w:r>
          </w:p>
        </w:tc>
        <w:tc>
          <w:tcPr>
            <w:tcW w:w="0" w:type="auto"/>
          </w:tcPr>
          <w:p w14:paraId="4765DF78" w14:textId="372FEC5A" w:rsidR="002F4914" w:rsidRPr="009C5EFC" w:rsidRDefault="002F4914" w:rsidP="009C5EFC">
            <w:pPr>
              <w:widowControl w:val="0"/>
              <w:tabs>
                <w:tab w:val="decimal" w:pos="404"/>
              </w:tabs>
              <w:autoSpaceDE w:val="0"/>
              <w:autoSpaceDN w:val="0"/>
              <w:adjustRightInd w:val="0"/>
              <w:spacing w:before="40" w:after="40"/>
              <w:jc w:val="left"/>
              <w:rPr>
                <w:rFonts w:cs="Times New Roman"/>
                <w:color w:val="000000"/>
                <w:sz w:val="20"/>
                <w:szCs w:val="20"/>
              </w:rPr>
            </w:pPr>
            <w:r w:rsidRPr="009C5EFC">
              <w:rPr>
                <w:rFonts w:cs="Times New Roman"/>
                <w:color w:val="000000"/>
                <w:sz w:val="20"/>
                <w:szCs w:val="20"/>
              </w:rPr>
              <w:t>74</w:t>
            </w:r>
            <w:r w:rsidR="00F27DC4">
              <w:rPr>
                <w:rFonts w:cs="Times New Roman"/>
                <w:color w:val="000000"/>
                <w:sz w:val="20"/>
                <w:szCs w:val="20"/>
              </w:rPr>
              <w:t>,</w:t>
            </w:r>
            <w:r w:rsidRPr="009C5EFC">
              <w:rPr>
                <w:rFonts w:cs="Times New Roman"/>
                <w:color w:val="000000"/>
                <w:sz w:val="20"/>
                <w:szCs w:val="20"/>
              </w:rPr>
              <w:t>795</w:t>
            </w:r>
          </w:p>
        </w:tc>
      </w:tr>
    </w:tbl>
    <w:p w14:paraId="7A92618E" w14:textId="77777777" w:rsidR="00A17F8A" w:rsidRPr="000A0A13" w:rsidRDefault="00A17F8A" w:rsidP="00D26F46">
      <w:pPr>
        <w:rPr>
          <w:b/>
        </w:rPr>
      </w:pPr>
    </w:p>
    <w:p w14:paraId="2FC92FD3" w14:textId="2E78FC7B" w:rsidR="001D0F04" w:rsidRPr="000A0A13" w:rsidRDefault="001D0F04" w:rsidP="00D26F46">
      <w:pPr>
        <w:rPr>
          <w:b/>
        </w:rPr>
      </w:pPr>
      <w:r w:rsidRPr="000A0A13">
        <w:rPr>
          <w:b/>
        </w:rPr>
        <w:lastRenderedPageBreak/>
        <w:t xml:space="preserve">Table </w:t>
      </w:r>
      <w:r w:rsidR="0039353D">
        <w:rPr>
          <w:b/>
        </w:rPr>
        <w:t>3</w:t>
      </w:r>
      <w:r w:rsidRPr="000A0A13">
        <w:rPr>
          <w:b/>
        </w:rPr>
        <w:t>: Energy</w:t>
      </w:r>
      <w:r w:rsidR="00E558EE">
        <w:rPr>
          <w:b/>
        </w:rPr>
        <w:t>-</w:t>
      </w:r>
      <w:r>
        <w:rPr>
          <w:b/>
        </w:rPr>
        <w:t>efficiency</w:t>
      </w:r>
      <w:r w:rsidRPr="000A0A13">
        <w:rPr>
          <w:b/>
        </w:rPr>
        <w:t xml:space="preserve"> </w:t>
      </w:r>
      <w:r>
        <w:rPr>
          <w:b/>
        </w:rPr>
        <w:t>r</w:t>
      </w:r>
      <w:r w:rsidRPr="000A0A13">
        <w:rPr>
          <w:b/>
        </w:rPr>
        <w:t xml:space="preserve">ating and </w:t>
      </w:r>
      <w:r w:rsidR="00CD7C9B">
        <w:rPr>
          <w:b/>
        </w:rPr>
        <w:t>rent</w:t>
      </w:r>
      <w:r w:rsidRPr="000A0A13">
        <w:rPr>
          <w:b/>
        </w:rPr>
        <w:t xml:space="preserve">: </w:t>
      </w:r>
      <w:r>
        <w:rPr>
          <w:b/>
        </w:rPr>
        <w:t>h</w:t>
      </w:r>
      <w:r w:rsidRPr="000A0A13">
        <w:rPr>
          <w:b/>
        </w:rPr>
        <w:t xml:space="preserve">edonic </w:t>
      </w:r>
      <w:r>
        <w:rPr>
          <w:b/>
        </w:rPr>
        <w:t>e</w:t>
      </w:r>
      <w:r w:rsidRPr="000A0A13">
        <w:rPr>
          <w:b/>
        </w:rPr>
        <w:t>stimations</w:t>
      </w:r>
    </w:p>
    <w:p w14:paraId="543C820D" w14:textId="01D67C17" w:rsidR="001D0F04" w:rsidRPr="000A0A13" w:rsidRDefault="001D0F04" w:rsidP="00D26F46">
      <w:pPr>
        <w:rPr>
          <w:b/>
        </w:rPr>
      </w:pPr>
      <w:r w:rsidRPr="000A0A13">
        <w:rPr>
          <w:b/>
        </w:rPr>
        <w:t>(dependent variab</w:t>
      </w:r>
      <w:r w:rsidR="00BD4972">
        <w:rPr>
          <w:b/>
        </w:rPr>
        <w:t>le: log of weekly rent in A$</w:t>
      </w:r>
      <w:r w:rsidRPr="000A0A13">
        <w:rPr>
          <w:b/>
        </w:rPr>
        <w:t>)</w:t>
      </w:r>
    </w:p>
    <w:p w14:paraId="09A0EB84" w14:textId="77777777" w:rsidR="001D0F04" w:rsidRDefault="001D0F04" w:rsidP="00D26F46"/>
    <w:tbl>
      <w:tblPr>
        <w:tblW w:w="7854" w:type="dxa"/>
        <w:tblBorders>
          <w:top w:val="single" w:sz="4" w:space="0" w:color="auto"/>
          <w:bottom w:val="single" w:sz="4" w:space="0" w:color="auto"/>
        </w:tblBorders>
        <w:tblLook w:val="04A0" w:firstRow="1" w:lastRow="0" w:firstColumn="1" w:lastColumn="0" w:noHBand="0" w:noVBand="1"/>
      </w:tblPr>
      <w:tblGrid>
        <w:gridCol w:w="3140"/>
        <w:gridCol w:w="1600"/>
        <w:gridCol w:w="1720"/>
        <w:gridCol w:w="1394"/>
      </w:tblGrid>
      <w:tr w:rsidR="00BD4972" w:rsidRPr="000A077F" w14:paraId="6B9A6A4F" w14:textId="77777777" w:rsidTr="00316347">
        <w:trPr>
          <w:tblHeader/>
        </w:trPr>
        <w:tc>
          <w:tcPr>
            <w:tcW w:w="3140" w:type="dxa"/>
            <w:tcBorders>
              <w:top w:val="single" w:sz="4" w:space="0" w:color="auto"/>
              <w:bottom w:val="nil"/>
            </w:tcBorders>
            <w:shd w:val="clear" w:color="auto" w:fill="auto"/>
            <w:vAlign w:val="center"/>
            <w:hideMark/>
          </w:tcPr>
          <w:p w14:paraId="3427571E" w14:textId="77777777" w:rsidR="00BD4972" w:rsidRPr="009C5EFC" w:rsidRDefault="00BD4972" w:rsidP="009C5EF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w:t>
            </w:r>
          </w:p>
        </w:tc>
        <w:tc>
          <w:tcPr>
            <w:tcW w:w="1600" w:type="dxa"/>
            <w:tcBorders>
              <w:top w:val="single" w:sz="4" w:space="0" w:color="auto"/>
              <w:bottom w:val="nil"/>
            </w:tcBorders>
            <w:shd w:val="clear" w:color="auto" w:fill="auto"/>
            <w:vAlign w:val="bottom"/>
            <w:hideMark/>
          </w:tcPr>
          <w:p w14:paraId="6445E965" w14:textId="77777777" w:rsidR="00BD4972" w:rsidRPr="009C5EFC" w:rsidRDefault="00BD4972" w:rsidP="009C5EFC">
            <w:pPr>
              <w:tabs>
                <w:tab w:val="decimal" w:pos="0"/>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(1) EER baseline</w:t>
            </w:r>
          </w:p>
        </w:tc>
        <w:tc>
          <w:tcPr>
            <w:tcW w:w="1720" w:type="dxa"/>
            <w:tcBorders>
              <w:top w:val="single" w:sz="4" w:space="0" w:color="auto"/>
              <w:bottom w:val="nil"/>
            </w:tcBorders>
            <w:shd w:val="clear" w:color="auto" w:fill="auto"/>
            <w:vAlign w:val="bottom"/>
            <w:hideMark/>
          </w:tcPr>
          <w:p w14:paraId="6917BD2D" w14:textId="77777777" w:rsidR="00BD4972" w:rsidRPr="009C5EFC" w:rsidRDefault="00BD4972" w:rsidP="009C5EFC">
            <w:pPr>
              <w:tabs>
                <w:tab w:val="decimal" w:pos="112"/>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(2) Individual features</w:t>
            </w:r>
          </w:p>
        </w:tc>
        <w:tc>
          <w:tcPr>
            <w:tcW w:w="1394" w:type="dxa"/>
            <w:tcBorders>
              <w:top w:val="single" w:sz="4" w:space="0" w:color="auto"/>
              <w:bottom w:val="nil"/>
            </w:tcBorders>
            <w:shd w:val="clear" w:color="auto" w:fill="auto"/>
            <w:vAlign w:val="bottom"/>
            <w:hideMark/>
          </w:tcPr>
          <w:p w14:paraId="4EC1605B" w14:textId="77777777" w:rsidR="00BD4972" w:rsidRPr="009C5EFC" w:rsidRDefault="00BD4972" w:rsidP="009C5EFC">
            <w:pPr>
              <w:tabs>
                <w:tab w:val="decimal" w:pos="0"/>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(3) Heckman model</w:t>
            </w:r>
          </w:p>
        </w:tc>
      </w:tr>
      <w:tr w:rsidR="00BD4972" w:rsidRPr="000A077F" w14:paraId="049DF665" w14:textId="77777777" w:rsidTr="00316347">
        <w:trPr>
          <w:tblHeader/>
        </w:trPr>
        <w:tc>
          <w:tcPr>
            <w:tcW w:w="3140" w:type="dxa"/>
            <w:tcBorders>
              <w:top w:val="nil"/>
              <w:bottom w:val="single" w:sz="4" w:space="0" w:color="auto"/>
            </w:tcBorders>
            <w:shd w:val="clear" w:color="auto" w:fill="auto"/>
            <w:vAlign w:val="center"/>
            <w:hideMark/>
          </w:tcPr>
          <w:p w14:paraId="1DED3E14" w14:textId="77777777" w:rsidR="00BD4972" w:rsidRPr="009C5EFC" w:rsidRDefault="00BD4972" w:rsidP="009C5EFC">
            <w:pPr>
              <w:spacing w:before="40" w:after="40"/>
              <w:rPr>
                <w:rFonts w:eastAsia="Times New Roman" w:cs="Times New Roman"/>
                <w:color w:val="000000"/>
                <w:sz w:val="20"/>
                <w:szCs w:val="20"/>
                <w:lang w:val="en-AU" w:eastAsia="en-AU"/>
              </w:rPr>
            </w:pPr>
          </w:p>
        </w:tc>
        <w:tc>
          <w:tcPr>
            <w:tcW w:w="1600" w:type="dxa"/>
            <w:tcBorders>
              <w:top w:val="nil"/>
              <w:bottom w:val="single" w:sz="4" w:space="0" w:color="auto"/>
            </w:tcBorders>
            <w:shd w:val="clear" w:color="auto" w:fill="auto"/>
            <w:vAlign w:val="center"/>
            <w:hideMark/>
          </w:tcPr>
          <w:p w14:paraId="317355F7" w14:textId="77777777" w:rsidR="00BD4972" w:rsidRPr="009C5EFC" w:rsidRDefault="00BD4972" w:rsidP="009C5EFC">
            <w:pPr>
              <w:tabs>
                <w:tab w:val="decimal" w:pos="367"/>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ln_rent</w:t>
            </w:r>
          </w:p>
        </w:tc>
        <w:tc>
          <w:tcPr>
            <w:tcW w:w="1720" w:type="dxa"/>
            <w:tcBorders>
              <w:top w:val="nil"/>
              <w:bottom w:val="single" w:sz="4" w:space="0" w:color="auto"/>
            </w:tcBorders>
            <w:shd w:val="clear" w:color="auto" w:fill="auto"/>
            <w:vAlign w:val="center"/>
            <w:hideMark/>
          </w:tcPr>
          <w:p w14:paraId="30B5B042" w14:textId="77777777" w:rsidR="00BD4972" w:rsidRPr="009C5EFC" w:rsidRDefault="00BD4972" w:rsidP="009C5EFC">
            <w:pPr>
              <w:tabs>
                <w:tab w:val="decimal" w:pos="367"/>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ln_rent</w:t>
            </w:r>
          </w:p>
        </w:tc>
        <w:tc>
          <w:tcPr>
            <w:tcW w:w="1394" w:type="dxa"/>
            <w:tcBorders>
              <w:top w:val="nil"/>
              <w:bottom w:val="single" w:sz="4" w:space="0" w:color="auto"/>
            </w:tcBorders>
            <w:shd w:val="clear" w:color="auto" w:fill="auto"/>
            <w:vAlign w:val="center"/>
            <w:hideMark/>
          </w:tcPr>
          <w:p w14:paraId="4537B16A" w14:textId="77777777" w:rsidR="00BD4972" w:rsidRPr="009C5EFC" w:rsidRDefault="00BD4972" w:rsidP="009C5EFC">
            <w:pPr>
              <w:tabs>
                <w:tab w:val="decimal" w:pos="367"/>
              </w:tabs>
              <w:spacing w:before="40" w:after="40"/>
              <w:jc w:val="left"/>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ln_rent</w:t>
            </w:r>
          </w:p>
        </w:tc>
      </w:tr>
      <w:tr w:rsidR="006F55AC" w:rsidRPr="00A35FD4" w14:paraId="18F5D913" w14:textId="77777777" w:rsidTr="00316347">
        <w:tc>
          <w:tcPr>
            <w:tcW w:w="3140" w:type="dxa"/>
            <w:tcBorders>
              <w:top w:val="single" w:sz="4" w:space="0" w:color="auto"/>
            </w:tcBorders>
            <w:shd w:val="clear" w:color="auto" w:fill="auto"/>
            <w:vAlign w:val="center"/>
            <w:hideMark/>
          </w:tcPr>
          <w:p w14:paraId="3B022DB9" w14:textId="727AD0D9"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0</w:t>
            </w:r>
          </w:p>
        </w:tc>
        <w:tc>
          <w:tcPr>
            <w:tcW w:w="1600" w:type="dxa"/>
            <w:tcBorders>
              <w:top w:val="single" w:sz="4" w:space="0" w:color="auto"/>
            </w:tcBorders>
            <w:shd w:val="clear" w:color="auto" w:fill="auto"/>
            <w:vAlign w:val="center"/>
            <w:hideMark/>
          </w:tcPr>
          <w:p w14:paraId="5DA0F26A" w14:textId="6CAB10B0"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0.0281</w:t>
            </w:r>
            <w:r w:rsidRPr="009C5EFC">
              <w:rPr>
                <w:rFonts w:eastAsia="Times New Roman" w:cs="Times New Roman"/>
                <w:color w:val="000000"/>
                <w:sz w:val="20"/>
                <w:szCs w:val="20"/>
                <w:vertAlign w:val="superscript"/>
                <w:lang w:val="en-AU" w:eastAsia="en-AU"/>
              </w:rPr>
              <w:t>***</w:t>
            </w:r>
          </w:p>
        </w:tc>
        <w:tc>
          <w:tcPr>
            <w:tcW w:w="1720" w:type="dxa"/>
            <w:tcBorders>
              <w:top w:val="single" w:sz="4" w:space="0" w:color="auto"/>
            </w:tcBorders>
            <w:shd w:val="clear" w:color="auto" w:fill="auto"/>
            <w:vAlign w:val="center"/>
            <w:hideMark/>
          </w:tcPr>
          <w:p w14:paraId="0280AF0B"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tcBorders>
              <w:top w:val="single" w:sz="4" w:space="0" w:color="auto"/>
            </w:tcBorders>
            <w:shd w:val="clear" w:color="auto" w:fill="auto"/>
            <w:hideMark/>
          </w:tcPr>
          <w:p w14:paraId="1DC7E701" w14:textId="5BC80A2B"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-0.0210***</w:t>
            </w:r>
          </w:p>
        </w:tc>
      </w:tr>
      <w:tr w:rsidR="006F55AC" w:rsidRPr="00A35FD4" w14:paraId="254FEB12" w14:textId="77777777" w:rsidTr="00316347">
        <w:tc>
          <w:tcPr>
            <w:tcW w:w="3140" w:type="dxa"/>
            <w:shd w:val="clear" w:color="auto" w:fill="auto"/>
            <w:vAlign w:val="center"/>
            <w:hideMark/>
          </w:tcPr>
          <w:p w14:paraId="2A9571DD" w14:textId="79AC1384"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1</w:t>
            </w:r>
          </w:p>
        </w:tc>
        <w:tc>
          <w:tcPr>
            <w:tcW w:w="1600" w:type="dxa"/>
            <w:shd w:val="clear" w:color="auto" w:fill="auto"/>
            <w:vAlign w:val="center"/>
            <w:hideMark/>
          </w:tcPr>
          <w:p w14:paraId="423DFB75" w14:textId="5975983A"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0.0238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EE49EFA"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hideMark/>
          </w:tcPr>
          <w:p w14:paraId="03B3D71B" w14:textId="04E26BF7"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-0.0339***</w:t>
            </w:r>
          </w:p>
        </w:tc>
      </w:tr>
      <w:tr w:rsidR="006F55AC" w:rsidRPr="00A35FD4" w14:paraId="4CAF31A1" w14:textId="77777777" w:rsidTr="00316347">
        <w:tc>
          <w:tcPr>
            <w:tcW w:w="3140" w:type="dxa"/>
            <w:shd w:val="clear" w:color="auto" w:fill="auto"/>
            <w:vAlign w:val="center"/>
            <w:hideMark/>
          </w:tcPr>
          <w:p w14:paraId="05F9D73A" w14:textId="0F5DCADB"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2</w:t>
            </w:r>
          </w:p>
        </w:tc>
        <w:tc>
          <w:tcPr>
            <w:tcW w:w="1600" w:type="dxa"/>
            <w:shd w:val="clear" w:color="auto" w:fill="auto"/>
            <w:vAlign w:val="center"/>
            <w:hideMark/>
          </w:tcPr>
          <w:p w14:paraId="5CC27CB3" w14:textId="1C3BE89C"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0.0106</w:t>
            </w:r>
          </w:p>
        </w:tc>
        <w:tc>
          <w:tcPr>
            <w:tcW w:w="1720" w:type="dxa"/>
            <w:shd w:val="clear" w:color="auto" w:fill="auto"/>
            <w:vAlign w:val="center"/>
            <w:hideMark/>
          </w:tcPr>
          <w:p w14:paraId="2C36B472"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hideMark/>
          </w:tcPr>
          <w:p w14:paraId="49B555F3" w14:textId="2F66F432"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-0.0130*</w:t>
            </w:r>
          </w:p>
        </w:tc>
      </w:tr>
      <w:tr w:rsidR="006F55AC" w:rsidRPr="00A35FD4" w14:paraId="0DDCFF28" w14:textId="77777777" w:rsidTr="00316347">
        <w:tc>
          <w:tcPr>
            <w:tcW w:w="3140" w:type="dxa"/>
            <w:shd w:val="clear" w:color="auto" w:fill="auto"/>
            <w:vAlign w:val="center"/>
            <w:hideMark/>
          </w:tcPr>
          <w:p w14:paraId="780FCBF8" w14:textId="4157733A"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3</w:t>
            </w:r>
          </w:p>
        </w:tc>
        <w:tc>
          <w:tcPr>
            <w:tcW w:w="1600" w:type="dxa"/>
            <w:shd w:val="clear" w:color="auto" w:fill="auto"/>
            <w:vAlign w:val="center"/>
            <w:hideMark/>
          </w:tcPr>
          <w:p w14:paraId="1110EB2C" w14:textId="521D6AFA" w:rsidR="006F55AC" w:rsidRPr="009C5EFC" w:rsidRDefault="006F55AC" w:rsidP="006F55AC">
            <w:pPr>
              <w:tabs>
                <w:tab w:val="decimal" w:pos="439"/>
              </w:tabs>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 xml:space="preserve">     </w:t>
            </w:r>
            <w:r w:rsidRPr="009C5EFC">
              <w:rPr>
                <w:rFonts w:eastAsia="Times New Roman" w:cs="Times New Roman"/>
                <w:color w:val="000000"/>
                <w:sz w:val="20"/>
                <w:szCs w:val="20"/>
                <w:lang w:val="en-AU" w:eastAsia="en-AU"/>
              </w:rPr>
              <w:t>reference</w:t>
            </w:r>
          </w:p>
        </w:tc>
        <w:tc>
          <w:tcPr>
            <w:tcW w:w="1720" w:type="dxa"/>
            <w:shd w:val="clear" w:color="auto" w:fill="auto"/>
            <w:vAlign w:val="center"/>
            <w:hideMark/>
          </w:tcPr>
          <w:p w14:paraId="511AB70C"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08ED2CD1" w14:textId="7D3C3B87"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 xml:space="preserve">     </w:t>
            </w:r>
            <w:r w:rsidRPr="009C5EFC">
              <w:rPr>
                <w:rFonts w:eastAsia="Times New Roman" w:cs="Times New Roman"/>
                <w:color w:val="000000"/>
                <w:sz w:val="20"/>
                <w:szCs w:val="20"/>
                <w:lang w:val="en-AU" w:eastAsia="en-AU"/>
              </w:rPr>
              <w:t>reference</w:t>
            </w:r>
          </w:p>
        </w:tc>
      </w:tr>
      <w:tr w:rsidR="006F55AC" w:rsidRPr="00A35FD4" w14:paraId="0D4A7810" w14:textId="77777777" w:rsidTr="00316347">
        <w:tc>
          <w:tcPr>
            <w:tcW w:w="3140" w:type="dxa"/>
            <w:shd w:val="clear" w:color="auto" w:fill="auto"/>
            <w:vAlign w:val="center"/>
            <w:hideMark/>
          </w:tcPr>
          <w:p w14:paraId="723561F8" w14:textId="52EC47A5"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4</w:t>
            </w:r>
          </w:p>
        </w:tc>
        <w:tc>
          <w:tcPr>
            <w:tcW w:w="1600" w:type="dxa"/>
            <w:shd w:val="clear" w:color="auto" w:fill="auto"/>
            <w:vAlign w:val="center"/>
            <w:hideMark/>
          </w:tcPr>
          <w:p w14:paraId="04FC4907"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0.0063</w:t>
            </w:r>
          </w:p>
        </w:tc>
        <w:tc>
          <w:tcPr>
            <w:tcW w:w="1720" w:type="dxa"/>
            <w:shd w:val="clear" w:color="auto" w:fill="auto"/>
            <w:vAlign w:val="center"/>
            <w:hideMark/>
          </w:tcPr>
          <w:p w14:paraId="5D8A549A"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1EDC8797" w14:textId="669B52E0"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0.0372***</w:t>
            </w:r>
          </w:p>
        </w:tc>
      </w:tr>
      <w:tr w:rsidR="006F55AC" w:rsidRPr="00A35FD4" w14:paraId="6C174BB6" w14:textId="77777777" w:rsidTr="00316347">
        <w:tc>
          <w:tcPr>
            <w:tcW w:w="3140" w:type="dxa"/>
            <w:shd w:val="clear" w:color="auto" w:fill="auto"/>
            <w:vAlign w:val="center"/>
            <w:hideMark/>
          </w:tcPr>
          <w:p w14:paraId="7CECA6DF" w14:textId="4D855B09"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5</w:t>
            </w:r>
          </w:p>
        </w:tc>
        <w:tc>
          <w:tcPr>
            <w:tcW w:w="1600" w:type="dxa"/>
            <w:shd w:val="clear" w:color="auto" w:fill="auto"/>
            <w:vAlign w:val="center"/>
            <w:hideMark/>
          </w:tcPr>
          <w:p w14:paraId="1DCAA789"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0.0348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0289E341"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7EDFD5BA" w14:textId="4C36C3C7"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0.0765***</w:t>
            </w:r>
          </w:p>
        </w:tc>
      </w:tr>
      <w:tr w:rsidR="006F55AC" w:rsidRPr="00A35FD4" w14:paraId="0F8ED2E1" w14:textId="77777777" w:rsidTr="00316347">
        <w:tc>
          <w:tcPr>
            <w:tcW w:w="3140" w:type="dxa"/>
            <w:shd w:val="clear" w:color="auto" w:fill="auto"/>
            <w:vAlign w:val="center"/>
            <w:hideMark/>
          </w:tcPr>
          <w:p w14:paraId="54C081B9" w14:textId="100236CC"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6</w:t>
            </w:r>
          </w:p>
        </w:tc>
        <w:tc>
          <w:tcPr>
            <w:tcW w:w="1600" w:type="dxa"/>
            <w:shd w:val="clear" w:color="auto" w:fill="auto"/>
            <w:vAlign w:val="center"/>
            <w:hideMark/>
          </w:tcPr>
          <w:p w14:paraId="783D72BE"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0.0361</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867C960"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70A54682" w14:textId="0F6CD3E9"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0.0860***</w:t>
            </w:r>
          </w:p>
        </w:tc>
      </w:tr>
      <w:tr w:rsidR="006F55AC" w:rsidRPr="00A35FD4" w14:paraId="186CAF86" w14:textId="77777777" w:rsidTr="00316347">
        <w:tc>
          <w:tcPr>
            <w:tcW w:w="3140" w:type="dxa"/>
            <w:shd w:val="clear" w:color="auto" w:fill="auto"/>
            <w:vAlign w:val="center"/>
            <w:hideMark/>
          </w:tcPr>
          <w:p w14:paraId="753CB9B5" w14:textId="3FFCF15F"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7</w:t>
            </w:r>
          </w:p>
        </w:tc>
        <w:tc>
          <w:tcPr>
            <w:tcW w:w="1600" w:type="dxa"/>
            <w:shd w:val="clear" w:color="auto" w:fill="auto"/>
            <w:vAlign w:val="center"/>
            <w:hideMark/>
          </w:tcPr>
          <w:p w14:paraId="35AD48E5"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0.0263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3D241A5"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442D4995" w14:textId="6C279DA8"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0.0826***</w:t>
            </w:r>
          </w:p>
        </w:tc>
      </w:tr>
      <w:tr w:rsidR="006F55AC" w:rsidRPr="00A35FD4" w14:paraId="679BBEE6" w14:textId="77777777" w:rsidTr="00316347">
        <w:tc>
          <w:tcPr>
            <w:tcW w:w="3140" w:type="dxa"/>
            <w:shd w:val="clear" w:color="auto" w:fill="auto"/>
            <w:vAlign w:val="center"/>
            <w:hideMark/>
          </w:tcPr>
          <w:p w14:paraId="1C966BB8" w14:textId="65C4AB5E" w:rsidR="006F55AC" w:rsidRPr="009C5EFC" w:rsidRDefault="006F55AC" w:rsidP="006F55AC">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Star Rating 8, 9 &amp;10</w:t>
            </w:r>
          </w:p>
        </w:tc>
        <w:tc>
          <w:tcPr>
            <w:tcW w:w="1600" w:type="dxa"/>
            <w:shd w:val="clear" w:color="auto" w:fill="auto"/>
            <w:vAlign w:val="center"/>
            <w:hideMark/>
          </w:tcPr>
          <w:p w14:paraId="51AF229F"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0.0349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6D0111E" w14:textId="77777777" w:rsidR="006F55AC" w:rsidRPr="009C5EFC" w:rsidRDefault="006F55AC" w:rsidP="006F55AC">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tcPr>
          <w:p w14:paraId="372D8032" w14:textId="6FD92B37" w:rsidR="006F55AC" w:rsidRPr="00A35FD4" w:rsidRDefault="006F55AC" w:rsidP="006F55AC">
            <w:pPr>
              <w:tabs>
                <w:tab w:val="decimal" w:pos="367"/>
              </w:tabs>
              <w:spacing w:before="40" w:after="40"/>
              <w:rPr>
                <w:rFonts w:eastAsia="Times New Roman" w:cs="Times New Roman"/>
                <w:color w:val="000000"/>
                <w:sz w:val="20"/>
                <w:szCs w:val="20"/>
                <w:lang w:val="en-AU" w:eastAsia="en-AU"/>
              </w:rPr>
            </w:pPr>
            <w:r w:rsidRPr="006F55AC">
              <w:rPr>
                <w:rFonts w:eastAsia="Times New Roman" w:cs="Times New Roman"/>
                <w:color w:val="000000"/>
                <w:sz w:val="20"/>
                <w:szCs w:val="20"/>
                <w:lang w:val="en-AU" w:eastAsia="en-AU"/>
              </w:rPr>
              <w:t>0.0931***</w:t>
            </w:r>
          </w:p>
        </w:tc>
      </w:tr>
      <w:tr w:rsidR="00A35FD4" w:rsidRPr="000819E8" w14:paraId="0F201C47" w14:textId="77777777" w:rsidTr="00316347">
        <w:tc>
          <w:tcPr>
            <w:tcW w:w="3140" w:type="dxa"/>
            <w:shd w:val="clear" w:color="auto" w:fill="auto"/>
            <w:vAlign w:val="center"/>
            <w:hideMark/>
          </w:tcPr>
          <w:p w14:paraId="5CF77B5C"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EER not disclosed</w:t>
            </w:r>
          </w:p>
        </w:tc>
        <w:tc>
          <w:tcPr>
            <w:tcW w:w="1600" w:type="dxa"/>
            <w:shd w:val="clear" w:color="auto" w:fill="auto"/>
            <w:vAlign w:val="center"/>
            <w:hideMark/>
          </w:tcPr>
          <w:p w14:paraId="1D44514A" w14:textId="44EF1788"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0.0113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0EF47B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394" w:type="dxa"/>
            <w:shd w:val="clear" w:color="auto" w:fill="auto"/>
            <w:hideMark/>
          </w:tcPr>
          <w:p w14:paraId="569E39E6" w14:textId="4C133098" w:rsidR="00A35FD4" w:rsidRPr="000819E8" w:rsidRDefault="000819E8" w:rsidP="00A35FD4">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w:t>
            </w:r>
          </w:p>
        </w:tc>
      </w:tr>
      <w:tr w:rsidR="00A35FD4" w:rsidRPr="000819E8" w14:paraId="74FE5D43" w14:textId="77777777" w:rsidTr="00316347">
        <w:tc>
          <w:tcPr>
            <w:tcW w:w="3140" w:type="dxa"/>
            <w:shd w:val="clear" w:color="auto" w:fill="auto"/>
            <w:vAlign w:val="center"/>
            <w:hideMark/>
          </w:tcPr>
          <w:p w14:paraId="5DE97C99"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Solar Photo Voltaics</w:t>
            </w:r>
          </w:p>
        </w:tc>
        <w:tc>
          <w:tcPr>
            <w:tcW w:w="1600" w:type="dxa"/>
            <w:shd w:val="clear" w:color="auto" w:fill="auto"/>
            <w:vAlign w:val="center"/>
            <w:hideMark/>
          </w:tcPr>
          <w:p w14:paraId="615DEB3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0.0483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B16BEC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0.0510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2A1D1E6" w14:textId="15CADFD3" w:rsidR="00A35FD4" w:rsidRPr="009C5EFC" w:rsidRDefault="000819E8" w:rsidP="00A35FD4">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0.0544*</w:t>
            </w:r>
          </w:p>
        </w:tc>
      </w:tr>
      <w:tr w:rsidR="00A35FD4" w:rsidRPr="000819E8" w14:paraId="7B60325D" w14:textId="77777777" w:rsidTr="00316347">
        <w:tc>
          <w:tcPr>
            <w:tcW w:w="3140" w:type="dxa"/>
            <w:shd w:val="clear" w:color="auto" w:fill="auto"/>
            <w:vAlign w:val="center"/>
            <w:hideMark/>
          </w:tcPr>
          <w:p w14:paraId="5D4CC514" w14:textId="2110E5A9"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Solar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 xml:space="preserve">ot </w:t>
            </w:r>
            <w:r>
              <w:rPr>
                <w:rFonts w:eastAsia="Times New Roman" w:cs="Times New Roman"/>
                <w:color w:val="000000"/>
                <w:sz w:val="20"/>
                <w:szCs w:val="20"/>
                <w:lang w:val="en-AU" w:eastAsia="en-AU"/>
              </w:rPr>
              <w:t>W</w:t>
            </w:r>
            <w:r w:rsidRPr="009C5EFC">
              <w:rPr>
                <w:rFonts w:eastAsia="Times New Roman" w:cs="Times New Roman"/>
                <w:color w:val="000000"/>
                <w:sz w:val="20"/>
                <w:szCs w:val="20"/>
                <w:lang w:val="en-AU" w:eastAsia="en-AU"/>
              </w:rPr>
              <w:t xml:space="preserve">ater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ystem</w:t>
            </w:r>
          </w:p>
        </w:tc>
        <w:tc>
          <w:tcPr>
            <w:tcW w:w="1600" w:type="dxa"/>
            <w:shd w:val="clear" w:color="auto" w:fill="auto"/>
            <w:vAlign w:val="center"/>
            <w:hideMark/>
          </w:tcPr>
          <w:p w14:paraId="6531864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0.0107</w:t>
            </w:r>
          </w:p>
        </w:tc>
        <w:tc>
          <w:tcPr>
            <w:tcW w:w="1720" w:type="dxa"/>
            <w:shd w:val="clear" w:color="auto" w:fill="auto"/>
            <w:vAlign w:val="center"/>
            <w:hideMark/>
          </w:tcPr>
          <w:p w14:paraId="37F92ED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0.0112</w:t>
            </w:r>
          </w:p>
        </w:tc>
        <w:tc>
          <w:tcPr>
            <w:tcW w:w="1394" w:type="dxa"/>
            <w:shd w:val="clear" w:color="auto" w:fill="auto"/>
            <w:vAlign w:val="center"/>
            <w:hideMark/>
          </w:tcPr>
          <w:p w14:paraId="6D8751F6" w14:textId="118B3078" w:rsidR="00A35FD4" w:rsidRPr="009C5EFC" w:rsidRDefault="000819E8" w:rsidP="00A35FD4">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0.0353**</w:t>
            </w:r>
          </w:p>
        </w:tc>
      </w:tr>
      <w:tr w:rsidR="000819E8" w:rsidRPr="000819E8" w14:paraId="37C61B98" w14:textId="77777777" w:rsidTr="00E0317B">
        <w:tc>
          <w:tcPr>
            <w:tcW w:w="3140" w:type="dxa"/>
            <w:shd w:val="clear" w:color="auto" w:fill="auto"/>
            <w:vAlign w:val="center"/>
            <w:hideMark/>
          </w:tcPr>
          <w:p w14:paraId="34791E7C" w14:textId="77777777"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Central Heating</w:t>
            </w:r>
          </w:p>
        </w:tc>
        <w:tc>
          <w:tcPr>
            <w:tcW w:w="1600" w:type="dxa"/>
            <w:shd w:val="clear" w:color="auto" w:fill="auto"/>
            <w:vAlign w:val="center"/>
            <w:hideMark/>
          </w:tcPr>
          <w:p w14:paraId="259348E6"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0.0170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E606ED5"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0.0189</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74889B98" w14:textId="01C43895"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0.0274***</w:t>
            </w:r>
          </w:p>
        </w:tc>
      </w:tr>
      <w:tr w:rsidR="000819E8" w:rsidRPr="000819E8" w14:paraId="2530EF68" w14:textId="77777777" w:rsidTr="00E0317B">
        <w:tc>
          <w:tcPr>
            <w:tcW w:w="3140" w:type="dxa"/>
            <w:shd w:val="clear" w:color="auto" w:fill="auto"/>
            <w:vAlign w:val="center"/>
            <w:hideMark/>
          </w:tcPr>
          <w:p w14:paraId="461D55FC" w14:textId="77777777"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Gas Heating</w:t>
            </w:r>
          </w:p>
        </w:tc>
        <w:tc>
          <w:tcPr>
            <w:tcW w:w="1600" w:type="dxa"/>
            <w:shd w:val="clear" w:color="auto" w:fill="auto"/>
            <w:vAlign w:val="center"/>
            <w:hideMark/>
          </w:tcPr>
          <w:p w14:paraId="6E786E20" w14:textId="20473E51"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0.00843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D25A9B4" w14:textId="682E6C8F"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0.00854</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48EC1D68" w14:textId="5FBB4EAB"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-0.0160***</w:t>
            </w:r>
          </w:p>
        </w:tc>
      </w:tr>
      <w:tr w:rsidR="000819E8" w:rsidRPr="000819E8" w14:paraId="5436BEB6" w14:textId="77777777" w:rsidTr="00E0317B">
        <w:tc>
          <w:tcPr>
            <w:tcW w:w="3140" w:type="dxa"/>
            <w:shd w:val="clear" w:color="auto" w:fill="auto"/>
            <w:vAlign w:val="center"/>
            <w:hideMark/>
          </w:tcPr>
          <w:p w14:paraId="615D2D57" w14:textId="5807A08F"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Slab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4EA14429"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0.0853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BC0C5C5"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0.0873</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4D6FC71F" w14:textId="2FC5EC36"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0.121***</w:t>
            </w:r>
          </w:p>
        </w:tc>
      </w:tr>
      <w:tr w:rsidR="000819E8" w:rsidRPr="000819E8" w14:paraId="0B746D4D" w14:textId="77777777" w:rsidTr="00E0317B">
        <w:tc>
          <w:tcPr>
            <w:tcW w:w="3140" w:type="dxa"/>
            <w:shd w:val="clear" w:color="auto" w:fill="auto"/>
            <w:vAlign w:val="center"/>
            <w:hideMark/>
          </w:tcPr>
          <w:p w14:paraId="533F2CC6" w14:textId="77777777"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Reverse Cycle Heating</w:t>
            </w:r>
          </w:p>
        </w:tc>
        <w:tc>
          <w:tcPr>
            <w:tcW w:w="1600" w:type="dxa"/>
            <w:shd w:val="clear" w:color="auto" w:fill="auto"/>
            <w:vAlign w:val="center"/>
            <w:hideMark/>
          </w:tcPr>
          <w:p w14:paraId="39A58DE8"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0.0134</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F41DF4A"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0.0239</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3D1FE3D6" w14:textId="5703A849"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0.0774***</w:t>
            </w:r>
          </w:p>
        </w:tc>
      </w:tr>
      <w:tr w:rsidR="000819E8" w:rsidRPr="000819E8" w14:paraId="37E60491" w14:textId="77777777" w:rsidTr="00E0317B">
        <w:tc>
          <w:tcPr>
            <w:tcW w:w="3140" w:type="dxa"/>
            <w:shd w:val="clear" w:color="auto" w:fill="auto"/>
            <w:vAlign w:val="center"/>
            <w:hideMark/>
          </w:tcPr>
          <w:p w14:paraId="0C91CD50" w14:textId="37A77C65"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Wood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eater</w:t>
            </w:r>
          </w:p>
        </w:tc>
        <w:tc>
          <w:tcPr>
            <w:tcW w:w="1600" w:type="dxa"/>
            <w:shd w:val="clear" w:color="auto" w:fill="auto"/>
            <w:vAlign w:val="center"/>
            <w:hideMark/>
          </w:tcPr>
          <w:p w14:paraId="507E1B3A"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0.0606</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0E75D82"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0.0597</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16FB0B1D" w14:textId="425BDC19"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0.117***</w:t>
            </w:r>
          </w:p>
        </w:tc>
      </w:tr>
      <w:tr w:rsidR="000819E8" w:rsidRPr="000819E8" w14:paraId="7A19E0D3" w14:textId="77777777" w:rsidTr="00E0317B">
        <w:tc>
          <w:tcPr>
            <w:tcW w:w="3140" w:type="dxa"/>
            <w:shd w:val="clear" w:color="auto" w:fill="auto"/>
            <w:vAlign w:val="center"/>
            <w:hideMark/>
          </w:tcPr>
          <w:p w14:paraId="0E4A0EE3" w14:textId="773EEC68"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Gas </w:t>
            </w:r>
            <w:r>
              <w:rPr>
                <w:rFonts w:eastAsia="Times New Roman" w:cs="Times New Roman"/>
                <w:color w:val="000000"/>
                <w:sz w:val="20"/>
                <w:szCs w:val="20"/>
                <w:lang w:val="en-AU" w:eastAsia="en-AU"/>
              </w:rPr>
              <w:t>C</w:t>
            </w:r>
            <w:r w:rsidRPr="009C5EFC">
              <w:rPr>
                <w:rFonts w:eastAsia="Times New Roman" w:cs="Times New Roman"/>
                <w:color w:val="000000"/>
                <w:sz w:val="20"/>
                <w:szCs w:val="20"/>
                <w:lang w:val="en-AU" w:eastAsia="en-AU"/>
              </w:rPr>
              <w:t xml:space="preserve">entral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4A29D6A2"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0.0147</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21BD939"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0.0147</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4169276A" w14:textId="59179448"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0.00244</w:t>
            </w:r>
          </w:p>
        </w:tc>
      </w:tr>
      <w:tr w:rsidR="000819E8" w:rsidRPr="000819E8" w14:paraId="2D4611BE" w14:textId="77777777" w:rsidTr="00E0317B">
        <w:tc>
          <w:tcPr>
            <w:tcW w:w="3140" w:type="dxa"/>
            <w:shd w:val="clear" w:color="auto" w:fill="auto"/>
            <w:vAlign w:val="center"/>
            <w:hideMark/>
          </w:tcPr>
          <w:p w14:paraId="4DD2FE41" w14:textId="44003A4E"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Electric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3270EA57" w14:textId="57C9AB29"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0.0428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0DAE692" w14:textId="6EB8222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0.0431</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58CC3625" w14:textId="4A14B965"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-0.0646***</w:t>
            </w:r>
          </w:p>
        </w:tc>
      </w:tr>
      <w:tr w:rsidR="000819E8" w:rsidRPr="000819E8" w14:paraId="262B2389" w14:textId="77777777" w:rsidTr="00E0317B">
        <w:tc>
          <w:tcPr>
            <w:tcW w:w="3140" w:type="dxa"/>
            <w:shd w:val="clear" w:color="auto" w:fill="auto"/>
            <w:vAlign w:val="center"/>
            <w:hideMark/>
          </w:tcPr>
          <w:p w14:paraId="742379DE" w14:textId="29031F57"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Heating </w:t>
            </w:r>
            <w:r>
              <w:rPr>
                <w:rFonts w:eastAsia="Times New Roman" w:cs="Times New Roman"/>
                <w:color w:val="000000"/>
                <w:sz w:val="20"/>
                <w:szCs w:val="20"/>
                <w:lang w:val="en-AU" w:eastAsia="en-AU"/>
              </w:rPr>
              <w:t>O</w:t>
            </w:r>
            <w:r w:rsidRPr="009C5EFC">
              <w:rPr>
                <w:rFonts w:eastAsia="Times New Roman" w:cs="Times New Roman"/>
                <w:color w:val="000000"/>
                <w:sz w:val="20"/>
                <w:szCs w:val="20"/>
                <w:lang w:val="en-AU" w:eastAsia="en-AU"/>
              </w:rPr>
              <w:t>ther</w:t>
            </w:r>
          </w:p>
        </w:tc>
        <w:tc>
          <w:tcPr>
            <w:tcW w:w="1600" w:type="dxa"/>
            <w:shd w:val="clear" w:color="auto" w:fill="auto"/>
            <w:vAlign w:val="center"/>
            <w:hideMark/>
          </w:tcPr>
          <w:p w14:paraId="10071D4E" w14:textId="77D6191B"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0.0144</w:t>
            </w:r>
          </w:p>
        </w:tc>
        <w:tc>
          <w:tcPr>
            <w:tcW w:w="1720" w:type="dxa"/>
            <w:shd w:val="clear" w:color="auto" w:fill="auto"/>
            <w:vAlign w:val="center"/>
            <w:hideMark/>
          </w:tcPr>
          <w:p w14:paraId="7BFC0349" w14:textId="6B8E0C1B"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0.0156</w:t>
            </w:r>
          </w:p>
        </w:tc>
        <w:tc>
          <w:tcPr>
            <w:tcW w:w="1394" w:type="dxa"/>
            <w:shd w:val="clear" w:color="auto" w:fill="auto"/>
            <w:hideMark/>
          </w:tcPr>
          <w:p w14:paraId="0E171271" w14:textId="186E8D03"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-0.163**</w:t>
            </w:r>
          </w:p>
        </w:tc>
      </w:tr>
      <w:tr w:rsidR="000819E8" w:rsidRPr="000819E8" w14:paraId="02D9F537" w14:textId="77777777" w:rsidTr="00E0317B">
        <w:tc>
          <w:tcPr>
            <w:tcW w:w="3140" w:type="dxa"/>
            <w:shd w:val="clear" w:color="auto" w:fill="auto"/>
            <w:vAlign w:val="center"/>
            <w:hideMark/>
          </w:tcPr>
          <w:p w14:paraId="5FFF183B" w14:textId="77777777"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AC Evaporative Cooling</w:t>
            </w:r>
          </w:p>
        </w:tc>
        <w:tc>
          <w:tcPr>
            <w:tcW w:w="1600" w:type="dxa"/>
            <w:shd w:val="clear" w:color="auto" w:fill="auto"/>
            <w:vAlign w:val="center"/>
            <w:hideMark/>
          </w:tcPr>
          <w:p w14:paraId="58518AFD"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0.0368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B4DF9E8"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0.0379</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097905A3" w14:textId="3C4CD2E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0.0585***</w:t>
            </w:r>
          </w:p>
        </w:tc>
      </w:tr>
      <w:tr w:rsidR="000819E8" w:rsidRPr="000819E8" w14:paraId="3D6A6C42" w14:textId="77777777" w:rsidTr="00E0317B">
        <w:tc>
          <w:tcPr>
            <w:tcW w:w="3140" w:type="dxa"/>
            <w:shd w:val="clear" w:color="auto" w:fill="auto"/>
            <w:vAlign w:val="center"/>
            <w:hideMark/>
          </w:tcPr>
          <w:p w14:paraId="7EA0FEE4" w14:textId="437345D8"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Split</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ystem AC</w:t>
            </w:r>
          </w:p>
        </w:tc>
        <w:tc>
          <w:tcPr>
            <w:tcW w:w="1600" w:type="dxa"/>
            <w:shd w:val="clear" w:color="auto" w:fill="auto"/>
            <w:vAlign w:val="center"/>
            <w:hideMark/>
          </w:tcPr>
          <w:p w14:paraId="015F6EB7"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0.0160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5270CAA"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0.0198</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061DB9B8" w14:textId="5128B372"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0.0443***</w:t>
            </w:r>
          </w:p>
        </w:tc>
      </w:tr>
      <w:tr w:rsidR="000819E8" w:rsidRPr="000819E8" w14:paraId="36F1CFBA" w14:textId="77777777" w:rsidTr="00E0317B">
        <w:tc>
          <w:tcPr>
            <w:tcW w:w="3140" w:type="dxa"/>
            <w:shd w:val="clear" w:color="auto" w:fill="auto"/>
            <w:vAlign w:val="center"/>
            <w:hideMark/>
          </w:tcPr>
          <w:p w14:paraId="36C80475" w14:textId="384B47CF" w:rsidR="000819E8" w:rsidRPr="009C5EFC" w:rsidRDefault="000819E8" w:rsidP="000819E8">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AC </w:t>
            </w:r>
            <w:r>
              <w:rPr>
                <w:rFonts w:eastAsia="Times New Roman" w:cs="Times New Roman"/>
                <w:color w:val="000000"/>
                <w:sz w:val="20"/>
                <w:szCs w:val="20"/>
                <w:lang w:val="en-AU" w:eastAsia="en-AU"/>
              </w:rPr>
              <w:t>O</w:t>
            </w:r>
            <w:r w:rsidRPr="009C5EFC">
              <w:rPr>
                <w:rFonts w:eastAsia="Times New Roman" w:cs="Times New Roman"/>
                <w:color w:val="000000"/>
                <w:sz w:val="20"/>
                <w:szCs w:val="20"/>
                <w:lang w:val="en-AU" w:eastAsia="en-AU"/>
              </w:rPr>
              <w:t>ther</w:t>
            </w:r>
          </w:p>
        </w:tc>
        <w:tc>
          <w:tcPr>
            <w:tcW w:w="1600" w:type="dxa"/>
            <w:shd w:val="clear" w:color="auto" w:fill="auto"/>
            <w:vAlign w:val="center"/>
            <w:hideMark/>
          </w:tcPr>
          <w:p w14:paraId="325FC63C"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0.0193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F44BB73" w14:textId="77777777"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0.0202</w:t>
            </w:r>
            <w:r w:rsidRPr="009C5EFC">
              <w:rPr>
                <w:rFonts w:eastAsia="Times New Roman" w:cs="Times New Roman"/>
                <w:color w:val="000000"/>
                <w:sz w:val="20"/>
                <w:szCs w:val="20"/>
                <w:vertAlign w:val="superscript"/>
                <w:lang w:val="en-AU" w:eastAsia="en-AU"/>
              </w:rPr>
              <w:t>***</w:t>
            </w:r>
          </w:p>
        </w:tc>
        <w:tc>
          <w:tcPr>
            <w:tcW w:w="1394" w:type="dxa"/>
            <w:shd w:val="clear" w:color="auto" w:fill="auto"/>
            <w:hideMark/>
          </w:tcPr>
          <w:p w14:paraId="2AD7E17A" w14:textId="38B9F6AE" w:rsidR="000819E8" w:rsidRPr="009C5EFC" w:rsidRDefault="000819E8" w:rsidP="000819E8">
            <w:pPr>
              <w:tabs>
                <w:tab w:val="decimal" w:pos="367"/>
              </w:tabs>
              <w:spacing w:before="40" w:after="40"/>
              <w:rPr>
                <w:rFonts w:eastAsia="Times New Roman" w:cs="Times New Roman"/>
                <w:color w:val="000000"/>
                <w:sz w:val="20"/>
                <w:szCs w:val="20"/>
                <w:lang w:val="en-AU" w:eastAsia="en-AU"/>
              </w:rPr>
            </w:pPr>
            <w:r w:rsidRPr="000819E8">
              <w:rPr>
                <w:rFonts w:eastAsia="Times New Roman" w:cs="Times New Roman"/>
                <w:color w:val="000000"/>
                <w:sz w:val="20"/>
                <w:szCs w:val="20"/>
                <w:lang w:val="en-AU" w:eastAsia="en-AU"/>
              </w:rPr>
              <w:t>0.0328***</w:t>
            </w:r>
          </w:p>
        </w:tc>
      </w:tr>
      <w:tr w:rsidR="00A35FD4" w:rsidRPr="000A077F" w14:paraId="1E043D21" w14:textId="77777777" w:rsidTr="00316347">
        <w:tc>
          <w:tcPr>
            <w:tcW w:w="3140" w:type="dxa"/>
            <w:shd w:val="clear" w:color="auto" w:fill="auto"/>
            <w:vAlign w:val="center"/>
            <w:hideMark/>
          </w:tcPr>
          <w:p w14:paraId="75BAD434"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Indoor Spa Bath</w:t>
            </w:r>
          </w:p>
        </w:tc>
        <w:tc>
          <w:tcPr>
            <w:tcW w:w="1600" w:type="dxa"/>
            <w:shd w:val="clear" w:color="auto" w:fill="auto"/>
            <w:vAlign w:val="center"/>
            <w:hideMark/>
          </w:tcPr>
          <w:p w14:paraId="1B6BD397" w14:textId="3B0EAFF5"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0.00672</w:t>
            </w:r>
          </w:p>
        </w:tc>
        <w:tc>
          <w:tcPr>
            <w:tcW w:w="1720" w:type="dxa"/>
            <w:shd w:val="clear" w:color="auto" w:fill="auto"/>
            <w:vAlign w:val="center"/>
            <w:hideMark/>
          </w:tcPr>
          <w:p w14:paraId="12A115B6" w14:textId="3D81291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0.00667</w:t>
            </w:r>
          </w:p>
        </w:tc>
        <w:tc>
          <w:tcPr>
            <w:tcW w:w="1394" w:type="dxa"/>
            <w:shd w:val="clear" w:color="auto" w:fill="auto"/>
            <w:vAlign w:val="center"/>
            <w:hideMark/>
          </w:tcPr>
          <w:p w14:paraId="48CA9007" w14:textId="1F121E1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0.0166</w:t>
            </w:r>
          </w:p>
        </w:tc>
      </w:tr>
      <w:tr w:rsidR="00A35FD4" w:rsidRPr="000A077F" w14:paraId="0BC1CB50" w14:textId="77777777" w:rsidTr="00316347">
        <w:tc>
          <w:tcPr>
            <w:tcW w:w="3140" w:type="dxa"/>
            <w:shd w:val="clear" w:color="auto" w:fill="auto"/>
            <w:vAlign w:val="center"/>
            <w:hideMark/>
          </w:tcPr>
          <w:p w14:paraId="23A9D3A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Outdoor Spa</w:t>
            </w:r>
          </w:p>
        </w:tc>
        <w:tc>
          <w:tcPr>
            <w:tcW w:w="1600" w:type="dxa"/>
            <w:shd w:val="clear" w:color="auto" w:fill="auto"/>
            <w:vAlign w:val="center"/>
            <w:hideMark/>
          </w:tcPr>
          <w:p w14:paraId="4528D3F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0.0726</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A590DC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0.0730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571D9E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0.0989</w:t>
            </w:r>
            <w:r w:rsidRPr="009C5EFC">
              <w:rPr>
                <w:rFonts w:eastAsia="Times New Roman" w:cs="Times New Roman"/>
                <w:color w:val="000000"/>
                <w:sz w:val="20"/>
                <w:szCs w:val="20"/>
                <w:vertAlign w:val="superscript"/>
                <w:lang w:val="en-AU" w:eastAsia="en-AU"/>
              </w:rPr>
              <w:t>**</w:t>
            </w:r>
          </w:p>
        </w:tc>
      </w:tr>
      <w:tr w:rsidR="00A35FD4" w:rsidRPr="000A077F" w14:paraId="4C39E996" w14:textId="77777777" w:rsidTr="00316347">
        <w:tc>
          <w:tcPr>
            <w:tcW w:w="3140" w:type="dxa"/>
            <w:shd w:val="clear" w:color="auto" w:fill="auto"/>
            <w:vAlign w:val="center"/>
            <w:hideMark/>
          </w:tcPr>
          <w:p w14:paraId="24A185B8" w14:textId="15191DD1"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Swimming </w:t>
            </w:r>
            <w:r>
              <w:rPr>
                <w:rFonts w:eastAsia="Times New Roman" w:cs="Times New Roman"/>
                <w:color w:val="000000"/>
                <w:sz w:val="20"/>
                <w:szCs w:val="20"/>
                <w:lang w:val="en-AU" w:eastAsia="en-AU"/>
              </w:rPr>
              <w:t>P</w:t>
            </w:r>
            <w:r w:rsidRPr="009C5EFC">
              <w:rPr>
                <w:rFonts w:eastAsia="Times New Roman" w:cs="Times New Roman"/>
                <w:color w:val="000000"/>
                <w:sz w:val="20"/>
                <w:szCs w:val="20"/>
                <w:lang w:val="en-AU" w:eastAsia="en-AU"/>
              </w:rPr>
              <w:t>ool</w:t>
            </w:r>
          </w:p>
        </w:tc>
        <w:tc>
          <w:tcPr>
            <w:tcW w:w="1600" w:type="dxa"/>
            <w:shd w:val="clear" w:color="auto" w:fill="auto"/>
            <w:vAlign w:val="center"/>
            <w:hideMark/>
          </w:tcPr>
          <w:p w14:paraId="6393AC8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0.0413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34E71D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0.0461</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372F55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0.0445</w:t>
            </w:r>
            <w:r w:rsidRPr="009C5EFC">
              <w:rPr>
                <w:rFonts w:eastAsia="Times New Roman" w:cs="Times New Roman"/>
                <w:color w:val="000000"/>
                <w:sz w:val="20"/>
                <w:szCs w:val="20"/>
                <w:vertAlign w:val="superscript"/>
                <w:lang w:val="en-AU" w:eastAsia="en-AU"/>
              </w:rPr>
              <w:t>***</w:t>
            </w:r>
          </w:p>
        </w:tc>
      </w:tr>
      <w:tr w:rsidR="00A35FD4" w:rsidRPr="000A077F" w14:paraId="0DBE27C9" w14:textId="77777777" w:rsidTr="00316347">
        <w:tc>
          <w:tcPr>
            <w:tcW w:w="3140" w:type="dxa"/>
            <w:shd w:val="clear" w:color="auto" w:fill="auto"/>
            <w:vAlign w:val="center"/>
            <w:hideMark/>
          </w:tcPr>
          <w:p w14:paraId="64C2EC11"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Sauna</w:t>
            </w:r>
          </w:p>
        </w:tc>
        <w:tc>
          <w:tcPr>
            <w:tcW w:w="1600" w:type="dxa"/>
            <w:shd w:val="clear" w:color="auto" w:fill="auto"/>
            <w:vAlign w:val="center"/>
            <w:hideMark/>
          </w:tcPr>
          <w:p w14:paraId="24E73A7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0.00381</w:t>
            </w:r>
          </w:p>
        </w:tc>
        <w:tc>
          <w:tcPr>
            <w:tcW w:w="1720" w:type="dxa"/>
            <w:shd w:val="clear" w:color="auto" w:fill="auto"/>
            <w:vAlign w:val="center"/>
            <w:hideMark/>
          </w:tcPr>
          <w:p w14:paraId="55B9DAF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0.00844</w:t>
            </w:r>
          </w:p>
        </w:tc>
        <w:tc>
          <w:tcPr>
            <w:tcW w:w="1394" w:type="dxa"/>
            <w:shd w:val="clear" w:color="auto" w:fill="auto"/>
            <w:vAlign w:val="center"/>
            <w:hideMark/>
          </w:tcPr>
          <w:p w14:paraId="56120E5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0.00496</w:t>
            </w:r>
          </w:p>
        </w:tc>
      </w:tr>
      <w:tr w:rsidR="00A35FD4" w:rsidRPr="000A077F" w14:paraId="7DCB2B07" w14:textId="77777777" w:rsidTr="00316347">
        <w:tc>
          <w:tcPr>
            <w:tcW w:w="3140" w:type="dxa"/>
            <w:shd w:val="clear" w:color="auto" w:fill="auto"/>
            <w:vAlign w:val="center"/>
            <w:hideMark/>
          </w:tcPr>
          <w:p w14:paraId="5308F241"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Bedrooms</w:t>
            </w:r>
          </w:p>
        </w:tc>
        <w:tc>
          <w:tcPr>
            <w:tcW w:w="1600" w:type="dxa"/>
            <w:shd w:val="clear" w:color="auto" w:fill="auto"/>
            <w:vAlign w:val="center"/>
            <w:hideMark/>
          </w:tcPr>
          <w:p w14:paraId="1942963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0.164</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A894CF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0.163</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705B68A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0.173</w:t>
            </w:r>
            <w:r w:rsidRPr="009C5EFC">
              <w:rPr>
                <w:rFonts w:eastAsia="Times New Roman" w:cs="Times New Roman"/>
                <w:color w:val="000000"/>
                <w:sz w:val="20"/>
                <w:szCs w:val="20"/>
                <w:vertAlign w:val="superscript"/>
                <w:lang w:val="en-AU" w:eastAsia="en-AU"/>
              </w:rPr>
              <w:t>***</w:t>
            </w:r>
          </w:p>
        </w:tc>
      </w:tr>
      <w:tr w:rsidR="00A35FD4" w:rsidRPr="000A077F" w14:paraId="502445D6" w14:textId="77777777" w:rsidTr="00316347">
        <w:tc>
          <w:tcPr>
            <w:tcW w:w="3140" w:type="dxa"/>
            <w:shd w:val="clear" w:color="auto" w:fill="auto"/>
            <w:vAlign w:val="center"/>
            <w:hideMark/>
          </w:tcPr>
          <w:p w14:paraId="763EB3AF" w14:textId="639DA2C8" w:rsidR="00A35FD4" w:rsidRPr="009C5EFC" w:rsidRDefault="001C2010"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 xml:space="preserve">ln </w:t>
            </w:r>
            <w:r w:rsidR="00A35FD4" w:rsidRPr="009C5EFC">
              <w:rPr>
                <w:rFonts w:eastAsia="Times New Roman" w:cs="Times New Roman"/>
                <w:color w:val="000000"/>
                <w:sz w:val="20"/>
                <w:szCs w:val="20"/>
                <w:lang w:val="en-AU" w:eastAsia="en-AU"/>
              </w:rPr>
              <w:t>Time</w:t>
            </w:r>
            <w:r>
              <w:rPr>
                <w:rFonts w:eastAsia="Times New Roman" w:cs="Times New Roman"/>
                <w:color w:val="000000"/>
                <w:sz w:val="20"/>
                <w:szCs w:val="20"/>
                <w:lang w:val="en-AU" w:eastAsia="en-AU"/>
              </w:rPr>
              <w:t xml:space="preserve"> </w:t>
            </w:r>
            <w:r w:rsidR="00A35FD4" w:rsidRPr="009C5EFC">
              <w:rPr>
                <w:rFonts w:eastAsia="Times New Roman" w:cs="Times New Roman"/>
                <w:color w:val="000000"/>
                <w:sz w:val="20"/>
                <w:szCs w:val="20"/>
                <w:lang w:val="en-AU" w:eastAsia="en-AU"/>
              </w:rPr>
              <w:t>on</w:t>
            </w:r>
            <w:r>
              <w:rPr>
                <w:rFonts w:eastAsia="Times New Roman" w:cs="Times New Roman"/>
                <w:color w:val="000000"/>
                <w:sz w:val="20"/>
                <w:szCs w:val="20"/>
                <w:lang w:val="en-AU" w:eastAsia="en-AU"/>
              </w:rPr>
              <w:t xml:space="preserve"> </w:t>
            </w:r>
            <w:r w:rsidR="00A35FD4" w:rsidRPr="009C5EFC">
              <w:rPr>
                <w:rFonts w:eastAsia="Times New Roman" w:cs="Times New Roman"/>
                <w:color w:val="000000"/>
                <w:sz w:val="20"/>
                <w:szCs w:val="20"/>
                <w:lang w:val="en-AU" w:eastAsia="en-AU"/>
              </w:rPr>
              <w:t>market</w:t>
            </w:r>
          </w:p>
        </w:tc>
        <w:tc>
          <w:tcPr>
            <w:tcW w:w="1600" w:type="dxa"/>
            <w:shd w:val="clear" w:color="auto" w:fill="auto"/>
            <w:vAlign w:val="center"/>
            <w:hideMark/>
          </w:tcPr>
          <w:p w14:paraId="5E80426C" w14:textId="7F999D02"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0.00215</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79812131" w14:textId="43295DDF"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0.00242</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9E34D95" w14:textId="7B8DCC31" w:rsidR="00A35FD4" w:rsidRPr="009C5EFC" w:rsidRDefault="001C2010" w:rsidP="001C2010">
            <w:pPr>
              <w:tabs>
                <w:tab w:val="decimal" w:pos="367"/>
              </w:tabs>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0.00332*</w:t>
            </w:r>
          </w:p>
        </w:tc>
      </w:tr>
      <w:tr w:rsidR="00A35FD4" w:rsidRPr="000A077F" w14:paraId="1495D60E" w14:textId="77777777" w:rsidTr="00316347">
        <w:tc>
          <w:tcPr>
            <w:tcW w:w="3140" w:type="dxa"/>
            <w:shd w:val="clear" w:color="auto" w:fill="auto"/>
            <w:vAlign w:val="center"/>
            <w:hideMark/>
          </w:tcPr>
          <w:p w14:paraId="1A98147C"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Bathrooms</w:t>
            </w:r>
          </w:p>
        </w:tc>
        <w:tc>
          <w:tcPr>
            <w:tcW w:w="1600" w:type="dxa"/>
            <w:shd w:val="clear" w:color="auto" w:fill="auto"/>
            <w:vAlign w:val="center"/>
            <w:hideMark/>
          </w:tcPr>
          <w:p w14:paraId="5756A88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0.0633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28CD1F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0.0634</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F60833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0.0870</w:t>
            </w:r>
            <w:r w:rsidRPr="009C5EFC">
              <w:rPr>
                <w:rFonts w:eastAsia="Times New Roman" w:cs="Times New Roman"/>
                <w:color w:val="000000"/>
                <w:sz w:val="20"/>
                <w:szCs w:val="20"/>
                <w:vertAlign w:val="superscript"/>
                <w:lang w:val="en-AU" w:eastAsia="en-AU"/>
              </w:rPr>
              <w:t>***</w:t>
            </w:r>
          </w:p>
        </w:tc>
      </w:tr>
      <w:tr w:rsidR="00A35FD4" w:rsidRPr="000A077F" w14:paraId="0E57ED17" w14:textId="77777777" w:rsidTr="00316347">
        <w:tc>
          <w:tcPr>
            <w:tcW w:w="3140" w:type="dxa"/>
            <w:shd w:val="clear" w:color="auto" w:fill="auto"/>
            <w:vAlign w:val="center"/>
            <w:hideMark/>
          </w:tcPr>
          <w:p w14:paraId="5341961A"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Garden</w:t>
            </w:r>
          </w:p>
        </w:tc>
        <w:tc>
          <w:tcPr>
            <w:tcW w:w="1600" w:type="dxa"/>
            <w:shd w:val="clear" w:color="auto" w:fill="auto"/>
            <w:vAlign w:val="center"/>
            <w:hideMark/>
          </w:tcPr>
          <w:p w14:paraId="1628341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0.0265</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F625B1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0.0266</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B4DAFA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0.0310</w:t>
            </w:r>
            <w:r w:rsidRPr="009C5EFC">
              <w:rPr>
                <w:rFonts w:eastAsia="Times New Roman" w:cs="Times New Roman"/>
                <w:color w:val="000000"/>
                <w:sz w:val="20"/>
                <w:szCs w:val="20"/>
                <w:vertAlign w:val="superscript"/>
                <w:lang w:val="en-AU" w:eastAsia="en-AU"/>
              </w:rPr>
              <w:t>***</w:t>
            </w:r>
          </w:p>
        </w:tc>
      </w:tr>
      <w:tr w:rsidR="00A35FD4" w:rsidRPr="000A077F" w14:paraId="41CD7E34" w14:textId="77777777" w:rsidTr="00316347">
        <w:tc>
          <w:tcPr>
            <w:tcW w:w="3140" w:type="dxa"/>
            <w:shd w:val="clear" w:color="auto" w:fill="auto"/>
            <w:vAlign w:val="center"/>
            <w:hideMark/>
          </w:tcPr>
          <w:p w14:paraId="5E2F3BE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Garage</w:t>
            </w:r>
          </w:p>
        </w:tc>
        <w:tc>
          <w:tcPr>
            <w:tcW w:w="1600" w:type="dxa"/>
            <w:shd w:val="clear" w:color="auto" w:fill="auto"/>
            <w:vAlign w:val="center"/>
            <w:hideMark/>
          </w:tcPr>
          <w:p w14:paraId="551A281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0.0362</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781016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0.0376</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B1EA5D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0.0223</w:t>
            </w:r>
            <w:r w:rsidRPr="009C5EFC">
              <w:rPr>
                <w:rFonts w:eastAsia="Times New Roman" w:cs="Times New Roman"/>
                <w:color w:val="000000"/>
                <w:sz w:val="20"/>
                <w:szCs w:val="20"/>
                <w:vertAlign w:val="superscript"/>
                <w:lang w:val="en-AU" w:eastAsia="en-AU"/>
              </w:rPr>
              <w:t>***</w:t>
            </w:r>
          </w:p>
        </w:tc>
      </w:tr>
      <w:tr w:rsidR="00A35FD4" w:rsidRPr="000A077F" w14:paraId="01E95425" w14:textId="77777777" w:rsidTr="00316347">
        <w:tc>
          <w:tcPr>
            <w:tcW w:w="3140" w:type="dxa"/>
            <w:shd w:val="clear" w:color="auto" w:fill="auto"/>
            <w:vAlign w:val="center"/>
            <w:hideMark/>
          </w:tcPr>
          <w:p w14:paraId="036F5AD9"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Carport</w:t>
            </w:r>
          </w:p>
        </w:tc>
        <w:tc>
          <w:tcPr>
            <w:tcW w:w="1600" w:type="dxa"/>
            <w:shd w:val="clear" w:color="auto" w:fill="auto"/>
            <w:vAlign w:val="center"/>
            <w:hideMark/>
          </w:tcPr>
          <w:p w14:paraId="61FCF50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0.00535</w:t>
            </w:r>
          </w:p>
        </w:tc>
        <w:tc>
          <w:tcPr>
            <w:tcW w:w="1720" w:type="dxa"/>
            <w:shd w:val="clear" w:color="auto" w:fill="auto"/>
            <w:vAlign w:val="center"/>
            <w:hideMark/>
          </w:tcPr>
          <w:p w14:paraId="4050B7E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0.00878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73AAFE43" w14:textId="25030F80"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0.00709</w:t>
            </w:r>
          </w:p>
        </w:tc>
      </w:tr>
      <w:tr w:rsidR="00A35FD4" w:rsidRPr="000A077F" w14:paraId="498062E4" w14:textId="77777777" w:rsidTr="00316347">
        <w:tc>
          <w:tcPr>
            <w:tcW w:w="3140" w:type="dxa"/>
            <w:shd w:val="clear" w:color="auto" w:fill="auto"/>
            <w:vAlign w:val="center"/>
            <w:hideMark/>
          </w:tcPr>
          <w:p w14:paraId="6F4DB008" w14:textId="382778A2"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Allocated </w:t>
            </w:r>
            <w:r>
              <w:rPr>
                <w:rFonts w:eastAsia="Times New Roman" w:cs="Times New Roman"/>
                <w:color w:val="000000"/>
                <w:sz w:val="20"/>
                <w:szCs w:val="20"/>
                <w:lang w:val="en-AU" w:eastAsia="en-AU"/>
              </w:rPr>
              <w:t>C</w:t>
            </w:r>
            <w:r w:rsidRPr="009C5EFC">
              <w:rPr>
                <w:rFonts w:eastAsia="Times New Roman" w:cs="Times New Roman"/>
                <w:color w:val="000000"/>
                <w:sz w:val="20"/>
                <w:szCs w:val="20"/>
                <w:lang w:val="en-AU" w:eastAsia="en-AU"/>
              </w:rPr>
              <w:t xml:space="preserve">ar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paces</w:t>
            </w:r>
          </w:p>
        </w:tc>
        <w:tc>
          <w:tcPr>
            <w:tcW w:w="1600" w:type="dxa"/>
            <w:shd w:val="clear" w:color="auto" w:fill="auto"/>
            <w:vAlign w:val="center"/>
            <w:hideMark/>
          </w:tcPr>
          <w:p w14:paraId="126723A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0.0152</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9CEF10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0.0160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3301074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0.000201</w:t>
            </w:r>
          </w:p>
        </w:tc>
      </w:tr>
      <w:tr w:rsidR="00A35FD4" w:rsidRPr="000A077F" w14:paraId="18A9CDF0" w14:textId="77777777" w:rsidTr="00316347">
        <w:tc>
          <w:tcPr>
            <w:tcW w:w="3140" w:type="dxa"/>
            <w:shd w:val="clear" w:color="auto" w:fill="auto"/>
            <w:vAlign w:val="center"/>
            <w:hideMark/>
          </w:tcPr>
          <w:p w14:paraId="5D5E9E97"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Courtyard</w:t>
            </w:r>
          </w:p>
        </w:tc>
        <w:tc>
          <w:tcPr>
            <w:tcW w:w="1600" w:type="dxa"/>
            <w:shd w:val="clear" w:color="auto" w:fill="auto"/>
            <w:vAlign w:val="center"/>
            <w:hideMark/>
          </w:tcPr>
          <w:p w14:paraId="11F6F7E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0.0103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A91F63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0.0113</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CA09CBC" w14:textId="5D4BB552"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0.000256</w:t>
            </w:r>
          </w:p>
        </w:tc>
      </w:tr>
      <w:tr w:rsidR="00A35FD4" w:rsidRPr="000A077F" w14:paraId="344489B3" w14:textId="77777777" w:rsidTr="00316347">
        <w:tc>
          <w:tcPr>
            <w:tcW w:w="3140" w:type="dxa"/>
            <w:shd w:val="clear" w:color="auto" w:fill="auto"/>
            <w:vAlign w:val="center"/>
            <w:hideMark/>
          </w:tcPr>
          <w:p w14:paraId="454E2A6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Furnished</w:t>
            </w:r>
          </w:p>
        </w:tc>
        <w:tc>
          <w:tcPr>
            <w:tcW w:w="1600" w:type="dxa"/>
            <w:shd w:val="clear" w:color="auto" w:fill="auto"/>
            <w:vAlign w:val="center"/>
            <w:hideMark/>
          </w:tcPr>
          <w:p w14:paraId="62BDB6C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0.0379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31A498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0.0372</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4282F02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0.0425</w:t>
            </w:r>
            <w:r w:rsidRPr="009C5EFC">
              <w:rPr>
                <w:rFonts w:eastAsia="Times New Roman" w:cs="Times New Roman"/>
                <w:color w:val="000000"/>
                <w:sz w:val="20"/>
                <w:szCs w:val="20"/>
                <w:vertAlign w:val="superscript"/>
                <w:lang w:val="en-AU" w:eastAsia="en-AU"/>
              </w:rPr>
              <w:t>***</w:t>
            </w:r>
          </w:p>
        </w:tc>
      </w:tr>
      <w:tr w:rsidR="00A35FD4" w:rsidRPr="000A077F" w14:paraId="27869179" w14:textId="77777777" w:rsidTr="00316347">
        <w:tc>
          <w:tcPr>
            <w:tcW w:w="3140" w:type="dxa"/>
            <w:shd w:val="clear" w:color="auto" w:fill="auto"/>
            <w:vAlign w:val="center"/>
            <w:hideMark/>
          </w:tcPr>
          <w:p w14:paraId="446356F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Parking Combined </w:t>
            </w:r>
          </w:p>
        </w:tc>
        <w:tc>
          <w:tcPr>
            <w:tcW w:w="1600" w:type="dxa"/>
            <w:shd w:val="clear" w:color="auto" w:fill="auto"/>
            <w:vAlign w:val="center"/>
            <w:hideMark/>
          </w:tcPr>
          <w:p w14:paraId="320C31C0" w14:textId="3C77E142"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0.00157</w:t>
            </w:r>
          </w:p>
        </w:tc>
        <w:tc>
          <w:tcPr>
            <w:tcW w:w="1720" w:type="dxa"/>
            <w:shd w:val="clear" w:color="auto" w:fill="auto"/>
            <w:vAlign w:val="center"/>
            <w:hideMark/>
          </w:tcPr>
          <w:p w14:paraId="18DD5B6F" w14:textId="5E096BFA"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0.00448</w:t>
            </w:r>
          </w:p>
        </w:tc>
        <w:tc>
          <w:tcPr>
            <w:tcW w:w="1394" w:type="dxa"/>
            <w:shd w:val="clear" w:color="auto" w:fill="auto"/>
            <w:vAlign w:val="center"/>
            <w:hideMark/>
          </w:tcPr>
          <w:p w14:paraId="7F096C2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0.00204</w:t>
            </w:r>
          </w:p>
        </w:tc>
      </w:tr>
      <w:tr w:rsidR="00A35FD4" w:rsidRPr="000A077F" w14:paraId="6AA3D32E" w14:textId="77777777" w:rsidTr="00316347">
        <w:tc>
          <w:tcPr>
            <w:tcW w:w="3140" w:type="dxa"/>
            <w:shd w:val="clear" w:color="auto" w:fill="auto"/>
            <w:vAlign w:val="center"/>
            <w:hideMark/>
          </w:tcPr>
          <w:p w14:paraId="7087941D"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Renovated</w:t>
            </w:r>
          </w:p>
        </w:tc>
        <w:tc>
          <w:tcPr>
            <w:tcW w:w="1600" w:type="dxa"/>
            <w:shd w:val="clear" w:color="auto" w:fill="auto"/>
            <w:vAlign w:val="center"/>
            <w:hideMark/>
          </w:tcPr>
          <w:p w14:paraId="1C4A0F7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0.0172</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040875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0.0143</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6962F5D" w14:textId="2A804F35"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0.00692</w:t>
            </w:r>
          </w:p>
        </w:tc>
      </w:tr>
      <w:tr w:rsidR="00A35FD4" w:rsidRPr="000A077F" w14:paraId="5F8586A8" w14:textId="77777777" w:rsidTr="00316347">
        <w:tc>
          <w:tcPr>
            <w:tcW w:w="3140" w:type="dxa"/>
            <w:shd w:val="clear" w:color="auto" w:fill="auto"/>
            <w:vAlign w:val="center"/>
            <w:hideMark/>
          </w:tcPr>
          <w:p w14:paraId="29E9881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Updated</w:t>
            </w:r>
          </w:p>
        </w:tc>
        <w:tc>
          <w:tcPr>
            <w:tcW w:w="1600" w:type="dxa"/>
            <w:shd w:val="clear" w:color="auto" w:fill="auto"/>
            <w:vAlign w:val="center"/>
            <w:hideMark/>
          </w:tcPr>
          <w:p w14:paraId="7F16C846" w14:textId="176B619F"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0.0184</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80E112E" w14:textId="0D8CE18A"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0.0109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3EB5CCFB" w14:textId="70B51743"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0.0201</w:t>
            </w:r>
            <w:r w:rsidRPr="009C5EFC">
              <w:rPr>
                <w:rFonts w:eastAsia="Times New Roman" w:cs="Times New Roman"/>
                <w:color w:val="000000"/>
                <w:sz w:val="20"/>
                <w:szCs w:val="20"/>
                <w:vertAlign w:val="superscript"/>
                <w:lang w:val="en-AU" w:eastAsia="en-AU"/>
              </w:rPr>
              <w:t>***</w:t>
            </w:r>
          </w:p>
        </w:tc>
      </w:tr>
      <w:tr w:rsidR="00A35FD4" w:rsidRPr="000A077F" w14:paraId="2E2859FF" w14:textId="77777777" w:rsidTr="00316347">
        <w:tc>
          <w:tcPr>
            <w:tcW w:w="3140" w:type="dxa"/>
            <w:shd w:val="clear" w:color="auto" w:fill="auto"/>
            <w:vAlign w:val="center"/>
            <w:hideMark/>
          </w:tcPr>
          <w:p w14:paraId="208BD431"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Refurbished</w:t>
            </w:r>
          </w:p>
        </w:tc>
        <w:tc>
          <w:tcPr>
            <w:tcW w:w="1600" w:type="dxa"/>
            <w:shd w:val="clear" w:color="auto" w:fill="auto"/>
            <w:vAlign w:val="center"/>
            <w:hideMark/>
          </w:tcPr>
          <w:p w14:paraId="2F582AA0" w14:textId="6E4A6504"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0.00415</w:t>
            </w:r>
          </w:p>
        </w:tc>
        <w:tc>
          <w:tcPr>
            <w:tcW w:w="1720" w:type="dxa"/>
            <w:shd w:val="clear" w:color="auto" w:fill="auto"/>
            <w:vAlign w:val="center"/>
            <w:hideMark/>
          </w:tcPr>
          <w:p w14:paraId="64681942" w14:textId="37123813"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0.00292</w:t>
            </w:r>
          </w:p>
        </w:tc>
        <w:tc>
          <w:tcPr>
            <w:tcW w:w="1394" w:type="dxa"/>
            <w:shd w:val="clear" w:color="auto" w:fill="auto"/>
            <w:vAlign w:val="center"/>
            <w:hideMark/>
          </w:tcPr>
          <w:p w14:paraId="089DF0B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0.0161</w:t>
            </w:r>
          </w:p>
        </w:tc>
      </w:tr>
      <w:tr w:rsidR="00A35FD4" w:rsidRPr="000A077F" w14:paraId="2672FAAC" w14:textId="77777777" w:rsidTr="00316347">
        <w:tc>
          <w:tcPr>
            <w:tcW w:w="3140" w:type="dxa"/>
            <w:shd w:val="clear" w:color="auto" w:fill="auto"/>
            <w:vAlign w:val="center"/>
            <w:hideMark/>
          </w:tcPr>
          <w:p w14:paraId="5D116A5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lastRenderedPageBreak/>
              <w:t>Contemporary</w:t>
            </w:r>
          </w:p>
        </w:tc>
        <w:tc>
          <w:tcPr>
            <w:tcW w:w="1600" w:type="dxa"/>
            <w:shd w:val="clear" w:color="auto" w:fill="auto"/>
            <w:vAlign w:val="center"/>
            <w:hideMark/>
          </w:tcPr>
          <w:p w14:paraId="0029A29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0.0499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84F2E8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0.0527</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70B9E42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0.0482</w:t>
            </w:r>
            <w:r w:rsidRPr="009C5EFC">
              <w:rPr>
                <w:rFonts w:eastAsia="Times New Roman" w:cs="Times New Roman"/>
                <w:color w:val="000000"/>
                <w:sz w:val="20"/>
                <w:szCs w:val="20"/>
                <w:vertAlign w:val="superscript"/>
                <w:lang w:val="en-AU" w:eastAsia="en-AU"/>
              </w:rPr>
              <w:t>***</w:t>
            </w:r>
          </w:p>
        </w:tc>
      </w:tr>
      <w:tr w:rsidR="00A35FD4" w:rsidRPr="000A077F" w14:paraId="7D1C6A2E" w14:textId="77777777" w:rsidTr="00316347">
        <w:tc>
          <w:tcPr>
            <w:tcW w:w="3140" w:type="dxa"/>
            <w:shd w:val="clear" w:color="auto" w:fill="auto"/>
            <w:vAlign w:val="center"/>
            <w:hideMark/>
          </w:tcPr>
          <w:p w14:paraId="2407630A" w14:textId="50FE00DA"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Recently </w:t>
            </w:r>
            <w:r>
              <w:rPr>
                <w:rFonts w:eastAsia="Times New Roman" w:cs="Times New Roman"/>
                <w:color w:val="000000"/>
                <w:sz w:val="20"/>
                <w:szCs w:val="20"/>
                <w:lang w:val="en-AU" w:eastAsia="en-AU"/>
              </w:rPr>
              <w:t>C</w:t>
            </w:r>
            <w:r w:rsidRPr="009C5EFC">
              <w:rPr>
                <w:rFonts w:eastAsia="Times New Roman" w:cs="Times New Roman"/>
                <w:color w:val="000000"/>
                <w:sz w:val="20"/>
                <w:szCs w:val="20"/>
                <w:lang w:val="en-AU" w:eastAsia="en-AU"/>
              </w:rPr>
              <w:t>onstructed</w:t>
            </w:r>
          </w:p>
        </w:tc>
        <w:tc>
          <w:tcPr>
            <w:tcW w:w="1600" w:type="dxa"/>
            <w:shd w:val="clear" w:color="auto" w:fill="auto"/>
            <w:vAlign w:val="center"/>
            <w:hideMark/>
          </w:tcPr>
          <w:p w14:paraId="4A6F463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0.0862</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9E5355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0.0976</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93C65D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0.054</w:t>
            </w:r>
          </w:p>
        </w:tc>
      </w:tr>
      <w:tr w:rsidR="00A35FD4" w:rsidRPr="000A077F" w14:paraId="47E51EA0" w14:textId="77777777" w:rsidTr="00316347">
        <w:tc>
          <w:tcPr>
            <w:tcW w:w="3140" w:type="dxa"/>
            <w:shd w:val="clear" w:color="auto" w:fill="auto"/>
            <w:vAlign w:val="center"/>
            <w:hideMark/>
          </w:tcPr>
          <w:p w14:paraId="46226EEE" w14:textId="3B737DC4"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Older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tyle</w:t>
            </w:r>
          </w:p>
        </w:tc>
        <w:tc>
          <w:tcPr>
            <w:tcW w:w="1600" w:type="dxa"/>
            <w:shd w:val="clear" w:color="auto" w:fill="auto"/>
            <w:vAlign w:val="center"/>
            <w:hideMark/>
          </w:tcPr>
          <w:p w14:paraId="320682FE" w14:textId="58ACA87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0.0796</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EDC1EA5" w14:textId="72C8868B"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0.0810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D9067A6" w14:textId="11DE791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0.138</w:t>
            </w:r>
            <w:r w:rsidRPr="009C5EFC">
              <w:rPr>
                <w:rFonts w:eastAsia="Times New Roman" w:cs="Times New Roman"/>
                <w:color w:val="000000"/>
                <w:sz w:val="20"/>
                <w:szCs w:val="20"/>
                <w:vertAlign w:val="superscript"/>
                <w:lang w:val="en-AU" w:eastAsia="en-AU"/>
              </w:rPr>
              <w:t>***</w:t>
            </w:r>
          </w:p>
        </w:tc>
      </w:tr>
      <w:tr w:rsidR="00A35FD4" w:rsidRPr="000A077F" w14:paraId="3D2EA758" w14:textId="77777777" w:rsidTr="00316347">
        <w:tc>
          <w:tcPr>
            <w:tcW w:w="3140" w:type="dxa"/>
            <w:shd w:val="clear" w:color="auto" w:fill="auto"/>
            <w:vAlign w:val="center"/>
            <w:hideMark/>
          </w:tcPr>
          <w:p w14:paraId="3BD4B95D"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Victorian</w:t>
            </w:r>
          </w:p>
        </w:tc>
        <w:tc>
          <w:tcPr>
            <w:tcW w:w="1600" w:type="dxa"/>
            <w:shd w:val="clear" w:color="auto" w:fill="auto"/>
            <w:vAlign w:val="center"/>
            <w:hideMark/>
          </w:tcPr>
          <w:p w14:paraId="6AD80B6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0.0462</w:t>
            </w:r>
          </w:p>
        </w:tc>
        <w:tc>
          <w:tcPr>
            <w:tcW w:w="1720" w:type="dxa"/>
            <w:shd w:val="clear" w:color="auto" w:fill="auto"/>
            <w:vAlign w:val="center"/>
            <w:hideMark/>
          </w:tcPr>
          <w:p w14:paraId="7D3B9BA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0.0474</w:t>
            </w:r>
          </w:p>
        </w:tc>
        <w:tc>
          <w:tcPr>
            <w:tcW w:w="1394" w:type="dxa"/>
            <w:shd w:val="clear" w:color="auto" w:fill="auto"/>
            <w:vAlign w:val="center"/>
            <w:hideMark/>
          </w:tcPr>
          <w:p w14:paraId="72D053E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0.0701</w:t>
            </w:r>
            <w:r w:rsidRPr="009C5EFC">
              <w:rPr>
                <w:rFonts w:eastAsia="Times New Roman" w:cs="Times New Roman"/>
                <w:color w:val="000000"/>
                <w:sz w:val="20"/>
                <w:szCs w:val="20"/>
                <w:vertAlign w:val="superscript"/>
                <w:lang w:val="en-AU" w:eastAsia="en-AU"/>
              </w:rPr>
              <w:t>***</w:t>
            </w:r>
          </w:p>
        </w:tc>
      </w:tr>
      <w:tr w:rsidR="00A35FD4" w:rsidRPr="000A077F" w14:paraId="548240E8" w14:textId="77777777" w:rsidTr="00316347">
        <w:tc>
          <w:tcPr>
            <w:tcW w:w="3140" w:type="dxa"/>
            <w:shd w:val="clear" w:color="auto" w:fill="auto"/>
            <w:vAlign w:val="center"/>
            <w:hideMark/>
          </w:tcPr>
          <w:p w14:paraId="41D6B542"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Heritage</w:t>
            </w:r>
          </w:p>
        </w:tc>
        <w:tc>
          <w:tcPr>
            <w:tcW w:w="1600" w:type="dxa"/>
            <w:shd w:val="clear" w:color="auto" w:fill="auto"/>
            <w:vAlign w:val="center"/>
            <w:hideMark/>
          </w:tcPr>
          <w:p w14:paraId="64F47A1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0.0560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1FCD1C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0.0612</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B075CD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0.0371</w:t>
            </w:r>
            <w:r w:rsidRPr="009C5EFC">
              <w:rPr>
                <w:rFonts w:eastAsia="Times New Roman" w:cs="Times New Roman"/>
                <w:color w:val="000000"/>
                <w:sz w:val="20"/>
                <w:szCs w:val="20"/>
                <w:vertAlign w:val="superscript"/>
                <w:lang w:val="en-AU" w:eastAsia="en-AU"/>
              </w:rPr>
              <w:t>*</w:t>
            </w:r>
          </w:p>
        </w:tc>
      </w:tr>
      <w:tr w:rsidR="00A35FD4" w:rsidRPr="000A077F" w14:paraId="1D9B509B" w14:textId="77777777" w:rsidTr="00316347">
        <w:tc>
          <w:tcPr>
            <w:tcW w:w="3140" w:type="dxa"/>
            <w:shd w:val="clear" w:color="auto" w:fill="auto"/>
            <w:vAlign w:val="center"/>
            <w:hideMark/>
          </w:tcPr>
          <w:p w14:paraId="2400EE15"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Modern</w:t>
            </w:r>
          </w:p>
        </w:tc>
        <w:tc>
          <w:tcPr>
            <w:tcW w:w="1600" w:type="dxa"/>
            <w:shd w:val="clear" w:color="auto" w:fill="auto"/>
            <w:vAlign w:val="center"/>
            <w:hideMark/>
          </w:tcPr>
          <w:p w14:paraId="52BA616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0.0236</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336F0E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0.0234</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7DC5856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0.00468</w:t>
            </w:r>
          </w:p>
        </w:tc>
      </w:tr>
      <w:tr w:rsidR="00A35FD4" w:rsidRPr="000A077F" w14:paraId="25E35314" w14:textId="77777777" w:rsidTr="00316347">
        <w:tc>
          <w:tcPr>
            <w:tcW w:w="3140" w:type="dxa"/>
            <w:shd w:val="clear" w:color="auto" w:fill="auto"/>
            <w:vAlign w:val="center"/>
            <w:hideMark/>
          </w:tcPr>
          <w:p w14:paraId="6A7006C6"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ArtDeco</w:t>
            </w:r>
          </w:p>
        </w:tc>
        <w:tc>
          <w:tcPr>
            <w:tcW w:w="1600" w:type="dxa"/>
            <w:shd w:val="clear" w:color="auto" w:fill="auto"/>
            <w:vAlign w:val="center"/>
            <w:hideMark/>
          </w:tcPr>
          <w:p w14:paraId="66C0CA2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0.103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0D18D79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0.109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D12D0D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0.221</w:t>
            </w:r>
          </w:p>
        </w:tc>
      </w:tr>
      <w:tr w:rsidR="00A35FD4" w:rsidRPr="000A077F" w14:paraId="73E770DE" w14:textId="77777777" w:rsidTr="00316347">
        <w:tc>
          <w:tcPr>
            <w:tcW w:w="3140" w:type="dxa"/>
            <w:shd w:val="clear" w:color="auto" w:fill="auto"/>
            <w:vAlign w:val="center"/>
            <w:hideMark/>
          </w:tcPr>
          <w:p w14:paraId="1CF6E0DD"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Federation</w:t>
            </w:r>
          </w:p>
        </w:tc>
        <w:tc>
          <w:tcPr>
            <w:tcW w:w="1600" w:type="dxa"/>
            <w:shd w:val="clear" w:color="auto" w:fill="auto"/>
            <w:vAlign w:val="center"/>
            <w:hideMark/>
          </w:tcPr>
          <w:p w14:paraId="461D336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0.0167</w:t>
            </w:r>
          </w:p>
        </w:tc>
        <w:tc>
          <w:tcPr>
            <w:tcW w:w="1720" w:type="dxa"/>
            <w:shd w:val="clear" w:color="auto" w:fill="auto"/>
            <w:vAlign w:val="center"/>
            <w:hideMark/>
          </w:tcPr>
          <w:p w14:paraId="694A14A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0.0137</w:t>
            </w:r>
          </w:p>
        </w:tc>
        <w:tc>
          <w:tcPr>
            <w:tcW w:w="1394" w:type="dxa"/>
            <w:shd w:val="clear" w:color="auto" w:fill="auto"/>
            <w:vAlign w:val="center"/>
            <w:hideMark/>
          </w:tcPr>
          <w:p w14:paraId="5A07AF9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0.136</w:t>
            </w:r>
            <w:r w:rsidRPr="009C5EFC">
              <w:rPr>
                <w:rFonts w:eastAsia="Times New Roman" w:cs="Times New Roman"/>
                <w:color w:val="000000"/>
                <w:sz w:val="20"/>
                <w:szCs w:val="20"/>
                <w:vertAlign w:val="superscript"/>
                <w:lang w:val="en-AU" w:eastAsia="en-AU"/>
              </w:rPr>
              <w:t>**</w:t>
            </w:r>
          </w:p>
        </w:tc>
      </w:tr>
      <w:tr w:rsidR="00A35FD4" w:rsidRPr="000A077F" w14:paraId="2511F2A9" w14:textId="77777777" w:rsidTr="00316347">
        <w:tc>
          <w:tcPr>
            <w:tcW w:w="3140" w:type="dxa"/>
            <w:shd w:val="clear" w:color="auto" w:fill="auto"/>
            <w:vAlign w:val="center"/>
            <w:hideMark/>
          </w:tcPr>
          <w:p w14:paraId="3C10D2B8" w14:textId="693CB12D"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ln_</w:t>
            </w:r>
            <w:r>
              <w:rPr>
                <w:rFonts w:eastAsia="Times New Roman" w:cs="Times New Roman"/>
                <w:color w:val="000000"/>
                <w:sz w:val="20"/>
                <w:szCs w:val="20"/>
                <w:lang w:val="en-AU" w:eastAsia="en-AU"/>
              </w:rPr>
              <w:t>SEIFA_S</w:t>
            </w:r>
            <w:r w:rsidRPr="009C5EFC">
              <w:rPr>
                <w:rFonts w:eastAsia="Times New Roman" w:cs="Times New Roman"/>
                <w:color w:val="000000"/>
                <w:sz w:val="20"/>
                <w:szCs w:val="20"/>
                <w:lang w:val="en-AU" w:eastAsia="en-AU"/>
              </w:rPr>
              <w:t>core</w:t>
            </w:r>
          </w:p>
        </w:tc>
        <w:tc>
          <w:tcPr>
            <w:tcW w:w="1600" w:type="dxa"/>
            <w:shd w:val="clear" w:color="auto" w:fill="auto"/>
            <w:vAlign w:val="center"/>
            <w:hideMark/>
          </w:tcPr>
          <w:p w14:paraId="6C70B5D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1.688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AFD8AA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1.716</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BBDA28E" w14:textId="3509A4F1" w:rsidR="00A35FD4" w:rsidRPr="009C5EFC" w:rsidRDefault="00D4461C" w:rsidP="00A35FD4">
            <w:pPr>
              <w:tabs>
                <w:tab w:val="decimal" w:pos="367"/>
              </w:tabs>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0.0304</w:t>
            </w:r>
          </w:p>
        </w:tc>
      </w:tr>
      <w:tr w:rsidR="00A35FD4" w:rsidRPr="000A077F" w14:paraId="5DFF3102" w14:textId="77777777" w:rsidTr="00316347">
        <w:tc>
          <w:tcPr>
            <w:tcW w:w="3140" w:type="dxa"/>
            <w:shd w:val="clear" w:color="auto" w:fill="auto"/>
            <w:vAlign w:val="center"/>
            <w:hideMark/>
          </w:tcPr>
          <w:p w14:paraId="3C970567"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CBD</w:t>
            </w:r>
          </w:p>
        </w:tc>
        <w:tc>
          <w:tcPr>
            <w:tcW w:w="1600" w:type="dxa"/>
            <w:shd w:val="clear" w:color="auto" w:fill="auto"/>
            <w:vAlign w:val="center"/>
            <w:hideMark/>
          </w:tcPr>
          <w:p w14:paraId="08B70941" w14:textId="03624049"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0.0000633</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70EAA501" w14:textId="6B48F108"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0.0000618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74C8FF8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03599103" w14:textId="77777777" w:rsidTr="00316347">
        <w:tc>
          <w:tcPr>
            <w:tcW w:w="3140" w:type="dxa"/>
            <w:shd w:val="clear" w:color="auto" w:fill="auto"/>
            <w:vAlign w:val="center"/>
            <w:hideMark/>
          </w:tcPr>
          <w:p w14:paraId="220813A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Airport</w:t>
            </w:r>
          </w:p>
        </w:tc>
        <w:tc>
          <w:tcPr>
            <w:tcW w:w="1600" w:type="dxa"/>
            <w:shd w:val="clear" w:color="auto" w:fill="auto"/>
            <w:vAlign w:val="center"/>
            <w:hideMark/>
          </w:tcPr>
          <w:p w14:paraId="2AE61BF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0.0000477</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8CCDFE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0.0000468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46B75C3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651335F3" w14:textId="77777777" w:rsidTr="00316347">
        <w:tc>
          <w:tcPr>
            <w:tcW w:w="3140" w:type="dxa"/>
            <w:shd w:val="clear" w:color="auto" w:fill="auto"/>
            <w:vAlign w:val="center"/>
            <w:hideMark/>
          </w:tcPr>
          <w:p w14:paraId="1E1CCA34" w14:textId="6853A8CE"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Bus</w:t>
            </w:r>
            <w:r>
              <w:rPr>
                <w:rFonts w:eastAsia="Times New Roman" w:cs="Times New Roman"/>
                <w:color w:val="000000"/>
                <w:sz w:val="20"/>
                <w:szCs w:val="20"/>
                <w:lang w:val="en-AU" w:eastAsia="en-AU"/>
              </w:rPr>
              <w:t xml:space="preserve"> S</w:t>
            </w:r>
            <w:r w:rsidRPr="009C5EFC">
              <w:rPr>
                <w:rFonts w:eastAsia="Times New Roman" w:cs="Times New Roman"/>
                <w:color w:val="000000"/>
                <w:sz w:val="20"/>
                <w:szCs w:val="20"/>
                <w:lang w:val="en-AU" w:eastAsia="en-AU"/>
              </w:rPr>
              <w:t>top</w:t>
            </w:r>
          </w:p>
        </w:tc>
        <w:tc>
          <w:tcPr>
            <w:tcW w:w="1600" w:type="dxa"/>
            <w:shd w:val="clear" w:color="auto" w:fill="auto"/>
            <w:vAlign w:val="center"/>
            <w:hideMark/>
          </w:tcPr>
          <w:p w14:paraId="5185E38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0.0000575</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876026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0.0000632</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2467C1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7EFC114C" w14:textId="77777777" w:rsidTr="00316347">
        <w:tc>
          <w:tcPr>
            <w:tcW w:w="3140" w:type="dxa"/>
            <w:shd w:val="clear" w:color="auto" w:fill="auto"/>
            <w:vAlign w:val="center"/>
            <w:hideMark/>
          </w:tcPr>
          <w:p w14:paraId="2D09A2F1"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Hospital</w:t>
            </w:r>
          </w:p>
        </w:tc>
        <w:tc>
          <w:tcPr>
            <w:tcW w:w="1600" w:type="dxa"/>
            <w:shd w:val="clear" w:color="auto" w:fill="auto"/>
            <w:vAlign w:val="center"/>
            <w:hideMark/>
          </w:tcPr>
          <w:p w14:paraId="65BCC51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0.0000296</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5E2503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0.0000299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62BF25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0A03EDAD" w14:textId="77777777" w:rsidTr="00316347">
        <w:tc>
          <w:tcPr>
            <w:tcW w:w="3140" w:type="dxa"/>
            <w:shd w:val="clear" w:color="auto" w:fill="auto"/>
            <w:vAlign w:val="center"/>
            <w:hideMark/>
          </w:tcPr>
          <w:p w14:paraId="273084D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Library</w:t>
            </w:r>
          </w:p>
        </w:tc>
        <w:tc>
          <w:tcPr>
            <w:tcW w:w="1600" w:type="dxa"/>
            <w:shd w:val="clear" w:color="auto" w:fill="auto"/>
            <w:vAlign w:val="center"/>
            <w:hideMark/>
          </w:tcPr>
          <w:p w14:paraId="0B646201" w14:textId="6C7FCC10"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0.0000147</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510818E" w14:textId="7DC46AD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0.0000153</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546D91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7ABDA3F8" w14:textId="77777777" w:rsidTr="00316347">
        <w:tc>
          <w:tcPr>
            <w:tcW w:w="3140" w:type="dxa"/>
            <w:shd w:val="clear" w:color="auto" w:fill="auto"/>
            <w:vAlign w:val="center"/>
            <w:hideMark/>
          </w:tcPr>
          <w:p w14:paraId="53C1CBE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Playground</w:t>
            </w:r>
          </w:p>
        </w:tc>
        <w:tc>
          <w:tcPr>
            <w:tcW w:w="1600" w:type="dxa"/>
            <w:shd w:val="clear" w:color="auto" w:fill="auto"/>
            <w:vAlign w:val="center"/>
            <w:hideMark/>
          </w:tcPr>
          <w:p w14:paraId="4CB856C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0.0000289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6E4EAE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0.0000295</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715648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4D16D083" w14:textId="77777777" w:rsidTr="00316347">
        <w:tc>
          <w:tcPr>
            <w:tcW w:w="3140" w:type="dxa"/>
            <w:shd w:val="clear" w:color="auto" w:fill="auto"/>
            <w:vAlign w:val="center"/>
            <w:hideMark/>
          </w:tcPr>
          <w:p w14:paraId="58484BA4"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School</w:t>
            </w:r>
          </w:p>
        </w:tc>
        <w:tc>
          <w:tcPr>
            <w:tcW w:w="1600" w:type="dxa"/>
            <w:shd w:val="clear" w:color="auto" w:fill="auto"/>
            <w:vAlign w:val="center"/>
            <w:hideMark/>
          </w:tcPr>
          <w:p w14:paraId="688AB7CE" w14:textId="73446D3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0.0000334</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2CBA42E3" w14:textId="231F859E"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0.0000347</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0A4CB4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72F9460C" w14:textId="77777777" w:rsidTr="00316347">
        <w:tc>
          <w:tcPr>
            <w:tcW w:w="3140" w:type="dxa"/>
            <w:shd w:val="clear" w:color="auto" w:fill="auto"/>
            <w:vAlign w:val="center"/>
            <w:hideMark/>
          </w:tcPr>
          <w:p w14:paraId="7F49FF2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Shopping Centre</w:t>
            </w:r>
          </w:p>
        </w:tc>
        <w:tc>
          <w:tcPr>
            <w:tcW w:w="1600" w:type="dxa"/>
            <w:shd w:val="clear" w:color="auto" w:fill="auto"/>
            <w:vAlign w:val="center"/>
            <w:hideMark/>
          </w:tcPr>
          <w:p w14:paraId="54CDED4E" w14:textId="0B55CAC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0.0000392</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7B15B275" w14:textId="7550051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0.0000417</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A6C2CA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537465A1" w14:textId="77777777" w:rsidTr="00316347">
        <w:tc>
          <w:tcPr>
            <w:tcW w:w="3140" w:type="dxa"/>
            <w:shd w:val="clear" w:color="auto" w:fill="auto"/>
            <w:vAlign w:val="center"/>
            <w:hideMark/>
          </w:tcPr>
          <w:p w14:paraId="60013C95"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Supermarket</w:t>
            </w:r>
          </w:p>
        </w:tc>
        <w:tc>
          <w:tcPr>
            <w:tcW w:w="1600" w:type="dxa"/>
            <w:shd w:val="clear" w:color="auto" w:fill="auto"/>
            <w:vAlign w:val="center"/>
            <w:hideMark/>
          </w:tcPr>
          <w:p w14:paraId="2A7E14A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0.0000140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41EAC2B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0.0000134</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63D29A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4295C96C" w14:textId="77777777" w:rsidTr="00316347">
        <w:tc>
          <w:tcPr>
            <w:tcW w:w="3140" w:type="dxa"/>
            <w:shd w:val="clear" w:color="auto" w:fill="auto"/>
            <w:vAlign w:val="center"/>
            <w:hideMark/>
          </w:tcPr>
          <w:p w14:paraId="336BA98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Reserve</w:t>
            </w:r>
          </w:p>
        </w:tc>
        <w:tc>
          <w:tcPr>
            <w:tcW w:w="1600" w:type="dxa"/>
            <w:shd w:val="clear" w:color="auto" w:fill="auto"/>
            <w:vAlign w:val="center"/>
            <w:hideMark/>
          </w:tcPr>
          <w:p w14:paraId="44538A4B" w14:textId="19E0E974"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0.0000155</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3ED2873" w14:textId="6468B85E"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0.0000148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4C35AF6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6A6BB148" w14:textId="77777777" w:rsidTr="00316347">
        <w:tc>
          <w:tcPr>
            <w:tcW w:w="3140" w:type="dxa"/>
            <w:shd w:val="clear" w:color="auto" w:fill="auto"/>
            <w:vAlign w:val="center"/>
            <w:hideMark/>
          </w:tcPr>
          <w:p w14:paraId="075CFC05"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Sportsground</w:t>
            </w:r>
          </w:p>
        </w:tc>
        <w:tc>
          <w:tcPr>
            <w:tcW w:w="1600" w:type="dxa"/>
            <w:shd w:val="clear" w:color="auto" w:fill="auto"/>
            <w:vAlign w:val="center"/>
            <w:hideMark/>
          </w:tcPr>
          <w:p w14:paraId="153CFFB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0.00000870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602BF12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0.00000769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0CED91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90EFD62" w14:textId="77777777" w:rsidTr="00316347">
        <w:tc>
          <w:tcPr>
            <w:tcW w:w="3140" w:type="dxa"/>
            <w:shd w:val="clear" w:color="auto" w:fill="auto"/>
            <w:vAlign w:val="center"/>
            <w:hideMark/>
          </w:tcPr>
          <w:p w14:paraId="407CF424"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Distance to CBD_sq</w:t>
            </w:r>
          </w:p>
        </w:tc>
        <w:tc>
          <w:tcPr>
            <w:tcW w:w="1600" w:type="dxa"/>
            <w:shd w:val="clear" w:color="auto" w:fill="auto"/>
            <w:vAlign w:val="center"/>
            <w:hideMark/>
          </w:tcPr>
          <w:p w14:paraId="14AEF2E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8.74e-10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6A8678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8.03e-10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5597511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1D7BF528" w14:textId="77777777" w:rsidTr="00316347">
        <w:tc>
          <w:tcPr>
            <w:tcW w:w="3140" w:type="dxa"/>
            <w:shd w:val="clear" w:color="auto" w:fill="auto"/>
            <w:vAlign w:val="center"/>
            <w:hideMark/>
          </w:tcPr>
          <w:p w14:paraId="3F1B4F26" w14:textId="2075D4F4"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A</w:t>
            </w:r>
            <w:r w:rsidRPr="009C5EFC">
              <w:rPr>
                <w:rFonts w:eastAsia="Times New Roman" w:cs="Times New Roman"/>
                <w:color w:val="000000"/>
                <w:sz w:val="20"/>
                <w:szCs w:val="20"/>
                <w:lang w:val="en-AU" w:eastAsia="en-AU"/>
              </w:rPr>
              <w:t>irport_sq</w:t>
            </w:r>
          </w:p>
        </w:tc>
        <w:tc>
          <w:tcPr>
            <w:tcW w:w="1600" w:type="dxa"/>
            <w:shd w:val="clear" w:color="auto" w:fill="auto"/>
            <w:vAlign w:val="center"/>
            <w:hideMark/>
          </w:tcPr>
          <w:p w14:paraId="15B847A3" w14:textId="63775035"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9.59e-10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59A10218" w14:textId="734CEA9A"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9.53e-10</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0DA304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39AE19EF" w14:textId="77777777" w:rsidTr="00316347">
        <w:tc>
          <w:tcPr>
            <w:tcW w:w="3140" w:type="dxa"/>
            <w:shd w:val="clear" w:color="auto" w:fill="auto"/>
            <w:vAlign w:val="center"/>
            <w:hideMark/>
          </w:tcPr>
          <w:p w14:paraId="3778CAAF" w14:textId="34C4EA29"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B</w:t>
            </w:r>
            <w:r w:rsidRPr="009C5EFC">
              <w:rPr>
                <w:rFonts w:eastAsia="Times New Roman" w:cs="Times New Roman"/>
                <w:color w:val="000000"/>
                <w:sz w:val="20"/>
                <w:szCs w:val="20"/>
                <w:lang w:val="en-AU" w:eastAsia="en-AU"/>
              </w:rPr>
              <w:t>us</w:t>
            </w:r>
            <w:r>
              <w:rPr>
                <w:rFonts w:eastAsia="Times New Roman" w:cs="Times New Roman"/>
                <w:color w:val="000000"/>
                <w:sz w:val="20"/>
                <w:szCs w:val="20"/>
                <w:lang w:val="en-AU" w:eastAsia="en-AU"/>
              </w:rPr>
              <w:t xml:space="preserve"> S</w:t>
            </w:r>
            <w:r w:rsidRPr="009C5EFC">
              <w:rPr>
                <w:rFonts w:eastAsia="Times New Roman" w:cs="Times New Roman"/>
                <w:color w:val="000000"/>
                <w:sz w:val="20"/>
                <w:szCs w:val="20"/>
                <w:lang w:val="en-AU" w:eastAsia="en-AU"/>
              </w:rPr>
              <w:t>top_sq</w:t>
            </w:r>
          </w:p>
        </w:tc>
        <w:tc>
          <w:tcPr>
            <w:tcW w:w="1600" w:type="dxa"/>
            <w:shd w:val="clear" w:color="auto" w:fill="auto"/>
            <w:vAlign w:val="center"/>
            <w:hideMark/>
          </w:tcPr>
          <w:p w14:paraId="30047C88" w14:textId="0157FCEB"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4.50e-08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72A48E5" w14:textId="278E649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4.90e-08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C3B4AB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1CDE2A41" w14:textId="77777777" w:rsidTr="00316347">
        <w:tc>
          <w:tcPr>
            <w:tcW w:w="3140" w:type="dxa"/>
            <w:shd w:val="clear" w:color="auto" w:fill="auto"/>
            <w:vAlign w:val="center"/>
            <w:hideMark/>
          </w:tcPr>
          <w:p w14:paraId="6725BC5D" w14:textId="1CB4D410"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ospital_sq</w:t>
            </w:r>
          </w:p>
        </w:tc>
        <w:tc>
          <w:tcPr>
            <w:tcW w:w="1600" w:type="dxa"/>
            <w:shd w:val="clear" w:color="auto" w:fill="auto"/>
            <w:vAlign w:val="center"/>
            <w:hideMark/>
          </w:tcPr>
          <w:p w14:paraId="2DB8341F" w14:textId="6038306E"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6.31e-10</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0EB4582A" w14:textId="66A6E083"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5.96E-10</w:t>
            </w:r>
          </w:p>
        </w:tc>
        <w:tc>
          <w:tcPr>
            <w:tcW w:w="1394" w:type="dxa"/>
            <w:shd w:val="clear" w:color="auto" w:fill="auto"/>
            <w:vAlign w:val="center"/>
            <w:hideMark/>
          </w:tcPr>
          <w:p w14:paraId="37A7010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160B5C5" w14:textId="77777777" w:rsidTr="00316347">
        <w:tc>
          <w:tcPr>
            <w:tcW w:w="3140" w:type="dxa"/>
            <w:shd w:val="clear" w:color="auto" w:fill="auto"/>
            <w:vAlign w:val="center"/>
            <w:hideMark/>
          </w:tcPr>
          <w:p w14:paraId="1207BD82" w14:textId="2AFFDD01"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L</w:t>
            </w:r>
            <w:r w:rsidRPr="009C5EFC">
              <w:rPr>
                <w:rFonts w:eastAsia="Times New Roman" w:cs="Times New Roman"/>
                <w:color w:val="000000"/>
                <w:sz w:val="20"/>
                <w:szCs w:val="20"/>
                <w:lang w:val="en-AU" w:eastAsia="en-AU"/>
              </w:rPr>
              <w:t>ibrary_sq</w:t>
            </w:r>
          </w:p>
        </w:tc>
        <w:tc>
          <w:tcPr>
            <w:tcW w:w="1600" w:type="dxa"/>
            <w:shd w:val="clear" w:color="auto" w:fill="auto"/>
            <w:vAlign w:val="center"/>
            <w:hideMark/>
          </w:tcPr>
          <w:p w14:paraId="4DFDD90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1.98e-09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1E7CA3B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2.10e-09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2EA23F3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8CB74FD" w14:textId="77777777" w:rsidTr="00316347">
        <w:tc>
          <w:tcPr>
            <w:tcW w:w="3140" w:type="dxa"/>
            <w:shd w:val="clear" w:color="auto" w:fill="auto"/>
            <w:vAlign w:val="center"/>
            <w:hideMark/>
          </w:tcPr>
          <w:p w14:paraId="1629F94C" w14:textId="34CE39EB"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P</w:t>
            </w:r>
            <w:r w:rsidRPr="009C5EFC">
              <w:rPr>
                <w:rFonts w:eastAsia="Times New Roman" w:cs="Times New Roman"/>
                <w:color w:val="000000"/>
                <w:sz w:val="20"/>
                <w:szCs w:val="20"/>
                <w:lang w:val="en-AU" w:eastAsia="en-AU"/>
              </w:rPr>
              <w:t>layground_sq</w:t>
            </w:r>
          </w:p>
        </w:tc>
        <w:tc>
          <w:tcPr>
            <w:tcW w:w="1600" w:type="dxa"/>
            <w:shd w:val="clear" w:color="auto" w:fill="auto"/>
            <w:vAlign w:val="center"/>
            <w:hideMark/>
          </w:tcPr>
          <w:p w14:paraId="634D8AF6" w14:textId="6690BBF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9.81e-09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30D8DB9B" w14:textId="5987090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9.38e-09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A6D93C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4036F75E" w14:textId="77777777" w:rsidTr="00316347">
        <w:tc>
          <w:tcPr>
            <w:tcW w:w="3140" w:type="dxa"/>
            <w:shd w:val="clear" w:color="auto" w:fill="auto"/>
            <w:vAlign w:val="center"/>
            <w:hideMark/>
          </w:tcPr>
          <w:p w14:paraId="2053E820" w14:textId="2C716041"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chool_sq</w:t>
            </w:r>
          </w:p>
        </w:tc>
        <w:tc>
          <w:tcPr>
            <w:tcW w:w="1600" w:type="dxa"/>
            <w:shd w:val="clear" w:color="auto" w:fill="auto"/>
            <w:vAlign w:val="center"/>
            <w:hideMark/>
          </w:tcPr>
          <w:p w14:paraId="4DFCE1C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2.55e-08</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796E541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2.73e-08</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89C535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49A1BEC9" w14:textId="77777777" w:rsidTr="00316347">
        <w:tc>
          <w:tcPr>
            <w:tcW w:w="3140" w:type="dxa"/>
            <w:shd w:val="clear" w:color="auto" w:fill="auto"/>
            <w:vAlign w:val="center"/>
            <w:hideMark/>
          </w:tcPr>
          <w:p w14:paraId="17BCB029" w14:textId="01F2993C"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 xml:space="preserve">hopping </w:t>
            </w:r>
            <w:r>
              <w:rPr>
                <w:rFonts w:eastAsia="Times New Roman" w:cs="Times New Roman"/>
                <w:color w:val="000000"/>
                <w:sz w:val="20"/>
                <w:szCs w:val="20"/>
                <w:lang w:val="en-AU" w:eastAsia="en-AU"/>
              </w:rPr>
              <w:t>C</w:t>
            </w:r>
            <w:r w:rsidRPr="009C5EFC">
              <w:rPr>
                <w:rFonts w:eastAsia="Times New Roman" w:cs="Times New Roman"/>
                <w:color w:val="000000"/>
                <w:sz w:val="20"/>
                <w:szCs w:val="20"/>
                <w:lang w:val="en-AU" w:eastAsia="en-AU"/>
              </w:rPr>
              <w:t>entre_sq</w:t>
            </w:r>
          </w:p>
        </w:tc>
        <w:tc>
          <w:tcPr>
            <w:tcW w:w="1600" w:type="dxa"/>
            <w:shd w:val="clear" w:color="auto" w:fill="auto"/>
            <w:vAlign w:val="center"/>
            <w:hideMark/>
          </w:tcPr>
          <w:p w14:paraId="3CBED4A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8.76e-09</w:t>
            </w:r>
            <w:r w:rsidRPr="009C5EFC">
              <w:rPr>
                <w:rFonts w:eastAsia="Times New Roman" w:cs="Times New Roman"/>
                <w:color w:val="000000"/>
                <w:sz w:val="20"/>
                <w:szCs w:val="20"/>
                <w:vertAlign w:val="superscript"/>
                <w:lang w:val="en-AU" w:eastAsia="en-AU"/>
              </w:rPr>
              <w:t>***</w:t>
            </w:r>
          </w:p>
        </w:tc>
        <w:tc>
          <w:tcPr>
            <w:tcW w:w="1720" w:type="dxa"/>
            <w:shd w:val="clear" w:color="auto" w:fill="auto"/>
            <w:vAlign w:val="center"/>
            <w:hideMark/>
          </w:tcPr>
          <w:p w14:paraId="7FF120F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9.36e-09</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608AD88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90769EC" w14:textId="77777777" w:rsidTr="00316347">
        <w:tc>
          <w:tcPr>
            <w:tcW w:w="3140" w:type="dxa"/>
            <w:shd w:val="clear" w:color="auto" w:fill="auto"/>
            <w:vAlign w:val="center"/>
            <w:hideMark/>
          </w:tcPr>
          <w:p w14:paraId="5D20F5A4" w14:textId="52ED4ED0"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Distance to </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upermarket_sq</w:t>
            </w:r>
          </w:p>
        </w:tc>
        <w:tc>
          <w:tcPr>
            <w:tcW w:w="1600" w:type="dxa"/>
            <w:shd w:val="clear" w:color="auto" w:fill="auto"/>
            <w:vAlign w:val="center"/>
            <w:hideMark/>
          </w:tcPr>
          <w:p w14:paraId="547C7F80" w14:textId="74F56E5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1.15E-09</w:t>
            </w:r>
          </w:p>
        </w:tc>
        <w:tc>
          <w:tcPr>
            <w:tcW w:w="1720" w:type="dxa"/>
            <w:shd w:val="clear" w:color="auto" w:fill="auto"/>
            <w:vAlign w:val="center"/>
            <w:hideMark/>
          </w:tcPr>
          <w:p w14:paraId="4734330E" w14:textId="0697A66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7.64E-10</w:t>
            </w:r>
          </w:p>
        </w:tc>
        <w:tc>
          <w:tcPr>
            <w:tcW w:w="1394" w:type="dxa"/>
            <w:shd w:val="clear" w:color="auto" w:fill="auto"/>
            <w:vAlign w:val="center"/>
            <w:hideMark/>
          </w:tcPr>
          <w:p w14:paraId="38978CF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186627A0" w14:textId="77777777" w:rsidTr="00316347">
        <w:tc>
          <w:tcPr>
            <w:tcW w:w="3140" w:type="dxa"/>
            <w:shd w:val="clear" w:color="auto" w:fill="auto"/>
            <w:vAlign w:val="center"/>
            <w:hideMark/>
          </w:tcPr>
          <w:p w14:paraId="1C775130"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Sustainability</w:t>
            </w:r>
          </w:p>
        </w:tc>
        <w:tc>
          <w:tcPr>
            <w:tcW w:w="1600" w:type="dxa"/>
            <w:shd w:val="clear" w:color="auto" w:fill="auto"/>
            <w:vAlign w:val="center"/>
            <w:hideMark/>
          </w:tcPr>
          <w:p w14:paraId="287258B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45C2E3E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0.0011</w:t>
            </w:r>
          </w:p>
        </w:tc>
        <w:tc>
          <w:tcPr>
            <w:tcW w:w="1394" w:type="dxa"/>
            <w:shd w:val="clear" w:color="auto" w:fill="auto"/>
            <w:vAlign w:val="center"/>
            <w:hideMark/>
          </w:tcPr>
          <w:p w14:paraId="60AE43A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4C6D6831" w14:textId="77777777" w:rsidTr="00316347">
        <w:tc>
          <w:tcPr>
            <w:tcW w:w="3140" w:type="dxa"/>
            <w:shd w:val="clear" w:color="auto" w:fill="auto"/>
            <w:vAlign w:val="center"/>
            <w:hideMark/>
          </w:tcPr>
          <w:p w14:paraId="220AE351"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Double_glazing</w:t>
            </w:r>
          </w:p>
        </w:tc>
        <w:tc>
          <w:tcPr>
            <w:tcW w:w="1600" w:type="dxa"/>
            <w:shd w:val="clear" w:color="auto" w:fill="auto"/>
            <w:vAlign w:val="center"/>
            <w:hideMark/>
          </w:tcPr>
          <w:p w14:paraId="16BF6B2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487D762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0.0812</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102A939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51EABFDB" w14:textId="77777777" w:rsidTr="00316347">
        <w:tc>
          <w:tcPr>
            <w:tcW w:w="3140" w:type="dxa"/>
            <w:shd w:val="clear" w:color="auto" w:fill="auto"/>
            <w:vAlign w:val="center"/>
            <w:hideMark/>
          </w:tcPr>
          <w:p w14:paraId="1C42F33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Insulation</w:t>
            </w:r>
          </w:p>
        </w:tc>
        <w:tc>
          <w:tcPr>
            <w:tcW w:w="1600" w:type="dxa"/>
            <w:shd w:val="clear" w:color="auto" w:fill="auto"/>
            <w:vAlign w:val="center"/>
            <w:hideMark/>
          </w:tcPr>
          <w:p w14:paraId="4F78A55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626D100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0.0284</w:t>
            </w:r>
            <w:r w:rsidRPr="009C5EFC">
              <w:rPr>
                <w:rFonts w:eastAsia="Times New Roman" w:cs="Times New Roman"/>
                <w:color w:val="000000"/>
                <w:sz w:val="20"/>
                <w:szCs w:val="20"/>
                <w:vertAlign w:val="superscript"/>
                <w:lang w:val="en-AU" w:eastAsia="en-AU"/>
              </w:rPr>
              <w:t>***</w:t>
            </w:r>
          </w:p>
        </w:tc>
        <w:tc>
          <w:tcPr>
            <w:tcW w:w="1394" w:type="dxa"/>
            <w:shd w:val="clear" w:color="auto" w:fill="auto"/>
            <w:vAlign w:val="center"/>
            <w:hideMark/>
          </w:tcPr>
          <w:p w14:paraId="0D0D4A5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55F46F1E" w14:textId="77777777" w:rsidTr="00316347">
        <w:tc>
          <w:tcPr>
            <w:tcW w:w="3140" w:type="dxa"/>
            <w:shd w:val="clear" w:color="auto" w:fill="auto"/>
            <w:vAlign w:val="center"/>
            <w:hideMark/>
          </w:tcPr>
          <w:p w14:paraId="5132749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Proptype_apartment</w:t>
            </w:r>
          </w:p>
        </w:tc>
        <w:tc>
          <w:tcPr>
            <w:tcW w:w="1600" w:type="dxa"/>
            <w:shd w:val="clear" w:color="auto" w:fill="auto"/>
            <w:vAlign w:val="center"/>
            <w:hideMark/>
          </w:tcPr>
          <w:p w14:paraId="17AF02C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300A1177"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0D4CCA2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0.0183</w:t>
            </w:r>
            <w:r w:rsidRPr="009C5EFC">
              <w:rPr>
                <w:rFonts w:eastAsia="Times New Roman" w:cs="Times New Roman"/>
                <w:color w:val="000000"/>
                <w:sz w:val="20"/>
                <w:szCs w:val="20"/>
                <w:vertAlign w:val="superscript"/>
                <w:lang w:val="en-AU" w:eastAsia="en-AU"/>
              </w:rPr>
              <w:t>***</w:t>
            </w:r>
          </w:p>
        </w:tc>
      </w:tr>
      <w:tr w:rsidR="00A35FD4" w:rsidRPr="000A077F" w14:paraId="301DC12A" w14:textId="77777777" w:rsidTr="00316347">
        <w:tc>
          <w:tcPr>
            <w:tcW w:w="3140" w:type="dxa"/>
            <w:shd w:val="clear" w:color="auto" w:fill="auto"/>
            <w:vAlign w:val="center"/>
            <w:hideMark/>
          </w:tcPr>
          <w:p w14:paraId="1D57C524"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Proptype_unit</w:t>
            </w:r>
          </w:p>
        </w:tc>
        <w:tc>
          <w:tcPr>
            <w:tcW w:w="1600" w:type="dxa"/>
            <w:shd w:val="clear" w:color="auto" w:fill="auto"/>
            <w:vAlign w:val="center"/>
            <w:hideMark/>
          </w:tcPr>
          <w:p w14:paraId="4B32B77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73B62633"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2DE47308" w14:textId="02D67A89"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0.0418</w:t>
            </w:r>
            <w:r w:rsidRPr="009C5EFC">
              <w:rPr>
                <w:rFonts w:eastAsia="Times New Roman" w:cs="Times New Roman"/>
                <w:color w:val="000000"/>
                <w:sz w:val="20"/>
                <w:szCs w:val="20"/>
                <w:vertAlign w:val="superscript"/>
                <w:lang w:val="en-AU" w:eastAsia="en-AU"/>
              </w:rPr>
              <w:t>***</w:t>
            </w:r>
          </w:p>
        </w:tc>
      </w:tr>
      <w:tr w:rsidR="00A35FD4" w:rsidRPr="000A077F" w14:paraId="7D671842" w14:textId="77777777" w:rsidTr="00316347">
        <w:tc>
          <w:tcPr>
            <w:tcW w:w="3140" w:type="dxa"/>
            <w:tcBorders>
              <w:bottom w:val="single" w:sz="4" w:space="0" w:color="auto"/>
            </w:tcBorders>
            <w:shd w:val="clear" w:color="auto" w:fill="auto"/>
            <w:vAlign w:val="center"/>
            <w:hideMark/>
          </w:tcPr>
          <w:p w14:paraId="2D3DBD27" w14:textId="098DE7E1" w:rsidR="00A35FD4" w:rsidRPr="009C5EFC" w:rsidRDefault="00A35FD4"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Constant</w:t>
            </w:r>
          </w:p>
        </w:tc>
        <w:tc>
          <w:tcPr>
            <w:tcW w:w="1600" w:type="dxa"/>
            <w:tcBorders>
              <w:bottom w:val="single" w:sz="4" w:space="0" w:color="auto"/>
            </w:tcBorders>
            <w:shd w:val="clear" w:color="auto" w:fill="auto"/>
            <w:vAlign w:val="center"/>
            <w:hideMark/>
          </w:tcPr>
          <w:p w14:paraId="348E4B59" w14:textId="79277C15"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6.343</w:t>
            </w:r>
            <w:r w:rsidRPr="009C5EFC">
              <w:rPr>
                <w:rFonts w:eastAsia="Times New Roman" w:cs="Times New Roman"/>
                <w:color w:val="000000"/>
                <w:sz w:val="20"/>
                <w:szCs w:val="20"/>
                <w:vertAlign w:val="superscript"/>
                <w:lang w:val="en-AU" w:eastAsia="en-AU"/>
              </w:rPr>
              <w:t>***</w:t>
            </w:r>
          </w:p>
        </w:tc>
        <w:tc>
          <w:tcPr>
            <w:tcW w:w="1720" w:type="dxa"/>
            <w:tcBorders>
              <w:bottom w:val="single" w:sz="4" w:space="0" w:color="auto"/>
            </w:tcBorders>
            <w:shd w:val="clear" w:color="auto" w:fill="auto"/>
            <w:vAlign w:val="center"/>
            <w:hideMark/>
          </w:tcPr>
          <w:p w14:paraId="51ED686D" w14:textId="7AD0392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6.567</w:t>
            </w:r>
            <w:r w:rsidRPr="009C5EFC">
              <w:rPr>
                <w:rFonts w:eastAsia="Times New Roman" w:cs="Times New Roman"/>
                <w:color w:val="000000"/>
                <w:sz w:val="20"/>
                <w:szCs w:val="20"/>
                <w:vertAlign w:val="superscript"/>
                <w:lang w:val="en-AU" w:eastAsia="en-AU"/>
              </w:rPr>
              <w:t>***</w:t>
            </w:r>
          </w:p>
        </w:tc>
        <w:tc>
          <w:tcPr>
            <w:tcW w:w="1394" w:type="dxa"/>
            <w:tcBorders>
              <w:bottom w:val="single" w:sz="4" w:space="0" w:color="auto"/>
            </w:tcBorders>
            <w:shd w:val="clear" w:color="auto" w:fill="auto"/>
            <w:vAlign w:val="center"/>
            <w:hideMark/>
          </w:tcPr>
          <w:p w14:paraId="1BCC084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61.58</w:t>
            </w:r>
            <w:r w:rsidRPr="009C5EFC">
              <w:rPr>
                <w:rFonts w:eastAsia="Times New Roman" w:cs="Times New Roman"/>
                <w:color w:val="000000"/>
                <w:sz w:val="20"/>
                <w:szCs w:val="20"/>
                <w:vertAlign w:val="superscript"/>
                <w:lang w:val="en-AU" w:eastAsia="en-AU"/>
              </w:rPr>
              <w:t>***</w:t>
            </w:r>
          </w:p>
        </w:tc>
      </w:tr>
      <w:tr w:rsidR="00A35FD4" w:rsidRPr="002701CD" w14:paraId="0B151F3C" w14:textId="77777777" w:rsidTr="00316347">
        <w:tc>
          <w:tcPr>
            <w:tcW w:w="3140" w:type="dxa"/>
            <w:tcBorders>
              <w:top w:val="single" w:sz="4" w:space="0" w:color="auto"/>
              <w:bottom w:val="nil"/>
            </w:tcBorders>
            <w:shd w:val="clear" w:color="auto" w:fill="auto"/>
            <w:vAlign w:val="center"/>
            <w:hideMark/>
          </w:tcPr>
          <w:p w14:paraId="771A9535" w14:textId="7AA20466" w:rsidR="00A35FD4" w:rsidRPr="002701CD" w:rsidRDefault="00A35FD4" w:rsidP="00A35FD4">
            <w:pPr>
              <w:spacing w:before="40" w:after="40"/>
              <w:rPr>
                <w:rFonts w:eastAsia="Times New Roman" w:cs="Times New Roman"/>
                <w:i/>
                <w:color w:val="000000"/>
                <w:sz w:val="20"/>
                <w:szCs w:val="20"/>
                <w:lang w:val="en-AU" w:eastAsia="en-AU"/>
              </w:rPr>
            </w:pPr>
            <w:r>
              <w:rPr>
                <w:rFonts w:eastAsia="Times New Roman" w:cs="Times New Roman"/>
                <w:i/>
                <w:color w:val="000000"/>
                <w:sz w:val="20"/>
                <w:szCs w:val="20"/>
                <w:lang w:val="en-AU" w:eastAsia="en-AU"/>
              </w:rPr>
              <w:t xml:space="preserve">Selection variable: </w:t>
            </w:r>
            <w:r w:rsidRPr="002701CD">
              <w:rPr>
                <w:rFonts w:eastAsia="Times New Roman" w:cs="Times New Roman"/>
                <w:i/>
                <w:color w:val="000000"/>
                <w:sz w:val="20"/>
                <w:szCs w:val="20"/>
                <w:lang w:val="en-AU" w:eastAsia="en-AU"/>
              </w:rPr>
              <w:t>EER_included</w:t>
            </w:r>
          </w:p>
        </w:tc>
        <w:tc>
          <w:tcPr>
            <w:tcW w:w="1600" w:type="dxa"/>
            <w:tcBorders>
              <w:top w:val="single" w:sz="4" w:space="0" w:color="auto"/>
              <w:bottom w:val="nil"/>
            </w:tcBorders>
            <w:shd w:val="clear" w:color="auto" w:fill="auto"/>
            <w:vAlign w:val="center"/>
            <w:hideMark/>
          </w:tcPr>
          <w:p w14:paraId="51DB0E8F"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720" w:type="dxa"/>
            <w:tcBorders>
              <w:top w:val="single" w:sz="4" w:space="0" w:color="auto"/>
              <w:bottom w:val="nil"/>
            </w:tcBorders>
            <w:shd w:val="clear" w:color="auto" w:fill="auto"/>
            <w:vAlign w:val="center"/>
            <w:hideMark/>
          </w:tcPr>
          <w:p w14:paraId="5BCA6AF9"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394" w:type="dxa"/>
            <w:tcBorders>
              <w:top w:val="single" w:sz="4" w:space="0" w:color="auto"/>
              <w:bottom w:val="nil"/>
            </w:tcBorders>
            <w:shd w:val="clear" w:color="auto" w:fill="auto"/>
            <w:vAlign w:val="center"/>
            <w:hideMark/>
          </w:tcPr>
          <w:p w14:paraId="7F76C94A"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r>
      <w:tr w:rsidR="00A35FD4" w:rsidRPr="000A077F" w14:paraId="34E2EED0" w14:textId="77777777" w:rsidTr="00316347">
        <w:tc>
          <w:tcPr>
            <w:tcW w:w="3140" w:type="dxa"/>
            <w:tcBorders>
              <w:top w:val="nil"/>
            </w:tcBorders>
            <w:shd w:val="clear" w:color="auto" w:fill="auto"/>
            <w:vAlign w:val="center"/>
            <w:hideMark/>
          </w:tcPr>
          <w:p w14:paraId="445C044F"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ln_age_suburb</w:t>
            </w:r>
          </w:p>
        </w:tc>
        <w:tc>
          <w:tcPr>
            <w:tcW w:w="1600" w:type="dxa"/>
            <w:tcBorders>
              <w:top w:val="nil"/>
            </w:tcBorders>
            <w:shd w:val="clear" w:color="auto" w:fill="auto"/>
            <w:vAlign w:val="center"/>
            <w:hideMark/>
          </w:tcPr>
          <w:p w14:paraId="191E176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tcBorders>
              <w:top w:val="nil"/>
            </w:tcBorders>
            <w:shd w:val="clear" w:color="auto" w:fill="auto"/>
            <w:vAlign w:val="center"/>
            <w:hideMark/>
          </w:tcPr>
          <w:p w14:paraId="32758A70"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tcBorders>
              <w:top w:val="nil"/>
            </w:tcBorders>
            <w:shd w:val="clear" w:color="auto" w:fill="auto"/>
            <w:vAlign w:val="center"/>
            <w:hideMark/>
          </w:tcPr>
          <w:p w14:paraId="624CBC5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11.46</w:t>
            </w:r>
            <w:r w:rsidRPr="009C5EFC">
              <w:rPr>
                <w:rFonts w:eastAsia="Times New Roman" w:cs="Times New Roman"/>
                <w:color w:val="000000"/>
                <w:sz w:val="20"/>
                <w:szCs w:val="20"/>
                <w:vertAlign w:val="superscript"/>
                <w:lang w:val="en-AU" w:eastAsia="en-AU"/>
              </w:rPr>
              <w:t>***</w:t>
            </w:r>
          </w:p>
        </w:tc>
      </w:tr>
      <w:tr w:rsidR="00A35FD4" w:rsidRPr="000A077F" w14:paraId="6D0654DA" w14:textId="77777777" w:rsidTr="00316347">
        <w:tc>
          <w:tcPr>
            <w:tcW w:w="3140" w:type="dxa"/>
            <w:shd w:val="clear" w:color="auto" w:fill="auto"/>
            <w:vAlign w:val="center"/>
            <w:hideMark/>
          </w:tcPr>
          <w:p w14:paraId="00F06FCB" w14:textId="23F3132E"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ln</w:t>
            </w:r>
            <w:r>
              <w:rPr>
                <w:rFonts w:eastAsia="Times New Roman" w:cs="Times New Roman"/>
                <w:color w:val="000000"/>
                <w:sz w:val="20"/>
                <w:szCs w:val="20"/>
                <w:lang w:val="en-AU" w:eastAsia="en-AU"/>
              </w:rPr>
              <w:t>_SEIFA_S</w:t>
            </w:r>
            <w:r w:rsidRPr="009C5EFC">
              <w:rPr>
                <w:rFonts w:eastAsia="Times New Roman" w:cs="Times New Roman"/>
                <w:color w:val="000000"/>
                <w:sz w:val="20"/>
                <w:szCs w:val="20"/>
                <w:lang w:val="en-AU" w:eastAsia="en-AU"/>
              </w:rPr>
              <w:t>core</w:t>
            </w:r>
          </w:p>
        </w:tc>
        <w:tc>
          <w:tcPr>
            <w:tcW w:w="1600" w:type="dxa"/>
            <w:shd w:val="clear" w:color="auto" w:fill="auto"/>
            <w:vAlign w:val="center"/>
            <w:hideMark/>
          </w:tcPr>
          <w:p w14:paraId="22FD642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6DF75EB1"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45F898A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0.337</w:t>
            </w:r>
          </w:p>
        </w:tc>
      </w:tr>
      <w:tr w:rsidR="00A35FD4" w:rsidRPr="000A077F" w14:paraId="39F28C5A" w14:textId="77777777" w:rsidTr="00316347">
        <w:tc>
          <w:tcPr>
            <w:tcW w:w="3140" w:type="dxa"/>
            <w:shd w:val="clear" w:color="auto" w:fill="auto"/>
            <w:vAlign w:val="center"/>
            <w:hideMark/>
          </w:tcPr>
          <w:p w14:paraId="26F222E3"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Solar</w:t>
            </w:r>
          </w:p>
        </w:tc>
        <w:tc>
          <w:tcPr>
            <w:tcW w:w="1600" w:type="dxa"/>
            <w:shd w:val="clear" w:color="auto" w:fill="auto"/>
            <w:vAlign w:val="center"/>
            <w:hideMark/>
          </w:tcPr>
          <w:p w14:paraId="3231235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2224FE39"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003986B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0.267</w:t>
            </w:r>
            <w:r w:rsidRPr="009C5EFC">
              <w:rPr>
                <w:rFonts w:eastAsia="Times New Roman" w:cs="Times New Roman"/>
                <w:color w:val="000000"/>
                <w:sz w:val="20"/>
                <w:szCs w:val="20"/>
                <w:vertAlign w:val="superscript"/>
                <w:lang w:val="en-AU" w:eastAsia="en-AU"/>
              </w:rPr>
              <w:t>***</w:t>
            </w:r>
          </w:p>
        </w:tc>
      </w:tr>
      <w:tr w:rsidR="00A35FD4" w:rsidRPr="000A077F" w14:paraId="5F3FCD04" w14:textId="77777777" w:rsidTr="00316347">
        <w:tc>
          <w:tcPr>
            <w:tcW w:w="3140" w:type="dxa"/>
            <w:shd w:val="clear" w:color="auto" w:fill="auto"/>
            <w:vAlign w:val="center"/>
            <w:hideMark/>
          </w:tcPr>
          <w:p w14:paraId="28FF1910"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Double_glazing</w:t>
            </w:r>
          </w:p>
        </w:tc>
        <w:tc>
          <w:tcPr>
            <w:tcW w:w="1600" w:type="dxa"/>
            <w:shd w:val="clear" w:color="auto" w:fill="auto"/>
            <w:vAlign w:val="center"/>
            <w:hideMark/>
          </w:tcPr>
          <w:p w14:paraId="5D713DC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5C5CA3C8"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6904265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0.336</w:t>
            </w:r>
            <w:r w:rsidRPr="009C5EFC">
              <w:rPr>
                <w:rFonts w:eastAsia="Times New Roman" w:cs="Times New Roman"/>
                <w:color w:val="000000"/>
                <w:sz w:val="20"/>
                <w:szCs w:val="20"/>
                <w:vertAlign w:val="superscript"/>
                <w:lang w:val="en-AU" w:eastAsia="en-AU"/>
              </w:rPr>
              <w:t>***</w:t>
            </w:r>
          </w:p>
        </w:tc>
      </w:tr>
      <w:tr w:rsidR="00A35FD4" w:rsidRPr="000A077F" w14:paraId="721F211C" w14:textId="77777777" w:rsidTr="00316347">
        <w:tc>
          <w:tcPr>
            <w:tcW w:w="3140" w:type="dxa"/>
            <w:shd w:val="clear" w:color="auto" w:fill="auto"/>
            <w:vAlign w:val="center"/>
            <w:hideMark/>
          </w:tcPr>
          <w:p w14:paraId="2DA9047F"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Insulation</w:t>
            </w:r>
          </w:p>
        </w:tc>
        <w:tc>
          <w:tcPr>
            <w:tcW w:w="1600" w:type="dxa"/>
            <w:shd w:val="clear" w:color="auto" w:fill="auto"/>
            <w:vAlign w:val="center"/>
            <w:hideMark/>
          </w:tcPr>
          <w:p w14:paraId="481E412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4BB60D72"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222EA29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0.236</w:t>
            </w:r>
            <w:r w:rsidRPr="009C5EFC">
              <w:rPr>
                <w:rFonts w:eastAsia="Times New Roman" w:cs="Times New Roman"/>
                <w:color w:val="000000"/>
                <w:sz w:val="20"/>
                <w:szCs w:val="20"/>
                <w:vertAlign w:val="superscript"/>
                <w:lang w:val="en-AU" w:eastAsia="en-AU"/>
              </w:rPr>
              <w:t>***</w:t>
            </w:r>
          </w:p>
        </w:tc>
      </w:tr>
      <w:tr w:rsidR="00A35FD4" w:rsidRPr="000A077F" w14:paraId="19FE8B0F" w14:textId="77777777" w:rsidTr="00316347">
        <w:tc>
          <w:tcPr>
            <w:tcW w:w="3140" w:type="dxa"/>
            <w:shd w:val="clear" w:color="auto" w:fill="auto"/>
            <w:vAlign w:val="center"/>
            <w:hideMark/>
          </w:tcPr>
          <w:p w14:paraId="2F463538" w14:textId="212E5462"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Central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33747D89"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1700C298"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1336022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0.196</w:t>
            </w:r>
            <w:r w:rsidRPr="009C5EFC">
              <w:rPr>
                <w:rFonts w:eastAsia="Times New Roman" w:cs="Times New Roman"/>
                <w:color w:val="000000"/>
                <w:sz w:val="20"/>
                <w:szCs w:val="20"/>
                <w:vertAlign w:val="superscript"/>
                <w:lang w:val="en-AU" w:eastAsia="en-AU"/>
              </w:rPr>
              <w:t>***</w:t>
            </w:r>
          </w:p>
        </w:tc>
      </w:tr>
      <w:tr w:rsidR="00A35FD4" w:rsidRPr="000A077F" w14:paraId="65F9A96E" w14:textId="77777777" w:rsidTr="00316347">
        <w:tc>
          <w:tcPr>
            <w:tcW w:w="3140" w:type="dxa"/>
            <w:shd w:val="clear" w:color="auto" w:fill="auto"/>
            <w:vAlign w:val="center"/>
            <w:hideMark/>
          </w:tcPr>
          <w:p w14:paraId="55298AF3" w14:textId="0967EFC6"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lastRenderedPageBreak/>
              <w:t xml:space="preserve">Gas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35C4779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4D2C2070"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30E540F4" w14:textId="73662CEF"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0.0848</w:t>
            </w:r>
            <w:r w:rsidRPr="009C5EFC">
              <w:rPr>
                <w:rFonts w:eastAsia="Times New Roman" w:cs="Times New Roman"/>
                <w:color w:val="000000"/>
                <w:sz w:val="20"/>
                <w:szCs w:val="20"/>
                <w:vertAlign w:val="superscript"/>
                <w:lang w:val="en-AU" w:eastAsia="en-AU"/>
              </w:rPr>
              <w:t>***</w:t>
            </w:r>
          </w:p>
        </w:tc>
      </w:tr>
      <w:tr w:rsidR="00A35FD4" w:rsidRPr="000A077F" w14:paraId="43B37443" w14:textId="77777777" w:rsidTr="00316347">
        <w:tc>
          <w:tcPr>
            <w:tcW w:w="3140" w:type="dxa"/>
            <w:shd w:val="clear" w:color="auto" w:fill="auto"/>
            <w:vAlign w:val="center"/>
            <w:hideMark/>
          </w:tcPr>
          <w:p w14:paraId="35E5C42B" w14:textId="31D6BAE5"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Slab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4AA36BF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7A724529"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0CD432F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0.385</w:t>
            </w:r>
            <w:r w:rsidRPr="009C5EFC">
              <w:rPr>
                <w:rFonts w:eastAsia="Times New Roman" w:cs="Times New Roman"/>
                <w:color w:val="000000"/>
                <w:sz w:val="20"/>
                <w:szCs w:val="20"/>
                <w:vertAlign w:val="superscript"/>
                <w:lang w:val="en-AU" w:eastAsia="en-AU"/>
              </w:rPr>
              <w:t>***</w:t>
            </w:r>
          </w:p>
        </w:tc>
      </w:tr>
      <w:tr w:rsidR="00A35FD4" w:rsidRPr="000A077F" w14:paraId="767C5D1A" w14:textId="77777777" w:rsidTr="00316347">
        <w:tc>
          <w:tcPr>
            <w:tcW w:w="3140" w:type="dxa"/>
            <w:shd w:val="clear" w:color="auto" w:fill="auto"/>
            <w:vAlign w:val="center"/>
            <w:hideMark/>
          </w:tcPr>
          <w:p w14:paraId="567FFBF7"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Reverse Cycle Heating</w:t>
            </w:r>
          </w:p>
        </w:tc>
        <w:tc>
          <w:tcPr>
            <w:tcW w:w="1600" w:type="dxa"/>
            <w:shd w:val="clear" w:color="auto" w:fill="auto"/>
            <w:vAlign w:val="center"/>
            <w:hideMark/>
          </w:tcPr>
          <w:p w14:paraId="06F21377"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0FE182D1"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5964437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0.768</w:t>
            </w:r>
            <w:r w:rsidRPr="009C5EFC">
              <w:rPr>
                <w:rFonts w:eastAsia="Times New Roman" w:cs="Times New Roman"/>
                <w:color w:val="000000"/>
                <w:sz w:val="20"/>
                <w:szCs w:val="20"/>
                <w:vertAlign w:val="superscript"/>
                <w:lang w:val="en-AU" w:eastAsia="en-AU"/>
              </w:rPr>
              <w:t>***</w:t>
            </w:r>
          </w:p>
        </w:tc>
      </w:tr>
      <w:tr w:rsidR="00A35FD4" w:rsidRPr="000A077F" w14:paraId="5850C1D9" w14:textId="77777777" w:rsidTr="00316347">
        <w:tc>
          <w:tcPr>
            <w:tcW w:w="3140" w:type="dxa"/>
            <w:shd w:val="clear" w:color="auto" w:fill="auto"/>
            <w:vAlign w:val="center"/>
            <w:hideMark/>
          </w:tcPr>
          <w:p w14:paraId="1C0CB5D8" w14:textId="15CCB69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Wood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eater</w:t>
            </w:r>
          </w:p>
        </w:tc>
        <w:tc>
          <w:tcPr>
            <w:tcW w:w="1600" w:type="dxa"/>
            <w:shd w:val="clear" w:color="auto" w:fill="auto"/>
            <w:vAlign w:val="center"/>
            <w:hideMark/>
          </w:tcPr>
          <w:p w14:paraId="2EA8DBA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1EFED096"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3094D23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0.218</w:t>
            </w:r>
            <w:r w:rsidRPr="009C5EFC">
              <w:rPr>
                <w:rFonts w:eastAsia="Times New Roman" w:cs="Times New Roman"/>
                <w:color w:val="000000"/>
                <w:sz w:val="20"/>
                <w:szCs w:val="20"/>
                <w:vertAlign w:val="superscript"/>
                <w:lang w:val="en-AU" w:eastAsia="en-AU"/>
              </w:rPr>
              <w:t>**</w:t>
            </w:r>
          </w:p>
        </w:tc>
      </w:tr>
      <w:tr w:rsidR="00A35FD4" w:rsidRPr="000A077F" w14:paraId="666DBF2A" w14:textId="77777777" w:rsidTr="00316347">
        <w:tc>
          <w:tcPr>
            <w:tcW w:w="3140" w:type="dxa"/>
            <w:shd w:val="clear" w:color="auto" w:fill="auto"/>
            <w:vAlign w:val="center"/>
            <w:hideMark/>
          </w:tcPr>
          <w:p w14:paraId="2D297B13" w14:textId="40744D8F"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Gas </w:t>
            </w:r>
            <w:r>
              <w:rPr>
                <w:rFonts w:eastAsia="Times New Roman" w:cs="Times New Roman"/>
                <w:color w:val="000000"/>
                <w:sz w:val="20"/>
                <w:szCs w:val="20"/>
                <w:lang w:val="en-AU" w:eastAsia="en-AU"/>
              </w:rPr>
              <w:t>C</w:t>
            </w:r>
            <w:r w:rsidRPr="009C5EFC">
              <w:rPr>
                <w:rFonts w:eastAsia="Times New Roman" w:cs="Times New Roman"/>
                <w:color w:val="000000"/>
                <w:sz w:val="20"/>
                <w:szCs w:val="20"/>
                <w:lang w:val="en-AU" w:eastAsia="en-AU"/>
              </w:rPr>
              <w:t xml:space="preserve">entral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2B63483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1AD553CC"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04FC8457" w14:textId="48D03B5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0.0800</w:t>
            </w:r>
            <w:r w:rsidRPr="009C5EFC">
              <w:rPr>
                <w:rFonts w:eastAsia="Times New Roman" w:cs="Times New Roman"/>
                <w:color w:val="000000"/>
                <w:sz w:val="20"/>
                <w:szCs w:val="20"/>
                <w:vertAlign w:val="superscript"/>
                <w:lang w:val="en-AU" w:eastAsia="en-AU"/>
              </w:rPr>
              <w:t>**</w:t>
            </w:r>
          </w:p>
        </w:tc>
      </w:tr>
      <w:tr w:rsidR="00A35FD4" w:rsidRPr="000A077F" w14:paraId="1B5373DC" w14:textId="77777777" w:rsidTr="00316347">
        <w:tc>
          <w:tcPr>
            <w:tcW w:w="3140" w:type="dxa"/>
            <w:shd w:val="clear" w:color="auto" w:fill="auto"/>
            <w:vAlign w:val="center"/>
            <w:hideMark/>
          </w:tcPr>
          <w:p w14:paraId="1B4BABFD" w14:textId="7780807E"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Electric </w:t>
            </w:r>
            <w:r>
              <w:rPr>
                <w:rFonts w:eastAsia="Times New Roman" w:cs="Times New Roman"/>
                <w:color w:val="000000"/>
                <w:sz w:val="20"/>
                <w:szCs w:val="20"/>
                <w:lang w:val="en-AU" w:eastAsia="en-AU"/>
              </w:rPr>
              <w:t>H</w:t>
            </w:r>
            <w:r w:rsidRPr="009C5EFC">
              <w:rPr>
                <w:rFonts w:eastAsia="Times New Roman" w:cs="Times New Roman"/>
                <w:color w:val="000000"/>
                <w:sz w:val="20"/>
                <w:szCs w:val="20"/>
                <w:lang w:val="en-AU" w:eastAsia="en-AU"/>
              </w:rPr>
              <w:t>eating</w:t>
            </w:r>
          </w:p>
        </w:tc>
        <w:tc>
          <w:tcPr>
            <w:tcW w:w="1600" w:type="dxa"/>
            <w:shd w:val="clear" w:color="auto" w:fill="auto"/>
            <w:vAlign w:val="center"/>
            <w:hideMark/>
          </w:tcPr>
          <w:p w14:paraId="4111DACF"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6503FF21"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655F7D36" w14:textId="17CE5B76"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0.149</w:t>
            </w:r>
            <w:r w:rsidRPr="009C5EFC">
              <w:rPr>
                <w:rFonts w:eastAsia="Times New Roman" w:cs="Times New Roman"/>
                <w:color w:val="000000"/>
                <w:sz w:val="20"/>
                <w:szCs w:val="20"/>
                <w:vertAlign w:val="superscript"/>
                <w:lang w:val="en-AU" w:eastAsia="en-AU"/>
              </w:rPr>
              <w:t>***</w:t>
            </w:r>
          </w:p>
        </w:tc>
      </w:tr>
      <w:tr w:rsidR="00A35FD4" w:rsidRPr="000A077F" w14:paraId="6FE5389A" w14:textId="77777777" w:rsidTr="00316347">
        <w:tc>
          <w:tcPr>
            <w:tcW w:w="3140" w:type="dxa"/>
            <w:shd w:val="clear" w:color="auto" w:fill="auto"/>
            <w:vAlign w:val="center"/>
            <w:hideMark/>
          </w:tcPr>
          <w:p w14:paraId="6B908055" w14:textId="629770BE"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Heating </w:t>
            </w:r>
            <w:r>
              <w:rPr>
                <w:rFonts w:eastAsia="Times New Roman" w:cs="Times New Roman"/>
                <w:color w:val="000000"/>
                <w:sz w:val="20"/>
                <w:szCs w:val="20"/>
                <w:lang w:val="en-AU" w:eastAsia="en-AU"/>
              </w:rPr>
              <w:t>O</w:t>
            </w:r>
            <w:r w:rsidRPr="009C5EFC">
              <w:rPr>
                <w:rFonts w:eastAsia="Times New Roman" w:cs="Times New Roman"/>
                <w:color w:val="000000"/>
                <w:sz w:val="20"/>
                <w:szCs w:val="20"/>
                <w:lang w:val="en-AU" w:eastAsia="en-AU"/>
              </w:rPr>
              <w:t>ther</w:t>
            </w:r>
          </w:p>
        </w:tc>
        <w:tc>
          <w:tcPr>
            <w:tcW w:w="1600" w:type="dxa"/>
            <w:shd w:val="clear" w:color="auto" w:fill="auto"/>
            <w:vAlign w:val="center"/>
            <w:hideMark/>
          </w:tcPr>
          <w:p w14:paraId="21982CAD"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65F69C9F"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40E36D4F" w14:textId="66CD0FAC"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1.181</w:t>
            </w:r>
            <w:r w:rsidRPr="009C5EFC">
              <w:rPr>
                <w:rFonts w:eastAsia="Times New Roman" w:cs="Times New Roman"/>
                <w:color w:val="000000"/>
                <w:sz w:val="20"/>
                <w:szCs w:val="20"/>
                <w:vertAlign w:val="superscript"/>
                <w:lang w:val="en-AU" w:eastAsia="en-AU"/>
              </w:rPr>
              <w:t>***</w:t>
            </w:r>
          </w:p>
        </w:tc>
      </w:tr>
      <w:tr w:rsidR="00A35FD4" w:rsidRPr="000A077F" w14:paraId="722750E7" w14:textId="77777777" w:rsidTr="00316347">
        <w:tc>
          <w:tcPr>
            <w:tcW w:w="3140" w:type="dxa"/>
            <w:shd w:val="clear" w:color="auto" w:fill="auto"/>
            <w:vAlign w:val="center"/>
            <w:hideMark/>
          </w:tcPr>
          <w:p w14:paraId="47B96208"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AC Evaporative Cooling</w:t>
            </w:r>
          </w:p>
        </w:tc>
        <w:tc>
          <w:tcPr>
            <w:tcW w:w="1600" w:type="dxa"/>
            <w:shd w:val="clear" w:color="auto" w:fill="auto"/>
            <w:vAlign w:val="center"/>
            <w:hideMark/>
          </w:tcPr>
          <w:p w14:paraId="2DF2B0F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527AAD78"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475DBCF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0.189</w:t>
            </w:r>
            <w:r w:rsidRPr="009C5EFC">
              <w:rPr>
                <w:rFonts w:eastAsia="Times New Roman" w:cs="Times New Roman"/>
                <w:color w:val="000000"/>
                <w:sz w:val="20"/>
                <w:szCs w:val="20"/>
                <w:vertAlign w:val="superscript"/>
                <w:lang w:val="en-AU" w:eastAsia="en-AU"/>
              </w:rPr>
              <w:t>***</w:t>
            </w:r>
          </w:p>
        </w:tc>
      </w:tr>
      <w:tr w:rsidR="00A35FD4" w:rsidRPr="000A077F" w14:paraId="1E642F41" w14:textId="77777777" w:rsidTr="00316347">
        <w:tc>
          <w:tcPr>
            <w:tcW w:w="3140" w:type="dxa"/>
            <w:shd w:val="clear" w:color="auto" w:fill="auto"/>
            <w:vAlign w:val="center"/>
            <w:hideMark/>
          </w:tcPr>
          <w:p w14:paraId="6957B3D0" w14:textId="63DF33D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Split</w:t>
            </w: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ystem AC</w:t>
            </w:r>
          </w:p>
        </w:tc>
        <w:tc>
          <w:tcPr>
            <w:tcW w:w="1600" w:type="dxa"/>
            <w:shd w:val="clear" w:color="auto" w:fill="auto"/>
            <w:vAlign w:val="center"/>
            <w:hideMark/>
          </w:tcPr>
          <w:p w14:paraId="649A232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084475C7"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4567138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0.373</w:t>
            </w:r>
            <w:r w:rsidRPr="009C5EFC">
              <w:rPr>
                <w:rFonts w:eastAsia="Times New Roman" w:cs="Times New Roman"/>
                <w:color w:val="000000"/>
                <w:sz w:val="20"/>
                <w:szCs w:val="20"/>
                <w:vertAlign w:val="superscript"/>
                <w:lang w:val="en-AU" w:eastAsia="en-AU"/>
              </w:rPr>
              <w:t>***</w:t>
            </w:r>
          </w:p>
        </w:tc>
      </w:tr>
      <w:tr w:rsidR="00A35FD4" w:rsidRPr="000A077F" w14:paraId="64835BBD" w14:textId="77777777" w:rsidTr="00316347">
        <w:tc>
          <w:tcPr>
            <w:tcW w:w="3140" w:type="dxa"/>
            <w:shd w:val="clear" w:color="auto" w:fill="auto"/>
            <w:vAlign w:val="center"/>
            <w:hideMark/>
          </w:tcPr>
          <w:p w14:paraId="04759FF7" w14:textId="04D4B0B3"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 xml:space="preserve">AC </w:t>
            </w:r>
            <w:r>
              <w:rPr>
                <w:rFonts w:eastAsia="Times New Roman" w:cs="Times New Roman"/>
                <w:color w:val="000000"/>
                <w:sz w:val="20"/>
                <w:szCs w:val="20"/>
                <w:lang w:val="en-AU" w:eastAsia="en-AU"/>
              </w:rPr>
              <w:t>O</w:t>
            </w:r>
            <w:r w:rsidRPr="009C5EFC">
              <w:rPr>
                <w:rFonts w:eastAsia="Times New Roman" w:cs="Times New Roman"/>
                <w:color w:val="000000"/>
                <w:sz w:val="20"/>
                <w:szCs w:val="20"/>
                <w:lang w:val="en-AU" w:eastAsia="en-AU"/>
              </w:rPr>
              <w:t>ther</w:t>
            </w:r>
          </w:p>
        </w:tc>
        <w:tc>
          <w:tcPr>
            <w:tcW w:w="1600" w:type="dxa"/>
            <w:shd w:val="clear" w:color="auto" w:fill="auto"/>
            <w:vAlign w:val="center"/>
            <w:hideMark/>
          </w:tcPr>
          <w:p w14:paraId="2F8687E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57191D42"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7984537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0.101</w:t>
            </w:r>
            <w:r w:rsidRPr="009C5EFC">
              <w:rPr>
                <w:rFonts w:eastAsia="Times New Roman" w:cs="Times New Roman"/>
                <w:color w:val="000000"/>
                <w:sz w:val="20"/>
                <w:szCs w:val="20"/>
                <w:vertAlign w:val="superscript"/>
                <w:lang w:val="en-AU" w:eastAsia="en-AU"/>
              </w:rPr>
              <w:t>***</w:t>
            </w:r>
          </w:p>
        </w:tc>
      </w:tr>
      <w:tr w:rsidR="00A35FD4" w:rsidRPr="000A077F" w14:paraId="21307421" w14:textId="77777777" w:rsidTr="00316347">
        <w:tc>
          <w:tcPr>
            <w:tcW w:w="3140" w:type="dxa"/>
            <w:shd w:val="clear" w:color="auto" w:fill="auto"/>
            <w:vAlign w:val="center"/>
            <w:hideMark/>
          </w:tcPr>
          <w:p w14:paraId="1E635B92" w14:textId="77F1BE08"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Prop</w:t>
            </w:r>
            <w:r w:rsidR="00D4461C">
              <w:rPr>
                <w:rFonts w:eastAsia="Times New Roman" w:cs="Times New Roman"/>
                <w:color w:val="000000"/>
                <w:sz w:val="20"/>
                <w:szCs w:val="20"/>
                <w:lang w:val="en-AU" w:eastAsia="en-AU"/>
              </w:rPr>
              <w:t xml:space="preserve">erty </w:t>
            </w:r>
            <w:r w:rsidRPr="009C5EFC">
              <w:rPr>
                <w:rFonts w:eastAsia="Times New Roman" w:cs="Times New Roman"/>
                <w:color w:val="000000"/>
                <w:sz w:val="20"/>
                <w:szCs w:val="20"/>
                <w:lang w:val="en-AU" w:eastAsia="en-AU"/>
              </w:rPr>
              <w:t>type_apartment</w:t>
            </w:r>
          </w:p>
        </w:tc>
        <w:tc>
          <w:tcPr>
            <w:tcW w:w="1600" w:type="dxa"/>
            <w:shd w:val="clear" w:color="auto" w:fill="auto"/>
            <w:vAlign w:val="center"/>
            <w:hideMark/>
          </w:tcPr>
          <w:p w14:paraId="64BCB7D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36E4CD94"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02AF7BE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0.363</w:t>
            </w:r>
            <w:r w:rsidRPr="009C5EFC">
              <w:rPr>
                <w:rFonts w:eastAsia="Times New Roman" w:cs="Times New Roman"/>
                <w:color w:val="000000"/>
                <w:sz w:val="20"/>
                <w:szCs w:val="20"/>
                <w:vertAlign w:val="superscript"/>
                <w:lang w:val="en-AU" w:eastAsia="en-AU"/>
              </w:rPr>
              <w:t>***</w:t>
            </w:r>
          </w:p>
        </w:tc>
      </w:tr>
      <w:tr w:rsidR="00A35FD4" w:rsidRPr="000A077F" w14:paraId="06674BC6" w14:textId="77777777" w:rsidTr="00316347">
        <w:tc>
          <w:tcPr>
            <w:tcW w:w="3140" w:type="dxa"/>
            <w:shd w:val="clear" w:color="auto" w:fill="auto"/>
            <w:vAlign w:val="center"/>
            <w:hideMark/>
          </w:tcPr>
          <w:p w14:paraId="5AE3E676" w14:textId="3CFC54CB"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Prop</w:t>
            </w:r>
            <w:r w:rsidR="00D4461C">
              <w:rPr>
                <w:rFonts w:eastAsia="Times New Roman" w:cs="Times New Roman"/>
                <w:color w:val="000000"/>
                <w:sz w:val="20"/>
                <w:szCs w:val="20"/>
                <w:lang w:val="en-AU" w:eastAsia="en-AU"/>
              </w:rPr>
              <w:t xml:space="preserve">erty </w:t>
            </w:r>
            <w:r w:rsidRPr="009C5EFC">
              <w:rPr>
                <w:rFonts w:eastAsia="Times New Roman" w:cs="Times New Roman"/>
                <w:color w:val="000000"/>
                <w:sz w:val="20"/>
                <w:szCs w:val="20"/>
                <w:lang w:val="en-AU" w:eastAsia="en-AU"/>
              </w:rPr>
              <w:t>type_unit</w:t>
            </w:r>
          </w:p>
        </w:tc>
        <w:tc>
          <w:tcPr>
            <w:tcW w:w="1600" w:type="dxa"/>
            <w:shd w:val="clear" w:color="auto" w:fill="auto"/>
            <w:vAlign w:val="center"/>
            <w:hideMark/>
          </w:tcPr>
          <w:p w14:paraId="740D30DA"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3918224B"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6DE85DE7" w14:textId="6E8B8496"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0.0988</w:t>
            </w:r>
            <w:r w:rsidRPr="009C5EFC">
              <w:rPr>
                <w:rFonts w:eastAsia="Times New Roman" w:cs="Times New Roman"/>
                <w:color w:val="000000"/>
                <w:sz w:val="20"/>
                <w:szCs w:val="20"/>
                <w:vertAlign w:val="superscript"/>
                <w:lang w:val="en-AU" w:eastAsia="en-AU"/>
              </w:rPr>
              <w:t>***</w:t>
            </w:r>
          </w:p>
        </w:tc>
      </w:tr>
      <w:tr w:rsidR="00A35FD4" w:rsidRPr="000A077F" w14:paraId="04577A98" w14:textId="77777777" w:rsidTr="00316347">
        <w:tc>
          <w:tcPr>
            <w:tcW w:w="3140" w:type="dxa"/>
            <w:shd w:val="clear" w:color="auto" w:fill="auto"/>
            <w:vAlign w:val="center"/>
            <w:hideMark/>
          </w:tcPr>
          <w:p w14:paraId="43D2B14A"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Bedrooms</w:t>
            </w:r>
          </w:p>
        </w:tc>
        <w:tc>
          <w:tcPr>
            <w:tcW w:w="1600" w:type="dxa"/>
            <w:shd w:val="clear" w:color="auto" w:fill="auto"/>
            <w:vAlign w:val="center"/>
            <w:hideMark/>
          </w:tcPr>
          <w:p w14:paraId="04E82CDE"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5A0DF0FA"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63E286BA" w14:textId="796A6C38"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0.0169</w:t>
            </w:r>
            <w:r w:rsidRPr="009C5EFC">
              <w:rPr>
                <w:rFonts w:eastAsia="Times New Roman" w:cs="Times New Roman"/>
                <w:color w:val="000000"/>
                <w:sz w:val="20"/>
                <w:szCs w:val="20"/>
                <w:vertAlign w:val="superscript"/>
                <w:lang w:val="en-AU" w:eastAsia="en-AU"/>
              </w:rPr>
              <w:t>*</w:t>
            </w:r>
          </w:p>
        </w:tc>
      </w:tr>
      <w:tr w:rsidR="00A35FD4" w:rsidRPr="000A077F" w14:paraId="6AD8B542" w14:textId="77777777" w:rsidTr="00316347">
        <w:tc>
          <w:tcPr>
            <w:tcW w:w="3140" w:type="dxa"/>
            <w:shd w:val="clear" w:color="auto" w:fill="auto"/>
            <w:vAlign w:val="center"/>
            <w:hideMark/>
          </w:tcPr>
          <w:p w14:paraId="2B06D7B6" w14:textId="6A5B75DA" w:rsidR="00A35FD4" w:rsidRPr="009C5EFC" w:rsidRDefault="00A35FD4"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Constant</w:t>
            </w:r>
          </w:p>
        </w:tc>
        <w:tc>
          <w:tcPr>
            <w:tcW w:w="1600" w:type="dxa"/>
            <w:shd w:val="clear" w:color="auto" w:fill="auto"/>
            <w:vAlign w:val="center"/>
            <w:hideMark/>
          </w:tcPr>
          <w:p w14:paraId="408E275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shd w:val="clear" w:color="auto" w:fill="auto"/>
            <w:vAlign w:val="center"/>
            <w:hideMark/>
          </w:tcPr>
          <w:p w14:paraId="28877C90"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shd w:val="clear" w:color="auto" w:fill="auto"/>
            <w:vAlign w:val="center"/>
            <w:hideMark/>
          </w:tcPr>
          <w:p w14:paraId="70C258E1" w14:textId="02C698C2"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90.45</w:t>
            </w:r>
            <w:r w:rsidRPr="009C5EFC">
              <w:rPr>
                <w:rFonts w:eastAsia="Times New Roman" w:cs="Times New Roman"/>
                <w:color w:val="000000"/>
                <w:sz w:val="20"/>
                <w:szCs w:val="20"/>
                <w:vertAlign w:val="superscript"/>
                <w:lang w:val="en-AU" w:eastAsia="en-AU"/>
              </w:rPr>
              <w:t>***</w:t>
            </w:r>
          </w:p>
        </w:tc>
      </w:tr>
      <w:tr w:rsidR="00A35FD4" w:rsidRPr="002701CD" w14:paraId="54E4606A" w14:textId="77777777" w:rsidTr="00316347">
        <w:tc>
          <w:tcPr>
            <w:tcW w:w="3140" w:type="dxa"/>
            <w:shd w:val="clear" w:color="auto" w:fill="auto"/>
            <w:vAlign w:val="center"/>
            <w:hideMark/>
          </w:tcPr>
          <w:p w14:paraId="16AE9931" w14:textId="76DE922D" w:rsidR="00A35FD4" w:rsidRPr="002701CD" w:rsidRDefault="00A35FD4" w:rsidP="00A35FD4">
            <w:pPr>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Athrho</w:t>
            </w:r>
          </w:p>
        </w:tc>
        <w:tc>
          <w:tcPr>
            <w:tcW w:w="1600" w:type="dxa"/>
            <w:shd w:val="clear" w:color="auto" w:fill="auto"/>
            <w:vAlign w:val="center"/>
            <w:hideMark/>
          </w:tcPr>
          <w:p w14:paraId="4337BC26"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720" w:type="dxa"/>
            <w:shd w:val="clear" w:color="auto" w:fill="auto"/>
            <w:vAlign w:val="center"/>
            <w:hideMark/>
          </w:tcPr>
          <w:p w14:paraId="4C39E55B"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394" w:type="dxa"/>
            <w:shd w:val="clear" w:color="auto" w:fill="auto"/>
            <w:vAlign w:val="center"/>
            <w:hideMark/>
          </w:tcPr>
          <w:p w14:paraId="6420AEF2" w14:textId="4603CD36"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r w:rsidRPr="002701CD">
              <w:rPr>
                <w:rFonts w:cs="Times New Roman"/>
                <w:i/>
                <w:color w:val="000000"/>
                <w:sz w:val="20"/>
                <w:szCs w:val="20"/>
              </w:rPr>
              <w:t>–</w:t>
            </w:r>
            <w:r w:rsidRPr="002701CD">
              <w:rPr>
                <w:rFonts w:eastAsia="Times New Roman" w:cs="Times New Roman"/>
                <w:i/>
                <w:color w:val="000000"/>
                <w:sz w:val="20"/>
                <w:szCs w:val="20"/>
                <w:lang w:val="en-AU" w:eastAsia="en-AU"/>
              </w:rPr>
              <w:t>0.326</w:t>
            </w:r>
            <w:r w:rsidRPr="002701CD">
              <w:rPr>
                <w:rFonts w:eastAsia="Times New Roman" w:cs="Times New Roman"/>
                <w:i/>
                <w:color w:val="000000"/>
                <w:sz w:val="20"/>
                <w:szCs w:val="20"/>
                <w:vertAlign w:val="superscript"/>
                <w:lang w:val="en-AU" w:eastAsia="en-AU"/>
              </w:rPr>
              <w:t>***</w:t>
            </w:r>
          </w:p>
        </w:tc>
      </w:tr>
      <w:tr w:rsidR="00A35FD4" w:rsidRPr="002701CD" w14:paraId="7C479A08" w14:textId="77777777" w:rsidTr="00316347">
        <w:tc>
          <w:tcPr>
            <w:tcW w:w="3140" w:type="dxa"/>
            <w:shd w:val="clear" w:color="auto" w:fill="auto"/>
            <w:vAlign w:val="center"/>
            <w:hideMark/>
          </w:tcPr>
          <w:p w14:paraId="0A23E033" w14:textId="4070DBFB" w:rsidR="00A35FD4" w:rsidRPr="002701CD" w:rsidRDefault="00A35FD4" w:rsidP="00A35FD4">
            <w:pPr>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Ln sigma</w:t>
            </w:r>
          </w:p>
        </w:tc>
        <w:tc>
          <w:tcPr>
            <w:tcW w:w="1600" w:type="dxa"/>
            <w:shd w:val="clear" w:color="auto" w:fill="auto"/>
            <w:vAlign w:val="center"/>
            <w:hideMark/>
          </w:tcPr>
          <w:p w14:paraId="1D5CC33F"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720" w:type="dxa"/>
            <w:shd w:val="clear" w:color="auto" w:fill="auto"/>
            <w:vAlign w:val="center"/>
            <w:hideMark/>
          </w:tcPr>
          <w:p w14:paraId="0ABAFCA4" w14:textId="77777777"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p>
        </w:tc>
        <w:tc>
          <w:tcPr>
            <w:tcW w:w="1394" w:type="dxa"/>
            <w:shd w:val="clear" w:color="auto" w:fill="auto"/>
            <w:vAlign w:val="center"/>
            <w:hideMark/>
          </w:tcPr>
          <w:p w14:paraId="427ACE42" w14:textId="4FBB639E" w:rsidR="00A35FD4" w:rsidRPr="002701CD" w:rsidRDefault="00A35FD4" w:rsidP="00A35FD4">
            <w:pPr>
              <w:tabs>
                <w:tab w:val="decimal" w:pos="367"/>
              </w:tabs>
              <w:spacing w:before="40" w:after="40"/>
              <w:rPr>
                <w:rFonts w:eastAsia="Times New Roman" w:cs="Times New Roman"/>
                <w:i/>
                <w:color w:val="000000"/>
                <w:sz w:val="20"/>
                <w:szCs w:val="20"/>
                <w:lang w:val="en-AU" w:eastAsia="en-AU"/>
              </w:rPr>
            </w:pPr>
            <w:r w:rsidRPr="002701CD">
              <w:rPr>
                <w:rFonts w:eastAsia="Times New Roman" w:cs="Times New Roman"/>
                <w:i/>
                <w:color w:val="000000"/>
                <w:sz w:val="20"/>
                <w:szCs w:val="20"/>
                <w:lang w:val="en-AU" w:eastAsia="en-AU"/>
              </w:rPr>
              <w:t> </w:t>
            </w:r>
            <w:r w:rsidRPr="002701CD">
              <w:rPr>
                <w:rFonts w:cs="Times New Roman"/>
                <w:i/>
                <w:color w:val="000000"/>
                <w:sz w:val="20"/>
                <w:szCs w:val="20"/>
              </w:rPr>
              <w:t>–</w:t>
            </w:r>
            <w:r w:rsidRPr="002701CD">
              <w:rPr>
                <w:rFonts w:eastAsia="Times New Roman" w:cs="Times New Roman"/>
                <w:i/>
                <w:color w:val="000000"/>
                <w:sz w:val="20"/>
                <w:szCs w:val="20"/>
                <w:lang w:val="en-AU" w:eastAsia="en-AU"/>
              </w:rPr>
              <w:t>1.962</w:t>
            </w:r>
            <w:r w:rsidRPr="002701CD">
              <w:rPr>
                <w:rFonts w:eastAsia="Times New Roman" w:cs="Times New Roman"/>
                <w:i/>
                <w:color w:val="000000"/>
                <w:sz w:val="20"/>
                <w:szCs w:val="20"/>
                <w:vertAlign w:val="superscript"/>
                <w:lang w:val="en-AU" w:eastAsia="en-AU"/>
              </w:rPr>
              <w:t>***</w:t>
            </w:r>
          </w:p>
        </w:tc>
      </w:tr>
      <w:tr w:rsidR="00A35FD4" w:rsidRPr="000A077F" w14:paraId="0C1BBB1E" w14:textId="77777777" w:rsidTr="00316347">
        <w:tc>
          <w:tcPr>
            <w:tcW w:w="3140" w:type="dxa"/>
            <w:shd w:val="clear" w:color="auto" w:fill="auto"/>
            <w:vAlign w:val="center"/>
            <w:hideMark/>
          </w:tcPr>
          <w:p w14:paraId="3CDA6BFF" w14:textId="53D40C25" w:rsidR="00A35FD4" w:rsidRPr="009C5EFC" w:rsidRDefault="00A35FD4"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S</w:t>
            </w:r>
            <w:r w:rsidRPr="009C5EFC">
              <w:rPr>
                <w:rFonts w:eastAsia="Times New Roman" w:cs="Times New Roman"/>
                <w:color w:val="000000"/>
                <w:sz w:val="20"/>
                <w:szCs w:val="20"/>
                <w:lang w:val="en-AU" w:eastAsia="en-AU"/>
              </w:rPr>
              <w:t xml:space="preserve">uburb </w:t>
            </w:r>
            <w:r>
              <w:rPr>
                <w:rFonts w:eastAsia="Times New Roman" w:cs="Times New Roman"/>
                <w:color w:val="000000"/>
                <w:sz w:val="20"/>
                <w:szCs w:val="20"/>
                <w:lang w:val="en-AU" w:eastAsia="en-AU"/>
              </w:rPr>
              <w:t>F</w:t>
            </w:r>
            <w:r w:rsidRPr="009C5EFC">
              <w:rPr>
                <w:rFonts w:eastAsia="Times New Roman" w:cs="Times New Roman"/>
                <w:color w:val="000000"/>
                <w:sz w:val="20"/>
                <w:szCs w:val="20"/>
                <w:lang w:val="en-AU" w:eastAsia="en-AU"/>
              </w:rPr>
              <w:t xml:space="preserve">ixed </w:t>
            </w:r>
            <w:r>
              <w:rPr>
                <w:rFonts w:eastAsia="Times New Roman" w:cs="Times New Roman"/>
                <w:color w:val="000000"/>
                <w:sz w:val="20"/>
                <w:szCs w:val="20"/>
                <w:lang w:val="en-AU" w:eastAsia="en-AU"/>
              </w:rPr>
              <w:t>E</w:t>
            </w:r>
            <w:r w:rsidRPr="009C5EFC">
              <w:rPr>
                <w:rFonts w:eastAsia="Times New Roman" w:cs="Times New Roman"/>
                <w:color w:val="000000"/>
                <w:sz w:val="20"/>
                <w:szCs w:val="20"/>
                <w:lang w:val="en-AU" w:eastAsia="en-AU"/>
              </w:rPr>
              <w:t xml:space="preserve">ffects </w:t>
            </w:r>
          </w:p>
        </w:tc>
        <w:tc>
          <w:tcPr>
            <w:tcW w:w="1600" w:type="dxa"/>
            <w:shd w:val="clear" w:color="auto" w:fill="auto"/>
            <w:vAlign w:val="center"/>
            <w:hideMark/>
          </w:tcPr>
          <w:p w14:paraId="226DDFD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720" w:type="dxa"/>
            <w:shd w:val="clear" w:color="auto" w:fill="auto"/>
            <w:vAlign w:val="center"/>
            <w:hideMark/>
          </w:tcPr>
          <w:p w14:paraId="6C303F0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394" w:type="dxa"/>
            <w:shd w:val="clear" w:color="auto" w:fill="auto"/>
            <w:vAlign w:val="center"/>
            <w:hideMark/>
          </w:tcPr>
          <w:p w14:paraId="11EEAAD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r>
      <w:tr w:rsidR="00A35FD4" w:rsidRPr="000A077F" w14:paraId="470256B4" w14:textId="77777777" w:rsidTr="00316347">
        <w:tc>
          <w:tcPr>
            <w:tcW w:w="3140" w:type="dxa"/>
            <w:shd w:val="clear" w:color="auto" w:fill="auto"/>
            <w:vAlign w:val="center"/>
            <w:hideMark/>
          </w:tcPr>
          <w:p w14:paraId="1EE6214D" w14:textId="14661CD0" w:rsidR="00A35FD4" w:rsidRPr="009C5EFC" w:rsidRDefault="00A35FD4"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P</w:t>
            </w:r>
            <w:r w:rsidRPr="009C5EFC">
              <w:rPr>
                <w:rFonts w:eastAsia="Times New Roman" w:cs="Times New Roman"/>
                <w:color w:val="000000"/>
                <w:sz w:val="20"/>
                <w:szCs w:val="20"/>
                <w:lang w:val="en-AU" w:eastAsia="en-AU"/>
              </w:rPr>
              <w:t xml:space="preserve">roperty </w:t>
            </w:r>
            <w:r>
              <w:rPr>
                <w:rFonts w:eastAsia="Times New Roman" w:cs="Times New Roman"/>
                <w:color w:val="000000"/>
                <w:sz w:val="20"/>
                <w:szCs w:val="20"/>
                <w:lang w:val="en-AU" w:eastAsia="en-AU"/>
              </w:rPr>
              <w:t>T</w:t>
            </w:r>
            <w:r w:rsidRPr="009C5EFC">
              <w:rPr>
                <w:rFonts w:eastAsia="Times New Roman" w:cs="Times New Roman"/>
                <w:color w:val="000000"/>
                <w:sz w:val="20"/>
                <w:szCs w:val="20"/>
                <w:lang w:val="en-AU" w:eastAsia="en-AU"/>
              </w:rPr>
              <w:t xml:space="preserve">ype </w:t>
            </w:r>
            <w:r>
              <w:rPr>
                <w:rFonts w:eastAsia="Times New Roman" w:cs="Times New Roman"/>
                <w:color w:val="000000"/>
                <w:sz w:val="20"/>
                <w:szCs w:val="20"/>
                <w:lang w:val="en-AU" w:eastAsia="en-AU"/>
              </w:rPr>
              <w:t>F</w:t>
            </w:r>
            <w:r w:rsidRPr="009C5EFC">
              <w:rPr>
                <w:rFonts w:eastAsia="Times New Roman" w:cs="Times New Roman"/>
                <w:color w:val="000000"/>
                <w:sz w:val="20"/>
                <w:szCs w:val="20"/>
                <w:lang w:val="en-AU" w:eastAsia="en-AU"/>
              </w:rPr>
              <w:t xml:space="preserve">ixed </w:t>
            </w:r>
            <w:r>
              <w:rPr>
                <w:rFonts w:eastAsia="Times New Roman" w:cs="Times New Roman"/>
                <w:color w:val="000000"/>
                <w:sz w:val="20"/>
                <w:szCs w:val="20"/>
                <w:lang w:val="en-AU" w:eastAsia="en-AU"/>
              </w:rPr>
              <w:t>E</w:t>
            </w:r>
            <w:r w:rsidRPr="009C5EFC">
              <w:rPr>
                <w:rFonts w:eastAsia="Times New Roman" w:cs="Times New Roman"/>
                <w:color w:val="000000"/>
                <w:sz w:val="20"/>
                <w:szCs w:val="20"/>
                <w:lang w:val="en-AU" w:eastAsia="en-AU"/>
              </w:rPr>
              <w:t xml:space="preserve">ffects </w:t>
            </w:r>
          </w:p>
        </w:tc>
        <w:tc>
          <w:tcPr>
            <w:tcW w:w="1600" w:type="dxa"/>
            <w:shd w:val="clear" w:color="auto" w:fill="auto"/>
            <w:vAlign w:val="center"/>
            <w:hideMark/>
          </w:tcPr>
          <w:p w14:paraId="7D9851A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720" w:type="dxa"/>
            <w:shd w:val="clear" w:color="auto" w:fill="auto"/>
            <w:vAlign w:val="center"/>
            <w:hideMark/>
          </w:tcPr>
          <w:p w14:paraId="5782375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394" w:type="dxa"/>
            <w:shd w:val="clear" w:color="auto" w:fill="auto"/>
            <w:vAlign w:val="center"/>
            <w:hideMark/>
          </w:tcPr>
          <w:p w14:paraId="3992924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r>
      <w:tr w:rsidR="00A35FD4" w:rsidRPr="000A077F" w14:paraId="1B91D414" w14:textId="77777777" w:rsidTr="00316347">
        <w:tc>
          <w:tcPr>
            <w:tcW w:w="3140" w:type="dxa"/>
            <w:shd w:val="clear" w:color="auto" w:fill="auto"/>
            <w:vAlign w:val="center"/>
            <w:hideMark/>
          </w:tcPr>
          <w:p w14:paraId="3FC517F9" w14:textId="67015E57" w:rsidR="00A35FD4" w:rsidRPr="009C5EFC" w:rsidRDefault="00A35FD4" w:rsidP="00A35FD4">
            <w:pPr>
              <w:spacing w:before="40" w:after="40"/>
              <w:rPr>
                <w:rFonts w:eastAsia="Times New Roman" w:cs="Times New Roman"/>
                <w:color w:val="000000"/>
                <w:sz w:val="20"/>
                <w:szCs w:val="20"/>
                <w:lang w:val="en-AU" w:eastAsia="en-AU"/>
              </w:rPr>
            </w:pPr>
            <w:r>
              <w:rPr>
                <w:rFonts w:eastAsia="Times New Roman" w:cs="Times New Roman"/>
                <w:color w:val="000000"/>
                <w:sz w:val="20"/>
                <w:szCs w:val="20"/>
                <w:lang w:val="en-AU" w:eastAsia="en-AU"/>
              </w:rPr>
              <w:t>Q</w:t>
            </w:r>
            <w:r w:rsidRPr="009C5EFC">
              <w:rPr>
                <w:rFonts w:eastAsia="Times New Roman" w:cs="Times New Roman"/>
                <w:color w:val="000000"/>
                <w:sz w:val="20"/>
                <w:szCs w:val="20"/>
                <w:lang w:val="en-AU" w:eastAsia="en-AU"/>
              </w:rPr>
              <w:t xml:space="preserve">uarterly </w:t>
            </w:r>
            <w:r>
              <w:rPr>
                <w:rFonts w:eastAsia="Times New Roman" w:cs="Times New Roman"/>
                <w:color w:val="000000"/>
                <w:sz w:val="20"/>
                <w:szCs w:val="20"/>
                <w:lang w:val="en-AU" w:eastAsia="en-AU"/>
              </w:rPr>
              <w:t>F</w:t>
            </w:r>
            <w:r w:rsidRPr="009C5EFC">
              <w:rPr>
                <w:rFonts w:eastAsia="Times New Roman" w:cs="Times New Roman"/>
                <w:color w:val="000000"/>
                <w:sz w:val="20"/>
                <w:szCs w:val="20"/>
                <w:lang w:val="en-AU" w:eastAsia="en-AU"/>
              </w:rPr>
              <w:t xml:space="preserve">ixed </w:t>
            </w:r>
            <w:r>
              <w:rPr>
                <w:rFonts w:eastAsia="Times New Roman" w:cs="Times New Roman"/>
                <w:color w:val="000000"/>
                <w:sz w:val="20"/>
                <w:szCs w:val="20"/>
                <w:lang w:val="en-AU" w:eastAsia="en-AU"/>
              </w:rPr>
              <w:t>E</w:t>
            </w:r>
            <w:r w:rsidRPr="009C5EFC">
              <w:rPr>
                <w:rFonts w:eastAsia="Times New Roman" w:cs="Times New Roman"/>
                <w:color w:val="000000"/>
                <w:sz w:val="20"/>
                <w:szCs w:val="20"/>
                <w:lang w:val="en-AU" w:eastAsia="en-AU"/>
              </w:rPr>
              <w:t xml:space="preserve">ffects </w:t>
            </w:r>
          </w:p>
        </w:tc>
        <w:tc>
          <w:tcPr>
            <w:tcW w:w="1600" w:type="dxa"/>
            <w:shd w:val="clear" w:color="auto" w:fill="auto"/>
            <w:vAlign w:val="center"/>
            <w:hideMark/>
          </w:tcPr>
          <w:p w14:paraId="07358A78"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720" w:type="dxa"/>
            <w:shd w:val="clear" w:color="auto" w:fill="auto"/>
            <w:vAlign w:val="center"/>
            <w:hideMark/>
          </w:tcPr>
          <w:p w14:paraId="2C0DDD5C"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c>
          <w:tcPr>
            <w:tcW w:w="1394" w:type="dxa"/>
            <w:shd w:val="clear" w:color="auto" w:fill="auto"/>
            <w:vAlign w:val="center"/>
            <w:hideMark/>
          </w:tcPr>
          <w:p w14:paraId="2AF1DC01"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Yes</w:t>
            </w:r>
          </w:p>
        </w:tc>
      </w:tr>
      <w:tr w:rsidR="00A35FD4" w:rsidRPr="000A077F" w14:paraId="3BA1A946" w14:textId="77777777" w:rsidTr="00316347">
        <w:tc>
          <w:tcPr>
            <w:tcW w:w="3140" w:type="dxa"/>
            <w:shd w:val="clear" w:color="auto" w:fill="auto"/>
            <w:vAlign w:val="center"/>
            <w:hideMark/>
          </w:tcPr>
          <w:p w14:paraId="4481C235" w14:textId="77777777" w:rsidR="00A35FD4" w:rsidRPr="009C5EFC" w:rsidRDefault="00A35FD4" w:rsidP="00A35FD4">
            <w:pPr>
              <w:spacing w:before="40" w:after="40"/>
              <w:rPr>
                <w:rFonts w:eastAsia="Times New Roman" w:cs="Times New Roman"/>
                <w:i/>
                <w:iCs/>
                <w:color w:val="000000"/>
                <w:sz w:val="20"/>
                <w:szCs w:val="20"/>
                <w:lang w:val="en-AU" w:eastAsia="en-AU"/>
              </w:rPr>
            </w:pPr>
            <w:r w:rsidRPr="009C5EFC">
              <w:rPr>
                <w:rFonts w:eastAsia="Times New Roman" w:cs="Times New Roman"/>
                <w:i/>
                <w:iCs/>
                <w:color w:val="000000"/>
                <w:sz w:val="20"/>
                <w:szCs w:val="20"/>
                <w:lang w:val="en-AU" w:eastAsia="en-AU"/>
              </w:rPr>
              <w:t>N</w:t>
            </w:r>
          </w:p>
        </w:tc>
        <w:tc>
          <w:tcPr>
            <w:tcW w:w="1600" w:type="dxa"/>
            <w:shd w:val="clear" w:color="auto" w:fill="auto"/>
            <w:vAlign w:val="center"/>
            <w:hideMark/>
          </w:tcPr>
          <w:p w14:paraId="410434E9" w14:textId="36CA0875"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59</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336</w:t>
            </w:r>
          </w:p>
        </w:tc>
        <w:tc>
          <w:tcPr>
            <w:tcW w:w="1720" w:type="dxa"/>
            <w:shd w:val="clear" w:color="auto" w:fill="auto"/>
            <w:vAlign w:val="center"/>
            <w:hideMark/>
          </w:tcPr>
          <w:p w14:paraId="596E9753" w14:textId="504CBC61"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59</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336</w:t>
            </w:r>
          </w:p>
        </w:tc>
        <w:tc>
          <w:tcPr>
            <w:tcW w:w="1394" w:type="dxa"/>
            <w:shd w:val="clear" w:color="auto" w:fill="auto"/>
            <w:vAlign w:val="center"/>
            <w:hideMark/>
          </w:tcPr>
          <w:p w14:paraId="02B02C57" w14:textId="1B181C8F"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67</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607</w:t>
            </w:r>
          </w:p>
        </w:tc>
      </w:tr>
      <w:tr w:rsidR="00A35FD4" w:rsidRPr="000A077F" w14:paraId="3F80C270" w14:textId="77777777" w:rsidTr="00316347">
        <w:tc>
          <w:tcPr>
            <w:tcW w:w="3140" w:type="dxa"/>
            <w:shd w:val="clear" w:color="auto" w:fill="auto"/>
            <w:vAlign w:val="center"/>
            <w:hideMark/>
          </w:tcPr>
          <w:p w14:paraId="43E7A797" w14:textId="77777777" w:rsidR="00A35FD4" w:rsidRPr="009C5EFC" w:rsidRDefault="00A35FD4" w:rsidP="00A35FD4">
            <w:pPr>
              <w:spacing w:before="40" w:after="40"/>
              <w:rPr>
                <w:rFonts w:eastAsia="Times New Roman" w:cs="Times New Roman"/>
                <w:i/>
                <w:iCs/>
                <w:color w:val="000000"/>
                <w:sz w:val="20"/>
                <w:szCs w:val="20"/>
                <w:lang w:val="en-AU" w:eastAsia="en-AU"/>
              </w:rPr>
            </w:pPr>
            <w:r w:rsidRPr="009C5EFC">
              <w:rPr>
                <w:rFonts w:eastAsia="Times New Roman" w:cs="Times New Roman"/>
                <w:i/>
                <w:iCs/>
                <w:color w:val="000000"/>
                <w:sz w:val="20"/>
                <w:szCs w:val="20"/>
                <w:lang w:val="en-AU" w:eastAsia="en-AU"/>
              </w:rPr>
              <w:t>R2</w:t>
            </w:r>
          </w:p>
        </w:tc>
        <w:tc>
          <w:tcPr>
            <w:tcW w:w="1600" w:type="dxa"/>
            <w:shd w:val="clear" w:color="auto" w:fill="auto"/>
            <w:vAlign w:val="center"/>
            <w:hideMark/>
          </w:tcPr>
          <w:p w14:paraId="29152F70"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0.768</w:t>
            </w:r>
          </w:p>
        </w:tc>
        <w:tc>
          <w:tcPr>
            <w:tcW w:w="1720" w:type="dxa"/>
            <w:shd w:val="clear" w:color="auto" w:fill="auto"/>
            <w:vAlign w:val="center"/>
            <w:hideMark/>
          </w:tcPr>
          <w:p w14:paraId="2CC99E86"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0.765</w:t>
            </w:r>
          </w:p>
        </w:tc>
        <w:tc>
          <w:tcPr>
            <w:tcW w:w="1394" w:type="dxa"/>
            <w:shd w:val="clear" w:color="auto" w:fill="auto"/>
            <w:vAlign w:val="center"/>
            <w:hideMark/>
          </w:tcPr>
          <w:p w14:paraId="4DD3556B"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4347218" w14:textId="77777777" w:rsidTr="00316347">
        <w:tc>
          <w:tcPr>
            <w:tcW w:w="3140" w:type="dxa"/>
            <w:shd w:val="clear" w:color="auto" w:fill="auto"/>
            <w:vAlign w:val="center"/>
            <w:hideMark/>
          </w:tcPr>
          <w:p w14:paraId="49B010FD"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adj. R2</w:t>
            </w:r>
          </w:p>
        </w:tc>
        <w:tc>
          <w:tcPr>
            <w:tcW w:w="1600" w:type="dxa"/>
            <w:shd w:val="clear" w:color="auto" w:fill="auto"/>
            <w:vAlign w:val="center"/>
            <w:hideMark/>
          </w:tcPr>
          <w:p w14:paraId="02888CA3"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0.767</w:t>
            </w:r>
          </w:p>
        </w:tc>
        <w:tc>
          <w:tcPr>
            <w:tcW w:w="1720" w:type="dxa"/>
            <w:shd w:val="clear" w:color="auto" w:fill="auto"/>
            <w:vAlign w:val="center"/>
            <w:hideMark/>
          </w:tcPr>
          <w:p w14:paraId="4B87EAB5"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0.764</w:t>
            </w:r>
          </w:p>
        </w:tc>
        <w:tc>
          <w:tcPr>
            <w:tcW w:w="1394" w:type="dxa"/>
            <w:shd w:val="clear" w:color="auto" w:fill="auto"/>
            <w:vAlign w:val="center"/>
            <w:hideMark/>
          </w:tcPr>
          <w:p w14:paraId="38440304"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r>
      <w:tr w:rsidR="00A35FD4" w:rsidRPr="000A077F" w14:paraId="2882A5A9" w14:textId="77777777" w:rsidTr="00316347">
        <w:tc>
          <w:tcPr>
            <w:tcW w:w="3140" w:type="dxa"/>
            <w:tcBorders>
              <w:bottom w:val="nil"/>
            </w:tcBorders>
            <w:shd w:val="clear" w:color="auto" w:fill="auto"/>
            <w:vAlign w:val="center"/>
            <w:hideMark/>
          </w:tcPr>
          <w:p w14:paraId="0B09BAB2" w14:textId="77777777" w:rsidR="00A35FD4" w:rsidRPr="009C5EFC" w:rsidRDefault="00A35FD4" w:rsidP="00A35FD4">
            <w:pPr>
              <w:spacing w:before="40" w:after="40"/>
              <w:rPr>
                <w:rFonts w:eastAsia="Times New Roman" w:cs="Times New Roman"/>
                <w:i/>
                <w:iCs/>
                <w:color w:val="000000"/>
                <w:sz w:val="20"/>
                <w:szCs w:val="20"/>
                <w:lang w:val="en-AU" w:eastAsia="en-AU"/>
              </w:rPr>
            </w:pPr>
            <w:r w:rsidRPr="009C5EFC">
              <w:rPr>
                <w:rFonts w:eastAsia="Times New Roman" w:cs="Times New Roman"/>
                <w:i/>
                <w:iCs/>
                <w:color w:val="000000"/>
                <w:sz w:val="20"/>
                <w:szCs w:val="20"/>
                <w:lang w:val="en-AU" w:eastAsia="en-AU"/>
              </w:rPr>
              <w:t>AIC</w:t>
            </w:r>
          </w:p>
        </w:tc>
        <w:tc>
          <w:tcPr>
            <w:tcW w:w="1600" w:type="dxa"/>
            <w:tcBorders>
              <w:bottom w:val="nil"/>
            </w:tcBorders>
            <w:shd w:val="clear" w:color="auto" w:fill="auto"/>
            <w:vAlign w:val="center"/>
            <w:hideMark/>
          </w:tcPr>
          <w:p w14:paraId="0F4BE614" w14:textId="3A8D1309"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80</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299.5</w:t>
            </w:r>
          </w:p>
        </w:tc>
        <w:tc>
          <w:tcPr>
            <w:tcW w:w="1720" w:type="dxa"/>
            <w:tcBorders>
              <w:bottom w:val="nil"/>
            </w:tcBorders>
            <w:shd w:val="clear" w:color="auto" w:fill="auto"/>
            <w:vAlign w:val="center"/>
            <w:hideMark/>
          </w:tcPr>
          <w:p w14:paraId="6DC65592" w14:textId="51201B88"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79</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527.4</w:t>
            </w:r>
          </w:p>
        </w:tc>
        <w:tc>
          <w:tcPr>
            <w:tcW w:w="1394" w:type="dxa"/>
            <w:tcBorders>
              <w:bottom w:val="nil"/>
            </w:tcBorders>
            <w:shd w:val="clear" w:color="auto" w:fill="auto"/>
            <w:vAlign w:val="center"/>
            <w:hideMark/>
          </w:tcPr>
          <w:p w14:paraId="6CCDA6BE" w14:textId="070C5B3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53</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910.9</w:t>
            </w:r>
          </w:p>
        </w:tc>
      </w:tr>
      <w:tr w:rsidR="00A35FD4" w:rsidRPr="000A077F" w14:paraId="5FD79EDA" w14:textId="77777777" w:rsidTr="00316347">
        <w:tc>
          <w:tcPr>
            <w:tcW w:w="3140" w:type="dxa"/>
            <w:tcBorders>
              <w:top w:val="nil"/>
              <w:bottom w:val="single" w:sz="4" w:space="0" w:color="auto"/>
            </w:tcBorders>
            <w:shd w:val="clear" w:color="auto" w:fill="auto"/>
            <w:vAlign w:val="center"/>
            <w:hideMark/>
          </w:tcPr>
          <w:p w14:paraId="371A07C2" w14:textId="77777777" w:rsidR="00A35FD4" w:rsidRPr="009C5EFC" w:rsidRDefault="00A35FD4" w:rsidP="00A35FD4">
            <w:pPr>
              <w:spacing w:before="40" w:after="40"/>
              <w:rPr>
                <w:rFonts w:eastAsia="Times New Roman" w:cs="Times New Roman"/>
                <w:i/>
                <w:iCs/>
                <w:color w:val="000000"/>
                <w:sz w:val="20"/>
                <w:szCs w:val="20"/>
                <w:lang w:val="en-AU" w:eastAsia="en-AU"/>
              </w:rPr>
            </w:pPr>
            <w:r w:rsidRPr="009C5EFC">
              <w:rPr>
                <w:rFonts w:eastAsia="Times New Roman" w:cs="Times New Roman"/>
                <w:i/>
                <w:iCs/>
                <w:color w:val="000000"/>
                <w:sz w:val="20"/>
                <w:szCs w:val="20"/>
                <w:lang w:val="en-AU" w:eastAsia="en-AU"/>
              </w:rPr>
              <w:t>BIC</w:t>
            </w:r>
          </w:p>
        </w:tc>
        <w:tc>
          <w:tcPr>
            <w:tcW w:w="1600" w:type="dxa"/>
            <w:tcBorders>
              <w:top w:val="nil"/>
              <w:bottom w:val="single" w:sz="4" w:space="0" w:color="auto"/>
            </w:tcBorders>
            <w:shd w:val="clear" w:color="auto" w:fill="auto"/>
            <w:vAlign w:val="center"/>
            <w:hideMark/>
          </w:tcPr>
          <w:p w14:paraId="7CA85C43" w14:textId="57CD1363"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78</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438.3</w:t>
            </w:r>
          </w:p>
        </w:tc>
        <w:tc>
          <w:tcPr>
            <w:tcW w:w="1720" w:type="dxa"/>
            <w:tcBorders>
              <w:top w:val="nil"/>
              <w:bottom w:val="single" w:sz="4" w:space="0" w:color="auto"/>
            </w:tcBorders>
            <w:shd w:val="clear" w:color="auto" w:fill="auto"/>
            <w:vAlign w:val="center"/>
            <w:hideMark/>
          </w:tcPr>
          <w:p w14:paraId="61E87EC8" w14:textId="716D94C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Pr>
                <w:rFonts w:cs="Times New Roman"/>
                <w:color w:val="000000"/>
                <w:sz w:val="20"/>
                <w:szCs w:val="20"/>
              </w:rPr>
              <w:t>–</w:t>
            </w:r>
            <w:r w:rsidRPr="009C5EFC">
              <w:rPr>
                <w:rFonts w:eastAsia="Times New Roman" w:cs="Times New Roman"/>
                <w:color w:val="000000"/>
                <w:sz w:val="20"/>
                <w:szCs w:val="20"/>
                <w:lang w:val="en-AU" w:eastAsia="en-AU"/>
              </w:rPr>
              <w:t>77</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711.3</w:t>
            </w:r>
          </w:p>
        </w:tc>
        <w:tc>
          <w:tcPr>
            <w:tcW w:w="1394" w:type="dxa"/>
            <w:tcBorders>
              <w:top w:val="nil"/>
              <w:bottom w:val="single" w:sz="4" w:space="0" w:color="auto"/>
            </w:tcBorders>
            <w:shd w:val="clear" w:color="auto" w:fill="auto"/>
            <w:vAlign w:val="center"/>
            <w:hideMark/>
          </w:tcPr>
          <w:p w14:paraId="2F54B605" w14:textId="0014087A" w:rsidR="00A35FD4" w:rsidRPr="009C5EFC" w:rsidRDefault="00A35FD4" w:rsidP="00A35FD4">
            <w:pPr>
              <w:tabs>
                <w:tab w:val="decimal" w:pos="367"/>
              </w:tabs>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lang w:val="en-AU" w:eastAsia="en-AU"/>
              </w:rPr>
              <w:t>54</w:t>
            </w:r>
            <w:r>
              <w:rPr>
                <w:rFonts w:eastAsia="Times New Roman" w:cs="Times New Roman"/>
                <w:color w:val="000000"/>
                <w:sz w:val="20"/>
                <w:szCs w:val="20"/>
                <w:lang w:val="en-AU" w:eastAsia="en-AU"/>
              </w:rPr>
              <w:t>,</w:t>
            </w:r>
            <w:r w:rsidRPr="009C5EFC">
              <w:rPr>
                <w:rFonts w:eastAsia="Times New Roman" w:cs="Times New Roman"/>
                <w:color w:val="000000"/>
                <w:sz w:val="20"/>
                <w:szCs w:val="20"/>
                <w:lang w:val="en-AU" w:eastAsia="en-AU"/>
              </w:rPr>
              <w:t>832.2</w:t>
            </w:r>
          </w:p>
        </w:tc>
      </w:tr>
      <w:tr w:rsidR="00A35FD4" w:rsidRPr="000A077F" w14:paraId="3F74AD49" w14:textId="77777777" w:rsidTr="00316347">
        <w:tc>
          <w:tcPr>
            <w:tcW w:w="3140" w:type="dxa"/>
            <w:tcBorders>
              <w:top w:val="single" w:sz="4" w:space="0" w:color="auto"/>
              <w:bottom w:val="nil"/>
            </w:tcBorders>
            <w:shd w:val="clear" w:color="auto" w:fill="auto"/>
            <w:noWrap/>
            <w:vAlign w:val="center"/>
            <w:hideMark/>
          </w:tcPr>
          <w:p w14:paraId="6DF60482" w14:textId="77777777" w:rsidR="00A35FD4" w:rsidRPr="009C5EFC" w:rsidRDefault="00A35FD4" w:rsidP="00A35FD4">
            <w:pPr>
              <w:spacing w:before="40" w:after="40"/>
              <w:rPr>
                <w:rFonts w:eastAsia="Times New Roman" w:cs="Times New Roman"/>
                <w:i/>
                <w:iCs/>
                <w:color w:val="000000"/>
                <w:sz w:val="20"/>
                <w:szCs w:val="20"/>
                <w:lang w:val="en-AU" w:eastAsia="en-AU"/>
              </w:rPr>
            </w:pPr>
            <w:r w:rsidRPr="009C5EFC">
              <w:rPr>
                <w:rFonts w:eastAsia="Times New Roman" w:cs="Times New Roman"/>
                <w:i/>
                <w:iCs/>
                <w:color w:val="000000"/>
                <w:sz w:val="20"/>
                <w:szCs w:val="20"/>
                <w:lang w:val="en-AU" w:eastAsia="en-AU"/>
              </w:rPr>
              <w:t>t</w:t>
            </w:r>
            <w:r w:rsidRPr="009C5EFC">
              <w:rPr>
                <w:rFonts w:eastAsia="Times New Roman" w:cs="Times New Roman"/>
                <w:color w:val="000000"/>
                <w:sz w:val="20"/>
                <w:szCs w:val="20"/>
                <w:lang w:val="en-AU" w:eastAsia="en-AU"/>
              </w:rPr>
              <w:t xml:space="preserve"> statistics in parentheses</w:t>
            </w:r>
          </w:p>
        </w:tc>
        <w:tc>
          <w:tcPr>
            <w:tcW w:w="1600" w:type="dxa"/>
            <w:tcBorders>
              <w:top w:val="single" w:sz="4" w:space="0" w:color="auto"/>
              <w:bottom w:val="nil"/>
            </w:tcBorders>
            <w:shd w:val="clear" w:color="auto" w:fill="auto"/>
            <w:noWrap/>
            <w:vAlign w:val="bottom"/>
            <w:hideMark/>
          </w:tcPr>
          <w:p w14:paraId="1217DDF9" w14:textId="77777777" w:rsidR="00A35FD4" w:rsidRPr="009C5EFC" w:rsidRDefault="00A35FD4" w:rsidP="00A35FD4">
            <w:pPr>
              <w:tabs>
                <w:tab w:val="decimal" w:pos="367"/>
              </w:tabs>
              <w:spacing w:before="40" w:after="40"/>
              <w:rPr>
                <w:rFonts w:eastAsia="Times New Roman" w:cs="Times New Roman"/>
                <w:i/>
                <w:iCs/>
                <w:color w:val="000000"/>
                <w:sz w:val="20"/>
                <w:szCs w:val="20"/>
                <w:lang w:val="en-AU" w:eastAsia="en-AU"/>
              </w:rPr>
            </w:pPr>
          </w:p>
        </w:tc>
        <w:tc>
          <w:tcPr>
            <w:tcW w:w="1720" w:type="dxa"/>
            <w:tcBorders>
              <w:top w:val="single" w:sz="4" w:space="0" w:color="auto"/>
              <w:bottom w:val="nil"/>
            </w:tcBorders>
            <w:shd w:val="clear" w:color="auto" w:fill="auto"/>
            <w:noWrap/>
            <w:vAlign w:val="bottom"/>
            <w:hideMark/>
          </w:tcPr>
          <w:p w14:paraId="38AB5EEB"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tcBorders>
              <w:top w:val="single" w:sz="4" w:space="0" w:color="auto"/>
              <w:bottom w:val="nil"/>
            </w:tcBorders>
            <w:shd w:val="clear" w:color="auto" w:fill="auto"/>
            <w:noWrap/>
            <w:vAlign w:val="bottom"/>
            <w:hideMark/>
          </w:tcPr>
          <w:p w14:paraId="21651F76"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r>
      <w:tr w:rsidR="00A35FD4" w:rsidRPr="000A077F" w14:paraId="6833C598" w14:textId="77777777" w:rsidTr="00316347">
        <w:tc>
          <w:tcPr>
            <w:tcW w:w="3140" w:type="dxa"/>
            <w:tcBorders>
              <w:top w:val="nil"/>
              <w:bottom w:val="nil"/>
            </w:tcBorders>
            <w:shd w:val="clear" w:color="auto" w:fill="auto"/>
            <w:noWrap/>
            <w:vAlign w:val="center"/>
            <w:hideMark/>
          </w:tcPr>
          <w:p w14:paraId="7A28A4EE" w14:textId="77777777" w:rsidR="00A35FD4" w:rsidRPr="009C5EFC" w:rsidRDefault="00A35FD4" w:rsidP="00A35FD4">
            <w:pPr>
              <w:spacing w:before="40" w:after="40"/>
              <w:rPr>
                <w:rFonts w:eastAsia="Times New Roman" w:cs="Times New Roman"/>
                <w:color w:val="000000"/>
                <w:sz w:val="20"/>
                <w:szCs w:val="20"/>
                <w:lang w:val="en-AU" w:eastAsia="en-AU"/>
              </w:rPr>
            </w:pPr>
            <w:r w:rsidRPr="009C5EFC">
              <w:rPr>
                <w:rFonts w:eastAsia="Times New Roman" w:cs="Times New Roman"/>
                <w:color w:val="000000"/>
                <w:sz w:val="20"/>
                <w:szCs w:val="20"/>
                <w:vertAlign w:val="superscript"/>
                <w:lang w:val="en-AU" w:eastAsia="en-AU"/>
              </w:rPr>
              <w:t>*</w:t>
            </w:r>
            <w:r w:rsidRPr="009C5EFC">
              <w:rPr>
                <w:rFonts w:eastAsia="Times New Roman" w:cs="Times New Roman"/>
                <w:color w:val="000000"/>
                <w:sz w:val="20"/>
                <w:szCs w:val="20"/>
                <w:lang w:val="en-AU" w:eastAsia="en-AU"/>
              </w:rPr>
              <w:t xml:space="preserve"> </w:t>
            </w:r>
            <w:r w:rsidRPr="009C5EFC">
              <w:rPr>
                <w:rFonts w:eastAsia="Times New Roman" w:cs="Times New Roman"/>
                <w:i/>
                <w:iCs/>
                <w:color w:val="000000"/>
                <w:sz w:val="20"/>
                <w:szCs w:val="20"/>
                <w:lang w:val="en-AU" w:eastAsia="en-AU"/>
              </w:rPr>
              <w:t>p</w:t>
            </w:r>
            <w:r w:rsidRPr="009C5EFC">
              <w:rPr>
                <w:rFonts w:eastAsia="Times New Roman" w:cs="Times New Roman"/>
                <w:color w:val="000000"/>
                <w:sz w:val="20"/>
                <w:szCs w:val="20"/>
                <w:lang w:val="en-AU" w:eastAsia="en-AU"/>
              </w:rPr>
              <w:t xml:space="preserve"> &lt; 0.05, </w:t>
            </w:r>
            <w:r w:rsidRPr="009C5EFC">
              <w:rPr>
                <w:rFonts w:eastAsia="Times New Roman" w:cs="Times New Roman"/>
                <w:color w:val="000000"/>
                <w:sz w:val="20"/>
                <w:szCs w:val="20"/>
                <w:vertAlign w:val="superscript"/>
                <w:lang w:val="en-AU" w:eastAsia="en-AU"/>
              </w:rPr>
              <w:t>**</w:t>
            </w:r>
            <w:r w:rsidRPr="009C5EFC">
              <w:rPr>
                <w:rFonts w:eastAsia="Times New Roman" w:cs="Times New Roman"/>
                <w:color w:val="000000"/>
                <w:sz w:val="20"/>
                <w:szCs w:val="20"/>
                <w:lang w:val="en-AU" w:eastAsia="en-AU"/>
              </w:rPr>
              <w:t xml:space="preserve"> </w:t>
            </w:r>
            <w:r w:rsidRPr="009C5EFC">
              <w:rPr>
                <w:rFonts w:eastAsia="Times New Roman" w:cs="Times New Roman"/>
                <w:i/>
                <w:iCs/>
                <w:color w:val="000000"/>
                <w:sz w:val="20"/>
                <w:szCs w:val="20"/>
                <w:lang w:val="en-AU" w:eastAsia="en-AU"/>
              </w:rPr>
              <w:t>p</w:t>
            </w:r>
            <w:r w:rsidRPr="009C5EFC">
              <w:rPr>
                <w:rFonts w:eastAsia="Times New Roman" w:cs="Times New Roman"/>
                <w:color w:val="000000"/>
                <w:sz w:val="20"/>
                <w:szCs w:val="20"/>
                <w:lang w:val="en-AU" w:eastAsia="en-AU"/>
              </w:rPr>
              <w:t xml:space="preserve"> &lt; 0.01, </w:t>
            </w:r>
            <w:r w:rsidRPr="009C5EFC">
              <w:rPr>
                <w:rFonts w:eastAsia="Times New Roman" w:cs="Times New Roman"/>
                <w:color w:val="000000"/>
                <w:sz w:val="20"/>
                <w:szCs w:val="20"/>
                <w:vertAlign w:val="superscript"/>
                <w:lang w:val="en-AU" w:eastAsia="en-AU"/>
              </w:rPr>
              <w:t>***</w:t>
            </w:r>
            <w:r w:rsidRPr="009C5EFC">
              <w:rPr>
                <w:rFonts w:eastAsia="Times New Roman" w:cs="Times New Roman"/>
                <w:color w:val="000000"/>
                <w:sz w:val="20"/>
                <w:szCs w:val="20"/>
                <w:lang w:val="en-AU" w:eastAsia="en-AU"/>
              </w:rPr>
              <w:t xml:space="preserve"> </w:t>
            </w:r>
            <w:r w:rsidRPr="009C5EFC">
              <w:rPr>
                <w:rFonts w:eastAsia="Times New Roman" w:cs="Times New Roman"/>
                <w:i/>
                <w:iCs/>
                <w:color w:val="000000"/>
                <w:sz w:val="20"/>
                <w:szCs w:val="20"/>
                <w:lang w:val="en-AU" w:eastAsia="en-AU"/>
              </w:rPr>
              <w:t>p</w:t>
            </w:r>
            <w:r w:rsidRPr="009C5EFC">
              <w:rPr>
                <w:rFonts w:eastAsia="Times New Roman" w:cs="Times New Roman"/>
                <w:color w:val="000000"/>
                <w:sz w:val="20"/>
                <w:szCs w:val="20"/>
                <w:lang w:val="en-AU" w:eastAsia="en-AU"/>
              </w:rPr>
              <w:t xml:space="preserve"> &lt; 0.001</w:t>
            </w:r>
          </w:p>
        </w:tc>
        <w:tc>
          <w:tcPr>
            <w:tcW w:w="1600" w:type="dxa"/>
            <w:tcBorders>
              <w:top w:val="nil"/>
              <w:bottom w:val="nil"/>
            </w:tcBorders>
            <w:shd w:val="clear" w:color="auto" w:fill="auto"/>
            <w:noWrap/>
            <w:vAlign w:val="bottom"/>
            <w:hideMark/>
          </w:tcPr>
          <w:p w14:paraId="044C2F62" w14:textId="77777777" w:rsidR="00A35FD4" w:rsidRPr="009C5EFC" w:rsidRDefault="00A35FD4" w:rsidP="00A35FD4">
            <w:pPr>
              <w:tabs>
                <w:tab w:val="decimal" w:pos="367"/>
              </w:tabs>
              <w:spacing w:before="40" w:after="40"/>
              <w:rPr>
                <w:rFonts w:eastAsia="Times New Roman" w:cs="Times New Roman"/>
                <w:color w:val="000000"/>
                <w:sz w:val="20"/>
                <w:szCs w:val="20"/>
                <w:lang w:val="en-AU" w:eastAsia="en-AU"/>
              </w:rPr>
            </w:pPr>
          </w:p>
        </w:tc>
        <w:tc>
          <w:tcPr>
            <w:tcW w:w="1720" w:type="dxa"/>
            <w:tcBorders>
              <w:top w:val="nil"/>
              <w:bottom w:val="nil"/>
            </w:tcBorders>
            <w:shd w:val="clear" w:color="auto" w:fill="auto"/>
            <w:noWrap/>
            <w:vAlign w:val="bottom"/>
            <w:hideMark/>
          </w:tcPr>
          <w:p w14:paraId="79C26BE2"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c>
          <w:tcPr>
            <w:tcW w:w="1394" w:type="dxa"/>
            <w:tcBorders>
              <w:top w:val="nil"/>
              <w:bottom w:val="nil"/>
            </w:tcBorders>
            <w:shd w:val="clear" w:color="auto" w:fill="auto"/>
            <w:noWrap/>
            <w:vAlign w:val="bottom"/>
            <w:hideMark/>
          </w:tcPr>
          <w:p w14:paraId="32B1C087" w14:textId="77777777" w:rsidR="00A35FD4" w:rsidRPr="009C5EFC" w:rsidRDefault="00A35FD4" w:rsidP="00A35FD4">
            <w:pPr>
              <w:tabs>
                <w:tab w:val="decimal" w:pos="367"/>
              </w:tabs>
              <w:spacing w:before="40" w:after="40"/>
              <w:rPr>
                <w:rFonts w:eastAsia="Times New Roman" w:cs="Times New Roman"/>
                <w:sz w:val="20"/>
                <w:szCs w:val="20"/>
                <w:lang w:val="en-AU" w:eastAsia="en-AU"/>
              </w:rPr>
            </w:pPr>
          </w:p>
        </w:tc>
      </w:tr>
    </w:tbl>
    <w:p w14:paraId="3F8B2A4A" w14:textId="77777777" w:rsidR="00A872FC" w:rsidRDefault="00A872FC" w:rsidP="00D26F46"/>
    <w:p w14:paraId="15970EF5" w14:textId="3C36244A" w:rsidR="003253F0" w:rsidRDefault="00A17F8A" w:rsidP="00D26F46">
      <w:r>
        <w:rPr>
          <w:noProof/>
          <w:lang w:eastAsia="en-GB"/>
        </w:rPr>
        <w:lastRenderedPageBreak/>
        <mc:AlternateContent>
          <mc:Choice Requires="wps">
            <w:drawing>
              <wp:anchor distT="45720" distB="45720" distL="114300" distR="114300" simplePos="0" relativeHeight="251659264" behindDoc="0" locked="0" layoutInCell="1" allowOverlap="1" wp14:anchorId="016D985F" wp14:editId="4BF4656E">
                <wp:simplePos x="0" y="0"/>
                <wp:positionH relativeFrom="page">
                  <wp:posOffset>5296571</wp:posOffset>
                </wp:positionH>
                <wp:positionV relativeFrom="paragraph">
                  <wp:posOffset>922655</wp:posOffset>
                </wp:positionV>
                <wp:extent cx="1906438" cy="266700"/>
                <wp:effectExtent l="0" t="0" r="17780" b="190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6438" cy="266700"/>
                        </a:xfrm>
                        <a:prstGeom prst="rect">
                          <a:avLst/>
                        </a:prstGeom>
                        <a:solidFill>
                          <a:srgbClr val="FFFFFF"/>
                        </a:solidFill>
                        <a:ln w="9525">
                          <a:solidFill>
                            <a:srgbClr val="000000"/>
                          </a:solidFill>
                          <a:miter lim="800000"/>
                          <a:headEnd/>
                          <a:tailEnd/>
                        </a:ln>
                      </wps:spPr>
                      <wps:txbx>
                        <w:txbxContent>
                          <w:p w14:paraId="422C50FA" w14:textId="135B2933" w:rsidR="004670BF" w:rsidRDefault="004670BF">
                            <w:r>
                              <w:t>Non-disclosers EE windows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6D985F" id="_x0000_t202" coordsize="21600,21600" o:spt="202" path="m,l,21600r21600,l21600,xe">
                <v:stroke joinstyle="miter"/>
                <v:path gradientshapeok="t" o:connecttype="rect"/>
              </v:shapetype>
              <v:shape id="Text Box 2" o:spid="_x0000_s1026" type="#_x0000_t202" style="position:absolute;left:0;text-align:left;margin-left:417.05pt;margin-top:72.65pt;width:150.1pt;height:21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">
                <v:textbox>
                  <w:txbxContent>
                    <w:p w14:paraId="422C50FA" w14:textId="135B2933" w:rsidR="004670BF" w:rsidRDefault="004670BF">
                      <w:r>
                        <w:t>Non-disclosers EE windows</w:t>
                      </w:r>
                    </w:p>
                  </w:txbxContent>
                </v:textbox>
                <w10:wrap anchorx="page"/>
              </v:shape>
            </w:pict>
          </mc:Fallback>
        </mc:AlternateContent>
      </w:r>
      <w:r>
        <w:rPr>
          <w:noProof/>
          <w:lang w:eastAsia="en-GB"/>
        </w:rPr>
        <mc:AlternateContent>
          <mc:Choice Requires="wps">
            <w:drawing>
              <wp:anchor distT="45720" distB="45720" distL="114300" distR="114300" simplePos="0" relativeHeight="251663360" behindDoc="0" locked="0" layoutInCell="1" allowOverlap="1" wp14:anchorId="6F3FA09A" wp14:editId="6A0ED8CA">
                <wp:simplePos x="0" y="0"/>
                <wp:positionH relativeFrom="column">
                  <wp:posOffset>4546121</wp:posOffset>
                </wp:positionH>
                <wp:positionV relativeFrom="paragraph">
                  <wp:posOffset>2846717</wp:posOffset>
                </wp:positionV>
                <wp:extent cx="1431985" cy="266700"/>
                <wp:effectExtent l="0" t="0" r="15875" b="1905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1985" cy="266700"/>
                        </a:xfrm>
                        <a:prstGeom prst="rect">
                          <a:avLst/>
                        </a:prstGeom>
                        <a:solidFill>
                          <a:srgbClr val="FFFFFF"/>
                        </a:solidFill>
                        <a:ln w="9525">
                          <a:solidFill>
                            <a:srgbClr val="000000"/>
                          </a:solidFill>
                          <a:miter lim="800000"/>
                          <a:headEnd/>
                          <a:tailEnd/>
                        </a:ln>
                      </wps:spPr>
                      <wps:txbx>
                        <w:txbxContent>
                          <w:p w14:paraId="2B666969" w14:textId="1E845CA7" w:rsidR="004670BF" w:rsidRDefault="004670BF" w:rsidP="00FF254E">
                            <w:r>
                              <w:t>Disclosers insulation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3FA09A" id="_x0000_s1027" type="#_x0000_t202" style="position:absolute;left:0;text-align:left;margin-left:357.95pt;margin-top:224.15pt;width:112.75pt;height:21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">
                <v:textbox>
                  <w:txbxContent>
                    <w:p w14:paraId="2B666969" w14:textId="1E845CA7" w:rsidR="004670BF" w:rsidRDefault="004670BF" w:rsidP="00FF254E">
                      <w:r>
                        <w:t>Disclosers insulation</w:t>
                      </w:r>
                    </w:p>
                  </w:txbxContent>
                </v:textbox>
              </v:shape>
            </w:pict>
          </mc:Fallback>
        </mc:AlternateContent>
      </w:r>
      <w:r>
        <w:rPr>
          <w:noProof/>
          <w:lang w:eastAsia="en-GB"/>
        </w:rPr>
        <mc:AlternateContent>
          <mc:Choice Requires="wps">
            <w:drawing>
              <wp:anchor distT="45720" distB="45720" distL="114300" distR="114300" simplePos="0" relativeHeight="251665408" behindDoc="0" locked="0" layoutInCell="1" allowOverlap="1" wp14:anchorId="13F49B34" wp14:editId="3769D602">
                <wp:simplePos x="0" y="0"/>
                <wp:positionH relativeFrom="column">
                  <wp:posOffset>4537495</wp:posOffset>
                </wp:positionH>
                <wp:positionV relativeFrom="paragraph">
                  <wp:posOffset>526211</wp:posOffset>
                </wp:positionV>
                <wp:extent cx="1621766" cy="266700"/>
                <wp:effectExtent l="0" t="0" r="17145" b="1905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1766" cy="266700"/>
                        </a:xfrm>
                        <a:prstGeom prst="rect">
                          <a:avLst/>
                        </a:prstGeom>
                        <a:solidFill>
                          <a:srgbClr val="FFFFFF"/>
                        </a:solidFill>
                        <a:ln w="9525">
                          <a:solidFill>
                            <a:srgbClr val="000000"/>
                          </a:solidFill>
                          <a:miter lim="800000"/>
                          <a:headEnd/>
                          <a:tailEnd/>
                        </a:ln>
                      </wps:spPr>
                      <wps:txbx>
                        <w:txbxContent>
                          <w:p w14:paraId="0C586AAA" w14:textId="0A64A0A1" w:rsidR="004670BF" w:rsidRDefault="004670BF" w:rsidP="00FF254E">
                            <w:r>
                              <w:t>Disclosers EE windows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F49B34" id="_x0000_s1028" type="#_x0000_t202" style="position:absolute;left:0;text-align:left;margin-left:357.3pt;margin-top:41.45pt;width:127.7pt;height:21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">
                <v:textbox>
                  <w:txbxContent>
                    <w:p w14:paraId="0C586AAA" w14:textId="0A64A0A1" w:rsidR="004670BF" w:rsidRDefault="004670BF" w:rsidP="00FF254E">
                      <w:r>
                        <w:t>Disclosers EE windows</w:t>
                      </w:r>
                    </w:p>
                  </w:txbxContent>
                </v:textbox>
              </v:shape>
            </w:pict>
          </mc:Fallback>
        </mc:AlternateContent>
      </w:r>
      <w:r w:rsidR="00FF254E">
        <w:rPr>
          <w:noProof/>
          <w:lang w:eastAsia="en-GB"/>
        </w:rPr>
        <mc:AlternateContent>
          <mc:Choice Requires="wps">
            <w:drawing>
              <wp:anchor distT="45720" distB="45720" distL="114300" distR="114300" simplePos="0" relativeHeight="251661312" behindDoc="0" locked="0" layoutInCell="1" allowOverlap="1" wp14:anchorId="36706617" wp14:editId="7B808B8C">
                <wp:simplePos x="0" y="0"/>
                <wp:positionH relativeFrom="column">
                  <wp:posOffset>4552950</wp:posOffset>
                </wp:positionH>
                <wp:positionV relativeFrom="paragraph">
                  <wp:posOffset>2428875</wp:posOffset>
                </wp:positionV>
                <wp:extent cx="1743075" cy="266700"/>
                <wp:effectExtent l="0" t="0" r="28575" b="1905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266700"/>
                        </a:xfrm>
                        <a:prstGeom prst="rect">
                          <a:avLst/>
                        </a:prstGeom>
                        <a:solidFill>
                          <a:srgbClr val="FFFFFF"/>
                        </a:solidFill>
                        <a:ln w="9525">
                          <a:solidFill>
                            <a:srgbClr val="000000"/>
                          </a:solidFill>
                          <a:miter lim="800000"/>
                          <a:headEnd/>
                          <a:tailEnd/>
                        </a:ln>
                      </wps:spPr>
                      <wps:txbx>
                        <w:txbxContent>
                          <w:p w14:paraId="2E5C70DC" w14:textId="2E09F9DD" w:rsidR="004670BF" w:rsidRDefault="004670BF" w:rsidP="00FF254E">
                            <w:r>
                              <w:t>Non-disclosers insulation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706617" id="_x0000_s1029" type="#_x0000_t202" style="position:absolute;left:0;text-align:left;margin-left:358.5pt;margin-top:191.25pt;width:137.25pt;height:2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">
                <v:textbox>
                  <w:txbxContent>
                    <w:p w14:paraId="2E5C70DC" w14:textId="2E09F9DD" w:rsidR="004670BF" w:rsidRDefault="004670BF" w:rsidP="00FF254E">
                      <w:r>
                        <w:t>Non-disclosers insulation</w:t>
                      </w:r>
                    </w:p>
                  </w:txbxContent>
                </v:textbox>
              </v:shape>
            </w:pict>
          </mc:Fallback>
        </mc:AlternateContent>
      </w:r>
      <w:r w:rsidR="003253F0">
        <w:rPr>
          <w:noProof/>
          <w:lang w:eastAsia="en-GB"/>
        </w:rPr>
        <w:drawing>
          <wp:inline distT="0" distB="0" distL="0" distR="0" wp14:anchorId="4739E7E5" wp14:editId="7AFEABAF">
            <wp:extent cx="5236845" cy="3810635"/>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6845" cy="3810635"/>
                    </a:xfrm>
                    <a:prstGeom prst="rect">
                      <a:avLst/>
                    </a:prstGeom>
                    <a:noFill/>
                  </pic:spPr>
                </pic:pic>
              </a:graphicData>
            </a:graphic>
          </wp:inline>
        </w:drawing>
      </w:r>
    </w:p>
    <w:p w14:paraId="378ADDF5" w14:textId="08C7166E" w:rsidR="00DC5DE3" w:rsidRDefault="00DC5DE3" w:rsidP="00D26F46"/>
    <w:p w14:paraId="14738586" w14:textId="041AEF99" w:rsidR="00A17F8A" w:rsidRPr="009C5EFC" w:rsidRDefault="00A17F8A" w:rsidP="00A17F8A">
      <w:pPr>
        <w:rPr>
          <w:b/>
        </w:rPr>
      </w:pPr>
      <w:r w:rsidRPr="009C5EFC">
        <w:rPr>
          <w:b/>
        </w:rPr>
        <w:t>Figure 4: Quantile regression of main energy</w:t>
      </w:r>
      <w:r w:rsidR="00F548F4">
        <w:rPr>
          <w:b/>
        </w:rPr>
        <w:t>-</w:t>
      </w:r>
      <w:r w:rsidRPr="009C5EFC">
        <w:rPr>
          <w:b/>
        </w:rPr>
        <w:t>efficient building features</w:t>
      </w:r>
    </w:p>
    <w:p w14:paraId="58B43574" w14:textId="77777777" w:rsidR="00A17F8A" w:rsidRDefault="00A17F8A" w:rsidP="00D26F46"/>
    <w:p w14:paraId="5BD3243C" w14:textId="431E9528" w:rsidR="00DC5DE3" w:rsidRDefault="00DC5DE3" w:rsidP="00D26F46">
      <w:r w:rsidRPr="004E5257">
        <w:rPr>
          <w:sz w:val="20"/>
          <w:szCs w:val="20"/>
        </w:rPr>
        <w:t>Note: The horizontal axis represents the deciles of the weekly rent distribution (left: low rent, right: higher rent)</w:t>
      </w:r>
      <w:r w:rsidR="00F548F4">
        <w:rPr>
          <w:sz w:val="20"/>
          <w:szCs w:val="20"/>
        </w:rPr>
        <w:t>,</w:t>
      </w:r>
      <w:r w:rsidRPr="004E5257">
        <w:rPr>
          <w:sz w:val="20"/>
          <w:szCs w:val="20"/>
        </w:rPr>
        <w:t xml:space="preserve"> </w:t>
      </w:r>
      <w:r w:rsidR="00F548F4">
        <w:rPr>
          <w:sz w:val="20"/>
          <w:szCs w:val="20"/>
        </w:rPr>
        <w:t>while</w:t>
      </w:r>
      <w:r w:rsidR="00F548F4" w:rsidRPr="004E5257">
        <w:rPr>
          <w:sz w:val="20"/>
          <w:szCs w:val="20"/>
        </w:rPr>
        <w:t xml:space="preserve"> </w:t>
      </w:r>
      <w:r w:rsidRPr="004E5257">
        <w:rPr>
          <w:sz w:val="20"/>
          <w:szCs w:val="20"/>
        </w:rPr>
        <w:t xml:space="preserve">the vertical axis shows the magnitude of the coefficient estimates for energy-efficient windows and insulation. </w:t>
      </w:r>
    </w:p>
    <w:sectPr w:rsidR="00DC5DE3" w:rsidSect="00B01E19">
      <w:footerReference w:type="default" r:id="rId15"/>
      <w:pgSz w:w="11900" w:h="16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EE8BD6" w16cid:durableId="1E648372"/>
  <w16cid:commentId w16cid:paraId="721C7CD2" w16cid:durableId="1E64856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B56A1A" w14:textId="77777777" w:rsidR="007B7F7D" w:rsidRDefault="007B7F7D" w:rsidP="004076D2">
      <w:r>
        <w:separator/>
      </w:r>
    </w:p>
  </w:endnote>
  <w:endnote w:type="continuationSeparator" w:id="0">
    <w:p w14:paraId="7691A1A1" w14:textId="77777777" w:rsidR="007B7F7D" w:rsidRDefault="007B7F7D" w:rsidP="004076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Helvetica">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imesNewRomanPS-Italic">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3379956"/>
      <w:docPartObj>
        <w:docPartGallery w:val="Page Numbers (Bottom of Page)"/>
        <w:docPartUnique/>
      </w:docPartObj>
    </w:sdtPr>
    <w:sdtEndPr>
      <w:rPr>
        <w:noProof/>
      </w:rPr>
    </w:sdtEndPr>
    <w:sdtContent>
      <w:p w14:paraId="67B05469" w14:textId="56383DC3" w:rsidR="004670BF" w:rsidRDefault="004670BF">
        <w:pPr>
          <w:pStyle w:val="Footer"/>
          <w:jc w:val="center"/>
        </w:pPr>
        <w:r>
          <w:fldChar w:fldCharType="begin"/>
        </w:r>
        <w:r>
          <w:instrText xml:space="preserve"> PAGE   \* MERGEFORMAT </w:instrText>
        </w:r>
        <w:r>
          <w:fldChar w:fldCharType="separate"/>
        </w:r>
        <w:r w:rsidR="009F1A61">
          <w:rPr>
            <w:noProof/>
          </w:rPr>
          <w:t>4</w:t>
        </w:r>
        <w:r>
          <w:rPr>
            <w:noProof/>
          </w:rPr>
          <w:fldChar w:fldCharType="end"/>
        </w:r>
      </w:p>
    </w:sdtContent>
  </w:sdt>
  <w:p w14:paraId="63298C6D" w14:textId="77777777" w:rsidR="004670BF" w:rsidRDefault="004670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59E09" w14:textId="77777777" w:rsidR="007B7F7D" w:rsidRDefault="007B7F7D" w:rsidP="004076D2">
      <w:r>
        <w:separator/>
      </w:r>
    </w:p>
  </w:footnote>
  <w:footnote w:type="continuationSeparator" w:id="0">
    <w:p w14:paraId="5C7FB6D9" w14:textId="77777777" w:rsidR="007B7F7D" w:rsidRDefault="007B7F7D" w:rsidP="004076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B3463"/>
    <w:multiLevelType w:val="hybridMultilevel"/>
    <w:tmpl w:val="3D52EEE0"/>
    <w:lvl w:ilvl="0" w:tplc="077EDFA4">
      <w:numFmt w:val="bullet"/>
      <w:lvlText w:val="-"/>
      <w:lvlJc w:val="left"/>
      <w:pPr>
        <w:ind w:left="720" w:hanging="360"/>
      </w:pPr>
      <w:rPr>
        <w:rFonts w:ascii="Garamond" w:eastAsiaTheme="minorHAnsi" w:hAnsi="Garamon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95A21"/>
    <w:multiLevelType w:val="hybridMultilevel"/>
    <w:tmpl w:val="F32C8F68"/>
    <w:lvl w:ilvl="0" w:tplc="F1341C46">
      <w:numFmt w:val="bullet"/>
      <w:lvlText w:val="-"/>
      <w:lvlJc w:val="left"/>
      <w:pPr>
        <w:ind w:left="720" w:hanging="360"/>
      </w:pPr>
      <w:rPr>
        <w:rFonts w:ascii="Garamond" w:eastAsiaTheme="minorHAnsi" w:hAnsi="Garamon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40CEF"/>
    <w:multiLevelType w:val="hybridMultilevel"/>
    <w:tmpl w:val="B9904A88"/>
    <w:lvl w:ilvl="0" w:tplc="134A3DE4">
      <w:numFmt w:val="bullet"/>
      <w:lvlText w:val="-"/>
      <w:lvlJc w:val="left"/>
      <w:pPr>
        <w:ind w:left="720" w:hanging="360"/>
      </w:pPr>
      <w:rPr>
        <w:rFonts w:ascii="Garamond" w:eastAsiaTheme="minorHAnsi" w:hAnsi="Garamon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4913BB"/>
    <w:multiLevelType w:val="multilevel"/>
    <w:tmpl w:val="B98221AE"/>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77734557"/>
    <w:multiLevelType w:val="hybridMultilevel"/>
    <w:tmpl w:val="87229CF0"/>
    <w:lvl w:ilvl="0" w:tplc="BE148666">
      <w:numFmt w:val="bullet"/>
      <w:lvlText w:val="-"/>
      <w:lvlJc w:val="left"/>
      <w:pPr>
        <w:ind w:left="720" w:hanging="360"/>
      </w:pPr>
      <w:rPr>
        <w:rFonts w:ascii="Garamond" w:eastAsiaTheme="minorHAnsi" w:hAnsi="Garamond"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362"/>
    <w:rsid w:val="00001B9F"/>
    <w:rsid w:val="00011447"/>
    <w:rsid w:val="00011FB0"/>
    <w:rsid w:val="00021587"/>
    <w:rsid w:val="0002339A"/>
    <w:rsid w:val="00027262"/>
    <w:rsid w:val="000332BD"/>
    <w:rsid w:val="00035764"/>
    <w:rsid w:val="00045A3A"/>
    <w:rsid w:val="00050275"/>
    <w:rsid w:val="0005517D"/>
    <w:rsid w:val="00056E5B"/>
    <w:rsid w:val="00072E5D"/>
    <w:rsid w:val="000814BE"/>
    <w:rsid w:val="000819E8"/>
    <w:rsid w:val="00082F8D"/>
    <w:rsid w:val="00086565"/>
    <w:rsid w:val="00095088"/>
    <w:rsid w:val="0009554C"/>
    <w:rsid w:val="000A0488"/>
    <w:rsid w:val="000A077F"/>
    <w:rsid w:val="000A2C19"/>
    <w:rsid w:val="000B2BF1"/>
    <w:rsid w:val="000B51E3"/>
    <w:rsid w:val="000C1F14"/>
    <w:rsid w:val="000C1F4A"/>
    <w:rsid w:val="000C67E0"/>
    <w:rsid w:val="000D25A7"/>
    <w:rsid w:val="000D2624"/>
    <w:rsid w:val="000D324E"/>
    <w:rsid w:val="000E12EF"/>
    <w:rsid w:val="000F0250"/>
    <w:rsid w:val="000F4250"/>
    <w:rsid w:val="001106D5"/>
    <w:rsid w:val="0011646C"/>
    <w:rsid w:val="0013662C"/>
    <w:rsid w:val="00147497"/>
    <w:rsid w:val="0015510B"/>
    <w:rsid w:val="00155152"/>
    <w:rsid w:val="00165717"/>
    <w:rsid w:val="001667AC"/>
    <w:rsid w:val="00167A6C"/>
    <w:rsid w:val="00175C44"/>
    <w:rsid w:val="001779E2"/>
    <w:rsid w:val="0018203D"/>
    <w:rsid w:val="00183C34"/>
    <w:rsid w:val="0018491B"/>
    <w:rsid w:val="001914B9"/>
    <w:rsid w:val="00191C1B"/>
    <w:rsid w:val="00193EFE"/>
    <w:rsid w:val="00196922"/>
    <w:rsid w:val="001A3066"/>
    <w:rsid w:val="001B05D5"/>
    <w:rsid w:val="001C2010"/>
    <w:rsid w:val="001C2F88"/>
    <w:rsid w:val="001C33BC"/>
    <w:rsid w:val="001D0F04"/>
    <w:rsid w:val="001D7ADB"/>
    <w:rsid w:val="001E6191"/>
    <w:rsid w:val="001E7F5E"/>
    <w:rsid w:val="001F2E52"/>
    <w:rsid w:val="00207D33"/>
    <w:rsid w:val="002162DC"/>
    <w:rsid w:val="002308A0"/>
    <w:rsid w:val="00247310"/>
    <w:rsid w:val="002520D5"/>
    <w:rsid w:val="0025436E"/>
    <w:rsid w:val="0025793A"/>
    <w:rsid w:val="002701CD"/>
    <w:rsid w:val="00274DD6"/>
    <w:rsid w:val="00274DE3"/>
    <w:rsid w:val="00291090"/>
    <w:rsid w:val="00291FA2"/>
    <w:rsid w:val="00297876"/>
    <w:rsid w:val="002B13C0"/>
    <w:rsid w:val="002B4749"/>
    <w:rsid w:val="002C0344"/>
    <w:rsid w:val="002C41FF"/>
    <w:rsid w:val="002E2C9B"/>
    <w:rsid w:val="002E62A4"/>
    <w:rsid w:val="002F0E1F"/>
    <w:rsid w:val="002F1BEA"/>
    <w:rsid w:val="002F2A5E"/>
    <w:rsid w:val="002F4914"/>
    <w:rsid w:val="002F55AD"/>
    <w:rsid w:val="002F65E2"/>
    <w:rsid w:val="00304932"/>
    <w:rsid w:val="00316347"/>
    <w:rsid w:val="00321A63"/>
    <w:rsid w:val="0032403A"/>
    <w:rsid w:val="003253F0"/>
    <w:rsid w:val="003256DC"/>
    <w:rsid w:val="00334673"/>
    <w:rsid w:val="00340B57"/>
    <w:rsid w:val="003444C8"/>
    <w:rsid w:val="00346C84"/>
    <w:rsid w:val="00346D82"/>
    <w:rsid w:val="00347B12"/>
    <w:rsid w:val="00350D0B"/>
    <w:rsid w:val="003560C4"/>
    <w:rsid w:val="00356845"/>
    <w:rsid w:val="003628FB"/>
    <w:rsid w:val="00365107"/>
    <w:rsid w:val="00370E38"/>
    <w:rsid w:val="00371927"/>
    <w:rsid w:val="003740F5"/>
    <w:rsid w:val="00377BEA"/>
    <w:rsid w:val="003838A6"/>
    <w:rsid w:val="00391130"/>
    <w:rsid w:val="00391747"/>
    <w:rsid w:val="0039353D"/>
    <w:rsid w:val="003944AF"/>
    <w:rsid w:val="00394E15"/>
    <w:rsid w:val="003A30EC"/>
    <w:rsid w:val="003A393B"/>
    <w:rsid w:val="003A50E7"/>
    <w:rsid w:val="003B0045"/>
    <w:rsid w:val="003B301D"/>
    <w:rsid w:val="003B460A"/>
    <w:rsid w:val="003B5C36"/>
    <w:rsid w:val="003C22A4"/>
    <w:rsid w:val="003E4C14"/>
    <w:rsid w:val="003E7209"/>
    <w:rsid w:val="004076D2"/>
    <w:rsid w:val="004149FA"/>
    <w:rsid w:val="00416651"/>
    <w:rsid w:val="00420707"/>
    <w:rsid w:val="00421737"/>
    <w:rsid w:val="004228F6"/>
    <w:rsid w:val="0042325E"/>
    <w:rsid w:val="00424FE3"/>
    <w:rsid w:val="0043308A"/>
    <w:rsid w:val="00446FBE"/>
    <w:rsid w:val="004522B5"/>
    <w:rsid w:val="00453E3E"/>
    <w:rsid w:val="00457285"/>
    <w:rsid w:val="00457C08"/>
    <w:rsid w:val="004626CE"/>
    <w:rsid w:val="004670BF"/>
    <w:rsid w:val="0047775E"/>
    <w:rsid w:val="0048327F"/>
    <w:rsid w:val="00484A38"/>
    <w:rsid w:val="004860BE"/>
    <w:rsid w:val="004956E4"/>
    <w:rsid w:val="004A012C"/>
    <w:rsid w:val="004A0DBB"/>
    <w:rsid w:val="004A1FB6"/>
    <w:rsid w:val="004A7B88"/>
    <w:rsid w:val="004B142A"/>
    <w:rsid w:val="004B1585"/>
    <w:rsid w:val="004B17C9"/>
    <w:rsid w:val="004B50BF"/>
    <w:rsid w:val="004D56AE"/>
    <w:rsid w:val="004D73AF"/>
    <w:rsid w:val="004E2717"/>
    <w:rsid w:val="004E3BBC"/>
    <w:rsid w:val="004F18A4"/>
    <w:rsid w:val="004F1E6C"/>
    <w:rsid w:val="00501832"/>
    <w:rsid w:val="00502754"/>
    <w:rsid w:val="00507892"/>
    <w:rsid w:val="005142CA"/>
    <w:rsid w:val="005210B8"/>
    <w:rsid w:val="00521915"/>
    <w:rsid w:val="00523C7A"/>
    <w:rsid w:val="005240E7"/>
    <w:rsid w:val="005300EA"/>
    <w:rsid w:val="00531FF9"/>
    <w:rsid w:val="0053237F"/>
    <w:rsid w:val="0053293A"/>
    <w:rsid w:val="00540844"/>
    <w:rsid w:val="005433B2"/>
    <w:rsid w:val="00550CBD"/>
    <w:rsid w:val="005556DB"/>
    <w:rsid w:val="00561BA2"/>
    <w:rsid w:val="005653A2"/>
    <w:rsid w:val="005725B4"/>
    <w:rsid w:val="00572B0B"/>
    <w:rsid w:val="00573283"/>
    <w:rsid w:val="005740FF"/>
    <w:rsid w:val="00580649"/>
    <w:rsid w:val="005839A5"/>
    <w:rsid w:val="005843B4"/>
    <w:rsid w:val="00587537"/>
    <w:rsid w:val="0059030D"/>
    <w:rsid w:val="00595081"/>
    <w:rsid w:val="00595C5F"/>
    <w:rsid w:val="00595D0C"/>
    <w:rsid w:val="005979CD"/>
    <w:rsid w:val="005A017F"/>
    <w:rsid w:val="005A18FE"/>
    <w:rsid w:val="005A2B6B"/>
    <w:rsid w:val="005A6DD8"/>
    <w:rsid w:val="005B567B"/>
    <w:rsid w:val="005B6320"/>
    <w:rsid w:val="005C181C"/>
    <w:rsid w:val="005D0079"/>
    <w:rsid w:val="005D0936"/>
    <w:rsid w:val="005D4EC4"/>
    <w:rsid w:val="005E2EAA"/>
    <w:rsid w:val="005E367A"/>
    <w:rsid w:val="005E45E3"/>
    <w:rsid w:val="005E70DC"/>
    <w:rsid w:val="005F2973"/>
    <w:rsid w:val="005F5F0E"/>
    <w:rsid w:val="005F6477"/>
    <w:rsid w:val="005F65A1"/>
    <w:rsid w:val="00600BB3"/>
    <w:rsid w:val="00603362"/>
    <w:rsid w:val="006054ED"/>
    <w:rsid w:val="006070BA"/>
    <w:rsid w:val="00626C18"/>
    <w:rsid w:val="00645A79"/>
    <w:rsid w:val="00647F15"/>
    <w:rsid w:val="00652340"/>
    <w:rsid w:val="006538B4"/>
    <w:rsid w:val="006705B2"/>
    <w:rsid w:val="00673780"/>
    <w:rsid w:val="0067725D"/>
    <w:rsid w:val="00680442"/>
    <w:rsid w:val="00687EEF"/>
    <w:rsid w:val="006A25B2"/>
    <w:rsid w:val="006C05EF"/>
    <w:rsid w:val="006C3279"/>
    <w:rsid w:val="006C492C"/>
    <w:rsid w:val="006D26E7"/>
    <w:rsid w:val="006D2DE4"/>
    <w:rsid w:val="006E27D5"/>
    <w:rsid w:val="006E4105"/>
    <w:rsid w:val="006E44EA"/>
    <w:rsid w:val="006E76C5"/>
    <w:rsid w:val="006E7F45"/>
    <w:rsid w:val="006F31ED"/>
    <w:rsid w:val="006F55AC"/>
    <w:rsid w:val="006F5CC1"/>
    <w:rsid w:val="0070320A"/>
    <w:rsid w:val="00704FA6"/>
    <w:rsid w:val="00710A0A"/>
    <w:rsid w:val="0071217A"/>
    <w:rsid w:val="00712E34"/>
    <w:rsid w:val="00715BF5"/>
    <w:rsid w:val="00717A43"/>
    <w:rsid w:val="0072533C"/>
    <w:rsid w:val="00727323"/>
    <w:rsid w:val="007325DF"/>
    <w:rsid w:val="00742518"/>
    <w:rsid w:val="00742705"/>
    <w:rsid w:val="0074387B"/>
    <w:rsid w:val="00746FEB"/>
    <w:rsid w:val="0074784F"/>
    <w:rsid w:val="00751841"/>
    <w:rsid w:val="00753AFE"/>
    <w:rsid w:val="00756BFA"/>
    <w:rsid w:val="00775885"/>
    <w:rsid w:val="00782272"/>
    <w:rsid w:val="00796075"/>
    <w:rsid w:val="0079625B"/>
    <w:rsid w:val="007A0060"/>
    <w:rsid w:val="007A11C1"/>
    <w:rsid w:val="007A2626"/>
    <w:rsid w:val="007A32DE"/>
    <w:rsid w:val="007A40FC"/>
    <w:rsid w:val="007A7920"/>
    <w:rsid w:val="007B1B07"/>
    <w:rsid w:val="007B25B1"/>
    <w:rsid w:val="007B7F7D"/>
    <w:rsid w:val="007C2542"/>
    <w:rsid w:val="007D5163"/>
    <w:rsid w:val="007D58DB"/>
    <w:rsid w:val="007D5940"/>
    <w:rsid w:val="007E1B10"/>
    <w:rsid w:val="007E2B75"/>
    <w:rsid w:val="007F1022"/>
    <w:rsid w:val="007F2F8C"/>
    <w:rsid w:val="008001D2"/>
    <w:rsid w:val="0080045E"/>
    <w:rsid w:val="00804157"/>
    <w:rsid w:val="00813F4B"/>
    <w:rsid w:val="00820E93"/>
    <w:rsid w:val="008228BD"/>
    <w:rsid w:val="008307F1"/>
    <w:rsid w:val="00836B5E"/>
    <w:rsid w:val="0087184D"/>
    <w:rsid w:val="00872503"/>
    <w:rsid w:val="008774F6"/>
    <w:rsid w:val="0089235F"/>
    <w:rsid w:val="00894128"/>
    <w:rsid w:val="008954EA"/>
    <w:rsid w:val="008A12B9"/>
    <w:rsid w:val="008A2575"/>
    <w:rsid w:val="008A2B38"/>
    <w:rsid w:val="008B7FBC"/>
    <w:rsid w:val="008C055A"/>
    <w:rsid w:val="008C7896"/>
    <w:rsid w:val="008D1331"/>
    <w:rsid w:val="008D63EC"/>
    <w:rsid w:val="008D741A"/>
    <w:rsid w:val="008E0976"/>
    <w:rsid w:val="008E6E94"/>
    <w:rsid w:val="008F0D80"/>
    <w:rsid w:val="008F6825"/>
    <w:rsid w:val="009111C0"/>
    <w:rsid w:val="00911906"/>
    <w:rsid w:val="00920A44"/>
    <w:rsid w:val="0093179F"/>
    <w:rsid w:val="00937AC8"/>
    <w:rsid w:val="009514CA"/>
    <w:rsid w:val="00951863"/>
    <w:rsid w:val="0097185C"/>
    <w:rsid w:val="009724A4"/>
    <w:rsid w:val="009747C5"/>
    <w:rsid w:val="00974A08"/>
    <w:rsid w:val="00975955"/>
    <w:rsid w:val="00980A6D"/>
    <w:rsid w:val="00982FEE"/>
    <w:rsid w:val="00987F50"/>
    <w:rsid w:val="00992776"/>
    <w:rsid w:val="009944DD"/>
    <w:rsid w:val="009A0743"/>
    <w:rsid w:val="009A6453"/>
    <w:rsid w:val="009B459A"/>
    <w:rsid w:val="009B64A9"/>
    <w:rsid w:val="009C1932"/>
    <w:rsid w:val="009C318D"/>
    <w:rsid w:val="009C5EFC"/>
    <w:rsid w:val="009D660F"/>
    <w:rsid w:val="009E13AC"/>
    <w:rsid w:val="009E4A04"/>
    <w:rsid w:val="009F1A61"/>
    <w:rsid w:val="00A016DA"/>
    <w:rsid w:val="00A03D0E"/>
    <w:rsid w:val="00A04CD5"/>
    <w:rsid w:val="00A057BC"/>
    <w:rsid w:val="00A06807"/>
    <w:rsid w:val="00A10CAE"/>
    <w:rsid w:val="00A17F8A"/>
    <w:rsid w:val="00A20552"/>
    <w:rsid w:val="00A30862"/>
    <w:rsid w:val="00A32379"/>
    <w:rsid w:val="00A35CC2"/>
    <w:rsid w:val="00A35FD4"/>
    <w:rsid w:val="00A44DDF"/>
    <w:rsid w:val="00A464F0"/>
    <w:rsid w:val="00A47514"/>
    <w:rsid w:val="00A51F1E"/>
    <w:rsid w:val="00A57AF5"/>
    <w:rsid w:val="00A63A66"/>
    <w:rsid w:val="00A65808"/>
    <w:rsid w:val="00A65A18"/>
    <w:rsid w:val="00A776FC"/>
    <w:rsid w:val="00A872FC"/>
    <w:rsid w:val="00A94A4F"/>
    <w:rsid w:val="00A94EB0"/>
    <w:rsid w:val="00AA1AE6"/>
    <w:rsid w:val="00AA42CC"/>
    <w:rsid w:val="00AB11FF"/>
    <w:rsid w:val="00AB3963"/>
    <w:rsid w:val="00AB7A32"/>
    <w:rsid w:val="00AC20B3"/>
    <w:rsid w:val="00AC411E"/>
    <w:rsid w:val="00AC577A"/>
    <w:rsid w:val="00AC66EF"/>
    <w:rsid w:val="00AD73A5"/>
    <w:rsid w:val="00AE16B9"/>
    <w:rsid w:val="00AE21FC"/>
    <w:rsid w:val="00AF7569"/>
    <w:rsid w:val="00B01E19"/>
    <w:rsid w:val="00B1737E"/>
    <w:rsid w:val="00B17FD1"/>
    <w:rsid w:val="00B209F9"/>
    <w:rsid w:val="00B46F7C"/>
    <w:rsid w:val="00B5300E"/>
    <w:rsid w:val="00B530F2"/>
    <w:rsid w:val="00B538E9"/>
    <w:rsid w:val="00B624E2"/>
    <w:rsid w:val="00B67353"/>
    <w:rsid w:val="00B71C72"/>
    <w:rsid w:val="00B73A9A"/>
    <w:rsid w:val="00B8213C"/>
    <w:rsid w:val="00B827A8"/>
    <w:rsid w:val="00B926D7"/>
    <w:rsid w:val="00B93CF4"/>
    <w:rsid w:val="00B9410B"/>
    <w:rsid w:val="00BA0D60"/>
    <w:rsid w:val="00BA6CD2"/>
    <w:rsid w:val="00BA7ED5"/>
    <w:rsid w:val="00BB0066"/>
    <w:rsid w:val="00BB2F7D"/>
    <w:rsid w:val="00BC4010"/>
    <w:rsid w:val="00BC6247"/>
    <w:rsid w:val="00BD4972"/>
    <w:rsid w:val="00BE1C9D"/>
    <w:rsid w:val="00BE40D1"/>
    <w:rsid w:val="00BF1586"/>
    <w:rsid w:val="00BF274B"/>
    <w:rsid w:val="00BF3B4F"/>
    <w:rsid w:val="00C0729B"/>
    <w:rsid w:val="00C17A43"/>
    <w:rsid w:val="00C219D4"/>
    <w:rsid w:val="00C245B8"/>
    <w:rsid w:val="00C24C2E"/>
    <w:rsid w:val="00C27675"/>
    <w:rsid w:val="00C3493E"/>
    <w:rsid w:val="00C47EBD"/>
    <w:rsid w:val="00C525E1"/>
    <w:rsid w:val="00C55419"/>
    <w:rsid w:val="00C55422"/>
    <w:rsid w:val="00C628F9"/>
    <w:rsid w:val="00C750F0"/>
    <w:rsid w:val="00C838E6"/>
    <w:rsid w:val="00C85F6C"/>
    <w:rsid w:val="00C86A72"/>
    <w:rsid w:val="00C93771"/>
    <w:rsid w:val="00CA33FA"/>
    <w:rsid w:val="00CA5362"/>
    <w:rsid w:val="00CA68F8"/>
    <w:rsid w:val="00CB1742"/>
    <w:rsid w:val="00CB1F06"/>
    <w:rsid w:val="00CB7509"/>
    <w:rsid w:val="00CD49D0"/>
    <w:rsid w:val="00CD688F"/>
    <w:rsid w:val="00CD7C9B"/>
    <w:rsid w:val="00CF358C"/>
    <w:rsid w:val="00D03219"/>
    <w:rsid w:val="00D10A0B"/>
    <w:rsid w:val="00D117E4"/>
    <w:rsid w:val="00D23111"/>
    <w:rsid w:val="00D234D6"/>
    <w:rsid w:val="00D26F46"/>
    <w:rsid w:val="00D33895"/>
    <w:rsid w:val="00D4152C"/>
    <w:rsid w:val="00D4461C"/>
    <w:rsid w:val="00D455CC"/>
    <w:rsid w:val="00D4676C"/>
    <w:rsid w:val="00D5224F"/>
    <w:rsid w:val="00D54F95"/>
    <w:rsid w:val="00D60E7F"/>
    <w:rsid w:val="00D83FC7"/>
    <w:rsid w:val="00D840BA"/>
    <w:rsid w:val="00D85860"/>
    <w:rsid w:val="00D95046"/>
    <w:rsid w:val="00D9680E"/>
    <w:rsid w:val="00DA29AF"/>
    <w:rsid w:val="00DA6670"/>
    <w:rsid w:val="00DB64EB"/>
    <w:rsid w:val="00DC24F3"/>
    <w:rsid w:val="00DC3BA6"/>
    <w:rsid w:val="00DC5DE3"/>
    <w:rsid w:val="00DC6679"/>
    <w:rsid w:val="00DC687C"/>
    <w:rsid w:val="00DD24A6"/>
    <w:rsid w:val="00DD58C2"/>
    <w:rsid w:val="00DF3F7D"/>
    <w:rsid w:val="00DF74F8"/>
    <w:rsid w:val="00E01070"/>
    <w:rsid w:val="00E0317B"/>
    <w:rsid w:val="00E04040"/>
    <w:rsid w:val="00E121E3"/>
    <w:rsid w:val="00E1672E"/>
    <w:rsid w:val="00E17459"/>
    <w:rsid w:val="00E27131"/>
    <w:rsid w:val="00E276C8"/>
    <w:rsid w:val="00E3125E"/>
    <w:rsid w:val="00E37A0C"/>
    <w:rsid w:val="00E37F92"/>
    <w:rsid w:val="00E44E1A"/>
    <w:rsid w:val="00E46072"/>
    <w:rsid w:val="00E5173A"/>
    <w:rsid w:val="00E558EE"/>
    <w:rsid w:val="00E61202"/>
    <w:rsid w:val="00E6365D"/>
    <w:rsid w:val="00E63D68"/>
    <w:rsid w:val="00E64438"/>
    <w:rsid w:val="00E6446D"/>
    <w:rsid w:val="00E75582"/>
    <w:rsid w:val="00E77D06"/>
    <w:rsid w:val="00E87A10"/>
    <w:rsid w:val="00E96857"/>
    <w:rsid w:val="00E97194"/>
    <w:rsid w:val="00EA1A30"/>
    <w:rsid w:val="00EA5A3A"/>
    <w:rsid w:val="00EB1149"/>
    <w:rsid w:val="00EC44BE"/>
    <w:rsid w:val="00EC60CB"/>
    <w:rsid w:val="00EF79F7"/>
    <w:rsid w:val="00F0169C"/>
    <w:rsid w:val="00F0574C"/>
    <w:rsid w:val="00F108B5"/>
    <w:rsid w:val="00F11346"/>
    <w:rsid w:val="00F177AD"/>
    <w:rsid w:val="00F26604"/>
    <w:rsid w:val="00F27DC4"/>
    <w:rsid w:val="00F3008D"/>
    <w:rsid w:val="00F33B89"/>
    <w:rsid w:val="00F40F3E"/>
    <w:rsid w:val="00F467B7"/>
    <w:rsid w:val="00F548F4"/>
    <w:rsid w:val="00F65C7B"/>
    <w:rsid w:val="00F729F5"/>
    <w:rsid w:val="00F72ADF"/>
    <w:rsid w:val="00F73E2E"/>
    <w:rsid w:val="00F75B7A"/>
    <w:rsid w:val="00F81E10"/>
    <w:rsid w:val="00F847B9"/>
    <w:rsid w:val="00F8613F"/>
    <w:rsid w:val="00FA020A"/>
    <w:rsid w:val="00FA6B61"/>
    <w:rsid w:val="00FB364C"/>
    <w:rsid w:val="00FB423D"/>
    <w:rsid w:val="00FB4CF6"/>
    <w:rsid w:val="00FB5759"/>
    <w:rsid w:val="00FB5B91"/>
    <w:rsid w:val="00FB76AB"/>
    <w:rsid w:val="00FB7E60"/>
    <w:rsid w:val="00FC079E"/>
    <w:rsid w:val="00FC0E0E"/>
    <w:rsid w:val="00FD51E9"/>
    <w:rsid w:val="00FE1B83"/>
    <w:rsid w:val="00FE5A3D"/>
    <w:rsid w:val="00FF254E"/>
    <w:rsid w:val="00FF25EB"/>
    <w:rsid w:val="00FF407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D55FA8"/>
  <w15:docId w15:val="{205A7137-BB74-4856-9AF7-DA9466A60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077F"/>
    <w:pPr>
      <w:jc w:val="both"/>
    </w:pPr>
    <w:rPr>
      <w:rFonts w:ascii="Garamond" w:hAnsi="Garamond"/>
    </w:rPr>
  </w:style>
  <w:style w:type="paragraph" w:styleId="Heading1">
    <w:name w:val="heading 1"/>
    <w:basedOn w:val="Normal"/>
    <w:next w:val="Normal"/>
    <w:link w:val="Heading1Char"/>
    <w:uiPriority w:val="9"/>
    <w:qFormat/>
    <w:rsid w:val="000A077F"/>
    <w:pPr>
      <w:keepNext/>
      <w:keepLines/>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0A077F"/>
    <w:pPr>
      <w:outlineLvl w:val="1"/>
    </w:pPr>
    <w:rPr>
      <w:b/>
      <w:i/>
    </w:rPr>
  </w:style>
  <w:style w:type="paragraph" w:styleId="Heading3">
    <w:name w:val="heading 3"/>
    <w:basedOn w:val="Normal"/>
    <w:next w:val="Normal"/>
    <w:link w:val="Heading3Char"/>
    <w:uiPriority w:val="9"/>
    <w:unhideWhenUsed/>
    <w:qFormat/>
    <w:rsid w:val="000A077F"/>
    <w:pPr>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077F"/>
    <w:rPr>
      <w:rFonts w:ascii="Garamond" w:eastAsiaTheme="majorEastAsia" w:hAnsi="Garamond" w:cstheme="majorBidi"/>
      <w:b/>
      <w:color w:val="000000" w:themeColor="text1"/>
      <w:sz w:val="32"/>
      <w:szCs w:val="32"/>
    </w:rPr>
  </w:style>
  <w:style w:type="character" w:customStyle="1" w:styleId="Heading2Char">
    <w:name w:val="Heading 2 Char"/>
    <w:basedOn w:val="DefaultParagraphFont"/>
    <w:link w:val="Heading2"/>
    <w:uiPriority w:val="9"/>
    <w:rsid w:val="000A077F"/>
    <w:rPr>
      <w:rFonts w:ascii="Garamond" w:hAnsi="Garamond"/>
      <w:b/>
      <w:i/>
    </w:rPr>
  </w:style>
  <w:style w:type="character" w:customStyle="1" w:styleId="Heading3Char">
    <w:name w:val="Heading 3 Char"/>
    <w:basedOn w:val="DefaultParagraphFont"/>
    <w:link w:val="Heading3"/>
    <w:uiPriority w:val="9"/>
    <w:rsid w:val="000A077F"/>
    <w:rPr>
      <w:rFonts w:ascii="Garamond" w:hAnsi="Garamond"/>
      <w:i/>
    </w:rPr>
  </w:style>
  <w:style w:type="paragraph" w:customStyle="1" w:styleId="p1">
    <w:name w:val="p1"/>
    <w:basedOn w:val="Normal"/>
    <w:rsid w:val="00CA5362"/>
    <w:rPr>
      <w:rFonts w:ascii="Helvetica" w:hAnsi="Helvetica" w:cs="Times New Roman"/>
      <w:sz w:val="15"/>
      <w:szCs w:val="15"/>
      <w:lang w:eastAsia="en-GB"/>
    </w:rPr>
  </w:style>
  <w:style w:type="character" w:customStyle="1" w:styleId="apple-converted-space">
    <w:name w:val="apple-converted-space"/>
    <w:basedOn w:val="DefaultParagraphFont"/>
    <w:rsid w:val="00CA5362"/>
  </w:style>
  <w:style w:type="paragraph" w:styleId="Title">
    <w:name w:val="Title"/>
    <w:basedOn w:val="Normal"/>
    <w:next w:val="Normal"/>
    <w:link w:val="TitleChar"/>
    <w:uiPriority w:val="10"/>
    <w:qFormat/>
    <w:rsid w:val="00CA5362"/>
    <w:pPr>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CA5362"/>
    <w:rPr>
      <w:rFonts w:ascii="Garamond" w:eastAsiaTheme="majorEastAsia" w:hAnsi="Garamond" w:cstheme="majorBidi"/>
      <w:spacing w:val="-10"/>
      <w:kern w:val="28"/>
      <w:sz w:val="56"/>
      <w:szCs w:val="56"/>
    </w:rPr>
  </w:style>
  <w:style w:type="paragraph" w:styleId="Caption">
    <w:name w:val="caption"/>
    <w:basedOn w:val="Normal"/>
    <w:next w:val="Normal"/>
    <w:uiPriority w:val="35"/>
    <w:unhideWhenUsed/>
    <w:qFormat/>
    <w:rsid w:val="00371927"/>
    <w:pPr>
      <w:spacing w:after="200"/>
    </w:pPr>
    <w:rPr>
      <w:i/>
      <w:iCs/>
      <w:color w:val="44546A" w:themeColor="text2"/>
      <w:sz w:val="18"/>
      <w:szCs w:val="18"/>
    </w:rPr>
  </w:style>
  <w:style w:type="paragraph" w:styleId="ListParagraph">
    <w:name w:val="List Paragraph"/>
    <w:basedOn w:val="Normal"/>
    <w:uiPriority w:val="34"/>
    <w:qFormat/>
    <w:rsid w:val="00AA42CC"/>
    <w:pPr>
      <w:ind w:left="720"/>
      <w:contextualSpacing/>
    </w:pPr>
  </w:style>
  <w:style w:type="character" w:styleId="Hyperlink">
    <w:name w:val="Hyperlink"/>
    <w:basedOn w:val="DefaultParagraphFont"/>
    <w:uiPriority w:val="99"/>
    <w:unhideWhenUsed/>
    <w:rsid w:val="00E87A10"/>
    <w:rPr>
      <w:color w:val="0563C1" w:themeColor="hyperlink"/>
      <w:u w:val="single"/>
    </w:rPr>
  </w:style>
  <w:style w:type="character" w:styleId="CommentReference">
    <w:name w:val="annotation reference"/>
    <w:basedOn w:val="DefaultParagraphFont"/>
    <w:uiPriority w:val="99"/>
    <w:semiHidden/>
    <w:unhideWhenUsed/>
    <w:rsid w:val="00C47EBD"/>
    <w:rPr>
      <w:sz w:val="18"/>
      <w:szCs w:val="18"/>
    </w:rPr>
  </w:style>
  <w:style w:type="paragraph" w:styleId="CommentText">
    <w:name w:val="annotation text"/>
    <w:basedOn w:val="Normal"/>
    <w:link w:val="CommentTextChar"/>
    <w:uiPriority w:val="99"/>
    <w:unhideWhenUsed/>
    <w:rsid w:val="00C47EBD"/>
  </w:style>
  <w:style w:type="character" w:customStyle="1" w:styleId="CommentTextChar">
    <w:name w:val="Comment Text Char"/>
    <w:basedOn w:val="DefaultParagraphFont"/>
    <w:link w:val="CommentText"/>
    <w:uiPriority w:val="99"/>
    <w:rsid w:val="00C47EBD"/>
    <w:rPr>
      <w:rFonts w:ascii="Garamond" w:hAnsi="Garamond"/>
    </w:rPr>
  </w:style>
  <w:style w:type="paragraph" w:styleId="CommentSubject">
    <w:name w:val="annotation subject"/>
    <w:basedOn w:val="CommentText"/>
    <w:next w:val="CommentText"/>
    <w:link w:val="CommentSubjectChar"/>
    <w:uiPriority w:val="99"/>
    <w:semiHidden/>
    <w:unhideWhenUsed/>
    <w:rsid w:val="00C47EBD"/>
    <w:rPr>
      <w:b/>
      <w:bCs/>
      <w:sz w:val="20"/>
      <w:szCs w:val="20"/>
    </w:rPr>
  </w:style>
  <w:style w:type="character" w:customStyle="1" w:styleId="CommentSubjectChar">
    <w:name w:val="Comment Subject Char"/>
    <w:basedOn w:val="CommentTextChar"/>
    <w:link w:val="CommentSubject"/>
    <w:uiPriority w:val="99"/>
    <w:semiHidden/>
    <w:rsid w:val="00C47EBD"/>
    <w:rPr>
      <w:rFonts w:ascii="Garamond" w:hAnsi="Garamond"/>
      <w:b/>
      <w:bCs/>
      <w:sz w:val="20"/>
      <w:szCs w:val="20"/>
    </w:rPr>
  </w:style>
  <w:style w:type="paragraph" w:styleId="BalloonText">
    <w:name w:val="Balloon Text"/>
    <w:basedOn w:val="Normal"/>
    <w:link w:val="BalloonTextChar"/>
    <w:uiPriority w:val="99"/>
    <w:semiHidden/>
    <w:unhideWhenUsed/>
    <w:rsid w:val="00C47EB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47EBD"/>
    <w:rPr>
      <w:rFonts w:ascii="Times New Roman" w:hAnsi="Times New Roman" w:cs="Times New Roman"/>
      <w:sz w:val="18"/>
      <w:szCs w:val="18"/>
    </w:rPr>
  </w:style>
  <w:style w:type="table" w:styleId="TableGrid">
    <w:name w:val="Table Grid"/>
    <w:basedOn w:val="TableNormal"/>
    <w:uiPriority w:val="39"/>
    <w:rsid w:val="009C31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rsid w:val="005839A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
    <w:name w:val="Revision"/>
    <w:hidden/>
    <w:uiPriority w:val="99"/>
    <w:semiHidden/>
    <w:rsid w:val="00D9680E"/>
    <w:rPr>
      <w:rFonts w:ascii="Garamond" w:hAnsi="Garamond"/>
    </w:rPr>
  </w:style>
  <w:style w:type="paragraph" w:styleId="Header">
    <w:name w:val="header"/>
    <w:basedOn w:val="Normal"/>
    <w:link w:val="HeaderChar"/>
    <w:uiPriority w:val="99"/>
    <w:unhideWhenUsed/>
    <w:rsid w:val="004076D2"/>
    <w:pPr>
      <w:tabs>
        <w:tab w:val="center" w:pos="4513"/>
        <w:tab w:val="right" w:pos="9026"/>
      </w:tabs>
    </w:pPr>
  </w:style>
  <w:style w:type="character" w:customStyle="1" w:styleId="HeaderChar">
    <w:name w:val="Header Char"/>
    <w:basedOn w:val="DefaultParagraphFont"/>
    <w:link w:val="Header"/>
    <w:uiPriority w:val="99"/>
    <w:rsid w:val="004076D2"/>
    <w:rPr>
      <w:rFonts w:ascii="Garamond" w:hAnsi="Garamond"/>
    </w:rPr>
  </w:style>
  <w:style w:type="paragraph" w:styleId="Footer">
    <w:name w:val="footer"/>
    <w:basedOn w:val="Normal"/>
    <w:link w:val="FooterChar"/>
    <w:uiPriority w:val="99"/>
    <w:unhideWhenUsed/>
    <w:rsid w:val="004076D2"/>
    <w:pPr>
      <w:tabs>
        <w:tab w:val="center" w:pos="4513"/>
        <w:tab w:val="right" w:pos="9026"/>
      </w:tabs>
    </w:pPr>
  </w:style>
  <w:style w:type="character" w:customStyle="1" w:styleId="FooterChar">
    <w:name w:val="Footer Char"/>
    <w:basedOn w:val="DefaultParagraphFont"/>
    <w:link w:val="Footer"/>
    <w:uiPriority w:val="99"/>
    <w:rsid w:val="004076D2"/>
    <w:rPr>
      <w:rFonts w:ascii="Garamond" w:hAnsi="Garamond"/>
    </w:rPr>
  </w:style>
  <w:style w:type="character" w:styleId="PlaceholderText">
    <w:name w:val="Placeholder Text"/>
    <w:basedOn w:val="DefaultParagraphFont"/>
    <w:uiPriority w:val="99"/>
    <w:semiHidden/>
    <w:rsid w:val="004D73AF"/>
    <w:rPr>
      <w:color w:val="808080"/>
    </w:rPr>
  </w:style>
  <w:style w:type="character" w:customStyle="1" w:styleId="xbe">
    <w:name w:val="_xbe"/>
    <w:basedOn w:val="DefaultParagraphFont"/>
    <w:rsid w:val="009F1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68715">
      <w:bodyDiv w:val="1"/>
      <w:marLeft w:val="0"/>
      <w:marRight w:val="0"/>
      <w:marTop w:val="0"/>
      <w:marBottom w:val="0"/>
      <w:divBdr>
        <w:top w:val="none" w:sz="0" w:space="0" w:color="auto"/>
        <w:left w:val="none" w:sz="0" w:space="0" w:color="auto"/>
        <w:bottom w:val="none" w:sz="0" w:space="0" w:color="auto"/>
        <w:right w:val="none" w:sz="0" w:space="0" w:color="auto"/>
      </w:divBdr>
      <w:divsChild>
        <w:div w:id="1834299335">
          <w:marLeft w:val="0"/>
          <w:marRight w:val="0"/>
          <w:marTop w:val="0"/>
          <w:marBottom w:val="0"/>
          <w:divBdr>
            <w:top w:val="none" w:sz="0" w:space="0" w:color="auto"/>
            <w:left w:val="none" w:sz="0" w:space="0" w:color="auto"/>
            <w:bottom w:val="none" w:sz="0" w:space="0" w:color="auto"/>
            <w:right w:val="none" w:sz="0" w:space="0" w:color="auto"/>
          </w:divBdr>
        </w:div>
      </w:divsChild>
    </w:div>
    <w:div w:id="40371157">
      <w:bodyDiv w:val="1"/>
      <w:marLeft w:val="0"/>
      <w:marRight w:val="0"/>
      <w:marTop w:val="0"/>
      <w:marBottom w:val="0"/>
      <w:divBdr>
        <w:top w:val="none" w:sz="0" w:space="0" w:color="auto"/>
        <w:left w:val="none" w:sz="0" w:space="0" w:color="auto"/>
        <w:bottom w:val="none" w:sz="0" w:space="0" w:color="auto"/>
        <w:right w:val="none" w:sz="0" w:space="0" w:color="auto"/>
      </w:divBdr>
    </w:div>
    <w:div w:id="68424211">
      <w:bodyDiv w:val="1"/>
      <w:marLeft w:val="0"/>
      <w:marRight w:val="0"/>
      <w:marTop w:val="0"/>
      <w:marBottom w:val="0"/>
      <w:divBdr>
        <w:top w:val="none" w:sz="0" w:space="0" w:color="auto"/>
        <w:left w:val="none" w:sz="0" w:space="0" w:color="auto"/>
        <w:bottom w:val="none" w:sz="0" w:space="0" w:color="auto"/>
        <w:right w:val="none" w:sz="0" w:space="0" w:color="auto"/>
      </w:divBdr>
      <w:divsChild>
        <w:div w:id="941448812">
          <w:marLeft w:val="0"/>
          <w:marRight w:val="0"/>
          <w:marTop w:val="0"/>
          <w:marBottom w:val="0"/>
          <w:divBdr>
            <w:top w:val="none" w:sz="0" w:space="0" w:color="auto"/>
            <w:left w:val="none" w:sz="0" w:space="0" w:color="auto"/>
            <w:bottom w:val="none" w:sz="0" w:space="0" w:color="auto"/>
            <w:right w:val="none" w:sz="0" w:space="0" w:color="auto"/>
          </w:divBdr>
        </w:div>
      </w:divsChild>
    </w:div>
    <w:div w:id="83891150">
      <w:bodyDiv w:val="1"/>
      <w:marLeft w:val="0"/>
      <w:marRight w:val="0"/>
      <w:marTop w:val="0"/>
      <w:marBottom w:val="0"/>
      <w:divBdr>
        <w:top w:val="none" w:sz="0" w:space="0" w:color="auto"/>
        <w:left w:val="none" w:sz="0" w:space="0" w:color="auto"/>
        <w:bottom w:val="none" w:sz="0" w:space="0" w:color="auto"/>
        <w:right w:val="none" w:sz="0" w:space="0" w:color="auto"/>
      </w:divBdr>
      <w:divsChild>
        <w:div w:id="1475482809">
          <w:marLeft w:val="0"/>
          <w:marRight w:val="0"/>
          <w:marTop w:val="0"/>
          <w:marBottom w:val="0"/>
          <w:divBdr>
            <w:top w:val="none" w:sz="0" w:space="0" w:color="auto"/>
            <w:left w:val="none" w:sz="0" w:space="0" w:color="auto"/>
            <w:bottom w:val="none" w:sz="0" w:space="0" w:color="auto"/>
            <w:right w:val="none" w:sz="0" w:space="0" w:color="auto"/>
          </w:divBdr>
        </w:div>
      </w:divsChild>
    </w:div>
    <w:div w:id="110825857">
      <w:bodyDiv w:val="1"/>
      <w:marLeft w:val="0"/>
      <w:marRight w:val="0"/>
      <w:marTop w:val="0"/>
      <w:marBottom w:val="0"/>
      <w:divBdr>
        <w:top w:val="none" w:sz="0" w:space="0" w:color="auto"/>
        <w:left w:val="none" w:sz="0" w:space="0" w:color="auto"/>
        <w:bottom w:val="none" w:sz="0" w:space="0" w:color="auto"/>
        <w:right w:val="none" w:sz="0" w:space="0" w:color="auto"/>
      </w:divBdr>
      <w:divsChild>
        <w:div w:id="855580057">
          <w:marLeft w:val="0"/>
          <w:marRight w:val="0"/>
          <w:marTop w:val="0"/>
          <w:marBottom w:val="0"/>
          <w:divBdr>
            <w:top w:val="none" w:sz="0" w:space="0" w:color="auto"/>
            <w:left w:val="none" w:sz="0" w:space="0" w:color="auto"/>
            <w:bottom w:val="none" w:sz="0" w:space="0" w:color="auto"/>
            <w:right w:val="none" w:sz="0" w:space="0" w:color="auto"/>
          </w:divBdr>
        </w:div>
      </w:divsChild>
    </w:div>
    <w:div w:id="114377178">
      <w:bodyDiv w:val="1"/>
      <w:marLeft w:val="0"/>
      <w:marRight w:val="0"/>
      <w:marTop w:val="0"/>
      <w:marBottom w:val="0"/>
      <w:divBdr>
        <w:top w:val="none" w:sz="0" w:space="0" w:color="auto"/>
        <w:left w:val="none" w:sz="0" w:space="0" w:color="auto"/>
        <w:bottom w:val="none" w:sz="0" w:space="0" w:color="auto"/>
        <w:right w:val="none" w:sz="0" w:space="0" w:color="auto"/>
      </w:divBdr>
      <w:divsChild>
        <w:div w:id="1604680022">
          <w:marLeft w:val="0"/>
          <w:marRight w:val="0"/>
          <w:marTop w:val="0"/>
          <w:marBottom w:val="0"/>
          <w:divBdr>
            <w:top w:val="none" w:sz="0" w:space="0" w:color="auto"/>
            <w:left w:val="none" w:sz="0" w:space="0" w:color="auto"/>
            <w:bottom w:val="none" w:sz="0" w:space="0" w:color="auto"/>
            <w:right w:val="none" w:sz="0" w:space="0" w:color="auto"/>
          </w:divBdr>
        </w:div>
      </w:divsChild>
    </w:div>
    <w:div w:id="117573402">
      <w:bodyDiv w:val="1"/>
      <w:marLeft w:val="0"/>
      <w:marRight w:val="0"/>
      <w:marTop w:val="0"/>
      <w:marBottom w:val="0"/>
      <w:divBdr>
        <w:top w:val="none" w:sz="0" w:space="0" w:color="auto"/>
        <w:left w:val="none" w:sz="0" w:space="0" w:color="auto"/>
        <w:bottom w:val="none" w:sz="0" w:space="0" w:color="auto"/>
        <w:right w:val="none" w:sz="0" w:space="0" w:color="auto"/>
      </w:divBdr>
      <w:divsChild>
        <w:div w:id="1965960339">
          <w:marLeft w:val="0"/>
          <w:marRight w:val="0"/>
          <w:marTop w:val="0"/>
          <w:marBottom w:val="0"/>
          <w:divBdr>
            <w:top w:val="none" w:sz="0" w:space="0" w:color="auto"/>
            <w:left w:val="none" w:sz="0" w:space="0" w:color="auto"/>
            <w:bottom w:val="none" w:sz="0" w:space="0" w:color="auto"/>
            <w:right w:val="none" w:sz="0" w:space="0" w:color="auto"/>
          </w:divBdr>
        </w:div>
      </w:divsChild>
    </w:div>
    <w:div w:id="257326570">
      <w:bodyDiv w:val="1"/>
      <w:marLeft w:val="0"/>
      <w:marRight w:val="0"/>
      <w:marTop w:val="0"/>
      <w:marBottom w:val="0"/>
      <w:divBdr>
        <w:top w:val="none" w:sz="0" w:space="0" w:color="auto"/>
        <w:left w:val="none" w:sz="0" w:space="0" w:color="auto"/>
        <w:bottom w:val="none" w:sz="0" w:space="0" w:color="auto"/>
        <w:right w:val="none" w:sz="0" w:space="0" w:color="auto"/>
      </w:divBdr>
    </w:div>
    <w:div w:id="323818418">
      <w:bodyDiv w:val="1"/>
      <w:marLeft w:val="0"/>
      <w:marRight w:val="0"/>
      <w:marTop w:val="0"/>
      <w:marBottom w:val="0"/>
      <w:divBdr>
        <w:top w:val="none" w:sz="0" w:space="0" w:color="auto"/>
        <w:left w:val="none" w:sz="0" w:space="0" w:color="auto"/>
        <w:bottom w:val="none" w:sz="0" w:space="0" w:color="auto"/>
        <w:right w:val="none" w:sz="0" w:space="0" w:color="auto"/>
      </w:divBdr>
      <w:divsChild>
        <w:div w:id="1150486068">
          <w:marLeft w:val="0"/>
          <w:marRight w:val="0"/>
          <w:marTop w:val="0"/>
          <w:marBottom w:val="0"/>
          <w:divBdr>
            <w:top w:val="none" w:sz="0" w:space="0" w:color="auto"/>
            <w:left w:val="none" w:sz="0" w:space="0" w:color="auto"/>
            <w:bottom w:val="none" w:sz="0" w:space="0" w:color="auto"/>
            <w:right w:val="none" w:sz="0" w:space="0" w:color="auto"/>
          </w:divBdr>
        </w:div>
      </w:divsChild>
    </w:div>
    <w:div w:id="400373666">
      <w:bodyDiv w:val="1"/>
      <w:marLeft w:val="0"/>
      <w:marRight w:val="0"/>
      <w:marTop w:val="0"/>
      <w:marBottom w:val="0"/>
      <w:divBdr>
        <w:top w:val="none" w:sz="0" w:space="0" w:color="auto"/>
        <w:left w:val="none" w:sz="0" w:space="0" w:color="auto"/>
        <w:bottom w:val="none" w:sz="0" w:space="0" w:color="auto"/>
        <w:right w:val="none" w:sz="0" w:space="0" w:color="auto"/>
      </w:divBdr>
    </w:div>
    <w:div w:id="407657353">
      <w:bodyDiv w:val="1"/>
      <w:marLeft w:val="0"/>
      <w:marRight w:val="0"/>
      <w:marTop w:val="0"/>
      <w:marBottom w:val="0"/>
      <w:divBdr>
        <w:top w:val="none" w:sz="0" w:space="0" w:color="auto"/>
        <w:left w:val="none" w:sz="0" w:space="0" w:color="auto"/>
        <w:bottom w:val="none" w:sz="0" w:space="0" w:color="auto"/>
        <w:right w:val="none" w:sz="0" w:space="0" w:color="auto"/>
      </w:divBdr>
      <w:divsChild>
        <w:div w:id="403919655">
          <w:marLeft w:val="0"/>
          <w:marRight w:val="0"/>
          <w:marTop w:val="0"/>
          <w:marBottom w:val="0"/>
          <w:divBdr>
            <w:top w:val="none" w:sz="0" w:space="0" w:color="auto"/>
            <w:left w:val="none" w:sz="0" w:space="0" w:color="auto"/>
            <w:bottom w:val="none" w:sz="0" w:space="0" w:color="auto"/>
            <w:right w:val="none" w:sz="0" w:space="0" w:color="auto"/>
          </w:divBdr>
        </w:div>
      </w:divsChild>
    </w:div>
    <w:div w:id="426191197">
      <w:bodyDiv w:val="1"/>
      <w:marLeft w:val="0"/>
      <w:marRight w:val="0"/>
      <w:marTop w:val="0"/>
      <w:marBottom w:val="0"/>
      <w:divBdr>
        <w:top w:val="none" w:sz="0" w:space="0" w:color="auto"/>
        <w:left w:val="none" w:sz="0" w:space="0" w:color="auto"/>
        <w:bottom w:val="none" w:sz="0" w:space="0" w:color="auto"/>
        <w:right w:val="none" w:sz="0" w:space="0" w:color="auto"/>
      </w:divBdr>
    </w:div>
    <w:div w:id="432171325">
      <w:bodyDiv w:val="1"/>
      <w:marLeft w:val="0"/>
      <w:marRight w:val="0"/>
      <w:marTop w:val="0"/>
      <w:marBottom w:val="0"/>
      <w:divBdr>
        <w:top w:val="none" w:sz="0" w:space="0" w:color="auto"/>
        <w:left w:val="none" w:sz="0" w:space="0" w:color="auto"/>
        <w:bottom w:val="none" w:sz="0" w:space="0" w:color="auto"/>
        <w:right w:val="none" w:sz="0" w:space="0" w:color="auto"/>
      </w:divBdr>
    </w:div>
    <w:div w:id="444351720">
      <w:bodyDiv w:val="1"/>
      <w:marLeft w:val="0"/>
      <w:marRight w:val="0"/>
      <w:marTop w:val="0"/>
      <w:marBottom w:val="0"/>
      <w:divBdr>
        <w:top w:val="none" w:sz="0" w:space="0" w:color="auto"/>
        <w:left w:val="none" w:sz="0" w:space="0" w:color="auto"/>
        <w:bottom w:val="none" w:sz="0" w:space="0" w:color="auto"/>
        <w:right w:val="none" w:sz="0" w:space="0" w:color="auto"/>
      </w:divBdr>
      <w:divsChild>
        <w:div w:id="32926558">
          <w:marLeft w:val="0"/>
          <w:marRight w:val="0"/>
          <w:marTop w:val="0"/>
          <w:marBottom w:val="0"/>
          <w:divBdr>
            <w:top w:val="none" w:sz="0" w:space="0" w:color="auto"/>
            <w:left w:val="none" w:sz="0" w:space="0" w:color="auto"/>
            <w:bottom w:val="none" w:sz="0" w:space="0" w:color="auto"/>
            <w:right w:val="none" w:sz="0" w:space="0" w:color="auto"/>
          </w:divBdr>
        </w:div>
      </w:divsChild>
    </w:div>
    <w:div w:id="445732329">
      <w:bodyDiv w:val="1"/>
      <w:marLeft w:val="0"/>
      <w:marRight w:val="0"/>
      <w:marTop w:val="0"/>
      <w:marBottom w:val="0"/>
      <w:divBdr>
        <w:top w:val="none" w:sz="0" w:space="0" w:color="auto"/>
        <w:left w:val="none" w:sz="0" w:space="0" w:color="auto"/>
        <w:bottom w:val="none" w:sz="0" w:space="0" w:color="auto"/>
        <w:right w:val="none" w:sz="0" w:space="0" w:color="auto"/>
      </w:divBdr>
      <w:divsChild>
        <w:div w:id="544368971">
          <w:marLeft w:val="0"/>
          <w:marRight w:val="0"/>
          <w:marTop w:val="0"/>
          <w:marBottom w:val="0"/>
          <w:divBdr>
            <w:top w:val="none" w:sz="0" w:space="0" w:color="auto"/>
            <w:left w:val="none" w:sz="0" w:space="0" w:color="auto"/>
            <w:bottom w:val="none" w:sz="0" w:space="0" w:color="auto"/>
            <w:right w:val="none" w:sz="0" w:space="0" w:color="auto"/>
          </w:divBdr>
        </w:div>
      </w:divsChild>
    </w:div>
    <w:div w:id="474835638">
      <w:bodyDiv w:val="1"/>
      <w:marLeft w:val="0"/>
      <w:marRight w:val="0"/>
      <w:marTop w:val="0"/>
      <w:marBottom w:val="0"/>
      <w:divBdr>
        <w:top w:val="none" w:sz="0" w:space="0" w:color="auto"/>
        <w:left w:val="none" w:sz="0" w:space="0" w:color="auto"/>
        <w:bottom w:val="none" w:sz="0" w:space="0" w:color="auto"/>
        <w:right w:val="none" w:sz="0" w:space="0" w:color="auto"/>
      </w:divBdr>
      <w:divsChild>
        <w:div w:id="1084255881">
          <w:marLeft w:val="0"/>
          <w:marRight w:val="0"/>
          <w:marTop w:val="0"/>
          <w:marBottom w:val="0"/>
          <w:divBdr>
            <w:top w:val="none" w:sz="0" w:space="0" w:color="auto"/>
            <w:left w:val="none" w:sz="0" w:space="0" w:color="auto"/>
            <w:bottom w:val="none" w:sz="0" w:space="0" w:color="auto"/>
            <w:right w:val="none" w:sz="0" w:space="0" w:color="auto"/>
          </w:divBdr>
        </w:div>
      </w:divsChild>
    </w:div>
    <w:div w:id="487938874">
      <w:bodyDiv w:val="1"/>
      <w:marLeft w:val="0"/>
      <w:marRight w:val="0"/>
      <w:marTop w:val="0"/>
      <w:marBottom w:val="0"/>
      <w:divBdr>
        <w:top w:val="none" w:sz="0" w:space="0" w:color="auto"/>
        <w:left w:val="none" w:sz="0" w:space="0" w:color="auto"/>
        <w:bottom w:val="none" w:sz="0" w:space="0" w:color="auto"/>
        <w:right w:val="none" w:sz="0" w:space="0" w:color="auto"/>
      </w:divBdr>
      <w:divsChild>
        <w:div w:id="923996959">
          <w:marLeft w:val="0"/>
          <w:marRight w:val="0"/>
          <w:marTop w:val="0"/>
          <w:marBottom w:val="0"/>
          <w:divBdr>
            <w:top w:val="none" w:sz="0" w:space="0" w:color="auto"/>
            <w:left w:val="none" w:sz="0" w:space="0" w:color="auto"/>
            <w:bottom w:val="none" w:sz="0" w:space="0" w:color="auto"/>
            <w:right w:val="none" w:sz="0" w:space="0" w:color="auto"/>
          </w:divBdr>
        </w:div>
      </w:divsChild>
    </w:div>
    <w:div w:id="598638220">
      <w:bodyDiv w:val="1"/>
      <w:marLeft w:val="0"/>
      <w:marRight w:val="0"/>
      <w:marTop w:val="0"/>
      <w:marBottom w:val="0"/>
      <w:divBdr>
        <w:top w:val="none" w:sz="0" w:space="0" w:color="auto"/>
        <w:left w:val="none" w:sz="0" w:space="0" w:color="auto"/>
        <w:bottom w:val="none" w:sz="0" w:space="0" w:color="auto"/>
        <w:right w:val="none" w:sz="0" w:space="0" w:color="auto"/>
      </w:divBdr>
    </w:div>
    <w:div w:id="605230202">
      <w:bodyDiv w:val="1"/>
      <w:marLeft w:val="0"/>
      <w:marRight w:val="0"/>
      <w:marTop w:val="0"/>
      <w:marBottom w:val="0"/>
      <w:divBdr>
        <w:top w:val="none" w:sz="0" w:space="0" w:color="auto"/>
        <w:left w:val="none" w:sz="0" w:space="0" w:color="auto"/>
        <w:bottom w:val="none" w:sz="0" w:space="0" w:color="auto"/>
        <w:right w:val="none" w:sz="0" w:space="0" w:color="auto"/>
      </w:divBdr>
      <w:divsChild>
        <w:div w:id="137890424">
          <w:marLeft w:val="0"/>
          <w:marRight w:val="0"/>
          <w:marTop w:val="0"/>
          <w:marBottom w:val="0"/>
          <w:divBdr>
            <w:top w:val="none" w:sz="0" w:space="0" w:color="auto"/>
            <w:left w:val="none" w:sz="0" w:space="0" w:color="auto"/>
            <w:bottom w:val="none" w:sz="0" w:space="0" w:color="auto"/>
            <w:right w:val="none" w:sz="0" w:space="0" w:color="auto"/>
          </w:divBdr>
        </w:div>
      </w:divsChild>
    </w:div>
    <w:div w:id="663900126">
      <w:bodyDiv w:val="1"/>
      <w:marLeft w:val="0"/>
      <w:marRight w:val="0"/>
      <w:marTop w:val="0"/>
      <w:marBottom w:val="0"/>
      <w:divBdr>
        <w:top w:val="none" w:sz="0" w:space="0" w:color="auto"/>
        <w:left w:val="none" w:sz="0" w:space="0" w:color="auto"/>
        <w:bottom w:val="none" w:sz="0" w:space="0" w:color="auto"/>
        <w:right w:val="none" w:sz="0" w:space="0" w:color="auto"/>
      </w:divBdr>
    </w:div>
    <w:div w:id="676271451">
      <w:bodyDiv w:val="1"/>
      <w:marLeft w:val="0"/>
      <w:marRight w:val="0"/>
      <w:marTop w:val="0"/>
      <w:marBottom w:val="0"/>
      <w:divBdr>
        <w:top w:val="none" w:sz="0" w:space="0" w:color="auto"/>
        <w:left w:val="none" w:sz="0" w:space="0" w:color="auto"/>
        <w:bottom w:val="none" w:sz="0" w:space="0" w:color="auto"/>
        <w:right w:val="none" w:sz="0" w:space="0" w:color="auto"/>
      </w:divBdr>
    </w:div>
    <w:div w:id="678195579">
      <w:bodyDiv w:val="1"/>
      <w:marLeft w:val="0"/>
      <w:marRight w:val="0"/>
      <w:marTop w:val="0"/>
      <w:marBottom w:val="0"/>
      <w:divBdr>
        <w:top w:val="none" w:sz="0" w:space="0" w:color="auto"/>
        <w:left w:val="none" w:sz="0" w:space="0" w:color="auto"/>
        <w:bottom w:val="none" w:sz="0" w:space="0" w:color="auto"/>
        <w:right w:val="none" w:sz="0" w:space="0" w:color="auto"/>
      </w:divBdr>
    </w:div>
    <w:div w:id="728380601">
      <w:bodyDiv w:val="1"/>
      <w:marLeft w:val="0"/>
      <w:marRight w:val="0"/>
      <w:marTop w:val="0"/>
      <w:marBottom w:val="0"/>
      <w:divBdr>
        <w:top w:val="none" w:sz="0" w:space="0" w:color="auto"/>
        <w:left w:val="none" w:sz="0" w:space="0" w:color="auto"/>
        <w:bottom w:val="none" w:sz="0" w:space="0" w:color="auto"/>
        <w:right w:val="none" w:sz="0" w:space="0" w:color="auto"/>
      </w:divBdr>
      <w:divsChild>
        <w:div w:id="1089080809">
          <w:marLeft w:val="0"/>
          <w:marRight w:val="0"/>
          <w:marTop w:val="0"/>
          <w:marBottom w:val="0"/>
          <w:divBdr>
            <w:top w:val="none" w:sz="0" w:space="0" w:color="auto"/>
            <w:left w:val="none" w:sz="0" w:space="0" w:color="auto"/>
            <w:bottom w:val="none" w:sz="0" w:space="0" w:color="auto"/>
            <w:right w:val="none" w:sz="0" w:space="0" w:color="auto"/>
          </w:divBdr>
        </w:div>
      </w:divsChild>
    </w:div>
    <w:div w:id="742724299">
      <w:bodyDiv w:val="1"/>
      <w:marLeft w:val="0"/>
      <w:marRight w:val="0"/>
      <w:marTop w:val="0"/>
      <w:marBottom w:val="0"/>
      <w:divBdr>
        <w:top w:val="none" w:sz="0" w:space="0" w:color="auto"/>
        <w:left w:val="none" w:sz="0" w:space="0" w:color="auto"/>
        <w:bottom w:val="none" w:sz="0" w:space="0" w:color="auto"/>
        <w:right w:val="none" w:sz="0" w:space="0" w:color="auto"/>
      </w:divBdr>
    </w:div>
    <w:div w:id="786897713">
      <w:bodyDiv w:val="1"/>
      <w:marLeft w:val="0"/>
      <w:marRight w:val="0"/>
      <w:marTop w:val="0"/>
      <w:marBottom w:val="0"/>
      <w:divBdr>
        <w:top w:val="none" w:sz="0" w:space="0" w:color="auto"/>
        <w:left w:val="none" w:sz="0" w:space="0" w:color="auto"/>
        <w:bottom w:val="none" w:sz="0" w:space="0" w:color="auto"/>
        <w:right w:val="none" w:sz="0" w:space="0" w:color="auto"/>
      </w:divBdr>
      <w:divsChild>
        <w:div w:id="657422729">
          <w:marLeft w:val="0"/>
          <w:marRight w:val="0"/>
          <w:marTop w:val="0"/>
          <w:marBottom w:val="0"/>
          <w:divBdr>
            <w:top w:val="none" w:sz="0" w:space="0" w:color="auto"/>
            <w:left w:val="none" w:sz="0" w:space="0" w:color="auto"/>
            <w:bottom w:val="none" w:sz="0" w:space="0" w:color="auto"/>
            <w:right w:val="none" w:sz="0" w:space="0" w:color="auto"/>
          </w:divBdr>
        </w:div>
      </w:divsChild>
    </w:div>
    <w:div w:id="805053841">
      <w:bodyDiv w:val="1"/>
      <w:marLeft w:val="0"/>
      <w:marRight w:val="0"/>
      <w:marTop w:val="0"/>
      <w:marBottom w:val="0"/>
      <w:divBdr>
        <w:top w:val="none" w:sz="0" w:space="0" w:color="auto"/>
        <w:left w:val="none" w:sz="0" w:space="0" w:color="auto"/>
        <w:bottom w:val="none" w:sz="0" w:space="0" w:color="auto"/>
        <w:right w:val="none" w:sz="0" w:space="0" w:color="auto"/>
      </w:divBdr>
      <w:divsChild>
        <w:div w:id="50814283">
          <w:marLeft w:val="0"/>
          <w:marRight w:val="0"/>
          <w:marTop w:val="0"/>
          <w:marBottom w:val="0"/>
          <w:divBdr>
            <w:top w:val="none" w:sz="0" w:space="0" w:color="auto"/>
            <w:left w:val="none" w:sz="0" w:space="0" w:color="auto"/>
            <w:bottom w:val="none" w:sz="0" w:space="0" w:color="auto"/>
            <w:right w:val="none" w:sz="0" w:space="0" w:color="auto"/>
          </w:divBdr>
        </w:div>
      </w:divsChild>
    </w:div>
    <w:div w:id="821583736">
      <w:bodyDiv w:val="1"/>
      <w:marLeft w:val="0"/>
      <w:marRight w:val="0"/>
      <w:marTop w:val="0"/>
      <w:marBottom w:val="0"/>
      <w:divBdr>
        <w:top w:val="none" w:sz="0" w:space="0" w:color="auto"/>
        <w:left w:val="none" w:sz="0" w:space="0" w:color="auto"/>
        <w:bottom w:val="none" w:sz="0" w:space="0" w:color="auto"/>
        <w:right w:val="none" w:sz="0" w:space="0" w:color="auto"/>
      </w:divBdr>
    </w:div>
    <w:div w:id="835337386">
      <w:bodyDiv w:val="1"/>
      <w:marLeft w:val="0"/>
      <w:marRight w:val="0"/>
      <w:marTop w:val="0"/>
      <w:marBottom w:val="0"/>
      <w:divBdr>
        <w:top w:val="none" w:sz="0" w:space="0" w:color="auto"/>
        <w:left w:val="none" w:sz="0" w:space="0" w:color="auto"/>
        <w:bottom w:val="none" w:sz="0" w:space="0" w:color="auto"/>
        <w:right w:val="none" w:sz="0" w:space="0" w:color="auto"/>
      </w:divBdr>
      <w:divsChild>
        <w:div w:id="722673674">
          <w:marLeft w:val="0"/>
          <w:marRight w:val="0"/>
          <w:marTop w:val="0"/>
          <w:marBottom w:val="0"/>
          <w:divBdr>
            <w:top w:val="none" w:sz="0" w:space="0" w:color="auto"/>
            <w:left w:val="none" w:sz="0" w:space="0" w:color="auto"/>
            <w:bottom w:val="none" w:sz="0" w:space="0" w:color="auto"/>
            <w:right w:val="none" w:sz="0" w:space="0" w:color="auto"/>
          </w:divBdr>
        </w:div>
        <w:div w:id="947278336">
          <w:marLeft w:val="0"/>
          <w:marRight w:val="0"/>
          <w:marTop w:val="0"/>
          <w:marBottom w:val="0"/>
          <w:divBdr>
            <w:top w:val="none" w:sz="0" w:space="0" w:color="auto"/>
            <w:left w:val="none" w:sz="0" w:space="0" w:color="auto"/>
            <w:bottom w:val="none" w:sz="0" w:space="0" w:color="auto"/>
            <w:right w:val="none" w:sz="0" w:space="0" w:color="auto"/>
          </w:divBdr>
        </w:div>
        <w:div w:id="1882548915">
          <w:marLeft w:val="0"/>
          <w:marRight w:val="0"/>
          <w:marTop w:val="0"/>
          <w:marBottom w:val="0"/>
          <w:divBdr>
            <w:top w:val="none" w:sz="0" w:space="0" w:color="auto"/>
            <w:left w:val="none" w:sz="0" w:space="0" w:color="auto"/>
            <w:bottom w:val="none" w:sz="0" w:space="0" w:color="auto"/>
            <w:right w:val="none" w:sz="0" w:space="0" w:color="auto"/>
          </w:divBdr>
        </w:div>
        <w:div w:id="108008715">
          <w:marLeft w:val="0"/>
          <w:marRight w:val="0"/>
          <w:marTop w:val="0"/>
          <w:marBottom w:val="0"/>
          <w:divBdr>
            <w:top w:val="none" w:sz="0" w:space="0" w:color="auto"/>
            <w:left w:val="none" w:sz="0" w:space="0" w:color="auto"/>
            <w:bottom w:val="none" w:sz="0" w:space="0" w:color="auto"/>
            <w:right w:val="none" w:sz="0" w:space="0" w:color="auto"/>
          </w:divBdr>
        </w:div>
        <w:div w:id="1559319943">
          <w:marLeft w:val="0"/>
          <w:marRight w:val="0"/>
          <w:marTop w:val="0"/>
          <w:marBottom w:val="0"/>
          <w:divBdr>
            <w:top w:val="none" w:sz="0" w:space="0" w:color="auto"/>
            <w:left w:val="none" w:sz="0" w:space="0" w:color="auto"/>
            <w:bottom w:val="none" w:sz="0" w:space="0" w:color="auto"/>
            <w:right w:val="none" w:sz="0" w:space="0" w:color="auto"/>
          </w:divBdr>
        </w:div>
        <w:div w:id="948466781">
          <w:marLeft w:val="0"/>
          <w:marRight w:val="0"/>
          <w:marTop w:val="0"/>
          <w:marBottom w:val="0"/>
          <w:divBdr>
            <w:top w:val="none" w:sz="0" w:space="0" w:color="auto"/>
            <w:left w:val="none" w:sz="0" w:space="0" w:color="auto"/>
            <w:bottom w:val="none" w:sz="0" w:space="0" w:color="auto"/>
            <w:right w:val="none" w:sz="0" w:space="0" w:color="auto"/>
          </w:divBdr>
        </w:div>
        <w:div w:id="1114636613">
          <w:marLeft w:val="0"/>
          <w:marRight w:val="0"/>
          <w:marTop w:val="0"/>
          <w:marBottom w:val="0"/>
          <w:divBdr>
            <w:top w:val="none" w:sz="0" w:space="0" w:color="auto"/>
            <w:left w:val="none" w:sz="0" w:space="0" w:color="auto"/>
            <w:bottom w:val="none" w:sz="0" w:space="0" w:color="auto"/>
            <w:right w:val="none" w:sz="0" w:space="0" w:color="auto"/>
          </w:divBdr>
        </w:div>
        <w:div w:id="825439505">
          <w:marLeft w:val="0"/>
          <w:marRight w:val="0"/>
          <w:marTop w:val="0"/>
          <w:marBottom w:val="0"/>
          <w:divBdr>
            <w:top w:val="none" w:sz="0" w:space="0" w:color="auto"/>
            <w:left w:val="none" w:sz="0" w:space="0" w:color="auto"/>
            <w:bottom w:val="none" w:sz="0" w:space="0" w:color="auto"/>
            <w:right w:val="none" w:sz="0" w:space="0" w:color="auto"/>
          </w:divBdr>
        </w:div>
        <w:div w:id="1468277540">
          <w:marLeft w:val="0"/>
          <w:marRight w:val="0"/>
          <w:marTop w:val="0"/>
          <w:marBottom w:val="0"/>
          <w:divBdr>
            <w:top w:val="none" w:sz="0" w:space="0" w:color="auto"/>
            <w:left w:val="none" w:sz="0" w:space="0" w:color="auto"/>
            <w:bottom w:val="none" w:sz="0" w:space="0" w:color="auto"/>
            <w:right w:val="none" w:sz="0" w:space="0" w:color="auto"/>
          </w:divBdr>
        </w:div>
        <w:div w:id="1045561471">
          <w:marLeft w:val="0"/>
          <w:marRight w:val="0"/>
          <w:marTop w:val="0"/>
          <w:marBottom w:val="0"/>
          <w:divBdr>
            <w:top w:val="none" w:sz="0" w:space="0" w:color="auto"/>
            <w:left w:val="none" w:sz="0" w:space="0" w:color="auto"/>
            <w:bottom w:val="none" w:sz="0" w:space="0" w:color="auto"/>
            <w:right w:val="none" w:sz="0" w:space="0" w:color="auto"/>
          </w:divBdr>
        </w:div>
        <w:div w:id="79523273">
          <w:marLeft w:val="0"/>
          <w:marRight w:val="0"/>
          <w:marTop w:val="0"/>
          <w:marBottom w:val="0"/>
          <w:divBdr>
            <w:top w:val="none" w:sz="0" w:space="0" w:color="auto"/>
            <w:left w:val="none" w:sz="0" w:space="0" w:color="auto"/>
            <w:bottom w:val="none" w:sz="0" w:space="0" w:color="auto"/>
            <w:right w:val="none" w:sz="0" w:space="0" w:color="auto"/>
          </w:divBdr>
        </w:div>
        <w:div w:id="1443919695">
          <w:marLeft w:val="0"/>
          <w:marRight w:val="0"/>
          <w:marTop w:val="0"/>
          <w:marBottom w:val="0"/>
          <w:divBdr>
            <w:top w:val="none" w:sz="0" w:space="0" w:color="auto"/>
            <w:left w:val="none" w:sz="0" w:space="0" w:color="auto"/>
            <w:bottom w:val="none" w:sz="0" w:space="0" w:color="auto"/>
            <w:right w:val="none" w:sz="0" w:space="0" w:color="auto"/>
          </w:divBdr>
        </w:div>
        <w:div w:id="1213344059">
          <w:marLeft w:val="0"/>
          <w:marRight w:val="0"/>
          <w:marTop w:val="0"/>
          <w:marBottom w:val="0"/>
          <w:divBdr>
            <w:top w:val="none" w:sz="0" w:space="0" w:color="auto"/>
            <w:left w:val="none" w:sz="0" w:space="0" w:color="auto"/>
            <w:bottom w:val="none" w:sz="0" w:space="0" w:color="auto"/>
            <w:right w:val="none" w:sz="0" w:space="0" w:color="auto"/>
          </w:divBdr>
        </w:div>
        <w:div w:id="1394499249">
          <w:marLeft w:val="0"/>
          <w:marRight w:val="0"/>
          <w:marTop w:val="0"/>
          <w:marBottom w:val="0"/>
          <w:divBdr>
            <w:top w:val="none" w:sz="0" w:space="0" w:color="auto"/>
            <w:left w:val="none" w:sz="0" w:space="0" w:color="auto"/>
            <w:bottom w:val="none" w:sz="0" w:space="0" w:color="auto"/>
            <w:right w:val="none" w:sz="0" w:space="0" w:color="auto"/>
          </w:divBdr>
        </w:div>
        <w:div w:id="1237280466">
          <w:marLeft w:val="0"/>
          <w:marRight w:val="0"/>
          <w:marTop w:val="0"/>
          <w:marBottom w:val="0"/>
          <w:divBdr>
            <w:top w:val="none" w:sz="0" w:space="0" w:color="auto"/>
            <w:left w:val="none" w:sz="0" w:space="0" w:color="auto"/>
            <w:bottom w:val="none" w:sz="0" w:space="0" w:color="auto"/>
            <w:right w:val="none" w:sz="0" w:space="0" w:color="auto"/>
          </w:divBdr>
        </w:div>
        <w:div w:id="997462210">
          <w:marLeft w:val="0"/>
          <w:marRight w:val="0"/>
          <w:marTop w:val="0"/>
          <w:marBottom w:val="0"/>
          <w:divBdr>
            <w:top w:val="none" w:sz="0" w:space="0" w:color="auto"/>
            <w:left w:val="none" w:sz="0" w:space="0" w:color="auto"/>
            <w:bottom w:val="none" w:sz="0" w:space="0" w:color="auto"/>
            <w:right w:val="none" w:sz="0" w:space="0" w:color="auto"/>
          </w:divBdr>
        </w:div>
        <w:div w:id="1664508770">
          <w:marLeft w:val="0"/>
          <w:marRight w:val="0"/>
          <w:marTop w:val="0"/>
          <w:marBottom w:val="0"/>
          <w:divBdr>
            <w:top w:val="none" w:sz="0" w:space="0" w:color="auto"/>
            <w:left w:val="none" w:sz="0" w:space="0" w:color="auto"/>
            <w:bottom w:val="none" w:sz="0" w:space="0" w:color="auto"/>
            <w:right w:val="none" w:sz="0" w:space="0" w:color="auto"/>
          </w:divBdr>
        </w:div>
        <w:div w:id="1372800400">
          <w:marLeft w:val="0"/>
          <w:marRight w:val="0"/>
          <w:marTop w:val="0"/>
          <w:marBottom w:val="0"/>
          <w:divBdr>
            <w:top w:val="none" w:sz="0" w:space="0" w:color="auto"/>
            <w:left w:val="none" w:sz="0" w:space="0" w:color="auto"/>
            <w:bottom w:val="none" w:sz="0" w:space="0" w:color="auto"/>
            <w:right w:val="none" w:sz="0" w:space="0" w:color="auto"/>
          </w:divBdr>
        </w:div>
        <w:div w:id="905338507">
          <w:marLeft w:val="0"/>
          <w:marRight w:val="0"/>
          <w:marTop w:val="0"/>
          <w:marBottom w:val="0"/>
          <w:divBdr>
            <w:top w:val="none" w:sz="0" w:space="0" w:color="auto"/>
            <w:left w:val="none" w:sz="0" w:space="0" w:color="auto"/>
            <w:bottom w:val="none" w:sz="0" w:space="0" w:color="auto"/>
            <w:right w:val="none" w:sz="0" w:space="0" w:color="auto"/>
          </w:divBdr>
        </w:div>
        <w:div w:id="453596863">
          <w:marLeft w:val="0"/>
          <w:marRight w:val="0"/>
          <w:marTop w:val="0"/>
          <w:marBottom w:val="0"/>
          <w:divBdr>
            <w:top w:val="none" w:sz="0" w:space="0" w:color="auto"/>
            <w:left w:val="none" w:sz="0" w:space="0" w:color="auto"/>
            <w:bottom w:val="none" w:sz="0" w:space="0" w:color="auto"/>
            <w:right w:val="none" w:sz="0" w:space="0" w:color="auto"/>
          </w:divBdr>
        </w:div>
        <w:div w:id="92210063">
          <w:marLeft w:val="0"/>
          <w:marRight w:val="0"/>
          <w:marTop w:val="0"/>
          <w:marBottom w:val="0"/>
          <w:divBdr>
            <w:top w:val="none" w:sz="0" w:space="0" w:color="auto"/>
            <w:left w:val="none" w:sz="0" w:space="0" w:color="auto"/>
            <w:bottom w:val="none" w:sz="0" w:space="0" w:color="auto"/>
            <w:right w:val="none" w:sz="0" w:space="0" w:color="auto"/>
          </w:divBdr>
        </w:div>
        <w:div w:id="82533152">
          <w:marLeft w:val="0"/>
          <w:marRight w:val="0"/>
          <w:marTop w:val="0"/>
          <w:marBottom w:val="0"/>
          <w:divBdr>
            <w:top w:val="none" w:sz="0" w:space="0" w:color="auto"/>
            <w:left w:val="none" w:sz="0" w:space="0" w:color="auto"/>
            <w:bottom w:val="none" w:sz="0" w:space="0" w:color="auto"/>
            <w:right w:val="none" w:sz="0" w:space="0" w:color="auto"/>
          </w:divBdr>
        </w:div>
        <w:div w:id="2059090519">
          <w:marLeft w:val="0"/>
          <w:marRight w:val="0"/>
          <w:marTop w:val="0"/>
          <w:marBottom w:val="0"/>
          <w:divBdr>
            <w:top w:val="none" w:sz="0" w:space="0" w:color="auto"/>
            <w:left w:val="none" w:sz="0" w:space="0" w:color="auto"/>
            <w:bottom w:val="none" w:sz="0" w:space="0" w:color="auto"/>
            <w:right w:val="none" w:sz="0" w:space="0" w:color="auto"/>
          </w:divBdr>
        </w:div>
        <w:div w:id="813720841">
          <w:marLeft w:val="0"/>
          <w:marRight w:val="0"/>
          <w:marTop w:val="0"/>
          <w:marBottom w:val="0"/>
          <w:divBdr>
            <w:top w:val="none" w:sz="0" w:space="0" w:color="auto"/>
            <w:left w:val="none" w:sz="0" w:space="0" w:color="auto"/>
            <w:bottom w:val="none" w:sz="0" w:space="0" w:color="auto"/>
            <w:right w:val="none" w:sz="0" w:space="0" w:color="auto"/>
          </w:divBdr>
        </w:div>
      </w:divsChild>
    </w:div>
    <w:div w:id="879980591">
      <w:bodyDiv w:val="1"/>
      <w:marLeft w:val="0"/>
      <w:marRight w:val="0"/>
      <w:marTop w:val="0"/>
      <w:marBottom w:val="0"/>
      <w:divBdr>
        <w:top w:val="none" w:sz="0" w:space="0" w:color="auto"/>
        <w:left w:val="none" w:sz="0" w:space="0" w:color="auto"/>
        <w:bottom w:val="none" w:sz="0" w:space="0" w:color="auto"/>
        <w:right w:val="none" w:sz="0" w:space="0" w:color="auto"/>
      </w:divBdr>
    </w:div>
    <w:div w:id="919024823">
      <w:bodyDiv w:val="1"/>
      <w:marLeft w:val="0"/>
      <w:marRight w:val="0"/>
      <w:marTop w:val="0"/>
      <w:marBottom w:val="0"/>
      <w:divBdr>
        <w:top w:val="none" w:sz="0" w:space="0" w:color="auto"/>
        <w:left w:val="none" w:sz="0" w:space="0" w:color="auto"/>
        <w:bottom w:val="none" w:sz="0" w:space="0" w:color="auto"/>
        <w:right w:val="none" w:sz="0" w:space="0" w:color="auto"/>
      </w:divBdr>
      <w:divsChild>
        <w:div w:id="1319305724">
          <w:marLeft w:val="0"/>
          <w:marRight w:val="0"/>
          <w:marTop w:val="0"/>
          <w:marBottom w:val="0"/>
          <w:divBdr>
            <w:top w:val="none" w:sz="0" w:space="0" w:color="auto"/>
            <w:left w:val="none" w:sz="0" w:space="0" w:color="auto"/>
            <w:bottom w:val="none" w:sz="0" w:space="0" w:color="auto"/>
            <w:right w:val="none" w:sz="0" w:space="0" w:color="auto"/>
          </w:divBdr>
        </w:div>
      </w:divsChild>
    </w:div>
    <w:div w:id="927930435">
      <w:bodyDiv w:val="1"/>
      <w:marLeft w:val="0"/>
      <w:marRight w:val="0"/>
      <w:marTop w:val="0"/>
      <w:marBottom w:val="0"/>
      <w:divBdr>
        <w:top w:val="none" w:sz="0" w:space="0" w:color="auto"/>
        <w:left w:val="none" w:sz="0" w:space="0" w:color="auto"/>
        <w:bottom w:val="none" w:sz="0" w:space="0" w:color="auto"/>
        <w:right w:val="none" w:sz="0" w:space="0" w:color="auto"/>
      </w:divBdr>
      <w:divsChild>
        <w:div w:id="2017032455">
          <w:marLeft w:val="0"/>
          <w:marRight w:val="0"/>
          <w:marTop w:val="0"/>
          <w:marBottom w:val="0"/>
          <w:divBdr>
            <w:top w:val="none" w:sz="0" w:space="0" w:color="auto"/>
            <w:left w:val="none" w:sz="0" w:space="0" w:color="auto"/>
            <w:bottom w:val="none" w:sz="0" w:space="0" w:color="auto"/>
            <w:right w:val="none" w:sz="0" w:space="0" w:color="auto"/>
          </w:divBdr>
        </w:div>
      </w:divsChild>
    </w:div>
    <w:div w:id="952782559">
      <w:bodyDiv w:val="1"/>
      <w:marLeft w:val="0"/>
      <w:marRight w:val="0"/>
      <w:marTop w:val="0"/>
      <w:marBottom w:val="0"/>
      <w:divBdr>
        <w:top w:val="none" w:sz="0" w:space="0" w:color="auto"/>
        <w:left w:val="none" w:sz="0" w:space="0" w:color="auto"/>
        <w:bottom w:val="none" w:sz="0" w:space="0" w:color="auto"/>
        <w:right w:val="none" w:sz="0" w:space="0" w:color="auto"/>
      </w:divBdr>
      <w:divsChild>
        <w:div w:id="416830545">
          <w:marLeft w:val="0"/>
          <w:marRight w:val="0"/>
          <w:marTop w:val="0"/>
          <w:marBottom w:val="0"/>
          <w:divBdr>
            <w:top w:val="none" w:sz="0" w:space="0" w:color="auto"/>
            <w:left w:val="none" w:sz="0" w:space="0" w:color="auto"/>
            <w:bottom w:val="none" w:sz="0" w:space="0" w:color="auto"/>
            <w:right w:val="none" w:sz="0" w:space="0" w:color="auto"/>
          </w:divBdr>
        </w:div>
        <w:div w:id="1254974320">
          <w:marLeft w:val="0"/>
          <w:marRight w:val="0"/>
          <w:marTop w:val="0"/>
          <w:marBottom w:val="0"/>
          <w:divBdr>
            <w:top w:val="none" w:sz="0" w:space="0" w:color="auto"/>
            <w:left w:val="none" w:sz="0" w:space="0" w:color="auto"/>
            <w:bottom w:val="none" w:sz="0" w:space="0" w:color="auto"/>
            <w:right w:val="none" w:sz="0" w:space="0" w:color="auto"/>
          </w:divBdr>
        </w:div>
        <w:div w:id="1973510189">
          <w:marLeft w:val="0"/>
          <w:marRight w:val="0"/>
          <w:marTop w:val="0"/>
          <w:marBottom w:val="0"/>
          <w:divBdr>
            <w:top w:val="none" w:sz="0" w:space="0" w:color="auto"/>
            <w:left w:val="none" w:sz="0" w:space="0" w:color="auto"/>
            <w:bottom w:val="none" w:sz="0" w:space="0" w:color="auto"/>
            <w:right w:val="none" w:sz="0" w:space="0" w:color="auto"/>
          </w:divBdr>
        </w:div>
        <w:div w:id="1128888120">
          <w:marLeft w:val="0"/>
          <w:marRight w:val="0"/>
          <w:marTop w:val="0"/>
          <w:marBottom w:val="0"/>
          <w:divBdr>
            <w:top w:val="none" w:sz="0" w:space="0" w:color="auto"/>
            <w:left w:val="none" w:sz="0" w:space="0" w:color="auto"/>
            <w:bottom w:val="none" w:sz="0" w:space="0" w:color="auto"/>
            <w:right w:val="none" w:sz="0" w:space="0" w:color="auto"/>
          </w:divBdr>
        </w:div>
        <w:div w:id="1423525838">
          <w:marLeft w:val="0"/>
          <w:marRight w:val="0"/>
          <w:marTop w:val="0"/>
          <w:marBottom w:val="0"/>
          <w:divBdr>
            <w:top w:val="none" w:sz="0" w:space="0" w:color="auto"/>
            <w:left w:val="none" w:sz="0" w:space="0" w:color="auto"/>
            <w:bottom w:val="none" w:sz="0" w:space="0" w:color="auto"/>
            <w:right w:val="none" w:sz="0" w:space="0" w:color="auto"/>
          </w:divBdr>
        </w:div>
        <w:div w:id="1031304965">
          <w:marLeft w:val="0"/>
          <w:marRight w:val="0"/>
          <w:marTop w:val="0"/>
          <w:marBottom w:val="0"/>
          <w:divBdr>
            <w:top w:val="none" w:sz="0" w:space="0" w:color="auto"/>
            <w:left w:val="none" w:sz="0" w:space="0" w:color="auto"/>
            <w:bottom w:val="none" w:sz="0" w:space="0" w:color="auto"/>
            <w:right w:val="none" w:sz="0" w:space="0" w:color="auto"/>
          </w:divBdr>
        </w:div>
        <w:div w:id="470833151">
          <w:marLeft w:val="0"/>
          <w:marRight w:val="0"/>
          <w:marTop w:val="0"/>
          <w:marBottom w:val="0"/>
          <w:divBdr>
            <w:top w:val="none" w:sz="0" w:space="0" w:color="auto"/>
            <w:left w:val="none" w:sz="0" w:space="0" w:color="auto"/>
            <w:bottom w:val="none" w:sz="0" w:space="0" w:color="auto"/>
            <w:right w:val="none" w:sz="0" w:space="0" w:color="auto"/>
          </w:divBdr>
        </w:div>
        <w:div w:id="2061053128">
          <w:marLeft w:val="0"/>
          <w:marRight w:val="0"/>
          <w:marTop w:val="0"/>
          <w:marBottom w:val="0"/>
          <w:divBdr>
            <w:top w:val="none" w:sz="0" w:space="0" w:color="auto"/>
            <w:left w:val="none" w:sz="0" w:space="0" w:color="auto"/>
            <w:bottom w:val="none" w:sz="0" w:space="0" w:color="auto"/>
            <w:right w:val="none" w:sz="0" w:space="0" w:color="auto"/>
          </w:divBdr>
        </w:div>
        <w:div w:id="170150565">
          <w:marLeft w:val="0"/>
          <w:marRight w:val="0"/>
          <w:marTop w:val="0"/>
          <w:marBottom w:val="0"/>
          <w:divBdr>
            <w:top w:val="none" w:sz="0" w:space="0" w:color="auto"/>
            <w:left w:val="none" w:sz="0" w:space="0" w:color="auto"/>
            <w:bottom w:val="none" w:sz="0" w:space="0" w:color="auto"/>
            <w:right w:val="none" w:sz="0" w:space="0" w:color="auto"/>
          </w:divBdr>
        </w:div>
        <w:div w:id="654458925">
          <w:marLeft w:val="0"/>
          <w:marRight w:val="0"/>
          <w:marTop w:val="0"/>
          <w:marBottom w:val="0"/>
          <w:divBdr>
            <w:top w:val="none" w:sz="0" w:space="0" w:color="auto"/>
            <w:left w:val="none" w:sz="0" w:space="0" w:color="auto"/>
            <w:bottom w:val="none" w:sz="0" w:space="0" w:color="auto"/>
            <w:right w:val="none" w:sz="0" w:space="0" w:color="auto"/>
          </w:divBdr>
        </w:div>
        <w:div w:id="646906439">
          <w:marLeft w:val="0"/>
          <w:marRight w:val="0"/>
          <w:marTop w:val="0"/>
          <w:marBottom w:val="0"/>
          <w:divBdr>
            <w:top w:val="none" w:sz="0" w:space="0" w:color="auto"/>
            <w:left w:val="none" w:sz="0" w:space="0" w:color="auto"/>
            <w:bottom w:val="none" w:sz="0" w:space="0" w:color="auto"/>
            <w:right w:val="none" w:sz="0" w:space="0" w:color="auto"/>
          </w:divBdr>
        </w:div>
        <w:div w:id="1729766507">
          <w:marLeft w:val="0"/>
          <w:marRight w:val="0"/>
          <w:marTop w:val="0"/>
          <w:marBottom w:val="0"/>
          <w:divBdr>
            <w:top w:val="none" w:sz="0" w:space="0" w:color="auto"/>
            <w:left w:val="none" w:sz="0" w:space="0" w:color="auto"/>
            <w:bottom w:val="none" w:sz="0" w:space="0" w:color="auto"/>
            <w:right w:val="none" w:sz="0" w:space="0" w:color="auto"/>
          </w:divBdr>
        </w:div>
      </w:divsChild>
    </w:div>
    <w:div w:id="960037022">
      <w:bodyDiv w:val="1"/>
      <w:marLeft w:val="0"/>
      <w:marRight w:val="0"/>
      <w:marTop w:val="0"/>
      <w:marBottom w:val="0"/>
      <w:divBdr>
        <w:top w:val="none" w:sz="0" w:space="0" w:color="auto"/>
        <w:left w:val="none" w:sz="0" w:space="0" w:color="auto"/>
        <w:bottom w:val="none" w:sz="0" w:space="0" w:color="auto"/>
        <w:right w:val="none" w:sz="0" w:space="0" w:color="auto"/>
      </w:divBdr>
    </w:div>
    <w:div w:id="986667791">
      <w:bodyDiv w:val="1"/>
      <w:marLeft w:val="0"/>
      <w:marRight w:val="0"/>
      <w:marTop w:val="0"/>
      <w:marBottom w:val="0"/>
      <w:divBdr>
        <w:top w:val="none" w:sz="0" w:space="0" w:color="auto"/>
        <w:left w:val="none" w:sz="0" w:space="0" w:color="auto"/>
        <w:bottom w:val="none" w:sz="0" w:space="0" w:color="auto"/>
        <w:right w:val="none" w:sz="0" w:space="0" w:color="auto"/>
      </w:divBdr>
      <w:divsChild>
        <w:div w:id="1498767368">
          <w:marLeft w:val="0"/>
          <w:marRight w:val="0"/>
          <w:marTop w:val="0"/>
          <w:marBottom w:val="0"/>
          <w:divBdr>
            <w:top w:val="none" w:sz="0" w:space="0" w:color="auto"/>
            <w:left w:val="none" w:sz="0" w:space="0" w:color="auto"/>
            <w:bottom w:val="none" w:sz="0" w:space="0" w:color="auto"/>
            <w:right w:val="none" w:sz="0" w:space="0" w:color="auto"/>
          </w:divBdr>
        </w:div>
      </w:divsChild>
    </w:div>
    <w:div w:id="1064454051">
      <w:bodyDiv w:val="1"/>
      <w:marLeft w:val="0"/>
      <w:marRight w:val="0"/>
      <w:marTop w:val="0"/>
      <w:marBottom w:val="0"/>
      <w:divBdr>
        <w:top w:val="none" w:sz="0" w:space="0" w:color="auto"/>
        <w:left w:val="none" w:sz="0" w:space="0" w:color="auto"/>
        <w:bottom w:val="none" w:sz="0" w:space="0" w:color="auto"/>
        <w:right w:val="none" w:sz="0" w:space="0" w:color="auto"/>
      </w:divBdr>
    </w:div>
    <w:div w:id="1076823720">
      <w:bodyDiv w:val="1"/>
      <w:marLeft w:val="0"/>
      <w:marRight w:val="0"/>
      <w:marTop w:val="0"/>
      <w:marBottom w:val="0"/>
      <w:divBdr>
        <w:top w:val="none" w:sz="0" w:space="0" w:color="auto"/>
        <w:left w:val="none" w:sz="0" w:space="0" w:color="auto"/>
        <w:bottom w:val="none" w:sz="0" w:space="0" w:color="auto"/>
        <w:right w:val="none" w:sz="0" w:space="0" w:color="auto"/>
      </w:divBdr>
    </w:div>
    <w:div w:id="1106542525">
      <w:bodyDiv w:val="1"/>
      <w:marLeft w:val="0"/>
      <w:marRight w:val="0"/>
      <w:marTop w:val="0"/>
      <w:marBottom w:val="0"/>
      <w:divBdr>
        <w:top w:val="none" w:sz="0" w:space="0" w:color="auto"/>
        <w:left w:val="none" w:sz="0" w:space="0" w:color="auto"/>
        <w:bottom w:val="none" w:sz="0" w:space="0" w:color="auto"/>
        <w:right w:val="none" w:sz="0" w:space="0" w:color="auto"/>
      </w:divBdr>
      <w:divsChild>
        <w:div w:id="361319501">
          <w:marLeft w:val="0"/>
          <w:marRight w:val="0"/>
          <w:marTop w:val="0"/>
          <w:marBottom w:val="0"/>
          <w:divBdr>
            <w:top w:val="none" w:sz="0" w:space="0" w:color="auto"/>
            <w:left w:val="none" w:sz="0" w:space="0" w:color="auto"/>
            <w:bottom w:val="none" w:sz="0" w:space="0" w:color="auto"/>
            <w:right w:val="none" w:sz="0" w:space="0" w:color="auto"/>
          </w:divBdr>
        </w:div>
      </w:divsChild>
    </w:div>
    <w:div w:id="1155219853">
      <w:bodyDiv w:val="1"/>
      <w:marLeft w:val="0"/>
      <w:marRight w:val="0"/>
      <w:marTop w:val="0"/>
      <w:marBottom w:val="0"/>
      <w:divBdr>
        <w:top w:val="none" w:sz="0" w:space="0" w:color="auto"/>
        <w:left w:val="none" w:sz="0" w:space="0" w:color="auto"/>
        <w:bottom w:val="none" w:sz="0" w:space="0" w:color="auto"/>
        <w:right w:val="none" w:sz="0" w:space="0" w:color="auto"/>
      </w:divBdr>
      <w:divsChild>
        <w:div w:id="481234145">
          <w:marLeft w:val="0"/>
          <w:marRight w:val="0"/>
          <w:marTop w:val="0"/>
          <w:marBottom w:val="0"/>
          <w:divBdr>
            <w:top w:val="none" w:sz="0" w:space="0" w:color="auto"/>
            <w:left w:val="none" w:sz="0" w:space="0" w:color="auto"/>
            <w:bottom w:val="none" w:sz="0" w:space="0" w:color="auto"/>
            <w:right w:val="none" w:sz="0" w:space="0" w:color="auto"/>
          </w:divBdr>
        </w:div>
        <w:div w:id="248316089">
          <w:marLeft w:val="0"/>
          <w:marRight w:val="0"/>
          <w:marTop w:val="0"/>
          <w:marBottom w:val="0"/>
          <w:divBdr>
            <w:top w:val="none" w:sz="0" w:space="0" w:color="auto"/>
            <w:left w:val="none" w:sz="0" w:space="0" w:color="auto"/>
            <w:bottom w:val="none" w:sz="0" w:space="0" w:color="auto"/>
            <w:right w:val="none" w:sz="0" w:space="0" w:color="auto"/>
          </w:divBdr>
        </w:div>
        <w:div w:id="1008019968">
          <w:marLeft w:val="0"/>
          <w:marRight w:val="0"/>
          <w:marTop w:val="0"/>
          <w:marBottom w:val="0"/>
          <w:divBdr>
            <w:top w:val="none" w:sz="0" w:space="0" w:color="auto"/>
            <w:left w:val="none" w:sz="0" w:space="0" w:color="auto"/>
            <w:bottom w:val="none" w:sz="0" w:space="0" w:color="auto"/>
            <w:right w:val="none" w:sz="0" w:space="0" w:color="auto"/>
          </w:divBdr>
        </w:div>
        <w:div w:id="1466968198">
          <w:marLeft w:val="0"/>
          <w:marRight w:val="0"/>
          <w:marTop w:val="0"/>
          <w:marBottom w:val="0"/>
          <w:divBdr>
            <w:top w:val="none" w:sz="0" w:space="0" w:color="auto"/>
            <w:left w:val="none" w:sz="0" w:space="0" w:color="auto"/>
            <w:bottom w:val="none" w:sz="0" w:space="0" w:color="auto"/>
            <w:right w:val="none" w:sz="0" w:space="0" w:color="auto"/>
          </w:divBdr>
        </w:div>
        <w:div w:id="927352020">
          <w:marLeft w:val="0"/>
          <w:marRight w:val="0"/>
          <w:marTop w:val="0"/>
          <w:marBottom w:val="0"/>
          <w:divBdr>
            <w:top w:val="none" w:sz="0" w:space="0" w:color="auto"/>
            <w:left w:val="none" w:sz="0" w:space="0" w:color="auto"/>
            <w:bottom w:val="none" w:sz="0" w:space="0" w:color="auto"/>
            <w:right w:val="none" w:sz="0" w:space="0" w:color="auto"/>
          </w:divBdr>
        </w:div>
        <w:div w:id="390807677">
          <w:marLeft w:val="0"/>
          <w:marRight w:val="0"/>
          <w:marTop w:val="0"/>
          <w:marBottom w:val="0"/>
          <w:divBdr>
            <w:top w:val="none" w:sz="0" w:space="0" w:color="auto"/>
            <w:left w:val="none" w:sz="0" w:space="0" w:color="auto"/>
            <w:bottom w:val="none" w:sz="0" w:space="0" w:color="auto"/>
            <w:right w:val="none" w:sz="0" w:space="0" w:color="auto"/>
          </w:divBdr>
        </w:div>
        <w:div w:id="278530840">
          <w:marLeft w:val="0"/>
          <w:marRight w:val="0"/>
          <w:marTop w:val="0"/>
          <w:marBottom w:val="0"/>
          <w:divBdr>
            <w:top w:val="none" w:sz="0" w:space="0" w:color="auto"/>
            <w:left w:val="none" w:sz="0" w:space="0" w:color="auto"/>
            <w:bottom w:val="none" w:sz="0" w:space="0" w:color="auto"/>
            <w:right w:val="none" w:sz="0" w:space="0" w:color="auto"/>
          </w:divBdr>
        </w:div>
        <w:div w:id="408767778">
          <w:marLeft w:val="0"/>
          <w:marRight w:val="0"/>
          <w:marTop w:val="0"/>
          <w:marBottom w:val="0"/>
          <w:divBdr>
            <w:top w:val="none" w:sz="0" w:space="0" w:color="auto"/>
            <w:left w:val="none" w:sz="0" w:space="0" w:color="auto"/>
            <w:bottom w:val="none" w:sz="0" w:space="0" w:color="auto"/>
            <w:right w:val="none" w:sz="0" w:space="0" w:color="auto"/>
          </w:divBdr>
        </w:div>
        <w:div w:id="666399923">
          <w:marLeft w:val="0"/>
          <w:marRight w:val="0"/>
          <w:marTop w:val="0"/>
          <w:marBottom w:val="0"/>
          <w:divBdr>
            <w:top w:val="none" w:sz="0" w:space="0" w:color="auto"/>
            <w:left w:val="none" w:sz="0" w:space="0" w:color="auto"/>
            <w:bottom w:val="none" w:sz="0" w:space="0" w:color="auto"/>
            <w:right w:val="none" w:sz="0" w:space="0" w:color="auto"/>
          </w:divBdr>
        </w:div>
        <w:div w:id="676729802">
          <w:marLeft w:val="0"/>
          <w:marRight w:val="0"/>
          <w:marTop w:val="0"/>
          <w:marBottom w:val="0"/>
          <w:divBdr>
            <w:top w:val="none" w:sz="0" w:space="0" w:color="auto"/>
            <w:left w:val="none" w:sz="0" w:space="0" w:color="auto"/>
            <w:bottom w:val="none" w:sz="0" w:space="0" w:color="auto"/>
            <w:right w:val="none" w:sz="0" w:space="0" w:color="auto"/>
          </w:divBdr>
        </w:div>
        <w:div w:id="1059860420">
          <w:marLeft w:val="0"/>
          <w:marRight w:val="0"/>
          <w:marTop w:val="0"/>
          <w:marBottom w:val="0"/>
          <w:divBdr>
            <w:top w:val="none" w:sz="0" w:space="0" w:color="auto"/>
            <w:left w:val="none" w:sz="0" w:space="0" w:color="auto"/>
            <w:bottom w:val="none" w:sz="0" w:space="0" w:color="auto"/>
            <w:right w:val="none" w:sz="0" w:space="0" w:color="auto"/>
          </w:divBdr>
        </w:div>
        <w:div w:id="2086871811">
          <w:marLeft w:val="0"/>
          <w:marRight w:val="0"/>
          <w:marTop w:val="0"/>
          <w:marBottom w:val="0"/>
          <w:divBdr>
            <w:top w:val="none" w:sz="0" w:space="0" w:color="auto"/>
            <w:left w:val="none" w:sz="0" w:space="0" w:color="auto"/>
            <w:bottom w:val="none" w:sz="0" w:space="0" w:color="auto"/>
            <w:right w:val="none" w:sz="0" w:space="0" w:color="auto"/>
          </w:divBdr>
        </w:div>
        <w:div w:id="1241137809">
          <w:marLeft w:val="0"/>
          <w:marRight w:val="0"/>
          <w:marTop w:val="0"/>
          <w:marBottom w:val="0"/>
          <w:divBdr>
            <w:top w:val="none" w:sz="0" w:space="0" w:color="auto"/>
            <w:left w:val="none" w:sz="0" w:space="0" w:color="auto"/>
            <w:bottom w:val="none" w:sz="0" w:space="0" w:color="auto"/>
            <w:right w:val="none" w:sz="0" w:space="0" w:color="auto"/>
          </w:divBdr>
        </w:div>
        <w:div w:id="1250508260">
          <w:marLeft w:val="0"/>
          <w:marRight w:val="0"/>
          <w:marTop w:val="0"/>
          <w:marBottom w:val="0"/>
          <w:divBdr>
            <w:top w:val="none" w:sz="0" w:space="0" w:color="auto"/>
            <w:left w:val="none" w:sz="0" w:space="0" w:color="auto"/>
            <w:bottom w:val="none" w:sz="0" w:space="0" w:color="auto"/>
            <w:right w:val="none" w:sz="0" w:space="0" w:color="auto"/>
          </w:divBdr>
        </w:div>
        <w:div w:id="1630470731">
          <w:marLeft w:val="0"/>
          <w:marRight w:val="0"/>
          <w:marTop w:val="0"/>
          <w:marBottom w:val="0"/>
          <w:divBdr>
            <w:top w:val="none" w:sz="0" w:space="0" w:color="auto"/>
            <w:left w:val="none" w:sz="0" w:space="0" w:color="auto"/>
            <w:bottom w:val="none" w:sz="0" w:space="0" w:color="auto"/>
            <w:right w:val="none" w:sz="0" w:space="0" w:color="auto"/>
          </w:divBdr>
        </w:div>
        <w:div w:id="1843162027">
          <w:marLeft w:val="0"/>
          <w:marRight w:val="0"/>
          <w:marTop w:val="0"/>
          <w:marBottom w:val="0"/>
          <w:divBdr>
            <w:top w:val="none" w:sz="0" w:space="0" w:color="auto"/>
            <w:left w:val="none" w:sz="0" w:space="0" w:color="auto"/>
            <w:bottom w:val="none" w:sz="0" w:space="0" w:color="auto"/>
            <w:right w:val="none" w:sz="0" w:space="0" w:color="auto"/>
          </w:divBdr>
        </w:div>
        <w:div w:id="491525475">
          <w:marLeft w:val="0"/>
          <w:marRight w:val="0"/>
          <w:marTop w:val="0"/>
          <w:marBottom w:val="0"/>
          <w:divBdr>
            <w:top w:val="none" w:sz="0" w:space="0" w:color="auto"/>
            <w:left w:val="none" w:sz="0" w:space="0" w:color="auto"/>
            <w:bottom w:val="none" w:sz="0" w:space="0" w:color="auto"/>
            <w:right w:val="none" w:sz="0" w:space="0" w:color="auto"/>
          </w:divBdr>
        </w:div>
        <w:div w:id="108748157">
          <w:marLeft w:val="0"/>
          <w:marRight w:val="0"/>
          <w:marTop w:val="0"/>
          <w:marBottom w:val="0"/>
          <w:divBdr>
            <w:top w:val="none" w:sz="0" w:space="0" w:color="auto"/>
            <w:left w:val="none" w:sz="0" w:space="0" w:color="auto"/>
            <w:bottom w:val="none" w:sz="0" w:space="0" w:color="auto"/>
            <w:right w:val="none" w:sz="0" w:space="0" w:color="auto"/>
          </w:divBdr>
        </w:div>
        <w:div w:id="787432766">
          <w:marLeft w:val="0"/>
          <w:marRight w:val="0"/>
          <w:marTop w:val="0"/>
          <w:marBottom w:val="0"/>
          <w:divBdr>
            <w:top w:val="none" w:sz="0" w:space="0" w:color="auto"/>
            <w:left w:val="none" w:sz="0" w:space="0" w:color="auto"/>
            <w:bottom w:val="none" w:sz="0" w:space="0" w:color="auto"/>
            <w:right w:val="none" w:sz="0" w:space="0" w:color="auto"/>
          </w:divBdr>
        </w:div>
        <w:div w:id="1815025804">
          <w:marLeft w:val="0"/>
          <w:marRight w:val="0"/>
          <w:marTop w:val="0"/>
          <w:marBottom w:val="0"/>
          <w:divBdr>
            <w:top w:val="none" w:sz="0" w:space="0" w:color="auto"/>
            <w:left w:val="none" w:sz="0" w:space="0" w:color="auto"/>
            <w:bottom w:val="none" w:sz="0" w:space="0" w:color="auto"/>
            <w:right w:val="none" w:sz="0" w:space="0" w:color="auto"/>
          </w:divBdr>
        </w:div>
        <w:div w:id="944732773">
          <w:marLeft w:val="0"/>
          <w:marRight w:val="0"/>
          <w:marTop w:val="0"/>
          <w:marBottom w:val="0"/>
          <w:divBdr>
            <w:top w:val="none" w:sz="0" w:space="0" w:color="auto"/>
            <w:left w:val="none" w:sz="0" w:space="0" w:color="auto"/>
            <w:bottom w:val="none" w:sz="0" w:space="0" w:color="auto"/>
            <w:right w:val="none" w:sz="0" w:space="0" w:color="auto"/>
          </w:divBdr>
        </w:div>
        <w:div w:id="861549686">
          <w:marLeft w:val="0"/>
          <w:marRight w:val="0"/>
          <w:marTop w:val="0"/>
          <w:marBottom w:val="0"/>
          <w:divBdr>
            <w:top w:val="none" w:sz="0" w:space="0" w:color="auto"/>
            <w:left w:val="none" w:sz="0" w:space="0" w:color="auto"/>
            <w:bottom w:val="none" w:sz="0" w:space="0" w:color="auto"/>
            <w:right w:val="none" w:sz="0" w:space="0" w:color="auto"/>
          </w:divBdr>
        </w:div>
        <w:div w:id="746461737">
          <w:marLeft w:val="0"/>
          <w:marRight w:val="0"/>
          <w:marTop w:val="0"/>
          <w:marBottom w:val="0"/>
          <w:divBdr>
            <w:top w:val="none" w:sz="0" w:space="0" w:color="auto"/>
            <w:left w:val="none" w:sz="0" w:space="0" w:color="auto"/>
            <w:bottom w:val="none" w:sz="0" w:space="0" w:color="auto"/>
            <w:right w:val="none" w:sz="0" w:space="0" w:color="auto"/>
          </w:divBdr>
        </w:div>
        <w:div w:id="661784873">
          <w:marLeft w:val="0"/>
          <w:marRight w:val="0"/>
          <w:marTop w:val="0"/>
          <w:marBottom w:val="0"/>
          <w:divBdr>
            <w:top w:val="none" w:sz="0" w:space="0" w:color="auto"/>
            <w:left w:val="none" w:sz="0" w:space="0" w:color="auto"/>
            <w:bottom w:val="none" w:sz="0" w:space="0" w:color="auto"/>
            <w:right w:val="none" w:sz="0" w:space="0" w:color="auto"/>
          </w:divBdr>
        </w:div>
        <w:div w:id="1849057279">
          <w:marLeft w:val="0"/>
          <w:marRight w:val="0"/>
          <w:marTop w:val="0"/>
          <w:marBottom w:val="0"/>
          <w:divBdr>
            <w:top w:val="none" w:sz="0" w:space="0" w:color="auto"/>
            <w:left w:val="none" w:sz="0" w:space="0" w:color="auto"/>
            <w:bottom w:val="none" w:sz="0" w:space="0" w:color="auto"/>
            <w:right w:val="none" w:sz="0" w:space="0" w:color="auto"/>
          </w:divBdr>
        </w:div>
        <w:div w:id="1769152398">
          <w:marLeft w:val="0"/>
          <w:marRight w:val="0"/>
          <w:marTop w:val="0"/>
          <w:marBottom w:val="0"/>
          <w:divBdr>
            <w:top w:val="none" w:sz="0" w:space="0" w:color="auto"/>
            <w:left w:val="none" w:sz="0" w:space="0" w:color="auto"/>
            <w:bottom w:val="none" w:sz="0" w:space="0" w:color="auto"/>
            <w:right w:val="none" w:sz="0" w:space="0" w:color="auto"/>
          </w:divBdr>
        </w:div>
        <w:div w:id="689571637">
          <w:marLeft w:val="0"/>
          <w:marRight w:val="0"/>
          <w:marTop w:val="0"/>
          <w:marBottom w:val="0"/>
          <w:divBdr>
            <w:top w:val="none" w:sz="0" w:space="0" w:color="auto"/>
            <w:left w:val="none" w:sz="0" w:space="0" w:color="auto"/>
            <w:bottom w:val="none" w:sz="0" w:space="0" w:color="auto"/>
            <w:right w:val="none" w:sz="0" w:space="0" w:color="auto"/>
          </w:divBdr>
        </w:div>
        <w:div w:id="158204732">
          <w:marLeft w:val="0"/>
          <w:marRight w:val="0"/>
          <w:marTop w:val="0"/>
          <w:marBottom w:val="0"/>
          <w:divBdr>
            <w:top w:val="none" w:sz="0" w:space="0" w:color="auto"/>
            <w:left w:val="none" w:sz="0" w:space="0" w:color="auto"/>
            <w:bottom w:val="none" w:sz="0" w:space="0" w:color="auto"/>
            <w:right w:val="none" w:sz="0" w:space="0" w:color="auto"/>
          </w:divBdr>
        </w:div>
        <w:div w:id="695621487">
          <w:marLeft w:val="0"/>
          <w:marRight w:val="0"/>
          <w:marTop w:val="0"/>
          <w:marBottom w:val="0"/>
          <w:divBdr>
            <w:top w:val="none" w:sz="0" w:space="0" w:color="auto"/>
            <w:left w:val="none" w:sz="0" w:space="0" w:color="auto"/>
            <w:bottom w:val="none" w:sz="0" w:space="0" w:color="auto"/>
            <w:right w:val="none" w:sz="0" w:space="0" w:color="auto"/>
          </w:divBdr>
        </w:div>
        <w:div w:id="1349058718">
          <w:marLeft w:val="0"/>
          <w:marRight w:val="0"/>
          <w:marTop w:val="0"/>
          <w:marBottom w:val="0"/>
          <w:divBdr>
            <w:top w:val="none" w:sz="0" w:space="0" w:color="auto"/>
            <w:left w:val="none" w:sz="0" w:space="0" w:color="auto"/>
            <w:bottom w:val="none" w:sz="0" w:space="0" w:color="auto"/>
            <w:right w:val="none" w:sz="0" w:space="0" w:color="auto"/>
          </w:divBdr>
        </w:div>
        <w:div w:id="667560526">
          <w:marLeft w:val="0"/>
          <w:marRight w:val="0"/>
          <w:marTop w:val="0"/>
          <w:marBottom w:val="0"/>
          <w:divBdr>
            <w:top w:val="none" w:sz="0" w:space="0" w:color="auto"/>
            <w:left w:val="none" w:sz="0" w:space="0" w:color="auto"/>
            <w:bottom w:val="none" w:sz="0" w:space="0" w:color="auto"/>
            <w:right w:val="none" w:sz="0" w:space="0" w:color="auto"/>
          </w:divBdr>
        </w:div>
        <w:div w:id="1983193185">
          <w:marLeft w:val="0"/>
          <w:marRight w:val="0"/>
          <w:marTop w:val="0"/>
          <w:marBottom w:val="0"/>
          <w:divBdr>
            <w:top w:val="none" w:sz="0" w:space="0" w:color="auto"/>
            <w:left w:val="none" w:sz="0" w:space="0" w:color="auto"/>
            <w:bottom w:val="none" w:sz="0" w:space="0" w:color="auto"/>
            <w:right w:val="none" w:sz="0" w:space="0" w:color="auto"/>
          </w:divBdr>
        </w:div>
        <w:div w:id="774862754">
          <w:marLeft w:val="0"/>
          <w:marRight w:val="0"/>
          <w:marTop w:val="0"/>
          <w:marBottom w:val="0"/>
          <w:divBdr>
            <w:top w:val="none" w:sz="0" w:space="0" w:color="auto"/>
            <w:left w:val="none" w:sz="0" w:space="0" w:color="auto"/>
            <w:bottom w:val="none" w:sz="0" w:space="0" w:color="auto"/>
            <w:right w:val="none" w:sz="0" w:space="0" w:color="auto"/>
          </w:divBdr>
        </w:div>
        <w:div w:id="827744940">
          <w:marLeft w:val="0"/>
          <w:marRight w:val="0"/>
          <w:marTop w:val="0"/>
          <w:marBottom w:val="0"/>
          <w:divBdr>
            <w:top w:val="none" w:sz="0" w:space="0" w:color="auto"/>
            <w:left w:val="none" w:sz="0" w:space="0" w:color="auto"/>
            <w:bottom w:val="none" w:sz="0" w:space="0" w:color="auto"/>
            <w:right w:val="none" w:sz="0" w:space="0" w:color="auto"/>
          </w:divBdr>
        </w:div>
        <w:div w:id="169493524">
          <w:marLeft w:val="0"/>
          <w:marRight w:val="0"/>
          <w:marTop w:val="0"/>
          <w:marBottom w:val="0"/>
          <w:divBdr>
            <w:top w:val="none" w:sz="0" w:space="0" w:color="auto"/>
            <w:left w:val="none" w:sz="0" w:space="0" w:color="auto"/>
            <w:bottom w:val="none" w:sz="0" w:space="0" w:color="auto"/>
            <w:right w:val="none" w:sz="0" w:space="0" w:color="auto"/>
          </w:divBdr>
        </w:div>
        <w:div w:id="1629507381">
          <w:marLeft w:val="0"/>
          <w:marRight w:val="0"/>
          <w:marTop w:val="0"/>
          <w:marBottom w:val="0"/>
          <w:divBdr>
            <w:top w:val="none" w:sz="0" w:space="0" w:color="auto"/>
            <w:left w:val="none" w:sz="0" w:space="0" w:color="auto"/>
            <w:bottom w:val="none" w:sz="0" w:space="0" w:color="auto"/>
            <w:right w:val="none" w:sz="0" w:space="0" w:color="auto"/>
          </w:divBdr>
        </w:div>
        <w:div w:id="1294943579">
          <w:marLeft w:val="0"/>
          <w:marRight w:val="0"/>
          <w:marTop w:val="0"/>
          <w:marBottom w:val="0"/>
          <w:divBdr>
            <w:top w:val="none" w:sz="0" w:space="0" w:color="auto"/>
            <w:left w:val="none" w:sz="0" w:space="0" w:color="auto"/>
            <w:bottom w:val="none" w:sz="0" w:space="0" w:color="auto"/>
            <w:right w:val="none" w:sz="0" w:space="0" w:color="auto"/>
          </w:divBdr>
        </w:div>
        <w:div w:id="1041787930">
          <w:marLeft w:val="0"/>
          <w:marRight w:val="0"/>
          <w:marTop w:val="0"/>
          <w:marBottom w:val="0"/>
          <w:divBdr>
            <w:top w:val="none" w:sz="0" w:space="0" w:color="auto"/>
            <w:left w:val="none" w:sz="0" w:space="0" w:color="auto"/>
            <w:bottom w:val="none" w:sz="0" w:space="0" w:color="auto"/>
            <w:right w:val="none" w:sz="0" w:space="0" w:color="auto"/>
          </w:divBdr>
        </w:div>
        <w:div w:id="1438984442">
          <w:marLeft w:val="0"/>
          <w:marRight w:val="0"/>
          <w:marTop w:val="0"/>
          <w:marBottom w:val="0"/>
          <w:divBdr>
            <w:top w:val="none" w:sz="0" w:space="0" w:color="auto"/>
            <w:left w:val="none" w:sz="0" w:space="0" w:color="auto"/>
            <w:bottom w:val="none" w:sz="0" w:space="0" w:color="auto"/>
            <w:right w:val="none" w:sz="0" w:space="0" w:color="auto"/>
          </w:divBdr>
        </w:div>
        <w:div w:id="612901839">
          <w:marLeft w:val="0"/>
          <w:marRight w:val="0"/>
          <w:marTop w:val="0"/>
          <w:marBottom w:val="0"/>
          <w:divBdr>
            <w:top w:val="none" w:sz="0" w:space="0" w:color="auto"/>
            <w:left w:val="none" w:sz="0" w:space="0" w:color="auto"/>
            <w:bottom w:val="none" w:sz="0" w:space="0" w:color="auto"/>
            <w:right w:val="none" w:sz="0" w:space="0" w:color="auto"/>
          </w:divBdr>
        </w:div>
        <w:div w:id="1223099533">
          <w:marLeft w:val="0"/>
          <w:marRight w:val="0"/>
          <w:marTop w:val="0"/>
          <w:marBottom w:val="0"/>
          <w:divBdr>
            <w:top w:val="none" w:sz="0" w:space="0" w:color="auto"/>
            <w:left w:val="none" w:sz="0" w:space="0" w:color="auto"/>
            <w:bottom w:val="none" w:sz="0" w:space="0" w:color="auto"/>
            <w:right w:val="none" w:sz="0" w:space="0" w:color="auto"/>
          </w:divBdr>
        </w:div>
        <w:div w:id="467432153">
          <w:marLeft w:val="0"/>
          <w:marRight w:val="0"/>
          <w:marTop w:val="0"/>
          <w:marBottom w:val="0"/>
          <w:divBdr>
            <w:top w:val="none" w:sz="0" w:space="0" w:color="auto"/>
            <w:left w:val="none" w:sz="0" w:space="0" w:color="auto"/>
            <w:bottom w:val="none" w:sz="0" w:space="0" w:color="auto"/>
            <w:right w:val="none" w:sz="0" w:space="0" w:color="auto"/>
          </w:divBdr>
        </w:div>
        <w:div w:id="506948372">
          <w:marLeft w:val="0"/>
          <w:marRight w:val="0"/>
          <w:marTop w:val="0"/>
          <w:marBottom w:val="0"/>
          <w:divBdr>
            <w:top w:val="none" w:sz="0" w:space="0" w:color="auto"/>
            <w:left w:val="none" w:sz="0" w:space="0" w:color="auto"/>
            <w:bottom w:val="none" w:sz="0" w:space="0" w:color="auto"/>
            <w:right w:val="none" w:sz="0" w:space="0" w:color="auto"/>
          </w:divBdr>
        </w:div>
        <w:div w:id="16930251">
          <w:marLeft w:val="0"/>
          <w:marRight w:val="0"/>
          <w:marTop w:val="0"/>
          <w:marBottom w:val="0"/>
          <w:divBdr>
            <w:top w:val="none" w:sz="0" w:space="0" w:color="auto"/>
            <w:left w:val="none" w:sz="0" w:space="0" w:color="auto"/>
            <w:bottom w:val="none" w:sz="0" w:space="0" w:color="auto"/>
            <w:right w:val="none" w:sz="0" w:space="0" w:color="auto"/>
          </w:divBdr>
        </w:div>
        <w:div w:id="2055497783">
          <w:marLeft w:val="0"/>
          <w:marRight w:val="0"/>
          <w:marTop w:val="0"/>
          <w:marBottom w:val="0"/>
          <w:divBdr>
            <w:top w:val="none" w:sz="0" w:space="0" w:color="auto"/>
            <w:left w:val="none" w:sz="0" w:space="0" w:color="auto"/>
            <w:bottom w:val="none" w:sz="0" w:space="0" w:color="auto"/>
            <w:right w:val="none" w:sz="0" w:space="0" w:color="auto"/>
          </w:divBdr>
        </w:div>
        <w:div w:id="560017808">
          <w:marLeft w:val="0"/>
          <w:marRight w:val="0"/>
          <w:marTop w:val="0"/>
          <w:marBottom w:val="0"/>
          <w:divBdr>
            <w:top w:val="none" w:sz="0" w:space="0" w:color="auto"/>
            <w:left w:val="none" w:sz="0" w:space="0" w:color="auto"/>
            <w:bottom w:val="none" w:sz="0" w:space="0" w:color="auto"/>
            <w:right w:val="none" w:sz="0" w:space="0" w:color="auto"/>
          </w:divBdr>
        </w:div>
        <w:div w:id="1936553648">
          <w:marLeft w:val="0"/>
          <w:marRight w:val="0"/>
          <w:marTop w:val="0"/>
          <w:marBottom w:val="0"/>
          <w:divBdr>
            <w:top w:val="none" w:sz="0" w:space="0" w:color="auto"/>
            <w:left w:val="none" w:sz="0" w:space="0" w:color="auto"/>
            <w:bottom w:val="none" w:sz="0" w:space="0" w:color="auto"/>
            <w:right w:val="none" w:sz="0" w:space="0" w:color="auto"/>
          </w:divBdr>
        </w:div>
        <w:div w:id="1559823716">
          <w:marLeft w:val="0"/>
          <w:marRight w:val="0"/>
          <w:marTop w:val="0"/>
          <w:marBottom w:val="0"/>
          <w:divBdr>
            <w:top w:val="none" w:sz="0" w:space="0" w:color="auto"/>
            <w:left w:val="none" w:sz="0" w:space="0" w:color="auto"/>
            <w:bottom w:val="none" w:sz="0" w:space="0" w:color="auto"/>
            <w:right w:val="none" w:sz="0" w:space="0" w:color="auto"/>
          </w:divBdr>
        </w:div>
        <w:div w:id="1772778466">
          <w:marLeft w:val="0"/>
          <w:marRight w:val="0"/>
          <w:marTop w:val="0"/>
          <w:marBottom w:val="0"/>
          <w:divBdr>
            <w:top w:val="none" w:sz="0" w:space="0" w:color="auto"/>
            <w:left w:val="none" w:sz="0" w:space="0" w:color="auto"/>
            <w:bottom w:val="none" w:sz="0" w:space="0" w:color="auto"/>
            <w:right w:val="none" w:sz="0" w:space="0" w:color="auto"/>
          </w:divBdr>
        </w:div>
        <w:div w:id="1251696254">
          <w:marLeft w:val="0"/>
          <w:marRight w:val="0"/>
          <w:marTop w:val="0"/>
          <w:marBottom w:val="0"/>
          <w:divBdr>
            <w:top w:val="none" w:sz="0" w:space="0" w:color="auto"/>
            <w:left w:val="none" w:sz="0" w:space="0" w:color="auto"/>
            <w:bottom w:val="none" w:sz="0" w:space="0" w:color="auto"/>
            <w:right w:val="none" w:sz="0" w:space="0" w:color="auto"/>
          </w:divBdr>
        </w:div>
        <w:div w:id="560943993">
          <w:marLeft w:val="0"/>
          <w:marRight w:val="0"/>
          <w:marTop w:val="0"/>
          <w:marBottom w:val="0"/>
          <w:divBdr>
            <w:top w:val="none" w:sz="0" w:space="0" w:color="auto"/>
            <w:left w:val="none" w:sz="0" w:space="0" w:color="auto"/>
            <w:bottom w:val="none" w:sz="0" w:space="0" w:color="auto"/>
            <w:right w:val="none" w:sz="0" w:space="0" w:color="auto"/>
          </w:divBdr>
        </w:div>
        <w:div w:id="2040087916">
          <w:marLeft w:val="0"/>
          <w:marRight w:val="0"/>
          <w:marTop w:val="0"/>
          <w:marBottom w:val="0"/>
          <w:divBdr>
            <w:top w:val="none" w:sz="0" w:space="0" w:color="auto"/>
            <w:left w:val="none" w:sz="0" w:space="0" w:color="auto"/>
            <w:bottom w:val="none" w:sz="0" w:space="0" w:color="auto"/>
            <w:right w:val="none" w:sz="0" w:space="0" w:color="auto"/>
          </w:divBdr>
        </w:div>
        <w:div w:id="1648513263">
          <w:marLeft w:val="0"/>
          <w:marRight w:val="0"/>
          <w:marTop w:val="0"/>
          <w:marBottom w:val="0"/>
          <w:divBdr>
            <w:top w:val="none" w:sz="0" w:space="0" w:color="auto"/>
            <w:left w:val="none" w:sz="0" w:space="0" w:color="auto"/>
            <w:bottom w:val="none" w:sz="0" w:space="0" w:color="auto"/>
            <w:right w:val="none" w:sz="0" w:space="0" w:color="auto"/>
          </w:divBdr>
        </w:div>
        <w:div w:id="56901587">
          <w:marLeft w:val="0"/>
          <w:marRight w:val="0"/>
          <w:marTop w:val="0"/>
          <w:marBottom w:val="0"/>
          <w:divBdr>
            <w:top w:val="none" w:sz="0" w:space="0" w:color="auto"/>
            <w:left w:val="none" w:sz="0" w:space="0" w:color="auto"/>
            <w:bottom w:val="none" w:sz="0" w:space="0" w:color="auto"/>
            <w:right w:val="none" w:sz="0" w:space="0" w:color="auto"/>
          </w:divBdr>
        </w:div>
        <w:div w:id="328994046">
          <w:marLeft w:val="0"/>
          <w:marRight w:val="0"/>
          <w:marTop w:val="0"/>
          <w:marBottom w:val="0"/>
          <w:divBdr>
            <w:top w:val="none" w:sz="0" w:space="0" w:color="auto"/>
            <w:left w:val="none" w:sz="0" w:space="0" w:color="auto"/>
            <w:bottom w:val="none" w:sz="0" w:space="0" w:color="auto"/>
            <w:right w:val="none" w:sz="0" w:space="0" w:color="auto"/>
          </w:divBdr>
        </w:div>
        <w:div w:id="1838030396">
          <w:marLeft w:val="0"/>
          <w:marRight w:val="0"/>
          <w:marTop w:val="0"/>
          <w:marBottom w:val="0"/>
          <w:divBdr>
            <w:top w:val="none" w:sz="0" w:space="0" w:color="auto"/>
            <w:left w:val="none" w:sz="0" w:space="0" w:color="auto"/>
            <w:bottom w:val="none" w:sz="0" w:space="0" w:color="auto"/>
            <w:right w:val="none" w:sz="0" w:space="0" w:color="auto"/>
          </w:divBdr>
        </w:div>
        <w:div w:id="1933322130">
          <w:marLeft w:val="0"/>
          <w:marRight w:val="0"/>
          <w:marTop w:val="0"/>
          <w:marBottom w:val="0"/>
          <w:divBdr>
            <w:top w:val="none" w:sz="0" w:space="0" w:color="auto"/>
            <w:left w:val="none" w:sz="0" w:space="0" w:color="auto"/>
            <w:bottom w:val="none" w:sz="0" w:space="0" w:color="auto"/>
            <w:right w:val="none" w:sz="0" w:space="0" w:color="auto"/>
          </w:divBdr>
        </w:div>
        <w:div w:id="507867260">
          <w:marLeft w:val="0"/>
          <w:marRight w:val="0"/>
          <w:marTop w:val="0"/>
          <w:marBottom w:val="0"/>
          <w:divBdr>
            <w:top w:val="none" w:sz="0" w:space="0" w:color="auto"/>
            <w:left w:val="none" w:sz="0" w:space="0" w:color="auto"/>
            <w:bottom w:val="none" w:sz="0" w:space="0" w:color="auto"/>
            <w:right w:val="none" w:sz="0" w:space="0" w:color="auto"/>
          </w:divBdr>
        </w:div>
        <w:div w:id="1814252775">
          <w:marLeft w:val="0"/>
          <w:marRight w:val="0"/>
          <w:marTop w:val="0"/>
          <w:marBottom w:val="0"/>
          <w:divBdr>
            <w:top w:val="none" w:sz="0" w:space="0" w:color="auto"/>
            <w:left w:val="none" w:sz="0" w:space="0" w:color="auto"/>
            <w:bottom w:val="none" w:sz="0" w:space="0" w:color="auto"/>
            <w:right w:val="none" w:sz="0" w:space="0" w:color="auto"/>
          </w:divBdr>
        </w:div>
        <w:div w:id="1338579468">
          <w:marLeft w:val="0"/>
          <w:marRight w:val="0"/>
          <w:marTop w:val="0"/>
          <w:marBottom w:val="0"/>
          <w:divBdr>
            <w:top w:val="none" w:sz="0" w:space="0" w:color="auto"/>
            <w:left w:val="none" w:sz="0" w:space="0" w:color="auto"/>
            <w:bottom w:val="none" w:sz="0" w:space="0" w:color="auto"/>
            <w:right w:val="none" w:sz="0" w:space="0" w:color="auto"/>
          </w:divBdr>
        </w:div>
        <w:div w:id="1007826011">
          <w:marLeft w:val="0"/>
          <w:marRight w:val="0"/>
          <w:marTop w:val="0"/>
          <w:marBottom w:val="0"/>
          <w:divBdr>
            <w:top w:val="none" w:sz="0" w:space="0" w:color="auto"/>
            <w:left w:val="none" w:sz="0" w:space="0" w:color="auto"/>
            <w:bottom w:val="none" w:sz="0" w:space="0" w:color="auto"/>
            <w:right w:val="none" w:sz="0" w:space="0" w:color="auto"/>
          </w:divBdr>
        </w:div>
        <w:div w:id="803547482">
          <w:marLeft w:val="0"/>
          <w:marRight w:val="0"/>
          <w:marTop w:val="0"/>
          <w:marBottom w:val="0"/>
          <w:divBdr>
            <w:top w:val="none" w:sz="0" w:space="0" w:color="auto"/>
            <w:left w:val="none" w:sz="0" w:space="0" w:color="auto"/>
            <w:bottom w:val="none" w:sz="0" w:space="0" w:color="auto"/>
            <w:right w:val="none" w:sz="0" w:space="0" w:color="auto"/>
          </w:divBdr>
        </w:div>
        <w:div w:id="1726568055">
          <w:marLeft w:val="0"/>
          <w:marRight w:val="0"/>
          <w:marTop w:val="0"/>
          <w:marBottom w:val="0"/>
          <w:divBdr>
            <w:top w:val="none" w:sz="0" w:space="0" w:color="auto"/>
            <w:left w:val="none" w:sz="0" w:space="0" w:color="auto"/>
            <w:bottom w:val="none" w:sz="0" w:space="0" w:color="auto"/>
            <w:right w:val="none" w:sz="0" w:space="0" w:color="auto"/>
          </w:divBdr>
        </w:div>
        <w:div w:id="1048451254">
          <w:marLeft w:val="0"/>
          <w:marRight w:val="0"/>
          <w:marTop w:val="0"/>
          <w:marBottom w:val="0"/>
          <w:divBdr>
            <w:top w:val="none" w:sz="0" w:space="0" w:color="auto"/>
            <w:left w:val="none" w:sz="0" w:space="0" w:color="auto"/>
            <w:bottom w:val="none" w:sz="0" w:space="0" w:color="auto"/>
            <w:right w:val="none" w:sz="0" w:space="0" w:color="auto"/>
          </w:divBdr>
        </w:div>
        <w:div w:id="420685146">
          <w:marLeft w:val="0"/>
          <w:marRight w:val="0"/>
          <w:marTop w:val="0"/>
          <w:marBottom w:val="0"/>
          <w:divBdr>
            <w:top w:val="none" w:sz="0" w:space="0" w:color="auto"/>
            <w:left w:val="none" w:sz="0" w:space="0" w:color="auto"/>
            <w:bottom w:val="none" w:sz="0" w:space="0" w:color="auto"/>
            <w:right w:val="none" w:sz="0" w:space="0" w:color="auto"/>
          </w:divBdr>
        </w:div>
        <w:div w:id="2139106439">
          <w:marLeft w:val="0"/>
          <w:marRight w:val="0"/>
          <w:marTop w:val="0"/>
          <w:marBottom w:val="0"/>
          <w:divBdr>
            <w:top w:val="none" w:sz="0" w:space="0" w:color="auto"/>
            <w:left w:val="none" w:sz="0" w:space="0" w:color="auto"/>
            <w:bottom w:val="none" w:sz="0" w:space="0" w:color="auto"/>
            <w:right w:val="none" w:sz="0" w:space="0" w:color="auto"/>
          </w:divBdr>
        </w:div>
        <w:div w:id="1322849255">
          <w:marLeft w:val="0"/>
          <w:marRight w:val="0"/>
          <w:marTop w:val="0"/>
          <w:marBottom w:val="0"/>
          <w:divBdr>
            <w:top w:val="none" w:sz="0" w:space="0" w:color="auto"/>
            <w:left w:val="none" w:sz="0" w:space="0" w:color="auto"/>
            <w:bottom w:val="none" w:sz="0" w:space="0" w:color="auto"/>
            <w:right w:val="none" w:sz="0" w:space="0" w:color="auto"/>
          </w:divBdr>
        </w:div>
        <w:div w:id="577784645">
          <w:marLeft w:val="0"/>
          <w:marRight w:val="0"/>
          <w:marTop w:val="0"/>
          <w:marBottom w:val="0"/>
          <w:divBdr>
            <w:top w:val="none" w:sz="0" w:space="0" w:color="auto"/>
            <w:left w:val="none" w:sz="0" w:space="0" w:color="auto"/>
            <w:bottom w:val="none" w:sz="0" w:space="0" w:color="auto"/>
            <w:right w:val="none" w:sz="0" w:space="0" w:color="auto"/>
          </w:divBdr>
        </w:div>
        <w:div w:id="1097556915">
          <w:marLeft w:val="0"/>
          <w:marRight w:val="0"/>
          <w:marTop w:val="0"/>
          <w:marBottom w:val="0"/>
          <w:divBdr>
            <w:top w:val="none" w:sz="0" w:space="0" w:color="auto"/>
            <w:left w:val="none" w:sz="0" w:space="0" w:color="auto"/>
            <w:bottom w:val="none" w:sz="0" w:space="0" w:color="auto"/>
            <w:right w:val="none" w:sz="0" w:space="0" w:color="auto"/>
          </w:divBdr>
        </w:div>
        <w:div w:id="1998000371">
          <w:marLeft w:val="0"/>
          <w:marRight w:val="0"/>
          <w:marTop w:val="0"/>
          <w:marBottom w:val="0"/>
          <w:divBdr>
            <w:top w:val="none" w:sz="0" w:space="0" w:color="auto"/>
            <w:left w:val="none" w:sz="0" w:space="0" w:color="auto"/>
            <w:bottom w:val="none" w:sz="0" w:space="0" w:color="auto"/>
            <w:right w:val="none" w:sz="0" w:space="0" w:color="auto"/>
          </w:divBdr>
        </w:div>
        <w:div w:id="1132096886">
          <w:marLeft w:val="0"/>
          <w:marRight w:val="0"/>
          <w:marTop w:val="0"/>
          <w:marBottom w:val="0"/>
          <w:divBdr>
            <w:top w:val="none" w:sz="0" w:space="0" w:color="auto"/>
            <w:left w:val="none" w:sz="0" w:space="0" w:color="auto"/>
            <w:bottom w:val="none" w:sz="0" w:space="0" w:color="auto"/>
            <w:right w:val="none" w:sz="0" w:space="0" w:color="auto"/>
          </w:divBdr>
        </w:div>
        <w:div w:id="2053919107">
          <w:marLeft w:val="0"/>
          <w:marRight w:val="0"/>
          <w:marTop w:val="0"/>
          <w:marBottom w:val="0"/>
          <w:divBdr>
            <w:top w:val="none" w:sz="0" w:space="0" w:color="auto"/>
            <w:left w:val="none" w:sz="0" w:space="0" w:color="auto"/>
            <w:bottom w:val="none" w:sz="0" w:space="0" w:color="auto"/>
            <w:right w:val="none" w:sz="0" w:space="0" w:color="auto"/>
          </w:divBdr>
        </w:div>
        <w:div w:id="798107990">
          <w:marLeft w:val="0"/>
          <w:marRight w:val="0"/>
          <w:marTop w:val="0"/>
          <w:marBottom w:val="0"/>
          <w:divBdr>
            <w:top w:val="none" w:sz="0" w:space="0" w:color="auto"/>
            <w:left w:val="none" w:sz="0" w:space="0" w:color="auto"/>
            <w:bottom w:val="none" w:sz="0" w:space="0" w:color="auto"/>
            <w:right w:val="none" w:sz="0" w:space="0" w:color="auto"/>
          </w:divBdr>
        </w:div>
        <w:div w:id="1422024387">
          <w:marLeft w:val="0"/>
          <w:marRight w:val="0"/>
          <w:marTop w:val="0"/>
          <w:marBottom w:val="0"/>
          <w:divBdr>
            <w:top w:val="none" w:sz="0" w:space="0" w:color="auto"/>
            <w:left w:val="none" w:sz="0" w:space="0" w:color="auto"/>
            <w:bottom w:val="none" w:sz="0" w:space="0" w:color="auto"/>
            <w:right w:val="none" w:sz="0" w:space="0" w:color="auto"/>
          </w:divBdr>
        </w:div>
        <w:div w:id="2048986399">
          <w:marLeft w:val="0"/>
          <w:marRight w:val="0"/>
          <w:marTop w:val="0"/>
          <w:marBottom w:val="0"/>
          <w:divBdr>
            <w:top w:val="none" w:sz="0" w:space="0" w:color="auto"/>
            <w:left w:val="none" w:sz="0" w:space="0" w:color="auto"/>
            <w:bottom w:val="none" w:sz="0" w:space="0" w:color="auto"/>
            <w:right w:val="none" w:sz="0" w:space="0" w:color="auto"/>
          </w:divBdr>
        </w:div>
        <w:div w:id="2037731025">
          <w:marLeft w:val="0"/>
          <w:marRight w:val="0"/>
          <w:marTop w:val="0"/>
          <w:marBottom w:val="0"/>
          <w:divBdr>
            <w:top w:val="none" w:sz="0" w:space="0" w:color="auto"/>
            <w:left w:val="none" w:sz="0" w:space="0" w:color="auto"/>
            <w:bottom w:val="none" w:sz="0" w:space="0" w:color="auto"/>
            <w:right w:val="none" w:sz="0" w:space="0" w:color="auto"/>
          </w:divBdr>
        </w:div>
        <w:div w:id="1001203574">
          <w:marLeft w:val="0"/>
          <w:marRight w:val="0"/>
          <w:marTop w:val="0"/>
          <w:marBottom w:val="0"/>
          <w:divBdr>
            <w:top w:val="none" w:sz="0" w:space="0" w:color="auto"/>
            <w:left w:val="none" w:sz="0" w:space="0" w:color="auto"/>
            <w:bottom w:val="none" w:sz="0" w:space="0" w:color="auto"/>
            <w:right w:val="none" w:sz="0" w:space="0" w:color="auto"/>
          </w:divBdr>
        </w:div>
        <w:div w:id="1519613192">
          <w:marLeft w:val="0"/>
          <w:marRight w:val="0"/>
          <w:marTop w:val="0"/>
          <w:marBottom w:val="0"/>
          <w:divBdr>
            <w:top w:val="none" w:sz="0" w:space="0" w:color="auto"/>
            <w:left w:val="none" w:sz="0" w:space="0" w:color="auto"/>
            <w:bottom w:val="none" w:sz="0" w:space="0" w:color="auto"/>
            <w:right w:val="none" w:sz="0" w:space="0" w:color="auto"/>
          </w:divBdr>
        </w:div>
        <w:div w:id="1330791614">
          <w:marLeft w:val="0"/>
          <w:marRight w:val="0"/>
          <w:marTop w:val="0"/>
          <w:marBottom w:val="0"/>
          <w:divBdr>
            <w:top w:val="none" w:sz="0" w:space="0" w:color="auto"/>
            <w:left w:val="none" w:sz="0" w:space="0" w:color="auto"/>
            <w:bottom w:val="none" w:sz="0" w:space="0" w:color="auto"/>
            <w:right w:val="none" w:sz="0" w:space="0" w:color="auto"/>
          </w:divBdr>
        </w:div>
        <w:div w:id="935943312">
          <w:marLeft w:val="0"/>
          <w:marRight w:val="0"/>
          <w:marTop w:val="0"/>
          <w:marBottom w:val="0"/>
          <w:divBdr>
            <w:top w:val="none" w:sz="0" w:space="0" w:color="auto"/>
            <w:left w:val="none" w:sz="0" w:space="0" w:color="auto"/>
            <w:bottom w:val="none" w:sz="0" w:space="0" w:color="auto"/>
            <w:right w:val="none" w:sz="0" w:space="0" w:color="auto"/>
          </w:divBdr>
        </w:div>
        <w:div w:id="369961484">
          <w:marLeft w:val="0"/>
          <w:marRight w:val="0"/>
          <w:marTop w:val="0"/>
          <w:marBottom w:val="0"/>
          <w:divBdr>
            <w:top w:val="none" w:sz="0" w:space="0" w:color="auto"/>
            <w:left w:val="none" w:sz="0" w:space="0" w:color="auto"/>
            <w:bottom w:val="none" w:sz="0" w:space="0" w:color="auto"/>
            <w:right w:val="none" w:sz="0" w:space="0" w:color="auto"/>
          </w:divBdr>
        </w:div>
        <w:div w:id="681513236">
          <w:marLeft w:val="0"/>
          <w:marRight w:val="0"/>
          <w:marTop w:val="0"/>
          <w:marBottom w:val="0"/>
          <w:divBdr>
            <w:top w:val="none" w:sz="0" w:space="0" w:color="auto"/>
            <w:left w:val="none" w:sz="0" w:space="0" w:color="auto"/>
            <w:bottom w:val="none" w:sz="0" w:space="0" w:color="auto"/>
            <w:right w:val="none" w:sz="0" w:space="0" w:color="auto"/>
          </w:divBdr>
        </w:div>
        <w:div w:id="686325715">
          <w:marLeft w:val="0"/>
          <w:marRight w:val="0"/>
          <w:marTop w:val="0"/>
          <w:marBottom w:val="0"/>
          <w:divBdr>
            <w:top w:val="none" w:sz="0" w:space="0" w:color="auto"/>
            <w:left w:val="none" w:sz="0" w:space="0" w:color="auto"/>
            <w:bottom w:val="none" w:sz="0" w:space="0" w:color="auto"/>
            <w:right w:val="none" w:sz="0" w:space="0" w:color="auto"/>
          </w:divBdr>
        </w:div>
        <w:div w:id="1722244294">
          <w:marLeft w:val="0"/>
          <w:marRight w:val="0"/>
          <w:marTop w:val="0"/>
          <w:marBottom w:val="0"/>
          <w:divBdr>
            <w:top w:val="none" w:sz="0" w:space="0" w:color="auto"/>
            <w:left w:val="none" w:sz="0" w:space="0" w:color="auto"/>
            <w:bottom w:val="none" w:sz="0" w:space="0" w:color="auto"/>
            <w:right w:val="none" w:sz="0" w:space="0" w:color="auto"/>
          </w:divBdr>
        </w:div>
        <w:div w:id="920455556">
          <w:marLeft w:val="0"/>
          <w:marRight w:val="0"/>
          <w:marTop w:val="0"/>
          <w:marBottom w:val="0"/>
          <w:divBdr>
            <w:top w:val="none" w:sz="0" w:space="0" w:color="auto"/>
            <w:left w:val="none" w:sz="0" w:space="0" w:color="auto"/>
            <w:bottom w:val="none" w:sz="0" w:space="0" w:color="auto"/>
            <w:right w:val="none" w:sz="0" w:space="0" w:color="auto"/>
          </w:divBdr>
        </w:div>
        <w:div w:id="568735240">
          <w:marLeft w:val="0"/>
          <w:marRight w:val="0"/>
          <w:marTop w:val="0"/>
          <w:marBottom w:val="0"/>
          <w:divBdr>
            <w:top w:val="none" w:sz="0" w:space="0" w:color="auto"/>
            <w:left w:val="none" w:sz="0" w:space="0" w:color="auto"/>
            <w:bottom w:val="none" w:sz="0" w:space="0" w:color="auto"/>
            <w:right w:val="none" w:sz="0" w:space="0" w:color="auto"/>
          </w:divBdr>
        </w:div>
        <w:div w:id="1482843216">
          <w:marLeft w:val="0"/>
          <w:marRight w:val="0"/>
          <w:marTop w:val="0"/>
          <w:marBottom w:val="0"/>
          <w:divBdr>
            <w:top w:val="none" w:sz="0" w:space="0" w:color="auto"/>
            <w:left w:val="none" w:sz="0" w:space="0" w:color="auto"/>
            <w:bottom w:val="none" w:sz="0" w:space="0" w:color="auto"/>
            <w:right w:val="none" w:sz="0" w:space="0" w:color="auto"/>
          </w:divBdr>
        </w:div>
        <w:div w:id="107817290">
          <w:marLeft w:val="0"/>
          <w:marRight w:val="0"/>
          <w:marTop w:val="0"/>
          <w:marBottom w:val="0"/>
          <w:divBdr>
            <w:top w:val="none" w:sz="0" w:space="0" w:color="auto"/>
            <w:left w:val="none" w:sz="0" w:space="0" w:color="auto"/>
            <w:bottom w:val="none" w:sz="0" w:space="0" w:color="auto"/>
            <w:right w:val="none" w:sz="0" w:space="0" w:color="auto"/>
          </w:divBdr>
        </w:div>
        <w:div w:id="516433347">
          <w:marLeft w:val="0"/>
          <w:marRight w:val="0"/>
          <w:marTop w:val="0"/>
          <w:marBottom w:val="0"/>
          <w:divBdr>
            <w:top w:val="none" w:sz="0" w:space="0" w:color="auto"/>
            <w:left w:val="none" w:sz="0" w:space="0" w:color="auto"/>
            <w:bottom w:val="none" w:sz="0" w:space="0" w:color="auto"/>
            <w:right w:val="none" w:sz="0" w:space="0" w:color="auto"/>
          </w:divBdr>
        </w:div>
        <w:div w:id="1304576242">
          <w:marLeft w:val="0"/>
          <w:marRight w:val="0"/>
          <w:marTop w:val="0"/>
          <w:marBottom w:val="0"/>
          <w:divBdr>
            <w:top w:val="none" w:sz="0" w:space="0" w:color="auto"/>
            <w:left w:val="none" w:sz="0" w:space="0" w:color="auto"/>
            <w:bottom w:val="none" w:sz="0" w:space="0" w:color="auto"/>
            <w:right w:val="none" w:sz="0" w:space="0" w:color="auto"/>
          </w:divBdr>
        </w:div>
        <w:div w:id="706031860">
          <w:marLeft w:val="0"/>
          <w:marRight w:val="0"/>
          <w:marTop w:val="0"/>
          <w:marBottom w:val="0"/>
          <w:divBdr>
            <w:top w:val="none" w:sz="0" w:space="0" w:color="auto"/>
            <w:left w:val="none" w:sz="0" w:space="0" w:color="auto"/>
            <w:bottom w:val="none" w:sz="0" w:space="0" w:color="auto"/>
            <w:right w:val="none" w:sz="0" w:space="0" w:color="auto"/>
          </w:divBdr>
        </w:div>
        <w:div w:id="447428472">
          <w:marLeft w:val="0"/>
          <w:marRight w:val="0"/>
          <w:marTop w:val="0"/>
          <w:marBottom w:val="0"/>
          <w:divBdr>
            <w:top w:val="none" w:sz="0" w:space="0" w:color="auto"/>
            <w:left w:val="none" w:sz="0" w:space="0" w:color="auto"/>
            <w:bottom w:val="none" w:sz="0" w:space="0" w:color="auto"/>
            <w:right w:val="none" w:sz="0" w:space="0" w:color="auto"/>
          </w:divBdr>
        </w:div>
        <w:div w:id="125708358">
          <w:marLeft w:val="0"/>
          <w:marRight w:val="0"/>
          <w:marTop w:val="0"/>
          <w:marBottom w:val="0"/>
          <w:divBdr>
            <w:top w:val="none" w:sz="0" w:space="0" w:color="auto"/>
            <w:left w:val="none" w:sz="0" w:space="0" w:color="auto"/>
            <w:bottom w:val="none" w:sz="0" w:space="0" w:color="auto"/>
            <w:right w:val="none" w:sz="0" w:space="0" w:color="auto"/>
          </w:divBdr>
        </w:div>
        <w:div w:id="634872326">
          <w:marLeft w:val="0"/>
          <w:marRight w:val="0"/>
          <w:marTop w:val="0"/>
          <w:marBottom w:val="0"/>
          <w:divBdr>
            <w:top w:val="none" w:sz="0" w:space="0" w:color="auto"/>
            <w:left w:val="none" w:sz="0" w:space="0" w:color="auto"/>
            <w:bottom w:val="none" w:sz="0" w:space="0" w:color="auto"/>
            <w:right w:val="none" w:sz="0" w:space="0" w:color="auto"/>
          </w:divBdr>
        </w:div>
        <w:div w:id="507404137">
          <w:marLeft w:val="0"/>
          <w:marRight w:val="0"/>
          <w:marTop w:val="0"/>
          <w:marBottom w:val="0"/>
          <w:divBdr>
            <w:top w:val="none" w:sz="0" w:space="0" w:color="auto"/>
            <w:left w:val="none" w:sz="0" w:space="0" w:color="auto"/>
            <w:bottom w:val="none" w:sz="0" w:space="0" w:color="auto"/>
            <w:right w:val="none" w:sz="0" w:space="0" w:color="auto"/>
          </w:divBdr>
        </w:div>
        <w:div w:id="1901212607">
          <w:marLeft w:val="0"/>
          <w:marRight w:val="0"/>
          <w:marTop w:val="0"/>
          <w:marBottom w:val="0"/>
          <w:divBdr>
            <w:top w:val="none" w:sz="0" w:space="0" w:color="auto"/>
            <w:left w:val="none" w:sz="0" w:space="0" w:color="auto"/>
            <w:bottom w:val="none" w:sz="0" w:space="0" w:color="auto"/>
            <w:right w:val="none" w:sz="0" w:space="0" w:color="auto"/>
          </w:divBdr>
        </w:div>
        <w:div w:id="1181774867">
          <w:marLeft w:val="0"/>
          <w:marRight w:val="0"/>
          <w:marTop w:val="0"/>
          <w:marBottom w:val="0"/>
          <w:divBdr>
            <w:top w:val="none" w:sz="0" w:space="0" w:color="auto"/>
            <w:left w:val="none" w:sz="0" w:space="0" w:color="auto"/>
            <w:bottom w:val="none" w:sz="0" w:space="0" w:color="auto"/>
            <w:right w:val="none" w:sz="0" w:space="0" w:color="auto"/>
          </w:divBdr>
        </w:div>
        <w:div w:id="912786264">
          <w:marLeft w:val="0"/>
          <w:marRight w:val="0"/>
          <w:marTop w:val="0"/>
          <w:marBottom w:val="0"/>
          <w:divBdr>
            <w:top w:val="none" w:sz="0" w:space="0" w:color="auto"/>
            <w:left w:val="none" w:sz="0" w:space="0" w:color="auto"/>
            <w:bottom w:val="none" w:sz="0" w:space="0" w:color="auto"/>
            <w:right w:val="none" w:sz="0" w:space="0" w:color="auto"/>
          </w:divBdr>
        </w:div>
        <w:div w:id="1091776322">
          <w:marLeft w:val="0"/>
          <w:marRight w:val="0"/>
          <w:marTop w:val="0"/>
          <w:marBottom w:val="0"/>
          <w:divBdr>
            <w:top w:val="none" w:sz="0" w:space="0" w:color="auto"/>
            <w:left w:val="none" w:sz="0" w:space="0" w:color="auto"/>
            <w:bottom w:val="none" w:sz="0" w:space="0" w:color="auto"/>
            <w:right w:val="none" w:sz="0" w:space="0" w:color="auto"/>
          </w:divBdr>
        </w:div>
        <w:div w:id="411127855">
          <w:marLeft w:val="0"/>
          <w:marRight w:val="0"/>
          <w:marTop w:val="0"/>
          <w:marBottom w:val="0"/>
          <w:divBdr>
            <w:top w:val="none" w:sz="0" w:space="0" w:color="auto"/>
            <w:left w:val="none" w:sz="0" w:space="0" w:color="auto"/>
            <w:bottom w:val="none" w:sz="0" w:space="0" w:color="auto"/>
            <w:right w:val="none" w:sz="0" w:space="0" w:color="auto"/>
          </w:divBdr>
        </w:div>
        <w:div w:id="731656149">
          <w:marLeft w:val="0"/>
          <w:marRight w:val="0"/>
          <w:marTop w:val="0"/>
          <w:marBottom w:val="0"/>
          <w:divBdr>
            <w:top w:val="none" w:sz="0" w:space="0" w:color="auto"/>
            <w:left w:val="none" w:sz="0" w:space="0" w:color="auto"/>
            <w:bottom w:val="none" w:sz="0" w:space="0" w:color="auto"/>
            <w:right w:val="none" w:sz="0" w:space="0" w:color="auto"/>
          </w:divBdr>
        </w:div>
        <w:div w:id="51781182">
          <w:marLeft w:val="0"/>
          <w:marRight w:val="0"/>
          <w:marTop w:val="0"/>
          <w:marBottom w:val="0"/>
          <w:divBdr>
            <w:top w:val="none" w:sz="0" w:space="0" w:color="auto"/>
            <w:left w:val="none" w:sz="0" w:space="0" w:color="auto"/>
            <w:bottom w:val="none" w:sz="0" w:space="0" w:color="auto"/>
            <w:right w:val="none" w:sz="0" w:space="0" w:color="auto"/>
          </w:divBdr>
        </w:div>
        <w:div w:id="1256523858">
          <w:marLeft w:val="0"/>
          <w:marRight w:val="0"/>
          <w:marTop w:val="0"/>
          <w:marBottom w:val="0"/>
          <w:divBdr>
            <w:top w:val="none" w:sz="0" w:space="0" w:color="auto"/>
            <w:left w:val="none" w:sz="0" w:space="0" w:color="auto"/>
            <w:bottom w:val="none" w:sz="0" w:space="0" w:color="auto"/>
            <w:right w:val="none" w:sz="0" w:space="0" w:color="auto"/>
          </w:divBdr>
        </w:div>
        <w:div w:id="830878009">
          <w:marLeft w:val="0"/>
          <w:marRight w:val="0"/>
          <w:marTop w:val="0"/>
          <w:marBottom w:val="0"/>
          <w:divBdr>
            <w:top w:val="none" w:sz="0" w:space="0" w:color="auto"/>
            <w:left w:val="none" w:sz="0" w:space="0" w:color="auto"/>
            <w:bottom w:val="none" w:sz="0" w:space="0" w:color="auto"/>
            <w:right w:val="none" w:sz="0" w:space="0" w:color="auto"/>
          </w:divBdr>
        </w:div>
        <w:div w:id="1852181094">
          <w:marLeft w:val="0"/>
          <w:marRight w:val="0"/>
          <w:marTop w:val="0"/>
          <w:marBottom w:val="0"/>
          <w:divBdr>
            <w:top w:val="none" w:sz="0" w:space="0" w:color="auto"/>
            <w:left w:val="none" w:sz="0" w:space="0" w:color="auto"/>
            <w:bottom w:val="none" w:sz="0" w:space="0" w:color="auto"/>
            <w:right w:val="none" w:sz="0" w:space="0" w:color="auto"/>
          </w:divBdr>
        </w:div>
        <w:div w:id="1703440276">
          <w:marLeft w:val="0"/>
          <w:marRight w:val="0"/>
          <w:marTop w:val="0"/>
          <w:marBottom w:val="0"/>
          <w:divBdr>
            <w:top w:val="none" w:sz="0" w:space="0" w:color="auto"/>
            <w:left w:val="none" w:sz="0" w:space="0" w:color="auto"/>
            <w:bottom w:val="none" w:sz="0" w:space="0" w:color="auto"/>
            <w:right w:val="none" w:sz="0" w:space="0" w:color="auto"/>
          </w:divBdr>
        </w:div>
        <w:div w:id="925459599">
          <w:marLeft w:val="0"/>
          <w:marRight w:val="0"/>
          <w:marTop w:val="0"/>
          <w:marBottom w:val="0"/>
          <w:divBdr>
            <w:top w:val="none" w:sz="0" w:space="0" w:color="auto"/>
            <w:left w:val="none" w:sz="0" w:space="0" w:color="auto"/>
            <w:bottom w:val="none" w:sz="0" w:space="0" w:color="auto"/>
            <w:right w:val="none" w:sz="0" w:space="0" w:color="auto"/>
          </w:divBdr>
        </w:div>
        <w:div w:id="1897273282">
          <w:marLeft w:val="0"/>
          <w:marRight w:val="0"/>
          <w:marTop w:val="0"/>
          <w:marBottom w:val="0"/>
          <w:divBdr>
            <w:top w:val="none" w:sz="0" w:space="0" w:color="auto"/>
            <w:left w:val="none" w:sz="0" w:space="0" w:color="auto"/>
            <w:bottom w:val="none" w:sz="0" w:space="0" w:color="auto"/>
            <w:right w:val="none" w:sz="0" w:space="0" w:color="auto"/>
          </w:divBdr>
        </w:div>
        <w:div w:id="22824865">
          <w:marLeft w:val="0"/>
          <w:marRight w:val="0"/>
          <w:marTop w:val="0"/>
          <w:marBottom w:val="0"/>
          <w:divBdr>
            <w:top w:val="none" w:sz="0" w:space="0" w:color="auto"/>
            <w:left w:val="none" w:sz="0" w:space="0" w:color="auto"/>
            <w:bottom w:val="none" w:sz="0" w:space="0" w:color="auto"/>
            <w:right w:val="none" w:sz="0" w:space="0" w:color="auto"/>
          </w:divBdr>
        </w:div>
        <w:div w:id="133718915">
          <w:marLeft w:val="0"/>
          <w:marRight w:val="0"/>
          <w:marTop w:val="0"/>
          <w:marBottom w:val="0"/>
          <w:divBdr>
            <w:top w:val="none" w:sz="0" w:space="0" w:color="auto"/>
            <w:left w:val="none" w:sz="0" w:space="0" w:color="auto"/>
            <w:bottom w:val="none" w:sz="0" w:space="0" w:color="auto"/>
            <w:right w:val="none" w:sz="0" w:space="0" w:color="auto"/>
          </w:divBdr>
        </w:div>
        <w:div w:id="1073552049">
          <w:marLeft w:val="0"/>
          <w:marRight w:val="0"/>
          <w:marTop w:val="0"/>
          <w:marBottom w:val="0"/>
          <w:divBdr>
            <w:top w:val="none" w:sz="0" w:space="0" w:color="auto"/>
            <w:left w:val="none" w:sz="0" w:space="0" w:color="auto"/>
            <w:bottom w:val="none" w:sz="0" w:space="0" w:color="auto"/>
            <w:right w:val="none" w:sz="0" w:space="0" w:color="auto"/>
          </w:divBdr>
        </w:div>
        <w:div w:id="217983427">
          <w:marLeft w:val="0"/>
          <w:marRight w:val="0"/>
          <w:marTop w:val="0"/>
          <w:marBottom w:val="0"/>
          <w:divBdr>
            <w:top w:val="none" w:sz="0" w:space="0" w:color="auto"/>
            <w:left w:val="none" w:sz="0" w:space="0" w:color="auto"/>
            <w:bottom w:val="none" w:sz="0" w:space="0" w:color="auto"/>
            <w:right w:val="none" w:sz="0" w:space="0" w:color="auto"/>
          </w:divBdr>
        </w:div>
        <w:div w:id="1024482239">
          <w:marLeft w:val="0"/>
          <w:marRight w:val="0"/>
          <w:marTop w:val="0"/>
          <w:marBottom w:val="0"/>
          <w:divBdr>
            <w:top w:val="none" w:sz="0" w:space="0" w:color="auto"/>
            <w:left w:val="none" w:sz="0" w:space="0" w:color="auto"/>
            <w:bottom w:val="none" w:sz="0" w:space="0" w:color="auto"/>
            <w:right w:val="none" w:sz="0" w:space="0" w:color="auto"/>
          </w:divBdr>
        </w:div>
      </w:divsChild>
    </w:div>
    <w:div w:id="1214930403">
      <w:bodyDiv w:val="1"/>
      <w:marLeft w:val="0"/>
      <w:marRight w:val="0"/>
      <w:marTop w:val="0"/>
      <w:marBottom w:val="0"/>
      <w:divBdr>
        <w:top w:val="none" w:sz="0" w:space="0" w:color="auto"/>
        <w:left w:val="none" w:sz="0" w:space="0" w:color="auto"/>
        <w:bottom w:val="none" w:sz="0" w:space="0" w:color="auto"/>
        <w:right w:val="none" w:sz="0" w:space="0" w:color="auto"/>
      </w:divBdr>
    </w:div>
    <w:div w:id="1225873618">
      <w:bodyDiv w:val="1"/>
      <w:marLeft w:val="0"/>
      <w:marRight w:val="0"/>
      <w:marTop w:val="0"/>
      <w:marBottom w:val="0"/>
      <w:divBdr>
        <w:top w:val="none" w:sz="0" w:space="0" w:color="auto"/>
        <w:left w:val="none" w:sz="0" w:space="0" w:color="auto"/>
        <w:bottom w:val="none" w:sz="0" w:space="0" w:color="auto"/>
        <w:right w:val="none" w:sz="0" w:space="0" w:color="auto"/>
      </w:divBdr>
      <w:divsChild>
        <w:div w:id="430047768">
          <w:marLeft w:val="0"/>
          <w:marRight w:val="0"/>
          <w:marTop w:val="0"/>
          <w:marBottom w:val="0"/>
          <w:divBdr>
            <w:top w:val="none" w:sz="0" w:space="0" w:color="auto"/>
            <w:left w:val="none" w:sz="0" w:space="0" w:color="auto"/>
            <w:bottom w:val="none" w:sz="0" w:space="0" w:color="auto"/>
            <w:right w:val="none" w:sz="0" w:space="0" w:color="auto"/>
          </w:divBdr>
        </w:div>
      </w:divsChild>
    </w:div>
    <w:div w:id="1240366948">
      <w:bodyDiv w:val="1"/>
      <w:marLeft w:val="0"/>
      <w:marRight w:val="0"/>
      <w:marTop w:val="0"/>
      <w:marBottom w:val="0"/>
      <w:divBdr>
        <w:top w:val="none" w:sz="0" w:space="0" w:color="auto"/>
        <w:left w:val="none" w:sz="0" w:space="0" w:color="auto"/>
        <w:bottom w:val="none" w:sz="0" w:space="0" w:color="auto"/>
        <w:right w:val="none" w:sz="0" w:space="0" w:color="auto"/>
      </w:divBdr>
      <w:divsChild>
        <w:div w:id="728117076">
          <w:marLeft w:val="0"/>
          <w:marRight w:val="0"/>
          <w:marTop w:val="0"/>
          <w:marBottom w:val="0"/>
          <w:divBdr>
            <w:top w:val="none" w:sz="0" w:space="0" w:color="auto"/>
            <w:left w:val="none" w:sz="0" w:space="0" w:color="auto"/>
            <w:bottom w:val="none" w:sz="0" w:space="0" w:color="auto"/>
            <w:right w:val="none" w:sz="0" w:space="0" w:color="auto"/>
          </w:divBdr>
        </w:div>
      </w:divsChild>
    </w:div>
    <w:div w:id="1267621064">
      <w:bodyDiv w:val="1"/>
      <w:marLeft w:val="0"/>
      <w:marRight w:val="0"/>
      <w:marTop w:val="0"/>
      <w:marBottom w:val="0"/>
      <w:divBdr>
        <w:top w:val="none" w:sz="0" w:space="0" w:color="auto"/>
        <w:left w:val="none" w:sz="0" w:space="0" w:color="auto"/>
        <w:bottom w:val="none" w:sz="0" w:space="0" w:color="auto"/>
        <w:right w:val="none" w:sz="0" w:space="0" w:color="auto"/>
      </w:divBdr>
    </w:div>
    <w:div w:id="1337074014">
      <w:bodyDiv w:val="1"/>
      <w:marLeft w:val="0"/>
      <w:marRight w:val="0"/>
      <w:marTop w:val="0"/>
      <w:marBottom w:val="0"/>
      <w:divBdr>
        <w:top w:val="none" w:sz="0" w:space="0" w:color="auto"/>
        <w:left w:val="none" w:sz="0" w:space="0" w:color="auto"/>
        <w:bottom w:val="none" w:sz="0" w:space="0" w:color="auto"/>
        <w:right w:val="none" w:sz="0" w:space="0" w:color="auto"/>
      </w:divBdr>
      <w:divsChild>
        <w:div w:id="1657682106">
          <w:marLeft w:val="0"/>
          <w:marRight w:val="0"/>
          <w:marTop w:val="0"/>
          <w:marBottom w:val="0"/>
          <w:divBdr>
            <w:top w:val="none" w:sz="0" w:space="0" w:color="auto"/>
            <w:left w:val="none" w:sz="0" w:space="0" w:color="auto"/>
            <w:bottom w:val="none" w:sz="0" w:space="0" w:color="auto"/>
            <w:right w:val="none" w:sz="0" w:space="0" w:color="auto"/>
          </w:divBdr>
        </w:div>
      </w:divsChild>
    </w:div>
    <w:div w:id="1441492751">
      <w:bodyDiv w:val="1"/>
      <w:marLeft w:val="0"/>
      <w:marRight w:val="0"/>
      <w:marTop w:val="0"/>
      <w:marBottom w:val="0"/>
      <w:divBdr>
        <w:top w:val="none" w:sz="0" w:space="0" w:color="auto"/>
        <w:left w:val="none" w:sz="0" w:space="0" w:color="auto"/>
        <w:bottom w:val="none" w:sz="0" w:space="0" w:color="auto"/>
        <w:right w:val="none" w:sz="0" w:space="0" w:color="auto"/>
      </w:divBdr>
      <w:divsChild>
        <w:div w:id="1764453015">
          <w:marLeft w:val="0"/>
          <w:marRight w:val="0"/>
          <w:marTop w:val="0"/>
          <w:marBottom w:val="0"/>
          <w:divBdr>
            <w:top w:val="none" w:sz="0" w:space="0" w:color="auto"/>
            <w:left w:val="none" w:sz="0" w:space="0" w:color="auto"/>
            <w:bottom w:val="none" w:sz="0" w:space="0" w:color="auto"/>
            <w:right w:val="none" w:sz="0" w:space="0" w:color="auto"/>
          </w:divBdr>
        </w:div>
      </w:divsChild>
    </w:div>
    <w:div w:id="1459301958">
      <w:bodyDiv w:val="1"/>
      <w:marLeft w:val="0"/>
      <w:marRight w:val="0"/>
      <w:marTop w:val="0"/>
      <w:marBottom w:val="0"/>
      <w:divBdr>
        <w:top w:val="none" w:sz="0" w:space="0" w:color="auto"/>
        <w:left w:val="none" w:sz="0" w:space="0" w:color="auto"/>
        <w:bottom w:val="none" w:sz="0" w:space="0" w:color="auto"/>
        <w:right w:val="none" w:sz="0" w:space="0" w:color="auto"/>
      </w:divBdr>
      <w:divsChild>
        <w:div w:id="1342706278">
          <w:marLeft w:val="0"/>
          <w:marRight w:val="0"/>
          <w:marTop w:val="0"/>
          <w:marBottom w:val="0"/>
          <w:divBdr>
            <w:top w:val="none" w:sz="0" w:space="0" w:color="auto"/>
            <w:left w:val="none" w:sz="0" w:space="0" w:color="auto"/>
            <w:bottom w:val="none" w:sz="0" w:space="0" w:color="auto"/>
            <w:right w:val="none" w:sz="0" w:space="0" w:color="auto"/>
          </w:divBdr>
        </w:div>
      </w:divsChild>
    </w:div>
    <w:div w:id="1526215727">
      <w:bodyDiv w:val="1"/>
      <w:marLeft w:val="0"/>
      <w:marRight w:val="0"/>
      <w:marTop w:val="0"/>
      <w:marBottom w:val="0"/>
      <w:divBdr>
        <w:top w:val="none" w:sz="0" w:space="0" w:color="auto"/>
        <w:left w:val="none" w:sz="0" w:space="0" w:color="auto"/>
        <w:bottom w:val="none" w:sz="0" w:space="0" w:color="auto"/>
        <w:right w:val="none" w:sz="0" w:space="0" w:color="auto"/>
      </w:divBdr>
    </w:div>
    <w:div w:id="1572305467">
      <w:bodyDiv w:val="1"/>
      <w:marLeft w:val="0"/>
      <w:marRight w:val="0"/>
      <w:marTop w:val="0"/>
      <w:marBottom w:val="0"/>
      <w:divBdr>
        <w:top w:val="none" w:sz="0" w:space="0" w:color="auto"/>
        <w:left w:val="none" w:sz="0" w:space="0" w:color="auto"/>
        <w:bottom w:val="none" w:sz="0" w:space="0" w:color="auto"/>
        <w:right w:val="none" w:sz="0" w:space="0" w:color="auto"/>
      </w:divBdr>
    </w:div>
    <w:div w:id="1598245108">
      <w:bodyDiv w:val="1"/>
      <w:marLeft w:val="0"/>
      <w:marRight w:val="0"/>
      <w:marTop w:val="0"/>
      <w:marBottom w:val="0"/>
      <w:divBdr>
        <w:top w:val="none" w:sz="0" w:space="0" w:color="auto"/>
        <w:left w:val="none" w:sz="0" w:space="0" w:color="auto"/>
        <w:bottom w:val="none" w:sz="0" w:space="0" w:color="auto"/>
        <w:right w:val="none" w:sz="0" w:space="0" w:color="auto"/>
      </w:divBdr>
    </w:div>
    <w:div w:id="1666782475">
      <w:bodyDiv w:val="1"/>
      <w:marLeft w:val="0"/>
      <w:marRight w:val="0"/>
      <w:marTop w:val="0"/>
      <w:marBottom w:val="0"/>
      <w:divBdr>
        <w:top w:val="none" w:sz="0" w:space="0" w:color="auto"/>
        <w:left w:val="none" w:sz="0" w:space="0" w:color="auto"/>
        <w:bottom w:val="none" w:sz="0" w:space="0" w:color="auto"/>
        <w:right w:val="none" w:sz="0" w:space="0" w:color="auto"/>
      </w:divBdr>
    </w:div>
    <w:div w:id="1690640010">
      <w:bodyDiv w:val="1"/>
      <w:marLeft w:val="0"/>
      <w:marRight w:val="0"/>
      <w:marTop w:val="0"/>
      <w:marBottom w:val="0"/>
      <w:divBdr>
        <w:top w:val="none" w:sz="0" w:space="0" w:color="auto"/>
        <w:left w:val="none" w:sz="0" w:space="0" w:color="auto"/>
        <w:bottom w:val="none" w:sz="0" w:space="0" w:color="auto"/>
        <w:right w:val="none" w:sz="0" w:space="0" w:color="auto"/>
      </w:divBdr>
      <w:divsChild>
        <w:div w:id="824273363">
          <w:marLeft w:val="0"/>
          <w:marRight w:val="0"/>
          <w:marTop w:val="0"/>
          <w:marBottom w:val="0"/>
          <w:divBdr>
            <w:top w:val="none" w:sz="0" w:space="0" w:color="auto"/>
            <w:left w:val="none" w:sz="0" w:space="0" w:color="auto"/>
            <w:bottom w:val="none" w:sz="0" w:space="0" w:color="auto"/>
            <w:right w:val="none" w:sz="0" w:space="0" w:color="auto"/>
          </w:divBdr>
        </w:div>
      </w:divsChild>
    </w:div>
    <w:div w:id="1764838814">
      <w:bodyDiv w:val="1"/>
      <w:marLeft w:val="0"/>
      <w:marRight w:val="0"/>
      <w:marTop w:val="0"/>
      <w:marBottom w:val="0"/>
      <w:divBdr>
        <w:top w:val="none" w:sz="0" w:space="0" w:color="auto"/>
        <w:left w:val="none" w:sz="0" w:space="0" w:color="auto"/>
        <w:bottom w:val="none" w:sz="0" w:space="0" w:color="auto"/>
        <w:right w:val="none" w:sz="0" w:space="0" w:color="auto"/>
      </w:divBdr>
      <w:divsChild>
        <w:div w:id="295792773">
          <w:marLeft w:val="0"/>
          <w:marRight w:val="0"/>
          <w:marTop w:val="0"/>
          <w:marBottom w:val="0"/>
          <w:divBdr>
            <w:top w:val="none" w:sz="0" w:space="0" w:color="auto"/>
            <w:left w:val="none" w:sz="0" w:space="0" w:color="auto"/>
            <w:bottom w:val="none" w:sz="0" w:space="0" w:color="auto"/>
            <w:right w:val="none" w:sz="0" w:space="0" w:color="auto"/>
          </w:divBdr>
        </w:div>
        <w:div w:id="1054963395">
          <w:marLeft w:val="0"/>
          <w:marRight w:val="0"/>
          <w:marTop w:val="0"/>
          <w:marBottom w:val="0"/>
          <w:divBdr>
            <w:top w:val="none" w:sz="0" w:space="0" w:color="auto"/>
            <w:left w:val="none" w:sz="0" w:space="0" w:color="auto"/>
            <w:bottom w:val="none" w:sz="0" w:space="0" w:color="auto"/>
            <w:right w:val="none" w:sz="0" w:space="0" w:color="auto"/>
          </w:divBdr>
        </w:div>
        <w:div w:id="1245800671">
          <w:marLeft w:val="0"/>
          <w:marRight w:val="0"/>
          <w:marTop w:val="0"/>
          <w:marBottom w:val="0"/>
          <w:divBdr>
            <w:top w:val="none" w:sz="0" w:space="0" w:color="auto"/>
            <w:left w:val="none" w:sz="0" w:space="0" w:color="auto"/>
            <w:bottom w:val="none" w:sz="0" w:space="0" w:color="auto"/>
            <w:right w:val="none" w:sz="0" w:space="0" w:color="auto"/>
          </w:divBdr>
        </w:div>
        <w:div w:id="1551724328">
          <w:marLeft w:val="0"/>
          <w:marRight w:val="0"/>
          <w:marTop w:val="0"/>
          <w:marBottom w:val="0"/>
          <w:divBdr>
            <w:top w:val="none" w:sz="0" w:space="0" w:color="auto"/>
            <w:left w:val="none" w:sz="0" w:space="0" w:color="auto"/>
            <w:bottom w:val="none" w:sz="0" w:space="0" w:color="auto"/>
            <w:right w:val="none" w:sz="0" w:space="0" w:color="auto"/>
          </w:divBdr>
        </w:div>
        <w:div w:id="1902905705">
          <w:marLeft w:val="0"/>
          <w:marRight w:val="0"/>
          <w:marTop w:val="0"/>
          <w:marBottom w:val="0"/>
          <w:divBdr>
            <w:top w:val="none" w:sz="0" w:space="0" w:color="auto"/>
            <w:left w:val="none" w:sz="0" w:space="0" w:color="auto"/>
            <w:bottom w:val="none" w:sz="0" w:space="0" w:color="auto"/>
            <w:right w:val="none" w:sz="0" w:space="0" w:color="auto"/>
          </w:divBdr>
        </w:div>
        <w:div w:id="2121412409">
          <w:marLeft w:val="0"/>
          <w:marRight w:val="0"/>
          <w:marTop w:val="0"/>
          <w:marBottom w:val="0"/>
          <w:divBdr>
            <w:top w:val="none" w:sz="0" w:space="0" w:color="auto"/>
            <w:left w:val="none" w:sz="0" w:space="0" w:color="auto"/>
            <w:bottom w:val="none" w:sz="0" w:space="0" w:color="auto"/>
            <w:right w:val="none" w:sz="0" w:space="0" w:color="auto"/>
          </w:divBdr>
        </w:div>
        <w:div w:id="1106388650">
          <w:marLeft w:val="0"/>
          <w:marRight w:val="0"/>
          <w:marTop w:val="0"/>
          <w:marBottom w:val="0"/>
          <w:divBdr>
            <w:top w:val="none" w:sz="0" w:space="0" w:color="auto"/>
            <w:left w:val="none" w:sz="0" w:space="0" w:color="auto"/>
            <w:bottom w:val="none" w:sz="0" w:space="0" w:color="auto"/>
            <w:right w:val="none" w:sz="0" w:space="0" w:color="auto"/>
          </w:divBdr>
        </w:div>
        <w:div w:id="1432973616">
          <w:marLeft w:val="0"/>
          <w:marRight w:val="0"/>
          <w:marTop w:val="0"/>
          <w:marBottom w:val="0"/>
          <w:divBdr>
            <w:top w:val="none" w:sz="0" w:space="0" w:color="auto"/>
            <w:left w:val="none" w:sz="0" w:space="0" w:color="auto"/>
            <w:bottom w:val="none" w:sz="0" w:space="0" w:color="auto"/>
            <w:right w:val="none" w:sz="0" w:space="0" w:color="auto"/>
          </w:divBdr>
        </w:div>
        <w:div w:id="1799030752">
          <w:marLeft w:val="0"/>
          <w:marRight w:val="0"/>
          <w:marTop w:val="0"/>
          <w:marBottom w:val="0"/>
          <w:divBdr>
            <w:top w:val="none" w:sz="0" w:space="0" w:color="auto"/>
            <w:left w:val="none" w:sz="0" w:space="0" w:color="auto"/>
            <w:bottom w:val="none" w:sz="0" w:space="0" w:color="auto"/>
            <w:right w:val="none" w:sz="0" w:space="0" w:color="auto"/>
          </w:divBdr>
        </w:div>
        <w:div w:id="733818489">
          <w:marLeft w:val="0"/>
          <w:marRight w:val="0"/>
          <w:marTop w:val="0"/>
          <w:marBottom w:val="0"/>
          <w:divBdr>
            <w:top w:val="none" w:sz="0" w:space="0" w:color="auto"/>
            <w:left w:val="none" w:sz="0" w:space="0" w:color="auto"/>
            <w:bottom w:val="none" w:sz="0" w:space="0" w:color="auto"/>
            <w:right w:val="none" w:sz="0" w:space="0" w:color="auto"/>
          </w:divBdr>
        </w:div>
        <w:div w:id="2104446054">
          <w:marLeft w:val="0"/>
          <w:marRight w:val="0"/>
          <w:marTop w:val="0"/>
          <w:marBottom w:val="0"/>
          <w:divBdr>
            <w:top w:val="none" w:sz="0" w:space="0" w:color="auto"/>
            <w:left w:val="none" w:sz="0" w:space="0" w:color="auto"/>
            <w:bottom w:val="none" w:sz="0" w:space="0" w:color="auto"/>
            <w:right w:val="none" w:sz="0" w:space="0" w:color="auto"/>
          </w:divBdr>
        </w:div>
        <w:div w:id="2130314729">
          <w:marLeft w:val="0"/>
          <w:marRight w:val="0"/>
          <w:marTop w:val="0"/>
          <w:marBottom w:val="0"/>
          <w:divBdr>
            <w:top w:val="none" w:sz="0" w:space="0" w:color="auto"/>
            <w:left w:val="none" w:sz="0" w:space="0" w:color="auto"/>
            <w:bottom w:val="none" w:sz="0" w:space="0" w:color="auto"/>
            <w:right w:val="none" w:sz="0" w:space="0" w:color="auto"/>
          </w:divBdr>
        </w:div>
        <w:div w:id="1360624946">
          <w:marLeft w:val="0"/>
          <w:marRight w:val="0"/>
          <w:marTop w:val="0"/>
          <w:marBottom w:val="0"/>
          <w:divBdr>
            <w:top w:val="none" w:sz="0" w:space="0" w:color="auto"/>
            <w:left w:val="none" w:sz="0" w:space="0" w:color="auto"/>
            <w:bottom w:val="none" w:sz="0" w:space="0" w:color="auto"/>
            <w:right w:val="none" w:sz="0" w:space="0" w:color="auto"/>
          </w:divBdr>
        </w:div>
        <w:div w:id="379401469">
          <w:marLeft w:val="0"/>
          <w:marRight w:val="0"/>
          <w:marTop w:val="0"/>
          <w:marBottom w:val="0"/>
          <w:divBdr>
            <w:top w:val="none" w:sz="0" w:space="0" w:color="auto"/>
            <w:left w:val="none" w:sz="0" w:space="0" w:color="auto"/>
            <w:bottom w:val="none" w:sz="0" w:space="0" w:color="auto"/>
            <w:right w:val="none" w:sz="0" w:space="0" w:color="auto"/>
          </w:divBdr>
        </w:div>
        <w:div w:id="1937981574">
          <w:marLeft w:val="0"/>
          <w:marRight w:val="0"/>
          <w:marTop w:val="0"/>
          <w:marBottom w:val="0"/>
          <w:divBdr>
            <w:top w:val="none" w:sz="0" w:space="0" w:color="auto"/>
            <w:left w:val="none" w:sz="0" w:space="0" w:color="auto"/>
            <w:bottom w:val="none" w:sz="0" w:space="0" w:color="auto"/>
            <w:right w:val="none" w:sz="0" w:space="0" w:color="auto"/>
          </w:divBdr>
        </w:div>
        <w:div w:id="1768503054">
          <w:marLeft w:val="0"/>
          <w:marRight w:val="0"/>
          <w:marTop w:val="0"/>
          <w:marBottom w:val="0"/>
          <w:divBdr>
            <w:top w:val="none" w:sz="0" w:space="0" w:color="auto"/>
            <w:left w:val="none" w:sz="0" w:space="0" w:color="auto"/>
            <w:bottom w:val="none" w:sz="0" w:space="0" w:color="auto"/>
            <w:right w:val="none" w:sz="0" w:space="0" w:color="auto"/>
          </w:divBdr>
        </w:div>
        <w:div w:id="871309785">
          <w:marLeft w:val="0"/>
          <w:marRight w:val="0"/>
          <w:marTop w:val="0"/>
          <w:marBottom w:val="0"/>
          <w:divBdr>
            <w:top w:val="none" w:sz="0" w:space="0" w:color="auto"/>
            <w:left w:val="none" w:sz="0" w:space="0" w:color="auto"/>
            <w:bottom w:val="none" w:sz="0" w:space="0" w:color="auto"/>
            <w:right w:val="none" w:sz="0" w:space="0" w:color="auto"/>
          </w:divBdr>
        </w:div>
        <w:div w:id="630792210">
          <w:marLeft w:val="0"/>
          <w:marRight w:val="0"/>
          <w:marTop w:val="0"/>
          <w:marBottom w:val="0"/>
          <w:divBdr>
            <w:top w:val="none" w:sz="0" w:space="0" w:color="auto"/>
            <w:left w:val="none" w:sz="0" w:space="0" w:color="auto"/>
            <w:bottom w:val="none" w:sz="0" w:space="0" w:color="auto"/>
            <w:right w:val="none" w:sz="0" w:space="0" w:color="auto"/>
          </w:divBdr>
        </w:div>
        <w:div w:id="1959558171">
          <w:marLeft w:val="0"/>
          <w:marRight w:val="0"/>
          <w:marTop w:val="0"/>
          <w:marBottom w:val="0"/>
          <w:divBdr>
            <w:top w:val="none" w:sz="0" w:space="0" w:color="auto"/>
            <w:left w:val="none" w:sz="0" w:space="0" w:color="auto"/>
            <w:bottom w:val="none" w:sz="0" w:space="0" w:color="auto"/>
            <w:right w:val="none" w:sz="0" w:space="0" w:color="auto"/>
          </w:divBdr>
        </w:div>
        <w:div w:id="1477062247">
          <w:marLeft w:val="0"/>
          <w:marRight w:val="0"/>
          <w:marTop w:val="0"/>
          <w:marBottom w:val="0"/>
          <w:divBdr>
            <w:top w:val="none" w:sz="0" w:space="0" w:color="auto"/>
            <w:left w:val="none" w:sz="0" w:space="0" w:color="auto"/>
            <w:bottom w:val="none" w:sz="0" w:space="0" w:color="auto"/>
            <w:right w:val="none" w:sz="0" w:space="0" w:color="auto"/>
          </w:divBdr>
        </w:div>
        <w:div w:id="980309984">
          <w:marLeft w:val="0"/>
          <w:marRight w:val="0"/>
          <w:marTop w:val="0"/>
          <w:marBottom w:val="0"/>
          <w:divBdr>
            <w:top w:val="none" w:sz="0" w:space="0" w:color="auto"/>
            <w:left w:val="none" w:sz="0" w:space="0" w:color="auto"/>
            <w:bottom w:val="none" w:sz="0" w:space="0" w:color="auto"/>
            <w:right w:val="none" w:sz="0" w:space="0" w:color="auto"/>
          </w:divBdr>
        </w:div>
        <w:div w:id="1531727612">
          <w:marLeft w:val="0"/>
          <w:marRight w:val="0"/>
          <w:marTop w:val="0"/>
          <w:marBottom w:val="0"/>
          <w:divBdr>
            <w:top w:val="none" w:sz="0" w:space="0" w:color="auto"/>
            <w:left w:val="none" w:sz="0" w:space="0" w:color="auto"/>
            <w:bottom w:val="none" w:sz="0" w:space="0" w:color="auto"/>
            <w:right w:val="none" w:sz="0" w:space="0" w:color="auto"/>
          </w:divBdr>
        </w:div>
        <w:div w:id="824971570">
          <w:marLeft w:val="0"/>
          <w:marRight w:val="0"/>
          <w:marTop w:val="0"/>
          <w:marBottom w:val="0"/>
          <w:divBdr>
            <w:top w:val="none" w:sz="0" w:space="0" w:color="auto"/>
            <w:left w:val="none" w:sz="0" w:space="0" w:color="auto"/>
            <w:bottom w:val="none" w:sz="0" w:space="0" w:color="auto"/>
            <w:right w:val="none" w:sz="0" w:space="0" w:color="auto"/>
          </w:divBdr>
        </w:div>
        <w:div w:id="961575185">
          <w:marLeft w:val="0"/>
          <w:marRight w:val="0"/>
          <w:marTop w:val="0"/>
          <w:marBottom w:val="0"/>
          <w:divBdr>
            <w:top w:val="none" w:sz="0" w:space="0" w:color="auto"/>
            <w:left w:val="none" w:sz="0" w:space="0" w:color="auto"/>
            <w:bottom w:val="none" w:sz="0" w:space="0" w:color="auto"/>
            <w:right w:val="none" w:sz="0" w:space="0" w:color="auto"/>
          </w:divBdr>
        </w:div>
        <w:div w:id="777872196">
          <w:marLeft w:val="0"/>
          <w:marRight w:val="0"/>
          <w:marTop w:val="0"/>
          <w:marBottom w:val="0"/>
          <w:divBdr>
            <w:top w:val="none" w:sz="0" w:space="0" w:color="auto"/>
            <w:left w:val="none" w:sz="0" w:space="0" w:color="auto"/>
            <w:bottom w:val="none" w:sz="0" w:space="0" w:color="auto"/>
            <w:right w:val="none" w:sz="0" w:space="0" w:color="auto"/>
          </w:divBdr>
        </w:div>
        <w:div w:id="1051155570">
          <w:marLeft w:val="0"/>
          <w:marRight w:val="0"/>
          <w:marTop w:val="0"/>
          <w:marBottom w:val="0"/>
          <w:divBdr>
            <w:top w:val="none" w:sz="0" w:space="0" w:color="auto"/>
            <w:left w:val="none" w:sz="0" w:space="0" w:color="auto"/>
            <w:bottom w:val="none" w:sz="0" w:space="0" w:color="auto"/>
            <w:right w:val="none" w:sz="0" w:space="0" w:color="auto"/>
          </w:divBdr>
        </w:div>
        <w:div w:id="902720095">
          <w:marLeft w:val="0"/>
          <w:marRight w:val="0"/>
          <w:marTop w:val="0"/>
          <w:marBottom w:val="0"/>
          <w:divBdr>
            <w:top w:val="none" w:sz="0" w:space="0" w:color="auto"/>
            <w:left w:val="none" w:sz="0" w:space="0" w:color="auto"/>
            <w:bottom w:val="none" w:sz="0" w:space="0" w:color="auto"/>
            <w:right w:val="none" w:sz="0" w:space="0" w:color="auto"/>
          </w:divBdr>
        </w:div>
        <w:div w:id="2030175002">
          <w:marLeft w:val="0"/>
          <w:marRight w:val="0"/>
          <w:marTop w:val="0"/>
          <w:marBottom w:val="0"/>
          <w:divBdr>
            <w:top w:val="none" w:sz="0" w:space="0" w:color="auto"/>
            <w:left w:val="none" w:sz="0" w:space="0" w:color="auto"/>
            <w:bottom w:val="none" w:sz="0" w:space="0" w:color="auto"/>
            <w:right w:val="none" w:sz="0" w:space="0" w:color="auto"/>
          </w:divBdr>
        </w:div>
        <w:div w:id="2059821683">
          <w:marLeft w:val="0"/>
          <w:marRight w:val="0"/>
          <w:marTop w:val="0"/>
          <w:marBottom w:val="0"/>
          <w:divBdr>
            <w:top w:val="none" w:sz="0" w:space="0" w:color="auto"/>
            <w:left w:val="none" w:sz="0" w:space="0" w:color="auto"/>
            <w:bottom w:val="none" w:sz="0" w:space="0" w:color="auto"/>
            <w:right w:val="none" w:sz="0" w:space="0" w:color="auto"/>
          </w:divBdr>
        </w:div>
      </w:divsChild>
    </w:div>
    <w:div w:id="1839230524">
      <w:bodyDiv w:val="1"/>
      <w:marLeft w:val="0"/>
      <w:marRight w:val="0"/>
      <w:marTop w:val="0"/>
      <w:marBottom w:val="0"/>
      <w:divBdr>
        <w:top w:val="none" w:sz="0" w:space="0" w:color="auto"/>
        <w:left w:val="none" w:sz="0" w:space="0" w:color="auto"/>
        <w:bottom w:val="none" w:sz="0" w:space="0" w:color="auto"/>
        <w:right w:val="none" w:sz="0" w:space="0" w:color="auto"/>
      </w:divBdr>
      <w:divsChild>
        <w:div w:id="1290891928">
          <w:marLeft w:val="0"/>
          <w:marRight w:val="0"/>
          <w:marTop w:val="0"/>
          <w:marBottom w:val="0"/>
          <w:divBdr>
            <w:top w:val="none" w:sz="0" w:space="0" w:color="auto"/>
            <w:left w:val="none" w:sz="0" w:space="0" w:color="auto"/>
            <w:bottom w:val="none" w:sz="0" w:space="0" w:color="auto"/>
            <w:right w:val="none" w:sz="0" w:space="0" w:color="auto"/>
          </w:divBdr>
        </w:div>
      </w:divsChild>
    </w:div>
    <w:div w:id="1879388063">
      <w:bodyDiv w:val="1"/>
      <w:marLeft w:val="0"/>
      <w:marRight w:val="0"/>
      <w:marTop w:val="0"/>
      <w:marBottom w:val="0"/>
      <w:divBdr>
        <w:top w:val="none" w:sz="0" w:space="0" w:color="auto"/>
        <w:left w:val="none" w:sz="0" w:space="0" w:color="auto"/>
        <w:bottom w:val="none" w:sz="0" w:space="0" w:color="auto"/>
        <w:right w:val="none" w:sz="0" w:space="0" w:color="auto"/>
      </w:divBdr>
    </w:div>
    <w:div w:id="19232960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205">
          <w:marLeft w:val="0"/>
          <w:marRight w:val="0"/>
          <w:marTop w:val="0"/>
          <w:marBottom w:val="0"/>
          <w:divBdr>
            <w:top w:val="none" w:sz="0" w:space="0" w:color="auto"/>
            <w:left w:val="none" w:sz="0" w:space="0" w:color="auto"/>
            <w:bottom w:val="none" w:sz="0" w:space="0" w:color="auto"/>
            <w:right w:val="none" w:sz="0" w:space="0" w:color="auto"/>
          </w:divBdr>
        </w:div>
      </w:divsChild>
    </w:div>
    <w:div w:id="1925333596">
      <w:bodyDiv w:val="1"/>
      <w:marLeft w:val="0"/>
      <w:marRight w:val="0"/>
      <w:marTop w:val="0"/>
      <w:marBottom w:val="0"/>
      <w:divBdr>
        <w:top w:val="none" w:sz="0" w:space="0" w:color="auto"/>
        <w:left w:val="none" w:sz="0" w:space="0" w:color="auto"/>
        <w:bottom w:val="none" w:sz="0" w:space="0" w:color="auto"/>
        <w:right w:val="none" w:sz="0" w:space="0" w:color="auto"/>
      </w:divBdr>
      <w:divsChild>
        <w:div w:id="197593251">
          <w:marLeft w:val="0"/>
          <w:marRight w:val="0"/>
          <w:marTop w:val="0"/>
          <w:marBottom w:val="0"/>
          <w:divBdr>
            <w:top w:val="none" w:sz="0" w:space="0" w:color="auto"/>
            <w:left w:val="none" w:sz="0" w:space="0" w:color="auto"/>
            <w:bottom w:val="none" w:sz="0" w:space="0" w:color="auto"/>
            <w:right w:val="none" w:sz="0" w:space="0" w:color="auto"/>
          </w:divBdr>
        </w:div>
      </w:divsChild>
    </w:div>
    <w:div w:id="1940749189">
      <w:bodyDiv w:val="1"/>
      <w:marLeft w:val="0"/>
      <w:marRight w:val="0"/>
      <w:marTop w:val="0"/>
      <w:marBottom w:val="0"/>
      <w:divBdr>
        <w:top w:val="none" w:sz="0" w:space="0" w:color="auto"/>
        <w:left w:val="none" w:sz="0" w:space="0" w:color="auto"/>
        <w:bottom w:val="none" w:sz="0" w:space="0" w:color="auto"/>
        <w:right w:val="none" w:sz="0" w:space="0" w:color="auto"/>
      </w:divBdr>
      <w:divsChild>
        <w:div w:id="225535036">
          <w:marLeft w:val="0"/>
          <w:marRight w:val="0"/>
          <w:marTop w:val="0"/>
          <w:marBottom w:val="0"/>
          <w:divBdr>
            <w:top w:val="none" w:sz="0" w:space="0" w:color="auto"/>
            <w:left w:val="none" w:sz="0" w:space="0" w:color="auto"/>
            <w:bottom w:val="none" w:sz="0" w:space="0" w:color="auto"/>
            <w:right w:val="none" w:sz="0" w:space="0" w:color="auto"/>
          </w:divBdr>
        </w:div>
      </w:divsChild>
    </w:div>
    <w:div w:id="1948807426">
      <w:bodyDiv w:val="1"/>
      <w:marLeft w:val="0"/>
      <w:marRight w:val="0"/>
      <w:marTop w:val="0"/>
      <w:marBottom w:val="0"/>
      <w:divBdr>
        <w:top w:val="none" w:sz="0" w:space="0" w:color="auto"/>
        <w:left w:val="none" w:sz="0" w:space="0" w:color="auto"/>
        <w:bottom w:val="none" w:sz="0" w:space="0" w:color="auto"/>
        <w:right w:val="none" w:sz="0" w:space="0" w:color="auto"/>
      </w:divBdr>
      <w:divsChild>
        <w:div w:id="1799907832">
          <w:marLeft w:val="0"/>
          <w:marRight w:val="0"/>
          <w:marTop w:val="0"/>
          <w:marBottom w:val="0"/>
          <w:divBdr>
            <w:top w:val="none" w:sz="0" w:space="0" w:color="auto"/>
            <w:left w:val="none" w:sz="0" w:space="0" w:color="auto"/>
            <w:bottom w:val="none" w:sz="0" w:space="0" w:color="auto"/>
            <w:right w:val="none" w:sz="0" w:space="0" w:color="auto"/>
          </w:divBdr>
        </w:div>
      </w:divsChild>
    </w:div>
    <w:div w:id="1950811931">
      <w:bodyDiv w:val="1"/>
      <w:marLeft w:val="0"/>
      <w:marRight w:val="0"/>
      <w:marTop w:val="0"/>
      <w:marBottom w:val="0"/>
      <w:divBdr>
        <w:top w:val="none" w:sz="0" w:space="0" w:color="auto"/>
        <w:left w:val="none" w:sz="0" w:space="0" w:color="auto"/>
        <w:bottom w:val="none" w:sz="0" w:space="0" w:color="auto"/>
        <w:right w:val="none" w:sz="0" w:space="0" w:color="auto"/>
      </w:divBdr>
    </w:div>
    <w:div w:id="1966429471">
      <w:bodyDiv w:val="1"/>
      <w:marLeft w:val="0"/>
      <w:marRight w:val="0"/>
      <w:marTop w:val="0"/>
      <w:marBottom w:val="0"/>
      <w:divBdr>
        <w:top w:val="none" w:sz="0" w:space="0" w:color="auto"/>
        <w:left w:val="none" w:sz="0" w:space="0" w:color="auto"/>
        <w:bottom w:val="none" w:sz="0" w:space="0" w:color="auto"/>
        <w:right w:val="none" w:sz="0" w:space="0" w:color="auto"/>
      </w:divBdr>
      <w:divsChild>
        <w:div w:id="1837186582">
          <w:marLeft w:val="0"/>
          <w:marRight w:val="0"/>
          <w:marTop w:val="0"/>
          <w:marBottom w:val="0"/>
          <w:divBdr>
            <w:top w:val="none" w:sz="0" w:space="0" w:color="auto"/>
            <w:left w:val="none" w:sz="0" w:space="0" w:color="auto"/>
            <w:bottom w:val="none" w:sz="0" w:space="0" w:color="auto"/>
            <w:right w:val="none" w:sz="0" w:space="0" w:color="auto"/>
          </w:divBdr>
        </w:div>
      </w:divsChild>
    </w:div>
    <w:div w:id="2004814545">
      <w:bodyDiv w:val="1"/>
      <w:marLeft w:val="0"/>
      <w:marRight w:val="0"/>
      <w:marTop w:val="0"/>
      <w:marBottom w:val="0"/>
      <w:divBdr>
        <w:top w:val="none" w:sz="0" w:space="0" w:color="auto"/>
        <w:left w:val="none" w:sz="0" w:space="0" w:color="auto"/>
        <w:bottom w:val="none" w:sz="0" w:space="0" w:color="auto"/>
        <w:right w:val="none" w:sz="0" w:space="0" w:color="auto"/>
      </w:divBdr>
    </w:div>
    <w:div w:id="2036419306">
      <w:bodyDiv w:val="1"/>
      <w:marLeft w:val="0"/>
      <w:marRight w:val="0"/>
      <w:marTop w:val="0"/>
      <w:marBottom w:val="0"/>
      <w:divBdr>
        <w:top w:val="none" w:sz="0" w:space="0" w:color="auto"/>
        <w:left w:val="none" w:sz="0" w:space="0" w:color="auto"/>
        <w:bottom w:val="none" w:sz="0" w:space="0" w:color="auto"/>
        <w:right w:val="none" w:sz="0" w:space="0" w:color="auto"/>
      </w:divBdr>
    </w:div>
    <w:div w:id="2107773873">
      <w:bodyDiv w:val="1"/>
      <w:marLeft w:val="0"/>
      <w:marRight w:val="0"/>
      <w:marTop w:val="0"/>
      <w:marBottom w:val="0"/>
      <w:divBdr>
        <w:top w:val="none" w:sz="0" w:space="0" w:color="auto"/>
        <w:left w:val="none" w:sz="0" w:space="0" w:color="auto"/>
        <w:bottom w:val="none" w:sz="0" w:space="0" w:color="auto"/>
        <w:right w:val="none" w:sz="0" w:space="0" w:color="auto"/>
      </w:divBdr>
    </w:div>
    <w:div w:id="2115595278">
      <w:bodyDiv w:val="1"/>
      <w:marLeft w:val="0"/>
      <w:marRight w:val="0"/>
      <w:marTop w:val="0"/>
      <w:marBottom w:val="0"/>
      <w:divBdr>
        <w:top w:val="none" w:sz="0" w:space="0" w:color="auto"/>
        <w:left w:val="none" w:sz="0" w:space="0" w:color="auto"/>
        <w:bottom w:val="none" w:sz="0" w:space="0" w:color="auto"/>
        <w:right w:val="none" w:sz="0" w:space="0" w:color="auto"/>
      </w:divBdr>
      <w:divsChild>
        <w:div w:id="184223331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nsusdata.abs.gov.au/census_services/getproduct/census/2011/quickstat/810059009?opendocument&amp;navpos=220" TargetMode="External"/><Relationship Id="rId13" Type="http://schemas.openxmlformats.org/officeDocument/2006/relationships/chart" Target="charts/chart4.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www.acoss.org.au/energy-low-income-households/" TargetMode="Externa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fuerst\Dropbox\Green%20Lifestyles\Data\APM\ACT%20Data\graph_HouseApt_estimation_coeff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TEMP.CBENET\AppData\Local\Temp\distribution_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TEMP.CBENET\AppData\Local\Temp\distribution_graph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spPr>
            <a:ln w="28575" cap="rnd">
              <a:solidFill>
                <a:schemeClr val="accent3"/>
              </a:solidFill>
              <a:round/>
            </a:ln>
            <a:effectLst/>
          </c:spPr>
          <c:marker>
            <c:symbol val="none"/>
          </c:marker>
          <c:cat>
            <c:strRef>
              <c:f>Sheet1!$E$3:$AB$3</c:f>
              <c:strCache>
                <c:ptCount val="24"/>
                <c:pt idx="0">
                  <c:v>2011q1</c:v>
                </c:pt>
                <c:pt idx="1">
                  <c:v>2011q2</c:v>
                </c:pt>
                <c:pt idx="2">
                  <c:v>2011q3</c:v>
                </c:pt>
                <c:pt idx="3">
                  <c:v>2011q4</c:v>
                </c:pt>
                <c:pt idx="4">
                  <c:v>2012q1</c:v>
                </c:pt>
                <c:pt idx="5">
                  <c:v>2012q2</c:v>
                </c:pt>
                <c:pt idx="6">
                  <c:v>2012q3</c:v>
                </c:pt>
                <c:pt idx="7">
                  <c:v>2012q4</c:v>
                </c:pt>
                <c:pt idx="8">
                  <c:v>2013q1</c:v>
                </c:pt>
                <c:pt idx="9">
                  <c:v>2013q2</c:v>
                </c:pt>
                <c:pt idx="10">
                  <c:v>2013q3</c:v>
                </c:pt>
                <c:pt idx="11">
                  <c:v>2013q4</c:v>
                </c:pt>
                <c:pt idx="12">
                  <c:v>2014q1</c:v>
                </c:pt>
                <c:pt idx="13">
                  <c:v>2014q2</c:v>
                </c:pt>
                <c:pt idx="14">
                  <c:v>2014q3</c:v>
                </c:pt>
                <c:pt idx="15">
                  <c:v>2014q4</c:v>
                </c:pt>
                <c:pt idx="16">
                  <c:v>2015q1</c:v>
                </c:pt>
                <c:pt idx="17">
                  <c:v>2015q2</c:v>
                </c:pt>
                <c:pt idx="18">
                  <c:v>2015q3</c:v>
                </c:pt>
                <c:pt idx="19">
                  <c:v>2015q4</c:v>
                </c:pt>
                <c:pt idx="20">
                  <c:v>2016q1</c:v>
                </c:pt>
                <c:pt idx="21">
                  <c:v>2016q2</c:v>
                </c:pt>
                <c:pt idx="22">
                  <c:v>2016q3</c:v>
                </c:pt>
                <c:pt idx="23">
                  <c:v>2016q4</c:v>
                </c:pt>
              </c:strCache>
            </c:strRef>
          </c:cat>
          <c:val>
            <c:numRef>
              <c:f>Sheet1!$E$13:$AB$13</c:f>
              <c:numCache>
                <c:formatCode>0%</c:formatCode>
                <c:ptCount val="24"/>
                <c:pt idx="0">
                  <c:v>0.7596537949400799</c:v>
                </c:pt>
                <c:pt idx="1">
                  <c:v>0.72806004618937648</c:v>
                </c:pt>
                <c:pt idx="2">
                  <c:v>0.73094582185491275</c:v>
                </c:pt>
                <c:pt idx="3">
                  <c:v>0.73411863693731594</c:v>
                </c:pt>
                <c:pt idx="4">
                  <c:v>0.73119469026548678</c:v>
                </c:pt>
                <c:pt idx="5">
                  <c:v>0.74038859032658122</c:v>
                </c:pt>
                <c:pt idx="6">
                  <c:v>0.70415360501567403</c:v>
                </c:pt>
                <c:pt idx="7">
                  <c:v>0.69866954332973752</c:v>
                </c:pt>
                <c:pt idx="8">
                  <c:v>0.670516717325228</c:v>
                </c:pt>
                <c:pt idx="9">
                  <c:v>0.67913238593866865</c:v>
                </c:pt>
                <c:pt idx="10">
                  <c:v>0.6660130718954248</c:v>
                </c:pt>
                <c:pt idx="11">
                  <c:v>0.69277300222858962</c:v>
                </c:pt>
                <c:pt idx="12">
                  <c:v>0.68381535038932151</c:v>
                </c:pt>
                <c:pt idx="13">
                  <c:v>0.65968232510983438</c:v>
                </c:pt>
                <c:pt idx="14">
                  <c:v>0.70556061987237917</c:v>
                </c:pt>
                <c:pt idx="15">
                  <c:v>0.7073806078147612</c:v>
                </c:pt>
                <c:pt idx="16">
                  <c:v>0.68687362503055482</c:v>
                </c:pt>
                <c:pt idx="17">
                  <c:v>0.68277739959155892</c:v>
                </c:pt>
                <c:pt idx="18">
                  <c:v>0.68176328502415462</c:v>
                </c:pt>
                <c:pt idx="19">
                  <c:v>0.63167003172771852</c:v>
                </c:pt>
                <c:pt idx="20">
                  <c:v>0.63629053872956309</c:v>
                </c:pt>
                <c:pt idx="21">
                  <c:v>0.62611991729841487</c:v>
                </c:pt>
                <c:pt idx="22">
                  <c:v>0.64856957087126132</c:v>
                </c:pt>
                <c:pt idx="23">
                  <c:v>0.61730575176589308</c:v>
                </c:pt>
              </c:numCache>
            </c:numRef>
          </c:val>
          <c:smooth val="0"/>
          <c:extLst>
            <c:ext xmlns:c16="http://schemas.microsoft.com/office/drawing/2014/chart" uri="{C3380CC4-5D6E-409C-BE32-E72D297353CC}">
              <c16:uniqueId val="{00000000-1F91-4809-9FC1-892F001BA7EF}"/>
            </c:ext>
          </c:extLst>
        </c:ser>
        <c:dLbls>
          <c:showLegendKey val="0"/>
          <c:showVal val="0"/>
          <c:showCatName val="0"/>
          <c:showSerName val="0"/>
          <c:showPercent val="0"/>
          <c:showBubbleSize val="0"/>
        </c:dLbls>
        <c:smooth val="0"/>
        <c:axId val="430756584"/>
        <c:axId val="430756912"/>
      </c:lineChart>
      <c:catAx>
        <c:axId val="430756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0756912"/>
        <c:crosses val="autoZero"/>
        <c:auto val="1"/>
        <c:lblAlgn val="ctr"/>
        <c:lblOffset val="100"/>
        <c:noMultiLvlLbl val="0"/>
      </c:catAx>
      <c:valAx>
        <c:axId val="4307569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0756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Sheet1!$B$1</c:f>
              <c:strCache>
                <c:ptCount val="1"/>
                <c:pt idx="0">
                  <c:v>House</c:v>
                </c:pt>
              </c:strCache>
            </c:strRef>
          </c:tx>
          <c:spPr>
            <a:solidFill>
              <a:schemeClr val="accent3">
                <a:shade val="65000"/>
              </a:schemeClr>
            </a:solidFill>
            <a:ln>
              <a:noFill/>
            </a:ln>
            <a:effectLst/>
          </c:spPr>
          <c:invertIfNegative val="0"/>
          <c:cat>
            <c:strRef>
              <c:f>Sheet1!$A$2:$A$10</c:f>
              <c:strCache>
                <c:ptCount val="9"/>
                <c:pt idx="0">
                  <c:v>0</c:v>
                </c:pt>
                <c:pt idx="1">
                  <c:v>1</c:v>
                </c:pt>
                <c:pt idx="2">
                  <c:v>2</c:v>
                </c:pt>
                <c:pt idx="3">
                  <c:v>3</c:v>
                </c:pt>
                <c:pt idx="4">
                  <c:v>4</c:v>
                </c:pt>
                <c:pt idx="5">
                  <c:v>5</c:v>
                </c:pt>
                <c:pt idx="6">
                  <c:v>6</c:v>
                </c:pt>
                <c:pt idx="7">
                  <c:v>7</c:v>
                </c:pt>
                <c:pt idx="8">
                  <c:v>8,9,10</c:v>
                </c:pt>
              </c:strCache>
            </c:strRef>
          </c:cat>
          <c:val>
            <c:numRef>
              <c:f>Sheet1!$B$2:$B$10</c:f>
              <c:numCache>
                <c:formatCode>General</c:formatCode>
                <c:ptCount val="9"/>
                <c:pt idx="0">
                  <c:v>0</c:v>
                </c:pt>
                <c:pt idx="1">
                  <c:v>6.4850999999999997E-3</c:v>
                </c:pt>
                <c:pt idx="2">
                  <c:v>2.7655300000000001E-2</c:v>
                </c:pt>
                <c:pt idx="3">
                  <c:v>3.7256400000000002E-2</c:v>
                </c:pt>
                <c:pt idx="4">
                  <c:v>3.9168700000000001E-2</c:v>
                </c:pt>
                <c:pt idx="5">
                  <c:v>5.49189E-2</c:v>
                </c:pt>
                <c:pt idx="6">
                  <c:v>5.4713400000000002E-2</c:v>
                </c:pt>
                <c:pt idx="7">
                  <c:v>5.0341999999999998E-2</c:v>
                </c:pt>
                <c:pt idx="8">
                  <c:v>0.1104276</c:v>
                </c:pt>
              </c:numCache>
            </c:numRef>
          </c:val>
          <c:extLst>
            <c:ext xmlns:c16="http://schemas.microsoft.com/office/drawing/2014/chart" uri="{C3380CC4-5D6E-409C-BE32-E72D297353CC}">
              <c16:uniqueId val="{00000000-9DBC-416B-9163-E8B3EC75852A}"/>
            </c:ext>
          </c:extLst>
        </c:ser>
        <c:ser>
          <c:idx val="1"/>
          <c:order val="1"/>
          <c:tx>
            <c:strRef>
              <c:f>Sheet1!$C$1</c:f>
              <c:strCache>
                <c:ptCount val="1"/>
                <c:pt idx="0">
                  <c:v>Unit</c:v>
                </c:pt>
              </c:strCache>
            </c:strRef>
          </c:tx>
          <c:spPr>
            <a:solidFill>
              <a:schemeClr val="accent3"/>
            </a:solidFill>
            <a:ln>
              <a:noFill/>
            </a:ln>
            <a:effectLst/>
          </c:spPr>
          <c:invertIfNegative val="0"/>
          <c:cat>
            <c:strRef>
              <c:f>Sheet1!$A$2:$A$10</c:f>
              <c:strCache>
                <c:ptCount val="9"/>
                <c:pt idx="0">
                  <c:v>0</c:v>
                </c:pt>
                <c:pt idx="1">
                  <c:v>1</c:v>
                </c:pt>
                <c:pt idx="2">
                  <c:v>2</c:v>
                </c:pt>
                <c:pt idx="3">
                  <c:v>3</c:v>
                </c:pt>
                <c:pt idx="4">
                  <c:v>4</c:v>
                </c:pt>
                <c:pt idx="5">
                  <c:v>5</c:v>
                </c:pt>
                <c:pt idx="6">
                  <c:v>6</c:v>
                </c:pt>
                <c:pt idx="7">
                  <c:v>7</c:v>
                </c:pt>
                <c:pt idx="8">
                  <c:v>8,9,10</c:v>
                </c:pt>
              </c:strCache>
            </c:strRef>
          </c:cat>
          <c:val>
            <c:numRef>
              <c:f>Sheet1!$C$2:$C$10</c:f>
              <c:numCache>
                <c:formatCode>General</c:formatCode>
                <c:ptCount val="9"/>
                <c:pt idx="0">
                  <c:v>-1.01777E-2</c:v>
                </c:pt>
                <c:pt idx="1">
                  <c:v>-1.5997899999999999E-2</c:v>
                </c:pt>
                <c:pt idx="2">
                  <c:v>-4.3431699999999997E-2</c:v>
                </c:pt>
                <c:pt idx="3">
                  <c:v>-1.4105299999999999E-2</c:v>
                </c:pt>
                <c:pt idx="4">
                  <c:v>3.6340999999999998E-2</c:v>
                </c:pt>
                <c:pt idx="5">
                  <c:v>7.2094000000000005E-2</c:v>
                </c:pt>
                <c:pt idx="6">
                  <c:v>8.5939399999999999E-2</c:v>
                </c:pt>
                <c:pt idx="7">
                  <c:v>8.6333800000000002E-2</c:v>
                </c:pt>
                <c:pt idx="8">
                  <c:v>5.5137199999999997E-2</c:v>
                </c:pt>
              </c:numCache>
            </c:numRef>
          </c:val>
          <c:extLst>
            <c:ext xmlns:c16="http://schemas.microsoft.com/office/drawing/2014/chart" uri="{C3380CC4-5D6E-409C-BE32-E72D297353CC}">
              <c16:uniqueId val="{00000001-9DBC-416B-9163-E8B3EC75852A}"/>
            </c:ext>
          </c:extLst>
        </c:ser>
        <c:ser>
          <c:idx val="2"/>
          <c:order val="2"/>
          <c:tx>
            <c:strRef>
              <c:f>Sheet1!$D$1</c:f>
              <c:strCache>
                <c:ptCount val="1"/>
                <c:pt idx="0">
                  <c:v>Apartment</c:v>
                </c:pt>
              </c:strCache>
            </c:strRef>
          </c:tx>
          <c:spPr>
            <a:solidFill>
              <a:schemeClr val="accent3">
                <a:tint val="65000"/>
              </a:schemeClr>
            </a:solidFill>
            <a:ln>
              <a:noFill/>
            </a:ln>
            <a:effectLst/>
          </c:spPr>
          <c:invertIfNegative val="0"/>
          <c:cat>
            <c:strRef>
              <c:f>Sheet1!$A$2:$A$10</c:f>
              <c:strCache>
                <c:ptCount val="9"/>
                <c:pt idx="0">
                  <c:v>0</c:v>
                </c:pt>
                <c:pt idx="1">
                  <c:v>1</c:v>
                </c:pt>
                <c:pt idx="2">
                  <c:v>2</c:v>
                </c:pt>
                <c:pt idx="3">
                  <c:v>3</c:v>
                </c:pt>
                <c:pt idx="4">
                  <c:v>4</c:v>
                </c:pt>
                <c:pt idx="5">
                  <c:v>5</c:v>
                </c:pt>
                <c:pt idx="6">
                  <c:v>6</c:v>
                </c:pt>
                <c:pt idx="7">
                  <c:v>7</c:v>
                </c:pt>
                <c:pt idx="8">
                  <c:v>8,9,10</c:v>
                </c:pt>
              </c:strCache>
            </c:strRef>
          </c:cat>
          <c:val>
            <c:numRef>
              <c:f>Sheet1!$D$2:$D$10</c:f>
              <c:numCache>
                <c:formatCode>General</c:formatCode>
                <c:ptCount val="9"/>
                <c:pt idx="0">
                  <c:v>-2.1017299999999999E-2</c:v>
                </c:pt>
                <c:pt idx="1">
                  <c:v>-0.1038352</c:v>
                </c:pt>
                <c:pt idx="2">
                  <c:v>-8.7731900000000002E-2</c:v>
                </c:pt>
                <c:pt idx="3">
                  <c:v>-3.0418899999999999E-2</c:v>
                </c:pt>
                <c:pt idx="4">
                  <c:v>7.2281000000000003E-3</c:v>
                </c:pt>
                <c:pt idx="5">
                  <c:v>4.4138299999999998E-2</c:v>
                </c:pt>
                <c:pt idx="6">
                  <c:v>4.2966299999999999E-2</c:v>
                </c:pt>
                <c:pt idx="7">
                  <c:v>3.0465200000000001E-2</c:v>
                </c:pt>
                <c:pt idx="8">
                  <c:v>3.6255200000000001E-2</c:v>
                </c:pt>
              </c:numCache>
            </c:numRef>
          </c:val>
          <c:extLst>
            <c:ext xmlns:c16="http://schemas.microsoft.com/office/drawing/2014/chart" uri="{C3380CC4-5D6E-409C-BE32-E72D297353CC}">
              <c16:uniqueId val="{00000002-9DBC-416B-9163-E8B3EC75852A}"/>
            </c:ext>
          </c:extLst>
        </c:ser>
        <c:dLbls>
          <c:showLegendKey val="0"/>
          <c:showVal val="0"/>
          <c:showCatName val="0"/>
          <c:showSerName val="0"/>
          <c:showPercent val="0"/>
          <c:showBubbleSize val="0"/>
        </c:dLbls>
        <c:gapWidth val="219"/>
        <c:overlap val="-27"/>
        <c:axId val="1774994336"/>
        <c:axId val="1775070720"/>
      </c:barChart>
      <c:catAx>
        <c:axId val="1774994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5070720"/>
        <c:crosses val="autoZero"/>
        <c:auto val="1"/>
        <c:lblAlgn val="ctr"/>
        <c:lblOffset val="100"/>
        <c:noMultiLvlLbl val="0"/>
      </c:catAx>
      <c:valAx>
        <c:axId val="17750707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4994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percentStacked"/>
        <c:varyColors val="0"/>
        <c:ser>
          <c:idx val="4"/>
          <c:order val="0"/>
          <c:tx>
            <c:strRef>
              <c:f>Sheet2!$J$62</c:f>
              <c:strCache>
                <c:ptCount val="1"/>
                <c:pt idx="0">
                  <c:v>0</c:v>
                </c:pt>
              </c:strCache>
            </c:strRef>
          </c:tx>
          <c:spPr>
            <a:solidFill>
              <a:schemeClr val="accent3">
                <a:shade val="8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Sheet2!$K$62:$Q$62</c:f>
              <c:numCache>
                <c:formatCode>0.00%</c:formatCode>
                <c:ptCount val="7"/>
                <c:pt idx="0">
                  <c:v>0.58333333333333304</c:v>
                </c:pt>
                <c:pt idx="1">
                  <c:v>0.33333333333333298</c:v>
                </c:pt>
                <c:pt idx="2">
                  <c:v>0.65116279069767402</c:v>
                </c:pt>
                <c:pt idx="3">
                  <c:v>0.18159408381265399</c:v>
                </c:pt>
                <c:pt idx="4">
                  <c:v>0.28158844765343</c:v>
                </c:pt>
                <c:pt idx="5">
                  <c:v>0.33245928788297002</c:v>
                </c:pt>
                <c:pt idx="6">
                  <c:v>0.17631638933211799</c:v>
                </c:pt>
              </c:numCache>
            </c:numRef>
          </c:val>
          <c:extLst>
            <c:ext xmlns:c16="http://schemas.microsoft.com/office/drawing/2014/chart" uri="{C3380CC4-5D6E-409C-BE32-E72D297353CC}">
              <c16:uniqueId val="{00000000-ACF5-45DA-8388-9624AFD4BF0A}"/>
            </c:ext>
          </c:extLst>
        </c:ser>
        <c:ser>
          <c:idx val="5"/>
          <c:order val="1"/>
          <c:tx>
            <c:strRef>
              <c:f>Sheet2!$J$63</c:f>
              <c:strCache>
                <c:ptCount val="1"/>
                <c:pt idx="0">
                  <c:v>1</c:v>
                </c:pt>
              </c:strCache>
            </c:strRef>
          </c:tx>
          <c:spPr>
            <a:solidFill>
              <a:schemeClr val="accent3">
                <a:shade val="9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Sheet2!$K$63:$Q$63</c:f>
              <c:numCache>
                <c:formatCode>0.00%</c:formatCode>
                <c:ptCount val="7"/>
                <c:pt idx="0">
                  <c:v>0</c:v>
                </c:pt>
                <c:pt idx="1">
                  <c:v>6.6666666666666693E-2</c:v>
                </c:pt>
                <c:pt idx="2">
                  <c:v>9.3023255813953501E-2</c:v>
                </c:pt>
                <c:pt idx="3">
                  <c:v>4.4371405094494699E-2</c:v>
                </c:pt>
                <c:pt idx="4">
                  <c:v>4.8736462093862801E-2</c:v>
                </c:pt>
                <c:pt idx="5">
                  <c:v>5.2994755727297803E-2</c:v>
                </c:pt>
                <c:pt idx="6">
                  <c:v>3.0886710736266199E-2</c:v>
                </c:pt>
              </c:numCache>
            </c:numRef>
          </c:val>
          <c:extLst>
            <c:ext xmlns:c16="http://schemas.microsoft.com/office/drawing/2014/chart" uri="{C3380CC4-5D6E-409C-BE32-E72D297353CC}">
              <c16:uniqueId val="{00000001-ACF5-45DA-8388-9624AFD4BF0A}"/>
            </c:ext>
          </c:extLst>
        </c:ser>
        <c:ser>
          <c:idx val="6"/>
          <c:order val="2"/>
          <c:tx>
            <c:strRef>
              <c:f>Sheet2!$J$64</c:f>
              <c:strCache>
                <c:ptCount val="1"/>
                <c:pt idx="0">
                  <c:v>2</c:v>
                </c:pt>
              </c:strCache>
            </c:strRef>
          </c:tx>
          <c:spPr>
            <a:solidFill>
              <a:schemeClr val="accent3"/>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Sheet2!$K$64:$Q$64</c:f>
              <c:numCache>
                <c:formatCode>0.00%</c:formatCode>
                <c:ptCount val="7"/>
                <c:pt idx="0">
                  <c:v>8.3333333333333301E-2</c:v>
                </c:pt>
                <c:pt idx="1">
                  <c:v>2.7777777777777801E-2</c:v>
                </c:pt>
                <c:pt idx="2">
                  <c:v>0.13953488372093001</c:v>
                </c:pt>
                <c:pt idx="3">
                  <c:v>4.8069022185702498E-2</c:v>
                </c:pt>
                <c:pt idx="4">
                  <c:v>5.5956678700361001E-2</c:v>
                </c:pt>
                <c:pt idx="5">
                  <c:v>7.2591774772288203E-2</c:v>
                </c:pt>
                <c:pt idx="6">
                  <c:v>4.1030316845224499E-2</c:v>
                </c:pt>
              </c:numCache>
            </c:numRef>
          </c:val>
          <c:extLst>
            <c:ext xmlns:c16="http://schemas.microsoft.com/office/drawing/2014/chart" uri="{C3380CC4-5D6E-409C-BE32-E72D297353CC}">
              <c16:uniqueId val="{00000002-ACF5-45DA-8388-9624AFD4BF0A}"/>
            </c:ext>
          </c:extLst>
        </c:ser>
        <c:ser>
          <c:idx val="7"/>
          <c:order val="3"/>
          <c:tx>
            <c:strRef>
              <c:f>Sheet2!$J$65</c:f>
              <c:strCache>
                <c:ptCount val="1"/>
                <c:pt idx="0">
                  <c:v>3</c:v>
                </c:pt>
              </c:strCache>
            </c:strRef>
          </c:tx>
          <c:spPr>
            <a:solidFill>
              <a:schemeClr val="accent3">
                <a:tint val="9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Sheet2!$K$65:$Q$65</c:f>
              <c:numCache>
                <c:formatCode>0.00%</c:formatCode>
                <c:ptCount val="7"/>
                <c:pt idx="0">
                  <c:v>8.3333333333333301E-2</c:v>
                </c:pt>
                <c:pt idx="1">
                  <c:v>6.1111111111111102E-2</c:v>
                </c:pt>
                <c:pt idx="2">
                  <c:v>6.9767441860465101E-2</c:v>
                </c:pt>
                <c:pt idx="3">
                  <c:v>3.65653245686113E-2</c:v>
                </c:pt>
                <c:pt idx="4">
                  <c:v>4.97679216090769E-2</c:v>
                </c:pt>
                <c:pt idx="5">
                  <c:v>8.0734198178305294E-2</c:v>
                </c:pt>
                <c:pt idx="6">
                  <c:v>4.1600182356963798E-2</c:v>
                </c:pt>
              </c:numCache>
            </c:numRef>
          </c:val>
          <c:extLst>
            <c:ext xmlns:c16="http://schemas.microsoft.com/office/drawing/2014/chart" uri="{C3380CC4-5D6E-409C-BE32-E72D297353CC}">
              <c16:uniqueId val="{00000003-ACF5-45DA-8388-9624AFD4BF0A}"/>
            </c:ext>
          </c:extLst>
        </c:ser>
        <c:ser>
          <c:idx val="8"/>
          <c:order val="4"/>
          <c:tx>
            <c:strRef>
              <c:f>Sheet2!$J$66</c:f>
              <c:strCache>
                <c:ptCount val="1"/>
                <c:pt idx="0">
                  <c:v>4</c:v>
                </c:pt>
              </c:strCache>
            </c:strRef>
          </c:tx>
          <c:spPr>
            <a:solidFill>
              <a:schemeClr val="accent3">
                <a:tint val="8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Sheet2!$K$66:$Q$66</c:f>
              <c:numCache>
                <c:formatCode>0.00%</c:formatCode>
                <c:ptCount val="7"/>
                <c:pt idx="0">
                  <c:v>0</c:v>
                </c:pt>
                <c:pt idx="1">
                  <c:v>0.14444444444444399</c:v>
                </c:pt>
                <c:pt idx="2">
                  <c:v>4.6511627906976799E-2</c:v>
                </c:pt>
                <c:pt idx="3">
                  <c:v>0.15735414954806901</c:v>
                </c:pt>
                <c:pt idx="4">
                  <c:v>0.105982465188241</c:v>
                </c:pt>
                <c:pt idx="5">
                  <c:v>0.126000552028705</c:v>
                </c:pt>
                <c:pt idx="6">
                  <c:v>0.12764987462958699</c:v>
                </c:pt>
              </c:numCache>
            </c:numRef>
          </c:val>
          <c:extLst>
            <c:ext xmlns:c16="http://schemas.microsoft.com/office/drawing/2014/chart" uri="{C3380CC4-5D6E-409C-BE32-E72D297353CC}">
              <c16:uniqueId val="{00000004-ACF5-45DA-8388-9624AFD4BF0A}"/>
            </c:ext>
          </c:extLst>
        </c:ser>
        <c:ser>
          <c:idx val="9"/>
          <c:order val="5"/>
          <c:tx>
            <c:strRef>
              <c:f>Sheet2!$J$67</c:f>
              <c:strCache>
                <c:ptCount val="1"/>
                <c:pt idx="0">
                  <c:v>5</c:v>
                </c:pt>
              </c:strCache>
            </c:strRef>
          </c:tx>
          <c:spPr>
            <a:solidFill>
              <a:schemeClr val="accent3">
                <a:tint val="7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Sheet2!$K$67:$Q$67</c:f>
              <c:numCache>
                <c:formatCode>0.00%</c:formatCode>
                <c:ptCount val="7"/>
                <c:pt idx="0">
                  <c:v>0</c:v>
                </c:pt>
                <c:pt idx="1">
                  <c:v>7.7777777777777807E-2</c:v>
                </c:pt>
                <c:pt idx="2">
                  <c:v>0</c:v>
                </c:pt>
                <c:pt idx="3">
                  <c:v>0.28019720624486399</c:v>
                </c:pt>
                <c:pt idx="4">
                  <c:v>0.17534811758638499</c:v>
                </c:pt>
                <c:pt idx="5">
                  <c:v>0.15387800165608601</c:v>
                </c:pt>
                <c:pt idx="6">
                  <c:v>0.24937314793708701</c:v>
                </c:pt>
              </c:numCache>
            </c:numRef>
          </c:val>
          <c:extLst>
            <c:ext xmlns:c16="http://schemas.microsoft.com/office/drawing/2014/chart" uri="{C3380CC4-5D6E-409C-BE32-E72D297353CC}">
              <c16:uniqueId val="{00000005-ACF5-45DA-8388-9624AFD4BF0A}"/>
            </c:ext>
          </c:extLst>
        </c:ser>
        <c:ser>
          <c:idx val="10"/>
          <c:order val="6"/>
          <c:tx>
            <c:strRef>
              <c:f>Sheet2!$J$68</c:f>
              <c:strCache>
                <c:ptCount val="1"/>
                <c:pt idx="0">
                  <c:v>6</c:v>
                </c:pt>
              </c:strCache>
            </c:strRef>
          </c:tx>
          <c:spPr>
            <a:solidFill>
              <a:schemeClr val="accent3">
                <a:tint val="6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Sheet2!$K$68:$Q$68</c:f>
              <c:numCache>
                <c:formatCode>0.00%</c:formatCode>
                <c:ptCount val="7"/>
                <c:pt idx="0">
                  <c:v>0.25</c:v>
                </c:pt>
                <c:pt idx="1">
                  <c:v>0.27222222222222198</c:v>
                </c:pt>
                <c:pt idx="2">
                  <c:v>0</c:v>
                </c:pt>
                <c:pt idx="3">
                  <c:v>0.220213640098603</c:v>
                </c:pt>
                <c:pt idx="4">
                  <c:v>0.24574522949974201</c:v>
                </c:pt>
                <c:pt idx="5">
                  <c:v>0.16574661882417899</c:v>
                </c:pt>
                <c:pt idx="6">
                  <c:v>0.28652837930248498</c:v>
                </c:pt>
              </c:numCache>
            </c:numRef>
          </c:val>
          <c:extLst>
            <c:ext xmlns:c16="http://schemas.microsoft.com/office/drawing/2014/chart" uri="{C3380CC4-5D6E-409C-BE32-E72D297353CC}">
              <c16:uniqueId val="{00000006-ACF5-45DA-8388-9624AFD4BF0A}"/>
            </c:ext>
          </c:extLst>
        </c:ser>
        <c:ser>
          <c:idx val="11"/>
          <c:order val="7"/>
          <c:tx>
            <c:strRef>
              <c:f>Sheet2!$J$69</c:f>
              <c:strCache>
                <c:ptCount val="1"/>
                <c:pt idx="0">
                  <c:v>7</c:v>
                </c:pt>
              </c:strCache>
            </c:strRef>
          </c:tx>
          <c:spPr>
            <a:solidFill>
              <a:schemeClr val="accent3">
                <a:tint val="50000"/>
              </a:schemeClr>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Sheet2!$K$69:$Q$69</c:f>
              <c:numCache>
                <c:formatCode>0.00%</c:formatCode>
                <c:ptCount val="7"/>
                <c:pt idx="0">
                  <c:v>0</c:v>
                </c:pt>
                <c:pt idx="1">
                  <c:v>0</c:v>
                </c:pt>
                <c:pt idx="2">
                  <c:v>0</c:v>
                </c:pt>
                <c:pt idx="3">
                  <c:v>1.8898931799507E-2</c:v>
                </c:pt>
                <c:pt idx="4">
                  <c:v>2.26921093347086E-2</c:v>
                </c:pt>
                <c:pt idx="5">
                  <c:v>1.17306099917196E-2</c:v>
                </c:pt>
                <c:pt idx="6">
                  <c:v>3.3850011397310198E-2</c:v>
                </c:pt>
              </c:numCache>
            </c:numRef>
          </c:val>
          <c:extLst>
            <c:ext xmlns:c16="http://schemas.microsoft.com/office/drawing/2014/chart" uri="{C3380CC4-5D6E-409C-BE32-E72D297353CC}">
              <c16:uniqueId val="{00000007-ACF5-45DA-8388-9624AFD4BF0A}"/>
            </c:ext>
          </c:extLst>
        </c:ser>
        <c:ser>
          <c:idx val="12"/>
          <c:order val="8"/>
          <c:tx>
            <c:strRef>
              <c:f>Sheet2!$J$70</c:f>
              <c:strCache>
                <c:ptCount val="1"/>
                <c:pt idx="0">
                  <c:v>8</c:v>
                </c:pt>
              </c:strCache>
            </c:strRef>
          </c:tx>
          <c:spPr>
            <a:solidFill>
              <a:schemeClr val="tx1"/>
            </a:solidFill>
            <a:ln>
              <a:noFill/>
            </a:ln>
            <a:effectLst/>
          </c:spPr>
          <c:invertIfNegative val="0"/>
          <c:cat>
            <c:numRef>
              <c:f>Sheet2!$K$60:$Q$60</c:f>
              <c:numCache>
                <c:formatCode>General</c:formatCode>
                <c:ptCount val="7"/>
                <c:pt idx="0">
                  <c:v>1</c:v>
                </c:pt>
                <c:pt idx="1">
                  <c:v>5</c:v>
                </c:pt>
                <c:pt idx="2">
                  <c:v>6</c:v>
                </c:pt>
                <c:pt idx="3">
                  <c:v>7</c:v>
                </c:pt>
                <c:pt idx="4">
                  <c:v>8</c:v>
                </c:pt>
                <c:pt idx="5">
                  <c:v>9</c:v>
                </c:pt>
                <c:pt idx="6">
                  <c:v>10</c:v>
                </c:pt>
              </c:numCache>
            </c:numRef>
          </c:cat>
          <c:val>
            <c:numRef>
              <c:f>Sheet2!$K$70:$Q$70</c:f>
              <c:numCache>
                <c:formatCode>0.00%</c:formatCode>
                <c:ptCount val="7"/>
                <c:pt idx="0">
                  <c:v>0</c:v>
                </c:pt>
                <c:pt idx="1">
                  <c:v>1.6666666666666701E-2</c:v>
                </c:pt>
                <c:pt idx="2">
                  <c:v>0</c:v>
                </c:pt>
                <c:pt idx="3">
                  <c:v>1.27362366474938E-2</c:v>
                </c:pt>
                <c:pt idx="4">
                  <c:v>1.41825683341929E-2</c:v>
                </c:pt>
                <c:pt idx="5">
                  <c:v>3.8642009384487999E-3</c:v>
                </c:pt>
                <c:pt idx="6">
                  <c:v>1.2764987462958699E-2</c:v>
                </c:pt>
              </c:numCache>
            </c:numRef>
          </c:val>
          <c:extLst>
            <c:ext xmlns:c16="http://schemas.microsoft.com/office/drawing/2014/chart" uri="{C3380CC4-5D6E-409C-BE32-E72D297353CC}">
              <c16:uniqueId val="{00000008-ACF5-45DA-8388-9624AFD4BF0A}"/>
            </c:ext>
          </c:extLst>
        </c:ser>
        <c:dLbls>
          <c:showLegendKey val="0"/>
          <c:showVal val="0"/>
          <c:showCatName val="0"/>
          <c:showSerName val="0"/>
          <c:showPercent val="0"/>
          <c:showBubbleSize val="0"/>
        </c:dLbls>
        <c:gapWidth val="150"/>
        <c:overlap val="100"/>
        <c:axId val="1775851264"/>
        <c:axId val="1775853040"/>
      </c:barChart>
      <c:catAx>
        <c:axId val="177585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5853040"/>
        <c:crosses val="autoZero"/>
        <c:auto val="1"/>
        <c:lblAlgn val="ctr"/>
        <c:lblOffset val="100"/>
        <c:noMultiLvlLbl val="0"/>
      </c:catAx>
      <c:valAx>
        <c:axId val="177585304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585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1533493912545401"/>
          <c:y val="0.13276060768932199"/>
          <c:w val="0.74009080707487596"/>
          <c:h val="0.78420309898668605"/>
        </c:manualLayout>
      </c:layout>
      <c:barChart>
        <c:barDir val="col"/>
        <c:grouping val="clustered"/>
        <c:varyColors val="0"/>
        <c:ser>
          <c:idx val="0"/>
          <c:order val="0"/>
          <c:tx>
            <c:strRef>
              <c:f>Sheet2!$J$61</c:f>
              <c:strCache>
                <c:ptCount val="1"/>
                <c:pt idx="0">
                  <c:v>non-disclosed</c:v>
                </c:pt>
              </c:strCache>
            </c:strRef>
          </c:tx>
          <c:spPr>
            <a:solidFill>
              <a:schemeClr val="accent3"/>
            </a:solidFill>
            <a:ln>
              <a:noFill/>
            </a:ln>
            <a:effectLst/>
            <a:sp3d/>
          </c:spPr>
          <c:invertIfNegative val="0"/>
          <c:dLbls>
            <c:dLbl>
              <c:idx val="0"/>
              <c:layout>
                <c:manualLayout>
                  <c:x val="3.0911901081916498E-3"/>
                  <c:y val="-2.117647058823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0C-4FD5-AD76-0E5C1F067465}"/>
                </c:ext>
              </c:extLst>
            </c:dLbl>
            <c:dLbl>
              <c:idx val="1"/>
              <c:layout>
                <c:manualLayout>
                  <c:x val="6.18238021638331E-3"/>
                  <c:y val="-3.52941176470588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0C-4FD5-AD76-0E5C1F067465}"/>
                </c:ext>
              </c:extLst>
            </c:dLbl>
            <c:dLbl>
              <c:idx val="2"/>
              <c:layout>
                <c:manualLayout>
                  <c:x val="1.08191653786708E-2"/>
                  <c:y val="-2.35294117647058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0C-4FD5-AD76-0E5C1F067465}"/>
                </c:ext>
              </c:extLst>
            </c:dLbl>
            <c:dLbl>
              <c:idx val="3"/>
              <c:layout>
                <c:manualLayout>
                  <c:x val="2.1638330757341499E-2"/>
                  <c:y val="-2.11764705882354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0C-4FD5-AD76-0E5C1F067465}"/>
                </c:ext>
              </c:extLst>
            </c:dLbl>
            <c:dLbl>
              <c:idx val="4"/>
              <c:layout>
                <c:manualLayout>
                  <c:x val="1.08191653786708E-2"/>
                  <c:y val="-1.8823529411764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0C-4FD5-AD76-0E5C1F067465}"/>
                </c:ext>
              </c:extLst>
            </c:dLbl>
            <c:dLbl>
              <c:idx val="5"/>
              <c:layout>
                <c:manualLayout>
                  <c:x val="9.2735703245748497E-3"/>
                  <c:y val="-1.8823529411764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F0C-4FD5-AD76-0E5C1F067465}"/>
                </c:ext>
              </c:extLst>
            </c:dLbl>
            <c:dLbl>
              <c:idx val="6"/>
              <c:layout>
                <c:manualLayout>
                  <c:x val="3.0911901081915401E-3"/>
                  <c:y val="-1.411764705882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F0C-4FD5-AD76-0E5C1F06746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numRef>
              <c:f>Sheet2!$K$60:$Q$60</c:f>
              <c:numCache>
                <c:formatCode>General</c:formatCode>
                <c:ptCount val="7"/>
                <c:pt idx="0">
                  <c:v>1</c:v>
                </c:pt>
                <c:pt idx="1">
                  <c:v>5</c:v>
                </c:pt>
                <c:pt idx="2">
                  <c:v>6</c:v>
                </c:pt>
                <c:pt idx="3">
                  <c:v>7</c:v>
                </c:pt>
                <c:pt idx="4">
                  <c:v>8</c:v>
                </c:pt>
                <c:pt idx="5">
                  <c:v>9</c:v>
                </c:pt>
                <c:pt idx="6">
                  <c:v>10</c:v>
                </c:pt>
              </c:numCache>
            </c:numRef>
          </c:cat>
          <c:val>
            <c:numRef>
              <c:f>Sheet2!$K$61:$Q$61</c:f>
              <c:numCache>
                <c:formatCode>0.00%</c:formatCode>
                <c:ptCount val="7"/>
                <c:pt idx="0">
                  <c:v>0.81538461538461504</c:v>
                </c:pt>
                <c:pt idx="1">
                  <c:v>0.73372781065088799</c:v>
                </c:pt>
                <c:pt idx="2">
                  <c:v>0.72955974842767302</c:v>
                </c:pt>
                <c:pt idx="3">
                  <c:v>0.64632374309793605</c:v>
                </c:pt>
                <c:pt idx="4">
                  <c:v>0.67163420829805298</c:v>
                </c:pt>
                <c:pt idx="5">
                  <c:v>0.68921295303452701</c:v>
                </c:pt>
                <c:pt idx="6">
                  <c:v>0.68865547709449704</c:v>
                </c:pt>
              </c:numCache>
            </c:numRef>
          </c:val>
          <c:extLst>
            <c:ext xmlns:c16="http://schemas.microsoft.com/office/drawing/2014/chart" uri="{C3380CC4-5D6E-409C-BE32-E72D297353CC}">
              <c16:uniqueId val="{00000007-6F0C-4FD5-AD76-0E5C1F067465}"/>
            </c:ext>
          </c:extLst>
        </c:ser>
        <c:dLbls>
          <c:showLegendKey val="0"/>
          <c:showVal val="0"/>
          <c:showCatName val="0"/>
          <c:showSerName val="0"/>
          <c:showPercent val="0"/>
          <c:showBubbleSize val="0"/>
        </c:dLbls>
        <c:gapWidth val="150"/>
        <c:axId val="1775340624"/>
        <c:axId val="1774557920"/>
      </c:barChart>
      <c:catAx>
        <c:axId val="1775340624"/>
        <c:scaling>
          <c:orientation val="minMax"/>
        </c:scaling>
        <c:delete val="0"/>
        <c:axPos val="b"/>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4557920"/>
        <c:crosses val="autoZero"/>
        <c:auto val="1"/>
        <c:lblAlgn val="ctr"/>
        <c:lblOffset val="100"/>
        <c:noMultiLvlLbl val="0"/>
      </c:catAx>
      <c:valAx>
        <c:axId val="1774557920"/>
        <c:scaling>
          <c:orientation val="minMax"/>
          <c:max val="1"/>
          <c:min val="0.6"/>
        </c:scaling>
        <c:delete val="0"/>
        <c:axPos val="l"/>
        <c:majorGridlines>
          <c:spPr>
            <a:ln w="9525" cap="flat" cmpd="sng" algn="ctr">
              <a:solidFill>
                <a:schemeClr val="tx1">
                  <a:lumMod val="15000"/>
                  <a:lumOff val="85000"/>
                </a:schemeClr>
              </a:solidFill>
              <a:prstDash val="solid"/>
              <a:round/>
            </a:ln>
            <a:effectLst/>
          </c:spPr>
        </c:majorGridlines>
        <c:numFmt formatCode="0.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534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4">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104">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A1B73-32F8-4627-8D78-A8CD3FEB9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12283</Words>
  <Characters>70019</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82138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Georgia Warren-Myers</dc:creator>
  <cp:lastModifiedBy>Franz Fuerst</cp:lastModifiedBy>
  <cp:revision>2</cp:revision>
  <cp:lastPrinted>2017-09-08T14:22:00Z</cp:lastPrinted>
  <dcterms:created xsi:type="dcterms:W3CDTF">2018-05-24T14:13:00Z</dcterms:created>
  <dcterms:modified xsi:type="dcterms:W3CDTF">2018-05-24T14:13:00Z</dcterms:modified>
</cp:coreProperties>
</file>